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BBD5" w14:textId="77777777" w:rsidR="000458BF" w:rsidRPr="000458BF" w:rsidRDefault="000458BF" w:rsidP="000458BF">
      <w:pPr>
        <w:rPr>
          <w:b/>
          <w:sz w:val="32"/>
          <w:szCs w:val="32"/>
        </w:rPr>
      </w:pPr>
      <w:bookmarkStart w:id="0" w:name="_1fob9te" w:colFirst="0" w:colLast="0"/>
      <w:bookmarkStart w:id="1" w:name="_Hlk100577940"/>
      <w:bookmarkStart w:id="2" w:name="_Hlk100131586"/>
      <w:bookmarkEnd w:id="0"/>
      <w:r w:rsidRPr="000458BF">
        <w:rPr>
          <w:b/>
          <w:sz w:val="32"/>
          <w:szCs w:val="32"/>
        </w:rPr>
        <w:t>Improving quantitative synthesis to achieve generality in ecology</w:t>
      </w:r>
    </w:p>
    <w:bookmarkEnd w:id="1"/>
    <w:p w14:paraId="2D9107CB" w14:textId="77777777" w:rsidR="00F24A29" w:rsidRDefault="00313CC5">
      <w:r>
        <w:t>Rebecca Spake, Rose E. O’Dea, Shinichi Nakagawa, C. Patrick Doncaster, Masahiro Ryo, Corey T. Callaghan, James M. Bullock</w:t>
      </w:r>
    </w:p>
    <w:p w14:paraId="2FE4C01A" w14:textId="77777777" w:rsidR="00F24A29" w:rsidRDefault="00313CC5">
      <w:pPr>
        <w:pStyle w:val="Heading1"/>
      </w:pPr>
      <w:r>
        <w:t>Abstract</w:t>
      </w:r>
    </w:p>
    <w:p w14:paraId="75AA789D" w14:textId="1822E2BA" w:rsidR="00F24A29" w:rsidRPr="000458BF" w:rsidRDefault="00313CC5">
      <w:pPr>
        <w:spacing w:before="240" w:after="240" w:line="276" w:lineRule="auto"/>
      </w:pPr>
      <w:r w:rsidRPr="000458BF">
        <w:t xml:space="preserve">Synthesis of primary ecological data is often assumed to achieve a notion of ‘generality’, through the quantification of overall effect sizes and consistency among </w:t>
      </w:r>
      <w:proofErr w:type="gramStart"/>
      <w:r w:rsidRPr="000458BF">
        <w:t>studies, and</w:t>
      </w:r>
      <w:proofErr w:type="gramEnd"/>
      <w:r w:rsidRPr="000458BF">
        <w:t xml:space="preserve"> has become a dominant research approach</w:t>
      </w:r>
      <w:r w:rsidR="0034522D" w:rsidRPr="000458BF">
        <w:t xml:space="preserve"> in ecology</w:t>
      </w:r>
      <w:r w:rsidRPr="000458BF">
        <w:t xml:space="preserve">. </w:t>
      </w:r>
      <w:r w:rsidR="00845947">
        <w:t>Unfortunately, e</w:t>
      </w:r>
      <w:r w:rsidR="00845947" w:rsidRPr="000458BF">
        <w:t xml:space="preserve">cologists </w:t>
      </w:r>
      <w:r w:rsidRPr="000458BF">
        <w:t>rarely define either the generality of their findings, the</w:t>
      </w:r>
      <w:r w:rsidR="00D249A7" w:rsidRPr="000458BF">
        <w:t>ir</w:t>
      </w:r>
      <w:r w:rsidRPr="000458BF">
        <w:t xml:space="preserve"> </w:t>
      </w:r>
      <w:proofErr w:type="spellStart"/>
      <w:r w:rsidRPr="000458BF">
        <w:t>estimand</w:t>
      </w:r>
      <w:proofErr w:type="spellEnd"/>
      <w:r w:rsidRPr="000458BF">
        <w:t xml:space="preserve"> </w:t>
      </w:r>
      <w:r w:rsidR="00BF6784" w:rsidRPr="000458BF">
        <w:t>(</w:t>
      </w:r>
      <w:r w:rsidR="00952883" w:rsidRPr="00952883">
        <w:rPr>
          <w:color w:val="202122"/>
          <w:shd w:val="clear" w:color="auto" w:fill="FFFFFF"/>
        </w:rPr>
        <w:t>the target of estimation</w:t>
      </w:r>
      <w:r w:rsidR="00BF6784" w:rsidRPr="000458BF">
        <w:rPr>
          <w:color w:val="202122"/>
          <w:shd w:val="clear" w:color="auto" w:fill="FFFFFF"/>
        </w:rPr>
        <w:t>)</w:t>
      </w:r>
      <w:r w:rsidR="00BF6784" w:rsidRPr="000458BF">
        <w:rPr>
          <w:i/>
        </w:rPr>
        <w:t xml:space="preserve"> </w:t>
      </w:r>
      <w:r w:rsidRPr="000458BF">
        <w:t xml:space="preserve">or population of interest. Given that generality is fundamental to science, and </w:t>
      </w:r>
      <w:r w:rsidR="00D249A7" w:rsidRPr="000458BF">
        <w:t>the</w:t>
      </w:r>
      <w:r w:rsidRPr="000458BF">
        <w:t xml:space="preserve"> urgent need for scientific understanding to curb</w:t>
      </w:r>
      <w:r w:rsidR="003350A6">
        <w:t xml:space="preserve"> global-scale</w:t>
      </w:r>
      <w:r w:rsidRPr="000458BF">
        <w:t xml:space="preserve"> ecological breakdown, loose us</w:t>
      </w:r>
      <w:r w:rsidR="003350A6">
        <w:t>ag</w:t>
      </w:r>
      <w:r w:rsidRPr="000458BF">
        <w:t xml:space="preserve">e of the term </w:t>
      </w:r>
      <w:r w:rsidR="001B1818" w:rsidRPr="000458BF">
        <w:t xml:space="preserve">‘generality’ </w:t>
      </w:r>
      <w:r w:rsidRPr="000458BF">
        <w:t xml:space="preserve">is problematic. </w:t>
      </w:r>
      <w:r w:rsidR="00B96EFF" w:rsidRPr="000458BF">
        <w:t>In other disciplines</w:t>
      </w:r>
      <w:r w:rsidR="003350A6">
        <w:t>,</w:t>
      </w:r>
      <w:r w:rsidRPr="000458BF">
        <w:t xml:space="preserve"> generality </w:t>
      </w:r>
      <w:r w:rsidR="00B96EFF" w:rsidRPr="000458BF">
        <w:t>is defined as</w:t>
      </w:r>
      <w:r w:rsidRPr="000458BF">
        <w:t xml:space="preserve"> comprising both generalisability: </w:t>
      </w:r>
      <w:r w:rsidR="00DF4CE5" w:rsidRPr="000458BF">
        <w:t xml:space="preserve">extending an inference about an </w:t>
      </w:r>
      <w:proofErr w:type="spellStart"/>
      <w:r w:rsidR="00DF4CE5" w:rsidRPr="000458BF">
        <w:t>estimand</w:t>
      </w:r>
      <w:proofErr w:type="spellEnd"/>
      <w:r w:rsidR="00DF4CE5" w:rsidRPr="000458BF">
        <w:t xml:space="preserve"> from the sample to the population</w:t>
      </w:r>
      <w:r w:rsidRPr="000458BF">
        <w:t xml:space="preserve">, and transferability: the validity of </w:t>
      </w:r>
      <w:proofErr w:type="spellStart"/>
      <w:r w:rsidRPr="000458BF">
        <w:t>estimand</w:t>
      </w:r>
      <w:proofErr w:type="spellEnd"/>
      <w:r w:rsidRPr="000458BF">
        <w:t xml:space="preserve"> predictions in a different sampling unit or population. We review current practice in ecological </w:t>
      </w:r>
      <w:proofErr w:type="gramStart"/>
      <w:r w:rsidRPr="000458BF">
        <w:t>synthesis, and</w:t>
      </w:r>
      <w:proofErr w:type="gramEnd"/>
      <w:r w:rsidRPr="000458BF">
        <w:t xml:space="preserve"> demonstrate that </w:t>
      </w:r>
      <w:r w:rsidR="00B96EFF" w:rsidRPr="000458BF">
        <w:t>by failing to define the assumptions underpin</w:t>
      </w:r>
      <w:r w:rsidR="003350A6">
        <w:t>ning</w:t>
      </w:r>
      <w:r w:rsidR="00B96EFF" w:rsidRPr="000458BF">
        <w:t xml:space="preserve"> generalisations and transfers of effect sizes</w:t>
      </w:r>
      <w:r w:rsidR="00B60C05" w:rsidRPr="000458BF">
        <w:t>,</w:t>
      </w:r>
      <w:r w:rsidR="00B96EFF" w:rsidRPr="000458BF">
        <w:t xml:space="preserve"> </w:t>
      </w:r>
      <w:r w:rsidRPr="000458BF">
        <w:t xml:space="preserve">generality often misses its target. We provide guidance for communicating nuanced </w:t>
      </w:r>
      <w:proofErr w:type="gramStart"/>
      <w:r w:rsidRPr="000458BF">
        <w:t>inferences, and</w:t>
      </w:r>
      <w:proofErr w:type="gramEnd"/>
      <w:r w:rsidRPr="000458BF">
        <w:t xml:space="preserve"> maximising the impact of </w:t>
      </w:r>
      <w:r w:rsidR="0056380A" w:rsidRPr="000458BF">
        <w:t>syntheses</w:t>
      </w:r>
      <w:r w:rsidRPr="000458BF">
        <w:t xml:space="preserve"> both within and beyond academia. We </w:t>
      </w:r>
      <w:r w:rsidR="00A971C6" w:rsidRPr="000458BF">
        <w:t>propose pathways to</w:t>
      </w:r>
      <w:r w:rsidRPr="000458BF">
        <w:t xml:space="preserve"> generality applicable to ecological syntheses, includ</w:t>
      </w:r>
      <w:r w:rsidR="003350A6">
        <w:t>ing</w:t>
      </w:r>
      <w:r w:rsidRPr="000458BF">
        <w:t xml:space="preserve"> </w:t>
      </w:r>
      <w:r w:rsidR="003350A6">
        <w:t xml:space="preserve">the </w:t>
      </w:r>
      <w:r w:rsidRPr="000458BF">
        <w:t xml:space="preserve">development of quantitative and qualitative criteria with which to license the transfer of </w:t>
      </w:r>
      <w:proofErr w:type="spellStart"/>
      <w:r w:rsidRPr="000458BF">
        <w:t>estimands</w:t>
      </w:r>
      <w:proofErr w:type="spellEnd"/>
      <w:r w:rsidRPr="000458BF">
        <w:t xml:space="preserve"> from both primary and synthetic studies. </w:t>
      </w:r>
    </w:p>
    <w:p w14:paraId="26A791FF" w14:textId="763697E1" w:rsidR="00F24A29" w:rsidRDefault="00313CC5" w:rsidP="00AA32F1">
      <w:r>
        <w:t>Keywords: applicability; external validity;</w:t>
      </w:r>
      <w:r w:rsidR="003350A6">
        <w:t xml:space="preserve"> meta-analysis;</w:t>
      </w:r>
      <w:r>
        <w:t xml:space="preserve"> meta-science; </w:t>
      </w:r>
      <w:r w:rsidR="000A303F">
        <w:t xml:space="preserve">relevance </w:t>
      </w:r>
      <w:r>
        <w:br w:type="page"/>
      </w:r>
    </w:p>
    <w:p w14:paraId="0598BDDB" w14:textId="77777777" w:rsidR="00F24A29" w:rsidRDefault="00313CC5">
      <w:pPr>
        <w:pStyle w:val="Heading1"/>
      </w:pPr>
      <w:r>
        <w:lastRenderedPageBreak/>
        <w:t>MAIN</w:t>
      </w:r>
    </w:p>
    <w:p w14:paraId="4FB82258" w14:textId="5BB822E2" w:rsidR="00F24A29" w:rsidRDefault="00636AA5">
      <w:pPr>
        <w:rPr>
          <w:highlight w:val="white"/>
        </w:rPr>
      </w:pPr>
      <w:r>
        <w:rPr>
          <w:highlight w:val="white"/>
        </w:rPr>
        <w:t>Ecologists</w:t>
      </w:r>
      <w:r w:rsidR="00313CC5">
        <w:rPr>
          <w:highlight w:val="white"/>
        </w:rPr>
        <w:t xml:space="preserve"> often seek to extend inferences from their studied systems </w:t>
      </w:r>
      <w:r>
        <w:rPr>
          <w:highlight w:val="white"/>
        </w:rPr>
        <w:t>to</w:t>
      </w:r>
      <w:r w:rsidR="00313CC5">
        <w:rPr>
          <w:highlight w:val="white"/>
        </w:rPr>
        <w:t xml:space="preserve"> predict phenomena </w:t>
      </w:r>
      <w:r>
        <w:rPr>
          <w:highlight w:val="white"/>
        </w:rPr>
        <w:t>in different</w:t>
      </w:r>
      <w:r w:rsidR="00313CC5">
        <w:rPr>
          <w:highlight w:val="white"/>
        </w:rPr>
        <w:t xml:space="preserve"> taxonomic, spatial or temporal </w:t>
      </w:r>
      <w:r>
        <w:rPr>
          <w:highlight w:val="white"/>
        </w:rPr>
        <w:t>settings</w:t>
      </w:r>
      <w:r w:rsidR="00BB1A5F">
        <w:rPr>
          <w:highlight w:val="white"/>
        </w:rPr>
        <w:fldChar w:fldCharType="begin" w:fldLock="1"/>
      </w:r>
      <w:r w:rsidR="00C8056C">
        <w:rPr>
          <w:highlight w:val="white"/>
        </w:rPr>
        <w:instrText>ADDIN CSL_CITATION {"citationItems":[{"id":"ITEM-1","itemData":{"DOI":"10.1111/oik.03726","ISSN":"16000706","abstract":"The objective of science is to understand the natural world; we argue that prediction is the only way to demonstrate scientific understanding, implying that prediction should be a fundamental aspect of all scientific disciplines. Reproducibility is an essential requirement of good science and arises from the ability to develop models that make accurate predictions on new data. Ecology, however, with a few exceptions, has abandoned prediction as a central focus and faces its own crisis of reproducibility. Models are where ecological understanding is stored and they are the source of all predictions – no prediction is possible without a model of the world. Models can be improved in three ways: model variables, functional relationships among dependent and independent variables, and in parameter estimates. Ecologists rarely test to assess whether new models have made advances by identifying new and important variables, elucidating functional relationships, or improving parameter estimates. Without these tests it is difficult to know if we understand more today than we did yesterday. A new commitment to prediction in ecology would lead to, among other things, more mature (i.e. quantitative) hypotheses, prioritization of modeling techniques that are more appropriate for prediction (e.g. using continuous independent variables rather than categorical) and, ultimately, advancement towards a more general understanding of the natural world. Synthesis Ecology, with a few exceptions, has abandoned prediction and therefore the ability to demonstrate understanding. Here we address how this has inhibited progress in ecology and explore how a renewed focus on prediction would benefit ecologists. The lack of emphasis on prediction has resulted in a discipline that tests qualitative, imprecise hypotheses with little concern for whether the results are generalizable beyond where and when the data were collected. A renewed commitment to prediction would allow ecologists to address critical questions about the generalizability of our results and the progress we are making towards understanding the natural world.","author":[{"dropping-particle":"","family":"Houlahan","given":"Jeff E.","non-dropping-particle":"","parse-names":false,"suffix":""},{"dropping-particle":"","family":"McKinney","given":"Shawn T.","non-dropping-particle":"","parse-names":false,"suffix":""},{"dropping-particle":"","family":"Anderson","given":"T. Michael","non-dropping-particle":"","parse-names":false,"suffix":""},{"dropping-particle":"","family":"McGill","given":"Brian J.","non-dropping-particle":"","parse-names":false,"suffix":""}],"container-title":"Oikos","id":"ITEM-1","issue":"1","issued":{"date-parts":[["2017"]]},"page":"1-7","title":"The priority of prediction in ecological understanding","type":"article-journal","volume":"126"},"uris":["http://www.mendeley.com/documents/?uuid=d3ec20e1-ff70-4cf6-8efd-bb22f96ef91d"]}],"mendeley":{"formattedCitation":"&lt;sup&gt;1&lt;/sup&gt;","plainTextFormattedCitation":"1","previouslyFormattedCitation":"&lt;sup&gt;1&lt;/sup&gt;"},"properties":{"noteIndex":0},"schema":"https://github.com/citation-style-language/schema/raw/master/csl-citation.json"}</w:instrText>
      </w:r>
      <w:r w:rsidR="00BB1A5F">
        <w:rPr>
          <w:highlight w:val="white"/>
        </w:rPr>
        <w:fldChar w:fldCharType="separate"/>
      </w:r>
      <w:r w:rsidR="00BB1A5F" w:rsidRPr="00BB1A5F">
        <w:rPr>
          <w:noProof/>
          <w:highlight w:val="white"/>
          <w:vertAlign w:val="superscript"/>
        </w:rPr>
        <w:t>1</w:t>
      </w:r>
      <w:r w:rsidR="00BB1A5F">
        <w:rPr>
          <w:highlight w:val="white"/>
        </w:rPr>
        <w:fldChar w:fldCharType="end"/>
      </w:r>
      <w:r w:rsidR="00325156">
        <w:rPr>
          <w:highlight w:val="white"/>
        </w:rPr>
        <w:t>. Indeed,</w:t>
      </w:r>
      <w:r w:rsidR="00313CC5">
        <w:rPr>
          <w:highlight w:val="white"/>
        </w:rPr>
        <w:t xml:space="preserve"> around </w:t>
      </w:r>
      <w:r w:rsidR="00EC7DD2">
        <w:rPr>
          <w:highlight w:val="white"/>
        </w:rPr>
        <w:t>40%</w:t>
      </w:r>
      <w:r w:rsidR="00313CC5">
        <w:rPr>
          <w:highlight w:val="white"/>
        </w:rPr>
        <w:t xml:space="preserve"> of the top ecology journals demand that submissions are relevant for other species, ecosystems, biomes, or time periods (Appendix S1). In principle, this is a fair request, to prevent the literature from becoming a descriptive ‘stamp collection’ of case studies</w:t>
      </w:r>
      <w:r>
        <w:rPr>
          <w:highlight w:val="white"/>
        </w:rPr>
        <w:fldChar w:fldCharType="begin" w:fldLock="1"/>
      </w:r>
      <w:r w:rsidR="00C11F5A">
        <w:rPr>
          <w:highlight w:val="white"/>
        </w:rPr>
        <w:instrText>ADDIN CSL_CITATION {"citationItems":[{"id":"ITEM-1","itemData":{"author":[{"dropping-particle":"","family":"Lawton","given":"J. H.","non-dropping-particle":"","parse-names":false,"suffix":""}],"container-title":"Oikos","id":"ITEM-1","issued":{"date-parts":[["1999"]]},"page":"177–192","title":"Are there general laws in ecology?","type":"article-journal","volume":"84"},"uris":["http://www.mendeley.com/documents/?uuid=58d4478e-781f-409f-b7c2-9f41afea2f73"]}],"mendeley":{"formattedCitation":"&lt;sup&gt;2&lt;/sup&gt;","plainTextFormattedCitation":"2","previouslyFormattedCitation":"&lt;sup&gt;2&lt;/sup&gt;"},"properties":{"noteIndex":0},"schema":"https://github.com/citation-style-language/schema/raw/master/csl-citation.json"}</w:instrText>
      </w:r>
      <w:r>
        <w:rPr>
          <w:highlight w:val="white"/>
        </w:rPr>
        <w:fldChar w:fldCharType="separate"/>
      </w:r>
      <w:r w:rsidRPr="00636AA5">
        <w:rPr>
          <w:noProof/>
          <w:highlight w:val="white"/>
          <w:vertAlign w:val="superscript"/>
        </w:rPr>
        <w:t>2</w:t>
      </w:r>
      <w:r>
        <w:rPr>
          <w:highlight w:val="white"/>
        </w:rPr>
        <w:fldChar w:fldCharType="end"/>
      </w:r>
      <w:r w:rsidR="00313CC5">
        <w:rPr>
          <w:highlight w:val="white"/>
        </w:rPr>
        <w:t xml:space="preserve">, with inferences limited to the </w:t>
      </w:r>
      <w:r w:rsidR="00325156">
        <w:rPr>
          <w:highlight w:val="white"/>
        </w:rPr>
        <w:t>sample</w:t>
      </w:r>
      <w:r w:rsidR="00132F57">
        <w:rPr>
          <w:highlight w:val="white"/>
        </w:rPr>
        <w:t>d population</w:t>
      </w:r>
      <w:r w:rsidR="00313CC5">
        <w:rPr>
          <w:highlight w:val="white"/>
        </w:rPr>
        <w:t xml:space="preserve">. </w:t>
      </w:r>
      <w:bookmarkStart w:id="3" w:name="_Hlk100578753"/>
      <w:r w:rsidR="00132F57">
        <w:rPr>
          <w:highlight w:val="white"/>
        </w:rPr>
        <w:t>E</w:t>
      </w:r>
      <w:r w:rsidR="00313CC5">
        <w:rPr>
          <w:highlight w:val="white"/>
        </w:rPr>
        <w:t xml:space="preserve">cologists have </w:t>
      </w:r>
      <w:r w:rsidR="006D0155">
        <w:rPr>
          <w:highlight w:val="white"/>
        </w:rPr>
        <w:t xml:space="preserve">pursued </w:t>
      </w:r>
      <w:r w:rsidR="00313CC5">
        <w:rPr>
          <w:highlight w:val="white"/>
        </w:rPr>
        <w:t>many roads to generalities</w:t>
      </w:r>
      <w:r w:rsidR="00A038A0">
        <w:rPr>
          <w:highlight w:val="white"/>
        </w:rPr>
        <w:fldChar w:fldCharType="begin" w:fldLock="1"/>
      </w:r>
      <w:r w:rsidR="00A828E4">
        <w:rPr>
          <w:highlight w:val="white"/>
        </w:rPr>
        <w:instrText>ADDIN CSL_CITATION {"citationItems":[{"id":"ITEM-1","itemData":{"author":[{"dropping-particle":"","family":"Elliott-Graves","given":"Alkistis","non-dropping-particle":"","parse-names":false,"suffix":""}],"container-title":"Philosophy of Science","id":"ITEM-1","issued":{"date-parts":[["2018"]]},"page":"1102–1114","title":"Generality and Causal Interdependence in Ecology","type":"article-journal","volume":"85"},"uris":["http://www.mendeley.com/documents/?uuid=7de2c370-4e60-4028-906b-a3cef9e2fe46"]},{"id":"ITEM-2","itemData":{"ISBN":"9781119130536","ISSN":"14203049","PMID":"25246403","abstract":"Modern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Richard","author":[{"dropping-particle":"","family":"Fox","given":"Jeremy W.","non-dropping-particle":"","parse-names":false,"suffix":""}],"container-title":"Philosophical Topics","id":"ITEM-2","issue":"1","issued":{"date-parts":[["2019"]]},"page":"83-104","title":"The many roads to generality in ecology","type":"article-journal","volume":"9"},"uris":["http://www.mendeley.com/documents/?uuid=690005dc-8673-4c2f-b529-96a043b2ebea"]}],"mendeley":{"formattedCitation":"&lt;sup&gt;3,4&lt;/sup&gt;","plainTextFormattedCitation":"3,4","previouslyFormattedCitation":"&lt;sup&gt;3,4&lt;/sup&gt;"},"properties":{"noteIndex":0},"schema":"https://github.com/citation-style-language/schema/raw/master/csl-citation.json"}</w:instrText>
      </w:r>
      <w:r w:rsidR="00A038A0">
        <w:rPr>
          <w:highlight w:val="white"/>
        </w:rPr>
        <w:fldChar w:fldCharType="separate"/>
      </w:r>
      <w:r w:rsidR="00A038A0" w:rsidRPr="00A038A0">
        <w:rPr>
          <w:noProof/>
          <w:highlight w:val="white"/>
          <w:vertAlign w:val="superscript"/>
        </w:rPr>
        <w:t>3,4</w:t>
      </w:r>
      <w:r w:rsidR="00A038A0">
        <w:rPr>
          <w:highlight w:val="white"/>
        </w:rPr>
        <w:fldChar w:fldCharType="end"/>
      </w:r>
      <w:r w:rsidR="00313CC5">
        <w:rPr>
          <w:highlight w:val="white"/>
        </w:rPr>
        <w:t>, including developing mathematical models to predict key population parameters</w:t>
      </w:r>
      <w:r w:rsidR="00A038A0">
        <w:rPr>
          <w:highlight w:val="white"/>
        </w:rPr>
        <w:fldChar w:fldCharType="begin" w:fldLock="1"/>
      </w:r>
      <w:r w:rsidR="00A828E4">
        <w:rPr>
          <w:highlight w:val="white"/>
        </w:rPr>
        <w:instrText>ADDIN CSL_CITATION {"citationItems":[{"id":"ITEM-1","itemData":{"DOI":"10.1111/j.1461-0248.2007.01094.x","ISSN":"1461023X","PMID":"17845298","abstract":"Species abundance distributions (SADs) follow one of ecology's oldest and most universal laws - every community shows a hollow curve or hyperbolic shape on a histogram with many rare species and just a few common species. Here, we review theoretical, empirical and statistical developments in the study of SADs. Several key points emerge. (i) Literally dozens of models have been proposed to explain the hollow curve. Unfortunately, very few models are ever rejected, primarily because few theories make any predictions beyond the hollow-curve SAD itself. (ii) Interesting work has been performed both empirically and theoretically, which goes beyond the hollow-curve prediction to provide a rich variety of information about how SADs behave. These include the study of SADs along environmental gradients and theories that integrate SADs with other biodiversity patterns. Central to this body of work is an effort to move beyond treating the SAD in isolation and to integrate the SAD into its ecological context to enable making many predictions. (iii) Moving forward will entail understanding how sampling and scale affect SADs and developing statistical tools for describing and comparing SADs. We are optimistic that SADs can provide significant insights into basic and applied ecological science. © 2007 Blackwell Publishing Ltd/CNRS.","author":[{"dropping-particle":"","family":"McGill","given":"Brian J.","non-dropping-particle":"","parse-names":false,"suffix":""},{"dropping-particle":"","family":"Etienne","given":"Rampal S.","non-dropping-particle":"","parse-names":false,"suffix":""},{"dropping-particle":"","family":"Gray","given":"John S.","non-dropping-particle":"","parse-names":false,"suffix":""},{"dropping-particle":"","family":"Alonso","given":"David","non-dropping-particle":"","parse-names":false,"suffix":""},{"dropping-particle":"","family":"Anderson","given":"Marti J.","non-dropping-particle":"","parse-names":false,"suffix":""},{"dropping-particle":"","family":"Benecha","given":"Habtamu Kassa","non-dropping-particle":"","parse-names":false,"suffix":""},{"dropping-particle":"","family":"Dornelas","given":"Maria","non-dropping-particle":"","parse-names":false,"suffix":""},{"dropping-particle":"","family":"Enquist","given":"Brian J.","non-dropping-particle":"","parse-names":false,"suffix":""},{"dropping-particle":"","family":"Green","given":"Jessica L.","non-dropping-particle":"","parse-names":false,"suffix":""},{"dropping-particle":"","family":"He","given":"Fangliang","non-dropping-particle":"","parse-names":false,"suffix":""},{"dropping-particle":"","family":"Hurlbert","given":"Allen H.","non-dropping-particle":"","parse-names":false,"suffix":""},{"dropping-particle":"","family":"Magurran","given":"Anne E.","non-dropping-particle":"","parse-names":false,"suffix":""},{"dropping-particle":"","family":"Marquet","given":"Pablo A.","non-dropping-particle":"","parse-names":false,"suffix":""},{"dropping-particle":"","family":"Maurer","given":"Brian A.","non-dropping-particle":"","parse-names":false,"suffix":""},{"dropping-particle":"","family":"Ostling","given":"Annette","non-dropping-particle":"","parse-names":false,"suffix":""},{"dropping-particle":"","family":"Soykan","given":"Candan U.","non-dropping-particle":"","parse-names":false,"suffix":""},{"dropping-particle":"","family":"Ugland","given":"Karl I.","non-dropping-particle":"","parse-names":false,"suffix":""},{"dropping-particle":"","family":"White","given":"Ethan P.","non-dropping-particle":"","parse-names":false,"suffix":""}],"container-title":"Ecology Letters","id":"ITEM-1","issue":"10","issued":{"date-parts":[["2007"]]},"page":"995-1015","title":"Species abundance distributions: Moving beyond single prediction theories to integration within an ecological framework","type":"article-journal","volume":"10"},"uris":["http://www.mendeley.com/documents/?uuid=a6091f52-6449-431a-bc9f-2a187d8decb7"]},{"id":"ITEM-2","itemData":{"author":[{"dropping-particle":"","family":"MacArthur, R. H.","given":"and E. O. Wilson","non-dropping-particle":"","parse-names":false,"suffix":""}],"container-title":"Evolution","id":"ITEM-2","issue":"4","issued":{"date-parts":[["1963"]]},"page":"373–87","title":"An equilibrium theory of insular zoogeography","type":"article-journal","volume":"17"},"uris":["http://www.mendeley.com/documents/?uuid=8ca22ccd-a6f6-4629-bb3f-7c2bbe270c24"]}],"mendeley":{"formattedCitation":"&lt;sup&gt;5,6&lt;/sup&gt;","plainTextFormattedCitation":"5,6","previouslyFormattedCitation":"&lt;sup&gt;5,6&lt;/sup&gt;"},"properties":{"noteIndex":0},"schema":"https://github.com/citation-style-language/schema/raw/master/csl-citation.json"}</w:instrText>
      </w:r>
      <w:r w:rsidR="00A038A0">
        <w:rPr>
          <w:highlight w:val="white"/>
        </w:rPr>
        <w:fldChar w:fldCharType="separate"/>
      </w:r>
      <w:r w:rsidR="00A038A0" w:rsidRPr="00A038A0">
        <w:rPr>
          <w:noProof/>
          <w:highlight w:val="white"/>
          <w:vertAlign w:val="superscript"/>
        </w:rPr>
        <w:t>5,6</w:t>
      </w:r>
      <w:r w:rsidR="00A038A0">
        <w:rPr>
          <w:highlight w:val="white"/>
        </w:rPr>
        <w:fldChar w:fldCharType="end"/>
      </w:r>
      <w:r w:rsidR="00313CC5">
        <w:rPr>
          <w:highlight w:val="white"/>
        </w:rPr>
        <w:t>, unifying conceptual frameworks to predict the importance of different mechanisms in different contexts</w:t>
      </w:r>
      <w:r>
        <w:rPr>
          <w:highlight w:val="white"/>
        </w:rPr>
        <w:fldChar w:fldCharType="begin" w:fldLock="1"/>
      </w:r>
      <w:r w:rsidR="00A828E4">
        <w:rPr>
          <w:highlight w:val="white"/>
        </w:rPr>
        <w:instrText>ADDIN CSL_CITATION {"citationItems":[{"id":"ITEM-1","itemData":{"DOI":"10.1111/j.1461-0248.2011.01594.x","ISSN":"1461023X","PMID":"21513009","abstract":"A general understanding of biological invasions will provide insights into fundamental ecological and evolutionary problems and contribute to more efficient and effective prediction, prevention and control of invasions. We review recent papers that have proposed conceptual frameworks for invasion biology. These papers offer important advances and signal a maturation of the field, but a broad synthesis is still lacking. Conceptual frameworks for invasion do not require invocation of unique concepts, but rather should reflect the unifying principles of ecology and evolutionary biology. A conceptual framework should incorporate multicausality, include interactions between causal factors and account for lags between various stages. We emphasize the centrality of demography in invasions, and distinguish between explaining three of the most important characteristics by which we recognize invasions: rapid local population increase, monocultures or community dominance, and range expansion. As a contribution towards developing a conceptual synthesis of invasions based on these criteria, we outline a framework that explicitly incorporates consideration of the fundamental ecological and evolutionary processes involved. The development of a more inclusive and mechanistic conceptual framework for invasion should facilitate quantitative and testable evaluation of causal factors, and can potentially lead to a better understanding of the biology of invasions. © 2011 Blackwell Publishing Ltd/CNRS.","author":[{"dropping-particle":"","family":"Gurevitch","given":"J.","non-dropping-particle":"","parse-names":false,"suffix":""},{"dropping-particle":"","family":"Fox","given":"G. A.","non-dropping-particle":"","parse-names":false,"suffix":""},{"dropping-particle":"","family":"Wardle","given":"G. M.","non-dropping-particle":"","parse-names":false,"suffix":""},{"dropping-particle":"","family":"Inderjit","given":"","non-dropping-particle":"","parse-names":false,"suffix":""},{"dropping-particle":"","family":"Taub","given":"D.","non-dropping-particle":"","parse-names":false,"suffix":""}],"container-title":"Ecology Letters","id":"ITEM-1","issue":"4","issued":{"date-parts":[["2011"]]},"page":"407-418","title":"Emergent insights from the synthesis of conceptual frameworks for biological invasions","type":"article-journal","volume":"14"},"uris":["http://www.mendeley.com/documents/?uuid=26aa728f-0a49-4781-ab4d-77fbfa66b9b3"]},{"id":"ITEM-2","itemData":{"ISBN":"9781119130536","ISSN":"14203049","PMID":"25246403","abstract":"Modern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Richard","author":[{"dropping-particle":"","family":"Fox","given":"Jeremy W.","non-dropping-particle":"","parse-names":false,"suffix":""}],"container-title":"Philosophical Topics","id":"ITEM-2","issue":"1","issued":{"date-parts":[["2019"]]},"page":"83-104","title":"The many roads to generality in ecology","type":"article-journal","volume":"9"},"uris":["http://www.mendeley.com/documents/?uuid=690005dc-8673-4c2f-b529-96a043b2ebea"]}],"mendeley":{"formattedCitation":"&lt;sup&gt;4,7&lt;/sup&gt;","plainTextFormattedCitation":"4,7","previouslyFormattedCitation":"&lt;sup&gt;4,7&lt;/sup&gt;"},"properties":{"noteIndex":0},"schema":"https://github.com/citation-style-language/schema/raw/master/csl-citation.json"}</w:instrText>
      </w:r>
      <w:r>
        <w:rPr>
          <w:highlight w:val="white"/>
        </w:rPr>
        <w:fldChar w:fldCharType="separate"/>
      </w:r>
      <w:r w:rsidR="00A038A0" w:rsidRPr="00A038A0">
        <w:rPr>
          <w:noProof/>
          <w:highlight w:val="white"/>
          <w:vertAlign w:val="superscript"/>
        </w:rPr>
        <w:t>4,7</w:t>
      </w:r>
      <w:r>
        <w:rPr>
          <w:highlight w:val="white"/>
        </w:rPr>
        <w:fldChar w:fldCharType="end"/>
      </w:r>
      <w:r w:rsidR="00313CC5">
        <w:rPr>
          <w:highlight w:val="white"/>
        </w:rPr>
        <w:t>, and coordinating globally distributed experiments to predict responses of ecological systems to perturbations</w:t>
      </w:r>
      <w:r>
        <w:rPr>
          <w:highlight w:val="white"/>
        </w:rPr>
        <w:fldChar w:fldCharType="begin" w:fldLock="1"/>
      </w:r>
      <w:r w:rsidR="00A038A0">
        <w:rPr>
          <w:highlight w:val="white"/>
        </w:rPr>
        <w:instrText>ADDIN CSL_CITATION {"citationItems":[{"id":"ITEM-1","itemData":{"DOI":"10.1111/2041-210X.12125","ISSN":"2041210X","abstract":"Summary: Advancing the field of ecology relies on understanding generalities and developing theories based on empirical and functional relationships that integrate across organismal to global spatial scales and span temporal scales. Significant advances in predicting responses of ecological communities to globally extensive anthropogenic perturbations,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Here, we provide specific advice and considerations relevant to researchers interested in employing this emerging approach using as a case study our experience developing and running the Nutrient Network, a globally distributed experimental network (currently &gt;75 sites in 17 countries) that arose from a grassroots, cooperative research effort. We clarify the design, goals and function of the Nutrient Network as a model to empower others in the scientific community to employ distributed experiments to advance our predictive understanding of global-scale ecological trends and responses. Our experiences to date demonstrate that globally distributed experimental science need not be prohibitively expensive or time-consuming on a per capita basis and is not limited to senior scientists or countries where science is well funded. While distributed experiments are not a panacea for understanding ecological systems, they can substantially complement existing approaches. © 2013 British Ecological Society.","author":[{"dropping-particle":"","family":"Borer","given":"Elizabeth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b7cca0a6-30bb-4263-9ad0-2b0e4bae38e8"]}],"mendeley":{"formattedCitation":"&lt;sup&gt;8&lt;/sup&gt;","plainTextFormattedCitation":"8","previouslyFormattedCitation":"&lt;sup&gt;8&lt;/sup&gt;"},"properties":{"noteIndex":0},"schema":"https://github.com/citation-style-language/schema/raw/master/csl-citation.json"}</w:instrText>
      </w:r>
      <w:r>
        <w:rPr>
          <w:highlight w:val="white"/>
        </w:rPr>
        <w:fldChar w:fldCharType="separate"/>
      </w:r>
      <w:r w:rsidR="00A038A0" w:rsidRPr="00A038A0">
        <w:rPr>
          <w:noProof/>
          <w:highlight w:val="white"/>
          <w:vertAlign w:val="superscript"/>
        </w:rPr>
        <w:t>8</w:t>
      </w:r>
      <w:r>
        <w:rPr>
          <w:highlight w:val="white"/>
        </w:rPr>
        <w:fldChar w:fldCharType="end"/>
      </w:r>
      <w:r w:rsidR="00313CC5">
        <w:rPr>
          <w:highlight w:val="white"/>
        </w:rPr>
        <w:t xml:space="preserve">. A further road </w:t>
      </w:r>
      <w:r w:rsidR="006D0155">
        <w:rPr>
          <w:highlight w:val="white"/>
        </w:rPr>
        <w:t>that has gained prominence in ecology over the past 30 years</w:t>
      </w:r>
      <w:r w:rsidR="00313CC5">
        <w:rPr>
          <w:highlight w:val="white"/>
        </w:rPr>
        <w:t xml:space="preserve"> is the use of ‘quantitative synthesis’ to identify generalities about the strength and direction of </w:t>
      </w:r>
      <w:r w:rsidR="0072684B">
        <w:rPr>
          <w:highlight w:val="white"/>
        </w:rPr>
        <w:t xml:space="preserve">ecological </w:t>
      </w:r>
      <w:r w:rsidR="00313CC5">
        <w:rPr>
          <w:highlight w:val="white"/>
        </w:rPr>
        <w:t>effects</w:t>
      </w:r>
      <w:r w:rsidR="00BD35DE">
        <w:rPr>
          <w:highlight w:val="white"/>
        </w:rPr>
        <w:fldChar w:fldCharType="begin" w:fldLock="1"/>
      </w:r>
      <w:r w:rsidR="00BD35DE">
        <w:rPr>
          <w:highlight w:val="white"/>
        </w:rPr>
        <w:instrText>ADDIN CSL_CITATION {"citationItems":[{"id":"ITEM-1","itemData":{"author":[{"dropping-particle":"","family":"Gurevitch","given":"J.","non-dropping-particle":"","parse-names":false,"suffix":""},{"dropping-particle":"","family":"Koricheva","given":"J.","non-dropping-particle":"","parse-names":false,"suffix":""},{"dropping-particle":"","family":"Nakagawa","given":"S.","non-dropping-particle":"","parse-names":false,"suffix":""},{"dropping-particle":"","family":"Stewart","given":"G.","non-dropping-particle":"","parse-names":false,"suffix":""}],"container-title":"Nature","id":"ITEM-1","issued":{"date-parts":[["2018"]]},"page":"175–182","title":"Meta-analysis and the science of research synthesis","type":"article-journal","volume":"555"},"uris":["http://www.mendeley.com/documents/?uuid=3452e039-e96f-428b-b7c1-7e96421389c2"]}],"mendeley":{"formattedCitation":"&lt;sup&gt;9&lt;/sup&gt;","plainTextFormattedCitation":"9","previouslyFormattedCitation":"&lt;sup&gt;9&lt;/sup&gt;"},"properties":{"noteIndex":0},"schema":"https://github.com/citation-style-language/schema/raw/master/csl-citation.json"}</w:instrText>
      </w:r>
      <w:r w:rsidR="00BD35DE">
        <w:rPr>
          <w:highlight w:val="white"/>
        </w:rPr>
        <w:fldChar w:fldCharType="separate"/>
      </w:r>
      <w:r w:rsidR="00BD35DE" w:rsidRPr="00A038A0">
        <w:rPr>
          <w:noProof/>
          <w:highlight w:val="white"/>
          <w:vertAlign w:val="superscript"/>
        </w:rPr>
        <w:t>9</w:t>
      </w:r>
      <w:r w:rsidR="00BD35DE">
        <w:rPr>
          <w:highlight w:val="white"/>
        </w:rPr>
        <w:fldChar w:fldCharType="end"/>
      </w:r>
      <w:r w:rsidR="00313CC5">
        <w:rPr>
          <w:highlight w:val="white"/>
        </w:rPr>
        <w:t>.</w:t>
      </w:r>
    </w:p>
    <w:bookmarkEnd w:id="3"/>
    <w:p w14:paraId="10FAB6F0" w14:textId="64D72981" w:rsidR="00572EFF" w:rsidRDefault="00313CC5" w:rsidP="0066286C">
      <w:pPr>
        <w:rPr>
          <w:highlight w:val="white"/>
        </w:rPr>
      </w:pPr>
      <w:r w:rsidRPr="00A971C6">
        <w:rPr>
          <w:highlight w:val="white"/>
        </w:rPr>
        <w:t>Quantitative syntheses identify, appraise</w:t>
      </w:r>
      <w:r w:rsidR="00572EFF">
        <w:rPr>
          <w:highlight w:val="white"/>
        </w:rPr>
        <w:t>,</w:t>
      </w:r>
      <w:r w:rsidRPr="00A971C6">
        <w:rPr>
          <w:highlight w:val="white"/>
        </w:rPr>
        <w:t xml:space="preserve"> and combine data from individual studies </w:t>
      </w:r>
      <w:r w:rsidR="00530DD0">
        <w:rPr>
          <w:highlight w:val="white"/>
        </w:rPr>
        <w:t xml:space="preserve">or sites </w:t>
      </w:r>
      <w:r w:rsidRPr="00A971C6">
        <w:rPr>
          <w:highlight w:val="white"/>
        </w:rPr>
        <w:t>that have measured an effect of interest, typically via meta-analysis or multilevel modelling</w:t>
      </w:r>
      <w:r w:rsidRPr="00A971C6">
        <w:rPr>
          <w:highlight w:val="white"/>
          <w:vertAlign w:val="superscript"/>
        </w:rPr>
        <w:t>10–14</w:t>
      </w:r>
      <w:r w:rsidRPr="00A971C6">
        <w:rPr>
          <w:highlight w:val="white"/>
        </w:rPr>
        <w:t xml:space="preserve"> (Box </w:t>
      </w:r>
      <w:r w:rsidR="00BD35DE">
        <w:rPr>
          <w:highlight w:val="white"/>
        </w:rPr>
        <w:t>1</w:t>
      </w:r>
      <w:r w:rsidRPr="00A971C6">
        <w:rPr>
          <w:highlight w:val="white"/>
        </w:rPr>
        <w:t>). Syntheses have been used to answer both basic and applied ecological questions by quantifying, for example, the effects of major environmental drivers such as climate change on ecological communities, the effectiveness of conservation actions, and evaluating the evidence for ecological and evolutionary theories</w:t>
      </w:r>
      <w:r w:rsidRPr="00A971C6">
        <w:rPr>
          <w:highlight w:val="white"/>
          <w:vertAlign w:val="superscript"/>
        </w:rPr>
        <w:t>11</w:t>
      </w:r>
      <w:r w:rsidRPr="00A971C6">
        <w:rPr>
          <w:highlight w:val="white"/>
        </w:rPr>
        <w:t>. Central to quantitative synthesis is the ‘effect size’ estimated for each study</w:t>
      </w:r>
      <w:r w:rsidR="0056380A" w:rsidRPr="00A971C6">
        <w:rPr>
          <w:highlight w:val="white"/>
        </w:rPr>
        <w:t>,</w:t>
      </w:r>
      <w:r w:rsidRPr="00A971C6">
        <w:rPr>
          <w:highlight w:val="white"/>
        </w:rPr>
        <w:t xml:space="preserve"> represent</w:t>
      </w:r>
      <w:r w:rsidR="0056380A" w:rsidRPr="00A971C6">
        <w:rPr>
          <w:highlight w:val="white"/>
        </w:rPr>
        <w:t>ing</w:t>
      </w:r>
      <w:r w:rsidRPr="00A971C6">
        <w:rPr>
          <w:highlight w:val="white"/>
        </w:rPr>
        <w:t xml:space="preserve"> the direction and/or magnitude of an effect, commonly measured using differences between categorical group means, or the strengths of association between variables. </w:t>
      </w:r>
      <w:r w:rsidR="0000278C">
        <w:rPr>
          <w:bCs/>
        </w:rPr>
        <w:t>I</w:t>
      </w:r>
      <w:r w:rsidR="0000278C" w:rsidRPr="007461CC">
        <w:rPr>
          <w:bCs/>
        </w:rPr>
        <w:t>n the absence of theoretical models or distributed experiments</w:t>
      </w:r>
      <w:r w:rsidR="0000278C">
        <w:rPr>
          <w:bCs/>
        </w:rPr>
        <w:t xml:space="preserve">, </w:t>
      </w:r>
      <w:r w:rsidR="0000278C">
        <w:rPr>
          <w:highlight w:val="white"/>
        </w:rPr>
        <w:t>e</w:t>
      </w:r>
      <w:r w:rsidRPr="00A971C6">
        <w:rPr>
          <w:highlight w:val="white"/>
        </w:rPr>
        <w:t>ffect size</w:t>
      </w:r>
      <w:r w:rsidR="00572EFF">
        <w:rPr>
          <w:highlight w:val="white"/>
        </w:rPr>
        <w:t>s</w:t>
      </w:r>
      <w:r w:rsidR="0000278C">
        <w:rPr>
          <w:highlight w:val="white"/>
        </w:rPr>
        <w:t xml:space="preserve"> </w:t>
      </w:r>
      <w:r w:rsidRPr="00A971C6">
        <w:rPr>
          <w:highlight w:val="white"/>
        </w:rPr>
        <w:t>enable scientists to combine, compare and organise extensive literatures using a common measurement scale</w:t>
      </w:r>
      <w:r w:rsidR="00572EFF">
        <w:rPr>
          <w:highlight w:val="white"/>
        </w:rPr>
        <w:t xml:space="preserve">, </w:t>
      </w:r>
      <w:r w:rsidR="00572EFF" w:rsidRPr="00A971C6">
        <w:rPr>
          <w:highlight w:val="white"/>
        </w:rPr>
        <w:t xml:space="preserve">to identify generalities </w:t>
      </w:r>
      <w:r w:rsidR="00572EFF">
        <w:rPr>
          <w:highlight w:val="white"/>
        </w:rPr>
        <w:t>across</w:t>
      </w:r>
      <w:r w:rsidR="00572EFF" w:rsidRPr="00A971C6">
        <w:rPr>
          <w:highlight w:val="white"/>
        </w:rPr>
        <w:t xml:space="preserve"> taxonomic, </w:t>
      </w:r>
      <w:proofErr w:type="gramStart"/>
      <w:r w:rsidR="00572EFF" w:rsidRPr="00A971C6">
        <w:rPr>
          <w:highlight w:val="white"/>
        </w:rPr>
        <w:t>spatial</w:t>
      </w:r>
      <w:proofErr w:type="gramEnd"/>
      <w:r w:rsidR="00572EFF" w:rsidRPr="00A971C6">
        <w:rPr>
          <w:highlight w:val="white"/>
        </w:rPr>
        <w:t xml:space="preserve"> or temporal contexts</w:t>
      </w:r>
      <w:r w:rsidRPr="00A971C6">
        <w:rPr>
          <w:highlight w:val="white"/>
          <w:vertAlign w:val="superscript"/>
        </w:rPr>
        <w:t>11</w:t>
      </w:r>
      <w:r w:rsidRPr="00A971C6">
        <w:rPr>
          <w:highlight w:val="white"/>
        </w:rPr>
        <w:t>.</w:t>
      </w:r>
    </w:p>
    <w:p w14:paraId="660A751D" w14:textId="03873CC8" w:rsidR="00F24A29" w:rsidRDefault="00313CC5">
      <w:pPr>
        <w:rPr>
          <w:highlight w:val="white"/>
        </w:rPr>
      </w:pPr>
      <w:r w:rsidRPr="00A971C6">
        <w:rPr>
          <w:highlight w:val="white"/>
        </w:rPr>
        <w:t xml:space="preserve">Evidence from rigorous quantitative syntheses is considered to represent one of the most methodologically robust sources for testing key ecological hypotheses, disproving or </w:t>
      </w:r>
      <w:r w:rsidR="008B5ADB">
        <w:rPr>
          <w:highlight w:val="white"/>
        </w:rPr>
        <w:t>corroborating</w:t>
      </w:r>
      <w:r w:rsidR="008B5ADB" w:rsidRPr="00A971C6">
        <w:rPr>
          <w:highlight w:val="white"/>
        </w:rPr>
        <w:t xml:space="preserve"> </w:t>
      </w:r>
      <w:r w:rsidRPr="00A971C6">
        <w:rPr>
          <w:highlight w:val="white"/>
        </w:rPr>
        <w:t>theories, and informing environmental decision making</w:t>
      </w:r>
      <w:r w:rsidR="008E158C" w:rsidRPr="00A971C6">
        <w:rPr>
          <w:highlight w:val="white"/>
        </w:rPr>
        <w:fldChar w:fldCharType="begin" w:fldLock="1"/>
      </w:r>
      <w:r w:rsidR="00666ECE">
        <w:rPr>
          <w:highlight w:val="white"/>
        </w:rPr>
        <w:instrText>ADDIN CSL_CITATION {"citationItems":[{"id":"ITEM-1","itemData":{"author":[{"dropping-particle":"","family":"Gurevitch","given":"J.","non-dropping-particle":"","parse-names":false,"suffix":""},{"dropping-particle":"","family":"Koricheva","given":"J.","non-dropping-particle":"","parse-names":false,"suffix":""},{"dropping-particle":"","family":"Nakagawa","given":"S.","non-dropping-particle":"","parse-names":false,"suffix":""},{"dropping-particle":"","family":"Stewart","given":"G.","non-dropping-particle":"","parse-names":false,"suffix":""}],"container-title":"Nature","id":"ITEM-1","issued":{"date-parts":[["2018"]]},"page":"175–182","title":"Meta-analysis and the science of research synthesis","type":"article-journal","volume":"555"},"uris":["http://www.mendeley.com/documents/?uuid=3452e039-e96f-428b-b7c1-7e96421389c2"]},{"id":"ITEM-2","itemData":{"DOI":"10.1002/fee.2320","ISSN":"15409309","abstract":"The fields of ecology and conservation have evolved rapidly over the past century. Synthesizing larger trends in these disciplines remains a challenge yet is critical to bridging subdisciplines, guiding research, and informing educational frameworks. Here, we provide what we believe is the largest full-text culturomic analysis of ecology and conservation journals, covering 80 years, 52 journals, and half a billion words. Our analysis illuminates the boom-and-bust of ecological hypotheses and theories; the adoption of statistical, genetic, and social-science approaches; and the domination of terms that have emerged in recent decades (eg climate change, invasive species, ecosystem services, meta-analysis, and supplementary material, which largely replaced unpublished data). We track the evolution of ecology from a largely descriptive field focused on natural history and observational studies to a more data-driven, multidisciplinary field focused on applied environmental issues. Overall, our analysis highlights the increasing breadth of the field, illustrating that there is room for more diversity of ecologists and conservationists today than ever before.","author":[{"dropping-particle":"","family":"Anderson","given":"Sean C.","non-dropping-particle":"","parse-names":false,"suffix":""},{"dropping-particle":"","family":"Elsen","given":"Paul R.","non-dropping-particle":"","parse-names":false,"suffix":""},{"dropping-particle":"","family":"Hughes","given":"Brent B.","non-dropping-particle":"","parse-names":false,"suffix":""},{"dropping-particle":"","family":"Tonietto","given":"Rebecca K.","non-dropping-particle":"","parse-names":false,"suffix":""},{"dropping-particle":"","family":"Bletz","given":"Molly C.","non-dropping-particle":"","parse-names":false,"suffix":""},{"dropping-particle":"","family":"Gill","given":"David A.","non-dropping-particle":"","parse-names":false,"suffix":""},{"dropping-particle":"","family":"Holgerson","given":"Meredith A.","non-dropping-particle":"","parse-names":false,"suffix":""},{"dropping-particle":"","family":"Kuebbing","given":"Sara E.","non-dropping-particle":"","parse-names":false,"suffix":""},{"dropping-particle":"","family":"McDonough MacKenzie","given":"Caitlin","non-dropping-particle":"","parse-names":false,"suffix":""},{"dropping-particle":"","family":"Meek","given":"Mariah H.","non-dropping-particle":"","parse-names":false,"suffix":""},{"dropping-particle":"","family":"Veríssimo","given":"Diogo","non-dropping-particle":"","parse-names":false,"suffix":""}],"container-title":"Frontiers in Ecology and the Environment","id":"ITEM-2","issue":"5","issued":{"date-parts":[["2021"]]},"page":"274-282","title":"Trends in ecology and conservation over eight decades","type":"article-journal","volume":"19"},"uris":["http://www.mendeley.com/documents/?uuid=173ba571-7d1a-4736-928a-94a66f08a72a"]},{"id":"ITEM-3","itemData":{"DOI":"10.1002/jrsm.1320","ISSN":"17592887","PMID":"30129995","abstract":"This paper critically explores how survey and routinely collected data could aid in assessing the generalisability of public health evidence. We propose developing approaches that could be employed in understanding the relevance of public health evidence, and investigate ways of producing meta-analytic estimates tailored to reflect local circumstances, based on analyses of secondary data. Currently, public health decision makers face challenges in interpreting global review evidence to assess its meaning in local contexts. A lack of clarity on the definition and scope of generalisability, and the absence of consensus on its measurement, has stunted methodological progress. The consequence of failing to tackle generalisability means that systematic review evidence often fails to fulfil its potential contribution in public health decision making. Three approaches to address these problems are considered and emerging challenges discussed: (1) purposeful exploration after a review has been conducted, and we present a framework of potential avenues of enquiry and a worked example; (2) recalibration of the results to weight studies differentially based on their similarity to conditions in an inference population, and we provide a worked example using UK Census data to understand potential differences in the effectiveness of community engagement interventions among sites in England and Wales; (3) purposeful exploration before starting a review to ensure that the findings are relevant to an inference population. The paper aims to demonstrate how a more nuanced treatment of context in reviews of public health interventions could be achieved through greater engagement with existing large sources of secondary data.","author":[{"dropping-particle":"","family":"Kneale","given":"Dylan","non-dropping-particle":"","parse-names":false,"suffix":""},{"dropping-particle":"","family":"Thomas","given":"James","non-dropping-particle":"","parse-names":false,"suffix":""},{"dropping-particle":"","family":"O'Mara-Eves","given":"Alison","non-dropping-particle":"","parse-names":false,"suffix":""},{"dropping-particle":"","family":"Wiggins","given":"Richard","non-dropping-particle":"","parse-names":false,"suffix":""}],"container-title":"Research Synthesis Methods","id":"ITEM-3","issue":"1","issued":{"date-parts":[["2019"]]},"page":"44-56","title":"How can additional secondary data analysis of observational data enhance the generalisability of meta-analytic evidence for local public health decision making?","type":"article-journal","volume":"10"},"uris":["http://www.mendeley.com/documents/?uuid=7d1c4ef3-d732-4484-baa8-d77b0d9ae998"]}],"mendeley":{"formattedCitation":"&lt;sup&gt;9–11&lt;/sup&gt;","plainTextFormattedCitation":"9–11","previouslyFormattedCitation":"&lt;sup&gt;9–11&lt;/sup&gt;"},"properties":{"noteIndex":0},"schema":"https://github.com/citation-style-language/schema/raw/master/csl-citation.json"}</w:instrText>
      </w:r>
      <w:r w:rsidR="008E158C" w:rsidRPr="00A971C6">
        <w:rPr>
          <w:highlight w:val="white"/>
        </w:rPr>
        <w:fldChar w:fldCharType="separate"/>
      </w:r>
      <w:r w:rsidR="00FA67E2" w:rsidRPr="00FA67E2">
        <w:rPr>
          <w:noProof/>
          <w:highlight w:val="white"/>
          <w:vertAlign w:val="superscript"/>
        </w:rPr>
        <w:t>9–11</w:t>
      </w:r>
      <w:r w:rsidR="008E158C" w:rsidRPr="00A971C6">
        <w:rPr>
          <w:highlight w:val="white"/>
        </w:rPr>
        <w:fldChar w:fldCharType="end"/>
      </w:r>
      <w:r w:rsidRPr="00A971C6">
        <w:rPr>
          <w:highlight w:val="white"/>
        </w:rPr>
        <w:t>. Concurrently, an insidious myth persists that the very act of quantitatively synthesising data from diverse studies is enough to warrant claims of generality</w:t>
      </w:r>
      <w:r w:rsidR="00A828E4" w:rsidRPr="00A971C6">
        <w:rPr>
          <w:highlight w:val="white"/>
        </w:rPr>
        <w:t xml:space="preserve"> about effect sizes</w:t>
      </w:r>
      <w:r w:rsidR="008E158C" w:rsidRPr="00A971C6">
        <w:rPr>
          <w:highlight w:val="white"/>
        </w:rPr>
        <w:fldChar w:fldCharType="begin" w:fldLock="1"/>
      </w:r>
      <w:r w:rsidR="00666ECE">
        <w:rPr>
          <w:highlight w:val="white"/>
        </w:rPr>
        <w:instrText>ADDIN CSL_CITATION {"citationItems":[{"id":"ITEM-1","itemData":{"DOI":"10.1177/1094428110375720","ISSN":"10944281","abstract":"Meta-analysis is the dominant approach to research synthesis in the organizational sciences. We discuss seven meta-analytic practices, misconceptions, claims, and assumptions that have reached the status of myths and urban legends (MULs). These seven MULs include issues related to data collection (e.g., consequences of choices made in the process of gathering primary-level studies to be included in a meta-analysis), data analysis (e.g., effects of meta-analytic choices and technical refinements on substantive conclusions and recommendations for practice), and the interpretation of results (e.g., meta-analytic inferences about causal relationships). We provide a critical analysis of each of these seven MULs, including a discussion of why each merits being classified as an MUL, their kernels of truth value, and what part of each MUL represents misunderstanding. As a consequence of discussing each of these seven MULs, we offer best-practice recommendations regarding how to conduct meta-analytic reviews. © The Author(s) 2011.","author":[{"dropping-particle":"","family":"Aguinis","given":"Herman","non-dropping-particle":"","parse-names":false,"suffix":""},{"dropping-particle":"","family":"Pierce","given":"Charles A.","non-dropping-particle":"","parse-names":false,"suffix":""},{"dropping-particle":"","family":"Bosco","given":"Frank A.","non-dropping-particle":"","parse-names":false,"suffix":""},{"dropping-particle":"","family":"Dalton","given":"Dan R.","non-dropping-particle":"","parse-names":false,"suffix":""},{"dropping-particle":"","family":"Dalton","given":"Catherine M.","non-dropping-particle":"","parse-names":false,"suffix":""}],"container-title":"Organizational Research Methods","id":"ITEM-1","issue":"2","issued":{"date-parts":[["2011"]]},"page":"306-331","title":"Debunking myths and urban legends about meta-analysis","type":"article-journal","volume":"14"},"uris":["http://www.mendeley.com/documents/?uuid=9f5d355e-5069-49ae-bc0c-1d9595b26934"]},{"id":"ITEM-2","itemData":{"DOI":"10.1016/j.ijnurstu.2010.06.004","ISSN":"00207489","PMID":"20598692","abstract":"Generalization, which is an act of reasoning that involves drawing broad inferences from particular observations, is widely-acknowledged as a quality standard in quantitative research, but is more controversial in qualitative research. The goal of most qualitative studies is not to generalize but rather to provide a rich, contextualized understanding of some aspect of human experience through the intensive study of particular cases. Yet, in an environment where evidence for improving practice is held in high esteem, generalization in relation to knowledge claims merits careful attention by both qualitative and quantitative researchers. Issues relating to generalization are, however, often ignored or misrepresented by both groups of researchers. Three models of generalization, as proposed in a seminal article by Firestone, are discussed in this paper: classic sample-to-population (statistical) generalization, analytic generalization, and case-to-case transfer (transferability). Suggestions for enhancing the capacity for generalization in terms of all three models are offered. The suggestions cover such issues as planned replication, sampling strategies, systematic reviews, reflexivity and higher-order conceptualization, thick description, mixed methods research, and the RE-AIM framework within pragmatic trials. © 2010 Elsevier Ltd.","author":[{"dropping-particle":"","family":"Polit","given":"Denise F.","non-dropping-particle":"","parse-names":false,"suffix":""},{"dropping-particle":"","family":"Beck","given":"Cheryl Tatano","non-dropping-particle":"","parse-names":false,"suffix":""}],"container-title":"International Journal of Nursing Studies","id":"ITEM-2","issue":"11","issued":{"date-parts":[["2010"]]},"page":"1451-1458","publisher":"Elsevier Ltd","title":"Generalization in quantitative and qualitative research: Myths and strategies","type":"article-journal","volume":"47"},"uris":["http://www.mendeley.com/documents/?uuid=5b19afb3-f7e8-4055-9148-2d0401009f4e"]},{"id":"ITEM-3","itemData":{"DOI":"10.1002/jrsm.1320","ISSN":"17592887","PMID":"30129995","abstract":"This paper critically explores how survey and routinely collected data could aid in assessing the generalisability of public health evidence. We propose developing approaches that could be employed in understanding the relevance of public health evidence, and investigate ways of producing meta-analytic estimates tailored to reflect local circumstances, based on analyses of secondary data. Currently, public health decision makers face challenges in interpreting global review evidence to assess its meaning in local contexts. A lack of clarity on the definition and scope of generalisability, and the absence of consensus on its measurement, has stunted methodological progress. The consequence of failing to tackle generalisability means that systematic review evidence often fails to fulfil its potential contribution in public health decision making. Three approaches to address these problems are considered and emerging challenges discussed: (1) purposeful exploration after a review has been conducted, and we present a framework of potential avenues of enquiry and a worked example; (2) recalibration of the results to weight studies differentially based on their similarity to conditions in an inference population, and we provide a worked example using UK Census data to understand potential differences in the effectiveness of community engagement interventions among sites in England and Wales; (3) purposeful exploration before starting a review to ensure that the findings are relevant to an inference population. The paper aims to demonstrate how a more nuanced treatment of context in reviews of public health interventions could be achieved through greater engagement with existing large sources of secondary data.","author":[{"dropping-particle":"","family":"Kneale","given":"Dylan","non-dropping-particle":"","parse-names":false,"suffix":""},{"dropping-particle":"","family":"Thomas","given":"James","non-dropping-particle":"","parse-names":false,"suffix":""},{"dropping-particle":"","family":"O'Mara-Eves","given":"Alison","non-dropping-particle":"","parse-names":false,"suffix":""},{"dropping-particle":"","family":"Wiggins","given":"Richard","non-dropping-particle":"","parse-names":false,"suffix":""}],"container-title":"Research Synthesis Methods","id":"ITEM-3","issue":"1","issued":{"date-parts":[["2019"]]},"page":"44-56","title":"How can additional secondary data analysis of observational data enhance the generalisability of meta-analytic evidence for local public health decision making?","type":"article-journal","volume":"10"},"uris":["http://www.mendeley.com/documents/?uuid=7d1c4ef3-d732-4484-baa8-d77b0d9ae998"]}],"mendeley":{"formattedCitation":"&lt;sup&gt;11–13&lt;/sup&gt;","plainTextFormattedCitation":"11–13","previouslyFormattedCitation":"&lt;sup&gt;11–13&lt;/sup&gt;"},"properties":{"noteIndex":0},"schema":"https://github.com/citation-style-language/schema/raw/master/csl-citation.json"}</w:instrText>
      </w:r>
      <w:r w:rsidR="008E158C" w:rsidRPr="00A971C6">
        <w:rPr>
          <w:highlight w:val="white"/>
        </w:rPr>
        <w:fldChar w:fldCharType="separate"/>
      </w:r>
      <w:r w:rsidR="00FA67E2" w:rsidRPr="00FA67E2">
        <w:rPr>
          <w:noProof/>
          <w:highlight w:val="white"/>
          <w:vertAlign w:val="superscript"/>
        </w:rPr>
        <w:t>11–13</w:t>
      </w:r>
      <w:r w:rsidR="008E158C" w:rsidRPr="00A971C6">
        <w:rPr>
          <w:highlight w:val="white"/>
        </w:rPr>
        <w:fldChar w:fldCharType="end"/>
      </w:r>
      <w:r w:rsidRPr="00A971C6">
        <w:rPr>
          <w:highlight w:val="white"/>
        </w:rPr>
        <w:t xml:space="preserve">. </w:t>
      </w:r>
      <w:r w:rsidR="0056380A" w:rsidRPr="00A971C6">
        <w:rPr>
          <w:highlight w:val="white"/>
        </w:rPr>
        <w:t>S</w:t>
      </w:r>
      <w:r w:rsidRPr="00A971C6">
        <w:rPr>
          <w:highlight w:val="white"/>
        </w:rPr>
        <w:t>yntheses continue to proliferate in ecology</w:t>
      </w:r>
      <w:r w:rsidR="008E158C" w:rsidRPr="00A971C6">
        <w:rPr>
          <w:highlight w:val="white"/>
        </w:rPr>
        <w:fldChar w:fldCharType="begin" w:fldLock="1"/>
      </w:r>
      <w:r w:rsidR="00666ECE">
        <w:rPr>
          <w:highlight w:val="white"/>
        </w:rPr>
        <w:instrText>ADDIN CSL_CITATION {"citationItems":[{"id":"ITEM-1","itemData":{"DOI":"10.1002/fee.2320","ISSN":"15409309","abstract":"The fields of ecology and conservation have evolved rapidly over the past century. Synthesizing larger trends in these disciplines remains a challenge yet is critical to bridging subdisciplines, guiding research, and informing educational frameworks. Here, we provide what we believe is the largest full-text culturomic analysis of ecology and conservation journals, covering 80 years, 52 journals, and half a billion words. Our analysis illuminates the boom-and-bust of ecological hypotheses and theories; the adoption of statistical, genetic, and social-science approaches; and the domination of terms that have emerged in recent decades (eg climate change, invasive species, ecosystem services, meta-analysis, and supplementary material, which largely replaced unpublished data). We track the evolution of ecology from a largely descriptive field focused on natural history and observational studies to a more data-driven, multidisciplinary field focused on applied environmental issues. Overall, our analysis highlights the increasing breadth of the field, illustrating that there is room for more diversity of ecologists and conservationists today than ever before.","author":[{"dropping-particle":"","family":"Anderson","given":"Sean C.","non-dropping-particle":"","parse-names":false,"suffix":""},{"dropping-particle":"","family":"Elsen","given":"Paul R.","non-dropping-particle":"","parse-names":false,"suffix":""},{"dropping-particle":"","family":"Hughes","given":"Brent B.","non-dropping-particle":"","parse-names":false,"suffix":""},{"dropping-particle":"","family":"Tonietto","given":"Rebecca K.","non-dropping-particle":"","parse-names":false,"suffix":""},{"dropping-particle":"","family":"Bletz","given":"Molly C.","non-dropping-particle":"","parse-names":false,"suffix":""},{"dropping-particle":"","family":"Gill","given":"David A.","non-dropping-particle":"","parse-names":false,"suffix":""},{"dropping-particle":"","family":"Holgerson","given":"Meredith A.","non-dropping-particle":"","parse-names":false,"suffix":""},{"dropping-particle":"","family":"Kuebbing","given":"Sara E.","non-dropping-particle":"","parse-names":false,"suffix":""},{"dropping-particle":"","family":"McDonough MacKenzie","given":"Caitlin","non-dropping-particle":"","parse-names":false,"suffix":""},{"dropping-particle":"","family":"Meek","given":"Mariah H.","non-dropping-particle":"","parse-names":false,"suffix":""},{"dropping-particle":"","family":"Veríssimo","given":"Diogo","non-dropping-particle":"","parse-names":false,"suffix":""}],"container-title":"Frontiers in Ecology and the Environment","id":"ITEM-1","issue":"5","issued":{"date-parts":[["2021"]]},"page":"274-282","title":"Trends in ecology and conservation over eight decades","type":"article-journal","volume":"19"},"uris":["http://www.mendeley.com/documents/?uuid=173ba571-7d1a-4736-928a-94a66f08a72a"]}],"mendeley":{"formattedCitation":"&lt;sup&gt;10&lt;/sup&gt;","plainTextFormattedCitation":"10","previouslyFormattedCitation":"&lt;sup&gt;10&lt;/sup&gt;"},"properties":{"noteIndex":0},"schema":"https://github.com/citation-style-language/schema/raw/master/csl-citation.json"}</w:instrText>
      </w:r>
      <w:r w:rsidR="008E158C" w:rsidRPr="00A971C6">
        <w:rPr>
          <w:highlight w:val="white"/>
        </w:rPr>
        <w:fldChar w:fldCharType="separate"/>
      </w:r>
      <w:r w:rsidR="00FA67E2" w:rsidRPr="00FA67E2">
        <w:rPr>
          <w:noProof/>
          <w:highlight w:val="white"/>
          <w:vertAlign w:val="superscript"/>
        </w:rPr>
        <w:t>10</w:t>
      </w:r>
      <w:r w:rsidR="008E158C" w:rsidRPr="00A971C6">
        <w:rPr>
          <w:highlight w:val="white"/>
        </w:rPr>
        <w:fldChar w:fldCharType="end"/>
      </w:r>
      <w:r w:rsidRPr="00A971C6">
        <w:rPr>
          <w:highlight w:val="white"/>
        </w:rPr>
        <w:t xml:space="preserve">, </w:t>
      </w:r>
      <w:r w:rsidR="0056380A" w:rsidRPr="00A971C6">
        <w:rPr>
          <w:highlight w:val="white"/>
        </w:rPr>
        <w:t xml:space="preserve">and </w:t>
      </w:r>
      <w:r w:rsidR="00C42363" w:rsidRPr="00A971C6">
        <w:rPr>
          <w:highlight w:val="white"/>
        </w:rPr>
        <w:t xml:space="preserve">are </w:t>
      </w:r>
      <w:r w:rsidRPr="00A971C6">
        <w:rPr>
          <w:highlight w:val="white"/>
        </w:rPr>
        <w:t>often associated with high-impact journals and media attention</w:t>
      </w:r>
      <w:r w:rsidR="0056380A" w:rsidRPr="00A971C6">
        <w:rPr>
          <w:highlight w:val="white"/>
        </w:rPr>
        <w:t>,</w:t>
      </w:r>
      <w:r w:rsidRPr="00A971C6">
        <w:rPr>
          <w:highlight w:val="white"/>
        </w:rPr>
        <w:t xml:space="preserve"> for the apparently regional or global reach of their inferences</w:t>
      </w:r>
      <w:r w:rsidR="008E158C" w:rsidRPr="00A971C6">
        <w:rPr>
          <w:highlight w:val="white"/>
        </w:rPr>
        <w:fldChar w:fldCharType="begin" w:fldLock="1"/>
      </w:r>
      <w:r w:rsidR="00666ECE">
        <w:rPr>
          <w:highlight w:val="white"/>
        </w:rPr>
        <w:instrText>ADDIN CSL_CITATION {"citationItems":[{"id":"ITEM-1","itemData":{"DOI":"10.1016/j.biocon.2017.12.021","ISSN":"00063207","abstract":"Recently, a debate has developed over how biodiversity is changing across the planet. While most researchers agree species extinctions are increasing globally due to human activity, some now argue that species richness at local scales is not declining as many biologists have claimed. This argument stems from recent syntheses of time-series data that suggest species richness is decreasing in some locations, increasing in others, but not changing on average. Critics of these syntheses (like us) have argued there are serious limitations of existing time-series datasets and their analyses that preclude meaningful conclusions about local biodiversity change. Specifically, authors of these syntheses have failed to account for several primary drivers of biodiversity change, have relied on data poor time-series that lack baselines needed to detect change, and have unreasonably extrapolated conclusions. Here we summarize the history of this debate, as well as key papers and exchanges that have helped clarify new issues and ideas. To resolve the debate, we suggest future researchers be more clear about the hypotheses of biodiversity change being tested, focus less on amassing large datasets, and more on amassing high-quality datasets that provide unambiguous tests of the hypotheses. Researchers should also keep track of the contributions that native versus non-native species make to biodiversity time trends, as these have different implications for conservation. Lastly, we suggest researchers be aware of pros and cons of using different types of data (e.g., time-series, spatial comparisons), taking care to resolve divergent results among sources to allow broader conclusions about biodiversity change.","author":[{"dropping-particle":"","family":"Cardinale","given":"Bradley J.","non-dropping-particle":"","parse-names":false,"suffix":""},{"dropping-particle":"","family":"Gonzalez","given":"Andrew","non-dropping-particle":"","parse-names":false,"suffix":""},{"dropping-particle":"","family":"Allington","given":"Ginger R.H.","non-dropping-particle":"","parse-names":false,"suffix":""},{"dropping-particle":"","family":"Loreau","given":"Michel","non-dropping-particle":"","parse-names":false,"suffix":""}],"container-title":"Biological Conservation","id":"ITEM-1","issue":"February","issued":{"date-parts":[["2018"]]},"page":"175-183","publisher":"Elsevier","title":"Is local biodiversity declining or not? A summary of the debate over analysis of species richness time trends","type":"article-journal","volume":"219"},"uris":["http://www.mendeley.com/documents/?uuid=e2811e44-2b06-459e-b7e0-f837ec22a712"]}],"mendeley":{"formattedCitation":"&lt;sup&gt;14&lt;/sup&gt;","plainTextFormattedCitation":"14","previouslyFormattedCitation":"&lt;sup&gt;14&lt;/sup&gt;"},"properties":{"noteIndex":0},"schema":"https://github.com/citation-style-language/schema/raw/master/csl-citation.json"}</w:instrText>
      </w:r>
      <w:r w:rsidR="008E158C" w:rsidRPr="00A971C6">
        <w:rPr>
          <w:highlight w:val="white"/>
        </w:rPr>
        <w:fldChar w:fldCharType="separate"/>
      </w:r>
      <w:r w:rsidR="00FA67E2" w:rsidRPr="00FA67E2">
        <w:rPr>
          <w:noProof/>
          <w:highlight w:val="white"/>
          <w:vertAlign w:val="superscript"/>
        </w:rPr>
        <w:t>14</w:t>
      </w:r>
      <w:r w:rsidR="008E158C" w:rsidRPr="00A971C6">
        <w:rPr>
          <w:highlight w:val="white"/>
        </w:rPr>
        <w:fldChar w:fldCharType="end"/>
      </w:r>
      <w:r w:rsidRPr="00A971C6">
        <w:rPr>
          <w:highlight w:val="white"/>
        </w:rPr>
        <w:t xml:space="preserve">. At the same time, </w:t>
      </w:r>
      <w:r w:rsidRPr="00A971C6">
        <w:rPr>
          <w:highlight w:val="white"/>
        </w:rPr>
        <w:lastRenderedPageBreak/>
        <w:t xml:space="preserve">however, they can stimulate </w:t>
      </w:r>
      <w:r w:rsidR="0056380A" w:rsidRPr="00A971C6">
        <w:rPr>
          <w:highlight w:val="white"/>
        </w:rPr>
        <w:t xml:space="preserve">much </w:t>
      </w:r>
      <w:r w:rsidRPr="00A971C6">
        <w:rPr>
          <w:highlight w:val="white"/>
        </w:rPr>
        <w:t xml:space="preserve">scientific debate </w:t>
      </w:r>
      <w:r w:rsidR="0056380A" w:rsidRPr="00A971C6">
        <w:rPr>
          <w:highlight w:val="white"/>
        </w:rPr>
        <w:t xml:space="preserve">on </w:t>
      </w:r>
      <w:r w:rsidRPr="00A971C6">
        <w:rPr>
          <w:highlight w:val="white"/>
        </w:rPr>
        <w:t>biases and interpretatio</w:t>
      </w:r>
      <w:r w:rsidR="00D54C5A" w:rsidRPr="00A971C6">
        <w:rPr>
          <w:highlight w:val="white"/>
        </w:rPr>
        <w:t>n</w:t>
      </w:r>
      <w:r w:rsidR="00D54C5A" w:rsidRPr="00A971C6">
        <w:rPr>
          <w:highlight w:val="white"/>
        </w:rPr>
        <w:fldChar w:fldCharType="begin" w:fldLock="1"/>
      </w:r>
      <w:r w:rsidR="00666ECE">
        <w:rPr>
          <w:highlight w:val="white"/>
        </w:rPr>
        <w:instrText>ADDIN CSL_CITATION {"citationItems":[{"id":"ITEM-1","itemData":{"DOI":"10.1016/j.biocon.2017.12.021","ISSN":"00063207","abstract":"Recently, a debate has developed over how biodiversity is changing across the planet. While most researchers agree species extinctions are increasing globally due to human activity, some now argue that species richness at local scales is not declining as many biologists have claimed. This argument stems from recent syntheses of time-series data that suggest species richness is decreasing in some locations, increasing in others, but not changing on average. Critics of these syntheses (like us) have argued there are serious limitations of existing time-series datasets and their analyses that preclude meaningful conclusions about local biodiversity change. Specifically, authors of these syntheses have failed to account for several primary drivers of biodiversity change, have relied on data poor time-series that lack baselines needed to detect change, and have unreasonably extrapolated conclusions. Here we summarize the history of this debate, as well as key papers and exchanges that have helped clarify new issues and ideas. To resolve the debate, we suggest future researchers be more clear about the hypotheses of biodiversity change being tested, focus less on amassing large datasets, and more on amassing high-quality datasets that provide unambiguous tests of the hypotheses. Researchers should also keep track of the contributions that native versus non-native species make to biodiversity time trends, as these have different implications for conservation. Lastly, we suggest researchers be aware of pros and cons of using different types of data (e.g., time-series, spatial comparisons), taking care to resolve divergent results among sources to allow broader conclusions about biodiversity change.","author":[{"dropping-particle":"","family":"Cardinale","given":"Bradley J.","non-dropping-particle":"","parse-names":false,"suffix":""},{"dropping-particle":"","family":"Gonzalez","given":"Andrew","non-dropping-particle":"","parse-names":false,"suffix":""},{"dropping-particle":"","family":"Allington","given":"Ginger R.H.","non-dropping-particle":"","parse-names":false,"suffix":""},{"dropping-particle":"","family":"Loreau","given":"Michel","non-dropping-particle":"","parse-names":false,"suffix":""}],"container-title":"Biological Conservation","id":"ITEM-1","issue":"February","issued":{"date-parts":[["2018"]]},"page":"175-183","publisher":"Elsevier","title":"Is local biodiversity declining or not? A summary of the debate over analysis of species richness time trends","type":"article-journal","volume":"219"},"uris":["http://www.mendeley.com/documents/?uuid=e2811e44-2b06-459e-b7e0-f837ec22a712"]}],"mendeley":{"formattedCitation":"&lt;sup&gt;14&lt;/sup&gt;","plainTextFormattedCitation":"14","previouslyFormattedCitation":"&lt;sup&gt;14&lt;/sup&gt;"},"properties":{"noteIndex":0},"schema":"https://github.com/citation-style-language/schema/raw/master/csl-citation.json"}</w:instrText>
      </w:r>
      <w:r w:rsidR="00D54C5A" w:rsidRPr="00A971C6">
        <w:rPr>
          <w:highlight w:val="white"/>
        </w:rPr>
        <w:fldChar w:fldCharType="separate"/>
      </w:r>
      <w:r w:rsidR="00FA67E2" w:rsidRPr="00FA67E2">
        <w:rPr>
          <w:noProof/>
          <w:highlight w:val="white"/>
          <w:vertAlign w:val="superscript"/>
        </w:rPr>
        <w:t>14</w:t>
      </w:r>
      <w:r w:rsidR="00D54C5A" w:rsidRPr="00A971C6">
        <w:rPr>
          <w:highlight w:val="white"/>
        </w:rPr>
        <w:fldChar w:fldCharType="end"/>
      </w:r>
      <w:r w:rsidRPr="00A971C6">
        <w:rPr>
          <w:highlight w:val="white"/>
        </w:rPr>
        <w:t xml:space="preserve">. Here we argue that current approaches to quantitative synthesis often fail to </w:t>
      </w:r>
      <w:r w:rsidRPr="002B1EEE">
        <w:t xml:space="preserve">make valid inferences about the generality of effect </w:t>
      </w:r>
      <w:proofErr w:type="gramStart"/>
      <w:r w:rsidRPr="002B1EEE">
        <w:t>sizes</w:t>
      </w:r>
      <w:r w:rsidR="003F6C51" w:rsidRPr="00A971C6">
        <w:t>, or</w:t>
      </w:r>
      <w:proofErr w:type="gramEnd"/>
      <w:r w:rsidR="003F6C51" w:rsidRPr="00A971C6">
        <w:t xml:space="preserve"> allow such inferences to be drawn by readers</w:t>
      </w:r>
      <w:r w:rsidRPr="00A971C6">
        <w:rPr>
          <w:highlight w:val="white"/>
        </w:rPr>
        <w:t xml:space="preserve">. </w:t>
      </w:r>
    </w:p>
    <w:p w14:paraId="3123D237" w14:textId="77777777" w:rsidR="00284127" w:rsidRPr="00A971C6" w:rsidRDefault="00284127" w:rsidP="00284127">
      <w:pPr>
        <w:pStyle w:val="Heading1"/>
        <w:rPr>
          <w:highlight w:val="white"/>
        </w:rPr>
      </w:pPr>
      <w:r>
        <w:rPr>
          <w:highlight w:val="white"/>
        </w:rPr>
        <w:t>ASSESSING GENERALITY</w:t>
      </w:r>
    </w:p>
    <w:p w14:paraId="0E03D1F4" w14:textId="7549E2BF" w:rsidR="009170E7" w:rsidRDefault="1D18E6E7">
      <w:r>
        <w:t xml:space="preserve">Any assessment of generality requires two decisions: i) what type of generality we wish to pursue, defined by the particular target context (the population or unit of observation of interest), and ii) the </w:t>
      </w:r>
      <w:proofErr w:type="spellStart"/>
      <w:r>
        <w:t>estimand</w:t>
      </w:r>
      <w:proofErr w:type="spellEnd"/>
      <w:r>
        <w:t xml:space="preserve"> of interest: the quantity we have estimated from a sample, based on our research question, and that we wish to predict in the target context</w:t>
      </w:r>
      <w:r w:rsidR="00313CC5">
        <w:fldChar w:fldCharType="begin" w:fldLock="1"/>
      </w:r>
      <w:r w:rsidR="00313CC5">
        <w:instrText>ADDIN CSL_CITATION {"citationItems":[{"id":"ITEM-1","itemData":{"DOI":"10.1177/00031224211004187","ISSN":"19398271","abstract":"We make only one point in this article. Every quantitative study must be able to answer the question: what is your estimand? The estimand is the target quantity—the purpose of the statistical analysis. Much attention is already placed on how to do estimation; a similar degree of care should be given to defining the thing we are estimating. We advocate that authors state the central quantity of each analysis—the theoretical estimand—in precise terms that exist outside of any statistical model. In our framework, researchers do three things: (1) set a theoretical estimand, clearly connecting this quantity to theory; (2) link to an empirical estimand, which is informative about the theoretical estimand under some identification assumptions; and (3) learn from data. Adding precise estimands to research practice expands the space of theoretical questions, clarifies how evidence can speak to those questions, and unlocks new tools for estimation. By grounding all three steps in a precise statement of the target quantity, our framework connects statistical evidence to theory.","author":[{"dropping-particle":"","family":"Lundberg","given":"Ian","non-dropping-particle":"","parse-names":false,"suffix":""},{"dropping-particle":"","family":"Johnson","given":"Rebecca","non-dropping-particle":"","parse-names":false,"suffix":""},{"dropping-particle":"","family":"Stewart","given":"Brandon M.","non-dropping-particle":"","parse-names":false,"suffix":""}],"container-title":"American Sociological Review","id":"ITEM-1","issue":"3","issued":{"date-parts":[["2021"]]},"page":"532-565","title":"What Is Your Estimand? Defining the Target Quantity Connects Statistical Evidence to Theory","type":"article-journal","volume":"86"},"uris":["http://www.mendeley.com/documents/?uuid=3ecfb57e-abe3-422e-bf96-21ff6b08c747"]},{"id":"ITEM-2","itemData":{"DOI":"10.1186/s41687-020-00218-5","ISSN":"25098020","abstract":"Background: Published in 2019, a new addendum to the ICH E9 guideline presents the estimand framework as a systematic approach to ensure alignment among clinical trial objectives, trial execution/conduct, statistical analyses, and interpretation of results. The use of the estimand framework for describing clinical trial objectives has yet to be extensively considered in the context of patient-reported outcomes (PROs). We discuss the application of the estimand framework to PRO objectives when designing clinical trials in the future, with a focus on PRO outcomes in oncology trial settings as our example. Main: We describe the components of an estimand and take a naïve PRO trial objective to illustrate how to apply attributes described in the estimand framework to inform construction of a detailed clinical trial objective and its related estimand. We discuss identifying potential post-randomization events that alter the interpretation of the endpoint or render its observation impossible (also defined as intercurrent events) in the context of PRO endpoints, and the implications of how to handle intercurrent events in the construction of the PRO objective. Using a simple objective statement, “What is the effect of treatment X on patient’s quality of life?”, we build up an example estimand statement and also use a previously published phase III oncology clinical trial to illustrate how an estimand for a PRO objective could have been written to align to the estimate framework. Conclusion: The use of the estimand framework, as described in the new ICH E9 (R1) addendum guideline will become a key common framework for developing clinical trial objectives for evaluating effects of treatment. In the context of considering PROs, the framework provides an opportunity to more precisely specify and build the rationale for patient-focused objectives. This will help to ensure that clinical trials used for registration are designed and analysed appropriately, enabling all stakeholders to accurately interpret conclusions about the treatment effects for patient-focused outcomes.","author":[{"dropping-particle":"","family":"Lawrance","given":"Rachael","non-dropping-particle":"","parse-names":false,"suffix":""},{"dropping-particle":"","family":"Degtyarev","given":"Evgeny","non-dropping-particle":"","parse-names":false,"suffix":""},{"dropping-particle":"","family":"Griffiths","given":"Philip","non-dropping-particle":"","parse-names":false,"suffix":""},{"dropping-particle":"","family":"Trask","given":"Peter","non-dropping-particle":"","parse-names":false,"suffix":""},{"dropping-particle":"","family":"Lau","given":"Helen","non-dropping-particle":"","parse-names":false,"suffix":""},{"dropping-particle":"","family":"D’Alessio","given":"Denise","non-dropping-particle":"","parse-names":false,"suffix":""},{"dropping-particle":"","family":"Griebsch","given":"Ingolf","non-dropping-particle":"","parse-names":false,"suffix":""},{"dropping-particle":"","family":"Wallenstein","given":"Gudrun","non-dropping-particle":"","parse-names":false,"suffix":""},{"dropping-particle":"","family":"Cocks","given":"Kim","non-dropping-particle":"","parse-names":false,"suffix":""},{"dropping-particle":"","family":"Rufibach","given":"Kaspar","non-dropping-particle":"","parse-names":false,"suffix":""}],"container-title":"Journal of Patient-Reported Outcomes","id":"ITEM-2","issue":"1","issued":{"date-parts":[["2020"]]},"publisher":"Journal of Patient-Reported Outcomes","title":"What is an estimand &amp; how does it relate to quantifying the effect of treatment on patient-reported quality of life outcomes in clinical trials?","type":"article-journal","volume":"4"},"uris":["http://www.mendeley.com/documents/?uuid=90990c3b-31dd-433d-8da5-e0434b34e7d3"]}],"mendeley":{"formattedCitation":"&lt;sup&gt;15,16&lt;/sup&gt;","plainTextFormattedCitation":"15,16","previouslyFormattedCitation":"&lt;sup&gt;15,16&lt;/sup&gt;"},"properties":{"noteIndex":0},"schema":"https://github.com/citation-style-language/schema/raw/master/csl-citation.json"}</w:instrText>
      </w:r>
      <w:r w:rsidR="00313CC5">
        <w:fldChar w:fldCharType="separate"/>
      </w:r>
      <w:r w:rsidRPr="1D18E6E7">
        <w:rPr>
          <w:noProof/>
          <w:vertAlign w:val="superscript"/>
        </w:rPr>
        <w:t>15,16</w:t>
      </w:r>
      <w:r w:rsidR="00313CC5">
        <w:fldChar w:fldCharType="end"/>
      </w:r>
      <w:r>
        <w:t xml:space="preserve">. Human behavioural and health disciplines tend to define generality, or more formally, ‘external validity’ as the extent to which </w:t>
      </w:r>
      <w:proofErr w:type="spellStart"/>
      <w:r>
        <w:t>estimands</w:t>
      </w:r>
      <w:proofErr w:type="spellEnd"/>
      <w:r>
        <w:t xml:space="preserve"> drawn from a studied sample can be used to predict the same </w:t>
      </w:r>
      <w:proofErr w:type="spellStart"/>
      <w:r>
        <w:t>estimands</w:t>
      </w:r>
      <w:proofErr w:type="spellEnd"/>
      <w:r>
        <w:t xml:space="preserve"> of a broader population or other target contexts. The </w:t>
      </w:r>
      <w:proofErr w:type="spellStart"/>
      <w:r>
        <w:t>estimand</w:t>
      </w:r>
      <w:proofErr w:type="spellEnd"/>
      <w:r>
        <w:t xml:space="preserve"> might be a descriptive sample statistic of a variable of interest (</w:t>
      </w:r>
      <w:proofErr w:type="gramStart"/>
      <w:r>
        <w:t>e.g.</w:t>
      </w:r>
      <w:proofErr w:type="gramEnd"/>
      <w:r>
        <w:t xml:space="preserve"> mean, variance of species richness), or a measure denoting the magnitude and/or direction of a particular effect (e.g., difference in mean species richness of logged and unlogged forest stands) for a specified individual unit or population. We focus on the latter in this review.</w:t>
      </w:r>
    </w:p>
    <w:p w14:paraId="3A3BCFFF" w14:textId="592D8588" w:rsidR="00F24A29" w:rsidRPr="00A971C6" w:rsidRDefault="1D18E6E7">
      <w:r>
        <w:t xml:space="preserve">In contrast, </w:t>
      </w:r>
      <w:r w:rsidRPr="1D18E6E7">
        <w:rPr>
          <w:highlight w:val="white"/>
        </w:rPr>
        <w:t xml:space="preserve">generality is rarely defined in ecology, with researchers often discussing the degree to which study ‘findings’, or ‘results’ can be ‘transferred’, ‘extrapolated’, ‘generalised’, ‘applied’ or ‘are relevant’ to other contexts. </w:t>
      </w:r>
      <w:r>
        <w:t>Figure 1 summarises two types of generality: generalisability and transferability</w:t>
      </w:r>
      <w:r w:rsidR="00313CC5">
        <w:fldChar w:fldCharType="begin" w:fldLock="1"/>
      </w:r>
      <w:r w:rsidR="00313CC5">
        <w:instrText>ADDIN CSL_CITATION {"citationItems":[{"id":"ITEM-1","itemData":{"DOI":"10.1016/B978-0-08-044894-7.01700-0","ISBN":"9780080448947","abstract":"External validity refers to the generalizability of an association with respect to four universes: experimental units (. U), treatments (. T), outcomes (. O), and settings (. S). Three main generalizability questions are distinguished: (1) To what universes can an association be generalized based on the manifest instances present in a particular study (i.e., representativeness)? (2) Across which universes (or subuniverses) can an association be generalized (i.e., robustness and moderating conditions)? (3) To what yet-unstudied universes can an association be generalized (i.e., extrapolation)? The limitations of statistical sampling theory to answer important generalizability questions are discussed and pragmatic alternative approaches are introduced - including purposive sampling, analog models, technology transfer models, meta-analysis, and Cook's five pragmatic principles. © 2010 Elsevier Ltd. All rights reserved.","author":[{"dropping-particle":"","family":"Findley","given":"M.G.","non-dropping-particle":"","parse-names":false,"suffix":""},{"dropping-particle":"","family":"Kikuta","given":"K.","non-dropping-particle":"","parse-names":false,"suffix":""},{"dropping-particle":"","family":"Denly","given":"M.","non-dropping-particle":"","parse-names":false,"suffix":""}],"container-title":"Annual Review ofPolitical Science","id":"ITEM-1","issued":{"date-parts":[["2021"]]},"page":"365-393","title":"External validity","type":"article-journal","volume":"24"},"uris":["http://www.mendeley.com/documents/?uuid=540d3bbf-06d3-4937-bc34-1cd601f9167f"]},{"id":"ITEM-2","itemData":{"DOI":"10.1214/14-STS486","ISSN":"08834237","abstract":"The generalizability of empirical findings to new environments, settings or populations, often called \"external validity,\" is essential in most scientific explorations. This paper treats a particular problem of generalizability, called \"transportability,\" defined as a license to transfer causal effects learned in experimental studies to a new population, in which only observational studies can be conducted. We introduce a formal representation called \"selection diagrams\" for expressing knowledge about differences and commonalities between populations of interest and, using this representation, we reduce questions of transportability to symbolic derivations in the docalculus. This reduction yields graph-based procedures for deciding, prior to observing any data, whether causal effects in the target population can be inferred from experimental findings in the study population. When the answer is affirmative, the procedures identify what experimental and observational findings need be obtained from the two populations, and how they can be combined to ensure bias-free transport.","author":[{"dropping-particle":"","family":"Pearl","given":"Judea","non-dropping-particle":"","parse-names":false,"suffix":""},{"dropping-particle":"","family":"Bareinboim","given":"Elias","non-dropping-particle":"","parse-names":false,"suffix":""}],"container-title":"Statistical Science","id":"ITEM-2","issue":"4","issued":{"date-parts":[["2014"]]},"page":"579-595","title":"External validity: From do-calculus to transportability across populations","type":"article-journal","volume":"29"},"uris":["http://www.mendeley.com/documents/?uuid=59d7d716-fd5c-4e5a-8644-101be46386e0"]},{"id":"ITEM-3","itemData":{"DOI":"10.1016/j.ijnurstu.2010.06.004","ISSN":"00207489","PMID":"20598692","abstract":"Generalization, which is an act of reasoning that involves drawing broad inferences from particular observations, is widely-acknowledged as a quality standard in quantitative research, but is more controversial in qualitative research. The goal of most qualitative studies is not to generalize but rather to provide a rich, contextualized understanding of some aspect of human experience through the intensive study of particular cases. Yet, in an environment where evidence for improving practice is held in high esteem, generalization in relation to knowledge claims merits careful attention by both qualitative and quantitative researchers. Issues relating to generalization are, however, often ignored or misrepresented by both groups of researchers. Three models of generalization, as proposed in a seminal article by Firestone, are discussed in this paper: classic sample-to-population (statistical) generalization, analytic generalization, and case-to-case transfer (transferability). Suggestions for enhancing the capacity for generalization in terms of all three models are offered. The suggestions cover such issues as planned replication, sampling strategies, systematic reviews, reflexivity and higher-order conceptualization, thick description, mixed methods research, and the RE-AIM framework within pragmatic trials. © 2010 Elsevier Ltd.","author":[{"dropping-particle":"","family":"Polit","given":"Denise F.","non-dropping-particle":"","parse-names":false,"suffix":""},{"dropping-particle":"","family":"Beck","given":"Cheryl Tatano","non-dropping-particle":"","parse-names":false,"suffix":""}],"container-title":"International Journal of Nursing Studies","id":"ITEM-3","issue":"11","issued":{"date-parts":[["2010"]]},"page":"1451-1458","publisher":"Elsevier Ltd","title":"Generalization in quantitative and qualitative research: Myths and strategies","type":"article-journal","volume":"47"},"uris":["http://www.mendeley.com/documents/?uuid=5b19afb3-f7e8-4055-9148-2d0401009f4e"]}],"mendeley":{"formattedCitation":"&lt;sup&gt;13,17,18&lt;/sup&gt;","plainTextFormattedCitation":"13,17,18","previouslyFormattedCitation":"&lt;sup&gt;13,17,18&lt;/sup&gt;"},"properties":{"noteIndex":0},"schema":"https://github.com/citation-style-language/schema/raw/master/csl-citation.json"}</w:instrText>
      </w:r>
      <w:r w:rsidR="00313CC5">
        <w:fldChar w:fldCharType="separate"/>
      </w:r>
      <w:r w:rsidRPr="1D18E6E7">
        <w:rPr>
          <w:noProof/>
          <w:vertAlign w:val="superscript"/>
        </w:rPr>
        <w:t>13,17,18</w:t>
      </w:r>
      <w:r w:rsidR="00313CC5">
        <w:fldChar w:fldCharType="end"/>
      </w:r>
      <w:r>
        <w:t xml:space="preserve">. Generalisability concerns the validity of extending an inference about an </w:t>
      </w:r>
      <w:proofErr w:type="spellStart"/>
      <w:r>
        <w:t>estimand</w:t>
      </w:r>
      <w:proofErr w:type="spellEnd"/>
      <w:r>
        <w:t xml:space="preserve"> from the sample to the sampled population. For example, ecologists might reasonably conclude that the mean effect of forest logging on understory vegetation observed in a randomly selected sample of independent forest stands in a national park in central Japan represents the mean effect across all forest stands in the park. Extending inferences beyond the sampled population extends the scope of statistical inference to different sampling units or a spatiotemporally different population of units. The validity of this extension is termed ‘transferability’</w:t>
      </w:r>
      <w:r w:rsidR="00313CC5">
        <w:fldChar w:fldCharType="begin" w:fldLock="1"/>
      </w:r>
      <w:r w:rsidR="00313CC5">
        <w:instrText>ADDIN CSL_CITATION {"citationItems":[{"id":"ITEM-1","itemData":{"DOI":"10.1214/14-STS486","ISSN":"08834237","abstract":"The generalizability of empirical findings to new environments, settings or populations, often called \"external validity,\" is essential in most scientific explorations. This paper treats a particular problem of generalizability, called \"transportability,\" defined as a license to transfer causal effects learned in experimental studies to a new population, in which only observational studies can be conducted. We introduce a formal representation called \"selection diagrams\" for expressing knowledge about differences and commonalities between populations of interest and, using this representation, we reduce questions of transportability to symbolic derivations in the docalculus. This reduction yields graph-based procedures for deciding, prior to observing any data, whether causal effects in the target population can be inferred from experimental findings in the study population. When the answer is affirmative, the procedures identify what experimental and observational findings need be obtained from the two populations, and how they can be combined to ensure bias-free transport.","author":[{"dropping-particle":"","family":"Pearl","given":"Judea","non-dropping-particle":"","parse-names":false,"suffix":""},{"dropping-particle":"","family":"Bareinboim","given":"Elias","non-dropping-particle":"","parse-names":false,"suffix":""}],"container-title":"Statistical Science","id":"ITEM-1","issue":"4","issued":{"date-parts":[["2014"]]},"page":"579-595","title":"External validity: From do-calculus to transportability across populations","type":"article-journal","volume":"29"},"uris":["http://www.mendeley.com/documents/?uuid=59d7d716-fd5c-4e5a-8644-101be46386e0"]},{"id":"ITEM-2","itemData":{"DOI":"10.1093/aje/kwy228","ISSN":"14766256","PMID":"30299451","abstract":"In recent years, increasing attention has been paid to problems of external validity, specifically to methodological approaches for both quantitative generalizability and transportability of study results. However, most approaches to these issues have considered external validity separately from internal validity. Here we argue that considering either internal or external validity in isolation may be problematic. Further, we argue that a joint measure of the validity of an effect estimate with respect to a specific population of interest may be more useful: We call this proposed measure target validity. In this work, we introduce and formally define target bias as the total difference between the true causal effect in the target population and the estimated causal effect in the study sample, and target validity as target bias = 0. We illustrate this measure with a series of examples and show how this measure may help us to think more clearly about comparisons between experimental and nonexperimental research results. Specifically, we show that even perfect internal validity does not ensure that a causal effect will be unbiased in a specific target population.","author":[{"dropping-particle":"","family":"Westreich","given":"Daniel","non-dropping-particle":"","parse-names":false,"suffix":""},{"dropping-particle":"","family":"Edwards","given":"Jessie K.","non-dropping-particle":"","parse-names":false,"suffix":""},{"dropping-particle":"","family":"Lesko","given":"Catherine R.","non-dropping-particle":"","parse-names":false,"suffix":""},{"dropping-particle":"","family":"Cole","given":"Stephen R.","non-dropping-particle":"","parse-names":false,"suffix":""},{"dropping-particle":"","family":"Stuart","given":"Elizabeth A.","non-dropping-particle":"","parse-names":false,"suffix":""}],"container-title":"American Journal of Epidemiology","id":"ITEM-2","issue":"2","issued":{"date-parts":[["2019"]]},"page":"438-443","title":"Target Validity and the Hierarchy of Study Designs","type":"article-journal","volume":"188"},"uris":["http://www.mendeley.com/documents/?uuid=e8a09feb-3045-4cbd-9c92-4a542a056439"]}],"mendeley":{"formattedCitation":"&lt;sup&gt;18,19&lt;/sup&gt;","plainTextFormattedCitation":"18,19","previouslyFormattedCitation":"&lt;sup&gt;18,19&lt;/sup&gt;"},"properties":{"noteIndex":0},"schema":"https://github.com/citation-style-language/schema/raw/master/csl-citation.json"}</w:instrText>
      </w:r>
      <w:r w:rsidR="00313CC5">
        <w:fldChar w:fldCharType="separate"/>
      </w:r>
      <w:r w:rsidRPr="1D18E6E7">
        <w:rPr>
          <w:noProof/>
          <w:vertAlign w:val="superscript"/>
        </w:rPr>
        <w:t>18,19</w:t>
      </w:r>
      <w:r w:rsidR="00313CC5">
        <w:fldChar w:fldCharType="end"/>
      </w:r>
      <w:r>
        <w:t xml:space="preserve">. For example, one might predict a similar effect of logging to that observed in central Japan for a similar forest type in the UK. </w:t>
      </w:r>
      <w:r w:rsidR="00E535B9">
        <w:t xml:space="preserve">The validity or bias of this transfer could be defined as the accuracy of an </w:t>
      </w:r>
      <w:proofErr w:type="spellStart"/>
      <w:r w:rsidR="00E535B9">
        <w:t>estimand</w:t>
      </w:r>
      <w:proofErr w:type="spellEnd"/>
      <w:r w:rsidR="00E535B9">
        <w:t xml:space="preserve"> in a target context, quantified by the difference between the transferred </w:t>
      </w:r>
      <w:proofErr w:type="spellStart"/>
      <w:r w:rsidR="00E535B9">
        <w:t>estimand</w:t>
      </w:r>
      <w:proofErr w:type="spellEnd"/>
      <w:r w:rsidR="00E535B9">
        <w:t xml:space="preserve"> and the ‘true’ </w:t>
      </w:r>
      <w:proofErr w:type="spellStart"/>
      <w:r w:rsidR="00E535B9">
        <w:t>estimand</w:t>
      </w:r>
      <w:proofErr w:type="spellEnd"/>
      <w:r w:rsidR="00E535B9">
        <w:t>.</w:t>
      </w:r>
    </w:p>
    <w:p w14:paraId="617A69EE" w14:textId="63123336" w:rsidR="00F24A29" w:rsidRDefault="00313CC5" w:rsidP="004B3AC7">
      <w:pPr>
        <w:spacing w:before="240" w:after="240"/>
      </w:pPr>
      <w:r>
        <w:lastRenderedPageBreak/>
        <w:t xml:space="preserve">Ecologists’ </w:t>
      </w:r>
      <w:r w:rsidR="00CD3FF3">
        <w:t>statements concerning</w:t>
      </w:r>
      <w:r>
        <w:t xml:space="preserve"> generality in both primary case studies and syntheses often </w:t>
      </w:r>
      <w:r w:rsidR="00CD3FF3">
        <w:t xml:space="preserve">do not use </w:t>
      </w:r>
      <w:r>
        <w:t>formal definitions of generality, and</w:t>
      </w:r>
      <w:r w:rsidR="0019390D">
        <w:t xml:space="preserve">, in our </w:t>
      </w:r>
      <w:r w:rsidR="00952883">
        <w:t>experience</w:t>
      </w:r>
      <w:r w:rsidR="0019390D">
        <w:t>,</w:t>
      </w:r>
      <w:r>
        <w:t xml:space="preserve"> usually gloss over the assessments required to individuate both the studied context and the target context over which to transfer specific </w:t>
      </w:r>
      <w:proofErr w:type="spellStart"/>
      <w:r>
        <w:t>estimands</w:t>
      </w:r>
      <w:proofErr w:type="spellEnd"/>
      <w:r>
        <w:t xml:space="preserve"> of interest. In quantitative synthesis, the </w:t>
      </w:r>
      <w:proofErr w:type="spellStart"/>
      <w:r w:rsidR="00952883" w:rsidRPr="00952883">
        <w:t>estimand</w:t>
      </w:r>
      <w:proofErr w:type="spellEnd"/>
      <w:r w:rsidR="00952883" w:rsidRPr="00952883">
        <w:t xml:space="preserve"> is the target of estimation by an effect-size metric</w:t>
      </w:r>
      <w:r>
        <w:t>. A recurrent criticism is that combining effect sizes from very different contexts (</w:t>
      </w:r>
      <w:r w:rsidR="009F74B0">
        <w:t>‘</w:t>
      </w:r>
      <w:r>
        <w:t>mixing apples with oranges’) makes for questionable interpretability of overall ecological effects</w:t>
      </w:r>
      <w:r w:rsidR="00055362">
        <w:fldChar w:fldCharType="begin" w:fldLock="1"/>
      </w:r>
      <w:r w:rsidR="00666ECE">
        <w:instrText>ADDIN CSL_CITATION {"citationItems":[{"id":"ITEM-1","itemData":{"DOI":"10.1093/hcr/hqz018","ISSN":"14682958","abstract":"This essay attempts to describe the apples and oranges problem in meta-analyses. Essentially, some meta-analyses combine original studies of various variables that are not the same pairs of variables. Metaphorically, they meta-analyze the effects of fruit when they should conduct separate meta-analyses of apples and oranges. This practice is inconsistent with the assumptions behind the meta-analytic formulae concerning sampling error and makes meta-analytic estimates difficult to interpret. Meta-analysis teams are advised to justify their choices and types of evidence are described to assist researchers and reviewers in assessing and justifying when constructs can and cannot be combined together in a meta-analysis.","author":[{"dropping-particle":"","family":"Carpenter","given":"Christopher J.","non-dropping-particle":"","parse-names":false,"suffix":""}],"container-title":"Human Communication Research","id":"ITEM-1","issue":"2-3","issued":{"date-parts":[["2020"]]},"page":"322-333","title":"Meta-analyzing apples and oranges: How to make applesauce instead of fruit salad","type":"article-journal","volume":"46"},"uris":["http://www.mendeley.com/documents/?uuid=91fc10aa-f569-454d-982e-ee1c1cddd8a0"]}],"mendeley":{"formattedCitation":"&lt;sup&gt;20&lt;/sup&gt;","plainTextFormattedCitation":"20","previouslyFormattedCitation":"&lt;sup&gt;20&lt;/sup&gt;"},"properties":{"noteIndex":0},"schema":"https://github.com/citation-style-language/schema/raw/master/csl-citation.json"}</w:instrText>
      </w:r>
      <w:r w:rsidR="00055362">
        <w:fldChar w:fldCharType="separate"/>
      </w:r>
      <w:r w:rsidR="00FA67E2" w:rsidRPr="00FA67E2">
        <w:rPr>
          <w:noProof/>
          <w:vertAlign w:val="superscript"/>
        </w:rPr>
        <w:t>20</w:t>
      </w:r>
      <w:r w:rsidR="00055362">
        <w:fldChar w:fldCharType="end"/>
      </w:r>
      <w:r>
        <w:t>, leaving us with precise answers to vague questions</w:t>
      </w:r>
      <w:r w:rsidR="00055362">
        <w:fldChar w:fldCharType="begin" w:fldLock="1"/>
      </w:r>
      <w:r w:rsidR="00666ECE">
        <w:instrText>ADDIN CSL_CITATION {"citationItems":[{"id":"ITEM-1","itemData":{"DOI":"10.1177/25152459211007368","ISSN":"25152467","abstract":"Psychological theories often invoke interactions but remain vague regarding the details. As a consequence, researchers may not know how to properly test them and may potentially run analyses that reliably return the wrong answer to their research question. We discuss three major issues regarding the prediction and interpretation of interactions. First, interactions can be removable in the sense that they appear or disappear depending on scaling decisions, with consequences for a variety of situations (e.g., binary or categorical outcomes, bounded scales with floor and ceiling effects). Second, interactions may be conceptualized as changes in slope or changes in correlations, and because these two phenomena do not necessarily coincide, researchers might draw wrong conclusions. Third, interactions may or may not be causally identified, and this determines which interpretations are valid. Researchers who remain unaware of these distinctions might accidentally analyze their data in a manner that returns the technically correct answer to the wrong question. We illustrate all issues with examples from psychology and issue recommendations for how to best address them in a productive manner.","author":[{"dropping-particle":"","family":"Rohrer","given":"Julia M.","non-dropping-particle":"","parse-names":false,"suffix":""},{"dropping-particle":"","family":"Arslan","given":"Ruben C.","non-dropping-particle":"","parse-names":false,"suffix":""}],"container-title":"Advances in Methods and Practices in Psychological Science","id":"ITEM-1","issue":"2","issued":{"date-parts":[["2021"]]},"title":"Precise Answers to Vague Questions: Issues With Interactions","type":"article-journal","volume":"4"},"uris":["http://www.mendeley.com/documents/?uuid=c95a8d4b-d2d0-441f-87d1-ea046683e51b"]}],"mendeley":{"formattedCitation":"&lt;sup&gt;21&lt;/sup&gt;","plainTextFormattedCitation":"21","previouslyFormattedCitation":"&lt;sup&gt;21&lt;/sup&gt;"},"properties":{"noteIndex":0},"schema":"https://github.com/citation-style-language/schema/raw/master/csl-citation.json"}</w:instrText>
      </w:r>
      <w:r w:rsidR="00055362">
        <w:fldChar w:fldCharType="separate"/>
      </w:r>
      <w:r w:rsidR="00FA67E2" w:rsidRPr="00FA67E2">
        <w:rPr>
          <w:noProof/>
          <w:vertAlign w:val="superscript"/>
        </w:rPr>
        <w:t>21</w:t>
      </w:r>
      <w:r w:rsidR="00055362">
        <w:fldChar w:fldCharType="end"/>
      </w:r>
      <w:r>
        <w:t xml:space="preserve">. We argue that the direction of progress in synthesis science needs resetting to enable the valid transfer of </w:t>
      </w:r>
      <w:proofErr w:type="spellStart"/>
      <w:r>
        <w:t>estimands</w:t>
      </w:r>
      <w:proofErr w:type="spellEnd"/>
      <w:r>
        <w:t xml:space="preserve"> in ecology. Determining the criteria or conditions that permit transfer to a specific target context is a research </w:t>
      </w:r>
      <w:proofErr w:type="gramStart"/>
      <w:r>
        <w:t>agenda in its own right</w:t>
      </w:r>
      <w:proofErr w:type="gramEnd"/>
      <w:r>
        <w:t xml:space="preserve">. </w:t>
      </w:r>
      <w:bookmarkStart w:id="4" w:name="_Hlk100578161"/>
      <w:r>
        <w:t xml:space="preserve">In this </w:t>
      </w:r>
      <w:r w:rsidR="00F8220F">
        <w:t>Perspective</w:t>
      </w:r>
      <w:r>
        <w:t xml:space="preserve">, we first examine </w:t>
      </w:r>
      <w:r w:rsidR="00517018">
        <w:t>current practice</w:t>
      </w:r>
      <w:r>
        <w:t xml:space="preserve"> of quantitative synthesis, </w:t>
      </w:r>
      <w:r w:rsidR="008E52CF">
        <w:t>to</w:t>
      </w:r>
      <w:r>
        <w:t xml:space="preserve"> understand whether and how </w:t>
      </w:r>
      <w:r w:rsidR="00517018">
        <w:t xml:space="preserve">it </w:t>
      </w:r>
      <w:r>
        <w:t xml:space="preserve">can substantiate claims about the generalisability or transferability of ecological effect sizes. We then provide guidance to enable nuanced inferences about the generalisability and transferability </w:t>
      </w:r>
      <w:r w:rsidRPr="00C8056C">
        <w:t xml:space="preserve">of </w:t>
      </w:r>
      <w:proofErr w:type="spellStart"/>
      <w:r w:rsidRPr="00C8056C">
        <w:t>estimands</w:t>
      </w:r>
      <w:proofErr w:type="spellEnd"/>
      <w:r w:rsidR="008901FE">
        <w:t xml:space="preserve">. </w:t>
      </w:r>
      <w:r w:rsidR="00D55197">
        <w:t>While our focus is on synthetic research, the ability of syntheses to make general claims will depend on generality being precisely defined within primary studies, and therefore our recommendations extend to primary studies too</w:t>
      </w:r>
      <w:r w:rsidRPr="00C8056C">
        <w:t>.</w:t>
      </w:r>
      <w:bookmarkEnd w:id="4"/>
      <w:r w:rsidRPr="00C8056C">
        <w:t xml:space="preserve"> </w:t>
      </w:r>
      <w:r w:rsidR="00AD4A1A">
        <w:t>Finally, w</w:t>
      </w:r>
      <w:r w:rsidRPr="00C8056C">
        <w:t xml:space="preserve">e outline a research agenda to guide </w:t>
      </w:r>
      <w:r w:rsidR="00AD4A1A">
        <w:t>both fundamental and applied</w:t>
      </w:r>
      <w:r w:rsidR="00AD4A1A" w:rsidRPr="00C8056C">
        <w:t xml:space="preserve"> </w:t>
      </w:r>
      <w:r w:rsidRPr="00C8056C">
        <w:t>ecological research</w:t>
      </w:r>
      <w:r w:rsidR="00813147">
        <w:t xml:space="preserve"> </w:t>
      </w:r>
      <w:r>
        <w:t xml:space="preserve">towards valid generalisations and transfers. </w:t>
      </w:r>
      <w:r>
        <w:br w:type="page"/>
      </w:r>
      <w:bookmarkStart w:id="5" w:name="_2et92p0" w:colFirst="0" w:colLast="0"/>
      <w:bookmarkEnd w:id="5"/>
    </w:p>
    <w:p w14:paraId="11FBB323" w14:textId="22D8A034" w:rsidR="00725CB3" w:rsidRPr="00725CB3" w:rsidRDefault="00725CB3">
      <w:pPr>
        <w:rPr>
          <w:rFonts w:ascii="Arial" w:eastAsia="Arial" w:hAnsi="Arial" w:cs="Arial"/>
          <w:sz w:val="20"/>
          <w:szCs w:val="20"/>
        </w:rPr>
      </w:pPr>
      <w:r>
        <w:rPr>
          <w:rFonts w:ascii="Arial" w:eastAsia="Arial" w:hAnsi="Arial" w:cs="Arial"/>
          <w:sz w:val="20"/>
          <w:szCs w:val="20"/>
        </w:rPr>
        <w:lastRenderedPageBreak/>
        <w:t>Figure 1.</w:t>
      </w:r>
      <w:r>
        <w:rPr>
          <w:rFonts w:ascii="Arial" w:eastAsia="Arial" w:hAnsi="Arial" w:cs="Arial"/>
          <w:sz w:val="20"/>
          <w:szCs w:val="20"/>
        </w:rPr>
        <w:tab/>
        <w:t xml:space="preserve"> Generality - which we use synonymously with external validity - comprises the generalisability and transferability of </w:t>
      </w:r>
      <w:proofErr w:type="spellStart"/>
      <w:r>
        <w:rPr>
          <w:rFonts w:ascii="Arial" w:eastAsia="Arial" w:hAnsi="Arial" w:cs="Arial"/>
          <w:sz w:val="20"/>
          <w:szCs w:val="20"/>
        </w:rPr>
        <w:t>estimands</w:t>
      </w:r>
      <w:proofErr w:type="spellEnd"/>
      <w:r>
        <w:rPr>
          <w:rFonts w:ascii="Arial" w:eastAsia="Arial" w:hAnsi="Arial" w:cs="Arial"/>
          <w:sz w:val="20"/>
          <w:szCs w:val="20"/>
        </w:rPr>
        <w:t xml:space="preserve"> drawn from primary and synthetic research. Syntheses collate data from primary studies, each of which usually has a well-defined and narrow context relative to the context of the synthesis, and these studies are here each represented by a fruit of one of several types. Collated, these studies form a reference sample from a hypothetical population of studies, which together cover a broader context (here of fruits, either implicitly or explicitly defined by the researcher). Generalisability concerns the validity of an inference based on a sample that is randomly or non-randomly drawn from the target population (left column). Transferability concerns the validity of inferences based on a reference sample, when applied to either a different target population or unit (target context). Transfer across space is shown as an example, to sites in a different spatial location (middle row), or an individual target site from a different population (bottom row), which may also differ in</w:t>
      </w:r>
      <w:r>
        <w:rPr>
          <w:rFonts w:ascii="Arial" w:eastAsia="Arial" w:hAnsi="Arial" w:cs="Arial"/>
          <w:color w:val="000000"/>
          <w:sz w:val="20"/>
          <w:szCs w:val="20"/>
        </w:rPr>
        <w:t xml:space="preserve"> temporal or taxonomic </w:t>
      </w:r>
      <w:r>
        <w:rPr>
          <w:rFonts w:ascii="Arial" w:eastAsia="Arial" w:hAnsi="Arial" w:cs="Arial"/>
          <w:sz w:val="20"/>
          <w:szCs w:val="20"/>
        </w:rPr>
        <w:t xml:space="preserve">context to the reference sample. In both cases, the synthesised samples and the populations may have well-defined or poorly defined contexts. Here, the context of the synthesis is represented by the distribution of individual studies (fruits) within three measured or unmeasured dimensions of parameter space, </w:t>
      </w:r>
      <w:proofErr w:type="gramStart"/>
      <w:r>
        <w:rPr>
          <w:rFonts w:ascii="Arial" w:eastAsia="Arial" w:hAnsi="Arial" w:cs="Arial"/>
          <w:sz w:val="20"/>
          <w:szCs w:val="20"/>
        </w:rPr>
        <w:t>e.g.</w:t>
      </w:r>
      <w:proofErr w:type="gramEnd"/>
      <w:r>
        <w:rPr>
          <w:rFonts w:ascii="Arial" w:eastAsia="Arial" w:hAnsi="Arial" w:cs="Arial"/>
          <w:sz w:val="20"/>
          <w:szCs w:val="20"/>
        </w:rPr>
        <w:t xml:space="preserve"> edaphic, taxonomic, climatic variables (</w:t>
      </w:r>
      <w:r>
        <w:rPr>
          <w:rFonts w:ascii="Arial" w:eastAsia="Arial" w:hAnsi="Arial" w:cs="Arial"/>
          <w:i/>
          <w:sz w:val="20"/>
          <w:szCs w:val="20"/>
        </w:rPr>
        <w:t>V</w:t>
      </w:r>
      <w:r>
        <w:rPr>
          <w:rFonts w:ascii="Arial" w:eastAsia="Arial" w:hAnsi="Arial" w:cs="Arial"/>
          <w:sz w:val="20"/>
          <w:szCs w:val="20"/>
        </w:rPr>
        <w:t>) that vary depending on context and may influence the outcome of a study. In our example, the hypothetical reference and target contexts overlap (within the parameter space shaded</w:t>
      </w:r>
      <w:r w:rsidRPr="00FA53DD">
        <w:rPr>
          <w:rFonts w:ascii="Arial" w:eastAsia="Arial" w:hAnsi="Arial" w:cs="Arial"/>
          <w:sz w:val="20"/>
          <w:szCs w:val="20"/>
        </w:rPr>
        <w:t xml:space="preserve"> </w:t>
      </w:r>
      <w:r>
        <w:rPr>
          <w:rFonts w:ascii="Arial" w:eastAsia="Arial" w:hAnsi="Arial" w:cs="Arial"/>
          <w:sz w:val="20"/>
          <w:szCs w:val="20"/>
        </w:rPr>
        <w:t>blue) despite being on different continents.</w:t>
      </w:r>
      <w:r>
        <w:br w:type="page"/>
      </w:r>
    </w:p>
    <w:p w14:paraId="28E015F5" w14:textId="58676788" w:rsidR="00F24A29" w:rsidRDefault="00313CC5">
      <w:pPr>
        <w:pStyle w:val="Heading1"/>
      </w:pPr>
      <w:r>
        <w:lastRenderedPageBreak/>
        <w:t>DO CURRENT PRACTICE</w:t>
      </w:r>
      <w:r w:rsidR="0000278C">
        <w:t>S</w:t>
      </w:r>
      <w:r>
        <w:t xml:space="preserve"> IN </w:t>
      </w:r>
      <w:r w:rsidR="00375AA5">
        <w:t xml:space="preserve">QUANTITATIVE </w:t>
      </w:r>
      <w:r w:rsidR="00E94213">
        <w:t>SYNTHESIS SUPPORT</w:t>
      </w:r>
      <w:r>
        <w:t xml:space="preserve"> GENERALITY?</w:t>
      </w:r>
    </w:p>
    <w:p w14:paraId="37B71B4A" w14:textId="1689854C" w:rsidR="00F24A29" w:rsidRDefault="00375AA5">
      <w:r>
        <w:t xml:space="preserve">Quantitative </w:t>
      </w:r>
      <w:r w:rsidR="00313CC5">
        <w:t>syntheses</w:t>
      </w:r>
      <w:r w:rsidR="00CB7BB2">
        <w:t>,</w:t>
      </w:r>
      <w:r w:rsidR="00313CC5">
        <w:rPr>
          <w:rFonts w:ascii="Arial" w:eastAsia="Arial" w:hAnsi="Arial" w:cs="Arial"/>
          <w:color w:val="4D5156"/>
          <w:sz w:val="21"/>
          <w:szCs w:val="21"/>
          <w:highlight w:val="white"/>
        </w:rPr>
        <w:t xml:space="preserve"> </w:t>
      </w:r>
      <w:r w:rsidR="00313CC5">
        <w:rPr>
          <w:color w:val="000000"/>
        </w:rPr>
        <w:t xml:space="preserve">whether by meta-analysis or full-data analysis (Box </w:t>
      </w:r>
      <w:r w:rsidR="00BD35DE">
        <w:rPr>
          <w:color w:val="000000"/>
        </w:rPr>
        <w:t>1</w:t>
      </w:r>
      <w:r w:rsidR="003B4107">
        <w:rPr>
          <w:color w:val="000000"/>
        </w:rPr>
        <w:t>; Table 1</w:t>
      </w:r>
      <w:r w:rsidR="00313CC5">
        <w:rPr>
          <w:color w:val="000000"/>
        </w:rPr>
        <w:t>)</w:t>
      </w:r>
      <w:r w:rsidR="00A8029C">
        <w:rPr>
          <w:color w:val="000000"/>
        </w:rPr>
        <w:t>,</w:t>
      </w:r>
      <w:r w:rsidR="00313CC5">
        <w:rPr>
          <w:color w:val="000000"/>
        </w:rPr>
        <w:t xml:space="preserve"> </w:t>
      </w:r>
      <w:r w:rsidR="00313CC5">
        <w:t>generally involve some or all of three steps: i) the estimation of study-level effect sizes and an overall mean effect size, ii) estimation of heterogeneity statistics that describe differences in study-level effect</w:t>
      </w:r>
      <w:r w:rsidR="00C8056C">
        <w:t xml:space="preserve"> size</w:t>
      </w:r>
      <w:r w:rsidR="00313CC5">
        <w:t>s, and iii) attribution of effect-size heterogeneity to meaningful predictors (known as moderators), intended to provide a more nuanced configurative account of the overall effect.</w:t>
      </w:r>
      <w:r w:rsidR="00C8056C">
        <w:t xml:space="preserve"> In syntheses, the </w:t>
      </w:r>
      <w:proofErr w:type="spellStart"/>
      <w:r w:rsidR="00C8056C">
        <w:t>estimand</w:t>
      </w:r>
      <w:proofErr w:type="spellEnd"/>
      <w:r w:rsidR="00C8056C">
        <w:t xml:space="preserve"> of interest is the effect size.</w:t>
      </w:r>
      <w:r w:rsidR="00313CC5">
        <w:t xml:space="preserve"> Here we review these steps to demonstrate how current practices </w:t>
      </w:r>
      <w:r w:rsidR="008901FE">
        <w:t xml:space="preserve">often </w:t>
      </w:r>
      <w:r w:rsidR="00313CC5">
        <w:t>do not support valid inferences about the generalisability and transferability of effect sizes.</w:t>
      </w:r>
    </w:p>
    <w:p w14:paraId="069EC412" w14:textId="68BDEEB7" w:rsidR="00F24A29" w:rsidRDefault="00313CC5">
      <w:pPr>
        <w:pStyle w:val="Heading3"/>
      </w:pPr>
      <w:bookmarkStart w:id="6" w:name="_3dy6vkm" w:colFirst="0" w:colLast="0"/>
      <w:bookmarkEnd w:id="6"/>
      <w:r>
        <w:t xml:space="preserve">Step 1: </w:t>
      </w:r>
      <w:r w:rsidR="00795080">
        <w:t xml:space="preserve">Estimating </w:t>
      </w:r>
      <w:r>
        <w:t>mean effects across a sample of primary studies</w:t>
      </w:r>
    </w:p>
    <w:p w14:paraId="13D4A662" w14:textId="70C4EF86" w:rsidR="00F24A29" w:rsidRDefault="00313CC5">
      <w:r>
        <w:t xml:space="preserve">Meta-analyses of </w:t>
      </w:r>
      <w:r w:rsidR="002805B2">
        <w:t>primary studies</w:t>
      </w:r>
      <w:r>
        <w:t xml:space="preserve"> typically synthesise study-level differences between categorical treatments (</w:t>
      </w:r>
      <w:proofErr w:type="gramStart"/>
      <w:r>
        <w:t>e.g.</w:t>
      </w:r>
      <w:proofErr w:type="gramEnd"/>
      <w:r>
        <w:t xml:space="preserve"> Hedges’ </w:t>
      </w:r>
      <w:r>
        <w:rPr>
          <w:i/>
        </w:rPr>
        <w:t>g</w:t>
      </w:r>
      <w:r>
        <w:t xml:space="preserve"> and log response ratios </w:t>
      </w:r>
      <w:r>
        <w:rPr>
          <w:i/>
        </w:rPr>
        <w:t>LR</w:t>
      </w:r>
      <w:r>
        <w:t xml:space="preserve">), or the magnitudes of these changes against a continuous predictor (e.g. Pearson’s </w:t>
      </w:r>
      <w:r>
        <w:rPr>
          <w:i/>
        </w:rPr>
        <w:t>z</w:t>
      </w:r>
      <w:r>
        <w:t>), whereas full-data analyses are performed with raw, site-level observations using (generalised) linear mixed models. Standard statistical procedures are used to estimate a measure of central tendency in effect</w:t>
      </w:r>
      <w:r w:rsidR="00C8056C">
        <w:t xml:space="preserve"> sizes</w:t>
      </w:r>
      <w:r>
        <w:t xml:space="preserve">, which correspond to </w:t>
      </w:r>
      <w:r w:rsidR="00397A70">
        <w:t xml:space="preserve">a </w:t>
      </w:r>
      <w:r>
        <w:t>weighted mean effect (meta-analysis</w:t>
      </w:r>
      <w:proofErr w:type="gramStart"/>
      <w:r>
        <w:t>)</w:t>
      </w:r>
      <w:proofErr w:type="gramEnd"/>
      <w:r>
        <w:t xml:space="preserve"> or </w:t>
      </w:r>
      <w:r w:rsidR="00397A70">
        <w:t xml:space="preserve">a </w:t>
      </w:r>
      <w:r>
        <w:t>fixed effect estimated by the partial pooling of random slopes (full-data analysis). Weighting and shrinkage</w:t>
      </w:r>
      <w:r w:rsidR="00397A70">
        <w:t xml:space="preserve"> increase the precision of model parameters</w:t>
      </w:r>
      <w:r>
        <w:t xml:space="preserve"> for meta-analysis and full-data analysis</w:t>
      </w:r>
      <w:r w:rsidR="00397A70">
        <w:t>,</w:t>
      </w:r>
      <w:r>
        <w:t xml:space="preserve"> respectively</w:t>
      </w:r>
      <w:r w:rsidR="004C59C7">
        <w:fldChar w:fldCharType="begin" w:fldLock="1"/>
      </w:r>
      <w:r w:rsidR="00F23EB1">
        <w:instrText>ADDIN CSL_CITATION {"citationItems":[{"id":"ITEM-1","itemData":{"DOI":"10.2307/2290687","ISSN":"01621459","abstract":"Statistical approaches to overdispersion, correlated errors, shrinkage estimation, and smoothing of regression relationships may be encompassed within the framework of the generalized linear mixed model (GLMM). Given an unobserved vector of random effects, observations are assumed to be conditionally independent with means that depend on the linear predictor through a specified link function and conditional variances that are specified by a variance function, known prior weights and a scale factor. The random effects are assumed to be normally distributed with mean zero and dispersion matrix depending on unknown variance components. For problems involving time series, spatial aggregation and smoothing, the dispersion may be specified in terms of a rank deficient inverse covariance matrix. Approximation of the marginal quasi-likelihood using Laplace's method leads eventually to estimating equations based on penalized quasilikelihood or PQL for the mean parameters and pseudo-likelihood for the variances. Implementation involves repeated calls to normal theory procedures for REML estimation in variance components problems. By means of informal mathematical arguments, simulations and a series of worked examples, we conclude that PQL is of practical value for approximate inference on parameters and realizations of random effects in the hierarchical model. The applications cover overdispersion in binomial proportions of seed germination; longitudinal analysis of attack rates in epilepsy patients; smoothing of birth cohort effects in an age-cohort model of breast cancer incidence; evaluation of curvature of birth cohort effects in a case-control study of childhood cancer and obstetric radiation; spatial aggregation of lip cancer rates in Scottish counties; and the success of salamander matings in a complicated experiment involving crossing of male and female effects. PQL tends to underestimate somewhat the variance components and (in absolute value) fixed effects when applied to clustered binary data, but the situation improves rapidly for binomial observations having denominators greater than one.","author":[{"dropping-particle":"","family":"Breslow","given":"N. E.","non-dropping-particle":"","parse-names":false,"suffix":""},{"dropping-particle":"","family":"Clayton","given":"D. G.","non-dropping-particle":"","parse-names":false,"suffix":""}],"container-title":"Journal of the American Statistical Association","id":"ITEM-1","issue":"421","issued":{"date-parts":[["1993"]]},"page":"9","title":"Approximate Inference in Generalized Linear Mixed Models","type":"article-journal","volume":"88"},"uris":["http://www.mendeley.com/documents/?uuid=81a8aeb0-b98a-467a-b3e4-5fc9e99b9960"]},{"id":"ITEM-2","itemData":{"DOI":"10.1111/1365-2745.12224","ISSN":"13652745","abstract":"Summary: The number of published meta-analyses in plant ecology has increased greatly over the last two decades. Meta-analysis has made a significant contribution to the field, allowing review of evidence for various ecological hypotheses and theories, estimation of effects of major environmental drivers (climate change, habitat fragmentation, invasive species, air pollution), assessment of management and conservation strategies, and comparison of effects across different temporal and spatial scales, taxa and ecosystems, as well as research gap identification. We identified 322 meta-analyses published in the field of plant ecology between 1996 and 2013 in 95 different journals and assessed their methodological and reporting quality according to standard criteria. Despite significant recent developments in the methodology of meta-analysis, the quality of published meta-analyses was uneven and showed little improvement over time. We found many cases of imprecise and inaccurate usage of the term 'meta-analysis' in plant ecology, particularly confusion between meta-analysis and vote counting and incorrect application of statistical techniques designed for primary studies to meta-analytical data, without recognition of the violation of statistical assumptions of the analyses. Methodological issues for meta-analyses in plant ecology include incomplete reporting of search strategy used to retrieve primary studies, failure to test for possible publication bias and to conduct sensitivity analysis to test the robustness of the results, as well as lack of availability of the data set used for the analyses. The use of meta-analysis is particularly common in community ecology, ecophysiology and ecosystem ecology, but meta-analyses in ecophysiology are more likely not to meet standard quality criteria than papers in other subdisciplines. Fewer meta-analyses have been conducted in plant population ecology. Synthesis. Over the past two decades, plant ecologists have embraced meta-analysis as a statistical tool to combine results across studies, and much has been learned as a result. However, as the popularity and usage of meta-analysis in the field of plant ecology has grown, establishment of quality standards, as has been done in other disciplines, becomes increasingly important. In order to improve the quality of future meta-analyses in plant ecology, we suggest adoption of a checklist of quality criteria for meta-analysis for use by research synthesists, peer review…","author":[{"dropping-particle":"","family":"Koricheva","given":"Julia","non-dropping-particle":"","parse-names":false,"suffix":""},{"dropping-particle":"","family":"Gurevitch","given":"Jessica","non-dropping-particle":"","parse-names":false,"suffix":""}],"container-title":"Journal of Ecology","id":"ITEM-2","issue":"4","issued":{"date-parts":[["2014"]]},"page":"828-844","title":"Uses and misuses of meta-analysis in plant ecology","type":"article-journal","volume":"102"},"uris":["http://www.mendeley.com/documents/?uuid=5513c671-563f-4d0d-8c77-a18b3d71a36a"]}],"mendeley":{"formattedCitation":"&lt;sup&gt;22,23&lt;/sup&gt;","plainTextFormattedCitation":"22,23","previouslyFormattedCitation":"&lt;sup&gt;22,23&lt;/sup&gt;"},"properties":{"noteIndex":0},"schema":"https://github.com/citation-style-language/schema/raw/master/csl-citation.json"}</w:instrText>
      </w:r>
      <w:r w:rsidR="004C59C7">
        <w:fldChar w:fldCharType="separate"/>
      </w:r>
      <w:r w:rsidR="00852C49" w:rsidRPr="00852C49">
        <w:rPr>
          <w:noProof/>
          <w:vertAlign w:val="superscript"/>
        </w:rPr>
        <w:t>22,23</w:t>
      </w:r>
      <w:r w:rsidR="004C59C7">
        <w:fldChar w:fldCharType="end"/>
      </w:r>
      <w:r>
        <w:t xml:space="preserve">. </w:t>
      </w:r>
    </w:p>
    <w:p w14:paraId="5FFFA7C9" w14:textId="787E2338" w:rsidR="00F24A29" w:rsidRDefault="00313CC5">
      <w:r>
        <w:t>Implicitly or explicitly, these mean-effect</w:t>
      </w:r>
      <w:r w:rsidR="00C8056C">
        <w:t xml:space="preserve">-size </w:t>
      </w:r>
      <w:r>
        <w:t>estimates are generalised by the researcher from the sample of primary studies to some hypothetical population of studies, which</w:t>
      </w:r>
      <w:r>
        <w:rPr>
          <w:color w:val="000000"/>
        </w:rPr>
        <w:t xml:space="preserve"> is rarely defined</w:t>
      </w:r>
      <w:r>
        <w:t xml:space="preserve">. In the absence of its characterisation, it is typically implied or assumed that the target population is either i) exactly the study sample (in which case generalisation is </w:t>
      </w:r>
      <w:r w:rsidR="008E52CF">
        <w:t>unnecessary</w:t>
      </w:r>
      <w:r>
        <w:t xml:space="preserve">), or ii) the </w:t>
      </w:r>
      <w:r w:rsidR="008901FE">
        <w:t xml:space="preserve">whole </w:t>
      </w:r>
      <w:r>
        <w:t>population from which the study observations have been randomly and independently sampled (in which case generalisation is valid). In both cases, it is assumed that the target population is implicitly defined by the inclusion and exclusion criteria of the study</w:t>
      </w:r>
      <w:r w:rsidR="00DF4CE5">
        <w:fldChar w:fldCharType="begin" w:fldLock="1"/>
      </w:r>
      <w:r w:rsidR="00666ECE">
        <w:instrText>ADDIN CSL_CITATION {"citationItems":[{"id":"ITEM-1","itemData":{"DOI":"10.1093/aje/kwy228","ISSN":"14766256","PMID":"30299451","abstract":"In recent years, increasing attention has been paid to problems of external validity, specifically to methodological approaches for both quantitative generalizability and transportability of study results. However, most approaches to these issues have considered external validity separately from internal validity. Here we argue that considering either internal or external validity in isolation may be problematic. Further, we argue that a joint measure of the validity of an effect estimate with respect to a specific population of interest may be more useful: We call this proposed measure target validity. In this work, we introduce and formally define target bias as the total difference between the true causal effect in the target population and the estimated causal effect in the study sample, and target validity as target bias = 0. We illustrate this measure with a series of examples and show how this measure may help us to think more clearly about comparisons between experimental and nonexperimental research results. Specifically, we show that even perfect internal validity does not ensure that a causal effect will be unbiased in a specific target population.","author":[{"dropping-particle":"","family":"Westreich","given":"Daniel","non-dropping-particle":"","parse-names":false,"suffix":""},{"dropping-particle":"","family":"Edwards","given":"Jessie K.","non-dropping-particle":"","parse-names":false,"suffix":""},{"dropping-particle":"","family":"Lesko","given":"Catherine R.","non-dropping-particle":"","parse-names":false,"suffix":""},{"dropping-particle":"","family":"Cole","given":"Stephen R.","non-dropping-particle":"","parse-names":false,"suffix":""},{"dropping-particle":"","family":"Stuart","given":"Elizabeth A.","non-dropping-particle":"","parse-names":false,"suffix":""}],"container-title":"American Journal of Epidemiology","id":"ITEM-1","issue":"2","issued":{"date-parts":[["2019"]]},"page":"438-443","title":"Target Validity and the Hierarchy of Study Designs","type":"article-journal","volume":"188"},"uris":["http://www.mendeley.com/documents/?uuid=e8a09feb-3045-4cbd-9c92-4a542a056439"]}],"mendeley":{"formattedCitation":"&lt;sup&gt;19&lt;/sup&gt;","plainTextFormattedCitation":"19","previouslyFormattedCitation":"&lt;sup&gt;19&lt;/sup&gt;"},"properties":{"noteIndex":0},"schema":"https://github.com/citation-style-language/schema/raw/master/csl-citation.json"}</w:instrText>
      </w:r>
      <w:r w:rsidR="00DF4CE5">
        <w:fldChar w:fldCharType="separate"/>
      </w:r>
      <w:r w:rsidR="00FA67E2" w:rsidRPr="00FA67E2">
        <w:rPr>
          <w:noProof/>
          <w:vertAlign w:val="superscript"/>
        </w:rPr>
        <w:t>19</w:t>
      </w:r>
      <w:r w:rsidR="00DF4CE5">
        <w:fldChar w:fldCharType="end"/>
      </w:r>
      <w:r>
        <w:t xml:space="preserve">. </w:t>
      </w:r>
      <w:r w:rsidR="00FB4951">
        <w:t>The</w:t>
      </w:r>
      <w:r>
        <w:t xml:space="preserve"> valid</w:t>
      </w:r>
      <w:r w:rsidR="00FB4951">
        <w:t>ity of</w:t>
      </w:r>
      <w:r>
        <w:t xml:space="preserve"> generalisation depends on representativeness (increased by unbiased random sampling) and sample size. Often syntheses claim to be ‘global’ (Figure S1), implying that inference can be generalised to some global population of studies. Such inferences are criticised when study contexts do not comprise a random</w:t>
      </w:r>
      <w:r w:rsidR="00795080">
        <w:t xml:space="preserve"> and representative</w:t>
      </w:r>
      <w:r>
        <w:t xml:space="preserve"> sample of possible contexts across a hypothetically ‘global’ population, due to taxonomic and </w:t>
      </w:r>
      <w:r>
        <w:lastRenderedPageBreak/>
        <w:t>geographic biases</w:t>
      </w:r>
      <w:r w:rsidR="00666ECE">
        <w:fldChar w:fldCharType="begin" w:fldLock="1"/>
      </w:r>
      <w:r w:rsidR="00F23EB1">
        <w:instrText>ADDIN CSL_CITATION {"citationItems":[{"id":"ITEM-1","itemData":{"DOI":"10.1890/15-1759.1","ISSN":"00129658","PMID":"27859190","abstract":"Global species extinction rates are orders of magnitude above the background rate documented in the fossil record. However, recent data syntheses have found mixed evidence for patterns of net species loss at local spatial scales. For example, two recent data meta-analyses have found that species richness is decreasing in some locations and is increasing in others. When these trends are combined, these papers argued there has been no net change in species richness, and suggested this pattern is globally representative of biodiversity change at local scales. Here we reanalyze results of these data syntheses and outline why this conclusion is unfounded. First, we show the datasets collated for these syntheses are spatially biased and not representative of the spatial distribution of species richness or the distribution of many primary drivers of biodiversity change. This casts doubt that their results are representative of global patterns. Second, we argue that detecting the trend in local species richness is very difficult with short time series and can lead to biased estimates of change. Reanalyses of the data detected a signal of study duration on biodiversity change, indicating net biodiversity loss is most apparent in studies of longer duration. Third, estimates of species richness change can be biased if species gains during post-disturbance recovery are included without also including species losses that occurred during the disturbance. Net species gains or losses should be assessed with respect to common baselines or reference communities. Ultimately, we need a globally coordinated effort to monitor biodiversity so that we can estimate and attribute human impacts as causes of biodiversity change. A combination of technologies will be needed to produce regularly updated global datasets of local biodiversity change to guide future policy. At this time the conclusion that there is no net change in local species richness is not the consensus state of knowledge.","author":[{"dropping-particle":"","family":"Gonzalez","given":"Andrew","non-dropping-particle":"","parse-names":false,"suffix":""},{"dropping-particle":"","family":"Cardinale","given":"Bradley J.","non-dropping-particle":"","parse-names":false,"suffix":""},{"dropping-particle":"","family":"Allington","given":"Ginger R.H.","non-dropping-particle":"","parse-names":false,"suffix":""},{"dropping-particle":"","family":"Byrnes","given":"Jarrett","non-dropping-particle":"","parse-names":false,"suffix":""},{"dropping-particle":"","family":"Endsley","given":"K. Arthur","non-dropping-particle":"","parse-names":false,"suffix":""},{"dropping-particle":"","family":"Brown","given":"Daniel G.","non-dropping-particle":"","parse-names":false,"suffix":""},{"dropping-particle":"","family":"Hooper","given":"David U.","non-dropping-particle":"","parse-names":false,"suffix":""},{"dropping-particle":"","family":"Isbell","given":"Forest","non-dropping-particle":"","parse-names":false,"suffix":""},{"dropping-particle":"","family":"O'Connor","given":"Mary I.","non-dropping-particle":"","parse-names":false,"suffix":""},{"dropping-particle":"","family":"Loreau","given":"Michel","non-dropping-particle":"","parse-names":false,"suffix":""}],"container-title":"Ecology","id":"ITEM-1","issue":"8","issued":{"date-parts":[["2016"]]},"page":"1949-1960","title":"Estimating local biodiversity change: A critique of papers claiming no net loss of local diversity","type":"article-journal","volume":"97"},"uris":["http://www.mendeley.com/documents/?uuid=25dd93fb-7e01-4582-8cfb-9b9a775a068c"]}],"mendeley":{"formattedCitation":"&lt;sup&gt;24&lt;/sup&gt;","plainTextFormattedCitation":"24","previouslyFormattedCitation":"&lt;sup&gt;24&lt;/sup&gt;"},"properties":{"noteIndex":0},"schema":"https://github.com/citation-style-language/schema/raw/master/csl-citation.json"}</w:instrText>
      </w:r>
      <w:r w:rsidR="00666ECE">
        <w:fldChar w:fldCharType="separate"/>
      </w:r>
      <w:r w:rsidR="00852C49" w:rsidRPr="00852C49">
        <w:rPr>
          <w:noProof/>
          <w:vertAlign w:val="superscript"/>
        </w:rPr>
        <w:t>24</w:t>
      </w:r>
      <w:r w:rsidR="00666ECE">
        <w:fldChar w:fldCharType="end"/>
      </w:r>
      <w:r w:rsidR="00397A70">
        <w:t xml:space="preserve">. Samples are further </w:t>
      </w:r>
      <w:r w:rsidR="00795080">
        <w:t xml:space="preserve">distorted </w:t>
      </w:r>
      <w:r>
        <w:t>by language</w:t>
      </w:r>
      <w:r w:rsidR="00FA67E2">
        <w:fldChar w:fldCharType="begin" w:fldLock="1"/>
      </w:r>
      <w:r w:rsidR="00F23EB1">
        <w:instrText>ADDIN CSL_CITATION {"citationItems":[{"id":"ITEM-1","itemData":{"DOI":"10.1002/ece3.6368","ISSN":"20457758","abstract":"Meta-analysis plays a crucial role in syntheses of quantitative evidence in ecology and biodiversity conservation. The reliability of estimates in meta-analyses strongly depends on unbiased sampling of primary studies. Although earlier studies have explored potential biases in ecological meta-analyses, biases in reported statistical results and associated study characteristics published in different languages have never been tested in environmental sciences. We address this knowledge gap by systematically searching published meta-analyses and comparing effect-size estimates between English- and Japanese-language studies included in existing meta-analyses. Of the 40 published ecological meta-analysis articles authored by those affiliated to Japanese institutions, we find that three meta-analysis articles searched for studies in the two languages and involved sufficient numbers of English- and Japanese-language studies, resulting in four eligible meta-analyses (i.e., four meta-analyses conducted in the three meta-analysis articles). In two of the four, effect sizes differ significantly between the English- and Japanese-language studies included in the meta-analyses, causing considerable changes in overall mean effect sizes and even their direction when Japanese-language studies are excluded. The observed differences in effect sizes are likely attributable to systematic differences in reported statistical results and associated study characteristics, particularly taxa and ecosystems, between English- and Japanese-language studies. Despite being based on a small sample size, our findings suggest that ignoring non-English-language studies may bias outcomes of ecological meta-analyses, due to systematic differences in study characteristics and effect-size estimates between English- and non-English languages. We provide a list of actions that meta-analysts could take in the future to reduce the risk of language bias.","author":[{"dropping-particle":"","family":"Konno","given":"Ko","non-dropping-particle":"","parse-names":false,"suffix":""},{"dropping-particle":"","family":"Akasaka","given":"Munemitsu","non-dropping-particle":"","parse-names":false,"suffix":""},{"dropping-particle":"","family":"Koshida","given":"Chieko","non-dropping-particle":"","parse-names":false,"suffix":""},{"dropping-particle":"","family":"Katayama","given":"Naoki","non-dropping-particle":"","parse-names":false,"suffix":""},{"dropping-particle":"","family":"Osada","given":"Noriyuki","non-dropping-particle":"","parse-names":false,"suffix":""},{"dropping-particle":"","family":"Spake","given":"Rebecca","non-dropping-particle":"","parse-names":false,"suffix":""},{"dropping-particle":"","family":"Amano","given":"Tatsuya","non-dropping-particle":"","parse-names":false,"suffix":""}],"container-title":"Ecology and Evolution","id":"ITEM-1","issue":"13","issued":{"date-parts":[["2020"]]},"page":"6373-6384","title":"Ignoring non-English-language studies may bias ecological meta-analyses","type":"article-journal","volume":"10"},"uris":["http://www.mendeley.com/documents/?uuid=85f0281c-d3d8-4321-af4a-96b33f3197ca"]}],"mendeley":{"formattedCitation":"&lt;sup&gt;25&lt;/sup&gt;","plainTextFormattedCitation":"25","previouslyFormattedCitation":"&lt;sup&gt;25&lt;/sup&gt;"},"properties":{"noteIndex":0},"schema":"https://github.com/citation-style-language/schema/raw/master/csl-citation.json"}</w:instrText>
      </w:r>
      <w:r w:rsidR="00FA67E2">
        <w:fldChar w:fldCharType="separate"/>
      </w:r>
      <w:r w:rsidR="00852C49" w:rsidRPr="00852C49">
        <w:rPr>
          <w:noProof/>
          <w:vertAlign w:val="superscript"/>
        </w:rPr>
        <w:t>25</w:t>
      </w:r>
      <w:r w:rsidR="00FA67E2">
        <w:fldChar w:fldCharType="end"/>
      </w:r>
      <w:r>
        <w:t xml:space="preserve"> </w:t>
      </w:r>
      <w:r w:rsidR="00FA67E2">
        <w:t>and publication</w:t>
      </w:r>
      <w:r w:rsidR="00FA67E2">
        <w:fldChar w:fldCharType="begin" w:fldLock="1"/>
      </w:r>
      <w:r w:rsidR="00F23EB1">
        <w:instrText>ADDIN CSL_CITATION {"citationItems":[{"id":"ITEM-1","itemData":{"DOI":"10.1111/2041-210X.13724","ISSN":"2041210X","abstract":"Publication bias threatens the validity of quantitative evidence from meta-analyses as it results in some findings being overrepresented in meta-analytic datasets because they are published more frequently or sooner (e.g. ‘positive’ results). Unfortunately, methods to test for the presence of publication bias, or assess its impact on meta-analytic results, are unsuitable for datasets with high heterogeneity and non-independence, as is common in ecology and evolutionary biology. We first review both classic and emerging publication bias tests (e.g. funnel plots, Egger's regression, cumulative meta-analysis, fail-safe N, trim-and-fill tests, p-curve and selection models), showing that some tests cannot handle heterogeneity, and, more importantly, none of the methods can deal with non-independence. For each method, we estimate current usage in ecology and evolutionary biology, based on a representative sample of 102 meta-analyses published in the last 10 years. Then, we propose a new method using multilevel meta-regression, which can model both heterogeneity and non-independence, by extending existing regression-based methods (i.e. Egger's regression). We describe how our multilevel meta-regression can test not only publication bias, but also time-lag bias, and how it can be supplemented by residual funnel plots. Overall, we provide ecologists and evolutionary biologists with practical recommendations on which methods are appropriate to employ given independent and non-independent effect sizes. No method is ideal, and more simulation studies are required to understand how Type 1 and Type 2 error rates are impacted by complex data structures. Still, the limitations of these methods do not justify ignoring publication bias in ecological and evolutionary meta-analyses.","author":[{"dropping-particle":"","family":"Nakagawa","given":"Shinichi","non-dropping-particle":"","parse-names":false,"suffix":""},{"dropping-particle":"","family":"Lagisz","given":"Malgorzata","non-dropping-particle":"","parse-names":false,"suffix":""},{"dropping-particle":"","family":"Jennions","given":"Michael D.","non-dropping-particle":"","parse-names":false,"suffix":""},{"dropping-particle":"","family":"Koricheva","given":"Julia","non-dropping-particle":"","parse-names":false,"suffix":""},{"dropping-particle":"","family":"Noble","given":"Daniel W.A.","non-dropping-particle":"","parse-names":false,"suffix":""},{"dropping-particle":"","family":"Parker","given":"Timothy H.","non-dropping-particle":"","parse-names":false,"suffix":""},{"dropping-particle":"","family":"Sánchez-Tójar","given":"Alfredo","non-dropping-particle":"","parse-names":false,"suffix":""},{"dropping-particle":"","family":"Yang","given":"Yefeng","non-dropping-particle":"","parse-names":false,"suffix":""},{"dropping-particle":"","family":"O'Dea","given":"Rose E.","non-dropping-particle":"","parse-names":false,"suffix":""}],"container-title":"Methods in Ecology and Evolution","id":"ITEM-1","issue":"1","issued":{"date-parts":[["2022"]]},"page":"4-21","title":"Methods for testing publication bias in ecological and evolutionary meta-analyses","type":"article-journal","volume":"13"},"uris":["http://www.mendeley.com/documents/?uuid=0eb20a49-fe4a-413d-8af5-e5c356466039"]}],"mendeley":{"formattedCitation":"&lt;sup&gt;26&lt;/sup&gt;","plainTextFormattedCitation":"26","previouslyFormattedCitation":"&lt;sup&gt;26&lt;/sup&gt;"},"properties":{"noteIndex":0},"schema":"https://github.com/citation-style-language/schema/raw/master/csl-citation.json"}</w:instrText>
      </w:r>
      <w:r w:rsidR="00FA67E2">
        <w:fldChar w:fldCharType="separate"/>
      </w:r>
      <w:r w:rsidR="00852C49" w:rsidRPr="00852C49">
        <w:rPr>
          <w:noProof/>
          <w:vertAlign w:val="superscript"/>
        </w:rPr>
        <w:t>26</w:t>
      </w:r>
      <w:r w:rsidR="00FA67E2">
        <w:fldChar w:fldCharType="end"/>
      </w:r>
      <w:r w:rsidR="00FA67E2">
        <w:t xml:space="preserve"> biases (e.g. file-drawer effects</w:t>
      </w:r>
      <w:r w:rsidR="00FA67E2">
        <w:fldChar w:fldCharType="begin" w:fldLock="1"/>
      </w:r>
      <w:r w:rsidR="00F23EB1">
        <w:instrText>ADDIN CSL_CITATION {"citationItems":[{"id":"ITEM-1","itemData":{"author":[{"dropping-particle":"","family":"Rosenthal R.","given":"","non-dropping-particle":"","parse-names":false,"suffix":""}],"container-title":"Psychological Bulletin","id":"ITEM-1","issued":{"date-parts":[["1979"]]},"page":"638-641","title":"The file drawer problem and tolerance for null results","type":"article-journal","volume":"86"},"uris":["http://www.mendeley.com/documents/?uuid=89deddf6-2808-4b22-9bb4-d3c98a580248"]}],"mendeley":{"formattedCitation":"&lt;sup&gt;27&lt;/sup&gt;","plainTextFormattedCitation":"27","previouslyFormattedCitation":"&lt;sup&gt;27&lt;/sup&gt;"},"properties":{"noteIndex":0},"schema":"https://github.com/citation-style-language/schema/raw/master/csl-citation.json"}</w:instrText>
      </w:r>
      <w:r w:rsidR="00FA67E2">
        <w:fldChar w:fldCharType="separate"/>
      </w:r>
      <w:r w:rsidR="00852C49" w:rsidRPr="00852C49">
        <w:rPr>
          <w:noProof/>
          <w:vertAlign w:val="superscript"/>
        </w:rPr>
        <w:t>27</w:t>
      </w:r>
      <w:r w:rsidR="00FA67E2">
        <w:fldChar w:fldCharType="end"/>
      </w:r>
      <w:r w:rsidR="00FA67E2">
        <w:t>)</w:t>
      </w:r>
      <w:r>
        <w:t>. Moreover, mean estimates can be strongly skewed by outlying effect</w:t>
      </w:r>
      <w:r w:rsidR="00300B1E">
        <w:t>s</w:t>
      </w:r>
      <w:r w:rsidR="00300B1E">
        <w:fldChar w:fldCharType="begin" w:fldLock="1"/>
      </w:r>
      <w:r w:rsidR="00F23EB1">
        <w:instrText>ADDIN CSL_CITATION {"citationItems":[{"id":"ITEM-1","itemData":{"DOI":"10.1038/s41586-020-2920-6","ISSN":"14764687","PMID":"33208939","abstract":"Recent analyses have reported catastrophic global declines in vertebrate populations1,2. However, the distillation of many trends into a global mean index obscures the variation that can inform conservation measures and can be sensitive to analytical decisions. For example, previous analyses have estimated a mean vertebrate decline of more than 50% since 1970 (Living Planet Index2). Here we show, however, that this estimate is driven by less than 3% of vertebrate populations; if these extremely declining populations are excluded, the global trend switches to an increase. The sensitivity of global mean trends to outliers suggests that more informative indices are needed. We propose an alternative approach, which identifies clusters of extreme decline (or increase) that differ statistically from the majority of population trends. We show that, of taxonomic–geographic systems in the Living Planet Index, 16 systems contain clusters of extreme decline (comprising around 1% of populations; these extreme declines occur disproportionately in larger animals) and 7 contain extreme increases (around 0.4% of populations). The remaining 98.6% of populations across all systems showed no mean global trend. However, when analysed separately, three systems were declining strongly with high certainty (all in the Indo-Pacific region) and seven were declining strongly but with less certainty (mostly reptile and amphibian groups). Accounting for extreme clusters fundamentally alters the interpretation of global vertebrate trends and should be used to help to prioritize conservation efforts.","author":[{"dropping-particle":"","family":"Leung","given":"Brian","non-dropping-particle":"","parse-names":false,"suffix":""},{"dropping-particle":"","family":"Hargreaves","given":"Anna L.","non-dropping-particle":"","parse-names":false,"suffix":""},{"dropping-particle":"","family":"Greenberg","given":"Dan A.","non-dropping-particle":"","parse-names":false,"suffix":""},{"dropping-particle":"","family":"McGill","given":"Brian","non-dropping-particle":"","parse-names":false,"suffix":""},{"dropping-particle":"","family":"Dornelas","given":"Maria","non-dropping-particle":"","parse-names":false,"suffix":""},{"dropping-particle":"","family":"Freeman","given":"Robin","non-dropping-particle":"","parse-names":false,"suffix":""}],"container-title":"Nature","id":"ITEM-1","issue":"7837","issued":{"date-parts":[["2020"]]},"page":"267-271","publisher":"Springer US","title":"Clustered versus catastrophic global vertebrate declines","type":"article-journal","volume":"588"},"uris":["http://www.mendeley.com/documents/?uuid=860fa748-746a-48ee-9579-a4ad31caa185"]}],"mendeley":{"formattedCitation":"&lt;sup&gt;28&lt;/sup&gt;","plainTextFormattedCitation":"28","previouslyFormattedCitation":"&lt;sup&gt;28&lt;/sup&gt;"},"properties":{"noteIndex":0},"schema":"https://github.com/citation-style-language/schema/raw/master/csl-citation.json"}</w:instrText>
      </w:r>
      <w:r w:rsidR="00300B1E">
        <w:fldChar w:fldCharType="separate"/>
      </w:r>
      <w:r w:rsidR="00852C49" w:rsidRPr="00852C49">
        <w:rPr>
          <w:noProof/>
          <w:vertAlign w:val="superscript"/>
        </w:rPr>
        <w:t>28</w:t>
      </w:r>
      <w:r w:rsidR="00300B1E">
        <w:fldChar w:fldCharType="end"/>
      </w:r>
      <w:r>
        <w:t xml:space="preserve">. </w:t>
      </w:r>
    </w:p>
    <w:p w14:paraId="13230F23" w14:textId="521935F8" w:rsidR="00F24A29" w:rsidRDefault="00313CC5" w:rsidP="00C8056C">
      <w:r>
        <w:t>With at least a qualitative evaluation of possible sources of bias, such syntheses nevertheless have value. Indeed, as Rothman et al.</w:t>
      </w:r>
      <w:r w:rsidR="00300B1E">
        <w:fldChar w:fldCharType="begin" w:fldLock="1"/>
      </w:r>
      <w:r w:rsidR="00F23EB1">
        <w:instrText>ADDIN CSL_CITATION {"citationItems":[{"id":"ITEM-1","itemData":{"DOI":"10.1093/ije/dys223","ISSN":"03005771","PMID":"24062287","abstract":"The essence of knowledge is generalisation. That rubbing wood in a certain way can produce fire is a knowledge derived by generalisation from individual experiences; the statement means that rubbing wood in this way will always produce fire. The art of discovery is therefore the art of correct generalisation. What is irrelevant, such as the particular shape or size of the piece of wood used, is to be excluded from the generalisation; what is relevant, for example, the dryness of the wood, is to be included in it. The meaning of the term relevant can thus be defined: that is relevant which must be mentioned for the generalisation to be valid. The separation of relevant from irrelevant factors is the beginning of knowledge. © The Author 2013; All rights reserved.","author":[{"dropping-particle":"","family":"Rothman","given":"Kenneth J.","non-dropping-particle":"","parse-names":false,"suffix":""},{"dropping-particle":"","family":"Gallacher","given":"John E.J.","non-dropping-particle":"","parse-names":false,"suffix":""},{"dropping-particle":"","family":"Hatch","given":"Elizabeth E.","non-dropping-particle":"","parse-names":false,"suffix":""}],"container-title":"International Journal of Epidemiology","id":"ITEM-1","issue":"4","issued":{"date-parts":[["2013"]]},"page":"1012-1014","title":"Why representativeness should be avoided","type":"article-journal","volume":"42"},"uris":["http://www.mendeley.com/documents/?uuid=504e3d0c-e51c-4c5c-9c35-d47f4c9c8687"]}],"mendeley":{"formattedCitation":"&lt;sup&gt;29&lt;/sup&gt;","plainTextFormattedCitation":"29","previouslyFormattedCitation":"&lt;sup&gt;29&lt;/sup&gt;"},"properties":{"noteIndex":0},"schema":"https://github.com/citation-style-language/schema/raw/master/csl-citation.json"}</w:instrText>
      </w:r>
      <w:r w:rsidR="00300B1E">
        <w:fldChar w:fldCharType="separate"/>
      </w:r>
      <w:r w:rsidR="00852C49" w:rsidRPr="00852C49">
        <w:rPr>
          <w:noProof/>
          <w:vertAlign w:val="superscript"/>
        </w:rPr>
        <w:t>29</w:t>
      </w:r>
      <w:r w:rsidR="00300B1E">
        <w:fldChar w:fldCharType="end"/>
      </w:r>
      <w:r>
        <w:t xml:space="preserve"> argue, “It is not representativeness of the study subjects that enhances the generalisation, it is knowledge of specific conditions and an understanding of mechanism that makes for a proper generalisation.” Accordingly, the main issue is failure to characterise the reference or target context</w:t>
      </w:r>
      <w:r w:rsidR="00871156">
        <w:t>s</w:t>
      </w:r>
      <w:r>
        <w:t xml:space="preserve">, even if they are narrow in scope </w:t>
      </w:r>
      <w:r>
        <w:rPr>
          <w:color w:val="000000"/>
        </w:rPr>
        <w:t>(</w:t>
      </w:r>
      <w:proofErr w:type="gramStart"/>
      <w:r>
        <w:rPr>
          <w:color w:val="000000"/>
        </w:rPr>
        <w:t>e.g.</w:t>
      </w:r>
      <w:proofErr w:type="gramEnd"/>
      <w:r>
        <w:rPr>
          <w:color w:val="000000"/>
        </w:rPr>
        <w:t xml:space="preserve"> </w:t>
      </w:r>
      <w:r w:rsidR="00C8056C">
        <w:rPr>
          <w:color w:val="000000"/>
        </w:rPr>
        <w:t>a limited geographic area or number of</w:t>
      </w:r>
      <w:r>
        <w:rPr>
          <w:color w:val="000000"/>
        </w:rPr>
        <w:t xml:space="preserve"> taxonomic groups studied)</w:t>
      </w:r>
      <w:r>
        <w:t>. Rather than representativeness, a greater cause for concern is the biases introduced through the uncritical application of synthesis methods</w:t>
      </w:r>
      <w:r w:rsidR="00407EA7">
        <w:t>, originally developed for orthogonal medical and social studies</w:t>
      </w:r>
      <w:r w:rsidR="00300B1E">
        <w:fldChar w:fldCharType="begin" w:fldLock="1"/>
      </w:r>
      <w:r w:rsidR="00F23EB1">
        <w:instrText>ADDIN CSL_CITATION {"citationItems":[{"id":"ITEM-1","itemData":{"DOI":"10.1111/ele.13641","ISSN":"14610248","PMID":"33216440","abstract":"Biodiversity studies are sensitive to well-recognised temporal and spatial scale dependencies. Cross-study syntheses may inflate these influences by collating studies that vary widely in the numbers and sizes of sampling plots. Here we evaluate sources of inaccuracy and imprecision in study-level and cross-study estimates of biodiversity differences, caused by within-study grain and sample sizes, biodiversity measure, and choice of effect-size metric. Samples from simulated communities of old-growth and secondary forests demonstrated influences of all these parameters on the accuracy and precision of cross-study effect sizes. In cross-study synthesis by formal meta-analysis, the metric of log response ratio applied to measures of species richness yielded better accuracy than the commonly used Hedges' g metric on species density, which dangerously combined higher precision with persistent bias. Full-data analyses of the raw plot-scale data using multilevel models were also susceptible to scale-dependent bias. We demonstrate the challenge of detecting scale dependence in cross-study synthesis, due to ubiquitous covariation between replication, variance and plot size. We propose solutions for diagnosing and minimising bias. We urge that empirical studies publish raw data to allow evaluation of covariation in cross-study syntheses, and we recommend against using Hedges' g in biodiversity meta-analyses.","author":[{"dropping-particle":"","family":"Spake","given":"Rebecca","non-dropping-particle":"","parse-names":false,"suffix":""},{"dropping-particle":"","family":"Mori","given":"Akira S.","non-dropping-particle":"","parse-names":false,"suffix":""},{"dropping-particle":"","family":"Beckmann","given":"Michael","non-dropping-particle":"","parse-names":false,"suffix":""},{"dropping-particle":"","family":"Martin","given":"Philip A.","non-dropping-particle":"","parse-names":false,"suffix":""},{"dropping-particle":"","family":"Christie","given":"Alec P.","non-dropping-particle":"","parse-names":false,"suffix":""},{"dropping-particle":"","family":"Duguid","given":"Marlyse C.","non-dropping-particle":"","parse-names":false,"suffix":""},{"dropping-particle":"","family":"Doncaster","given":"C. Patrick","non-dropping-particle":"","parse-names":false,"suffix":""}],"container-title":"Ecology Letters","id":"ITEM-1","issue":"2","issued":{"date-parts":[["2021"]]},"page":"374-390","title":"Implications of scale dependence for cross-study syntheses of biodiversity differences","type":"article-journal","volume":"24"},"uris":["http://www.mendeley.com/documents/?uuid=48976cc1-5b2f-4fe6-b5f8-3ae418133379"]},{"id":"ITEM-2","itemData":{"DOI":"10.1016/j.foreco.2017.05.059","ISSN":"03781127","author":[{"dropping-particle":"","family":"Spake","given":"Rebecca","non-dropping-particle":"","parse-names":false,"suffix":""},{"dropping-particle":"","family":"Doncaster","given":"C. Patrick","non-dropping-particle":"","parse-names":false,"suffix":""}],"container-title":"Forest Ecology and Management","id":"ITEM-2","issued":{"date-parts":[["2017"]]},"page":"429-437","publisher":"The Authors","title":"Use of meta-analysis in forest biodiversity research: key challenges and considerations","type":"article-journal","volume":"400"},"uris":["http://www.mendeley.com/documents/?uuid=9a0a0df7-a139-4922-b127-c22fba255602"]}],"mendeley":{"formattedCitation":"&lt;sup&gt;30,31&lt;/sup&gt;","plainTextFormattedCitation":"30,31","previouslyFormattedCitation":"&lt;sup&gt;30,31&lt;/sup&gt;"},"properties":{"noteIndex":0},"schema":"https://github.com/citation-style-language/schema/raw/master/csl-citation.json"}</w:instrText>
      </w:r>
      <w:r w:rsidR="00300B1E">
        <w:fldChar w:fldCharType="separate"/>
      </w:r>
      <w:r w:rsidR="00852C49" w:rsidRPr="00852C49">
        <w:rPr>
          <w:noProof/>
          <w:vertAlign w:val="superscript"/>
        </w:rPr>
        <w:t>30,31</w:t>
      </w:r>
      <w:r w:rsidR="00300B1E">
        <w:fldChar w:fldCharType="end"/>
      </w:r>
      <w:r>
        <w:t>. For example, in serving to increase the precision of estimated mean effects, the weighting and shrinkage imposed by under-parameterised meta-analytic and multi-level models can amplify any within-study biases</w:t>
      </w:r>
      <w:r w:rsidR="00C8056C">
        <w:fldChar w:fldCharType="begin" w:fldLock="1"/>
      </w:r>
      <w:r w:rsidR="00F23EB1">
        <w:instrText>ADDIN CSL_CITATION {"citationItems":[{"id":"ITEM-1","itemData":{"DOI":"10.1111/ele.13641","ISSN":"14610248","PMID":"33216440","abstract":"Biodiversity studies are sensitive to well-recognised temporal and spatial scale dependencies. Cross-study syntheses may inflate these influences by collating studies that vary widely in the numbers and sizes of sampling plots. Here we evaluate sources of inaccuracy and imprecision in study-level and cross-study estimates of biodiversity differences, caused by within-study grain and sample sizes, biodiversity measure, and choice of effect-size metric. Samples from simulated communities of old-growth and secondary forests demonstrated influences of all these parameters on the accuracy and precision of cross-study effect sizes. In cross-study synthesis by formal meta-analysis, the metric of log response ratio applied to measures of species richness yielded better accuracy than the commonly used Hedges' g metric on species density, which dangerously combined higher precision with persistent bias. Full-data analyses of the raw plot-scale data using multilevel models were also susceptible to scale-dependent bias. We demonstrate the challenge of detecting scale dependence in cross-study synthesis, due to ubiquitous covariation between replication, variance and plot size. We propose solutions for diagnosing and minimising bias. We urge that empirical studies publish raw data to allow evaluation of covariation in cross-study syntheses, and we recommend against using Hedges' g in biodiversity meta-analyses.","author":[{"dropping-particle":"","family":"Spake","given":"Rebecca","non-dropping-particle":"","parse-names":false,"suffix":""},{"dropping-particle":"","family":"Mori","given":"Akira S.","non-dropping-particle":"","parse-names":false,"suffix":""},{"dropping-particle":"","family":"Beckmann","given":"Michael","non-dropping-particle":"","parse-names":false,"suffix":""},{"dropping-particle":"","family":"Martin","given":"Philip A.","non-dropping-particle":"","parse-names":false,"suffix":""},{"dropping-particle":"","family":"Christie","given":"Alec P.","non-dropping-particle":"","parse-names":false,"suffix":""},{"dropping-particle":"","family":"Duguid","given":"Marlyse C.","non-dropping-particle":"","parse-names":false,"suffix":""},{"dropping-particle":"","family":"Doncaster","given":"C. Patrick","non-dropping-particle":"","parse-names":false,"suffix":""}],"container-title":"Ecology Letters","id":"ITEM-1","issue":"2","issued":{"date-parts":[["2021"]]},"page":"374-390","title":"Implications of scale dependence for cross-study syntheses of biodiversity differences","type":"article-journal","volume":"24"},"uris":["http://www.mendeley.com/documents/?uuid=48976cc1-5b2f-4fe6-b5f8-3ae418133379"]}],"mendeley":{"formattedCitation":"&lt;sup&gt;30&lt;/sup&gt;","plainTextFormattedCitation":"30","previouslyFormattedCitation":"&lt;sup&gt;30&lt;/sup&gt;"},"properties":{"noteIndex":0},"schema":"https://github.com/citation-style-language/schema/raw/master/csl-citation.json"}</w:instrText>
      </w:r>
      <w:r w:rsidR="00C8056C">
        <w:fldChar w:fldCharType="separate"/>
      </w:r>
      <w:r w:rsidR="00852C49" w:rsidRPr="00852C49">
        <w:rPr>
          <w:noProof/>
          <w:vertAlign w:val="superscript"/>
        </w:rPr>
        <w:t>30</w:t>
      </w:r>
      <w:r w:rsidR="00C8056C">
        <w:fldChar w:fldCharType="end"/>
      </w:r>
      <w:r>
        <w:t>. This is due to non-random variation in scale across studies, yielding precise yet inaccurate effect-size estimates</w:t>
      </w:r>
      <w:r w:rsidR="00300B1E">
        <w:fldChar w:fldCharType="begin" w:fldLock="1"/>
      </w:r>
      <w:r w:rsidR="00F23EB1">
        <w:instrText>ADDIN CSL_CITATION {"citationItems":[{"id":"ITEM-1","itemData":{"DOI":"10.1111/ele.13641","ISSN":"14610248","PMID":"33216440","abstract":"Biodiversity studies are sensitive to well-recognised temporal and spatial scale dependencies. Cross-study syntheses may inflate these influences by collating studies that vary widely in the numbers and sizes of sampling plots. Here we evaluate sources of inaccuracy and imprecision in study-level and cross-study estimates of biodiversity differences, caused by within-study grain and sample sizes, biodiversity measure, and choice of effect-size metric. Samples from simulated communities of old-growth and secondary forests demonstrated influences of all these parameters on the accuracy and precision of cross-study effect sizes. In cross-study synthesis by formal meta-analysis, the metric of log response ratio applied to measures of species richness yielded better accuracy than the commonly used Hedges' g metric on species density, which dangerously combined higher precision with persistent bias. Full-data analyses of the raw plot-scale data using multilevel models were also susceptible to scale-dependent bias. We demonstrate the challenge of detecting scale dependence in cross-study synthesis, due to ubiquitous covariation between replication, variance and plot size. We propose solutions for diagnosing and minimising bias. We urge that empirical studies publish raw data to allow evaluation of covariation in cross-study syntheses, and we recommend against using Hedges' g in biodiversity meta-analyses.","author":[{"dropping-particle":"","family":"Spake","given":"Rebecca","non-dropping-particle":"","parse-names":false,"suffix":""},{"dropping-particle":"","family":"Mori","given":"Akira S.","non-dropping-particle":"","parse-names":false,"suffix":""},{"dropping-particle":"","family":"Beckmann","given":"Michael","non-dropping-particle":"","parse-names":false,"suffix":""},{"dropping-particle":"","family":"Martin","given":"Philip A.","non-dropping-particle":"","parse-names":false,"suffix":""},{"dropping-particle":"","family":"Christie","given":"Alec P.","non-dropping-particle":"","parse-names":false,"suffix":""},{"dropping-particle":"","family":"Duguid","given":"Marlyse C.","non-dropping-particle":"","parse-names":false,"suffix":""},{"dropping-particle":"","family":"Doncaster","given":"C. Patrick","non-dropping-particle":"","parse-names":false,"suffix":""}],"container-title":"Ecology Letters","id":"ITEM-1","issue":"2","issued":{"date-parts":[["2021"]]},"page":"374-390","title":"Implications of scale dependence for cross-study syntheses of biodiversity differences","type":"article-journal","volume":"24"},"uris":["http://www.mendeley.com/documents/?uuid=48976cc1-5b2f-4fe6-b5f8-3ae418133379"]}],"mendeley":{"formattedCitation":"&lt;sup&gt;30&lt;/sup&gt;","plainTextFormattedCitation":"30","previouslyFormattedCitation":"&lt;sup&gt;30&lt;/sup&gt;"},"properties":{"noteIndex":0},"schema":"https://github.com/citation-style-language/schema/raw/master/csl-citation.json"}</w:instrText>
      </w:r>
      <w:r w:rsidR="00300B1E">
        <w:fldChar w:fldCharType="separate"/>
      </w:r>
      <w:r w:rsidR="00852C49" w:rsidRPr="00852C49">
        <w:rPr>
          <w:noProof/>
          <w:vertAlign w:val="superscript"/>
        </w:rPr>
        <w:t>30</w:t>
      </w:r>
      <w:r w:rsidR="00300B1E">
        <w:fldChar w:fldCharType="end"/>
      </w:r>
      <w:r>
        <w:t>. Ecological studies employ a range of study and analytical designs</w:t>
      </w:r>
      <w:r w:rsidR="00300B1E">
        <w:fldChar w:fldCharType="begin" w:fldLock="1"/>
      </w:r>
      <w:r w:rsidR="00F23EB1">
        <w:instrText>ADDIN CSL_CITATION {"citationItems":[{"id":"ITEM-1","itemData":{"DOI":"10.1111/1365-2664.13499","ISSN":"13652664","abstract":"Monitoring the impacts of anthropogenic threats and interventions to mitigate these threats is key to understanding how to best conserve biodiversity. Ecologists use many different study designs to monitor such impacts. Simpler designs lacking controls (e.g. Before–After (BA) and After) or pre-impact data (e.g. Control–Impact (CI)) are considered to be less robust than more complex designs (e.g. Before–After Control-Impact (BACI) or Randomized Controlled Trials (RCTs)). However, we lack quantitative estimates of how much less accurate simpler study designs are in ecology. Understanding this could help prioritize research and weight studies by their design's accuracy in meta-analysis and evidence assessment. We compared how accurately five study designs estimated the true effect of a simulated environmental impact that caused a step-change response in a population's density. We derived empirical estimates of several simulation parameters from 47 ecological datasets to ensure our simulations were realistic. We measured design performance by determining the percentage of simulations where: (a) the true effect fell within the 95% Confidence Intervals of effect size estimates, and (b) each design correctly estimated the true effect's direction and magnitude. We also considered how sample size affected their performance. We demonstrated that BACI designs performed: 1.3–1.8 times better than RCTs; 2.9–4.2 times versus BA; 3.2–4.6 times versus CI; and 7.1–10.1 times versus After designs (depending on sample size), when correctly estimating true effect's direction and magnitude to within ±30%. Although BACI designs suffered from low power at small sample sizes, they outperformed other designs for almost all performance measures. Increasing sample size improved BACI design accuracy, but only increased the precision of simpler designs around biased estimates. Synthesis and applications. We suggest that more investment in more robust designs is needed in ecology since inferences from simpler designs, even with large sample sizes may be misleading. Facilitating this requires longer-term funding and stronger research–practice partnerships. We also propose ‘accuracy weights’ and demonstrate how they can weight studies in three recent meta-analyses by accounting for study design and sample size. We hope these help decision-makers and meta-analysts better account for study design when assessing evidence.","author":[{"dropping-particle":"","family":"Christie","given":"Alec P.","non-dropping-particle":"","parse-names":false,"suffix":""},{"dropping-particle":"","family":"Amano","given":"Tatsuya","non-dropping-particle":"","parse-names":false,"suffix":""},{"dropping-particle":"","family":"Martin","given":"Philip A.","non-dropping-particle":"","parse-names":false,"suffix":""},{"dropping-particle":"","family":"Shackelford","given":"Gorm E.","non-dropping-particle":"","parse-names":false,"suffix":""},{"dropping-particle":"","family":"Simmons","given":"Benno I.","non-dropping-particle":"","parse-names":false,"suffix":""},{"dropping-particle":"","family":"Sutherland","given":"William J.","non-dropping-particle":"","parse-names":false,"suffix":""}],"container-title":"Journal of Applied Ecology","id":"ITEM-1","issue":"12","issued":{"date-parts":[["2019"]]},"page":"2742-2754","title":"Simple study designs in ecology produce inaccurate estimates of biodiversity responses","type":"article-journal","volume":"56"},"uris":["http://www.mendeley.com/documents/?uuid=da81204e-bfd8-4291-bb7d-0b3857a3b1ef"]},{"id":"ITEM-2","itemData":{"DOI":"10.1111/ele.13641","ISSN":"14610248","PMID":"33216440","abstract":"Biodiversity studies are sensitive to well-recognised temporal and spatial scale dependencies. Cross-study syntheses may inflate these influences by collating studies that vary widely in the numbers and sizes of sampling plots. Here we evaluate sources of inaccuracy and imprecision in study-level and cross-study estimates of biodiversity differences, caused by within-study grain and sample sizes, biodiversity measure, and choice of effect-size metric. Samples from simulated communities of old-growth and secondary forests demonstrated influences of all these parameters on the accuracy and precision of cross-study effect sizes. In cross-study synthesis by formal meta-analysis, the metric of log response ratio applied to measures of species richness yielded better accuracy than the commonly used Hedges' g metric on species density, which dangerously combined higher precision with persistent bias. Full-data analyses of the raw plot-scale data using multilevel models were also susceptible to scale-dependent bias. We demonstrate the challenge of detecting scale dependence in cross-study synthesis, due to ubiquitous covariation between replication, variance and plot size. We propose solutions for diagnosing and minimising bias. We urge that empirical studies publish raw data to allow evaluation of covariation in cross-study syntheses, and we recommend against using Hedges' g in biodiversity meta-analyses.","author":[{"dropping-particle":"","family":"Spake","given":"Rebecca","non-dropping-particle":"","parse-names":false,"suffix":""},{"dropping-particle":"","family":"Mori","given":"Akira S.","non-dropping-particle":"","parse-names":false,"suffix":""},{"dropping-particle":"","family":"Beckmann","given":"Michael","non-dropping-particle":"","parse-names":false,"suffix":""},{"dropping-particle":"","family":"Martin","given":"Philip A.","non-dropping-particle":"","parse-names":false,"suffix":""},{"dropping-particle":"","family":"Christie","given":"Alec P.","non-dropping-particle":"","parse-names":false,"suffix":""},{"dropping-particle":"","family":"Duguid","given":"Marlyse C.","non-dropping-particle":"","parse-names":false,"suffix":""},{"dropping-particle":"","family":"Doncaster","given":"C. Patrick","non-dropping-particle":"","parse-names":false,"suffix":""}],"container-title":"Ecology Letters","id":"ITEM-2","issue":"2","issued":{"date-parts":[["2021"]]},"page":"374-390","title":"Implications of scale dependence for cross-study syntheses of biodiversity differences","type":"article-journal","volume":"24"},"uris":["http://www.mendeley.com/documents/?uuid=48976cc1-5b2f-4fe6-b5f8-3ae418133379"]}],"mendeley":{"formattedCitation":"&lt;sup&gt;30,32&lt;/sup&gt;","plainTextFormattedCitation":"30,32","previouslyFormattedCitation":"&lt;sup&gt;30,32&lt;/sup&gt;"},"properties":{"noteIndex":0},"schema":"https://github.com/citation-style-language/schema/raw/master/csl-citation.json"}</w:instrText>
      </w:r>
      <w:r w:rsidR="00300B1E">
        <w:fldChar w:fldCharType="separate"/>
      </w:r>
      <w:r w:rsidR="00852C49" w:rsidRPr="00852C49">
        <w:rPr>
          <w:noProof/>
          <w:vertAlign w:val="superscript"/>
        </w:rPr>
        <w:t>30,32</w:t>
      </w:r>
      <w:r w:rsidR="00300B1E">
        <w:fldChar w:fldCharType="end"/>
      </w:r>
      <w:r>
        <w:t xml:space="preserve">; </w:t>
      </w:r>
      <w:r>
        <w:rPr>
          <w:highlight w:val="white"/>
        </w:rPr>
        <w:t xml:space="preserve">variously factoring confounding variability in or out. </w:t>
      </w:r>
      <w:r>
        <w:t xml:space="preserve">A meta-analyst typically equates the different covariate configurations and study designs of primary studies when estimating effect sizes from treatment group means, and so introduces differing degrees of omitted variable bias and internal validity among the included primary studies. </w:t>
      </w:r>
    </w:p>
    <w:p w14:paraId="430877EC" w14:textId="29EA4E5C" w:rsidR="00F24A29" w:rsidRDefault="00313CC5">
      <w:pPr>
        <w:pStyle w:val="Heading3"/>
      </w:pPr>
      <w:bookmarkStart w:id="7" w:name="_1t3h5sf" w:colFirst="0" w:colLast="0"/>
      <w:bookmarkEnd w:id="7"/>
      <w:r>
        <w:t xml:space="preserve">Step 2: </w:t>
      </w:r>
      <w:r w:rsidR="00795080">
        <w:t xml:space="preserve">Estimating </w:t>
      </w:r>
      <w:r>
        <w:t>heterogeneity</w:t>
      </w:r>
    </w:p>
    <w:p w14:paraId="36ED7A24" w14:textId="0D159E7B" w:rsidR="00F24A29" w:rsidRDefault="00313CC5">
      <w:pPr>
        <w:rPr>
          <w:highlight w:val="white"/>
        </w:rPr>
      </w:pPr>
      <w:r>
        <w:t>The mean effects reported by a synthesis cannot be properly interpreted without an analysis of heterogeneity, or inconsistency, among effect sizes</w:t>
      </w:r>
      <w:r w:rsidR="00300B1E">
        <w:fldChar w:fldCharType="begin" w:fldLock="1"/>
      </w:r>
      <w:r w:rsidR="00F23EB1">
        <w:instrText>ADDIN CSL_CITATION {"citationItems":[{"id":"ITEM-1","itemData":{"DOI":"10.1186/s12915-017-0357-7","ISBN":"1291501703","ISSN":"17417007","PMID":"28257642","abstract":"Meta-analysis is a statistical procedure for analyzing the combined data from different studies, and can be a major source of concise up-to-date information. The overall conclusions of a meta-analysis, however, depend heavily on the quality of the meta-analytic process, and an appropriate evaluation of the quality of meta-analysis (meta-evaluation) can be challenging. We outline ten questions biologists can ask to critically appraise a meta-analysis. These questions could also act as simple and accessible guidelines for the authors of meta-analyses. We focus on meta-analyses using non-human species, which we term 'biological' meta-analysis. Our ten questions are aimed at enabling a biologist to evaluate whether a biological meta-analysis embodies 'mega-enlightenment', a 'mega-mistake', or something in between.","author":[{"dropping-particle":"","family":"Nakagawa","given":"Shinichi","non-dropping-particle":"","parse-names":false,"suffix":""},{"dropping-particle":"","family":"Noble","given":"Daniel W.A.","non-dropping-particle":"","parse-names":false,"suffix":""},{"dropping-particle":"","family":"Senior","given":"Alistair M.","non-dropping-particle":"","parse-names":false,"suffix":""},{"dropping-particle":"","family":"Lagisz","given":"Malgorzata","non-dropping-particle":"","parse-names":false,"suffix":""}],"container-title":"BMC Biology","id":"ITEM-1","issue":"1","issued":{"date-parts":[["2017"]]},"page":"1-14","publisher":"BMC Biology","title":"Meta-evaluation of meta-analysis: Ten appraisal questions for biologists","type":"article-journal","volume":"15"},"uris":["http://www.mendeley.com/documents/?uuid=0189b479-6a27-4645-a23d-5c27a5baad7e"]}],"mendeley":{"formattedCitation":"&lt;sup&gt;33&lt;/sup&gt;","plainTextFormattedCitation":"33","previouslyFormattedCitation":"&lt;sup&gt;33&lt;/sup&gt;"},"properties":{"noteIndex":0},"schema":"https://github.com/citation-style-language/schema/raw/master/csl-citation.json"}</w:instrText>
      </w:r>
      <w:r w:rsidR="00300B1E">
        <w:fldChar w:fldCharType="separate"/>
      </w:r>
      <w:r w:rsidR="00852C49" w:rsidRPr="00852C49">
        <w:rPr>
          <w:noProof/>
          <w:vertAlign w:val="superscript"/>
        </w:rPr>
        <w:t>33</w:t>
      </w:r>
      <w:r w:rsidR="00300B1E">
        <w:fldChar w:fldCharType="end"/>
      </w:r>
      <w:r>
        <w:t>. For meta-analysis, the</w:t>
      </w:r>
      <w:r>
        <w:rPr>
          <w:i/>
        </w:rPr>
        <w:t xml:space="preserve"> I</w:t>
      </w:r>
      <w:r>
        <w:rPr>
          <w:vertAlign w:val="superscript"/>
        </w:rPr>
        <w:t>2</w:t>
      </w:r>
      <w:r>
        <w:t xml:space="preserve"> statistic represents the percentage of variance between effect sizes that cannot be attributed to sampling error</w:t>
      </w:r>
      <w:r w:rsidR="00300B1E">
        <w:fldChar w:fldCharType="begin" w:fldLock="1"/>
      </w:r>
      <w:r w:rsidR="00F23EB1">
        <w:instrText>ADDIN CSL_CITATION {"citationItems":[{"id":"ITEM-1","itemData":{"DOI":"10.1002/sim.1186","ISSN":"02776715","PMID":"12111919","abstract":"The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X2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 Copyright © 2002 John Wiley &amp; Sons, Ltd.","author":[{"dropping-particle":"","family":"Higgins","given":"Julian P.T.","non-dropping-particle":"","parse-names":false,"suffix":""},{"dropping-particle":"","family":"Thompson","given":"Simon G.","non-dropping-particle":"","parse-names":false,"suffix":""}],"container-title":"Statistics in Medicine","id":"ITEM-1","issue":"11","issued":{"date-parts":[["2002"]]},"page":"1539-1558","title":"Quantifying heterogeneity in a meta-analysis","type":"article-journal","volume":"21"},"uris":["http://www.mendeley.com/documents/?uuid=e4e2f2d3-4faf-43a6-a984-1342420f35b3"]}],"mendeley":{"formattedCitation":"&lt;sup&gt;34&lt;/sup&gt;","plainTextFormattedCitation":"34","previouslyFormattedCitation":"&lt;sup&gt;34&lt;/sup&gt;"},"properties":{"noteIndex":0},"schema":"https://github.com/citation-style-language/schema/raw/master/csl-citation.json"}</w:instrText>
      </w:r>
      <w:r w:rsidR="00300B1E">
        <w:fldChar w:fldCharType="separate"/>
      </w:r>
      <w:r w:rsidR="00852C49" w:rsidRPr="00852C49">
        <w:rPr>
          <w:noProof/>
          <w:vertAlign w:val="superscript"/>
        </w:rPr>
        <w:t>34</w:t>
      </w:r>
      <w:r w:rsidR="00300B1E">
        <w:fldChar w:fldCharType="end"/>
      </w:r>
      <w:r>
        <w:t>. For full-data analyses, heterogeneity can be assessed using measures of random-slope variance</w:t>
      </w:r>
      <w:r>
        <w:rPr>
          <w:vertAlign w:val="superscript"/>
        </w:rPr>
        <w:t>36,37</w:t>
      </w:r>
      <w:r>
        <w:t xml:space="preserve">. </w:t>
      </w:r>
      <w:bookmarkStart w:id="8" w:name="_Hlk100578811"/>
      <w:r w:rsidR="00CD3714" w:rsidRPr="00CD3714">
        <w:t>Reviews have found that a large proportion of meta-analyses in ecology and evolution do not report heterogeneity statistics</w:t>
      </w:r>
      <w:r w:rsidR="00CD3714">
        <w:rPr>
          <w:color w:val="000000"/>
        </w:rPr>
        <w:fldChar w:fldCharType="begin" w:fldLock="1"/>
      </w:r>
      <w:r w:rsidR="00F23EB1">
        <w:rPr>
          <w:color w:val="000000"/>
        </w:rPr>
        <w:instrText>ADDIN CSL_CITATION {"citationItems":[{"id":"ITEM-1","itemData":{"DOI":"10.1186/s40536-018-0061-2","ISBN":"4053601800612","ISSN":"21960739","abstract":"Effect size reporting is crucial for interpretation of applied research results and for conducting meta-analysis. However, clear guidelines for reporting effect size in multilevel models have not been provided. This report suggests and demonstrates appropriate effect size measures including the ICC for random effects and standardized regression coefficients or f 2 for fixed effects. Following this, complexities associated with reporting R 2 as an effect size measure are explored, as well as appropriate effect size measures for more complex models including the three-level model and the random slopes model. An example using TIMSS data is provided.","author":[{"dropping-particle":"","family":"Lorah","given":"Julie","non-dropping-particle":"","parse-names":false,"suffix":""}],"container-title":"Large-Scale Assessments in Education","id":"ITEM-1","issue":"1","issued":{"date-parts":[["2018"]]},"publisher":"Springer US","title":"Effect size measures for multilevel models: definition, interpretation, and TIMSS example","type":"article-journal","volume":"6"},"uris":["http://www.mendeley.com/documents/?uuid=30d0fe01-1909-43cc-b472-632087ef5c96"]},{"id":"ITEM-2","itemData":{"DOI":"10.1101/2020.03.11.987073","ISSN":"2692-8205","abstract":"Individuals differ in average phenotypes, but also in sensitivity to environmental variation. Such variation is biologically relevant, because it reflects variation in reaction norms. Between-individual variation in average phenotypes is typically quantified as random-intercept variation in linear mixed-effects models or as intra-class correlations (also known as repeatability). Similarly, context-sensitivity can be modelled as random-slope variation. However, random-slope variation implies that between-individual variation varies across the range of a covariate (environment, context, time or age) and has thus been called ‘conditional’ repeatability. While studies fitting random-slope models are on a rapid increase, there is a lack of a general concept for the quantification of context-sensitive between-individual variation. We here propose to put reaction-norm (random-slope) variation in perspective of the total phenotypic variance and suggest a way of standardization that we call random-slope coefficient of determination RS2 . Furthermore, we illustrate that instead of the random-intercept variance, the average repeatability across an environmental gradient will be a biologically more relevant description of between-individual variation and we call this the marginalized repeatability Rmar. We provide simple equation to calculated key descriptors of conditional repeatabilities, clarify the difference between random-intercept variation and average between-individual variation and make recommendations for comprehensive reporting. Most importantly, reporting should include means and variances of covariates. While we introduce the concept with individual-variation in mind, the framework is equally applicable to other type of between-group/cluster variation that varies across some (environmental) gradient.","author":[{"dropping-particle":"","family":"Schielzeth","given":"Holger","non-dropping-particle":"","parse-names":false,"suffix":""},{"dropping-particle":"","family":"Nakagawa","given":"Shinichi","non-dropping-particle":"","parse-names":false,"suffix":""}],"container-title":"bioRxiv","id":"ITEM-2","issued":{"date-parts":[["2020"]]},"title":"Conditional repeatability and the variance explained by reaction norm variation in random slope models","type":"article-journal"},"uris":["http://www.mendeley.com/documents/?uuid=d5496e8e-6fb3-4661-8f56-710a33a4bfb5"]}],"mendeley":{"formattedCitation":"&lt;sup&gt;35,36&lt;/sup&gt;","plainTextFormattedCitation":"35,36","previouslyFormattedCitation":"&lt;sup&gt;35,36&lt;/sup&gt;"},"properties":{"noteIndex":0},"schema":"https://github.com/citation-style-language/schema/raw/master/csl-citation.json"}</w:instrText>
      </w:r>
      <w:r w:rsidR="00CD3714">
        <w:rPr>
          <w:color w:val="000000"/>
        </w:rPr>
        <w:fldChar w:fldCharType="separate"/>
      </w:r>
      <w:r w:rsidR="00852C49" w:rsidRPr="00852C49">
        <w:rPr>
          <w:noProof/>
          <w:color w:val="000000"/>
          <w:vertAlign w:val="superscript"/>
        </w:rPr>
        <w:t>35,36</w:t>
      </w:r>
      <w:r w:rsidR="00CD3714">
        <w:rPr>
          <w:color w:val="000000"/>
        </w:rPr>
        <w:fldChar w:fldCharType="end"/>
      </w:r>
      <w:r w:rsidR="00CD3714">
        <w:rPr>
          <w:color w:val="000000"/>
          <w:highlight w:val="white"/>
        </w:rPr>
        <w:t>,</w:t>
      </w:r>
      <w:r w:rsidR="00CD3714">
        <w:rPr>
          <w:color w:val="000000"/>
        </w:rPr>
        <w:t xml:space="preserve"> </w:t>
      </w:r>
      <w:r w:rsidR="00CD3714" w:rsidRPr="00CD3714">
        <w:t xml:space="preserve">and/or present aggregated mean effects that can conceal variability even within relatively homogeneous </w:t>
      </w:r>
      <w:r>
        <w:rPr>
          <w:color w:val="000000"/>
        </w:rPr>
        <w:t>subgroups</w:t>
      </w:r>
      <w:r>
        <w:rPr>
          <w:color w:val="000000"/>
          <w:vertAlign w:val="superscript"/>
        </w:rPr>
        <w:t>40</w:t>
      </w:r>
      <w:r>
        <w:rPr>
          <w:color w:val="000000"/>
        </w:rPr>
        <w:t>. Yet heterogeneity is critical to interpreting mean effects</w:t>
      </w:r>
      <w:r>
        <w:rPr>
          <w:vertAlign w:val="superscript"/>
        </w:rPr>
        <w:t>34</w:t>
      </w:r>
      <w:r>
        <w:t xml:space="preserve">. </w:t>
      </w:r>
      <w:bookmarkEnd w:id="8"/>
      <w:r>
        <w:t xml:space="preserve">For example, consider that </w:t>
      </w:r>
      <w:r>
        <w:rPr>
          <w:highlight w:val="white"/>
        </w:rPr>
        <w:t>a mean effect of zero biodiversity change with land use change</w:t>
      </w:r>
      <w:r>
        <w:rPr>
          <w:i/>
          <w:highlight w:val="white"/>
        </w:rPr>
        <w:t xml:space="preserve"> </w:t>
      </w:r>
      <w:r>
        <w:rPr>
          <w:highlight w:val="white"/>
        </w:rPr>
        <w:t>can be achieved under two circumstances: i) effect sizes are all zero (homogenous; low between-study variance), or ii) effect sizes are very different but centred on zero (heterogeneous; high between study variance)</w:t>
      </w:r>
      <w:r w:rsidR="00CB7BB2">
        <w:rPr>
          <w:highlight w:val="white"/>
        </w:rPr>
        <w:t xml:space="preserve">, with high heterogeneity signalling a need to explore the nature or drivers of the </w:t>
      </w:r>
      <w:r w:rsidR="00CB7BB2">
        <w:rPr>
          <w:highlight w:val="white"/>
        </w:rPr>
        <w:lastRenderedPageBreak/>
        <w:t>variation.</w:t>
      </w:r>
      <w:r>
        <w:rPr>
          <w:highlight w:val="white"/>
        </w:rPr>
        <w:t xml:space="preserve"> </w:t>
      </w:r>
      <w:r w:rsidR="00881A3A">
        <w:t xml:space="preserve">It is important to present the </w:t>
      </w:r>
      <w:r>
        <w:t xml:space="preserve">range and variability of effect sizes alongside main effect interpretation, using </w:t>
      </w:r>
      <w:proofErr w:type="spellStart"/>
      <w:r>
        <w:t>e,g</w:t>
      </w:r>
      <w:proofErr w:type="spellEnd"/>
      <w:r w:rsidR="00C8056C">
        <w:t>.</w:t>
      </w:r>
      <w:r>
        <w:t xml:space="preserve">, </w:t>
      </w:r>
      <w:r w:rsidR="004E65E8">
        <w:t xml:space="preserve">orchard </w:t>
      </w:r>
      <w:r>
        <w:t>plots</w:t>
      </w:r>
      <w:r w:rsidR="00866092">
        <w:rPr>
          <w:vertAlign w:val="superscript"/>
        </w:rPr>
        <w:fldChar w:fldCharType="begin" w:fldLock="1"/>
      </w:r>
      <w:r w:rsidR="00F23EB1">
        <w:rPr>
          <w:vertAlign w:val="superscript"/>
        </w:rPr>
        <w:instrText>ADDIN CSL_CITATION {"citationItems":[{"id":"ITEM-1","itemData":{"DOI":"10.1002/jrsm.1424","ISSN":"17592887","PMID":"32445243","abstract":"“Classic” forest plots show the effect sizes from individual studies and the aggregate effect from a meta-analysis. However, in ecology and evolution, meta-analyses routinely contain over 100 effect sizes, making the classic forest plot of limited use. We surveyed 102 meta-analyses in ecology and evolution, finding that only 11% use the classic forest plot. Instead, most used a “forest-like plot,” showing point estimates (with 95% confidence intervals [CIs]) from a series of subgroups or categories in a meta-regression. We propose a modification of the forest-like plot, which we name the “orchard plot.” Orchard plots, in addition to showing overall mean effects and CIs from meta-analyses/regressions, also include 95% prediction intervals (PIs), and the individual effect sizes scaled by their precision. The PI allows the user and reader to see the range in which an effect size from a future study may be expected to fall. The PI, therefore, provides an intuitive interpretation of any heterogeneity in the data. Supplementing the PI, the inclusion of underlying effect sizes also allows the user to see any influential or outlying effect sizes. We showcase the orchard plot with example datasets from ecology and evolution, using the R package, orchard, including several functions for visualizing meta-analytic data using forest-plot derivatives. We consider the orchard plot as a variant on the classic forest plot, cultivated to the needs of meta-analysts in ecology and evolution. Hopefully, the orchard plot will prove fruitful for visualizing large collections of heterogeneous effect sizes regardless of the field of study.","author":[{"dropping-particle":"","family":"Nakagawa","given":"Shinichi","non-dropping-particle":"","parse-names":false,"suffix":""},{"dropping-particle":"","family":"Lagisz","given":"Malgorzata","non-dropping-particle":"","parse-names":false,"suffix":""},{"dropping-particle":"","family":"O'Dea","given":"Rose E.","non-dropping-particle":"","parse-names":false,"suffix":""},{"dropping-particle":"","family":"Rutkowska","given":"Joanna","non-dropping-particle":"","parse-names":false,"suffix":""},{"dropping-particle":"","family":"Yang","given":"Yefeng","non-dropping-particle":"","parse-names":false,"suffix":""},{"dropping-particle":"","family":"Noble","given":"Daniel W.A.","non-dropping-particle":"","parse-names":false,"suffix":""},{"dropping-particle":"","family":"Senior","given":"Alistair M.","non-dropping-particle":"","parse-names":false,"suffix":""}],"container-title":"Research Synthesis Methods","id":"ITEM-1","issue":"1","issued":{"date-parts":[["2021"]]},"page":"4-12","title":"The orchard plot: Cultivating a forest plot for use in ecology, evolution, and beyond","type":"article-journal","volume":"12"},"uris":["http://www.mendeley.com/documents/?uuid=efd4b7d6-5994-4443-a4dd-1c30d7bc61ef"]}],"mendeley":{"formattedCitation":"&lt;sup&gt;37&lt;/sup&gt;","plainTextFormattedCitation":"37","previouslyFormattedCitation":"&lt;sup&gt;37&lt;/sup&gt;"},"properties":{"noteIndex":0},"schema":"https://github.com/citation-style-language/schema/raw/master/csl-citation.json"}</w:instrText>
      </w:r>
      <w:r w:rsidR="00866092">
        <w:rPr>
          <w:vertAlign w:val="superscript"/>
        </w:rPr>
        <w:fldChar w:fldCharType="separate"/>
      </w:r>
      <w:r w:rsidR="00852C49" w:rsidRPr="00852C49">
        <w:rPr>
          <w:noProof/>
          <w:vertAlign w:val="superscript"/>
        </w:rPr>
        <w:t>37</w:t>
      </w:r>
      <w:r w:rsidR="00866092">
        <w:rPr>
          <w:vertAlign w:val="superscript"/>
        </w:rPr>
        <w:fldChar w:fldCharType="end"/>
      </w:r>
      <w:r w:rsidR="00866092">
        <w:rPr>
          <w:vertAlign w:val="superscript"/>
        </w:rPr>
        <w:t xml:space="preserve"> </w:t>
      </w:r>
      <w:r>
        <w:t>(e.g. as in</w:t>
      </w:r>
      <w:r w:rsidR="00471245">
        <w:t xml:space="preserve"> refs</w:t>
      </w:r>
      <w:r>
        <w:t xml:space="preserve"> </w:t>
      </w:r>
      <w:r w:rsidR="00866092" w:rsidRPr="00471245">
        <w:fldChar w:fldCharType="begin" w:fldLock="1"/>
      </w:r>
      <w:r w:rsidR="00F23EB1" w:rsidRPr="00471245">
        <w:instrText>ADDIN CSL_CITATION {"citationItems":[{"id":"ITEM-1","itemData":{"DOI":"10.1111/1365-2745.13841","ISSN":"13652745","abstract":"Induced anti-herbivore defences in plants can shape ecosystem structure and functions. Since these are known to be highly variable, quantifying their sources of variation remains important to understand their eco-evolutionary roles. We conducted meta-analysis of 647 experiments (paired control and treatment) from 192 studies to address sources of variation in induced anti-herbivore defensive traits. This covered different agents of herbivory (insect, mammal and clipping), studies in greenhouse and in field settings, and covered 24 types of defence traits in 163 species from 50 families across 24 angiosperm orders. We used meta-regression models—multi-level random-effects (MLREs) and robust variance estimators (RVEs)—to quantify variation due to study setting, herbivore type, chemical identity, angiosperm order, volatility, fertilization, and publication year as moderator variables. There were strong indications for publication bias in favour of large effect sizes, and studies with adequate sample size and precision were rare. Strength of induction was distributed uniformly over the phylogeny of 24 angiosperm orders. Stronger effects were reported from greenhouses than in field conditions, and induction was uninfluenced by herbivore type. Volatiles showed stronger response than non-volatiles in greenhouses for insects. Biosynthetic precursors (e.g. jasmonates) and many defensive chemicals were induced in the greenhouse, but when measured in field conditions, they were unresponsive to herbivory and appear to be constitutive. Similar to constitutive response, induced responses were also unaffected by fertilization. Direction and magnitude of induction differ greatly from previous assessments as these have also changed over time, representing natural epistemological growth. A third of the variability was explained by moderators (marginal R2: chemical identity, angiosperm order, study setting, herbivore type and publication year); another third (conditional R2) was attributed to the identity of individual studies and observations. Synthesis. Manipulative experiments reveal many intrinsic differences among defensive chemicals and traits. They suggest plants in greenhouses may respond very differently to herbivores from those in field conditions. Although biosynthetic pathways of chemical responses, their modes of action and their effects on herbivores are well-understood, studies with greater statistical power under ecologically relevant settings are needed t…","author":[{"dropping-particle":"","family":"Ojha","given":"Megha","non-dropping-particle":"","parse-names":false,"suffix":""},{"dropping-particle":"","family":"Naidu","given":"Dilip G.T.","non-dropping-particle":"","parse-names":false,"suffix":""},{"dropping-particle":"","family":"Bagchi","given":"Sumanta","non-dropping-particle":"","parse-names":false,"suffix":""}],"container-title":"Journal of Ecology","id":"ITEM-1","issue":"December 2021","issued":{"date-parts":[["2022"]]},"page":"1-18","title":"Meta-analysis of induced anti-herbivore defence traits in plants from 647 manipulative experiments with natural and simulated herbivory","type":"article-journal"},"uris":["http://www.mendeley.com/documents/?uuid=c7bad98f-6c5f-46e0-8ab4-8700a154fd79"]},{"id":"ITEM-2","itemData":{"DOI":"10.1016/j.jenvman.2022.114549","ISSN":"10958630","PMID":"35092888","abstract":"Urbanisation of coastal areas and growth in the blue economy drive the proliferation of artificial structures in marine environments. These structures support distinct ecological communities compared to natural hard substrates, potentially reflecting differences in the materials from which they are constructed. We undertook a meta-analysis of 46 studies to compare the effects of different material types (natural or eco-friendly vs. artificial) on the colonising biota on built structures. Neither the abundance nor richness of colonists displayed consistent patterns of difference between artificial and natural substrates or between eco-friendly and standard concrete. Instead, there were differences in the abundance of organisms (but not richness) between artificial and natural materials, that varied according to material type and by functional group. When compared to biogenic materials and rock, polymer and metal supported significantly lower abundances of total benthic species (in studies assessing sessile and mobile species together), sessile invertebrates and corals (in studies assessing these groups individually). In contrast, non-indigenous species were significantly more abundant on wood than metal. Concrete supported greater abundances of the general community, including habitat-forming species, compared to wood. Our results suggest that the ecological requirements of the biological community, alongside economic, logistic and engineering factors should be considered in material selection for multifunctional marine structures that deliver both engineering and ecological (enhanced abundance and diversity) benefits.","author":[{"dropping-particle":"","family":"Dodds","given":"Kate C.","non-dropping-particle":"","parse-names":false,"suffix":""},{"dropping-particle":"","family":"Schaefer","given":"Nina","non-dropping-particle":"","parse-names":false,"suffix":""},{"dropping-particle":"","family":"Bishop","given":"Melanie J.","non-dropping-particle":"","parse-names":false,"suffix":""},{"dropping-particle":"","family":"Nakagawa","given":"Shinichi","non-dropping-particle":"","parse-names":false,"suffix":""},{"dropping-particle":"","family":"Brooks","given":"Paul R.","non-dropping-particle":"","parse-names":false,"suffix":""},{"dropping-particle":"","family":"Knights","given":"Antony M.","non-dropping-particle":"","parse-names":false,"suffix":""},{"dropping-particle":"","family":"Strain","given":"Elisabeth M.A.","non-dropping-particle":"","parse-names":false,"suffix":""}],"container-title":"Journal of Environmental Management","id":"ITEM-2","issued":{"date-parts":[["2022"]]},"publisher":"Elsevier Ltd","title":"Material type influences the abundance but not richness of colonising organisms on marine structures","type":"article-journal","volume":"307"},"uris":["http://www.mendeley.com/documents/?uuid=f617a5cc-abe1-4729-b093-e23388a8a010"]}],"mendeley":{"formattedCitation":"&lt;sup&gt;38,39&lt;/sup&gt;","plainTextFormattedCitation":"38,39","previouslyFormattedCitation":"&lt;sup&gt;38,39&lt;/sup&gt;"},"properties":{"noteIndex":0},"schema":"https://github.com/citation-style-language/schema/raw/master/csl-citation.json"}</w:instrText>
      </w:r>
      <w:r w:rsidR="00866092" w:rsidRPr="00471245">
        <w:fldChar w:fldCharType="separate"/>
      </w:r>
      <w:r w:rsidR="00852C49" w:rsidRPr="00952883">
        <w:rPr>
          <w:noProof/>
        </w:rPr>
        <w:t>38,39</w:t>
      </w:r>
      <w:r w:rsidR="00866092" w:rsidRPr="00471245">
        <w:fldChar w:fldCharType="end"/>
      </w:r>
      <w:r>
        <w:t>), and density plots (as i</w:t>
      </w:r>
      <w:r w:rsidR="00866092">
        <w:t>n</w:t>
      </w:r>
      <w:r w:rsidR="00471245">
        <w:t xml:space="preserve"> refs</w:t>
      </w:r>
      <w:r w:rsidR="00866092">
        <w:t xml:space="preserve"> </w:t>
      </w:r>
      <w:r w:rsidR="00866092" w:rsidRPr="00471245">
        <w:fldChar w:fldCharType="begin" w:fldLock="1"/>
      </w:r>
      <w:r w:rsidR="00F23EB1" w:rsidRPr="00471245">
        <w:instrText>ADDIN CSL_CITATION {"citationItems":[{"id":"ITEM-1","itemData":{"DOI":"10.1111/oik.03652","ISSN":"16000706","abstract":"Species diversity affects the functioning of ecosystems, including the efficiency by which communities capture limited resources, produce biomass, recycle and retain biologically essential nutrients. These ecological functions ultimately support the ecosystem services upon which humanity depends. Despite hundreds of experimental tests of the effect of biodiversity on ecosystem function (BEF), it remains unclear whether diversity effects are sufficiently general that we can use a single relationship to quantitatively predict how changes in species richness alter an ecosystem function across trophic levels, ecosystems and ecological conditions. Our objective here is to determine whether a general relationship exists between biodiversity and standing biomass. We used hierarchical mixed effects models, based on a power function between species richness and biomass production (Y = a × Sb), and a database of 374 published experiments to estimate the BEF relationship (the change in biomass with the addition of species), and its associated uncertainty, in the context of environmental factors. We found that the mean relationship (b = 0.26, 95% CI: 0.16, 0.37) characterized the vast majority of observations, was robust to differences in experimental design, and was independent of the range of species richness levels considered. However, the richness–biomass relationship varied by trophic level and among ecosystems; in aquatic systems b was nearly twice as large for consumers (herbivores and detritivores) compared to primary producers; in terrestrial ecosystems, b for detritivores was negative but depended on few studies. We estimated changes in biomass expected for a range of changes in species richness, highlighting that species loss has greater implications than species gains, skewing a distribution of biomass change relative to observed species richness change. When biomass provides a good proxy for processes that underpin ecosystem services, this relationship could be used as a step in modeling the production of ecosystem services and their dependence on biodiversity.","author":[{"dropping-particle":"","family":"O'Connor","given":"Mary I.","non-dropping-particle":"","parse-names":false,"suffix":""},{"dropping-particle":"","family":"Gonzalez","given":"Andrew","non-dropping-particle":"","parse-names":false,"suffix":""},{"dropping-particle":"","family":"Byrnes","given":"Jarrett E.K.","non-dropping-particle":"","parse-names":false,"suffix":""},{"dropping-particle":"","family":"Cardinale","given":"Bradley J.","non-dropping-particle":"","parse-names":false,"suffix":""},{"dropping-particle":"","family":"Duffy","given":"J. Emmett","non-dropping-particle":"","parse-names":false,"suffix":""},{"dropping-particle":"","family":"Gamfeldt","given":"Lars","non-dropping-particle":"","parse-names":false,"suffix":""},{"dropping-particle":"","family":"Griffin","given":"John N.","non-dropping-particle":"","parse-names":false,"suffix":""},{"dropping-particle":"","family":"Hooper","given":"David","non-dropping-particle":"","parse-names":false,"suffix":""},{"dropping-particle":"","family":"Hungate","given":"Bruce A.","non-dropping-particle":"","parse-names":false,"suffix":""},{"dropping-particle":"","family":"Paquette","given":"Alain","non-dropping-particle":"","parse-names":false,"suffix":""},{"dropping-particle":"","family":"Thompson","given":"Patrick L.","non-dropping-particle":"","parse-names":false,"suffix":""},{"dropping-particle":"","family":"Dee","given":"Laura E.","non-dropping-particle":"","parse-names":false,"suffix":""},{"dropping-particle":"","family":"Dolan","given":"Kristin L.","non-dropping-particle":"","parse-names":false,"suffix":""}],"container-title":"Oikos","id":"ITEM-1","issue":"1","issued":{"date-parts":[["2017"]]},"page":"18-31","title":"A general biodiversity–function relationship is mediated by trophic level","type":"article-journal","volume":"126"},"uris":["http://www.mendeley.com/documents/?uuid=e7a20a8e-404b-4b49-8c0f-1201931b1782"]}],"mendeley":{"formattedCitation":"&lt;sup&gt;40&lt;/sup&gt;","plainTextFormattedCitation":"40","previouslyFormattedCitation":"&lt;sup&gt;40&lt;/sup&gt;"},"properties":{"noteIndex":0},"schema":"https://github.com/citation-style-language/schema/raw/master/csl-citation.json"}</w:instrText>
      </w:r>
      <w:r w:rsidR="00866092" w:rsidRPr="00471245">
        <w:fldChar w:fldCharType="separate"/>
      </w:r>
      <w:r w:rsidR="00852C49" w:rsidRPr="00952883">
        <w:rPr>
          <w:noProof/>
        </w:rPr>
        <w:t>40</w:t>
      </w:r>
      <w:r w:rsidR="00866092" w:rsidRPr="00471245">
        <w:fldChar w:fldCharType="end"/>
      </w:r>
      <w:r w:rsidR="00471245">
        <w:t xml:space="preserve">, </w:t>
      </w:r>
      <w:r w:rsidR="00866092" w:rsidRPr="00471245">
        <w:fldChar w:fldCharType="begin" w:fldLock="1"/>
      </w:r>
      <w:r w:rsidR="00F23EB1" w:rsidRPr="00471245">
        <w:instrText>ADDIN CSL_CITATION {"citationItems":[{"id":"ITEM-1","itemData":{"author":[{"dropping-particle":"","family":"Dornelas","given":"Maria","non-dropping-particle":"","parse-names":false,"suffix":""},{"dropping-particle":"","family":"Gotelli","given":"Nicholas J","non-dropping-particle":"","parse-names":false,"suffix":""},{"dropping-particle":"","family":"McGill","given":"Brian","non-dropping-particle":"","parse-names":false,"suffix":""},{"dropping-particle":"","family":"Shimadzu","given":"Hideyasu","non-dropping-particle":"","parse-names":false,"suffix":""},{"dropping-particle":"","family":"Moyes","given":"Faye","non-dropping-particle":"","parse-names":false,"suffix":""},{"dropping-particle":"","family":"Sievers","given":"Caya","non-dropping-particle":"","parse-names":false,"suffix":""},{"dropping-particle":"","family":"Magurran","given":"Anne E","non-dropping-particle":"","parse-names":false,"suffix":""}],"container-title":"Science","id":"ITEM-1","issue":"6181","issued":{"date-parts":[["2014"]]},"page":"296-299","publisher":"American Association for the Advancement of Science","title":"Assemblage time series reveal biodiversity change but not systematic loss","type":"article-journal","volume":"344"},"uris":["http://www.mendeley.com/documents/?uuid=a3926cbd-a1d6-4b0e-977c-757a1f8ded07"]}],"mendeley":{"formattedCitation":"&lt;sup&gt;41&lt;/sup&gt;","plainTextFormattedCitation":"41","previouslyFormattedCitation":"&lt;sup&gt;41&lt;/sup&gt;"},"properties":{"noteIndex":0},"schema":"https://github.com/citation-style-language/schema/raw/master/csl-citation.json"}</w:instrText>
      </w:r>
      <w:r w:rsidR="00866092" w:rsidRPr="00471245">
        <w:fldChar w:fldCharType="separate"/>
      </w:r>
      <w:r w:rsidR="00852C49" w:rsidRPr="00952883">
        <w:rPr>
          <w:noProof/>
        </w:rPr>
        <w:t>41</w:t>
      </w:r>
      <w:r w:rsidR="00866092" w:rsidRPr="00471245">
        <w:fldChar w:fldCharType="end"/>
      </w:r>
      <w:r>
        <w:t>).</w:t>
      </w:r>
    </w:p>
    <w:p w14:paraId="4F739603" w14:textId="4EEA26B7" w:rsidR="00F24A29" w:rsidRDefault="00313CC5">
      <w:r>
        <w:t>Ecological syntheses that estimate between-study variability often report very high heterogeneity (</w:t>
      </w:r>
      <w:r>
        <w:rPr>
          <w:i/>
        </w:rPr>
        <w:t>I</w:t>
      </w:r>
      <w:r>
        <w:rPr>
          <w:vertAlign w:val="superscript"/>
        </w:rPr>
        <w:t>2</w:t>
      </w:r>
      <w:r>
        <w:t xml:space="preserve"> values ~90</w:t>
      </w:r>
      <w:r w:rsidR="00866092">
        <w:t>%)</w:t>
      </w:r>
      <w:r w:rsidR="00866092">
        <w:fldChar w:fldCharType="begin" w:fldLock="1"/>
      </w:r>
      <w:r w:rsidR="00F23EB1">
        <w:instrText>ADDIN CSL_CITATION {"citationItems":[{"id":"ITEM-1","itemData":{"author":[{"dropping-particle":"","family":"Senior","given":"A.M.","non-dropping-particle":"","parse-names":false,"suffix":""},{"dropping-particle":"","family":"Grueber","given":"C.E.","non-dropping-particle":"","parse-names":false,"suffix":""},{"dropping-particle":"","family":"Kamiya","given":"T.","non-dropping-particle":"","parse-names":false,"suffix":""},{"dropping-particle":"","family":"Lagisz","given":"M.","non-dropping-particle":"","parse-names":false,"suffix":""},{"dropping-particle":"","family":"O'Dwyer","given":"K.","non-dropping-particle":"","parse-names":false,"suffix":""},{"dropping-particle":"","family":"Santos","given":"E.S.A.","non-dropping-particle":"","parse-names":false,"suffix":""},{"dropping-particle":"","family":"Nakagawa","given":"S.","non-dropping-particle":"","parse-names":false,"suffix":""}],"container-title":"Ecology","id":"ITEM-1","issue":"12","issued":{"date-parts":[["2016"]]},"page":"3293-3299","title":"Heterogeneity in ecological and evolutionary meta- analyses: its magnitude and implications","type":"article-journal","volume":"97"},"uris":["http://www.mendeley.com/documents/?uuid=987846f2-518d-4111-b227-1b7f039d5869"]}],"mendeley":{"formattedCitation":"&lt;sup&gt;42&lt;/sup&gt;","plainTextFormattedCitation":"42","previouslyFormattedCitation":"&lt;sup&gt;42&lt;/sup&gt;"},"properties":{"noteIndex":0},"schema":"https://github.com/citation-style-language/schema/raw/master/csl-citation.json"}</w:instrText>
      </w:r>
      <w:r w:rsidR="00866092">
        <w:fldChar w:fldCharType="separate"/>
      </w:r>
      <w:r w:rsidR="00852C49" w:rsidRPr="00852C49">
        <w:rPr>
          <w:noProof/>
          <w:vertAlign w:val="superscript"/>
        </w:rPr>
        <w:t>42</w:t>
      </w:r>
      <w:r w:rsidR="00866092">
        <w:fldChar w:fldCharType="end"/>
      </w:r>
      <w:r>
        <w:t>, and random slope variances</w:t>
      </w:r>
      <w:r w:rsidR="00866092">
        <w:fldChar w:fldCharType="begin" w:fldLock="1"/>
      </w:r>
      <w:r w:rsidR="00F23EB1">
        <w:instrText>ADDIN CSL_CITATION {"citationItems":[{"id":"ITEM-1","itemData":{"author":[{"dropping-particle":"","family":"Blowes","given":"Shane A","non-dropping-particle":"","parse-names":false,"suffix":""},{"dropping-particle":"","family":"Supp","given":"Sarah R","non-dropping-particle":"","parse-names":false,"suffix":""},{"dropping-particle":"","family":"Antão","given":"Laura H","non-dropping-particle":"","parse-names":false,"suffix":""},{"dropping-particle":"","family":"Bates","given":"Amanda","non-dropping-particle":"","parse-names":false,"suffix":""},{"dropping-particle":"","family":"Bruelheide","given":"Helge","non-dropping-particle":"","parse-names":false,"suffix":""},{"dropping-particle":"","family":"Chase","given":"Jonathan M","non-dropping-particle":"","parse-names":false,"suffix":""},{"dropping-particle":"","family":"Moyes","given":"Faye","non-dropping-particle":"","parse-names":false,"suffix":""},{"dropping-particle":"","family":"Magurran","given":"Anne","non-dropping-particle":"","parse-names":false,"suffix":""},{"dropping-particle":"","family":"McGill","given":"Brian","non-dropping-particle":"","parse-names":false,"suffix":""},{"dropping-particle":"","family":"Myers-Smith","given":"Isla H","non-dropping-particle":"","parse-names":false,"suffix":""},{"dropping-particle":"","family":"others","given":"","non-dropping-particle":"","parse-names":false,"suffix":""}],"container-title":"Science","id":"ITEM-1","issue":"6463","issued":{"date-parts":[["2019"]]},"page":"339-345","publisher":"American Association for the Advancement of Science","title":"The geography of biodiversity change in marine and terrestrial assemblages","type":"article-journal","volume":"366"},"uris":["http://www.mendeley.com/documents/?uuid=cdf45eca-501d-4428-bf5a-7e1671a19b86"]}],"mendeley":{"formattedCitation":"&lt;sup&gt;43&lt;/sup&gt;","plainTextFormattedCitation":"43","previouslyFormattedCitation":"&lt;sup&gt;43&lt;/sup&gt;"},"properties":{"noteIndex":0},"schema":"https://github.com/citation-style-language/schema/raw/master/csl-citation.json"}</w:instrText>
      </w:r>
      <w:r w:rsidR="00866092">
        <w:fldChar w:fldCharType="separate"/>
      </w:r>
      <w:r w:rsidR="00852C49" w:rsidRPr="00852C49">
        <w:rPr>
          <w:noProof/>
          <w:vertAlign w:val="superscript"/>
        </w:rPr>
        <w:t>43</w:t>
      </w:r>
      <w:r w:rsidR="00866092">
        <w:fldChar w:fldCharType="end"/>
      </w:r>
      <w:r>
        <w:t xml:space="preserve">. </w:t>
      </w:r>
      <w:r w:rsidR="00A405F1">
        <w:t xml:space="preserve">Average </w:t>
      </w:r>
      <w:r>
        <w:t>effect sizes with high heterogeneity have questionable meaning</w:t>
      </w:r>
      <w:r w:rsidR="00471245">
        <w:t>. W</w:t>
      </w:r>
      <w:r>
        <w:t xml:space="preserve">hile meta-analysis of a set of similar experiments on a single species has a clear interpretation, interpreting </w:t>
      </w:r>
      <w:r w:rsidR="00981331">
        <w:t>a meta-effect</w:t>
      </w:r>
      <w:r>
        <w:t xml:space="preserve"> across species and biogeographic contexts may be questionabl</w:t>
      </w:r>
      <w:r w:rsidR="00866092">
        <w:t>e</w:t>
      </w:r>
      <w:r w:rsidR="00866092">
        <w:fldChar w:fldCharType="begin" w:fldLock="1"/>
      </w:r>
      <w:r w:rsidR="00F23EB1">
        <w:instrText>ADDIN CSL_CITATION {"citationItems":[{"id":"ITEM-1","itemData":{"DOI":"10.1111/j.1469-185X.2007.00027.x","ISSN":"14647931","PMID":"17944619","abstract":"Null hypothesis significance testing (NHST) is the dominant statistical approach in biology, although it has many, frequently unappreciated, problems. Most importantly, NHST does not provide us with two crucial pieces of information: (1) the magnitude of an effect of interest, and (2) the precision of the estimate of the magnitude of that effect. All biologists should be ultimately interested in biological importance, which may be assessed using the magnitude of an effect, but not its statistical significance. Therefore, we advocate presentation of measures of the magnitude of effects (i.e. effect size statistics) and their confidence intervals (CIs) in all biological journals. Combined use of an effect size and its CIs enables one to assess the relationships within data more effectively than the use of p values, regardless of statistical significance. In addition, routine presentation of effect sizes will encourage researchers to view their results in the context of previous research and facilitate the incorporation of results into future meta-analysis, which has been increasingly used as the standard method of quantitative review in biology. In this article, we extensively discuss two dimensionless (and thus standardised) classes of effect size statistics: d statistics (standardised mean difference) and r statistics (correlation coefficient), because these can be calculated from almost all study designs and also because their calculations are essential for meta-analysis. However, our focus on these standardised effect size statistics does not mean unstandardised effect size statistics (e.g. mean difference and regression coefficient) are less important. We provide potential solutions for four main technical problems researchers may encounter when calculating effect size and CIs: (1) when covariates exist, (2) when bias in estimating effect size is possible, (3) when data have non-normal error structure and/or variances, and (4) when data are non-independent. Although interpretations of effect sizes are often difficult, we provide some pointers to help researchers. This paper serves both as a beginner's instruction manual and a stimulus for changing statistical practice for the better in the biological sciences. © 2007 Cambridge Philosophical Society.","author":[{"dropping-particle":"","family":"Nakagawa","given":"Shinichi","non-dropping-particle":"","parse-names":false,"suffix":""},{"dropping-particle":"","family":"Cuthill","given":"Innes C.","non-dropping-particle":"","parse-names":false,"suffix":""}],"container-title":"Biological Reviews","id":"ITEM-1","issue":"4","issued":{"date-parts":[["2007"]]},"page":"591-605","title":"Effect size, confidence interval and statistical significance: A practical guide for biologists","type":"article-journal","volume":"82"},"uris":["http://www.mendeley.com/documents/?uuid=42028b01-20d0-497e-a883-798267a5d067"]}],"mendeley":{"formattedCitation":"&lt;sup&gt;44&lt;/sup&gt;","plainTextFormattedCitation":"44","previouslyFormattedCitation":"&lt;sup&gt;44&lt;/sup&gt;"},"properties":{"noteIndex":0},"schema":"https://github.com/citation-style-language/schema/raw/master/csl-citation.json"}</w:instrText>
      </w:r>
      <w:r w:rsidR="00866092">
        <w:fldChar w:fldCharType="separate"/>
      </w:r>
      <w:r w:rsidR="00852C49" w:rsidRPr="00852C49">
        <w:rPr>
          <w:noProof/>
          <w:vertAlign w:val="superscript"/>
        </w:rPr>
        <w:t>44</w:t>
      </w:r>
      <w:r w:rsidR="00866092">
        <w:fldChar w:fldCharType="end"/>
      </w:r>
      <w:r>
        <w:t>. Even Glass, an early proponent of meta‐analysis</w:t>
      </w:r>
      <w:r w:rsidR="00866092">
        <w:fldChar w:fldCharType="begin" w:fldLock="1"/>
      </w:r>
      <w:r w:rsidR="00F23EB1">
        <w:instrText>ADDIN CSL_CITATION {"citationItems":[{"id":"ITEM-1","itemData":{"DOI":"10.2307/1174772","ISSN":"0013189X","abstract":"M y subject is data analysis at three levels. Primary analysis is the original analysis of data in a research study. It is what one typically imagines as the application of statistical methods. Secondary analysis is the re-analysis of data for the purpose of answering the original research question with better statistical techniques , or answering new questions with old data. Secondary analysis is an important feature of the research and evaluation enterprise. Tom Cook (1974) at Northwestern University has written about its purposes and methods. Some of our best methodologists have pursued secondary analyses in such grand style that its importance has eclipsed that of the primary analysis. We can cite with pride some state of the art documents: the Mosteller-Moynihan secondary analysis of the Coleman study; the Campbell-Erle-bacher analysis of the Ohio-West-inghouse Headstart evaluation; and the Elashoff-Snow secondary analysis of Pygmalion in the Classroom, to name three. About all that can effectively be done to insure that secondary analyses of important studies are carried out is to see that the data from the original studies are preserved and that secondary analyses are funded. The preservation of original data could improve. Last month, one of our graduate students, Karl White, spent 15 hours and made 30 phone calls attempting to obtain from the government a copy of the data tapes for the Coleman study only to learn in the end that they had been irretrievably filed in unmarked tape cannisters with some 2,000 other un-marked data tapes. Tom Cook remarked in an Annual Meeting symposium on secondary analysis that you can get the data if you have chutzpah or if you're socio metrically well-connected. The whole business is too important to be treated so casually. On the other extreme, one can point with satisfaction to the ready availability to any researcher of the data tapes from Project TALENT or the National Assessment of Educational Progress. Others are advancing the practice of secondary analysis. My major interest currently is in what we have come to call-not for want of a less pretentious name-the meta-analysis of research. The term is a bit grand, but it is precise, and apt, and in the spirit of \"meta-mathematics,\" \"meta-psychology,\" and \"meta-evaluation.\" Meta-analysis refers to the analysis of analyses. I use it to refer to the statistical analysis of a large collection of analysis results from individual studies for the purpose of integrati…","author":[{"dropping-particle":"V.","family":"Glass","given":"Gene","non-dropping-particle":"","parse-names":false,"suffix":""}],"container-title":"Educational Researcher","id":"ITEM-1","issue":"10","issued":{"date-parts":[["1976"]]},"page":"3","title":"Primary, Secondary, and Meta-Analysis of Research","type":"article-journal","volume":"5"},"uris":["http://www.mendeley.com/documents/?uuid=294ee4f7-4e94-4979-b066-4b3ce0b82c6e"]}],"mendeley":{"formattedCitation":"&lt;sup&gt;45&lt;/sup&gt;","plainTextFormattedCitation":"45","previouslyFormattedCitation":"&lt;sup&gt;45&lt;/sup&gt;"},"properties":{"noteIndex":0},"schema":"https://github.com/citation-style-language/schema/raw/master/csl-citation.json"}</w:instrText>
      </w:r>
      <w:r w:rsidR="00866092">
        <w:fldChar w:fldCharType="separate"/>
      </w:r>
      <w:r w:rsidR="00852C49" w:rsidRPr="00852C49">
        <w:rPr>
          <w:noProof/>
          <w:vertAlign w:val="superscript"/>
        </w:rPr>
        <w:t>45</w:t>
      </w:r>
      <w:r w:rsidR="00866092">
        <w:fldChar w:fldCharType="end"/>
      </w:r>
      <w:r>
        <w:t>, suggested that while meta-analysis is able to provide a “big fact”, it cannot give more “sophisticated answers; they aren't there”</w:t>
      </w:r>
      <w:r w:rsidR="00866092" w:rsidRPr="00866092">
        <w:t xml:space="preserve"> </w:t>
      </w:r>
      <w:r w:rsidR="00866092">
        <w:fldChar w:fldCharType="begin" w:fldLock="1"/>
      </w:r>
      <w:r w:rsidR="00F23EB1">
        <w:instrText>ADDIN CSL_CITATION {"citationItems":[{"id":"ITEM-1","itemData":{"URL":"http://www.gvglass.info/papers/meta25.html","accessed":{"date-parts":[["2021","12","2"]]},"author":[{"dropping-particle":"V.","family":"Glass","given":"G.","non-dropping-particle":"","parse-names":false,"suffix":""}],"id":"ITEM-1","issued":{"date-parts":[["2000"]]},"title":"Meta‐analysis at 25","type":"webpage"},"uris":["http://www.mendeley.com/documents/?uuid=8545d8d9-1dd6-43bb-a0fc-48d84d240d14"]}],"mendeley":{"formattedCitation":"&lt;sup&gt;46&lt;/sup&gt;","plainTextFormattedCitation":"46","previouslyFormattedCitation":"&lt;sup&gt;46&lt;/sup&gt;"},"properties":{"noteIndex":0},"schema":"https://github.com/citation-style-language/schema/raw/master/csl-citation.json"}</w:instrText>
      </w:r>
      <w:r w:rsidR="00866092">
        <w:fldChar w:fldCharType="separate"/>
      </w:r>
      <w:r w:rsidR="00852C49" w:rsidRPr="00852C49">
        <w:rPr>
          <w:noProof/>
          <w:vertAlign w:val="superscript"/>
        </w:rPr>
        <w:t>46</w:t>
      </w:r>
      <w:r w:rsidR="00866092">
        <w:fldChar w:fldCharType="end"/>
      </w:r>
      <w:r>
        <w:t xml:space="preserve">. </w:t>
      </w:r>
      <w:r w:rsidR="00DF4CE5">
        <w:t xml:space="preserve">The key point here is that while average effects are </w:t>
      </w:r>
      <w:r w:rsidR="00881A3A">
        <w:t xml:space="preserve">often </w:t>
      </w:r>
      <w:r w:rsidR="00DF4CE5">
        <w:t xml:space="preserve">assumed to yield generalities, </w:t>
      </w:r>
      <w:r w:rsidR="00471245">
        <w:t xml:space="preserve">averages of highly heterogenous </w:t>
      </w:r>
      <w:r w:rsidR="007E5632">
        <w:t>effect sizes</w:t>
      </w:r>
      <w:r w:rsidR="00DF4CE5">
        <w:t xml:space="preserve"> are neither generalisable nor transferable</w:t>
      </w:r>
      <w:r w:rsidR="00881A3A">
        <w:t xml:space="preserve"> by themselves</w:t>
      </w:r>
      <w:r w:rsidR="00DF4CE5">
        <w:t>.</w:t>
      </w:r>
    </w:p>
    <w:p w14:paraId="204ED040" w14:textId="1F2893F4" w:rsidR="00F24A29" w:rsidRDefault="00313CC5">
      <w:pPr>
        <w:pStyle w:val="Heading3"/>
      </w:pPr>
      <w:bookmarkStart w:id="9" w:name="_4d34og8" w:colFirst="0" w:colLast="0"/>
      <w:bookmarkEnd w:id="9"/>
      <w:r>
        <w:t xml:space="preserve">Step 3: </w:t>
      </w:r>
      <w:r w:rsidR="00795080">
        <w:t xml:space="preserve">Attributing </w:t>
      </w:r>
      <w:r>
        <w:t>variation to meaningful predictors</w:t>
      </w:r>
    </w:p>
    <w:p w14:paraId="0A97F4F4" w14:textId="6309ACE4" w:rsidR="00F24A29" w:rsidRDefault="00313CC5">
      <w:r>
        <w:t xml:space="preserve">The next, </w:t>
      </w:r>
      <w:r>
        <w:rPr>
          <w:color w:val="000000"/>
        </w:rPr>
        <w:t xml:space="preserve">and arguably the most useful, </w:t>
      </w:r>
      <w:r>
        <w:t xml:space="preserve">step is to attribute effect-size variation to meaningful predictors, and </w:t>
      </w:r>
      <w:r w:rsidR="00397A70">
        <w:t xml:space="preserve">reach beyond the scope of individual studies to </w:t>
      </w:r>
      <w:r>
        <w:t>evaluate what Coope</w:t>
      </w:r>
      <w:r w:rsidR="00866092">
        <w:t>r</w:t>
      </w:r>
      <w:r w:rsidR="00866092">
        <w:fldChar w:fldCharType="begin" w:fldLock="1"/>
      </w:r>
      <w:r w:rsidR="00F23EB1">
        <w:instrText>ADDIN CSL_CITATION {"citationItems":[{"id":"ITEM-1","itemData":{"DOI":"10.1007/BF03177550","ISSN":"08971986","abstract":"A taxonomy of literature reviews in education and psychology is presented. The taxonomy categorizes reviews according to: (a) focus; (b) goal; (c) perspective; (d) coverage; (e) organization; and (f) audience. The seven winners of the American Educational Research Association's Research Review Award are used to illustrate the taxonomy's categories. Data on the reliability of taxonomy codings when applied by readers is presented. Results of a survey of review authors provides baseline data on how frequently different types of reviews appear in the education and psychology literature. How the taxonomy might help in judging the quality of literature reviews is discussed, along with more general standards for evaluating reviews. © 1988 Springer-Verlag.","author":[{"dropping-particle":"","family":"Cooper","given":"Harris M.","non-dropping-particle":"","parse-names":false,"suffix":""}],"container-title":"Knowledge in Society","id":"ITEM-1","issue":"1","issued":{"date-parts":[["1988"]]},"page":"104-126","title":"Organizing knowledge syntheses: A taxonomy of literature reviews","type":"article-journal","volume":"1"},"uris":["http://www.mendeley.com/documents/?uuid=8235e39b-17ce-4b7f-8867-d0203ebba2ba"]}],"mendeley":{"formattedCitation":"&lt;sup&gt;47&lt;/sup&gt;","plainTextFormattedCitation":"47","previouslyFormattedCitation":"&lt;sup&gt;47&lt;/sup&gt;"},"properties":{"noteIndex":0},"schema":"https://github.com/citation-style-language/schema/raw/master/csl-citation.json"}</w:instrText>
      </w:r>
      <w:r w:rsidR="00866092">
        <w:fldChar w:fldCharType="separate"/>
      </w:r>
      <w:r w:rsidR="00852C49" w:rsidRPr="00852C49">
        <w:rPr>
          <w:noProof/>
          <w:vertAlign w:val="superscript"/>
        </w:rPr>
        <w:t>47</w:t>
      </w:r>
      <w:r w:rsidR="00866092">
        <w:fldChar w:fldCharType="end"/>
      </w:r>
      <w:r>
        <w:t xml:space="preserve"> called "review</w:t>
      </w:r>
      <w:r w:rsidR="00E256D3">
        <w:t>-</w:t>
      </w:r>
      <w:r>
        <w:t>generated evidence". In meta-analysis, this is achieved by subgroup analyses that estimate and compare mean effects across meaningful groupings of studies, and the meta-regression of effect sizes against ‘effect modifiers’, or ‘</w:t>
      </w:r>
      <w:proofErr w:type="gramStart"/>
      <w:r>
        <w:t>moderators’</w:t>
      </w:r>
      <w:proofErr w:type="gramEnd"/>
      <w:r>
        <w:t xml:space="preserve">. In full-data analyses, attribution is either done by fitting more complex models that contain interaction terms between study-level or site-level covariates (e.g. </w:t>
      </w:r>
      <w:r>
        <w:rPr>
          <w:color w:val="000000"/>
        </w:rPr>
        <w:t xml:space="preserve">that comprise an environmental gradient), </w:t>
      </w:r>
      <w:r>
        <w:t>or post-hoc, through regressions of random slopes on effect modifiers</w:t>
      </w:r>
      <w:r w:rsidR="00866092">
        <w:fldChar w:fldCharType="begin" w:fldLock="1"/>
      </w:r>
      <w:r w:rsidR="00F23EB1">
        <w:instrText>ADDIN CSL_CITATION {"citationItems":[{"id":"ITEM-1","itemData":{"DOI":"10.1890/120366","ISBN":"i1540-9295-12-1-65","ISSN":"15409295","abstract":"Ecologists are increasingly discovering that ecological processes are made up of components that are multi- scaled in space and time. Some of the most complex of these processes are cross-scale interactions (CSIs), which occur when components interact across scales. When undetected, such interactions may cause errors in extrap- olation from one region to another. CSIs, particularly those that include a regional scaled component, have not been systematically investigated or even reported because of the challenges of acquiring data at sufficiently broad spatial extents. We present an approach for quantifying CSIs and apply it to a case study investigating one such interaction, between local and regional scaled land-use drivers of lake phosphorus. Ultimately, our approach for investigating CSIs can serve as a basis for efforts to understand a wide variety of multi-scaled prob- lems such as climate change, land-use/land-cover change, and invasive species. Front","author":[{"dropping-particle":"","family":"Soranno","given":"Patricia A.","non-dropping-particle":"","parse-names":false,"suffix":""},{"dropping-particle":"","family":"Cheruvelil","given":"Kendra S.","non-dropping-particle":"","parse-names":false,"suffix":""},{"dropping-particle":"","family":"Bissell","given":"Edward G.","non-dropping-particle":"","parse-names":false,"suffix":""},{"dropping-particle":"","family":"Bremigan","given":"Mary T.","non-dropping-particle":"","parse-names":false,"suffix":""},{"dropping-particle":"","family":"Downing","given":"John A.","non-dropping-particle":"","parse-names":false,"suffix":""},{"dropping-particle":"","family":"Fergus","given":"Carol E.","non-dropping-particle":"","parse-names":false,"suffix":""},{"dropping-particle":"","family":"Filstrup","given":"Christopher T.","non-dropping-particle":"","parse-names":false,"suffix":""},{"dropping-particle":"","family":"Henry","given":"Emily N.","non-dropping-particle":"","parse-names":false,"suffix":""},{"dropping-particle":"","family":"Lottig","given":"Noah R.","non-dropping-particle":"","parse-names":false,"suffix":""},{"dropping-particle":"","family":"Stanley","given":"Emily H.","non-dropping-particle":"","parse-names":false,"suffix":""},{"dropping-particle":"","family":"Stow","given":"Craig A.","non-dropping-particle":"","parse-names":false,"suffix":""},{"dropping-particle":"","family":"Tan","given":"Pang Ning","non-dropping-particle":"","parse-names":false,"suffix":""},{"dropping-particle":"","family":"Wagner","given":"Tyler","non-dropping-particle":"","parse-names":false,"suffix":""},{"dropping-particle":"","family":"Webster","given":"Katherine E.","non-dropping-particle":"","parse-names":false,"suffix":""}],"container-title":"Frontiers in Ecology and the Environment","id":"ITEM-1","issue":"1","issued":{"date-parts":[["2014"]]},"page":"65-73","title":"Cross-scale interactions: Quantifying multi-scaled cause-effect relationships in macrosystems","type":"article-journal","volume":"12"},"uris":["http://www.mendeley.com/documents/?uuid=477a6959-2b7f-46f4-9e2d-aa92c7c6fbd6"]}],"mendeley":{"formattedCitation":"&lt;sup&gt;48&lt;/sup&gt;","plainTextFormattedCitation":"48","previouslyFormattedCitation":"&lt;sup&gt;48&lt;/sup&gt;"},"properties":{"noteIndex":0},"schema":"https://github.com/citation-style-language/schema/raw/master/csl-citation.json"}</w:instrText>
      </w:r>
      <w:r w:rsidR="00866092">
        <w:fldChar w:fldCharType="separate"/>
      </w:r>
      <w:r w:rsidR="00852C49" w:rsidRPr="00852C49">
        <w:rPr>
          <w:noProof/>
          <w:vertAlign w:val="superscript"/>
        </w:rPr>
        <w:t>48</w:t>
      </w:r>
      <w:r w:rsidR="00866092">
        <w:fldChar w:fldCharType="end"/>
      </w:r>
      <w:r>
        <w:t xml:space="preserve">. </w:t>
      </w:r>
    </w:p>
    <w:p w14:paraId="029CF5FB" w14:textId="32333CA5" w:rsidR="00F24A29" w:rsidRDefault="00313CC5">
      <w:r>
        <w:t>Attribution attempts to make inferences about the degree of transferability of an effect size</w:t>
      </w:r>
      <w:r>
        <w:rPr>
          <w:color w:val="000000"/>
        </w:rPr>
        <w:t xml:space="preserve">, </w:t>
      </w:r>
      <w:r>
        <w:t xml:space="preserve">with </w:t>
      </w:r>
      <w:r>
        <w:rPr>
          <w:color w:val="000000"/>
        </w:rPr>
        <w:t xml:space="preserve">moderators </w:t>
      </w:r>
      <w:r>
        <w:t>specifying</w:t>
      </w:r>
      <w:r>
        <w:rPr>
          <w:color w:val="000000"/>
        </w:rPr>
        <w:t xml:space="preserve"> the conditions to which effects can be transferred.</w:t>
      </w:r>
      <w:r>
        <w:rPr>
          <w:color w:val="000000"/>
          <w:sz w:val="28"/>
          <w:szCs w:val="28"/>
        </w:rPr>
        <w:t xml:space="preserve"> </w:t>
      </w:r>
      <w:r>
        <w:rPr>
          <w:color w:val="000000"/>
        </w:rPr>
        <w:t xml:space="preserve">No single reference study or sample of studies will transfer perfectly to another target </w:t>
      </w:r>
      <w:r w:rsidR="00160997">
        <w:rPr>
          <w:color w:val="000000"/>
        </w:rPr>
        <w:t>context</w:t>
      </w:r>
      <w:r>
        <w:rPr>
          <w:color w:val="000000"/>
        </w:rPr>
        <w:t>, due to inherent contextual and study</w:t>
      </w:r>
      <w:r w:rsidR="00E256D3">
        <w:rPr>
          <w:color w:val="000000"/>
        </w:rPr>
        <w:t>-</w:t>
      </w:r>
      <w:r>
        <w:rPr>
          <w:color w:val="000000"/>
        </w:rPr>
        <w:t>design differences. Attribution</w:t>
      </w:r>
      <w:r>
        <w:t xml:space="preserve"> should force us to define the populations to which we wish to transfer our effect sizes (subgroups of studies, levels of predictors in a meta-regression)</w:t>
      </w:r>
      <w:r w:rsidR="00E256D3">
        <w:t>. T</w:t>
      </w:r>
      <w:r>
        <w:t xml:space="preserve">arget contexts are typically </w:t>
      </w:r>
      <w:r>
        <w:rPr>
          <w:color w:val="000000"/>
        </w:rPr>
        <w:t>coarsely parameterised</w:t>
      </w:r>
      <w:r>
        <w:t xml:space="preserve">, </w:t>
      </w:r>
      <w:r w:rsidR="00E256D3">
        <w:t xml:space="preserve">however, </w:t>
      </w:r>
      <w:r>
        <w:t xml:space="preserve">and researchers usually estimate overall effects across broad and heterogeneous subgroupings. </w:t>
      </w:r>
      <w:bookmarkStart w:id="10" w:name="_Hlk105743144"/>
      <w:r>
        <w:t>Obviously, subgrouping and model complexity are limited by sample size, and data availability/reporting</w:t>
      </w:r>
      <w:r w:rsidR="00BC21E6">
        <w:t xml:space="preserve"> </w:t>
      </w:r>
      <w:bookmarkStart w:id="11" w:name="_Hlk105743124"/>
      <w:r w:rsidR="00BC21E6">
        <w:t>by primary studies</w:t>
      </w:r>
      <w:bookmarkEnd w:id="11"/>
      <w:r w:rsidR="00866092">
        <w:fldChar w:fldCharType="begin" w:fldLock="1"/>
      </w:r>
      <w:r w:rsidR="00F23EB1">
        <w:instrText>ADDIN CSL_CITATION {"citationItems":[{"id":"ITEM-1","itemData":{"DOI":"10.1111/2041-210X.12758","ISSN":"2041210X","abstract":"Ecological and evolutionary research increasingly uses quantitative synthesis of primary research studies (meta-analysis) for answering fundamental questions, informing environmental policy and summarizing results for decision makers. Knowing how meta-analysis works is important for researchers so that their research can have broader impact. Meta-analytic thinking encourages scientists to see single primary research studies as substantial contributions to a larger picture. To facilitate inclusion in a meta-analysis, relevant primary research studies must be found and basic information about the methods and results must be thoroughly, clearly and transparently reported. While many published papers provide this information, it is common for essential data to be omitted, leading to study exclusion from meta-analyses. We provide guidelines for correctly reporting basic data needed from primary studies in ecology and evolutionary biology so that they can be included in meta-analyses, together with examples that show how data should be reported to enable calculation and analysis of effect sizes, and how data should be made accessible. These guidelines are important for reporting research results in general, whether or not results are included in subsequent meta-analyses, because they are necessary for the interpretation and assessment of study outcomes. Increased implementation of these guidelines by authors, editors and publishers, and reinforcement by funders, will foster higher quality and more inclusive syntheses, further the goals of transparency and reproducibility in science, and improve the quality and value of primary research studies.","author":[{"dropping-particle":"","family":"Gerstner","given":"Katharina","non-dropping-particle":"","parse-names":false,"suffix":""},{"dropping-particle":"","family":"Moreno-Mateos","given":"David","non-dropping-particle":"","parse-names":false,"suffix":""},{"dropping-particle":"","family":"Gurevitch","given":"Jessica","non-dropping-particle":"","parse-names":false,"suffix":""},{"dropping-particle":"","family":"Beckmann","given":"Michael","non-dropping-particle":"","parse-names":false,"suffix":""},{"dropping-particle":"","family":"Kambach","given":"Stephan","non-dropping-particle":"","parse-names":false,"suffix":""},{"dropping-particle":"","family":"Jones","given":"Holly P.","non-dropping-particle":"","parse-names":false,"suffix":""},{"dropping-particle":"","family":"Seppelt","given":"Ralf","non-dropping-particle":"","parse-names":false,"suffix":""}],"container-title":"Methods in Ecology and Evolution","id":"ITEM-1","issue":"6","issued":{"date-parts":[["2017"]]},"page":"777-784","title":"Will your paper be used in a meta-analysis? Make the reach of your research broader and longer lasting","type":"article-journal","volume":"8"},"uris":["http://www.mendeley.com/documents/?uuid=4519880f-929d-48ce-8a3d-6c9a0591d748"]}],"mendeley":{"formattedCitation":"&lt;sup&gt;49&lt;/sup&gt;","plainTextFormattedCitation":"49","previouslyFormattedCitation":"&lt;sup&gt;49&lt;/sup&gt;"},"properties":{"noteIndex":0},"schema":"https://github.com/citation-style-language/schema/raw/master/csl-citation.json"}</w:instrText>
      </w:r>
      <w:r w:rsidR="00866092">
        <w:fldChar w:fldCharType="separate"/>
      </w:r>
      <w:r w:rsidR="00852C49" w:rsidRPr="00852C49">
        <w:rPr>
          <w:noProof/>
          <w:vertAlign w:val="superscript"/>
        </w:rPr>
        <w:t>49</w:t>
      </w:r>
      <w:r w:rsidR="00866092">
        <w:fldChar w:fldCharType="end"/>
      </w:r>
      <w:bookmarkEnd w:id="10"/>
      <w:r>
        <w:t>. Attribution is prone to bias</w:t>
      </w:r>
      <w:r w:rsidR="000939B1">
        <w:t xml:space="preserve"> and spurious effect modification</w:t>
      </w:r>
      <w:r>
        <w:t xml:space="preserve"> when </w:t>
      </w:r>
      <w:r w:rsidR="000939B1">
        <w:t xml:space="preserve">there is </w:t>
      </w:r>
      <w:r>
        <w:t>covariation among</w:t>
      </w:r>
      <w:r w:rsidR="00E256D3">
        <w:t>st</w:t>
      </w:r>
      <w:r>
        <w:t xml:space="preserve"> study</w:t>
      </w:r>
      <w:r w:rsidR="00E256D3">
        <w:t>-</w:t>
      </w:r>
      <w:r>
        <w:t>design attributes (e.g. replication</w:t>
      </w:r>
      <w:r w:rsidR="000939B1">
        <w:t>), random effects</w:t>
      </w:r>
      <w:r>
        <w:t xml:space="preserve"> and effect modifiers</w:t>
      </w:r>
      <w:r w:rsidR="00866092">
        <w:fldChar w:fldCharType="begin" w:fldLock="1"/>
      </w:r>
      <w:r w:rsidR="00F23EB1">
        <w:instrText>ADDIN CSL_CITATION {"citationItems":[{"id":"ITEM-1","itemData":{"DOI":"10.1111/ele.13641","ISSN":"14610248","PMID":"33216440","abstract":"Biodiversity studies are sensitive to well-recognised temporal and spatial scale dependencies. Cross-study syntheses may inflate these influences by collating studies that vary widely in the numbers and sizes of sampling plots. Here we evaluate sources of inaccuracy and imprecision in study-level and cross-study estimates of biodiversity differences, caused by within-study grain and sample sizes, biodiversity measure, and choice of effect-size metric. Samples from simulated communities of old-growth and secondary forests demonstrated influences of all these parameters on the accuracy and precision of cross-study effect sizes. In cross-study synthesis by formal meta-analysis, the metric of log response ratio applied to measures of species richness yielded better accuracy than the commonly used Hedges' g metric on species density, which dangerously combined higher precision with persistent bias. Full-data analyses of the raw plot-scale data using multilevel models were also susceptible to scale-dependent bias. We demonstrate the challenge of detecting scale dependence in cross-study synthesis, due to ubiquitous covariation between replication, variance and plot size. We propose solutions for diagnosing and minimising bias. We urge that empirical studies publish raw data to allow evaluation of covariation in cross-study syntheses, and we recommend against using Hedges' g in biodiversity meta-analyses.","author":[{"dropping-particle":"","family":"Spake","given":"Rebecca","non-dropping-particle":"","parse-names":false,"suffix":""},{"dropping-particle":"","family":"Mori","given":"Akira S.","non-dropping-particle":"","parse-names":false,"suffix":""},{"dropping-particle":"","family":"Beckmann","given":"Michael","non-dropping-particle":"","parse-names":false,"suffix":""},{"dropping-particle":"","family":"Martin","given":"Philip A.","non-dropping-particle":"","parse-names":false,"suffix":""},{"dropping-particle":"","family":"Christie","given":"Alec P.","non-dropping-particle":"","parse-names":false,"suffix":""},{"dropping-particle":"","family":"Duguid","given":"Marlyse C.","non-dropping-particle":"","parse-names":false,"suffix":""},{"dropping-particle":"","family":"Doncaster","given":"C. Patrick","non-dropping-particle":"","parse-names":false,"suffix":""}],"container-title":"Ecology Letters","id":"ITEM-1","issue":"2","issued":{"date-parts":[["2021"]]},"page":"374-390","title":"Implications of scale dependence for cross-study syntheses of biodiversity differences","type":"article-journal","volume":"24"},"uris":["http://www.mendeley.com/documents/?uuid=48976cc1-5b2f-4fe6-b5f8-3ae418133379"]}],"mendeley":{"formattedCitation":"&lt;sup&gt;30&lt;/sup&gt;","plainTextFormattedCitation":"30","previouslyFormattedCitation":"&lt;sup&gt;30&lt;/sup&gt;"},"properties":{"noteIndex":0},"schema":"https://github.com/citation-style-language/schema/raw/master/csl-citation.json"}</w:instrText>
      </w:r>
      <w:r w:rsidR="00866092">
        <w:fldChar w:fldCharType="separate"/>
      </w:r>
      <w:r w:rsidR="00852C49" w:rsidRPr="00852C49">
        <w:rPr>
          <w:noProof/>
          <w:vertAlign w:val="superscript"/>
        </w:rPr>
        <w:t>30</w:t>
      </w:r>
      <w:r w:rsidR="00866092">
        <w:fldChar w:fldCharType="end"/>
      </w:r>
      <w:r>
        <w:t xml:space="preserve">. Because the effect modifiers that </w:t>
      </w:r>
      <w:r>
        <w:lastRenderedPageBreak/>
        <w:t>implicitly represent target contexts are often poorly characterised or heterogeneous, this limits the transferability of meta-estimates to any single setting</w:t>
      </w:r>
      <w:r w:rsidR="000939B1">
        <w:fldChar w:fldCharType="begin" w:fldLock="1"/>
      </w:r>
      <w:r w:rsidR="00666ECE">
        <w:instrText>ADDIN CSL_CITATION {"citationItems":[{"id":"ITEM-1","itemData":{"DOI":"10.1002/jrsm.1320","ISSN":"17592887","PMID":"30129995","abstract":"This paper critically explores how survey and routinely collected data could aid in assessing the generalisability of public health evidence. We propose developing approaches that could be employed in understanding the relevance of public health evidence, and investigate ways of producing meta-analytic estimates tailored to reflect local circumstances, based on analyses of secondary data. Currently, public health decision makers face challenges in interpreting global review evidence to assess its meaning in local contexts. A lack of clarity on the definition and scope of generalisability, and the absence of consensus on its measurement, has stunted methodological progress. The consequence of failing to tackle generalisability means that systematic review evidence often fails to fulfil its potential contribution in public health decision making. Three approaches to address these problems are considered and emerging challenges discussed: (1) purposeful exploration after a review has been conducted, and we present a framework of potential avenues of enquiry and a worked example; (2) recalibration of the results to weight studies differentially based on their similarity to conditions in an inference population, and we provide a worked example using UK Census data to understand potential differences in the effectiveness of community engagement interventions among sites in England and Wales; (3) purposeful exploration before starting a review to ensure that the findings are relevant to an inference population. The paper aims to demonstrate how a more nuanced treatment of context in reviews of public health interventions could be achieved through greater engagement with existing large sources of secondary data.","author":[{"dropping-particle":"","family":"Kneale","given":"Dylan","non-dropping-particle":"","parse-names":false,"suffix":""},{"dropping-particle":"","family":"Thomas","given":"James","non-dropping-particle":"","parse-names":false,"suffix":""},{"dropping-particle":"","family":"O'Mara-Eves","given":"Alison","non-dropping-particle":"","parse-names":false,"suffix":""},{"dropping-particle":"","family":"Wiggins","given":"Richard","non-dropping-particle":"","parse-names":false,"suffix":""}],"container-title":"Research Synthesis Methods","id":"ITEM-1","issue":"1","issued":{"date-parts":[["2019"]]},"page":"44-56","title":"How can additional secondary data analysis of observational data enhance the generalisability of meta-analytic evidence for local public health decision making?","type":"article-journal","volume":"10"},"uris":["http://www.mendeley.com/documents/?uuid=7d1c4ef3-d732-4484-baa8-d77b0d9ae998"]}],"mendeley":{"formattedCitation":"&lt;sup&gt;11&lt;/sup&gt;","plainTextFormattedCitation":"11","previouslyFormattedCitation":"&lt;sup&gt;11&lt;/sup&gt;"},"properties":{"noteIndex":0},"schema":"https://github.com/citation-style-language/schema/raw/master/csl-citation.json"}</w:instrText>
      </w:r>
      <w:r w:rsidR="000939B1">
        <w:fldChar w:fldCharType="separate"/>
      </w:r>
      <w:r w:rsidR="00FA67E2" w:rsidRPr="00FA67E2">
        <w:rPr>
          <w:noProof/>
          <w:vertAlign w:val="superscript"/>
        </w:rPr>
        <w:t>11</w:t>
      </w:r>
      <w:r w:rsidR="000939B1">
        <w:fldChar w:fldCharType="end"/>
      </w:r>
      <w:r>
        <w:t>.</w:t>
      </w:r>
    </w:p>
    <w:p w14:paraId="2FA97834" w14:textId="1B06C8C7" w:rsidR="00F24A29" w:rsidRDefault="00313CC5">
      <w:pPr>
        <w:pStyle w:val="Heading1"/>
      </w:pPr>
      <w:bookmarkStart w:id="12" w:name="_6vre9zxlqvyf" w:colFirst="0" w:colLast="0"/>
      <w:bookmarkStart w:id="13" w:name="_6qpmyvap4tpf" w:colFirst="0" w:colLast="0"/>
      <w:bookmarkEnd w:id="12"/>
      <w:bookmarkEnd w:id="13"/>
      <w:r>
        <w:t>PATHWAYS TO GENERALITY WITH ECOLOGICAL SYNTHESIS</w:t>
      </w:r>
    </w:p>
    <w:p w14:paraId="137540B4" w14:textId="65364BF4" w:rsidR="00F24A29" w:rsidRDefault="005D5BDC" w:rsidP="00C8056C">
      <w:bookmarkStart w:id="14" w:name="_Hlk100578691"/>
      <w:r>
        <w:t>W</w:t>
      </w:r>
      <w:r w:rsidR="00313CC5">
        <w:t>e have demonstrated</w:t>
      </w:r>
      <w:r>
        <w:t xml:space="preserve"> that </w:t>
      </w:r>
      <w:r w:rsidR="00313CC5">
        <w:t xml:space="preserve">ecology currently lacks frameworks with which to generalise or transfer </w:t>
      </w:r>
      <w:proofErr w:type="spellStart"/>
      <w:r w:rsidR="000939B1">
        <w:t>estimands</w:t>
      </w:r>
      <w:proofErr w:type="spellEnd"/>
      <w:r w:rsidR="000939B1">
        <w:t xml:space="preserve"> </w:t>
      </w:r>
      <w:r w:rsidR="00313CC5">
        <w:t>from quantitative syntheses.</w:t>
      </w:r>
      <w:r w:rsidR="00B059C1">
        <w:t xml:space="preserve"> Generalisation is rarely achievable given that samples are typically non-random and heterogeneous in ecology</w:t>
      </w:r>
      <w:r w:rsidR="00B059C1">
        <w:fldChar w:fldCharType="begin" w:fldLock="1"/>
      </w:r>
      <w:r w:rsidR="00F23EB1">
        <w:instrText>ADDIN CSL_CITATION {"citationItems":[{"id":"ITEM-1","itemData":{"DOI":"10.1146/annurev-ecolsys-112414-054400","ISSN":"15452069","abstract":"Ecologists and evolutionary biologists are increasingly using big-data approaches to tackle questions at large spatial, taxonomic, and temporal scales. However, despite recent efforts to gather two centuries of biodiversity inventories into comprehensive databases, many crucial research questions remain unanswered. Here, we update the concept of knowledge shortfalls and review the tradeoffs between generality and uncertainty. We present seven key shortfalls of current biodiversity data. Four previously proposed shortfalls pinpoint knowledge gaps for species taxonomy (Linnean), distribution (Wallacean), abundance (Prestonian), and evolutionary patterns (Darwinian). We also redefine the Hutchinsonian shortfall to apply to the abiotic tolerances of species and propose new shortfalls relating to limited knowledge of species traits (Raunkiæran) and biotic interactions (Eltonian). We conclude with a general framework for the combined impacts and consequences of shortfalls of large-scale biodiversity knowledge for evolutionary and ecological research and consider ways of overcoming the seven shortfalls and dealing with the uncertainty they generate.","author":[{"dropping-particle":"","family":"Hortal","given":"Joaquín","non-dropping-particle":"","parse-names":false,"suffix":""},{"dropping-particle":"","family":"Bello","given":"Francesco","non-dropping-particle":"De","parse-names":false,"suffix":""},{"dropping-particle":"","family":"Diniz-Filho","given":"José Alexandre F.","non-dropping-particle":"","parse-names":false,"suffix":""},{"dropping-particle":"","family":"Lewinsohn","given":"Thomas M.","non-dropping-particle":"","parse-names":false,"suffix":""},{"dropping-particle":"","family":"Lobo","given":"Jorge M.","non-dropping-particle":"","parse-names":false,"suffix":""},{"dropping-particle":"","family":"Ladle","given":"Richard J.","non-dropping-particle":"","parse-names":false,"suffix":""}],"container-title":"Annual Review of Ecology, Evolution, and Systematics","id":"ITEM-1","issued":{"date-parts":[["2015"]]},"page":"523-549","title":"Seven Shortfalls that Beset Large-Scale Knowledge of Biodiversity","type":"article-journal","volume":"46"},"uris":["http://www.mendeley.com/documents/?uuid=a2faabac-308a-4c80-8dfc-d6a10139dc28"]}],"mendeley":{"formattedCitation":"&lt;sup&gt;50&lt;/sup&gt;","plainTextFormattedCitation":"50","previouslyFormattedCitation":"&lt;sup&gt;50&lt;/sup&gt;"},"properties":{"noteIndex":0},"schema":"https://github.com/citation-style-language/schema/raw/master/csl-citation.json"}</w:instrText>
      </w:r>
      <w:r w:rsidR="00B059C1">
        <w:fldChar w:fldCharType="separate"/>
      </w:r>
      <w:r w:rsidR="00852C49" w:rsidRPr="00852C49">
        <w:rPr>
          <w:noProof/>
          <w:vertAlign w:val="superscript"/>
        </w:rPr>
        <w:t>50</w:t>
      </w:r>
      <w:r w:rsidR="00B059C1">
        <w:fldChar w:fldCharType="end"/>
      </w:r>
      <w:r w:rsidR="00B059C1">
        <w:t>.</w:t>
      </w:r>
      <w:r w:rsidR="00313CC5">
        <w:t xml:space="preserve"> </w:t>
      </w:r>
      <w:r w:rsidR="000939B1">
        <w:t xml:space="preserve">In this section, </w:t>
      </w:r>
      <w:r w:rsidR="00313CC5">
        <w:t xml:space="preserve">we propose </w:t>
      </w:r>
      <w:r w:rsidR="00550C20">
        <w:t xml:space="preserve">three </w:t>
      </w:r>
      <w:r w:rsidR="00313CC5">
        <w:t xml:space="preserve">actions that can be taken immediately by ecologists to facilitate greater nuance in communicating </w:t>
      </w:r>
      <w:r w:rsidR="00B059C1">
        <w:t xml:space="preserve">the </w:t>
      </w:r>
      <w:r w:rsidR="00313CC5">
        <w:t xml:space="preserve">transferability of the </w:t>
      </w:r>
      <w:proofErr w:type="spellStart"/>
      <w:r w:rsidR="00313CC5">
        <w:t>estimand</w:t>
      </w:r>
      <w:r w:rsidR="000939B1">
        <w:t>s</w:t>
      </w:r>
      <w:proofErr w:type="spellEnd"/>
      <w:r w:rsidR="00313CC5">
        <w:t xml:space="preserve">. We then </w:t>
      </w:r>
      <w:r w:rsidR="00313CC5" w:rsidRPr="00C8056C">
        <w:t xml:space="preserve">detail four urgent research agendas </w:t>
      </w:r>
      <w:r w:rsidR="000939B1" w:rsidRPr="00C8056C">
        <w:t xml:space="preserve">required </w:t>
      </w:r>
      <w:r w:rsidR="000939B1" w:rsidRPr="00B059C1">
        <w:t>to improve the</w:t>
      </w:r>
      <w:r w:rsidR="000939B1" w:rsidRPr="00C8056C">
        <w:t xml:space="preserve"> validity of </w:t>
      </w:r>
      <w:proofErr w:type="spellStart"/>
      <w:r w:rsidR="000939B1" w:rsidRPr="00C8056C">
        <w:t>estimand</w:t>
      </w:r>
      <w:proofErr w:type="spellEnd"/>
      <w:r w:rsidR="000939B1" w:rsidRPr="00C8056C">
        <w:t xml:space="preserve"> transfers</w:t>
      </w:r>
      <w:r w:rsidR="00313CC5" w:rsidRPr="00C8056C">
        <w:t xml:space="preserve">.  </w:t>
      </w:r>
      <w:bookmarkEnd w:id="14"/>
    </w:p>
    <w:p w14:paraId="6F43BC8B" w14:textId="3855A51E" w:rsidR="004E65E8" w:rsidRDefault="00550C20">
      <w:pPr>
        <w:pStyle w:val="Heading3"/>
        <w:rPr>
          <w:sz w:val="26"/>
          <w:szCs w:val="26"/>
        </w:rPr>
      </w:pPr>
      <w:r>
        <w:rPr>
          <w:sz w:val="26"/>
          <w:szCs w:val="26"/>
        </w:rPr>
        <w:t xml:space="preserve">THREE </w:t>
      </w:r>
      <w:r w:rsidR="004E65E8" w:rsidRPr="004E65E8">
        <w:rPr>
          <w:sz w:val="26"/>
          <w:szCs w:val="26"/>
        </w:rPr>
        <w:t xml:space="preserve">ACTIONS FOR COMMUNICATING THE TRANSFERABILITY OF ESTIMANDS </w:t>
      </w:r>
    </w:p>
    <w:p w14:paraId="75D036E6" w14:textId="526B4CB6" w:rsidR="00F24A29" w:rsidRDefault="00313CC5">
      <w:pPr>
        <w:pStyle w:val="Heading3"/>
      </w:pPr>
      <w:r>
        <w:t xml:space="preserve">Define the </w:t>
      </w:r>
      <w:proofErr w:type="spellStart"/>
      <w:r>
        <w:t>estimands</w:t>
      </w:r>
      <w:proofErr w:type="spellEnd"/>
      <w:r>
        <w:t xml:space="preserve"> and target contexts </w:t>
      </w:r>
      <w:r w:rsidR="00664696">
        <w:t>in a</w:t>
      </w:r>
      <w:r>
        <w:t xml:space="preserve"> ‘</w:t>
      </w:r>
      <w:r w:rsidR="00E256D3">
        <w:t xml:space="preserve">Constraints </w:t>
      </w:r>
      <w:r>
        <w:t xml:space="preserve">on </w:t>
      </w:r>
      <w:r w:rsidR="00E256D3">
        <w:t xml:space="preserve">Generality’ </w:t>
      </w:r>
      <w:r>
        <w:t>statement</w:t>
      </w:r>
    </w:p>
    <w:p w14:paraId="4FD71E00" w14:textId="2F455051" w:rsidR="00F24A29" w:rsidRDefault="00313CC5">
      <w:pPr>
        <w:rPr>
          <w:highlight w:val="yellow"/>
        </w:rPr>
      </w:pPr>
      <w:r>
        <w:t>Psychology researchers have called for journals to require ‘Constraints on Generality’ (</w:t>
      </w:r>
      <w:proofErr w:type="spellStart"/>
      <w:r>
        <w:t>CoG</w:t>
      </w:r>
      <w:proofErr w:type="spellEnd"/>
      <w:r>
        <w:t xml:space="preserve">) statements in the discussion sections of empirical articles, encouraging authors to draw conservative inferences, rather than make broad generalisations about undefined or ill-defined target contexts. </w:t>
      </w:r>
      <w:proofErr w:type="spellStart"/>
      <w:r>
        <w:t>CoG</w:t>
      </w:r>
      <w:proofErr w:type="spellEnd"/>
      <w:r>
        <w:t xml:space="preserve"> statements describe and justify target </w:t>
      </w:r>
      <w:r w:rsidR="00160997">
        <w:t>contexts</w:t>
      </w:r>
      <w:r>
        <w:t xml:space="preserve">, and specify assumptions the authors consider necessary for the </w:t>
      </w:r>
      <w:proofErr w:type="spellStart"/>
      <w:r>
        <w:t>estimand</w:t>
      </w:r>
      <w:proofErr w:type="spellEnd"/>
      <w:r>
        <w:t xml:space="preserve"> to validly transfer to other contexts</w:t>
      </w:r>
      <w:r w:rsidR="000939B1">
        <w:fldChar w:fldCharType="begin" w:fldLock="1"/>
      </w:r>
      <w:r w:rsidR="00F23EB1">
        <w:instrText>ADDIN CSL_CITATION {"citationItems":[{"id":"ITEM-1","itemData":{"DOI":"10.1177/1745691617708630","ISBN":"1745691617708","ISSN":"17456924","PMID":"28853993","abstract":"Psychological scientists draw inferences about populations based on samples—of people, situations, and stimuli—from those populations. Yet, few papers identify their target populations, and even fewer justify how or why the tested samples are representative of broader populations. A cumulative science depends on accurately characterizing the generality of findings, but current publishing standards do not require authors to constrain their inferences, leaving readers to assume the broadest possible generalizations. We propose that the discussion section of all primary research articles specify Constraints on Generality (i.e., a “COG” statement) that identify and justify target populations for the reported findings. Explicitly defining the target populations will help other researchers to sample from the same populations when conducting a direct replication, and it could encourage follow-up studies that test the boundary conditions of the original finding. Universal adoption of COG statements would change publishing incentives to favor a more cumulative science.","author":[{"dropping-particle":"","family":"Simons","given":"Daniel J.","non-dropping-particle":"","parse-names":false,"suffix":""},{"dropping-particle":"","family":"Shoda","given":"Yuichi","non-dropping-particle":"","parse-names":false,"suffix":""},{"dropping-particle":"","family":"Lindsay","given":"D. Stephen","non-dropping-particle":"","parse-names":false,"suffix":""}],"container-title":"Perspectives on Psychological Science","id":"ITEM-1","issue":"6","issued":{"date-parts":[["2017"]]},"page":"1123-1128","title":"Constraints on Generality (COG): A Proposed Addition to All Empirical Papers","type":"article-journal","volume":"12"},"uris":["http://www.mendeley.com/documents/?uuid=7a08058b-9b6f-46f8-89b6-b92a9ced78f7"]},{"id":"ITEM-2","itemData":{"DOI":"10.1017/S0140525X20001685","ISSN":"14691825","abstract":"Most theories and hypotheses in psychology are verbal in nature, yet their evaluation overwhelmingly relies on inferential statistical procedures. The validity of the move from qualitative to quantitative analysis depends on the verbal and statistical expressions of a hypothesis being closely aligned - that is, that the two must refer to roughly the same set of hypothetical observations. Here I argue that many applications of statistical inference in psychology fail to meet this basic condition. Focusing on the most widely used class of model in psychology - the linear mixed model - I explore the consequences of failing to statistically operationalize verbal hypotheses in a way that respects researchers' actual generalization intentions. I demonstrate that whereas the \"random effect\"formalism is used pervasively in psychology to model inter-subject variability, few researchers accord the same treatment to other variables they clearly intend to generalize over (e.g., stimuli, tasks, or research sites). The under-specification of random effects imposes far stronger constraints on the generalizability of results than most researchers appreciate. Ignoring these constraints can dramatically inflate false positive rates, and often leads researchers to draw sweeping verbal generalizations that lack a meaningful connection to the statistical quantities they are putatively based on. I argue that failure to take the alignment between verbal and statistical expressions seriously lies at the heart of many of psychology's ongoing problems (e.g., the replication crisis), and conclude with a discussion of several potential avenues for improvement.","author":[{"dropping-particle":"","family":"Yarkoni","given":"Tal","non-dropping-particle":"","parse-names":false,"suffix":""}],"container-title":"Behavioral and Brain Sciences","id":"ITEM-2","issued":{"date-parts":[["2020"]]},"page":"1-37","publisher":"NETSCC","title":"The generalizability crisis","type":"article-journal"},"uris":["http://www.mendeley.com/documents/?uuid=02ba3529-5433-4806-b2b2-86163cde3868"]}],"mendeley":{"formattedCitation":"&lt;sup&gt;51,52&lt;/sup&gt;","plainTextFormattedCitation":"51,52","previouslyFormattedCitation":"&lt;sup&gt;51,52&lt;/sup&gt;"},"properties":{"noteIndex":0},"schema":"https://github.com/citation-style-language/schema/raw/master/csl-citation.json"}</w:instrText>
      </w:r>
      <w:r w:rsidR="000939B1">
        <w:fldChar w:fldCharType="separate"/>
      </w:r>
      <w:r w:rsidR="00852C49" w:rsidRPr="00852C49">
        <w:rPr>
          <w:noProof/>
          <w:vertAlign w:val="superscript"/>
        </w:rPr>
        <w:t>51,52</w:t>
      </w:r>
      <w:r w:rsidR="000939B1">
        <w:fldChar w:fldCharType="end"/>
      </w:r>
      <w:r w:rsidR="00E256D3">
        <w:t>. They</w:t>
      </w:r>
      <w:r w:rsidR="003948D8">
        <w:t xml:space="preserve"> discourage exaggerated generality claims</w:t>
      </w:r>
      <w:r>
        <w:t xml:space="preserve">. </w:t>
      </w:r>
      <w:proofErr w:type="spellStart"/>
      <w:r>
        <w:t>CoG</w:t>
      </w:r>
      <w:proofErr w:type="spellEnd"/>
      <w:r>
        <w:t xml:space="preserve"> statements function to help both researchers and readers transfer </w:t>
      </w:r>
      <w:proofErr w:type="spellStart"/>
      <w:r>
        <w:t>estimands</w:t>
      </w:r>
      <w:proofErr w:type="spellEnd"/>
      <w:r>
        <w:t xml:space="preserve"> to specific target contexts. </w:t>
      </w:r>
      <w:r w:rsidRPr="00DF4CE5">
        <w:t xml:space="preserve">We provide an example in Box </w:t>
      </w:r>
      <w:r w:rsidR="00BD35DE">
        <w:t>2</w:t>
      </w:r>
      <w:r w:rsidRPr="00DF4CE5">
        <w:t>.</w:t>
      </w:r>
      <w:r>
        <w:rPr>
          <w:highlight w:val="yellow"/>
        </w:rPr>
        <w:t xml:space="preserve"> </w:t>
      </w:r>
    </w:p>
    <w:p w14:paraId="0AA6B700" w14:textId="2EB60650" w:rsidR="00F24A29" w:rsidRDefault="00313CC5">
      <w:r>
        <w:t xml:space="preserve">A </w:t>
      </w:r>
      <w:proofErr w:type="spellStart"/>
      <w:r>
        <w:t>CoG</w:t>
      </w:r>
      <w:proofErr w:type="spellEnd"/>
      <w:r>
        <w:t xml:space="preserve"> statement </w:t>
      </w:r>
      <w:r>
        <w:rPr>
          <w:shd w:val="clear" w:color="auto" w:fill="FCFCFC"/>
        </w:rPr>
        <w:t xml:space="preserve">can explicitly define the </w:t>
      </w:r>
      <w:proofErr w:type="spellStart"/>
      <w:r>
        <w:rPr>
          <w:shd w:val="clear" w:color="auto" w:fill="FCFCFC"/>
        </w:rPr>
        <w:t>estimand</w:t>
      </w:r>
      <w:proofErr w:type="spellEnd"/>
      <w:r>
        <w:rPr>
          <w:shd w:val="clear" w:color="auto" w:fill="FCFCFC"/>
        </w:rPr>
        <w:t xml:space="preserve"> to be transferred, the target context</w:t>
      </w:r>
      <w:r w:rsidR="003C1290">
        <w:rPr>
          <w:shd w:val="clear" w:color="auto" w:fill="FCFCFC"/>
        </w:rPr>
        <w:t>,</w:t>
      </w:r>
      <w:r>
        <w:rPr>
          <w:shd w:val="clear" w:color="auto" w:fill="FCFCFC"/>
        </w:rPr>
        <w:t xml:space="preserve"> and any boundary conditions to which findings can be confidently applied, distinguishing between so-called ‘known’ and ‘speculative’ inferences</w:t>
      </w:r>
      <w:r w:rsidR="00D54C5A">
        <w:rPr>
          <w:shd w:val="clear" w:color="auto" w:fill="FCFCFC"/>
        </w:rPr>
        <w:fldChar w:fldCharType="begin" w:fldLock="1"/>
      </w:r>
      <w:r w:rsidR="00F23EB1">
        <w:rPr>
          <w:shd w:val="clear" w:color="auto" w:fill="FCFCFC"/>
        </w:rPr>
        <w:instrText>ADDIN CSL_CITATION {"citationItems":[{"id":"ITEM-1","itemData":{"DOI":"10.1177/1745691617708630","ISBN":"1745691617708","ISSN":"17456924","PMID":"28853993","abstract":"Psychological scientists draw inferences about populations based on samples—of people, situations, and stimuli—from those populations. Yet, few papers identify their target populations, and even fewer justify how or why the tested samples are representative of broader populations. A cumulative science depends on accurately characterizing the generality of findings, but current publishing standards do not require authors to constrain their inferences, leaving readers to assume the broadest possible generalizations. We propose that the discussion section of all primary research articles specify Constraints on Generality (i.e., a “COG” statement) that identify and justify target populations for the reported findings. Explicitly defining the target populations will help other researchers to sample from the same populations when conducting a direct replication, and it could encourage follow-up studies that test the boundary conditions of the original finding. Universal adoption of COG statements would change publishing incentives to favor a more cumulative science.","author":[{"dropping-particle":"","family":"Simons","given":"Daniel J.","non-dropping-particle":"","parse-names":false,"suffix":""},{"dropping-particle":"","family":"Shoda","given":"Yuichi","non-dropping-particle":"","parse-names":false,"suffix":""},{"dropping-particle":"","family":"Lindsay","given":"D. Stephen","non-dropping-particle":"","parse-names":false,"suffix":""}],"container-title":"Perspectives on Psychological Science","id":"ITEM-1","issue":"6","issued":{"date-parts":[["2017"]]},"page":"1123-1128","title":"Constraints on Generality (COG): A Proposed Addition to All Empirical Papers","type":"article-journal","volume":"12"},"uris":["http://www.mendeley.com/documents/?uuid=7a08058b-9b6f-46f8-89b6-b92a9ced78f7"]}],"mendeley":{"formattedCitation":"&lt;sup&gt;51&lt;/sup&gt;","plainTextFormattedCitation":"51","previouslyFormattedCitation":"&lt;sup&gt;51&lt;/sup&gt;"},"properties":{"noteIndex":0},"schema":"https://github.com/citation-style-language/schema/raw/master/csl-citation.json"}</w:instrText>
      </w:r>
      <w:r w:rsidR="00D54C5A">
        <w:rPr>
          <w:shd w:val="clear" w:color="auto" w:fill="FCFCFC"/>
        </w:rPr>
        <w:fldChar w:fldCharType="separate"/>
      </w:r>
      <w:r w:rsidR="00852C49" w:rsidRPr="00852C49">
        <w:rPr>
          <w:noProof/>
          <w:shd w:val="clear" w:color="auto" w:fill="FCFCFC"/>
          <w:vertAlign w:val="superscript"/>
        </w:rPr>
        <w:t>51</w:t>
      </w:r>
      <w:r w:rsidR="00D54C5A">
        <w:rPr>
          <w:shd w:val="clear" w:color="auto" w:fill="FCFCFC"/>
        </w:rPr>
        <w:fldChar w:fldCharType="end"/>
      </w:r>
      <w:r>
        <w:rPr>
          <w:shd w:val="clear" w:color="auto" w:fill="FCFCFC"/>
        </w:rPr>
        <w:t>. Context parameterization might be quantitative (</w:t>
      </w:r>
      <w:proofErr w:type="gramStart"/>
      <w:r>
        <w:rPr>
          <w:shd w:val="clear" w:color="auto" w:fill="FCFCFC"/>
        </w:rPr>
        <w:t>e.g.</w:t>
      </w:r>
      <w:proofErr w:type="gramEnd"/>
      <w:r>
        <w:rPr>
          <w:shd w:val="clear" w:color="auto" w:fill="FCFCFC"/>
        </w:rPr>
        <w:t xml:space="preserve"> stating climatic, edaphic and topographic ranges), or qualitative (e.g. insects in coniferous forests of central Japan, but not all animals over the globe</w:t>
      </w:r>
      <w:r w:rsidR="00481552">
        <w:rPr>
          <w:shd w:val="clear" w:color="auto" w:fill="FCFCFC"/>
        </w:rPr>
        <w:t>). Variables</w:t>
      </w:r>
      <w:r>
        <w:t xml:space="preserve"> include those that might alter the importance of a mechanism through which a </w:t>
      </w:r>
      <w:r w:rsidRPr="00B059C1">
        <w:t>causal effect operates</w:t>
      </w:r>
      <w:r w:rsidR="00D54C5A" w:rsidRPr="00B059C1">
        <w:fldChar w:fldCharType="begin" w:fldLock="1"/>
      </w:r>
      <w:r w:rsidR="00F23EB1">
        <w:instrText>ADDIN CSL_CITATION {"citationItems":[{"id":"ITEM-1","itemData":{"DOI":"10.1016/j.jclinepi.2019.05.005","ISSN":"18785921","PMID":"31121303","abstract":"Objectives: We are often confronted in public health by associations that vary by population or subpopulation. Much effort has focused on the statistical and biological interpretation of such effect measure modification (EMM) because of the importance to public health. However, EMM remains difficult to conceptualize because it apparently violates everyday understanding of causes as usually acting consistently, making it difficult to predict when EMM may occur and raises questions about how to determine the external validity of interventions without extensive retesting by population or subpopulation. Study Design and Setting: Methods exposition. Results: We propose that EMM can be thought of as mediation of an intervention (or exposure) on outcome by mechanism(s) whose relevance differs between population groups, which can be illustrated in causal diagrams, that is, directed acyclic graphs and selection diagrams, meaning external validity can be formally considered as mediation according to “selection variables.” EMM can then be represented graphically and its consequences predicted. Conclusion: This new conceptualization of EMM transforms EMM from a concept that violates everyday understanding of causes into an insight generating means of thinking about interventions (or exposures) in terms of their mediating mechanism(s) and corresponding population- or subpopulation-specific attributes to help target interventions effectively.","author":[{"dropping-particle":"","family":"Lopez","given":"Priscilla M.","non-dropping-particle":"","parse-names":false,"suffix":""},{"dropping-particle":"V.","family":"Subramanian","given":"S.","non-dropping-particle":"","parse-names":false,"suffix":""},{"dropping-particle":"","family":"Schooling","given":"C. Mary","non-dropping-particle":"","parse-names":false,"suffix":""}],"container-title":"Journal of Clinical Epidemiology","id":"ITEM-1","issued":{"date-parts":[["2019"]]},"page":"123-128","publisher":"Elsevier Inc","title":"Effect measure modification conceptualized using selection diagrams as mediation by mechanisms of varying population-level relevance","type":"article-journal","volume":"113"},"uris":["http://www.mendeley.com/documents/?uuid=d6f58566-0ce8-46e1-992f-7f079ad4e2e1"]}],"mendeley":{"formattedCitation":"&lt;sup&gt;53&lt;/sup&gt;","plainTextFormattedCitation":"53","previouslyFormattedCitation":"&lt;sup&gt;53&lt;/sup&gt;"},"properties":{"noteIndex":0},"schema":"https://github.com/citation-style-language/schema/raw/master/csl-citation.json"}</w:instrText>
      </w:r>
      <w:r w:rsidR="00D54C5A" w:rsidRPr="00B059C1">
        <w:fldChar w:fldCharType="separate"/>
      </w:r>
      <w:r w:rsidR="00852C49" w:rsidRPr="00852C49">
        <w:rPr>
          <w:noProof/>
          <w:vertAlign w:val="superscript"/>
        </w:rPr>
        <w:t>53</w:t>
      </w:r>
      <w:r w:rsidR="00D54C5A" w:rsidRPr="00B059C1">
        <w:fldChar w:fldCharType="end"/>
      </w:r>
      <w:r w:rsidRPr="00B059C1">
        <w:rPr>
          <w:shd w:val="clear" w:color="auto" w:fill="FCFCFC"/>
        </w:rPr>
        <w:t xml:space="preserve">. </w:t>
      </w:r>
      <w:bookmarkStart w:id="15" w:name="_Hlk100577835"/>
      <w:r w:rsidR="00982E73" w:rsidRPr="00B059C1">
        <w:rPr>
          <w:shd w:val="clear" w:color="auto" w:fill="FCFCFC"/>
        </w:rPr>
        <w:t>Context parametrisation</w:t>
      </w:r>
      <w:r w:rsidRPr="00B059C1">
        <w:rPr>
          <w:shd w:val="clear" w:color="auto" w:fill="FCFCFC"/>
        </w:rPr>
        <w:t xml:space="preserve"> permit</w:t>
      </w:r>
      <w:r w:rsidR="00982E73" w:rsidRPr="00B059C1">
        <w:rPr>
          <w:shd w:val="clear" w:color="auto" w:fill="FCFCFC"/>
        </w:rPr>
        <w:t>s</w:t>
      </w:r>
      <w:r w:rsidRPr="00B059C1">
        <w:rPr>
          <w:shd w:val="clear" w:color="auto" w:fill="FCFCFC"/>
        </w:rPr>
        <w:t xml:space="preserve"> both researchers and readers to implement what social scientists term the ‘proximal similarity model’ </w:t>
      </w:r>
      <w:r w:rsidRPr="00B059C1">
        <w:rPr>
          <w:i/>
          <w:iCs/>
          <w:shd w:val="clear" w:color="auto" w:fill="FCFCFC"/>
        </w:rPr>
        <w:t>sensu</w:t>
      </w:r>
      <w:r w:rsidRPr="00B059C1">
        <w:rPr>
          <w:shd w:val="clear" w:color="auto" w:fill="FCFCFC"/>
        </w:rPr>
        <w:t xml:space="preserve"> Campbell 1986</w:t>
      </w:r>
      <w:r w:rsidR="00D54C5A" w:rsidRPr="00B059C1">
        <w:rPr>
          <w:shd w:val="clear" w:color="auto" w:fill="FCFCFC"/>
        </w:rPr>
        <w:fldChar w:fldCharType="begin" w:fldLock="1"/>
      </w:r>
      <w:r w:rsidR="00F23EB1">
        <w:rPr>
          <w:shd w:val="clear" w:color="auto" w:fill="FCFCFC"/>
        </w:rPr>
        <w:instrText>ADDIN CSL_CITATION {"citationItems":[{"id":"ITEM-1","itemData":{"author":[{"dropping-particle":"","family":"Campbell","given":"D.T.","non-dropping-particle":"","parse-names":false,"suffix":""}],"container-title":"Advances in QuasiExperimental Design and Analysis","editor":[{"dropping-particle":"","family":"Trochim","given":"W.","non-dropping-particle":"","parse-names":false,"suffix":""}],"id":"ITEM-1","issued":{"date-parts":[["1986"]]},"page":"67–77","publisher":"Jossey-Bass","publisher-place":"San Francisco","title":"Relabeling internal and external validity for the applied social sciences","type":"chapter"},"uris":["http://www.mendeley.com/documents/?uuid=3e9ea169-af37-4363-9c72-e778fd3978e6"]}],"mendeley":{"formattedCitation":"&lt;sup&gt;54&lt;/sup&gt;","plainTextFormattedCitation":"54","previouslyFormattedCitation":"&lt;sup&gt;54&lt;/sup&gt;"},"properties":{"noteIndex":0},"schema":"https://github.com/citation-style-language/schema/raw/master/csl-citation.json"}</w:instrText>
      </w:r>
      <w:r w:rsidR="00D54C5A" w:rsidRPr="00B059C1">
        <w:rPr>
          <w:shd w:val="clear" w:color="auto" w:fill="FCFCFC"/>
        </w:rPr>
        <w:fldChar w:fldCharType="separate"/>
      </w:r>
      <w:r w:rsidR="00852C49" w:rsidRPr="00852C49">
        <w:rPr>
          <w:noProof/>
          <w:shd w:val="clear" w:color="auto" w:fill="FCFCFC"/>
          <w:vertAlign w:val="superscript"/>
        </w:rPr>
        <w:t>54</w:t>
      </w:r>
      <w:r w:rsidR="00D54C5A" w:rsidRPr="00B059C1">
        <w:rPr>
          <w:shd w:val="clear" w:color="auto" w:fill="FCFCFC"/>
        </w:rPr>
        <w:fldChar w:fldCharType="end"/>
      </w:r>
      <w:r w:rsidRPr="00B059C1">
        <w:rPr>
          <w:shd w:val="clear" w:color="auto" w:fill="FCFCFC"/>
        </w:rPr>
        <w:t xml:space="preserve">. This model involves conceptualisation of potential target contexts as a gradient of similarity, from most closely </w:t>
      </w:r>
      <w:proofErr w:type="gramStart"/>
      <w:r w:rsidRPr="00B059C1">
        <w:rPr>
          <w:shd w:val="clear" w:color="auto" w:fill="FCFCFC"/>
        </w:rPr>
        <w:t>similar to</w:t>
      </w:r>
      <w:proofErr w:type="gramEnd"/>
      <w:r w:rsidRPr="00B059C1">
        <w:rPr>
          <w:shd w:val="clear" w:color="auto" w:fill="FCFCFC"/>
        </w:rPr>
        <w:t xml:space="preserve"> least similar. Proximal similarity supports transferability to those </w:t>
      </w:r>
      <w:r w:rsidRPr="00B059C1">
        <w:rPr>
          <w:shd w:val="clear" w:color="auto" w:fill="FCFCFC"/>
        </w:rPr>
        <w:lastRenderedPageBreak/>
        <w:t>populations that are spatially, temporally</w:t>
      </w:r>
      <w:r w:rsidR="00FE0704">
        <w:rPr>
          <w:shd w:val="clear" w:color="auto" w:fill="FCFCFC"/>
        </w:rPr>
        <w:t>,</w:t>
      </w:r>
      <w:r w:rsidRPr="00B059C1">
        <w:rPr>
          <w:shd w:val="clear" w:color="auto" w:fill="FCFCFC"/>
        </w:rPr>
        <w:t xml:space="preserve"> and taxonomically most alike (i.e., most proximally similar to) those in the focal study</w:t>
      </w:r>
      <w:r w:rsidR="00C11F5A" w:rsidRPr="00B059C1">
        <w:rPr>
          <w:shd w:val="clear" w:color="auto" w:fill="FCFCFC"/>
        </w:rPr>
        <w:fldChar w:fldCharType="begin" w:fldLock="1"/>
      </w:r>
      <w:r w:rsidR="00666ECE">
        <w:rPr>
          <w:shd w:val="clear" w:color="auto" w:fill="FCFCFC"/>
        </w:rPr>
        <w:instrText>ADDIN CSL_CITATION {"citationItems":[{"id":"ITEM-1","itemData":{"DOI":"10.1016/j.ijnurstu.2010.06.004","ISSN":"00207489","PMID":"20598692","abstract":"Generalization, which is an act of reasoning that involves drawing broad inferences from particular observations, is widely-acknowledged as a quality standard in quantitative research, but is more controversial in qualitative research. The goal of most qualitative studies is not to generalize but rather to provide a rich, contextualized understanding of some aspect of human experience through the intensive study of particular cases. Yet, in an environment where evidence for improving practice is held in high esteem, generalization in relation to knowledge claims merits careful attention by both qualitative and quantitative researchers. Issues relating to generalization are, however, often ignored or misrepresented by both groups of researchers. Three models of generalization, as proposed in a seminal article by Firestone, are discussed in this paper: classic sample-to-population (statistical) generalization, analytic generalization, and case-to-case transfer (transferability). Suggestions for enhancing the capacity for generalization in terms of all three models are offered. The suggestions cover such issues as planned replication, sampling strategies, systematic reviews, reflexivity and higher-order conceptualization, thick description, mixed methods research, and the RE-AIM framework within pragmatic trials. © 2010 Elsevier Ltd.","author":[{"dropping-particle":"","family":"Polit","given":"Denise F.","non-dropping-particle":"","parse-names":false,"suffix":""},{"dropping-particle":"","family":"Beck","given":"Cheryl Tatano","non-dropping-particle":"","parse-names":false,"suffix":""}],"container-title":"International Journal of Nursing Studies","id":"ITEM-1","issue":"11","issued":{"date-parts":[["2010"]]},"page":"1451-1458","publisher":"Elsevier Ltd","title":"Generalization in quantitative and qualitative research: Myths and strategies","type":"article-journal","volume":"47"},"uris":["http://www.mendeley.com/documents/?uuid=5b19afb3-f7e8-4055-9148-2d0401009f4e"]}],"mendeley":{"formattedCitation":"&lt;sup&gt;13&lt;/sup&gt;","plainTextFormattedCitation":"13","previouslyFormattedCitation":"&lt;sup&gt;13&lt;/sup&gt;"},"properties":{"noteIndex":0},"schema":"https://github.com/citation-style-language/schema/raw/master/csl-citation.json"}</w:instrText>
      </w:r>
      <w:r w:rsidR="00C11F5A" w:rsidRPr="00B059C1">
        <w:rPr>
          <w:shd w:val="clear" w:color="auto" w:fill="FCFCFC"/>
        </w:rPr>
        <w:fldChar w:fldCharType="separate"/>
      </w:r>
      <w:r w:rsidR="00FA67E2" w:rsidRPr="00FA67E2">
        <w:rPr>
          <w:noProof/>
          <w:shd w:val="clear" w:color="auto" w:fill="FCFCFC"/>
          <w:vertAlign w:val="superscript"/>
        </w:rPr>
        <w:t>13</w:t>
      </w:r>
      <w:r w:rsidR="00C11F5A" w:rsidRPr="00B059C1">
        <w:rPr>
          <w:shd w:val="clear" w:color="auto" w:fill="FCFCFC"/>
        </w:rPr>
        <w:fldChar w:fldCharType="end"/>
      </w:r>
      <w:r w:rsidR="00C11F5A" w:rsidRPr="00B059C1">
        <w:rPr>
          <w:shd w:val="clear" w:color="auto" w:fill="FCFCFC"/>
        </w:rPr>
        <w:t>.</w:t>
      </w:r>
      <w:bookmarkEnd w:id="15"/>
    </w:p>
    <w:p w14:paraId="38C73C0A" w14:textId="64EF7879" w:rsidR="00F24A29" w:rsidRDefault="00313CC5">
      <w:pPr>
        <w:rPr>
          <w:shd w:val="clear" w:color="auto" w:fill="FCFCFC"/>
        </w:rPr>
      </w:pPr>
      <w:r>
        <w:rPr>
          <w:shd w:val="clear" w:color="auto" w:fill="FCFCFC"/>
        </w:rPr>
        <w:t xml:space="preserve">Researchers could make statements about the </w:t>
      </w:r>
      <w:r w:rsidR="00D54C5A">
        <w:rPr>
          <w:shd w:val="clear" w:color="auto" w:fill="FCFCFC"/>
        </w:rPr>
        <w:t xml:space="preserve">predicted </w:t>
      </w:r>
      <w:proofErr w:type="spellStart"/>
      <w:r>
        <w:rPr>
          <w:shd w:val="clear" w:color="auto" w:fill="FCFCFC"/>
        </w:rPr>
        <w:t>estimand</w:t>
      </w:r>
      <w:proofErr w:type="spellEnd"/>
      <w:r>
        <w:rPr>
          <w:shd w:val="clear" w:color="auto" w:fill="FCFCFC"/>
        </w:rPr>
        <w:t xml:space="preserve"> in a specific target context, </w:t>
      </w:r>
      <w:proofErr w:type="gramStart"/>
      <w:r>
        <w:rPr>
          <w:shd w:val="clear" w:color="auto" w:fill="FCFCFC"/>
        </w:rPr>
        <w:t>e.g.</w:t>
      </w:r>
      <w:proofErr w:type="gramEnd"/>
      <w:r>
        <w:rPr>
          <w:shd w:val="clear" w:color="auto" w:fill="FCFCFC"/>
        </w:rPr>
        <w:t xml:space="preserve"> the magnitude and sign of an effect</w:t>
      </w:r>
      <w:r w:rsidR="007E5632">
        <w:rPr>
          <w:shd w:val="clear" w:color="auto" w:fill="FCFCFC"/>
        </w:rPr>
        <w:t xml:space="preserve"> on a specified outcome</w:t>
      </w:r>
      <w:r>
        <w:rPr>
          <w:shd w:val="clear" w:color="auto" w:fill="FCFCFC"/>
        </w:rPr>
        <w:t xml:space="preserve">, and how </w:t>
      </w:r>
      <w:proofErr w:type="spellStart"/>
      <w:r>
        <w:rPr>
          <w:shd w:val="clear" w:color="auto" w:fill="FCFCFC"/>
        </w:rPr>
        <w:t>estimands</w:t>
      </w:r>
      <w:proofErr w:type="spellEnd"/>
      <w:r>
        <w:rPr>
          <w:shd w:val="clear" w:color="auto" w:fill="FCFCFC"/>
        </w:rPr>
        <w:t xml:space="preserve"> might change along a given gradient under specified conditions, and state whether the target gradient extends beyond the range of the reference population’s parameter space. Researchers could articulate assumptions underlying the predictions (</w:t>
      </w:r>
      <w:proofErr w:type="gramStart"/>
      <w:r>
        <w:rPr>
          <w:shd w:val="clear" w:color="auto" w:fill="FCFCFC"/>
        </w:rPr>
        <w:t>e.g.</w:t>
      </w:r>
      <w:proofErr w:type="gramEnd"/>
      <w:r>
        <w:rPr>
          <w:shd w:val="clear" w:color="auto" w:fill="FCFCFC"/>
        </w:rPr>
        <w:t xml:space="preserve"> what conditions must hold, such as site historical factors), as well as potential ecological and/or societal impacts of an assumption being violated. </w:t>
      </w:r>
    </w:p>
    <w:p w14:paraId="2E8DE665" w14:textId="479AF26C" w:rsidR="00FB5694" w:rsidRDefault="00313CC5">
      <w:r w:rsidRPr="004E65E8">
        <w:t xml:space="preserve">We see an opportunity for reviewers to be involved in improving </w:t>
      </w:r>
      <w:proofErr w:type="spellStart"/>
      <w:r w:rsidR="000F01A7" w:rsidRPr="004E65E8">
        <w:t>CoG</w:t>
      </w:r>
      <w:proofErr w:type="spellEnd"/>
      <w:r w:rsidRPr="004E65E8">
        <w:t xml:space="preserve"> statements. If the onus is only on authors to specify generality, these statements risk being arbitrarily subjective, and marginalised to a perfunctory ‘limitations’ section. Reviewers could serve two roles in this regard. First, at the stage of submitting their evaluation, reviewers could be asked a short-response question about what they perceive the generalisability and transferability of the empirical findings to be. If the statements of the authors and reviewers diverge notably, this would indicate to the editor a lack of clarity in the manuscript about generality or necessary context. For journals that provide peer-review reports alongside published papers, the reviewers’ perceptions of generality could provide additional insight</w:t>
      </w:r>
      <w:r w:rsidR="00AD5EBD">
        <w:t>s</w:t>
      </w:r>
      <w:r w:rsidRPr="004E65E8">
        <w:t xml:space="preserve"> to readers. Second, reviewers can serve a role, again through a short-response question, in discouraging authors from exaggerating generality, especially in the title and abstract.</w:t>
      </w:r>
      <w:r>
        <w:t xml:space="preserve"> </w:t>
      </w:r>
    </w:p>
    <w:p w14:paraId="69E328AE" w14:textId="40A35CC3" w:rsidR="00F24A29" w:rsidRDefault="00313CC5">
      <w:pPr>
        <w:pStyle w:val="Heading3"/>
      </w:pPr>
      <w:bookmarkStart w:id="16" w:name="_26in1rg" w:colFirst="0" w:colLast="0"/>
      <w:bookmarkEnd w:id="16"/>
      <w:r>
        <w:t>Move beyond static representations of ecological relationships</w:t>
      </w:r>
    </w:p>
    <w:p w14:paraId="4A9C9C2A" w14:textId="0E2D8741" w:rsidR="00F24A29" w:rsidRDefault="00313CC5">
      <w:r>
        <w:t xml:space="preserve">Researchers could work harder to meaningfully communicate contingency, </w:t>
      </w:r>
      <w:proofErr w:type="gramStart"/>
      <w:r>
        <w:t>uncertainty</w:t>
      </w:r>
      <w:proofErr w:type="gramEnd"/>
      <w:r>
        <w:t xml:space="preserve"> and transferability of </w:t>
      </w:r>
      <w:proofErr w:type="spellStart"/>
      <w:r>
        <w:t>estimands</w:t>
      </w:r>
      <w:proofErr w:type="spellEnd"/>
      <w:r w:rsidR="008B4FC9">
        <w:t xml:space="preserve"> to different audiences, including researchers and practitioners</w:t>
      </w:r>
      <w:r>
        <w:t>. In both primary and synthetic studies, the usual current practice is to display outputs of analyses as two-dimensional (2D) static plots, typically holding other covariates at their mean values</w:t>
      </w:r>
      <w:r w:rsidR="00D3145C">
        <w:fldChar w:fldCharType="begin" w:fldLock="1"/>
      </w:r>
      <w:r w:rsidR="00F23EB1">
        <w:instrText>ADDIN CSL_CITATION {"citationItems":[{"id":"ITEM-1","itemData":{"DOI":"10.15195/V6.A4","ISSN":"23306696","abstract":"Many effects of interest to sociologists are nonlinear. Additionally, many effects of interest are interaction effects-that is, the effect of one independent variable is contingent on the level of another independent variable. The proper way to estimate, interpret, and present these two types of effects individually are well known. However, many analyses that combine these two-that is, tests of interaction when the effects of interest are nonlinear-are not properly interpreted or tested. The consequences of approaching nonlinear interaction effects the way one would approach a linear interaction effect are severe and can often result in incorrect conclusions. I cover both nonlinear effects in the context of linear regression, and-most thoroughly-nonlinear effects in models for categorical outcomes (focusing on binary logit/probit). My goal in this article is to synthesize an evolving methodological literature and to provide straightforward advice and techniques to estimate, interpret, and present nonlinear interaction effects.","author":[{"dropping-particle":"","family":"Mize","given":"Trenton D.","non-dropping-particle":"","parse-names":false,"suffix":""}],"container-title":"Sociological Science","id":"ITEM-1","issued":{"date-parts":[["2019"]]},"page":"81-117","title":"Best practices for estimating, interpreting, and presenting nonlinear interaction effects","type":"article-journal","volume":"6"},"uris":["http://www.mendeley.com/documents/?uuid=cb61d8e2-6781-4580-9ce7-68c5bd1324da"]}],"mendeley":{"formattedCitation":"&lt;sup&gt;55&lt;/sup&gt;","plainTextFormattedCitation":"55","previouslyFormattedCitation":"&lt;sup&gt;55&lt;/sup&gt;"},"properties":{"noteIndex":0},"schema":"https://github.com/citation-style-language/schema/raw/master/csl-citation.json"}</w:instrText>
      </w:r>
      <w:r w:rsidR="00D3145C">
        <w:fldChar w:fldCharType="separate"/>
      </w:r>
      <w:r w:rsidR="00852C49" w:rsidRPr="00852C49">
        <w:rPr>
          <w:noProof/>
          <w:vertAlign w:val="superscript"/>
        </w:rPr>
        <w:t>55</w:t>
      </w:r>
      <w:r w:rsidR="00D3145C">
        <w:fldChar w:fldCharType="end"/>
      </w:r>
      <w:r>
        <w:t>. Given the conditional character of ecological relationships, estimated using nonlinear link functions and linear models with interaction terms, such 2D plots are often ineffective at displaying the range and variability of estimands</w:t>
      </w:r>
      <w:r w:rsidR="00D3145C">
        <w:fldChar w:fldCharType="begin" w:fldLock="1"/>
      </w:r>
      <w:r w:rsidR="00F23EB1">
        <w:instrText>ADDIN CSL_CITATION {"citationItems":[{"id":"ITEM-1","itemData":{"DOI":"10.1111/j.1475-6773.2011.01314.x","ISSN":"00179124","PMID":"22091735","abstract":"Objectives To explain the use of interaction terms in nonlinear models. Study Design We discuss the motivation for including interaction terms in multivariate analyses. We then explain how the straightforward interpretation of interaction terms in linear models changes in nonlinear models, using graphs and equations. We extend the basic results from logit and probit to difference-in-differences models, models with higher powers of explanatory variables, other nonlinear models (including log transformation and ordered models), and panel data models. Empirical Application We show how to calculate and interpret interaction effects using a publicly available Stata data set with a binary outcome. Stata 11 has added several features which make those calculations easier. LIMDEP code also is provided. Conclusions It is important to understand why interaction terms are included in nonlinear models in order to be clear about their substantive interpretation. © Health Research and Educational Trust.","author":[{"dropping-particle":"","family":"Karaca-Mandic","given":"Pinar","non-dropping-particle":"","parse-names":false,"suffix":""},{"dropping-particle":"","family":"Norton","given":"Edward C.","non-dropping-particle":"","parse-names":false,"suffix":""},{"dropping-particle":"","family":"Dowd","given":"Bryan","non-dropping-particle":"","parse-names":false,"suffix":""}],"container-title":"Health Services Research","id":"ITEM-1","issue":"1 PART 1","issued":{"date-parts":[["2012"]]},"page":"255-274","title":"Interaction terms in nonlinear models","type":"article-journal","volume":"47"},"uris":["http://www.mendeley.com/documents/?uuid=82cdc26c-8edd-41f2-85da-d72358145500"]}],"mendeley":{"formattedCitation":"&lt;sup&gt;56&lt;/sup&gt;","plainTextFormattedCitation":"56","previouslyFormattedCitation":"&lt;sup&gt;56&lt;/sup&gt;"},"properties":{"noteIndex":0},"schema":"https://github.com/citation-style-language/schema/raw/master/csl-citation.json"}</w:instrText>
      </w:r>
      <w:r w:rsidR="00D3145C">
        <w:fldChar w:fldCharType="separate"/>
      </w:r>
      <w:r w:rsidR="00852C49" w:rsidRPr="00852C49">
        <w:rPr>
          <w:noProof/>
          <w:vertAlign w:val="superscript"/>
        </w:rPr>
        <w:t>56</w:t>
      </w:r>
      <w:r w:rsidR="00D3145C">
        <w:fldChar w:fldCharType="end"/>
      </w:r>
      <w:r>
        <w:t>. Possible alternatives include interactive graphics that enable readers to explore underlying data points from full-data syntheses, and the prediction of marginal effects for user-specified covariate values (e.g.</w:t>
      </w:r>
      <w:r w:rsidR="009207B8">
        <w:t xml:space="preserve"> ref</w:t>
      </w:r>
      <w:r w:rsidR="00D3145C">
        <w:t xml:space="preserve"> </w:t>
      </w:r>
      <w:r w:rsidR="00D3145C" w:rsidRPr="00952883">
        <w:fldChar w:fldCharType="begin" w:fldLock="1"/>
      </w:r>
      <w:r w:rsidR="00F23EB1" w:rsidRPr="009207B8">
        <w:instrText>ADDIN CSL_CITATION {"citationItems":[{"id":"ITEM-1","itemData":{"DOI":"10.1111/1365-2664.13622","author":[{"dropping-particle":"","family":"Spake","given":"Rebecca","non-dropping-particle":"","parse-names":false,"suffix":""},{"dropping-particle":"","family":"Bellamy","given":"Chloe","non-dropping-particle":"","parse-names":false,"suffix":""},{"dropping-particle":"","family":"Gill","given":"Robin","non-dropping-particle":"","parse-names":false,"suffix":""},{"dropping-particle":"","family":"Wilson","given":"Tom","non-dropping-particle":"","parse-names":false,"suffix":""},{"dropping-particle":"","family":"Ditchburn","given":"Ben","non-dropping-particle":"","parse-names":false,"suffix":""},{"dropping-particle":"","family":"Eigenbrod","given":"Felix","non-dropping-particle":"","parse-names":false,"suffix":""}],"id":"ITEM-1","issue":"January","issued":{"date-parts":[["2020"]]},"page":"1376-1390","title":"Forest damage by deer depends on cross-scale interactions between climate , deer density and landscape structure","type":"article-journal"},"uris":["http://www.mendeley.com/documents/?uuid=b2790103-ae35-4921-8dc4-49deb5fb86cb"]}],"mendeley":{"formattedCitation":"&lt;sup&gt;57&lt;/sup&gt;","plainTextFormattedCitation":"57","previouslyFormattedCitation":"&lt;sup&gt;57&lt;/sup&gt;"},"properties":{"noteIndex":0},"schema":"https://github.com/citation-style-language/schema/raw/master/csl-citation.json"}</w:instrText>
      </w:r>
      <w:r w:rsidR="00D3145C" w:rsidRPr="00952883">
        <w:fldChar w:fldCharType="separate"/>
      </w:r>
      <w:r w:rsidR="00852C49" w:rsidRPr="00952883">
        <w:rPr>
          <w:noProof/>
        </w:rPr>
        <w:t>57</w:t>
      </w:r>
      <w:r w:rsidR="00D3145C" w:rsidRPr="00952883">
        <w:fldChar w:fldCharType="end"/>
      </w:r>
      <w:r>
        <w:t>).</w:t>
      </w:r>
      <w:r w:rsidR="009207B8">
        <w:t xml:space="preserve"> For example,</w:t>
      </w:r>
      <w:r>
        <w:t xml:space="preserve"> </w:t>
      </w:r>
      <w:r w:rsidR="00FD3DFD" w:rsidRPr="00FD3DFD">
        <w:t>McC</w:t>
      </w:r>
      <w:hyperlink r:id="rId8">
        <w:r>
          <w:t>abe et al.</w:t>
        </w:r>
      </w:hyperlink>
      <w:r w:rsidR="00EC7DD2">
        <w:fldChar w:fldCharType="begin" w:fldLock="1"/>
      </w:r>
      <w:r w:rsidR="00F23EB1">
        <w:instrText>ADDIN CSL_CITATION {"citationItems":[{"id":"ITEM-1","itemData":{"DOI":"10.1177/2515245917746792","ISSN":"2515-2459","abstract":"Interaction plots are used frequently in psychology research to make inferences about moderation hypotheses. A common method of analyzing and displaying interactions is to create simple-slopes or marginal-effects plots using standard software programs. However, these plots omit features that are essential to both graphic integrity and statistical inference. For example, they often do not display all quantities of interest, omit information about uncertainty, or do not show the observed data underlying an interaction, and failure to include these features undermines the strength of the inferences that may be drawn from such displays. Here, we review the strengths and limitations of present practices in analyzing and visualizing interaction effects in psychology. We provide simulated examples of the conditions under which visual displays may lead to inappropriate inferences and introduce open-source software that provides optimized utilities for analyzing and visualizing interactions.","author":[{"dropping-particle":"","family":"McCabe","given":"Connor J.","non-dropping-particle":"","parse-names":false,"suffix":""},{"dropping-particle":"","family":"Kim","given":"Dale S.","non-dropping-particle":"","parse-names":false,"suffix":""},{"dropping-particle":"","family":"King","given":"Kevin M.","non-dropping-particle":"","parse-names":false,"suffix":""}],"container-title":"Advances in Methods and Practices in Psychological Science","id":"ITEM-1","issue":"2","issued":{"date-parts":[["2018"]]},"page":"147-165","title":"Improving Present Practices in the Visual Display of Interactions","type":"article-journal","volume":"1"},"uris":["http://www.mendeley.com/documents/?uuid=733ad2b9-84a3-4c0a-87dc-44d670e79b9b"]}],"mendeley":{"formattedCitation":"&lt;sup&gt;58&lt;/sup&gt;","plainTextFormattedCitation":"58","previouslyFormattedCitation":"&lt;sup&gt;58&lt;/sup&gt;"},"properties":{"noteIndex":0},"schema":"https://github.com/citation-style-language/schema/raw/master/csl-citation.json"}</w:instrText>
      </w:r>
      <w:r w:rsidR="00EC7DD2">
        <w:fldChar w:fldCharType="separate"/>
      </w:r>
      <w:r w:rsidR="00852C49" w:rsidRPr="00852C49">
        <w:rPr>
          <w:noProof/>
          <w:vertAlign w:val="superscript"/>
        </w:rPr>
        <w:t>58</w:t>
      </w:r>
      <w:r w:rsidR="00EC7DD2">
        <w:fldChar w:fldCharType="end"/>
      </w:r>
      <w:r>
        <w:t xml:space="preserve"> produced an interactive web application to </w:t>
      </w:r>
      <w:r w:rsidR="00A8029C">
        <w:t>help</w:t>
      </w:r>
      <w:r>
        <w:t xml:space="preserve"> </w:t>
      </w:r>
      <w:r w:rsidR="00A8029C">
        <w:t xml:space="preserve">psychology </w:t>
      </w:r>
      <w:r>
        <w:t>researchers visualis</w:t>
      </w:r>
      <w:r w:rsidR="00A8029C">
        <w:t>e</w:t>
      </w:r>
      <w:r>
        <w:t xml:space="preserve"> interaction effects, and communica</w:t>
      </w:r>
      <w:r w:rsidR="00A8029C">
        <w:t>te</w:t>
      </w:r>
      <w:r>
        <w:t xml:space="preserve"> </w:t>
      </w:r>
      <w:r w:rsidR="00A8029C">
        <w:t xml:space="preserve">the </w:t>
      </w:r>
      <w:r>
        <w:t xml:space="preserve">statistical integrity of analyses </w:t>
      </w:r>
      <w:r w:rsidR="009207B8">
        <w:lastRenderedPageBreak/>
        <w:t>(</w:t>
      </w:r>
      <w:hyperlink r:id="rId9" w:history="1">
        <w:r w:rsidR="009207B8" w:rsidRPr="00A22738">
          <w:rPr>
            <w:rStyle w:val="Hyperlink"/>
          </w:rPr>
          <w:t>https://connorjmccabe.shinyapps.io/interactive/</w:t>
        </w:r>
      </w:hyperlink>
      <w:r>
        <w:t>). For meta-analysis, ‘dynamic meta-analysis’ software has been developed, whereby effect sizes can be filtered and weighted, and results can be recalculated, using subgroup analysis, meta-regression, and recalibration</w:t>
      </w:r>
      <w:r w:rsidR="00EC7DD2">
        <w:fldChar w:fldCharType="begin" w:fldLock="1"/>
      </w:r>
      <w:r w:rsidR="00F23EB1">
        <w:instrText>ADDIN CSL_CITATION {"citationItems":[{"id":"ITEM-1","itemData":{"DOI":"10.1101/2020.05.18.078840","ISSN":"2692-8205","abstract":"Meta-analysis is often used to make generalizations across all available evidence at the global scale. But how can these global generalizations be used for evidence-based decision making at the local scale, if only the local evidence is perceived to be relevant to a local decision? We show how an interactive method of meta-analysis — dynamic meta-analysis — can be used to assess the local relevance of global evidence. We developed Metadataset (www.metadataset.com) as an example of dynamic meta-analysis. Using Metadataset, we show how evidence can be filtered and weighted, and results can be recalculated, using dynamic methods of subgroup analysis, meta-regression, and recalibration. With an example from agroecology, we show how dynamic meta-analysis could lead to different conclusions for different subsets of the global evidence. Dynamic meta-analysis could also lead to a rebalancing of power and responsibility in evidence synthesis, since evidence users would be able to make decisions that are typically made by systematic reviewers — decisions about which studies to include (e.g., critical appraisal) and how to handle missing or poorly reported data (e.g., sensitivity analysis). We suggest that dynamic meta-analysis could be scaled up and used for subject-wide evidence synthesis in several scientific disciplines (e.g., agroecology and conservation biology). However, the metadata that are used to filter and weight the evidence would need to be standardized within disciplines.Competing Interest StatementThe authors have declared no competing interest.","author":[{"dropping-particle":"","family":"Shackelford","given":"Gorm E.","non-dropping-particle":"","parse-names":false,"suffix":""},{"dropping-particle":"","family":"Martin","given":"Philip A.","non-dropping-particle":"","parse-names":false,"suffix":""},{"dropping-particle":"","family":"Hood","given":"Amelia S.C.","non-dropping-particle":"","parse-names":false,"suffix":""},{"dropping-particle":"","family":"Christie","given":"Alec P.","non-dropping-particle":"","parse-names":false,"suffix":""},{"dropping-particle":"","family":"Kulinskaya","given":"Elena","non-dropping-particle":"","parse-names":false,"suffix":""},{"dropping-particle":"","family":"Sutherland","given":"William J.","non-dropping-particle":"","parse-names":false,"suffix":""}],"container-title":"bioRxiv","id":"ITEM-1","issued":{"date-parts":[["2020"]]},"page":"1-13","publisher":"BMC Biology","title":"Dynamic meta-analysis: A method of using global evidence for local decision making","type":"article-journal"},"uris":["http://www.mendeley.com/documents/?uuid=861e73e9-1dc8-4b1e-973d-e6cdf8f9a52e"]}],"mendeley":{"formattedCitation":"&lt;sup&gt;59&lt;/sup&gt;","plainTextFormattedCitation":"59","previouslyFormattedCitation":"&lt;sup&gt;59&lt;/sup&gt;"},"properties":{"noteIndex":0},"schema":"https://github.com/citation-style-language/schema/raw/master/csl-citation.json"}</w:instrText>
      </w:r>
      <w:r w:rsidR="00EC7DD2">
        <w:fldChar w:fldCharType="separate"/>
      </w:r>
      <w:r w:rsidR="00852C49" w:rsidRPr="00852C49">
        <w:rPr>
          <w:noProof/>
          <w:vertAlign w:val="superscript"/>
        </w:rPr>
        <w:t>59</w:t>
      </w:r>
      <w:r w:rsidR="00EC7DD2">
        <w:fldChar w:fldCharType="end"/>
      </w:r>
      <w:r w:rsidR="00A8029C">
        <w:t>, which could be extended to alternate weighting schemes that incorporate generality criteria</w:t>
      </w:r>
      <w:r w:rsidR="00A8029C">
        <w:fldChar w:fldCharType="begin" w:fldLock="1"/>
      </w:r>
      <w:r w:rsidR="00F23EB1">
        <w:instrText>ADDIN CSL_CITATION {"citationItems":[{"id":"ITEM-1","itemData":{"DOI":"10.1016/j.foreco.2017.05.059","ISSN":"03781127","author":[{"dropping-particle":"","family":"Spake","given":"Rebecca","non-dropping-particle":"","parse-names":false,"suffix":""},{"dropping-particle":"","family":"Doncaster","given":"C. Patrick","non-dropping-particle":"","parse-names":false,"suffix":""}],"container-title":"Forest Ecology and Management","id":"ITEM-1","issued":{"date-parts":[["2017"]]},"page":"429-437","publisher":"The Authors","title":"Use of meta-analysis in forest biodiversity research: key challenges and considerations","type":"article-journal","volume":"400"},"uris":["http://www.mendeley.com/documents/?uuid=9a0a0df7-a139-4922-b127-c22fba255602"]},{"id":"ITEM-2","itemData":{"DOI":"10.1111/1365-2664.14154","ISSN":"0021-8901","author":[{"dropping-particle":"","family":"Christie","given":"Alec P.","non-dropping-particle":"","parse-names":false,"suffix":""},{"dropping-particle":"","family":"Amano","given":"Tatsuya","non-dropping-particle":"","parse-names":false,"suffix":""},{"dropping-particle":"","family":"Martin","given":"Philip A.","non-dropping-particle":"","parse-names":false,"suffix":""},{"dropping-particle":"","family":"Shackelford","given":"Gorm E.","non-dropping-particle":"","parse-names":false,"suffix":""},{"dropping-particle":"","family":"Simmons","given":"Benno I.","non-dropping-particle":"","parse-names":false,"suffix":""},{"dropping-particle":"","family":"Sutherland","given":"William J.","non-dropping-particle":"","parse-names":false,"suffix":""}],"container-title":"Journal of Applied Ecology","id":"ITEM-2","issue":"February","issued":{"date-parts":[["2022"]]},"page":"1-7","title":"Innovation and forward‐thinking are needed to improve traditional synthesis methods: A response to Pescott and Stewart","type":"article-journal"},"uris":["http://www.mendeley.com/documents/?uuid=4ff1af97-1de8-44bf-85b6-023bee2ade55"]}],"mendeley":{"formattedCitation":"&lt;sup&gt;31,60&lt;/sup&gt;","plainTextFormattedCitation":"31,60","previouslyFormattedCitation":"&lt;sup&gt;31,60&lt;/sup&gt;"},"properties":{"noteIndex":0},"schema":"https://github.com/citation-style-language/schema/raw/master/csl-citation.json"}</w:instrText>
      </w:r>
      <w:r w:rsidR="00A8029C">
        <w:fldChar w:fldCharType="separate"/>
      </w:r>
      <w:r w:rsidR="00852C49" w:rsidRPr="00852C49">
        <w:rPr>
          <w:noProof/>
          <w:vertAlign w:val="superscript"/>
        </w:rPr>
        <w:t>31,60</w:t>
      </w:r>
      <w:r w:rsidR="00A8029C">
        <w:fldChar w:fldCharType="end"/>
      </w:r>
      <w:r w:rsidR="00A8029C">
        <w:t>.</w:t>
      </w:r>
      <w:r>
        <w:t xml:space="preserve"> </w:t>
      </w:r>
      <w:proofErr w:type="spellStart"/>
      <w:r>
        <w:t>EviAtlas</w:t>
      </w:r>
      <w:proofErr w:type="spellEnd"/>
      <w:r>
        <w:t xml:space="preserve"> is an example of open source software for producing interactive visualisations of systematic map databases</w:t>
      </w:r>
      <w:r w:rsidR="00EC7DD2">
        <w:fldChar w:fldCharType="begin" w:fldLock="1"/>
      </w:r>
      <w:r w:rsidR="00F23EB1">
        <w:instrText>ADDIN CSL_CITATION {"citationItems":[{"id":"ITEM-1","itemData":{"DOI":"10.1186/s13750-019-0167-1","ISSN":"20472382","abstract":"Systematic mapping assesses the nature of an evidence base, answering how much evidence exists on a particular topic. Perhaps the most useful outputs of a systematic map are an interactive database of studies and their meta-data, along with visualisations of this database. Despite the rapid increase in systematic mapping as an evidence synthesis method, there is currently a lack of Open Source software for producing interactive visualisations of systematic map databases. In April 2018, as attendees at and coordinators of the first ever Evidence Synthesis Hackathon in Stockholm, we decided to address this issue by developing an R-based tool called EviAtlas, an Open Access (i.e. free to use) and Open Source (i.e. software code is freely accessible and reproducible) tool for producing interactive, attractive tables and figures that summarise the evidence base. Here, we present our tool which includes the ability to generate vital visualisations for systematic maps and reviews as follows: a complete data table; a spatially explicit geographical information system (Evidence Atlas); Heat Maps that cross-tabulate two or more variables and display the number of studies belonging to multiple categories; and standard descriptive plots showing the nature of the evidence base, for example the number of studies published per year or number of studies per country. We believe that EviAtlas will provide a stimulus for the development of other exciting tools to facilitate evidence synthesis.","author":[{"dropping-particle":"","family":"Haddaway","given":"Neal R.","non-dropping-particle":"","parse-names":false,"suffix":""},{"dropping-particle":"","family":"Feierman","given":"Andrew","non-dropping-particle":"","parse-names":false,"suffix":""},{"dropping-particle":"","family":"Grainger","given":"Matthew J.","non-dropping-particle":"","parse-names":false,"suffix":""},{"dropping-particle":"","family":"Gray","given":"Charles T.","non-dropping-particle":"","parse-names":false,"suffix":""},{"dropping-particle":"","family":"Tanriver-Ayder","given":"Ezgi","non-dropping-particle":"","parse-names":false,"suffix":""},{"dropping-particle":"","family":"Dhaubanjar","given":"Sanita","non-dropping-particle":"","parse-names":false,"suffix":""},{"dropping-particle":"","family":"Westgate","given":"Martin J.","non-dropping-particle":"","parse-names":false,"suffix":""}],"container-title":"Environmental Evidence","id":"ITEM-1","issue":"1","issued":{"date-parts":[["2019"]]},"page":"1-10","publisher":"BioMed Central","title":"EviAtlas: A tool for visualising evidence synthesis databases","type":"article-journal","volume":"8"},"uris":["http://www.mendeley.com/documents/?uuid=bfc8bd31-5a9d-422a-a4e0-231bf0d51fde"]}],"mendeley":{"formattedCitation":"&lt;sup&gt;61&lt;/sup&gt;","plainTextFormattedCitation":"61","previouslyFormattedCitation":"&lt;sup&gt;61&lt;/sup&gt;"},"properties":{"noteIndex":0},"schema":"https://github.com/citation-style-language/schema/raw/master/csl-citation.json"}</w:instrText>
      </w:r>
      <w:r w:rsidR="00EC7DD2">
        <w:fldChar w:fldCharType="separate"/>
      </w:r>
      <w:r w:rsidR="00852C49" w:rsidRPr="00852C49">
        <w:rPr>
          <w:noProof/>
          <w:vertAlign w:val="superscript"/>
        </w:rPr>
        <w:t>61</w:t>
      </w:r>
      <w:r w:rsidR="00EC7DD2">
        <w:fldChar w:fldCharType="end"/>
      </w:r>
      <w:r>
        <w:t>. These applications could be embedded within online publications, which increasingly support interactive graphics and code</w:t>
      </w:r>
      <w:r w:rsidR="00D3145C">
        <w:fldChar w:fldCharType="begin" w:fldLock="1"/>
      </w:r>
      <w:r w:rsidR="00F23EB1">
        <w:instrText>ADDIN CSL_CITATION {"citationItems":[{"id":"ITEM-1","itemData":{"DOI":"10.12688/f1000research.13541.1","ISSN":"1759796X","abstract":"Quantifying plant morphology is a very challenging task that requires methods able to capture the geometry and topology of plant organs at various spatial scales. Recently, the use of persistent homology as a mathematical framework to quantify plant morphology has been successfully demonstrated for leaves, shoots, and root systems. In this paper, we present a new data analysis pipeline implemented in the R package archiDART to analyse root system architectures using persistent homology. In addition, we also show that both geometric and topological descriptors are necessary to accurately compare root systems and assess their natural complexity.","author":[{"dropping-particle":"","family":"Delory","given":"Benjamin M.","non-dropping-particle":"","parse-names":false,"suffix":""},{"dropping-particle":"","family":"Li","given":"Mao","non-dropping-particle":"","parse-names":false,"suffix":""},{"dropping-particle":"","family":"Topp","given":"Christopher N.","non-dropping-particle":"","parse-names":false,"suffix":""},{"dropping-particle":"","family":"Lobet","given":"Guillaume","non-dropping-particle":"","parse-names":false,"suffix":""}],"container-title":"F1000Research","id":"ITEM-1","issue":"0","issued":{"date-parts":[["2018"]]},"page":"1-14","title":"archiDART v3.0: A new data analysis pipeline allowing the topological analysis of plant root systems","type":"article-journal","volume":"7"},"uris":["http://www.mendeley.com/documents/?uuid=cbacaff4-4639-4a53-a6fc-eef2c9bf1438"]},{"id":"ITEM-2","itemData":{"ISBN":"9781907343247","ISSN":"0896-3207","PMID":"21097207","abstract":"Contribution to a video, which formed part of the exhibition 'Evolving English', held at the British Library, 12 Nov 2010 - 3 Apr 2011.","author":[{"dropping-particle":"","family":"Perkel","given":"Jeffrey M.","non-dropping-particle":"","parse-names":false,"suffix":""}],"container-title":"Nature","id":"ITEM-2","issued":{"date-parts":[["2018"]]},"page":"133-134","title":"The Future of Scientific Figures","type":"article-journal","volume":"554"},"uris":["http://www.mendeley.com/documents/?uuid=beea60fa-e526-4a84-8582-801f9ea06206"]}],"mendeley":{"formattedCitation":"&lt;sup&gt;62,63&lt;/sup&gt;","plainTextFormattedCitation":"62,63","previouslyFormattedCitation":"&lt;sup&gt;62,63&lt;/sup&gt;"},"properties":{"noteIndex":0},"schema":"https://github.com/citation-style-language/schema/raw/master/csl-citation.json"}</w:instrText>
      </w:r>
      <w:r w:rsidR="00D3145C">
        <w:fldChar w:fldCharType="separate"/>
      </w:r>
      <w:r w:rsidR="00852C49" w:rsidRPr="00852C49">
        <w:rPr>
          <w:noProof/>
          <w:vertAlign w:val="superscript"/>
        </w:rPr>
        <w:t>62,63</w:t>
      </w:r>
      <w:r w:rsidR="00D3145C">
        <w:fldChar w:fldCharType="end"/>
      </w:r>
      <w:r>
        <w:t xml:space="preserve">. </w:t>
      </w:r>
    </w:p>
    <w:p w14:paraId="0C894DBF" w14:textId="30D3AFBA" w:rsidR="00982E73" w:rsidRDefault="00982E73">
      <w:pPr>
        <w:pStyle w:val="Heading3"/>
        <w:rPr>
          <w:shd w:val="clear" w:color="auto" w:fill="FCFCFC"/>
        </w:rPr>
      </w:pPr>
      <w:bookmarkStart w:id="17" w:name="_lnxbz9" w:colFirst="0" w:colLast="0"/>
      <w:bookmarkStart w:id="18" w:name="_m2hbashczcmn" w:colFirst="0" w:colLast="0"/>
      <w:bookmarkEnd w:id="17"/>
      <w:bookmarkEnd w:id="18"/>
      <w:r>
        <w:rPr>
          <w:shd w:val="clear" w:color="auto" w:fill="FCFCFC"/>
        </w:rPr>
        <w:t xml:space="preserve">Quantify the </w:t>
      </w:r>
      <w:r w:rsidR="00B059C1">
        <w:rPr>
          <w:shd w:val="clear" w:color="auto" w:fill="FCFCFC"/>
        </w:rPr>
        <w:t xml:space="preserve">‘transfer </w:t>
      </w:r>
      <w:r>
        <w:rPr>
          <w:shd w:val="clear" w:color="auto" w:fill="FCFCFC"/>
        </w:rPr>
        <w:t>domain</w:t>
      </w:r>
      <w:r w:rsidR="00B059C1">
        <w:rPr>
          <w:shd w:val="clear" w:color="auto" w:fill="FCFCFC"/>
        </w:rPr>
        <w:t>’</w:t>
      </w:r>
      <w:r>
        <w:rPr>
          <w:shd w:val="clear" w:color="auto" w:fill="FCFCFC"/>
        </w:rPr>
        <w:t xml:space="preserve"> for full-data syntheses</w:t>
      </w:r>
    </w:p>
    <w:p w14:paraId="357D5CD6" w14:textId="5F5C9A8E" w:rsidR="00982E73" w:rsidRDefault="00982E73" w:rsidP="00982E73">
      <w:r w:rsidRPr="00982E73">
        <w:t xml:space="preserve">In addition to quantitative context parameterisation (Action 1), </w:t>
      </w:r>
      <w:bookmarkStart w:id="19" w:name="_Hlk100577693"/>
      <w:r w:rsidRPr="00982E73">
        <w:t>researchers could identif</w:t>
      </w:r>
      <w:r>
        <w:t>y</w:t>
      </w:r>
      <w:r w:rsidRPr="00982E73">
        <w:t xml:space="preserve"> the ‘transfer domain’ </w:t>
      </w:r>
      <w:r w:rsidR="009207B8">
        <w:t>that</w:t>
      </w:r>
      <w:r w:rsidR="009207B8" w:rsidRPr="00982E73">
        <w:t xml:space="preserve"> </w:t>
      </w:r>
      <w:r w:rsidRPr="00982E73">
        <w:t>delineate</w:t>
      </w:r>
      <w:r w:rsidR="009207B8">
        <w:t>s the</w:t>
      </w:r>
      <w:r w:rsidRPr="00982E73">
        <w:t xml:space="preserve"> parameter space </w:t>
      </w:r>
      <w:r w:rsidR="00C91F6E">
        <w:t>to which</w:t>
      </w:r>
      <w:r>
        <w:rPr>
          <w:shd w:val="clear" w:color="auto" w:fill="FCFCFC"/>
        </w:rPr>
        <w:t xml:space="preserve"> effect sizes can be validly transferred (given </w:t>
      </w:r>
      <w:proofErr w:type="spellStart"/>
      <w:r>
        <w:rPr>
          <w:shd w:val="clear" w:color="auto" w:fill="FCFCFC"/>
        </w:rPr>
        <w:t>CoG</w:t>
      </w:r>
      <w:proofErr w:type="spellEnd"/>
      <w:r>
        <w:rPr>
          <w:shd w:val="clear" w:color="auto" w:fill="FCFCFC"/>
        </w:rPr>
        <w:t xml:space="preserve"> statements and assumptions)</w:t>
      </w:r>
      <w:r w:rsidR="00CB7BB2">
        <w:rPr>
          <w:shd w:val="clear" w:color="auto" w:fill="FCFCFC"/>
        </w:rPr>
        <w:t>, also k</w:t>
      </w:r>
      <w:r>
        <w:rPr>
          <w:shd w:val="clear" w:color="auto" w:fill="FCFCFC"/>
        </w:rPr>
        <w:t xml:space="preserve">nown as the </w:t>
      </w:r>
      <w:r>
        <w:t>‘applicability domain’, in predictive modelling across disciplines including chemistry</w:t>
      </w:r>
      <w:r>
        <w:fldChar w:fldCharType="begin" w:fldLock="1"/>
      </w:r>
      <w:r w:rsidR="00F23EB1">
        <w:instrText>ADDIN CSL_CITATION {"citationItems":[{"id":"ITEM-1","itemData":{"DOI":"10.1016/j.jmgm.2008.01.002","ISSN":"10933263","PMID":"18328754","abstract":"The domain of applicability is an important concept in quantitative structure activity relationships (QSAR) that allows one to estimate the uncertainty in the prediction of a particular molecule based on how similar it is to the compounds used to build the model. In this paper we discuss this important concept, providing details of the development and application of a method to compute the domain of applicability within model descriptor space and structural space as defined by daylight fingerprints. The importance of the domain of applicability is illustrated using five QSAR models generated on plasma protein binding and P450 inhibition datasets. Such methodologies will be shown to offer us a means to monitor the performance of QSARs over time, providing us both with a way to estimate the accuracy of a given prediction and identify when a model needs to be rebuilt. © 2008 Elsevier Inc. All rights reserved.","author":[{"dropping-particle":"","family":"Weaver","given":"Shane","non-dropping-particle":"","parse-names":false,"suffix":""},{"dropping-particle":"","family":"Gleeson","given":"M. Paul","non-dropping-particle":"","parse-names":false,"suffix":""}],"container-title":"Journal of Molecular Graphics and Modelling","id":"ITEM-1","issue":"8","issued":{"date-parts":[["2008"]]},"page":"1315-1326","title":"The importance of the domain of applicability in QSAR modeling","type":"article-journal","volume":"26"},"uris":["http://www.mendeley.com/documents/?uuid=3cf7145b-78d9-4a65-a4c5-1eee9b3ebc12"]}],"mendeley":{"formattedCitation":"&lt;sup&gt;64&lt;/sup&gt;","plainTextFormattedCitation":"64","previouslyFormattedCitation":"&lt;sup&gt;64&lt;/sup&gt;"},"properties":{"noteIndex":0},"schema":"https://github.com/citation-style-language/schema/raw/master/csl-citation.json"}</w:instrText>
      </w:r>
      <w:r>
        <w:fldChar w:fldCharType="separate"/>
      </w:r>
      <w:r w:rsidR="00852C49" w:rsidRPr="00852C49">
        <w:rPr>
          <w:noProof/>
          <w:vertAlign w:val="superscript"/>
        </w:rPr>
        <w:t>64</w:t>
      </w:r>
      <w:r>
        <w:fldChar w:fldCharType="end"/>
      </w:r>
      <w:r>
        <w:t>, material science</w:t>
      </w:r>
      <w:r>
        <w:fldChar w:fldCharType="begin" w:fldLock="1"/>
      </w:r>
      <w:r w:rsidR="00F23EB1">
        <w:instrText>ADDIN CSL_CITATION {"citationItems":[{"id":"ITEM-1","itemData":{"DOI":"10.1038/s41467-020-17112-9","ISSN":"20411723","PMID":"32887879","abstract":"Although machine learning (ML) models promise to substantially accelerate the discovery of novel materials, their performance is often still insufficient to draw reliable conclusions. Improved ML models are therefore actively researched, but their design is currently guided mainly by monitoring the average model test error. This can render different models indistinguishable although their performance differs substantially across materials, or it can make a model appear generally insufficient while it actually works well in specific sub-domains. Here, we present a method, based on subgroup discovery, for detecting domains of applicability (DA) of models within a materials class. The utility of this approach is demonstrated by analyzing three state-of-the-art ML models for predicting the formation energy of transparent conducting oxides. We find that, despite having a mutually indistinguishable and unsatisfactory average error, the models have DAs with distinctive features and notably improved performance.","author":[{"dropping-particle":"","family":"Sutton","given":"Christopher","non-dropping-particle":"","parse-names":false,"suffix":""},{"dropping-particle":"","family":"Boley","given":"Mario","non-dropping-particle":"","parse-names":false,"suffix":""},{"dropping-particle":"","family":"Ghiringhelli","given":"Luca M.","non-dropping-particle":"","parse-names":false,"suffix":""},{"dropping-particle":"","family":"Rupp","given":"Matthias","non-dropping-particle":"","parse-names":false,"suffix":""},{"dropping-particle":"","family":"Vreeken","given":"Jilles","non-dropping-particle":"","parse-names":false,"suffix":""},{"dropping-particle":"","family":"Scheffler","given":"Matthias","non-dropping-particle":"","parse-names":false,"suffix":""}],"container-title":"Nature Communications","id":"ITEM-1","issue":"1","issued":{"date-parts":[["2020"]]},"page":"1-9","title":"Identifying domains of applicability of machine learning models for materials science","type":"article-journal","volume":"11"},"uris":["http://www.mendeley.com/documents/?uuid=e011c926-543c-4536-968f-33f8626315d0"]}],"mendeley":{"formattedCitation":"&lt;sup&gt;65&lt;/sup&gt;","plainTextFormattedCitation":"65","previouslyFormattedCitation":"&lt;sup&gt;65&lt;/sup&gt;"},"properties":{"noteIndex":0},"schema":"https://github.com/citation-style-language/schema/raw/master/csl-citation.json"}</w:instrText>
      </w:r>
      <w:r>
        <w:fldChar w:fldCharType="separate"/>
      </w:r>
      <w:r w:rsidR="00852C49" w:rsidRPr="00852C49">
        <w:rPr>
          <w:noProof/>
          <w:vertAlign w:val="superscript"/>
        </w:rPr>
        <w:t>65</w:t>
      </w:r>
      <w:r>
        <w:fldChar w:fldCharType="end"/>
      </w:r>
      <w:r>
        <w:t>, and environmental science</w:t>
      </w:r>
      <w:r>
        <w:fldChar w:fldCharType="begin" w:fldLock="1"/>
      </w:r>
      <w:r w:rsidR="00F23EB1">
        <w:instrText>ADDIN CSL_CITATION {"citationItems":[{"id":"ITEM-1","itemData":{"DOI":"10.1111/2041-210X.13650","ISSN":"2041210X","abstract":"Machine learning algorithms have become very popular for spatial mapping of the environment due to their ability to fit nonlinear and complex relationships. However, this ability comes with the disadvantage that they can only be applied to new data if these are similar to the training data. Since spatial mapping requires predictions to new geographic space which in many cases goes along with new predictor properties, a method to assess the area to which a prediction model can be reliably applied is required. Here, we suggest a methodology that delineates the ‘area of applicability’ (AOA) that we define as the area where we enabled the model to learn about relationships based on the training data, and where the estimated cross-validation performance holds. We first propose a ‘dissimilarity index’ (DI) that is based on the minimum distance to the training data in the multidimensional predictor space, with predictors being weighted by their respective importance in the model. The AOA is then derived by applying a threshold which is the (outlier-removed) maximum DI of the training data derived via cross-validation. We further use the relationship between the DI and the cross-validation performance to map the estimated performance of predictions. We illustrate the approach in a simulated case study chosen to mimic ecological realities and test the credibility by using a large set of simulated data. The simulation studies showed that the prediction error within the AOA is comparable to the cross-validation error of the trained model, while the cross-validation error does not apply outside the AOA. This applies to models being trained with randomly distributed training data, as well as when training data are clustered in space and where spatial cross-validation is applied. Using the relationship between DI and cross-validation performance showed potential to limit predictions to the area where a user-defined performance applies. We suggest to add the AOA computation to the modeller's standard toolkit and to present predictions for the AOA only. We further suggest to report a map of DI-dependent performance estimates alongside prediction maps and complementary to (cross-)validation performance measures and the common uncertainty estimates.","author":[{"dropping-particle":"","family":"Meyer","given":"Hanna","non-dropping-particle":"","parse-names":false,"suffix":""},{"dropping-particle":"","family":"Pebesma","given":"Edzer","non-dropping-particle":"","parse-names":false,"suffix":""}],"container-title":"Methods in Ecology and Evolution","id":"ITEM-1","issue":"9","issued":{"date-parts":[["2021"]]},"page":"1620-1633","title":"Predicting into unknown space? Estimating the area of applicability of spatial prediction models","type":"article-journal","volume":"12"},"uris":["http://www.mendeley.com/documents/?uuid=ab5d67b0-1b86-41f7-b5d0-28bf19aca971"]}],"mendeley":{"formattedCitation":"&lt;sup&gt;66&lt;/sup&gt;","plainTextFormattedCitation":"66","previouslyFormattedCitation":"&lt;sup&gt;66&lt;/sup&gt;"},"properties":{"noteIndex":0},"schema":"https://github.com/citation-style-language/schema/raw/master/csl-citation.json"}</w:instrText>
      </w:r>
      <w:r>
        <w:fldChar w:fldCharType="separate"/>
      </w:r>
      <w:r w:rsidR="00852C49" w:rsidRPr="00852C49">
        <w:rPr>
          <w:noProof/>
          <w:vertAlign w:val="superscript"/>
        </w:rPr>
        <w:t>66</w:t>
      </w:r>
      <w:r>
        <w:fldChar w:fldCharType="end"/>
      </w:r>
      <w:r>
        <w:t xml:space="preserve">. </w:t>
      </w:r>
      <w:r w:rsidR="00C91F6E">
        <w:t xml:space="preserve">For full-data syntheses of large datasets, </w:t>
      </w:r>
      <w:r w:rsidR="009207B8">
        <w:t>cross-</w:t>
      </w:r>
      <w:r>
        <w:t>validation techniques could</w:t>
      </w:r>
      <w:r w:rsidR="00C91F6E">
        <w:t xml:space="preserve"> be used</w:t>
      </w:r>
      <w:r>
        <w:t xml:space="preserve">, </w:t>
      </w:r>
      <w:r w:rsidR="00CB7BB2">
        <w:t>wherein</w:t>
      </w:r>
      <w:r>
        <w:t xml:space="preserve"> </w:t>
      </w:r>
      <w:r w:rsidR="00C91F6E">
        <w:t xml:space="preserve">model </w:t>
      </w:r>
      <w:r>
        <w:t xml:space="preserve">parameters </w:t>
      </w:r>
      <w:r w:rsidR="00CB7BB2">
        <w:t xml:space="preserve">are </w:t>
      </w:r>
      <w:r>
        <w:t xml:space="preserve">estimated using 90% of the primary studies (training set), </w:t>
      </w:r>
      <w:r w:rsidR="00CB7BB2">
        <w:t>and model</w:t>
      </w:r>
      <w:r>
        <w:t xml:space="preserve"> predictive performance evaluated using the remaining 10% (test set). </w:t>
      </w:r>
      <w:r w:rsidR="00C91F6E">
        <w:t>After r</w:t>
      </w:r>
      <w:r>
        <w:t>epeat</w:t>
      </w:r>
      <w:r w:rsidR="00C91F6E">
        <w:t>ing</w:t>
      </w:r>
      <w:r>
        <w:t xml:space="preserve"> </w:t>
      </w:r>
      <w:r w:rsidR="00C91F6E">
        <w:t>on</w:t>
      </w:r>
      <w:r>
        <w:t xml:space="preserve"> different combinations of primary studies </w:t>
      </w:r>
      <w:r w:rsidR="00C91F6E">
        <w:t>in</w:t>
      </w:r>
      <w:r>
        <w:t xml:space="preserve"> training and test sets</w:t>
      </w:r>
      <w:r w:rsidR="00C91F6E">
        <w:t>, s</w:t>
      </w:r>
      <w:r>
        <w:t xml:space="preserve">tudies for which effect sizes </w:t>
      </w:r>
      <w:r w:rsidR="00B059C1">
        <w:t>are</w:t>
      </w:r>
      <w:r>
        <w:t xml:space="preserve"> not predicted well </w:t>
      </w:r>
      <w:r w:rsidR="00B059C1">
        <w:t>would be</w:t>
      </w:r>
      <w:r>
        <w:t xml:space="preserve"> considered outside of the </w:t>
      </w:r>
      <w:r w:rsidR="00B059C1">
        <w:t xml:space="preserve">transfer </w:t>
      </w:r>
      <w:r>
        <w:t xml:space="preserve">domain. </w:t>
      </w:r>
      <w:r w:rsidR="004E099E">
        <w:t>To identify the boundary conditions</w:t>
      </w:r>
      <w:r w:rsidR="00C91F6E">
        <w:t>, o</w:t>
      </w:r>
      <w:r>
        <w:t xml:space="preserve">ne </w:t>
      </w:r>
      <w:r w:rsidR="00C91F6E">
        <w:t>could</w:t>
      </w:r>
      <w:r>
        <w:t xml:space="preserve"> identify </w:t>
      </w:r>
      <w:r w:rsidR="00B059C1">
        <w:t>the characteristics of</w:t>
      </w:r>
      <w:r>
        <w:t xml:space="preserve"> studies </w:t>
      </w:r>
      <w:r w:rsidR="00B059C1">
        <w:t>that are</w:t>
      </w:r>
      <w:r>
        <w:t xml:space="preserve"> unpredictable. Employing cross validation for meta-analysis will change the focus from the most precise estimate and </w:t>
      </w:r>
      <w:r w:rsidR="001B2DC3">
        <w:t xml:space="preserve">its </w:t>
      </w:r>
      <w:r>
        <w:t>statistical significance</w:t>
      </w:r>
      <w:r w:rsidR="001B2DC3">
        <w:t>,</w:t>
      </w:r>
      <w:r>
        <w:t xml:space="preserve"> to how well </w:t>
      </w:r>
      <w:proofErr w:type="spellStart"/>
      <w:r w:rsidR="00B059C1">
        <w:t>estimands</w:t>
      </w:r>
      <w:proofErr w:type="spellEnd"/>
      <w:r w:rsidR="00B059C1">
        <w:t xml:space="preserve"> transfer to different contexts</w:t>
      </w:r>
      <w:r>
        <w:t>.</w:t>
      </w:r>
    </w:p>
    <w:p w14:paraId="248AB540" w14:textId="77777777" w:rsidR="00550C20" w:rsidRDefault="00550C20">
      <w:pPr>
        <w:rPr>
          <w:rFonts w:ascii="Calibri" w:eastAsia="Calibri" w:hAnsi="Calibri" w:cs="Calibri"/>
          <w:b/>
          <w:sz w:val="26"/>
          <w:szCs w:val="26"/>
        </w:rPr>
      </w:pPr>
      <w:bookmarkStart w:id="20" w:name="_35nkun2" w:colFirst="0" w:colLast="0"/>
      <w:bookmarkStart w:id="21" w:name="_9dbeiurcib16" w:colFirst="0" w:colLast="0"/>
      <w:bookmarkEnd w:id="19"/>
      <w:bookmarkEnd w:id="20"/>
      <w:bookmarkEnd w:id="21"/>
      <w:r w:rsidRPr="00550C20">
        <w:rPr>
          <w:rFonts w:ascii="Calibri" w:eastAsia="Calibri" w:hAnsi="Calibri" w:cs="Calibri"/>
          <w:b/>
          <w:sz w:val="26"/>
          <w:szCs w:val="26"/>
        </w:rPr>
        <w:t>FOUR AGENDAS FOR DEVELOPING A SCIENCE OF GENERALITY APPLICABLE TO SYNTHESIS</w:t>
      </w:r>
    </w:p>
    <w:p w14:paraId="7F34EE6B" w14:textId="0F29C339" w:rsidR="00F24A29" w:rsidRDefault="00313CC5">
      <w:r>
        <w:t xml:space="preserve">Here we </w:t>
      </w:r>
      <w:r w:rsidR="006971E9">
        <w:t xml:space="preserve">propose </w:t>
      </w:r>
      <w:r>
        <w:t xml:space="preserve">four research agendas </w:t>
      </w:r>
      <w:r w:rsidR="006971E9">
        <w:t>to</w:t>
      </w:r>
      <w:r>
        <w:t xml:space="preserve"> guide the development of both quantitative and qualitative assumptions that underpin the generalisability and transferability </w:t>
      </w:r>
      <w:r w:rsidR="001B2DC3">
        <w:t>of</w:t>
      </w:r>
      <w:r>
        <w:t xml:space="preserve"> </w:t>
      </w:r>
      <w:proofErr w:type="spellStart"/>
      <w:r>
        <w:t>estimand</w:t>
      </w:r>
      <w:r w:rsidR="00BD3BDF">
        <w:t>s</w:t>
      </w:r>
      <w:proofErr w:type="spellEnd"/>
      <w:r>
        <w:t xml:space="preserve"> for</w:t>
      </w:r>
      <w:r w:rsidR="00BD3BDF">
        <w:t xml:space="preserve"> </w:t>
      </w:r>
      <w:r>
        <w:t xml:space="preserve">scientists and policymakers. </w:t>
      </w:r>
      <w:r w:rsidR="004E099E">
        <w:t>W</w:t>
      </w:r>
      <w:r>
        <w:t xml:space="preserve">e identify six key steps (Figure 2) which </w:t>
      </w:r>
      <w:r w:rsidR="00BD3BDF">
        <w:t xml:space="preserve">could </w:t>
      </w:r>
      <w:r>
        <w:t xml:space="preserve">help to formalise the assumptions that underpin transfer of </w:t>
      </w:r>
      <w:proofErr w:type="spellStart"/>
      <w:r>
        <w:t>estimands</w:t>
      </w:r>
      <w:proofErr w:type="spellEnd"/>
      <w:r>
        <w:t xml:space="preserve"> to specific contexts</w:t>
      </w:r>
      <w:r w:rsidR="00BD3BDF">
        <w:t xml:space="preserve"> in ecology</w:t>
      </w:r>
      <w:r w:rsidR="00BD3BDF">
        <w:fldChar w:fldCharType="begin" w:fldLock="1"/>
      </w:r>
      <w:r w:rsidR="00F23EB1">
        <w:instrText>ADDIN CSL_CITATION {"citationItems":[{"id":"ITEM-1","itemData":{"DOI":"10.1109/ICDMW.2011.169","ISBN":"9780769544090","ISSN":"15504786","abstract":"We address the problem of transferring information learned from experiments to a different environment, in which only passive observations can be collected. We introduce a formal representation called \"selection diagrams\" for expressing knowledge about differences and commonalities between environments and, using this representation, we derive procedures for deciding whether effects in the target environment can be inferred from experiments conducted elsewhere. When the answer is affirmative, the procedures identify the set of experiments and observations that need be conducted to license the transport. We further discuss how transportability analysis can guide the transfer of knowledge in non-experimental learning to minimize re-measurement cost and improve prediction power. © 2011 IEEE.","author":[{"dropping-particle":"","family":"Pearl","given":"Judea","non-dropping-particle":"","parse-names":false,"suffix":""},{"dropping-particle":"","family":"Bareinboim","given":"Elias","non-dropping-particle":"","parse-names":false,"suffix":""}],"container-title":"Proceedings - IEEE International Conference on Data Mining, ICDM","id":"ITEM-1","issue":"August","issued":{"date-parts":[["2011"]]},"page":"540-547","title":"Transportability of causal and statistical relations: A formal approach","type":"article-journal"},"uris":["http://www.mendeley.com/documents/?uuid=2732162b-69ea-49e8-b64a-fae5ea7a6bbc"]}],"mendeley":{"formattedCitation":"&lt;sup&gt;67&lt;/sup&gt;","plainTextFormattedCitation":"67","previouslyFormattedCitation":"&lt;sup&gt;67&lt;/sup&gt;"},"properties":{"noteIndex":0},"schema":"https://github.com/citation-style-language/schema/raw/master/csl-citation.json"}</w:instrText>
      </w:r>
      <w:r w:rsidR="00BD3BDF">
        <w:fldChar w:fldCharType="separate"/>
      </w:r>
      <w:r w:rsidR="00852C49" w:rsidRPr="00852C49">
        <w:rPr>
          <w:noProof/>
          <w:vertAlign w:val="superscript"/>
        </w:rPr>
        <w:t>67</w:t>
      </w:r>
      <w:r w:rsidR="00BD3BDF">
        <w:fldChar w:fldCharType="end"/>
      </w:r>
      <w:r>
        <w:t xml:space="preserve">. </w:t>
      </w:r>
    </w:p>
    <w:p w14:paraId="072DE1D6" w14:textId="77777777" w:rsidR="00725CB3" w:rsidRDefault="00725CB3" w:rsidP="00725CB3">
      <w:pPr>
        <w:rPr>
          <w:rFonts w:ascii="Arial" w:eastAsia="Arial" w:hAnsi="Arial" w:cs="Arial"/>
          <w:sz w:val="22"/>
          <w:szCs w:val="22"/>
        </w:rPr>
      </w:pPr>
    </w:p>
    <w:p w14:paraId="2B15ED9F" w14:textId="77777777" w:rsidR="00725CB3" w:rsidRDefault="00725CB3" w:rsidP="00725CB3">
      <w:pPr>
        <w:rPr>
          <w:rFonts w:ascii="Arial" w:eastAsia="Arial" w:hAnsi="Arial" w:cs="Arial"/>
          <w:sz w:val="22"/>
          <w:szCs w:val="22"/>
        </w:rPr>
      </w:pPr>
    </w:p>
    <w:p w14:paraId="68FA9F27" w14:textId="761BFF16" w:rsidR="00725CB3" w:rsidRDefault="00725CB3" w:rsidP="00725CB3">
      <w:pPr>
        <w:rPr>
          <w:rFonts w:ascii="Arial" w:eastAsia="Arial" w:hAnsi="Arial" w:cs="Arial"/>
          <w:sz w:val="22"/>
          <w:szCs w:val="22"/>
        </w:rPr>
      </w:pPr>
      <w:r>
        <w:rPr>
          <w:rFonts w:ascii="Arial" w:eastAsia="Arial" w:hAnsi="Arial" w:cs="Arial"/>
          <w:sz w:val="22"/>
          <w:szCs w:val="22"/>
        </w:rPr>
        <w:t xml:space="preserve">Figure 2. Six steps to transfer an </w:t>
      </w:r>
      <w:proofErr w:type="spellStart"/>
      <w:r>
        <w:rPr>
          <w:rFonts w:ascii="Arial" w:eastAsia="Arial" w:hAnsi="Arial" w:cs="Arial"/>
          <w:sz w:val="22"/>
          <w:szCs w:val="22"/>
        </w:rPr>
        <w:t>estimand</w:t>
      </w:r>
      <w:proofErr w:type="spellEnd"/>
      <w:r>
        <w:rPr>
          <w:rFonts w:ascii="Arial" w:eastAsia="Arial" w:hAnsi="Arial" w:cs="Arial"/>
          <w:sz w:val="22"/>
          <w:szCs w:val="22"/>
        </w:rPr>
        <w:t xml:space="preserve"> to a target context</w:t>
      </w:r>
    </w:p>
    <w:p w14:paraId="0455330D" w14:textId="565622A2" w:rsidR="00F24A29" w:rsidRDefault="00313CC5">
      <w:pPr>
        <w:pStyle w:val="Heading3"/>
      </w:pPr>
      <w:bookmarkStart w:id="22" w:name="_88k9kl8m9u3i" w:colFirst="0" w:colLast="0"/>
      <w:bookmarkStart w:id="23" w:name="_mz88c38nfsxb" w:colFirst="0" w:colLast="0"/>
      <w:bookmarkEnd w:id="22"/>
      <w:bookmarkEnd w:id="23"/>
      <w:r>
        <w:lastRenderedPageBreak/>
        <w:t xml:space="preserve">Develop </w:t>
      </w:r>
      <w:bookmarkStart w:id="24" w:name="_Hlk106090012"/>
      <w:r>
        <w:t xml:space="preserve">qualitative and quantitative criteria with which to evaluate transferability </w:t>
      </w:r>
      <w:bookmarkEnd w:id="24"/>
      <w:r>
        <w:t xml:space="preserve">of an </w:t>
      </w:r>
      <w:proofErr w:type="spellStart"/>
      <w:r>
        <w:t>estimand</w:t>
      </w:r>
      <w:proofErr w:type="spellEnd"/>
      <w:r>
        <w:t xml:space="preserve"> (for scientists)</w:t>
      </w:r>
    </w:p>
    <w:p w14:paraId="74D0A3A1" w14:textId="0F9640C3" w:rsidR="00F24A29" w:rsidRDefault="00313CC5">
      <w:pPr>
        <w:rPr>
          <w:highlight w:val="yellow"/>
        </w:rPr>
      </w:pPr>
      <w:r>
        <w:t xml:space="preserve">After specifying an </w:t>
      </w:r>
      <w:proofErr w:type="spellStart"/>
      <w:r>
        <w:t>estimand</w:t>
      </w:r>
      <w:proofErr w:type="spellEnd"/>
      <w:r>
        <w:t xml:space="preserve"> </w:t>
      </w:r>
      <w:r w:rsidR="000A303F">
        <w:t>for a</w:t>
      </w:r>
      <w:r>
        <w:t xml:space="preserve"> target context of interest (Figure 2, steps 1 and 2), </w:t>
      </w:r>
      <w:r w:rsidR="00373430">
        <w:rPr>
          <w:color w:val="000000"/>
        </w:rPr>
        <w:t xml:space="preserve">researchers </w:t>
      </w:r>
      <w:r w:rsidR="00E94213">
        <w:t>could</w:t>
      </w:r>
      <w:r>
        <w:t xml:space="preserve"> </w:t>
      </w:r>
      <w:r>
        <w:rPr>
          <w:color w:val="000000"/>
        </w:rPr>
        <w:t xml:space="preserve">develop qualitative criteria or quantitative indicators with which to </w:t>
      </w:r>
      <w:r>
        <w:t xml:space="preserve">appraise the transferability, or assumptions that (if met) justify the transfer of an </w:t>
      </w:r>
      <w:proofErr w:type="spellStart"/>
      <w:r>
        <w:t>estimand</w:t>
      </w:r>
      <w:proofErr w:type="spellEnd"/>
      <w:r>
        <w:t xml:space="preserve"> of interest</w:t>
      </w:r>
      <w:r w:rsidR="00373430">
        <w:t xml:space="preserve"> </w:t>
      </w:r>
      <w:r>
        <w:t>(step 3)</w:t>
      </w:r>
      <w:r>
        <w:rPr>
          <w:color w:val="000000"/>
        </w:rPr>
        <w:t xml:space="preserve">. </w:t>
      </w:r>
      <w:bookmarkStart w:id="25" w:name="_Hlk106089979"/>
      <w:r>
        <w:rPr>
          <w:color w:val="000000"/>
        </w:rPr>
        <w:t xml:space="preserve">These criteria can be </w:t>
      </w:r>
      <w:r>
        <w:t xml:space="preserve">used to enhance </w:t>
      </w:r>
      <w:proofErr w:type="spellStart"/>
      <w:r w:rsidR="00CB7BB2">
        <w:t>CoG</w:t>
      </w:r>
      <w:proofErr w:type="spellEnd"/>
      <w:r>
        <w:t xml:space="preserve"> statements (Action 1)</w:t>
      </w:r>
      <w:r w:rsidR="00373430">
        <w:t xml:space="preserve"> and</w:t>
      </w:r>
      <w:r>
        <w:t xml:space="preserve"> </w:t>
      </w:r>
      <w:bookmarkEnd w:id="25"/>
      <w:r>
        <w:t>guide the appraisal of primary studies that are used in quantitative synthese</w:t>
      </w:r>
      <w:r w:rsidR="00373430">
        <w:t>s</w:t>
      </w:r>
      <w:r>
        <w:t xml:space="preserve">. Criteria </w:t>
      </w:r>
      <w:r w:rsidR="0040578D">
        <w:t xml:space="preserve">could </w:t>
      </w:r>
      <w:r>
        <w:t>comprise descriptors of dissimilarity between the reference and target contexts (their covariate distributions), study</w:t>
      </w:r>
      <w:r w:rsidR="00C310DA">
        <w:t>-</w:t>
      </w:r>
      <w:r>
        <w:t>design attributes (</w:t>
      </w:r>
      <w:proofErr w:type="gramStart"/>
      <w:r>
        <w:t>e.g.</w:t>
      </w:r>
      <w:proofErr w:type="gramEnd"/>
      <w:r>
        <w:t xml:space="preserve"> replication, spatial interspersion), analytical design attributes (e.g. model complexity, statistical matching), modelling choice (e.g. machine learning), and the mechanistic nature of the causal relationships. Ideally, these criteria and assumptions </w:t>
      </w:r>
      <w:r w:rsidR="0040578D">
        <w:t xml:space="preserve">would </w:t>
      </w:r>
      <w:r>
        <w:t>be identified a</w:t>
      </w:r>
      <w:r w:rsidR="00982E73">
        <w:t>t</w:t>
      </w:r>
      <w:r>
        <w:t xml:space="preserve"> the beginning of a study, to guide its design, rather than at the end</w:t>
      </w:r>
      <w:r w:rsidR="00150C0B">
        <w:fldChar w:fldCharType="begin" w:fldLock="1"/>
      </w:r>
      <w:r w:rsidR="00F23EB1">
        <w:instrText>ADDIN CSL_CITATION {"citationItems":[{"id":"ITEM-1","itemData":{"DOI":"10.1186/s13643-018-0893-4","ISSN":"20464053","PMID":"30642403","abstract":"Background: Systematic reviews of research evidence have become an expected basis for decisions about practice guidelines and policy decisions in the health and welfare sectors. Review authors define inclusion criteria to help them determine which studies to search for and include in their reviews. However, these studies may still vary in the extent to which they reflect the context of interest in the review question. While most review authors would agree that systematic reviews should be relevant and useful for decision makers, there appears to be few well known, if any, established methods for supporting review authors to assess the transferability of review findings to the context of interest in the review. With this systematic mapping and content analysis, we aim to identify whether there exists checklists to support review authors in considering transferability early in the systematic review process. The secondary aim was to develop a comprehensive list of factors that influence transferability as discussed in existing checklists. Methods: We conducted a systematic mapping of checklists and performed a content analysis of the checklist criteria included in the identified checklists. In June 2016, we conducted a systematic search of eight databases to identify checklists to assess transferability of findings from primary or secondary research, without limitations related to publication type, status, language, or date. We also conducted a gray literature search and searched the EQUATOR repository of checklists for any relevant document. We used search terms such as modified versions of the terms \"transferability,\" \"applicability,\" \"generalizability,\" etc. and \"checklist,\" \"guideline,\" \"tool,\" \"criteria,\" etc. We did not include papers that discussed transferability at a theoretical level or checklists to assess the transferability of guidelines to local contexts. Results: Our search resulted in 11,752 titles which were screened independently by two review authors. The 101 articles which were considered potentially relevant were subsequently read by two authors, independently in full text and assessed for inclusion. We identified 31 relevant checklists. Six of these examined transferability of economic evaluations, and 25 examined transferability of primary or secondary research findings in health (n = 23) or social welfare (n = 2). The content analysis is based on the 25 health and social welfare checklists. We identified seven themes under which we …","author":[{"dropping-particle":"","family":"Munthe-Kaas","given":"Heather","non-dropping-particle":"","parse-names":false,"suffix":""},{"dropping-particle":"","family":"Nøkleby","given":"Heid","non-dropping-particle":"","parse-names":false,"suffix":""},{"dropping-particle":"","family":"Nguyen","given":"Lien","non-dropping-particle":"","parse-names":false,"suffix":""}],"container-title":"Systematic Reviews","id":"ITEM-1","issue":"1","issued":{"date-parts":[["2019"]]},"page":"1-16","publisher":"Systematic Reviews","title":"Systematic mapping of checklists for assessing transferability","type":"article-journal","volume":"8"},"uris":["http://www.mendeley.com/documents/?uuid=308c8408-475d-4b72-9b4c-f03ebf02f327"]}],"mendeley":{"formattedCitation":"&lt;sup&gt;68&lt;/sup&gt;","plainTextFormattedCitation":"68","previouslyFormattedCitation":"&lt;sup&gt;68&lt;/sup&gt;"},"properties":{"noteIndex":0},"schema":"https://github.com/citation-style-language/schema/raw/master/csl-citation.json"}</w:instrText>
      </w:r>
      <w:r w:rsidR="00150C0B">
        <w:fldChar w:fldCharType="separate"/>
      </w:r>
      <w:r w:rsidR="00852C49" w:rsidRPr="00852C49">
        <w:rPr>
          <w:noProof/>
          <w:vertAlign w:val="superscript"/>
        </w:rPr>
        <w:t>68</w:t>
      </w:r>
      <w:r w:rsidR="00150C0B">
        <w:fldChar w:fldCharType="end"/>
      </w:r>
      <w:r w:rsidR="00150C0B">
        <w:t xml:space="preserve">. </w:t>
      </w:r>
      <w:r>
        <w:t xml:space="preserve">While high-level categories of appraisal criteria are likely to be useful to guide the analysis and interpretation of primary and synthetic studies, exact criteria will be specific to the ecological question and </w:t>
      </w:r>
      <w:proofErr w:type="spellStart"/>
      <w:r>
        <w:t>estimand</w:t>
      </w:r>
      <w:proofErr w:type="spellEnd"/>
      <w:r>
        <w:t xml:space="preserve"> of interest. </w:t>
      </w:r>
    </w:p>
    <w:p w14:paraId="03225632" w14:textId="1C693692" w:rsidR="00F24A29" w:rsidRDefault="00313CC5">
      <w:r>
        <w:t>Health disciplines have developed objective criteria with which to judge the external validity of primary studies for a defined target context, e.g.</w:t>
      </w:r>
      <w:r w:rsidR="00150C0B">
        <w:rPr>
          <w:vertAlign w:val="superscript"/>
        </w:rPr>
        <w:fldChar w:fldCharType="begin" w:fldLock="1"/>
      </w:r>
      <w:r w:rsidR="00F23EB1">
        <w:rPr>
          <w:vertAlign w:val="superscript"/>
        </w:rPr>
        <w:instrText>ADDIN CSL_CITATION {"citationItems":[{"id":"ITEM-1","itemData":{"DOI":"10.1093/ije/dyp174","ISSN":"03005771","PMID":"19376882","abstract":"Background External validity of study results is an important issue from a clinical point of view. From a methodological point of view, however, the concept of external validity is more complex than it seems to be at first glance. Methods Methodological review to address the concept of external validity. Results External validity refers to the question whether results are generalizable to persons other than the population in the original study. The only formal way to establish the external validity would be to repeat the study for that specific target population. We propose a three-way approach for assessing the external validity for specified target populations. (i) The study population might not be representative for the eligibility criteria that were intended. It should be addressed whether the study population differs from the intended source population with respect to characteristics that influence outcome. (ii) The target population will, by definition, differ from the study population with respect to geographical, temporal and ethnical conditions. Pondering external validity means asking the question whether these differences may influence study results. (iii) It should be assessed whether the study's conclusions can be generalized to target populations that do not meet all the eligibility criteria. Conclusion Judging the external validity of study results cannot be done by applying given eligibility criteria to a single target population. Rather, it is a complex reflection in which prior knowledge, statistical considerations, biological plausibility and eligibility criteria all have place. © The Author 2009; all rights reserved. Published by Oxford University Press on behalf of the International Epidemiological Association.","author":[{"dropping-particle":"","family":"Dekkers","given":"O. M.","non-dropping-particle":"","parse-names":false,"suffix":""},{"dropping-particle":"","family":"Elm","given":"E.","non-dropping-particle":"von","parse-names":false,"suffix":""},{"dropping-particle":"","family":"Algra","given":"A.","non-dropping-particle":"","parse-names":false,"suffix":""},{"dropping-particle":"","family":"Romijn","given":"J. A.","non-dropping-particle":"","parse-names":false,"suffix":""},{"dropping-particle":"","family":"Vandenbroucke","given":"J. P.","non-dropping-particle":"","parse-names":false,"suffix":""}],"container-title":"International Journal of Epidemiology","id":"ITEM-1","issue":"1","issued":{"date-parts":[["2010"]]},"page":"89-94","title":"How to assess the external validity of therapeutic trials: A conceptual approach","type":"article-journal","volume":"39"},"uris":["http://www.mendeley.com/documents/?uuid=388c9bde-39e7-4d2b-9f97-017946fc8c3e"]},{"id":"ITEM-2","itemData":{"DOI":"10.1186/s13012-018-0751-8","ISSN":"17485908","PMID":"29941011","abstract":"Background: Improving the public's health in different countries requires the consideration of diverse health care systems and settings. For evidence-based public health, decision-makers need to consider the transferability of effective health interventions from a primary context to their specific target context. The aim of this systematic review was to develop a model for the assessment of transferability of health interventions through identification and systematization of influencing criteria, including facilitators and barriers. Methods: A systematic literature search was performed in the databases PubMed, Embase, CINAHL, and PsycINFO. Articles were eligible if they were published in English or German and provided a description of transferability criteria. Included articles were ranked based on their thematic relevance and methodological support of transferability criteria. Using a qualitative approach, a thematic synthesis was conducted. Results: Thirty-seven articles were included in the review. The thematic synthesis revealed 44 criteria, covered by 4 overarching themes, which influence transferability of health interventions: The population (P), the intervention (I), and the environment (E) represent 30 conditional transferability criteria, and the transfer of the intervention (T) represents 14 process criteria for transferring the intervention to the target context. Transferability (-T) depends on the dynamic interaction of conditional criteria in the primary and target context as well as on the process of transfer. The description of facilitators and barriers deepens the understanding of the criteria. The synthesis resulted in two related models: the conceptual PIET-T model explains the underlying mechanism of transferability of health interventions and the PIET-T process model provides practical guidance for a transferability assessment. Conclusions: Transferability of health interventions is a complex concept, which needs systematic consideration of the primary and target context. It should be anticipated before and evaluated after an intervention is implemented in the target context. Therefore, decision-makers need systematic and practically relevant knowledge on transferability. The synthesized PIET-T conceptual and process models with systematized criteria, facilitators, and barriers are intended as a theoretical basis to determine transferability of health interventions. Further research is needed to develop a practical tool for the PIET…","author":[{"dropping-particle":"","family":"Schloemer","given":"Tamara","non-dropping-particle":"","parse-names":false,"suffix":""},{"dropping-particle":"","family":"Schröder-Bäck","given":"Peter","non-dropping-particle":"","parse-names":false,"suffix":""}],"container-title":"Implementation Science","id":"ITEM-2","issue":"1","issued":{"date-parts":[["2018"]]},"page":"1-17","publisher":"Implementation Science","title":"Criteria for evaluating transferability of health interventions: A systematic review and thematic synthesis","type":"article-journal","volume":"13"},"uris":["http://www.mendeley.com/documents/?uuid=c9c7535c-46e1-4404-870f-6de8b49414ca"]},{"id":"ITEM-3","itemData":{"DOI":"10.1111/j.1360-0443.2012.03867.x","ISSN":"09652140","PMID":"22372548","abstract":"Aims To assess external validity characteristics of studies from two Cochrane Systematic Reviews of the effectiveness of universal family-based prevention of alcohol misuse in young people. Methods Two reviewers used an a priori developed external validity rating form and independently assessed three external validity dimensions of generalizability, applicability and predictability (GAP) in randomized controlled trials. Results The majority (69%) of the included 29 studies were rated 'unclear' on the reporting of sufficient information for judging generalizability from sample to study population. Ten studies (35%) were rated 'unclear' on the reporting of sufficient information for judging applicability to other populations and settings. No study provided an assessment of the validity of the trial end-point measures for subsequent mortality, morbidity, quality of life or other economic or social outcomes. Similarly, no study reported on the validity of surrogate measures using established criteria for assessing surrogate end-points. Conclusions Studies evaluating the benefits of family-based prevention of alcohol misuse in young people are generally inadequate at reporting information relevant to generalizability of the findings or implications for health or social outcomes. Researchers, study authors, peer reviewers, journal editors and scientific societies should take steps to improve the reporting of information relevant to external validity in prevention trials. © 2012 Society for the Study of Addiction.","author":[{"dropping-particle":"","family":"Fernandez-Hermida","given":"Jose Ramon","non-dropping-particle":"","parse-names":false,"suffix":""},{"dropping-particle":"","family":"Calafat","given":"Amador","non-dropping-particle":"","parse-names":false,"suffix":""},{"dropping-particle":"","family":"Becoña","given":"Elisardo","non-dropping-particle":"","parse-names":false,"suffix":""},{"dropping-particle":"","family":"Tsertsvadze","given":"Alexander","non-dropping-particle":"","parse-names":false,"suffix":""},{"dropping-particle":"","family":"Foxcroft","given":"David R.","non-dropping-particle":"","parse-names":false,"suffix":""}],"container-title":"Addiction","id":"ITEM-3","issue":"9","issued":{"date-parts":[["2012"]]},"page":"1570-1579","title":"Assessment of generalizability, applicability and predictability (GAP) for evaluating external validity in studies of universal family-based prevention of alcohol misuse in young people: Systematic methodological review of randomized controlled trials","type":"article-journal","volume":"107"},"uris":["http://www.mendeley.com/documents/?uuid=3697f253-4c79-4f48-b63d-c70c0bf3aeb1"]}],"mendeley":{"formattedCitation":"&lt;sup&gt;69–71&lt;/sup&gt;","plainTextFormattedCitation":"69–71","previouslyFormattedCitation":"&lt;sup&gt;69–71&lt;/sup&gt;"},"properties":{"noteIndex":0},"schema":"https://github.com/citation-style-language/schema/raw/master/csl-citation.json"}</w:instrText>
      </w:r>
      <w:r w:rsidR="00150C0B">
        <w:rPr>
          <w:vertAlign w:val="superscript"/>
        </w:rPr>
        <w:fldChar w:fldCharType="separate"/>
      </w:r>
      <w:r w:rsidR="00852C49" w:rsidRPr="00852C49">
        <w:rPr>
          <w:noProof/>
          <w:vertAlign w:val="superscript"/>
        </w:rPr>
        <w:t>69–71</w:t>
      </w:r>
      <w:r w:rsidR="00150C0B">
        <w:rPr>
          <w:vertAlign w:val="superscript"/>
        </w:rPr>
        <w:fldChar w:fldCharType="end"/>
      </w:r>
      <w:r>
        <w:t>. For example, the Population-Intervention-Environment-Transfer Model of Transferability help</w:t>
      </w:r>
      <w:r w:rsidR="00F52418">
        <w:t>s</w:t>
      </w:r>
      <w:r>
        <w:t xml:space="preserve"> </w:t>
      </w:r>
      <w:r w:rsidR="00B60C05">
        <w:t xml:space="preserve">different audiences </w:t>
      </w:r>
      <w:r w:rsidR="00E87E12">
        <w:t>to</w:t>
      </w:r>
      <w:r>
        <w:t xml:space="preserve"> judge the transferability of a health intervention, according to characteristics of the studied Population (socio-demographic, attitudinal), Intervention (internal validity of study), Environment (public perception, climate) and Transfer (feasibility of intervention)</w:t>
      </w:r>
      <w:r w:rsidR="00150C0B">
        <w:fldChar w:fldCharType="begin" w:fldLock="1"/>
      </w:r>
      <w:r w:rsidR="00F23EB1">
        <w:instrText>ADDIN CSL_CITATION {"citationItems":[{"id":"ITEM-1","itemData":{"DOI":"10.1186/s13012-018-0751-8","ISSN":"17485908","PMID":"29941011","abstract":"Background: Improving the public's health in different countries requires the consideration of diverse health care systems and settings. For evidence-based public health, decision-makers need to consider the transferability of effective health interventions from a primary context to their specific target context. The aim of this systematic review was to develop a model for the assessment of transferability of health interventions through identification and systematization of influencing criteria, including facilitators and barriers. Methods: A systematic literature search was performed in the databases PubMed, Embase, CINAHL, and PsycINFO. Articles were eligible if they were published in English or German and provided a description of transferability criteria. Included articles were ranked based on their thematic relevance and methodological support of transferability criteria. Using a qualitative approach, a thematic synthesis was conducted. Results: Thirty-seven articles were included in the review. The thematic synthesis revealed 44 criteria, covered by 4 overarching themes, which influence transferability of health interventions: The population (P), the intervention (I), and the environment (E) represent 30 conditional transferability criteria, and the transfer of the intervention (T) represents 14 process criteria for transferring the intervention to the target context. Transferability (-T) depends on the dynamic interaction of conditional criteria in the primary and target context as well as on the process of transfer. The description of facilitators and barriers deepens the understanding of the criteria. The synthesis resulted in two related models: the conceptual PIET-T model explains the underlying mechanism of transferability of health interventions and the PIET-T process model provides practical guidance for a transferability assessment. Conclusions: Transferability of health interventions is a complex concept, which needs systematic consideration of the primary and target context. It should be anticipated before and evaluated after an intervention is implemented in the target context. Therefore, decision-makers need systematic and practically relevant knowledge on transferability. The synthesized PIET-T conceptual and process models with systematized criteria, facilitators, and barriers are intended as a theoretical basis to determine transferability of health interventions. Further research is needed to develop a practical tool for the PIET…","author":[{"dropping-particle":"","family":"Schloemer","given":"Tamara","non-dropping-particle":"","parse-names":false,"suffix":""},{"dropping-particle":"","family":"Schröder-Bäck","given":"Peter","non-dropping-particle":"","parse-names":false,"suffix":""}],"container-title":"Implementation Science","id":"ITEM-1","issue":"1","issued":{"date-parts":[["2018"]]},"page":"1-17","publisher":"Implementation Science","title":"Criteria for evaluating transferability of health interventions: A systematic review and thematic synthesis","type":"article-journal","volume":"13"},"uris":["http://www.mendeley.com/documents/?uuid=c9c7535c-46e1-4404-870f-6de8b49414ca"]}],"mendeley":{"formattedCitation":"&lt;sup&gt;70&lt;/sup&gt;","plainTextFormattedCitation":"70","previouslyFormattedCitation":"&lt;sup&gt;70&lt;/sup&gt;"},"properties":{"noteIndex":0},"schema":"https://github.com/citation-style-language/schema/raw/master/csl-citation.json"}</w:instrText>
      </w:r>
      <w:r w:rsidR="00150C0B">
        <w:fldChar w:fldCharType="separate"/>
      </w:r>
      <w:r w:rsidR="00852C49" w:rsidRPr="00852C49">
        <w:rPr>
          <w:noProof/>
          <w:vertAlign w:val="superscript"/>
        </w:rPr>
        <w:t>70</w:t>
      </w:r>
      <w:r w:rsidR="00150C0B">
        <w:fldChar w:fldCharType="end"/>
      </w:r>
      <w:r>
        <w:t>. These have been recently extended to syntheses</w:t>
      </w:r>
      <w:r w:rsidR="00150C0B">
        <w:fldChar w:fldCharType="begin" w:fldLock="1"/>
      </w:r>
      <w:r w:rsidR="00F23EB1">
        <w:instrText>ADDIN CSL_CITATION {"citationItems":[{"id":"ITEM-1","itemData":{"DOI":"10.1177/0193841X16665199","ISSN":"15523926","PMID":"27580622","abstract":"Background: Systematic reviews—which identify, assess, and summarize existing research—are usually designed to determine whether research shows that an intervention has evidence of effectiveness, rather than whether an intervention will work under different circumstances. The reviews typically focus on the internal validity of the research and do not consistently incorporate information on external validity into their conclusions. Objectives: In this article, we focus on how systematic reviews address external validity. Methods: We conducted a brief scan of 19 systematic reviews and a more in-depth examination of information presented in a systematic review of home visiting research. Results: We found that many reviews do not provide information on generalizability, such as statistical representativeness, but focus on factors likely to increase heterogeneity (e.g., numbers of studies or settings) and report on context. The latter may help users decide whether the research characteristics—such as sample demographics or settings—are similar to their own. However, we found that differences in reporting, such as which variables are included and how they are measured, make it difficult to summarize across studies or make basic determinations of sample characteristics, such as whether the majority of a sample was unemployed or married. Conclusion: Evaluation research and systematic reviews would benefit from reporting guidelines for external validity to ensure that key information is reported across studies.","author":[{"dropping-particle":"","family":"Avellar","given":"Sarah A.","non-dropping-particle":"","parse-names":false,"suffix":""},{"dropping-particle":"","family":"Thomas","given":"Jaime","non-dropping-particle":"","parse-names":false,"suffix":""},{"dropping-particle":"","family":"Kleinman","given":"Rebecca","non-dropping-particle":"","parse-names":false,"suffix":""},{"dropping-particle":"","family":"Sama-Miller","given":"Emily","non-dropping-particle":"","parse-names":false,"suffix":""},{"dropping-particle":"","family":"Woodruff","given":"Sara E.","non-dropping-particle":"","parse-names":false,"suffix":""},{"dropping-particle":"","family":"Coughlin","given":"Rebecca","non-dropping-particle":"","parse-names":false,"suffix":""},{"dropping-particle":"","family":"Westbrook","given":"T’Pring R.","non-dropping-particle":"","parse-names":false,"suffix":""}],"container-title":"Evaluation Review","id":"ITEM-1","issue":"4","issued":{"date-parts":[["2017"]]},"page":"283-325","title":"External Validity: The Next Step for Systematic Reviews?","type":"article-journal","volume":"41"},"uris":["http://www.mendeley.com/documents/?uuid=20a41775-3e5c-4859-84e3-3770bce38049"]},{"id":"ITEM-2","itemData":{"DOI":"10.1186/s13643-018-0893-4","ISSN":"20464053","PMID":"30642403","abstract":"Background: Systematic reviews of research evidence have become an expected basis for decisions about practice guidelines and policy decisions in the health and welfare sectors. Review authors define inclusion criteria to help them determine which studies to search for and include in their reviews. However, these studies may still vary in the extent to which they reflect the context of interest in the review question. While most review authors would agree that systematic reviews should be relevant and useful for decision makers, there appears to be few well known, if any, established methods for supporting review authors to assess the transferability of review findings to the context of interest in the review. With this systematic mapping and content analysis, we aim to identify whether there exists checklists to support review authors in considering transferability early in the systematic review process. The secondary aim was to develop a comprehensive list of factors that influence transferability as discussed in existing checklists. Methods: We conducted a systematic mapping of checklists and performed a content analysis of the checklist criteria included in the identified checklists. In June 2016, we conducted a systematic search of eight databases to identify checklists to assess transferability of findings from primary or secondary research, without limitations related to publication type, status, language, or date. We also conducted a gray literature search and searched the EQUATOR repository of checklists for any relevant document. We used search terms such as modified versions of the terms \"transferability,\" \"applicability,\" \"generalizability,\" etc. and \"checklist,\" \"guideline,\" \"tool,\" \"criteria,\" etc. We did not include papers that discussed transferability at a theoretical level or checklists to assess the transferability of guidelines to local contexts. Results: Our search resulted in 11,752 titles which were screened independently by two review authors. The 101 articles which were considered potentially relevant were subsequently read by two authors, independently in full text and assessed for inclusion. We identified 31 relevant checklists. Six of these examined transferability of economic evaluations, and 25 examined transferability of primary or secondary research findings in health (n = 23) or social welfare (n = 2). The content analysis is based on the 25 health and social welfare checklists. We identified seven themes under which we …","author":[{"dropping-particle":"","family":"Munthe-Kaas","given":"Heather","non-dropping-particle":"","parse-names":false,"suffix":""},{"dropping-particle":"","family":"Nøkleby","given":"Heid","non-dropping-particle":"","parse-names":false,"suffix":""},{"dropping-particle":"","family":"Nguyen","given":"Lien","non-dropping-particle":"","parse-names":false,"suffix":""}],"container-title":"Systematic Reviews","id":"ITEM-2","issue":"1","issued":{"date-parts":[["2019"]]},"page":"1-16","publisher":"Systematic Reviews","title":"Systematic mapping of checklists for assessing transferability","type":"article-journal","volume":"8"},"uris":["http://www.mendeley.com/documents/?uuid=308c8408-475d-4b72-9b4c-f03ebf02f327"]}],"mendeley":{"formattedCitation":"&lt;sup&gt;68,72&lt;/sup&gt;","plainTextFormattedCitation":"68,72","previouslyFormattedCitation":"&lt;sup&gt;68,72&lt;/sup&gt;"},"properties":{"noteIndex":0},"schema":"https://github.com/citation-style-language/schema/raw/master/csl-citation.json"}</w:instrText>
      </w:r>
      <w:r w:rsidR="00150C0B">
        <w:fldChar w:fldCharType="separate"/>
      </w:r>
      <w:r w:rsidR="00852C49" w:rsidRPr="00852C49">
        <w:rPr>
          <w:noProof/>
          <w:vertAlign w:val="superscript"/>
        </w:rPr>
        <w:t>68,72</w:t>
      </w:r>
      <w:r w:rsidR="00150C0B">
        <w:fldChar w:fldCharType="end"/>
      </w:r>
      <w:r w:rsidR="00150C0B">
        <w:t>.</w:t>
      </w:r>
      <w:r>
        <w:t xml:space="preserve"> For example, the TRANSFER approach</w:t>
      </w:r>
      <w:r w:rsidR="00150C0B">
        <w:fldChar w:fldCharType="begin" w:fldLock="1"/>
      </w:r>
      <w:r w:rsidR="00F23EB1">
        <w:instrText>ADDIN CSL_CITATION {"citationItems":[{"id":"ITEM-1","itemData":{"DOI":"10.1186/s13643-018-0893-4","ISSN":"20464053","PMID":"30642403","abstract":"Background: Systematic reviews of research evidence have become an expected basis for decisions about practice guidelines and policy decisions in the health and welfare sectors. Review authors define inclusion criteria to help them determine which studies to search for and include in their reviews. However, these studies may still vary in the extent to which they reflect the context of interest in the review question. While most review authors would agree that systematic reviews should be relevant and useful for decision makers, there appears to be few well known, if any, established methods for supporting review authors to assess the transferability of review findings to the context of interest in the review. With this systematic mapping and content analysis, we aim to identify whether there exists checklists to support review authors in considering transferability early in the systematic review process. The secondary aim was to develop a comprehensive list of factors that influence transferability as discussed in existing checklists. Methods: We conducted a systematic mapping of checklists and performed a content analysis of the checklist criteria included in the identified checklists. In June 2016, we conducted a systematic search of eight databases to identify checklists to assess transferability of findings from primary or secondary research, without limitations related to publication type, status, language, or date. We also conducted a gray literature search and searched the EQUATOR repository of checklists for any relevant document. We used search terms such as modified versions of the terms \"transferability,\" \"applicability,\" \"generalizability,\" etc. and \"checklist,\" \"guideline,\" \"tool,\" \"criteria,\" etc. We did not include papers that discussed transferability at a theoretical level or checklists to assess the transferability of guidelines to local contexts. Results: Our search resulted in 11,752 titles which were screened independently by two review authors. The 101 articles which were considered potentially relevant were subsequently read by two authors, independently in full text and assessed for inclusion. We identified 31 relevant checklists. Six of these examined transferability of economic evaluations, and 25 examined transferability of primary or secondary research findings in health (n = 23) or social welfare (n = 2). The content analysis is based on the 25 health and social welfare checklists. We identified seven themes under which we …","author":[{"dropping-particle":"","family":"Munthe-Kaas","given":"Heather","non-dropping-particle":"","parse-names":false,"suffix":""},{"dropping-particle":"","family":"Nøkleby","given":"Heid","non-dropping-particle":"","parse-names":false,"suffix":""},{"dropping-particle":"","family":"Nguyen","given":"Lien","non-dropping-particle":"","parse-names":false,"suffix":""}],"container-title":"Systematic Reviews","id":"ITEM-1","issue":"1","issued":{"date-parts":[["2019"]]},"page":"1-16","publisher":"Systematic Reviews","title":"Systematic mapping of checklists for assessing transferability","type":"article-journal","volume":"8"},"uris":["http://www.mendeley.com/documents/?uuid=308c8408-475d-4b72-9b4c-f03ebf02f327"]}],"mendeley":{"formattedCitation":"&lt;sup&gt;68&lt;/sup&gt;","plainTextFormattedCitation":"68","previouslyFormattedCitation":"&lt;sup&gt;68&lt;/sup&gt;"},"properties":{"noteIndex":0},"schema":"https://github.com/citation-style-language/schema/raw/master/csl-citation.json"}</w:instrText>
      </w:r>
      <w:r w:rsidR="00150C0B">
        <w:fldChar w:fldCharType="separate"/>
      </w:r>
      <w:r w:rsidR="00852C49" w:rsidRPr="00852C49">
        <w:rPr>
          <w:noProof/>
          <w:vertAlign w:val="superscript"/>
        </w:rPr>
        <w:t>68</w:t>
      </w:r>
      <w:r w:rsidR="00150C0B">
        <w:fldChar w:fldCharType="end"/>
      </w:r>
      <w:r w:rsidR="00150C0B">
        <w:t xml:space="preserve"> </w:t>
      </w:r>
      <w:r>
        <w:t xml:space="preserve">supports collaboration between </w:t>
      </w:r>
      <w:r w:rsidR="00890055">
        <w:t xml:space="preserve">researchers </w:t>
      </w:r>
      <w:r>
        <w:t xml:space="preserve">and stakeholders </w:t>
      </w:r>
      <w:r w:rsidR="00CB7BB2">
        <w:t>during</w:t>
      </w:r>
      <w:r>
        <w:t xml:space="preserve"> the review process to systematically and transparently consider factors that may influence the transferability of medical systematic review findings. To support the identification of important contextual variables with which to define reference and target contexts and evaluate the validity of potential transfers, the use of ‘selection </w:t>
      </w:r>
      <w:proofErr w:type="gramStart"/>
      <w:r>
        <w:t>diagrams’</w:t>
      </w:r>
      <w:proofErr w:type="gramEnd"/>
      <w:r>
        <w:t xml:space="preserve"> can help identify important conditioning variables and study design attributes that might influence the transferability of causal effects. Pearl and Bareinboi</w:t>
      </w:r>
      <w:r w:rsidR="00150C0B">
        <w:t>m</w:t>
      </w:r>
      <w:r w:rsidR="00150C0B">
        <w:fldChar w:fldCharType="begin" w:fldLock="1"/>
      </w:r>
      <w:r w:rsidR="00F23EB1">
        <w:instrText>ADDIN CSL_CITATION {"citationItems":[{"id":"ITEM-1","itemData":{"DOI":"10.1109/ICDMW.2011.169","ISBN":"9780769544090","ISSN":"15504786","abstract":"We address the problem of transferring information learned from experiments to a different environment, in which only passive observations can be collected. We introduce a formal representation called \"selection diagrams\" for expressing knowledge about differences and commonalities between environments and, using this representation, we derive procedures for deciding whether effects in the target environment can be inferred from experiments conducted elsewhere. When the answer is affirmative, the procedures identify the set of experiments and observations that need be conducted to license the transport. We further discuss how transportability analysis can guide the transfer of knowledge in non-experimental learning to minimize re-measurement cost and improve prediction power. © 2011 IEEE.","author":[{"dropping-particle":"","family":"Pearl","given":"Judea","non-dropping-particle":"","parse-names":false,"suffix":""},{"dropping-particle":"","family":"Bareinboim","given":"Elias","non-dropping-particle":"","parse-names":false,"suffix":""}],"container-title":"Proceedings - IEEE International Conference on Data Mining, ICDM","id":"ITEM-1","issue":"August","issued":{"date-parts":[["2011"]]},"page":"540-547","title":"Transportability of causal and statistical relations: A formal approach","type":"article-journal"},"uris":["http://www.mendeley.com/documents/?uuid=2732162b-69ea-49e8-b64a-fae5ea7a6bbc"]},{"id":"ITEM-2","itemData":{"DOI":"10.1515/jci-2012-0004","ISSN":"2193-3677","abstract":"Generalizing empirical findings to new environments, settings, or populations is essential in most scientific explorations. This article treats a particular problem of generalizability, called “transportability”, defined as a license to transfer information learned in experimental studies to a different population, on which only observational studies can be conducted. Given a set of assumptions concerning commonalities and differences between the two populations, Pearl and Bareinboim [1] derived sufficient conditions that permit such transfer to take place. This article summarizes their findings and supplements them with an effective procedure for deciding when and how transportability is feasible. It establishes a necessary and sufficient condition for deciding when causal effects in the target population are estimable from both the statistical information available and the causal information transferred from the experiments. The article further provides a complete algorithm for computing the transport formula, that is, a way of combining observational and experimental information to synthesize bias-free estimate of the desired causal relation. Finally, the article examines the differences between transportability and other variants of generalizability.","author":[{"dropping-particle":"","family":"Bareinboim","given":"Elias","non-dropping-particle":"","parse-names":false,"suffix":""},{"dropping-particle":"","family":"Pearl","given":"Judea","non-dropping-particle":"","parse-names":false,"suffix":""}],"container-title":"Journal of Causal Inference","id":"ITEM-2","issue":"1","issued":{"date-parts":[["2013"]]},"page":"107-134","title":"A General Algorithm for Deciding Transportability of Experimental Results","type":"article-journal","volume":"1"},"uris":["http://www.mendeley.com/documents/?uuid=7a246210-5755-4ff1-a898-5db1db721e49"]}],"mendeley":{"formattedCitation":"&lt;sup&gt;67,73&lt;/sup&gt;","plainTextFormattedCitation":"67,73","previouslyFormattedCitation":"&lt;sup&gt;67,73&lt;/sup&gt;"},"properties":{"noteIndex":0},"schema":"https://github.com/citation-style-language/schema/raw/master/csl-citation.json"}</w:instrText>
      </w:r>
      <w:r w:rsidR="00150C0B">
        <w:fldChar w:fldCharType="separate"/>
      </w:r>
      <w:r w:rsidR="00852C49" w:rsidRPr="00852C49">
        <w:rPr>
          <w:noProof/>
          <w:vertAlign w:val="superscript"/>
        </w:rPr>
        <w:t>67,73</w:t>
      </w:r>
      <w:r w:rsidR="00150C0B">
        <w:fldChar w:fldCharType="end"/>
      </w:r>
      <w:r>
        <w:t xml:space="preserve"> proposed the use of these graphical representations of causal relationships, which formally articulate commonalities and differences in the form of unobserved factors capable of causing differences in causal effects between reference and target contexts. This approach is a useful tool for identifying important conditioning </w:t>
      </w:r>
      <w:r>
        <w:lastRenderedPageBreak/>
        <w:t xml:space="preserve">covariates and </w:t>
      </w:r>
      <w:r w:rsidR="00952883">
        <w:t xml:space="preserve">detailing </w:t>
      </w:r>
      <w:r>
        <w:t xml:space="preserve">the assumptions and tests that are required to develop qualitative indicators and tests of transferability (example in Box </w:t>
      </w:r>
      <w:r w:rsidR="00BD35DE">
        <w:t>3</w:t>
      </w:r>
      <w:r>
        <w:t>).</w:t>
      </w:r>
    </w:p>
    <w:p w14:paraId="69741252" w14:textId="17F9CAFA" w:rsidR="00F24A29" w:rsidRDefault="00313CC5">
      <w:pPr>
        <w:pStyle w:val="Heading3"/>
      </w:pPr>
      <w:r>
        <w:t xml:space="preserve">Develop quantitative methods to transfer </w:t>
      </w:r>
      <w:proofErr w:type="spellStart"/>
      <w:r>
        <w:t>estimands</w:t>
      </w:r>
      <w:proofErr w:type="spellEnd"/>
      <w:r w:rsidR="003F6C51">
        <w:t xml:space="preserve"> </w:t>
      </w:r>
      <w:r>
        <w:t>(for scientists)</w:t>
      </w:r>
    </w:p>
    <w:p w14:paraId="24EFB99E" w14:textId="6E154804" w:rsidR="00F24A29" w:rsidRDefault="00481552" w:rsidP="007649EA">
      <w:r>
        <w:t>Ecologists</w:t>
      </w:r>
      <w:r w:rsidR="00E47176">
        <w:t xml:space="preserve"> </w:t>
      </w:r>
      <w:r w:rsidR="00313CC5">
        <w:t xml:space="preserve">could develop methods to transfer </w:t>
      </w:r>
      <w:proofErr w:type="spellStart"/>
      <w:r w:rsidR="00313CC5">
        <w:t>estimands</w:t>
      </w:r>
      <w:proofErr w:type="spellEnd"/>
      <w:r w:rsidR="00313CC5">
        <w:t xml:space="preserve"> to different target </w:t>
      </w:r>
      <w:proofErr w:type="gramStart"/>
      <w:r w:rsidR="00313CC5">
        <w:t>contexts, once</w:t>
      </w:r>
      <w:proofErr w:type="gramEnd"/>
      <w:r w:rsidR="00313CC5">
        <w:t xml:space="preserve"> the reference and target contexts have been parameterized. </w:t>
      </w:r>
      <w:proofErr w:type="spellStart"/>
      <w:r w:rsidR="00313CC5" w:rsidRPr="007649EA">
        <w:t>Degtiar</w:t>
      </w:r>
      <w:proofErr w:type="spellEnd"/>
      <w:r w:rsidR="00313CC5" w:rsidRPr="007649EA">
        <w:t xml:space="preserve"> et al. (2021)</w:t>
      </w:r>
      <w:r w:rsidR="007649EA">
        <w:fldChar w:fldCharType="begin" w:fldLock="1"/>
      </w:r>
      <w:r w:rsidR="00E7317A">
        <w:instrText>ADDIN CSL_CITATION {"citationItems":[{"id":"ITEM-1","itemData":{"abstract":"When assessing causal effects, determining the target population to which the results are intended to generalize is a critical decision. Randomized and observational studies each have strengths and limitations for estimating causal effects in a target population. Estimates from randomized data may have internal validity but are often not representative of the target population. Observational data may better reflect the target population, and hence be more likely to have external validity, but are subject to potential bias due to unmeasured confounding. While much of the causal inference literature has focused on addressing internal validity bias, both internal and external validity are necessary for unbiased estimates in a target population. This paper presents a framework for addressing external validity bias, including a synthesis of approaches for generalizability and transportability, the assumptions they require, as well as tests for the heterogeneity of treatment effects and differences between study and target populations.","author":[{"dropping-particle":"","family":"Degtiar","given":"Irina","non-dropping-particle":"","parse-names":false,"suffix":""},{"dropping-particle":"","family":"Rose","given":"Sherri","non-dropping-particle":"","parse-names":false,"suffix":""}],"id":"ITEM-1","issued":{"date-parts":[["2021"]]},"page":"1-30","title":"A Review of Generalizability and Transportability","type":"article-journal"},"uris":["http://www.mendeley.com/documents/?uuid=52e56997-e06e-4844-b82e-3cad27e2ce42"]}],"mendeley":{"formattedCitation":"&lt;sup&gt;74&lt;/sup&gt;","plainTextFormattedCitation":"74","previouslyFormattedCitation":"&lt;sup&gt;74&lt;/sup&gt;"},"properties":{"noteIndex":0},"schema":"https://github.com/citation-style-language/schema/raw/master/csl-citation.json"}</w:instrText>
      </w:r>
      <w:r w:rsidR="007649EA">
        <w:fldChar w:fldCharType="separate"/>
      </w:r>
      <w:r w:rsidR="00F23EB1" w:rsidRPr="00F23EB1">
        <w:rPr>
          <w:noProof/>
          <w:vertAlign w:val="superscript"/>
        </w:rPr>
        <w:t>74</w:t>
      </w:r>
      <w:r w:rsidR="007649EA">
        <w:fldChar w:fldCharType="end"/>
      </w:r>
      <w:r w:rsidR="00313CC5">
        <w:t xml:space="preserve"> reviewed the numerous quantitative approaches that have been developed in primarily health-related disciplines to: i) evaluate the validity of transferring an </w:t>
      </w:r>
      <w:proofErr w:type="spellStart"/>
      <w:r w:rsidR="00313CC5">
        <w:t>estimand</w:t>
      </w:r>
      <w:proofErr w:type="spellEnd"/>
      <w:r w:rsidR="00313CC5">
        <w:t xml:space="preserve"> to a specified target </w:t>
      </w:r>
      <w:r w:rsidR="00160997">
        <w:t>context</w:t>
      </w:r>
      <w:r w:rsidR="00313CC5">
        <w:t>, based on a set of assumptions (</w:t>
      </w:r>
      <w:r w:rsidR="00664696">
        <w:t xml:space="preserve">Figure 2, </w:t>
      </w:r>
      <w:r w:rsidR="00313CC5">
        <w:t xml:space="preserve">step 3) and the quantitative dissimilarity of the study and target contexts (step 4), and ii) ‘external validity bias adjustment’ methods to adjust an </w:t>
      </w:r>
      <w:proofErr w:type="spellStart"/>
      <w:r w:rsidR="00313CC5">
        <w:t>estimand</w:t>
      </w:r>
      <w:proofErr w:type="spellEnd"/>
      <w:r w:rsidR="00313CC5">
        <w:t xml:space="preserve"> for a target </w:t>
      </w:r>
      <w:r w:rsidR="00160997">
        <w:t>context</w:t>
      </w:r>
      <w:r w:rsidR="00313CC5">
        <w:t xml:space="preserve">  (step 5). For example, Pearl and </w:t>
      </w:r>
      <w:proofErr w:type="spellStart"/>
      <w:r w:rsidR="00313CC5">
        <w:t>Bareinboim</w:t>
      </w:r>
      <w:proofErr w:type="spellEnd"/>
      <w:r w:rsidR="00313CC5">
        <w:t xml:space="preserve"> formalised a range of ‘transport formulae’ associated with selection diagrams that enable the re-calibration of average population-level effect sizes for a well-defined target </w:t>
      </w:r>
      <w:r w:rsidR="00160997">
        <w:t>context</w:t>
      </w:r>
      <w:r w:rsidR="00313CC5">
        <w:t xml:space="preserve">, e.g. through re-weighting observations in the reference population in proportion to distributions of conditioning covariates in the target </w:t>
      </w:r>
      <w:r w:rsidR="00160997">
        <w:t>context</w:t>
      </w:r>
      <w:r w:rsidR="00AC746F">
        <w:fldChar w:fldCharType="begin" w:fldLock="1"/>
      </w:r>
      <w:r w:rsidR="00E7317A">
        <w:instrText>ADDIN CSL_CITATION {"citationItems":[{"id":"ITEM-1","itemData":{"ISSN":"15337928","abstract":"This paper considers the problem of transferring experimental findings learned from multiple heterogeneous domains to a different environment, in which only passive observations can be collected. Pearl and Bareinboim (2011) established a complete characterization for such transfer between two domains, a source and a target, and this paper generalizes their results to multiple heterogeneous domains. It establishes a necessary and sufficient condition for deciding when effects in the target domain are estimable from both statistical and causal information transferred from the experiments in the source domains. The paper further provides a complete algorithm for computing the transport formula, that is, a way of fusing observational and experimental information to synthesize an unbiased estimate of the desired effects.","author":[{"dropping-particle":"","family":"Bareinboim","given":"Elias","non-dropping-particle":"","parse-names":false,"suffix":""},{"dropping-particle":"","family":"Pearl","given":"Judea","non-dropping-particle":"","parse-names":false,"suffix":""}],"container-title":"Journal of Machine Learning Research","id":"ITEM-1","issued":{"date-parts":[["2013"]]},"page":"135-143","title":"Meta-transportability of causal effects: A formal approach","type":"article-journal","volume":"31"},"uris":["http://www.mendeley.com/documents/?uuid=952e1428-5a77-4431-8643-868af8de00b8"]},{"id":"ITEM-2","itemData":{"DOI":"10.1214/14-STS486","ISSN":"08834237","abstract":"The generalizability of empirical findings to new environments, settings or populations, often called \"external validity,\" is essential in most scientific explorations. This paper treats a particular problem of generalizability, called \"transportability,\" defined as a license to transfer causal effects learned in experimental studies to a new population, in which only observational studies can be conducted. We introduce a formal representation called \"selection diagrams\" for expressing knowledge about differences and commonalities between populations of interest and, using this representation, we reduce questions of transportability to symbolic derivations in the docalculus. This reduction yields graph-based procedures for deciding, prior to observing any data, whether causal effects in the target population can be inferred from experimental findings in the study population. When the answer is affirmative, the procedures identify what experimental and observational findings need be obtained from the two populations, and how they can be combined to ensure bias-free transport.","author":[{"dropping-particle":"","family":"Pearl","given":"Judea","non-dropping-particle":"","parse-names":false,"suffix":""},{"dropping-particle":"","family":"Bareinboim","given":"Elias","non-dropping-particle":"","parse-names":false,"suffix":""}],"container-title":"Statistical Science","id":"ITEM-2","issue":"4","issued":{"date-parts":[["2014"]]},"page":"579-595","title":"External validity: From do-calculus to transportability across populations","type":"article-journal","volume":"29"},"uris":["http://www.mendeley.com/documents/?uuid=59d7d716-fd5c-4e5a-8644-101be46386e0"]}],"mendeley":{"formattedCitation":"&lt;sup&gt;18,75&lt;/sup&gt;","plainTextFormattedCitation":"18,75","previouslyFormattedCitation":"&lt;sup&gt;18,75&lt;/sup&gt;"},"properties":{"noteIndex":0},"schema":"https://github.com/citation-style-language/schema/raw/master/csl-citation.json"}</w:instrText>
      </w:r>
      <w:r w:rsidR="00AC746F">
        <w:fldChar w:fldCharType="separate"/>
      </w:r>
      <w:r w:rsidR="00F23EB1" w:rsidRPr="00F23EB1">
        <w:rPr>
          <w:noProof/>
          <w:vertAlign w:val="superscript"/>
        </w:rPr>
        <w:t>18,75</w:t>
      </w:r>
      <w:r w:rsidR="00AC746F">
        <w:fldChar w:fldCharType="end"/>
      </w:r>
      <w:r w:rsidR="00313CC5">
        <w:t xml:space="preserve"> (example in Box </w:t>
      </w:r>
      <w:r w:rsidR="00BD35DE">
        <w:t>2</w:t>
      </w:r>
      <w:r w:rsidR="00313CC5">
        <w:t xml:space="preserve">). The choice of method for </w:t>
      </w:r>
      <w:proofErr w:type="spellStart"/>
      <w:r w:rsidR="00313CC5">
        <w:t>estimand</w:t>
      </w:r>
      <w:proofErr w:type="spellEnd"/>
      <w:r w:rsidR="00313CC5">
        <w:t xml:space="preserve"> adjustment may be restricted by data availability (e.g., summary-level </w:t>
      </w:r>
      <w:r w:rsidR="00313CC5">
        <w:rPr>
          <w:i/>
        </w:rPr>
        <w:t>vs</w:t>
      </w:r>
      <w:r w:rsidR="00313CC5">
        <w:t>. individual-level data) and mechanistic understanding of the target system.</w:t>
      </w:r>
    </w:p>
    <w:p w14:paraId="1BB0B678" w14:textId="0BF9C479" w:rsidR="00F24A29" w:rsidRDefault="0006219B">
      <w:bookmarkStart w:id="26" w:name="_Hlk100577762"/>
      <w:r w:rsidRPr="00D27943">
        <w:t>V</w:t>
      </w:r>
      <w:r w:rsidR="00313CC5" w:rsidRPr="00D27943">
        <w:t>alidation of quantitative transfers (step 6)</w:t>
      </w:r>
      <w:r w:rsidR="003F6C51" w:rsidRPr="00D27943">
        <w:t>, and of the methods developed to enable transfer,</w:t>
      </w:r>
      <w:r w:rsidR="00313CC5" w:rsidRPr="00D27943">
        <w:t xml:space="preserve"> will only be possible with independent studies and data</w:t>
      </w:r>
      <w:r w:rsidR="00DE1F85" w:rsidRPr="00DE1F85">
        <w:t xml:space="preserve"> </w:t>
      </w:r>
      <w:r w:rsidR="00DE1F85">
        <w:t>using cross validation (Action 3)</w:t>
      </w:r>
      <w:r w:rsidR="00313CC5" w:rsidRPr="00D27943">
        <w:t xml:space="preserve">, </w:t>
      </w:r>
      <w:r w:rsidR="00DE1F85">
        <w:t>although they</w:t>
      </w:r>
      <w:r w:rsidR="00DE1F85" w:rsidRPr="00D27943">
        <w:t xml:space="preserve"> </w:t>
      </w:r>
      <w:r w:rsidR="00313CC5" w:rsidRPr="00D27943">
        <w:t>are often unavailable or insufficient</w:t>
      </w:r>
      <w:r w:rsidR="006054F5">
        <w:t xml:space="preserve"> for a target context</w:t>
      </w:r>
      <w:r w:rsidR="00313CC5" w:rsidRPr="00D27943">
        <w:t xml:space="preserve">. </w:t>
      </w:r>
      <w:r w:rsidR="00664696" w:rsidRPr="00D27943">
        <w:t>T</w:t>
      </w:r>
      <w:r w:rsidR="00716A95" w:rsidRPr="00D27943">
        <w:t xml:space="preserve">ransfer </w:t>
      </w:r>
      <w:r w:rsidR="003F6C51" w:rsidRPr="00D27943">
        <w:t xml:space="preserve">methods </w:t>
      </w:r>
      <w:r w:rsidR="00716A95" w:rsidRPr="00D27943">
        <w:t xml:space="preserve">and understanding </w:t>
      </w:r>
      <w:r w:rsidR="00664696" w:rsidRPr="00D27943">
        <w:t>need</w:t>
      </w:r>
      <w:r w:rsidR="00716A95" w:rsidRPr="00D27943">
        <w:t xml:space="preserve"> development</w:t>
      </w:r>
      <w:r w:rsidR="00664696" w:rsidRPr="00D27943">
        <w:t xml:space="preserve"> as a discipline. In the meanwhile</w:t>
      </w:r>
      <w:r w:rsidR="003F6C51" w:rsidRPr="00D27943">
        <w:t>,</w:t>
      </w:r>
      <w:r w:rsidR="00313CC5" w:rsidRPr="00D27943">
        <w:t xml:space="preserve"> </w:t>
      </w:r>
      <w:r w:rsidR="005444BE">
        <w:t>d</w:t>
      </w:r>
      <w:r w:rsidR="00BD565D">
        <w:t>ata gaps might be filled by</w:t>
      </w:r>
      <w:r w:rsidR="00313CC5" w:rsidRPr="00D27943">
        <w:t xml:space="preserve"> mak</w:t>
      </w:r>
      <w:r w:rsidR="00BD565D">
        <w:t>ing</w:t>
      </w:r>
      <w:r w:rsidR="00313CC5" w:rsidRPr="00D27943">
        <w:t xml:space="preserve"> use of continental-scale, fine-resolution data from environmental monitoring programmes that span multiple environmental contexts, such as The National Science Foundation's National Ecological Observatory Network (NEON, </w:t>
      </w:r>
      <w:hyperlink r:id="rId10" w:history="1">
        <w:r w:rsidR="00313CC5" w:rsidRPr="00D27943">
          <w:t>https://www.neonscience.org</w:t>
        </w:r>
      </w:hyperlink>
      <w:r w:rsidR="00313CC5" w:rsidRPr="00D27943">
        <w:t>), and national forest inventories. In the absence of validation data for a target contexts, transferability could be estimated by contrasting predictions with existing expert knowledge, simulations</w:t>
      </w:r>
      <w:r w:rsidRPr="00D27943">
        <w:t>,</w:t>
      </w:r>
      <w:r w:rsidR="00313CC5" w:rsidRPr="00D27943">
        <w:t xml:space="preserve"> or by performing </w:t>
      </w:r>
      <w:r w:rsidR="0061571B" w:rsidRPr="00D27943">
        <w:t xml:space="preserve">controlled, </w:t>
      </w:r>
      <w:r w:rsidR="00313CC5" w:rsidRPr="00D27943">
        <w:t>distributed experiments</w:t>
      </w:r>
      <w:r w:rsidR="00AC746F" w:rsidRPr="00D27943">
        <w:fldChar w:fldCharType="begin" w:fldLock="1"/>
      </w:r>
      <w:r w:rsidR="00A038A0" w:rsidRPr="00D27943">
        <w:instrText>ADDIN CSL_CITATION {"citationItems":[{"id":"ITEM-1","itemData":{"DOI":"10.1111/2041-210X.12125","ISSN":"2041210X","abstract":"Summary: Advancing the field of ecology relies on understanding generalities and developing theories based on empirical and functional relationships that integrate across organismal to global spatial scales and span temporal scales. Significant advances in predicting responses of ecological communities to globally extensive anthropogenic perturbations,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Here, we provide specific advice and considerations relevant to researchers interested in employing this emerging approach using as a case study our experience developing and running the Nutrient Network, a globally distributed experimental network (currently &gt;75 sites in 17 countries) that arose from a grassroots, cooperative research effort. We clarify the design, goals and function of the Nutrient Network as a model to empower others in the scientific community to employ distributed experiments to advance our predictive understanding of global-scale ecological trends and responses. Our experiences to date demonstrate that globally distributed experimental science need not be prohibitively expensive or time-consuming on a per capita basis and is not limited to senior scientists or countries where science is well funded. While distributed experiments are not a panacea for understanding ecological systems, they can substantially complement existing approaches. © 2013 British Ecological Society.","author":[{"dropping-particle":"","family":"Borer","given":"Elizabeth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b7cca0a6-30bb-4263-9ad0-2b0e4bae38e8"]}],"mendeley":{"formattedCitation":"&lt;sup&gt;8&lt;/sup&gt;","plainTextFormattedCitation":"8","previouslyFormattedCitation":"&lt;sup&gt;8&lt;/sup&gt;"},"properties":{"noteIndex":0},"schema":"https://github.com/citation-style-language/schema/raw/master/csl-citation.json"}</w:instrText>
      </w:r>
      <w:r w:rsidR="00AC746F" w:rsidRPr="00D27943">
        <w:fldChar w:fldCharType="separate"/>
      </w:r>
      <w:r w:rsidR="00A038A0" w:rsidRPr="00D27943">
        <w:rPr>
          <w:noProof/>
          <w:vertAlign w:val="superscript"/>
        </w:rPr>
        <w:t>8</w:t>
      </w:r>
      <w:r w:rsidR="00AC746F" w:rsidRPr="00D27943">
        <w:fldChar w:fldCharType="end"/>
      </w:r>
      <w:r w:rsidR="00313CC5" w:rsidRPr="00D27943">
        <w:t>.</w:t>
      </w:r>
      <w:r w:rsidR="00313CC5">
        <w:t xml:space="preserve"> </w:t>
      </w:r>
    </w:p>
    <w:p w14:paraId="6554EBCA" w14:textId="321B8D60" w:rsidR="00F24A29" w:rsidRDefault="00313CC5">
      <w:pPr>
        <w:pStyle w:val="Heading3"/>
      </w:pPr>
      <w:bookmarkStart w:id="27" w:name="_z337ya" w:colFirst="0" w:colLast="0"/>
      <w:bookmarkEnd w:id="26"/>
      <w:bookmarkEnd w:id="27"/>
      <w:r>
        <w:t>Conduct interdisciplinary research that seeks to understand how multiple stakeholders perceive generalisability and transferability (for scientists and practitioners)</w:t>
      </w:r>
    </w:p>
    <w:p w14:paraId="05E68831" w14:textId="6C3E2479" w:rsidR="00F24A29" w:rsidRDefault="00313CC5">
      <w:r>
        <w:t xml:space="preserve">Scientists </w:t>
      </w:r>
      <w:r w:rsidR="00BD565D">
        <w:t xml:space="preserve">need to </w:t>
      </w:r>
      <w:r>
        <w:t xml:space="preserve">communicate </w:t>
      </w:r>
      <w:bookmarkStart w:id="28" w:name="_Hlk105744612"/>
      <w:r>
        <w:t xml:space="preserve">the transferability, </w:t>
      </w:r>
      <w:proofErr w:type="gramStart"/>
      <w:r>
        <w:t>contingency</w:t>
      </w:r>
      <w:proofErr w:type="gramEnd"/>
      <w:r>
        <w:t xml:space="preserve"> and uncertainty of ecological effects in a meaningful and practicable way</w:t>
      </w:r>
      <w:bookmarkEnd w:id="28"/>
      <w:r>
        <w:t xml:space="preserve">. This requires an understanding of how perceptions of transferability and uncertainty are formed by different audiences, including </w:t>
      </w:r>
      <w:r>
        <w:lastRenderedPageBreak/>
        <w:t>scientists, practitioners and policymakers</w:t>
      </w:r>
      <w:r w:rsidR="00AC746F">
        <w:fldChar w:fldCharType="begin" w:fldLock="1"/>
      </w:r>
      <w:r w:rsidR="00F23EB1">
        <w:instrText>ADDIN CSL_CITATION {"citationItems":[{"id":"ITEM-1","itemData":{"DOI":"10.1016/0048-9697(95)04995-9","ISSN":"00489697","abstract":"The problem of when to communicate research findings with the public arises with respect to a broad range of environmental and health hazards. What many people would like is a rule of the form, 'Communicate research findings if and only if condition C obtains.', where condition C reflects some function that includes the probability of a harm occurring, the seriousness of the harm, the reliability of the data on which these estimates are based, and the potential usefulness of these projections for mitigating or preventing the harm in question. I argue that no such rule is forthcoming. I go on to distinguish uncertainty from ignorance and indeterminism. Uncertainty is not an objective quantity but is socially constructed by context, rhetorical role, the assumption of purposes, and the acceptance of knowledge claims. In a particular case, the first step in deciding whether to communicate research findings to the public is appreciating how the uncertainties have been constructed. Only then can we go on to ask the ethical questions about communicating research in an illuminating way.","author":[{"dropping-particle":"","family":"Jamieson","given":"Dale","non-dropping-particle":"","parse-names":false,"suffix":""}],"container-title":"Science of the Total Environment","id":"ITEM-1","issue":"1-2","issued":{"date-parts":[["1996"]]},"page":"103-107","title":"Scientific uncertainty: How do we know when to communicate research findings to the public?","type":"article-journal","volume":"184"},"uris":["http://www.mendeley.com/documents/?uuid=c7907907-94fc-43fd-a031-401916d2c7ac"]},{"id":"ITEM-2","itemData":{"DOI":"10.1093/heapro/das026","ISSN":"09574824","PMID":"22752106","abstract":"Determining whether research findings from one setting are relevant to another is complex and poorly understood. This study aimed to explore the factors affecting whether research from other settings was perceived to be of potential use to those working in or researching maternal health in Ghana. Semi-structured interviews were conducted with 69 purposively sampled government decision-makers, researchers and other stakeholders working in maternal health in Ghana in 2008-09. The most influential factors affecting perceptions of applicability/transferability were the study's congruence with interviewees' previous experiences and beliefs. Interventions' adaptability was also considered crucial (and more important than remaining faithful to the original intervention). However, it was frequently considered a distinct stage in the research use process rather than a consideration of applicability/ transferability. More attention was paid to the implementability of the intervention in the new setting, than to whether it would be as effective there. Interpretations of intervention descriptions and evaluation findings varied between interviewees, even when the same information was presented. This study is one of the first to explore perceptions of applicability/transferability of public health research among researchers and potential research users in a low-income setting. The findings suggest that existing frameworks of applicability/transferability do not reflect the factors considered to be most important in Ghana. © 2013 © The Author (2012). Published by Oxford University Press. All rights reserved. For Permissions, please email: journals.permissions@oup.com.","author":[{"dropping-particle":"","family":"Burchett","given":"Helen E.D.","non-dropping-particle":"","parse-names":false,"suffix":""},{"dropping-particle":"","family":"Mayhew","given":"Susannah H.","non-dropping-particle":"","parse-names":false,"suffix":""},{"dropping-particle":"","family":"Lavis","given":"John N.","non-dropping-particle":"","parse-names":false,"suffix":""},{"dropping-particle":"","family":"Dobrow","given":"Mark J.","non-dropping-particle":"","parse-names":false,"suffix":""}],"container-title":"Health Promotion International","id":"ITEM-2","issue":"3","issued":{"date-parts":[["2013"]]},"page":"418-430","title":"When can research from one setting be useful in another Understanding perceptions of the applicability and transferability of research","type":"article-journal","volume":"28"},"uris":["http://www.mendeley.com/documents/?uuid=817b9728-2f2f-4091-99eb-a702ea4a7ea9"]}],"mendeley":{"formattedCitation":"&lt;sup&gt;76,77&lt;/sup&gt;","plainTextFormattedCitation":"76,77","previouslyFormattedCitation":"&lt;sup&gt;76,77&lt;/sup&gt;"},"properties":{"noteIndex":0},"schema":"https://github.com/citation-style-language/schema/raw/master/csl-citation.json"}</w:instrText>
      </w:r>
      <w:r w:rsidR="00AC746F">
        <w:fldChar w:fldCharType="separate"/>
      </w:r>
      <w:r w:rsidR="00852C49" w:rsidRPr="00852C49">
        <w:rPr>
          <w:noProof/>
          <w:vertAlign w:val="superscript"/>
        </w:rPr>
        <w:t>76,77</w:t>
      </w:r>
      <w:r w:rsidR="00AC746F">
        <w:fldChar w:fldCharType="end"/>
      </w:r>
      <w:r>
        <w:t>. Interdisciplinary research is required to understand how different attributes affect the perceived transferability of ecological</w:t>
      </w:r>
      <w:r w:rsidR="000B0D93">
        <w:t xml:space="preserve"> effects</w:t>
      </w:r>
      <w:r w:rsidR="008E5D59">
        <w:t xml:space="preserve"> </w:t>
      </w:r>
      <w:bookmarkStart w:id="29" w:name="_Hlk105744950"/>
      <w:r w:rsidR="008E5D59">
        <w:t>(using e.g., surveys, workshops)</w:t>
      </w:r>
      <w:bookmarkEnd w:id="29"/>
      <w:r>
        <w:t xml:space="preserve">. These might include i) audience attributes (e.g., sector, </w:t>
      </w:r>
      <w:r w:rsidR="00AC746F">
        <w:t>experience</w:t>
      </w:r>
      <w:r>
        <w:t>), ii) study context (biogeography, climatic conditions)</w:t>
      </w:r>
      <w:r w:rsidR="00CB7BB2">
        <w:t>,</w:t>
      </w:r>
      <w:r>
        <w:t xml:space="preserve"> iii) study design attributes (e.g., design, scale, replication), and iv) presentation attributes (</w:t>
      </w:r>
      <w:r w:rsidR="00CB7BB2">
        <w:t>e.g.,</w:t>
      </w:r>
      <w:r>
        <w:t xml:space="preserve"> graphical presentation of results). </w:t>
      </w:r>
      <w:bookmarkStart w:id="30" w:name="_Hlk105744513"/>
      <w:r>
        <w:t>Next, we can use this understanding to determine how uncertainty and contingencies are unambiguously communicated, by trialling different methods of translation, and</w:t>
      </w:r>
      <w:r w:rsidR="00AC746F">
        <w:t xml:space="preserve"> for</w:t>
      </w:r>
      <w:r>
        <w:t xml:space="preserve"> improving </w:t>
      </w:r>
      <w:proofErr w:type="spellStart"/>
      <w:r w:rsidR="000F01A7">
        <w:t>CoG</w:t>
      </w:r>
      <w:proofErr w:type="spellEnd"/>
      <w:r w:rsidR="000F01A7">
        <w:t xml:space="preserve"> </w:t>
      </w:r>
      <w:r>
        <w:t>statements.</w:t>
      </w:r>
      <w:bookmarkEnd w:id="30"/>
    </w:p>
    <w:p w14:paraId="7803712D" w14:textId="5605BE7D" w:rsidR="00F24A29" w:rsidRDefault="000458BF">
      <w:pPr>
        <w:pStyle w:val="Heading3"/>
      </w:pPr>
      <w:bookmarkStart w:id="31" w:name="_3j2qqm3" w:colFirst="0" w:colLast="0"/>
      <w:bookmarkEnd w:id="31"/>
      <w:r>
        <w:t xml:space="preserve">Conduct adaptive research that </w:t>
      </w:r>
      <w:r w:rsidR="00313CC5">
        <w:t>feed</w:t>
      </w:r>
      <w:r w:rsidR="007A3B54">
        <w:t>s</w:t>
      </w:r>
      <w:r w:rsidR="00313CC5">
        <w:t xml:space="preserve"> into syntheses (for scientists and science funders)</w:t>
      </w:r>
    </w:p>
    <w:p w14:paraId="3719C016" w14:textId="38134B12" w:rsidR="00F24A29" w:rsidRDefault="00313CC5">
      <w:r>
        <w:t xml:space="preserve">Research funding is usually based on competition between individual proposals, with an emphasis on novelty. </w:t>
      </w:r>
      <w:r w:rsidR="005815D1" w:rsidRPr="005815D1">
        <w:t>Distributed experiments have become popular</w:t>
      </w:r>
      <w:r w:rsidR="005815D1">
        <w:t xml:space="preserve"> in many disciplines</w:t>
      </w:r>
      <w:r w:rsidR="005815D1">
        <w:fldChar w:fldCharType="begin" w:fldLock="1"/>
      </w:r>
      <w:r w:rsidR="00F23EB1">
        <w:instrText>ADDIN CSL_CITATION {"citationItems":[{"id":"ITEM-1","itemData":{"abstract":"Progress in psychology has been frustrated by challenges concerning replicability, generalizability, strategy selection, inferential reproducibility, and computational reproducibility. Although often discussed separately, these five challenges may share a common cause: insufficient investment of resources into the typical psychology study. We suggest that the emerging emphasis on big team science can help address these challenges by allowing researchers to pool their resources to increase the amount of resources available for a single study. However, the current incentives, infrastructure, and institutions in academic science have all developed under the assumption that science is conducted by solo Principal Investigators and their dependent trainees. This assumption creates barriers that must be removed if big team science is to be sustainable. We also anticipate that big team science carries unique risks, such as the potential for big team science institutions to monopolize power, become overly conservative, and make mistakes at a grand scale. Big team science institutions must also acquire personnel who are properly compensated and have clear roles, raising risks related to mismanagement and a lack of financial sustainability. If researchers can manage its unique barriers and risks, big team science has the potential to spur progress in psychology and beyond.","author":[{"dropping-particle":"","family":"Forscher","given":"Patrick","non-dropping-particle":"","parse-names":false,"suffix":""},{"dropping-particle":"","family":"Wagenmakers","given":"Eric-Jan","non-dropping-particle":"","parse-names":false,"suffix":""},{"dropping-particle":"","family":"Coles","given":"Nicholas Alvaro","non-dropping-particle":"","parse-names":false,"suffix":""},{"dropping-particle":"","family":"Silan","given":"Miguel Alejandro","non-dropping-particle":"","parse-names":false,"suffix":""},{"dropping-particle":"","family":"Dutra","given":"Natalia Bezerra","non-dropping-particle":"","parse-names":false,"suffix":""},{"dropping-particle":"","family":"Basnight-Brown","given":"Dana","non-dropping-particle":"","parse-names":false,"suffix":""},{"dropping-particle":"","family":"IJzerman","given":"Hans","non-dropping-particle":"","parse-names":false,"suffix":""}],"container-title":"Nature","id":"ITEM-1","issued":{"date-parts":[["2022"]]},"page":"505-507","title":"Build up big-team science","type":"article-journal","volume":"601"},"uris":["http://www.mendeley.com/documents/?uuid=443c0ad7-7d22-4951-9794-3ed5c63b270e"]}],"mendeley":{"formattedCitation":"&lt;sup&gt;78&lt;/sup&gt;","plainTextFormattedCitation":"78","previouslyFormattedCitation":"&lt;sup&gt;78&lt;/sup&gt;"},"properties":{"noteIndex":0},"schema":"https://github.com/citation-style-language/schema/raw/master/csl-citation.json"}</w:instrText>
      </w:r>
      <w:r w:rsidR="005815D1">
        <w:fldChar w:fldCharType="separate"/>
      </w:r>
      <w:r w:rsidR="00852C49" w:rsidRPr="00852C49">
        <w:rPr>
          <w:noProof/>
          <w:vertAlign w:val="superscript"/>
        </w:rPr>
        <w:t>78</w:t>
      </w:r>
      <w:r w:rsidR="005815D1">
        <w:fldChar w:fldCharType="end"/>
      </w:r>
      <w:r w:rsidR="005815D1">
        <w:t xml:space="preserve"> </w:t>
      </w:r>
      <w:r>
        <w:t>as an approach that aims at generality by repeating an experimental design in multiple locations (e.g. Nutrient Network [</w:t>
      </w:r>
      <w:proofErr w:type="spellStart"/>
      <w:r>
        <w:t>NutNet</w:t>
      </w:r>
      <w:proofErr w:type="spellEnd"/>
      <w:r>
        <w:t>]</w:t>
      </w:r>
      <w:r w:rsidR="00AC746F">
        <w:fldChar w:fldCharType="begin" w:fldLock="1"/>
      </w:r>
      <w:r w:rsidR="00A038A0">
        <w:instrText>ADDIN CSL_CITATION {"citationItems":[{"id":"ITEM-1","itemData":{"DOI":"10.1111/2041-210X.12125","ISSN":"2041210X","abstract":"Summary: Advancing the field of ecology relies on understanding generalities and developing theories based on empirical and functional relationships that integrate across organismal to global spatial scales and span temporal scales. Significant advances in predicting responses of ecological communities to globally extensive anthropogenic perturbations,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Here, we provide specific advice and considerations relevant to researchers interested in employing this emerging approach using as a case study our experience developing and running the Nutrient Network, a globally distributed experimental network (currently &gt;75 sites in 17 countries) that arose from a grassroots, cooperative research effort. We clarify the design, goals and function of the Nutrient Network as a model to empower others in the scientific community to employ distributed experiments to advance our predictive understanding of global-scale ecological trends and responses. Our experiences to date demonstrate that globally distributed experimental science need not be prohibitively expensive or time-consuming on a per capita basis and is not limited to senior scientists or countries where science is well funded. While distributed experiments are not a panacea for understanding ecological systems, they can substantially complement existing approaches. © 2013 British Ecological Society.","author":[{"dropping-particle":"","family":"Borer","given":"Elizabeth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b7cca0a6-30bb-4263-9ad0-2b0e4bae38e8"]}],"mendeley":{"formattedCitation":"&lt;sup&gt;8&lt;/sup&gt;","plainTextFormattedCitation":"8","previouslyFormattedCitation":"&lt;sup&gt;8&lt;/sup&gt;"},"properties":{"noteIndex":0},"schema":"https://github.com/citation-style-language/schema/raw/master/csl-citation.json"}</w:instrText>
      </w:r>
      <w:r w:rsidR="00AC746F">
        <w:fldChar w:fldCharType="separate"/>
      </w:r>
      <w:r w:rsidR="00A038A0" w:rsidRPr="00A038A0">
        <w:rPr>
          <w:noProof/>
          <w:vertAlign w:val="superscript"/>
        </w:rPr>
        <w:t>8</w:t>
      </w:r>
      <w:r w:rsidR="00AC746F">
        <w:fldChar w:fldCharType="end"/>
      </w:r>
      <w:r>
        <w:t xml:space="preserve">, </w:t>
      </w:r>
      <w:r w:rsidR="00666ECE" w:rsidRPr="00666ECE">
        <w:t xml:space="preserve">Marine Global Earth Observatory </w:t>
      </w:r>
      <w:r w:rsidR="00666ECE">
        <w:t>[</w:t>
      </w:r>
      <w:proofErr w:type="spellStart"/>
      <w:r w:rsidR="00666ECE" w:rsidRPr="00666ECE">
        <w:t>MarineGEO</w:t>
      </w:r>
      <w:proofErr w:type="spellEnd"/>
      <w:r w:rsidR="00666ECE">
        <w:t>]</w:t>
      </w:r>
      <w:r w:rsidR="00666ECE">
        <w:fldChar w:fldCharType="begin" w:fldLock="1"/>
      </w:r>
      <w:r w:rsidR="00F23EB1">
        <w:instrText>ADDIN CSL_CITATION {"citationItems":[{"id":"ITEM-1","itemData":{"DOI":"10.1073/pnas.2005255117","ISSN":"10916490","PMID":"33106409","abstract":"The global distribution of primary production and consumption by humans (fisheries) is well-documented, but we have no map linking the central ecological process of consumption within food webs to temperature and other ecological drivers. Using standardized assays that span 105° of latitude on four continents, we show that rates of bait consumption by generalist predators in shallow marine ecosystems are tightly linked to both temperature and the composition of consumer assemblages. Unexpectedly, rates of consumption peaked at midlatitudes (25 to 35°) in both Northern and Southern Hemispheres across both seagrass and unvegetated sediment habitats. This pattern contrasts with terrestrial systems, where biotic interactions reportedly weaken away from the equator, but it parallels an emerging pattern of a subtropical peak in marine biodiversity. The higher consumption at midlatitudes was closely related to the type of consumers present, which explained rates of consumption better than consumer density, biomass, species diversity, or habitat. Indeed, the apparent effect of temperature on consumption was mostly driven by temperature-associated turnover in consumer community composition. Our findings reinforce the key influence of climate warming on altered species composition and highlight its implications for the functioning of Earth’s ecosystems.","author":[{"dropping-particle":"","family":"Whalen","given":"Matthew A.","non-dropping-particle":"","parse-names":false,"suffix":""},{"dropping-particle":"","family":"Whippo","given":"Ross D.B.","non-dropping-particle":"","parse-names":false,"suffix":""},{"dropping-particle":"","family":"Stachowicz","given":"John J.","non-dropping-particle":"","parse-names":false,"suffix":""},{"dropping-particle":"","family":"York","given":"Paul H.","non-dropping-particle":"","parse-names":false,"suffix":""},{"dropping-particle":"","family":"Aiello","given":"Erin","non-dropping-particle":"","parse-names":false,"suffix":""},{"dropping-particle":"","family":"Alcoverro","given":"Teresa","non-dropping-particle":"","parse-names":false,"suffix":""},{"dropping-particle":"","family":"Altieri","given":"Andrew H.","non-dropping-particle":"","parse-names":false,"suffix":""},{"dropping-particle":"","family":"Benedetti-Cecchi","given":"Lisandro","non-dropping-particle":"","parse-names":false,"suffix":""},{"dropping-particle":"","family":"Bertolini","given":"Camilla","non-dropping-particle":"","parse-names":false,"suffix":""},{"dropping-particle":"","family":"Bresch","given":"Midoli","non-dropping-particle":"","parse-names":false,"suffix":""},{"dropping-particle":"","family":"Bulleri","given":"Fabio","non-dropping-particle":"","parse-names":false,"suffix":""},{"dropping-particle":"","family":"Carnell","given":"Paul E.","non-dropping-particle":"","parse-names":false,"suffix":""},{"dropping-particle":"","family":"Cimon","given":"Stéphanie","non-dropping-particle":"","parse-names":false,"suffix":""},{"dropping-particle":"","family":"Connolly","given":"Rod M.","non-dropping-particle":"","parse-names":false,"suffix":""},{"dropping-particle":"","family":"Cusson","given":"Mathieu","non-dropping-particle":"","parse-names":false,"suffix":""},{"dropping-particle":"","family":"Diskin","given":"Meredith S.","non-dropping-particle":"","parse-names":false,"suffix":""},{"dropping-particle":"","family":"D’Souza","given":"Elrika","non-dropping-particle":"","parse-names":false,"suffix":""},{"dropping-particle":"","family":"Flores","given":"Augusto A.V.","non-dropping-particle":"","parse-names":false,"suffix":""},{"dropping-particle":"","family":"Joel Fodrie","given":"F.","non-dropping-particle":"","parse-names":false,"suffix":""},{"dropping-particle":"","family":"Galloway","given":"Aaron W.E.","non-dropping-particle":"","parse-names":false,"suffix":""},{"dropping-particle":"","family":"Gaskins","given":"Leo C.","non-dropping-particle":"","parse-names":false,"suffix":""},{"dropping-particle":"","family":"Graham","given":"Olivia J.","non-dropping-particle":"","parse-names":false,"suffix":""},{"dropping-particle":"","family":"Hanley","given":"Torrance C.","non-dropping-particle":"","parse-names":false,"suffix":""},{"dropping-particle":"","family":"Henderson","given":"Christopher J.","non-dropping-particle":"","parse-names":false,"suffix":""},{"dropping-particle":"","family":"Hereu","given":"Clara M.","non-dropping-particle":"","parse-names":false,"suffix":""},{"dropping-particle":"","family":"Hessing-Lewis","given":"Margot","non-dropping-particle":"","parse-names":false,"suffix":""},{"dropping-particle":"","family":"Hovel","given":"Kevin A.","non-dropping-particle":"","parse-names":false,"suffix":""},{"dropping-particle":"","family":"Hughes","given":"Brent B.","non-dropping-particle":"","parse-names":false,"suffix":""},{"dropping-particle":"","family":"Randall Hughes","given":"A.","non-dropping-particle":"","parse-names":false,"suffix":""},{"dropping-particle":"","family":"Hultgren","given":"Kristin M.","non-dropping-particle":"","parse-names":false,"suffix":""},{"dropping-particle":"","family":"Jänes","given":"Holger","non-dropping-particle":"","parse-names":false,"suffix":""},{"dropping-particle":"","family":"Janiak","given":"Dean S.","non-dropping-particle":"","parse-names":false,"suffix":""},{"dropping-particle":"","family":"Johnston","given":"Lane N.","non-dropping-particle":"","parse-names":false,"suffix":""},{"dropping-particle":"","family":"Jorgensen","given":"Pablo","non-dropping-particle":"","parse-names":false,"suffix":""},{"dropping-particle":"","family":"Kelaher","given":"Brendan P.","non-dropping-particle":"","parse-names":false,"suffix":""},{"dropping-particle":"","family":"Kruschel","given":"Claudia","non-dropping-particle":"","parse-names":false,"suffix":""},{"dropping-particle":"","family":"Lanham","given":"Brendan S.","non-dropping-particle":"","parse-names":false,"suffix":""},{"dropping-particle":"","family":"Lee","given":"Kun Seop","non-dropping-particle":"","parse-names":false,"suffix":""},{"dropping-particle":"","family":"Lefcheck","given":"Jonathan S.","non-dropping-particle":"","parse-names":false,"suffix":""},{"dropping-particle":"","family":"Lozano-Álvarez","given":"Enrique","non-dropping-particle":"","parse-names":false,"suffix":""},{"dropping-particle":"","family":"Macreadie","given":"Peter I.","non-dropping-particle":"","parse-names":false,"suffix":""},{"dropping-particle":"","family":"Monteith","given":"Zachary L.","non-dropping-particle":"","parse-names":false,"suffix":""},{"dropping-particle":"","family":"O’Connor","given":"Nessa E.","non-dropping-particle":"","parse-names":false,"suffix":""},{"dropping-particle":"","family":"Olds","given":"Andrew D.","non-dropping-particle":"","parse-names":false,"suffix":""},{"dropping-particle":"","family":"O’Leary","given":"Jennifer K.","non-dropping-particle":"","parse-names":false,"suffix":""},{"dropping-particle":"","family":"Patrick","given":"Christopher J.","non-dropping-particle":"","parse-names":false,"suffix":""},{"dropping-particle":"","family":"Pino","given":"Oscar","non-dropping-particle":"","parse-names":false,"suffix":""},{"dropping-particle":"","family":"Poore","given":"Alistair G.B.","non-dropping-particle":"","parse-names":false,"suffix":""},{"dropping-particle":"","family":"Rasheed","given":"Michael A.","non-dropping-particle":"","parse-names":false,"suffix":""},{"dropping-particle":"","family":"Raymond","given":"Wendel W.","non-dropping-particle":"","parse-names":false,"suffix":""},{"dropping-particle":"","family":"Reiss","given":"Katrin","non-dropping-particle":"","parse-names":false,"suffix":""},{"dropping-particle":"","family":"Kennedy Rhoades","given":"O.","non-dropping-particle":"","parse-names":false,"suffix":""},{"dropping-particle":"","family":"Robinson","given":"Max T.","non-dropping-particle":"","parse-names":false,"suffix":""},{"dropping-particle":"","family":"Ross","given":"Paige G.","non-dropping-particle":"","parse-names":false,"suffix":""},{"dropping-particle":"","family":"Rossi","given":"Francesca","non-dropping-particle":"","parse-names":false,"suffix":""},{"dropping-particle":"","family":"Schlacher","given":"Thomas A.","non-dropping-particle":"","parse-names":false,"suffix":""},{"dropping-particle":"","family":"Seemann","given":"Janina","non-dropping-particle":"","parse-names":false,"suffix":""},{"dropping-particle":"","family":"Silliman","given":"Brian R.","non-dropping-particle":"","parse-names":false,"suffix":""},{"dropping-particle":"","family":"Smee","given":"Delbert L.","non-dropping-particle":"","parse-names":false,"suffix":""},{"dropping-particle":"","family":"Thiel","given":"Martin","non-dropping-particle":"","parse-names":false,"suffix":""},{"dropping-particle":"","family":"Unsworth","given":"Richard K.F.","non-dropping-particle":"","parse-names":false,"suffix":""},{"dropping-particle":"","family":"Tussenbroek","given":"Brigitta I.","non-dropping-particle":"van","parse-names":false,"suffix":""},{"dropping-particle":"","family":"Vergés","given":"Adriana","non-dropping-particle":"","parse-names":false,"suffix":""},{"dropping-particle":"","family":"Yeager","given":"Mallarie E.","non-dropping-particle":"","parse-names":false,"suffix":""},{"dropping-particle":"","family":"Yednock","given":"Bree K.","non-dropping-particle":"","parse-names":false,"suffix":""},{"dropping-particle":"","family":"Ziegler","given":"Shelby L.","non-dropping-particle":"","parse-names":false,"suffix":""},{"dropping-particle":"","family":"Emmett Duffy","given":"J.","non-dropping-particle":"","parse-names":false,"suffix":""}],"container-title":"Proceedings of the National Academy of Sciences of the United States of America","id":"ITEM-1","issue":"45","issued":{"date-parts":[["2020"]]},"page":"28160-28166","title":"Climate drives the geography of marine consumption by changing predator communities","type":"article-journal","volume":"117"},"uris":["http://www.mendeley.com/documents/?uuid=853c1e87-491d-4c7f-ac4d-4e2053a33324"]}],"mendeley":{"formattedCitation":"&lt;sup&gt;79&lt;/sup&gt;","plainTextFormattedCitation":"79","previouslyFormattedCitation":"&lt;sup&gt;79&lt;/sup&gt;"},"properties":{"noteIndex":0},"schema":"https://github.com/citation-style-language/schema/raw/master/csl-citation.json"}</w:instrText>
      </w:r>
      <w:r w:rsidR="00666ECE">
        <w:fldChar w:fldCharType="separate"/>
      </w:r>
      <w:r w:rsidR="00852C49" w:rsidRPr="00852C49">
        <w:rPr>
          <w:noProof/>
          <w:vertAlign w:val="superscript"/>
        </w:rPr>
        <w:t>79</w:t>
      </w:r>
      <w:r w:rsidR="00666ECE">
        <w:fldChar w:fldCharType="end"/>
      </w:r>
      <w:r w:rsidR="00666ECE">
        <w:t xml:space="preserve">, </w:t>
      </w:r>
      <w:r>
        <w:t xml:space="preserve">and </w:t>
      </w:r>
      <w:proofErr w:type="spellStart"/>
      <w:r>
        <w:t>ManyLabs</w:t>
      </w:r>
      <w:proofErr w:type="spellEnd"/>
      <w:r>
        <w:t xml:space="preserve"> in psychology</w:t>
      </w:r>
      <w:r w:rsidR="00AC746F">
        <w:fldChar w:fldCharType="begin" w:fldLock="1"/>
      </w:r>
      <w:r w:rsidR="00F23EB1">
        <w:instrText>ADDIN CSL_CITATION {"citationItems":[{"id":"ITEM-1","itemData":{"author":[{"dropping-particle":"","family":"Moshontz","given":"Hannah","non-dropping-particle":"","parse-names":false,"suffix":""},{"dropping-particle":"","family":"Ebersole","given":"Charles R","non-dropping-particle":"","parse-names":false,"suffix":""},{"dropping-particle":"","family":"Urry","given":"Heather L","non-dropping-particle":"","parse-names":false,"suffix":""},{"dropping-particle":"","family":"Forscher","given":"Patrick S","non-dropping-particle":"","parse-names":false,"suffix":""},{"dropping-particle":"","family":"Mccarthy","given":"Randy J","non-dropping-particle":"","parse-names":false,"suffix":""},{"dropping-particle":"","family":"Musser","given":"Erica D","non-dropping-particle":"","parse-names":false,"suffix":""},{"dropping-particle":"","family":"Castille","given":"Christopher M","non-dropping-particle":"","parse-names":false,"suffix":""},{"dropping-particle":"","family":"Forero","given":"Diego A","non-dropping-particle":"","parse-names":false,"suffix":""},{"dropping-particle":"","family":"Janssen","given":"Steve M J","non-dropping-particle":"","parse-names":false,"suffix":""},{"dropping-particle":"","family":"Borras-guevara","given":"Martha Lucia","non-dropping-particle":"","parse-names":false,"suffix":""},{"dropping-particle":"","family":"Chopik","given":"William J","non-dropping-particle":"","parse-names":false,"suffix":""},{"dropping-particle":"","family":"Coles","given":"Nicholas A","non-dropping-particle":"","parse-names":false,"suffix":""},{"dropping-particle":"","family":"Corker","given":"Katherine S","non-dropping-particle":"","parse-names":false,"suffix":""},{"dropping-particle":"","family":"Fox","given":"Nicholas W","non-dropping-particle":"","parse-names":false,"suffix":""},{"dropping-particle":"","family":"Garrison","given":"S Mason","non-dropping-particle":"","parse-names":false,"suffix":""},{"dropping-particle":"","family":"Kline","given":"Melissa","non-dropping-particle":"","parse-names":false,"suffix":""},{"dropping-particle":"","family":"Miller","given":"Jeremy K","non-dropping-particle":"","parse-names":false,"suffix":""},{"dropping-particle":"","family":"Olsen","given":"Jerome","non-dropping-particle":"","parse-names":false,"suffix":""},{"dropping-particle":"","family":"Schmidt","given":"Kathleen","non-dropping-particle":"","parse-names":false,"suffix":""},{"dropping-particle":"","family":"Wilson","given":"John Paul","non-dropping-particle":"","parse-names":false,"suffix":""},{"dropping-particle":"","family":"Zickfeld","given":"Janis H","non-dropping-particle":"","parse-names":false,"suffix":""},{"dropping-particle":"","family":"Fernandez","given":"Ana Maria","non-dropping-particle":"","parse-names":false,"suffix":""},{"dropping-particle":"","family":"Horstmann","given":"Kai T","non-dropping-particle":"","parse-names":false,"suffix":""},{"dropping-particle":"","family":"Jones","given":"Benedict","non-dropping-particle":"","parse-names":false,"suffix":""},{"dropping-particle":"","family":"Lin","given":"Hause","non-dropping-particle":"","parse-names":false,"suffix":""},{"dropping-particle":"","family":"Mensink","given":"Michael C","non-dropping-particle":"","parse-names":false,"suffix":""}],"container-title":"Advances in Methods and Practices in Psychological Science","id":"ITEM-1","issue":"4","issued":{"date-parts":[["2018"]]},"page":"501-515","title":"The Psychological Science Accelerator : Advancing Psychology through a Distributed Collaborative Network An updated version of this manuscript is published online at Advances in Methods and Practices in Psychological Science ( https://doi.org/10.1177/2515","type":"article-journal","volume":"1"},"uris":["http://www.mendeley.com/documents/?uuid=9e5f19a2-c8ba-43a4-ace4-61f27ff34e66"]}],"mendeley":{"formattedCitation":"&lt;sup&gt;80&lt;/sup&gt;","plainTextFormattedCitation":"80","previouslyFormattedCitation":"&lt;sup&gt;80&lt;/sup&gt;"},"properties":{"noteIndex":0},"schema":"https://github.com/citation-style-language/schema/raw/master/csl-citation.json"}</w:instrText>
      </w:r>
      <w:r w:rsidR="00AC746F">
        <w:fldChar w:fldCharType="separate"/>
      </w:r>
      <w:r w:rsidR="00852C49" w:rsidRPr="00852C49">
        <w:rPr>
          <w:noProof/>
          <w:vertAlign w:val="superscript"/>
        </w:rPr>
        <w:t>80</w:t>
      </w:r>
      <w:r w:rsidR="00AC746F">
        <w:fldChar w:fldCharType="end"/>
      </w:r>
      <w:r>
        <w:t xml:space="preserve">). In practice, such distributed experiments are poorly resourced, depending for setup and maintenance on </w:t>
      </w:r>
      <w:proofErr w:type="gramStart"/>
      <w:r>
        <w:t>freely-offered</w:t>
      </w:r>
      <w:proofErr w:type="gramEnd"/>
      <w:r>
        <w:t xml:space="preserve"> endeavours of dedicated researchers. Large-scale, </w:t>
      </w:r>
      <w:proofErr w:type="gramStart"/>
      <w:r>
        <w:t>multinational</w:t>
      </w:r>
      <w:proofErr w:type="gramEnd"/>
      <w:r>
        <w:t xml:space="preserve"> and long-term funding to institutions for collaborati</w:t>
      </w:r>
      <w:r w:rsidR="008075EB">
        <w:t xml:space="preserve">on </w:t>
      </w:r>
      <w:r>
        <w:t xml:space="preserve">could transform this approach, to sample across the range of contextual variables, as orthogonally as possible. Importantly, the results could inform </w:t>
      </w:r>
      <w:r w:rsidR="00952883">
        <w:t xml:space="preserve">extensions </w:t>
      </w:r>
      <w:r>
        <w:t>to these studies, or a new set of studies, in a</w:t>
      </w:r>
      <w:r w:rsidR="00952883">
        <w:t xml:space="preserve">ccordance with the </w:t>
      </w:r>
      <w:r>
        <w:t>concept of ‘adaptive experimentation’</w:t>
      </w:r>
      <w:r w:rsidR="00AC746F">
        <w:fldChar w:fldCharType="begin" w:fldLock="1"/>
      </w:r>
      <w:r w:rsidR="00F23EB1">
        <w:instrText>ADDIN CSL_CITATION {"citationItems":[{"id":"ITEM-1","itemData":{"DOI":"10.3182/20110828-6-IT-1002.01124","ISBN":"9783902661937","ISSN":"14746670","abstract":"Hysteresis is a nonlinear behavior encountered in a wide variety of processes in which the input-output dynamic relations between variables involve memory effects. In Ikhouane (2010) a framework aimed to characterize these systems is proposed. The systems that are considered are seen as operators that map an input signal and initial condition to an output signal, all of them belonging to some specified sets. A definition of the quasi-static regime is motivated and proposed. The aim of the present paper is to generalize the concepts introduced in Ikhouane (2010). © 2011 IFAC.","author":[{"dropping-particle":"","family":"Marschner","given":"Ian C.","non-dropping-particle":"","parse-names":false,"suffix":""}],"container-title":"Statistical Science","id":"ITEM-1","issue":"3","issued":{"date-parts":[["2021"]]},"page":"465-492","title":"A general framework for the analysis of adaptive experiments","type":"article-journal","volume":"36"},"uris":["http://www.mendeley.com/documents/?uuid=90413fb6-9d95-4034-b0b2-393b98e395e1"]}],"mendeley":{"formattedCitation":"&lt;sup&gt;81&lt;/sup&gt;","plainTextFormattedCitation":"81","previouslyFormattedCitation":"&lt;sup&gt;81&lt;/sup&gt;"},"properties":{"noteIndex":0},"schema":"https://github.com/citation-style-language/schema/raw/master/csl-citation.json"}</w:instrText>
      </w:r>
      <w:r w:rsidR="00AC746F">
        <w:fldChar w:fldCharType="separate"/>
      </w:r>
      <w:r w:rsidR="00852C49" w:rsidRPr="00852C49">
        <w:rPr>
          <w:noProof/>
          <w:vertAlign w:val="superscript"/>
        </w:rPr>
        <w:t>81</w:t>
      </w:r>
      <w:r w:rsidR="00AC746F">
        <w:fldChar w:fldCharType="end"/>
      </w:r>
      <w:r>
        <w:t>. This would lead to syntheses</w:t>
      </w:r>
      <w:r w:rsidR="000458BF">
        <w:t xml:space="preserve"> that</w:t>
      </w:r>
      <w:r>
        <w:t xml:space="preserve"> </w:t>
      </w:r>
      <w:r w:rsidR="000458BF">
        <w:t>inform transferable research designs</w:t>
      </w:r>
      <w:r>
        <w:t xml:space="preserve"> in an iterative manner, rather than ‘making do’ with what has gone before. This idea </w:t>
      </w:r>
      <w:r w:rsidR="00351F9A">
        <w:t xml:space="preserve">replaces </w:t>
      </w:r>
      <w:r>
        <w:t>the current paradigm of individual-level competitiveness and novelty with institutional-level collaboration and scope for generality</w:t>
      </w:r>
      <w:r w:rsidR="000458BF">
        <w:t xml:space="preserve">, </w:t>
      </w:r>
      <w:r w:rsidR="00A8029C">
        <w:t xml:space="preserve">and </w:t>
      </w:r>
      <w:r w:rsidR="00F94DEC">
        <w:t xml:space="preserve">it </w:t>
      </w:r>
      <w:r>
        <w:t>provides a framework for individual scientists to develop their talents in collaborative teams.</w:t>
      </w:r>
    </w:p>
    <w:p w14:paraId="71EAE5D4" w14:textId="77777777" w:rsidR="00F24A29" w:rsidRDefault="00313CC5">
      <w:pPr>
        <w:pStyle w:val="Heading1"/>
      </w:pPr>
      <w:bookmarkStart w:id="32" w:name="_b8h0cmjtoqf5" w:colFirst="0" w:colLast="0"/>
      <w:bookmarkEnd w:id="32"/>
      <w:r>
        <w:rPr>
          <w:color w:val="000000"/>
        </w:rPr>
        <w:t>Acknowledgements</w:t>
      </w:r>
    </w:p>
    <w:p w14:paraId="1F7C0124" w14:textId="4C83CEB9" w:rsidR="00A038A0" w:rsidRDefault="00313CC5">
      <w:pPr>
        <w:rPr>
          <w:b/>
          <w:sz w:val="32"/>
          <w:szCs w:val="32"/>
        </w:rPr>
      </w:pPr>
      <w:r>
        <w:t xml:space="preserve">We thank J. Chase for informative discussion of concepts, and three reviewers for valuable comments. </w:t>
      </w:r>
      <w:r w:rsidR="00725CB3">
        <w:t>RS is grateful for funding from</w:t>
      </w:r>
      <w:r w:rsidR="00DA66C6">
        <w:t xml:space="preserve"> the</w:t>
      </w:r>
      <w:r w:rsidR="00725CB3">
        <w:t xml:space="preserve"> </w:t>
      </w:r>
      <w:r w:rsidR="00DA66C6" w:rsidRPr="00DA66C6">
        <w:t xml:space="preserve">German Centre for Integrative Biodiversity </w:t>
      </w:r>
      <w:r w:rsidR="008A01FD">
        <w:t>R</w:t>
      </w:r>
      <w:r w:rsidR="00DA66C6" w:rsidRPr="00DA66C6">
        <w:t>esearch – iDiv - Halle-Jena-Leipzig</w:t>
      </w:r>
      <w:r w:rsidR="00DA66C6">
        <w:t xml:space="preserve">. </w:t>
      </w:r>
      <w:r w:rsidR="006C00D2" w:rsidRPr="006C00D2">
        <w:t>JMB was funded under UKCEH National Capability project 06895</w:t>
      </w:r>
      <w:r w:rsidR="006C00D2">
        <w:t>.</w:t>
      </w:r>
      <w:r w:rsidR="00952883">
        <w:t xml:space="preserve"> </w:t>
      </w:r>
      <w:r w:rsidR="0004535E" w:rsidRPr="0004535E">
        <w:t xml:space="preserve">CTC was supported by a Marie </w:t>
      </w:r>
      <w:proofErr w:type="spellStart"/>
      <w:r w:rsidR="0004535E" w:rsidRPr="0004535E">
        <w:t>Skłodowska</w:t>
      </w:r>
      <w:proofErr w:type="spellEnd"/>
      <w:r w:rsidR="0004535E" w:rsidRPr="0004535E">
        <w:t>-Curie Individual Fellowship (no. 891052).</w:t>
      </w:r>
      <w:r w:rsidR="00A038A0">
        <w:br w:type="page"/>
      </w:r>
    </w:p>
    <w:p w14:paraId="741AC6CF" w14:textId="77777777" w:rsidR="004615F7" w:rsidRDefault="004615F7" w:rsidP="004615F7">
      <w:pPr>
        <w:pStyle w:val="Heading1"/>
      </w:pPr>
      <w:r w:rsidRPr="004615F7">
        <w:lastRenderedPageBreak/>
        <w:t xml:space="preserve">Author information </w:t>
      </w:r>
    </w:p>
    <w:p w14:paraId="3D952E85" w14:textId="77777777" w:rsidR="004615F7" w:rsidRDefault="004615F7" w:rsidP="004615F7">
      <w:pPr>
        <w:pStyle w:val="Heading2"/>
      </w:pPr>
      <w:r>
        <w:t>Authors and affiliations</w:t>
      </w:r>
    </w:p>
    <w:tbl>
      <w:tblPr>
        <w:tblStyle w:val="TableGrid"/>
        <w:tblW w:w="0" w:type="auto"/>
        <w:tblLayout w:type="fixed"/>
        <w:tblLook w:val="04A0" w:firstRow="1" w:lastRow="0" w:firstColumn="1" w:lastColumn="0" w:noHBand="0" w:noVBand="1"/>
      </w:tblPr>
      <w:tblGrid>
        <w:gridCol w:w="1356"/>
        <w:gridCol w:w="4309"/>
        <w:gridCol w:w="2172"/>
        <w:gridCol w:w="1179"/>
      </w:tblGrid>
      <w:tr w:rsidR="004615F7" w:rsidRPr="00936D79" w14:paraId="503927FB" w14:textId="77777777" w:rsidTr="002A53AC">
        <w:tc>
          <w:tcPr>
            <w:tcW w:w="1356" w:type="dxa"/>
          </w:tcPr>
          <w:p w14:paraId="6AA1227D" w14:textId="77777777" w:rsidR="004615F7" w:rsidRPr="00936D79" w:rsidRDefault="004615F7" w:rsidP="002A53AC">
            <w:pPr>
              <w:rPr>
                <w:rFonts w:ascii="Arial" w:hAnsi="Arial" w:cs="Arial"/>
                <w:sz w:val="20"/>
                <w:szCs w:val="20"/>
              </w:rPr>
            </w:pPr>
            <w:r w:rsidRPr="00936D79">
              <w:rPr>
                <w:rFonts w:ascii="Arial" w:hAnsi="Arial" w:cs="Arial"/>
                <w:sz w:val="20"/>
                <w:szCs w:val="20"/>
              </w:rPr>
              <w:t>Name</w:t>
            </w:r>
          </w:p>
        </w:tc>
        <w:tc>
          <w:tcPr>
            <w:tcW w:w="4309" w:type="dxa"/>
          </w:tcPr>
          <w:p w14:paraId="42B518AF" w14:textId="77777777" w:rsidR="004615F7" w:rsidRPr="00936D79" w:rsidRDefault="004615F7" w:rsidP="002A53AC">
            <w:pPr>
              <w:rPr>
                <w:rFonts w:ascii="Arial" w:hAnsi="Arial" w:cs="Arial"/>
                <w:sz w:val="20"/>
                <w:szCs w:val="20"/>
              </w:rPr>
            </w:pPr>
            <w:r w:rsidRPr="00936D79">
              <w:rPr>
                <w:rFonts w:ascii="Arial" w:hAnsi="Arial" w:cs="Arial"/>
                <w:sz w:val="20"/>
                <w:szCs w:val="20"/>
              </w:rPr>
              <w:t>Affiliation</w:t>
            </w:r>
          </w:p>
        </w:tc>
        <w:tc>
          <w:tcPr>
            <w:tcW w:w="2172" w:type="dxa"/>
          </w:tcPr>
          <w:p w14:paraId="3880D468" w14:textId="77777777" w:rsidR="004615F7" w:rsidRPr="00936D79" w:rsidRDefault="004615F7" w:rsidP="002A53AC">
            <w:pPr>
              <w:rPr>
                <w:rFonts w:ascii="Arial" w:hAnsi="Arial" w:cs="Arial"/>
                <w:sz w:val="20"/>
                <w:szCs w:val="20"/>
              </w:rPr>
            </w:pPr>
            <w:r w:rsidRPr="00936D79">
              <w:rPr>
                <w:rFonts w:ascii="Arial" w:hAnsi="Arial" w:cs="Arial"/>
                <w:sz w:val="20"/>
                <w:szCs w:val="20"/>
              </w:rPr>
              <w:t>Email address</w:t>
            </w:r>
          </w:p>
        </w:tc>
        <w:tc>
          <w:tcPr>
            <w:tcW w:w="1179" w:type="dxa"/>
          </w:tcPr>
          <w:p w14:paraId="416163A9" w14:textId="77777777" w:rsidR="004615F7" w:rsidRPr="00936D79" w:rsidRDefault="004615F7" w:rsidP="002A53AC">
            <w:pPr>
              <w:rPr>
                <w:rFonts w:ascii="Arial" w:hAnsi="Arial" w:cs="Arial"/>
                <w:sz w:val="20"/>
                <w:szCs w:val="20"/>
              </w:rPr>
            </w:pPr>
            <w:r w:rsidRPr="00936D79">
              <w:rPr>
                <w:rFonts w:ascii="Arial" w:hAnsi="Arial" w:cs="Arial"/>
                <w:sz w:val="20"/>
                <w:szCs w:val="20"/>
              </w:rPr>
              <w:t>ORCID</w:t>
            </w:r>
          </w:p>
        </w:tc>
      </w:tr>
      <w:tr w:rsidR="004615F7" w:rsidRPr="00936D79" w14:paraId="1C11D9D5" w14:textId="77777777" w:rsidTr="002A53AC">
        <w:trPr>
          <w:trHeight w:val="1370"/>
        </w:trPr>
        <w:tc>
          <w:tcPr>
            <w:tcW w:w="1356" w:type="dxa"/>
          </w:tcPr>
          <w:p w14:paraId="3BBF9D01" w14:textId="77777777" w:rsidR="004615F7" w:rsidRPr="00936D79" w:rsidRDefault="004615F7" w:rsidP="002A53AC">
            <w:pPr>
              <w:rPr>
                <w:rFonts w:ascii="Arial" w:hAnsi="Arial" w:cs="Arial"/>
                <w:sz w:val="20"/>
                <w:szCs w:val="20"/>
              </w:rPr>
            </w:pPr>
            <w:r w:rsidRPr="00936D79">
              <w:rPr>
                <w:rFonts w:ascii="Arial" w:hAnsi="Arial" w:cs="Arial"/>
                <w:sz w:val="20"/>
                <w:szCs w:val="20"/>
              </w:rPr>
              <w:t>Rebecca Spake</w:t>
            </w:r>
          </w:p>
        </w:tc>
        <w:tc>
          <w:tcPr>
            <w:tcW w:w="4309" w:type="dxa"/>
          </w:tcPr>
          <w:p w14:paraId="40F6FA84" w14:textId="77777777" w:rsidR="004615F7" w:rsidRPr="00936D79" w:rsidRDefault="004615F7" w:rsidP="002A53AC">
            <w:pPr>
              <w:rPr>
                <w:rFonts w:ascii="Arial" w:hAnsi="Arial" w:cs="Arial"/>
                <w:sz w:val="20"/>
                <w:szCs w:val="20"/>
              </w:rPr>
            </w:pPr>
            <w:r>
              <w:rPr>
                <w:rFonts w:ascii="Arial" w:hAnsi="Arial" w:cs="Arial"/>
                <w:sz w:val="20"/>
                <w:szCs w:val="20"/>
              </w:rPr>
              <w:t>School of Biological Sciences, University of Reading</w:t>
            </w:r>
          </w:p>
        </w:tc>
        <w:tc>
          <w:tcPr>
            <w:tcW w:w="2172" w:type="dxa"/>
          </w:tcPr>
          <w:p w14:paraId="5DF57AE9" w14:textId="77777777" w:rsidR="004615F7" w:rsidRPr="00936D79" w:rsidRDefault="00E90B8B" w:rsidP="002A53AC">
            <w:pPr>
              <w:rPr>
                <w:rFonts w:ascii="Arial" w:hAnsi="Arial" w:cs="Arial"/>
                <w:sz w:val="20"/>
                <w:szCs w:val="20"/>
              </w:rPr>
            </w:pPr>
            <w:hyperlink r:id="rId11" w:history="1">
              <w:r w:rsidR="004615F7" w:rsidRPr="00936D79">
                <w:rPr>
                  <w:rStyle w:val="Hyperlink"/>
                  <w:rFonts w:ascii="Arial" w:hAnsi="Arial" w:cs="Arial"/>
                  <w:sz w:val="20"/>
                  <w:szCs w:val="20"/>
                </w:rPr>
                <w:t>becksspake@gmail.com</w:t>
              </w:r>
            </w:hyperlink>
            <w:r w:rsidR="004615F7" w:rsidRPr="00936D79">
              <w:rPr>
                <w:rFonts w:ascii="Arial" w:hAnsi="Arial" w:cs="Arial"/>
                <w:sz w:val="20"/>
                <w:szCs w:val="20"/>
              </w:rPr>
              <w:t xml:space="preserve"> </w:t>
            </w:r>
          </w:p>
          <w:p w14:paraId="2D791822" w14:textId="77777777" w:rsidR="004615F7" w:rsidRPr="00936D79" w:rsidRDefault="004615F7" w:rsidP="002A53AC">
            <w:pPr>
              <w:rPr>
                <w:rFonts w:ascii="Arial" w:hAnsi="Arial" w:cs="Arial"/>
                <w:sz w:val="20"/>
                <w:szCs w:val="20"/>
              </w:rPr>
            </w:pPr>
          </w:p>
        </w:tc>
        <w:tc>
          <w:tcPr>
            <w:tcW w:w="1179" w:type="dxa"/>
          </w:tcPr>
          <w:p w14:paraId="199FA1E0" w14:textId="77777777" w:rsidR="004615F7" w:rsidRPr="00936D79" w:rsidRDefault="004615F7" w:rsidP="002A53AC">
            <w:pPr>
              <w:rPr>
                <w:rFonts w:ascii="Arial" w:hAnsi="Arial" w:cs="Arial"/>
                <w:sz w:val="20"/>
                <w:szCs w:val="20"/>
              </w:rPr>
            </w:pPr>
            <w:r w:rsidRPr="00936D79">
              <w:rPr>
                <w:rFonts w:ascii="Arial" w:hAnsi="Arial" w:cs="Arial"/>
                <w:sz w:val="20"/>
                <w:szCs w:val="20"/>
              </w:rPr>
              <w:t>0000-0003-4671-2225</w:t>
            </w:r>
          </w:p>
        </w:tc>
      </w:tr>
      <w:tr w:rsidR="004615F7" w:rsidRPr="00936D79" w14:paraId="228E982A" w14:textId="77777777" w:rsidTr="002A53AC">
        <w:tc>
          <w:tcPr>
            <w:tcW w:w="1356" w:type="dxa"/>
          </w:tcPr>
          <w:p w14:paraId="73DE707B" w14:textId="263EFFE0" w:rsidR="004615F7" w:rsidRPr="00936D79" w:rsidRDefault="004615F7" w:rsidP="002A53AC">
            <w:pPr>
              <w:rPr>
                <w:rFonts w:ascii="Arial" w:hAnsi="Arial" w:cs="Arial"/>
                <w:sz w:val="20"/>
                <w:szCs w:val="20"/>
              </w:rPr>
            </w:pPr>
            <w:r w:rsidRPr="00936D79">
              <w:rPr>
                <w:rFonts w:ascii="Arial" w:hAnsi="Arial" w:cs="Arial"/>
                <w:sz w:val="20"/>
                <w:szCs w:val="20"/>
              </w:rPr>
              <w:t xml:space="preserve">Rose </w:t>
            </w:r>
            <w:r>
              <w:rPr>
                <w:rFonts w:ascii="Arial" w:hAnsi="Arial" w:cs="Arial"/>
                <w:sz w:val="20"/>
                <w:szCs w:val="20"/>
              </w:rPr>
              <w:t xml:space="preserve">E. </w:t>
            </w:r>
            <w:r w:rsidR="00677F13" w:rsidRPr="00936D79">
              <w:rPr>
                <w:rFonts w:ascii="Arial" w:hAnsi="Arial" w:cs="Arial"/>
                <w:sz w:val="20"/>
                <w:szCs w:val="20"/>
              </w:rPr>
              <w:t>O’</w:t>
            </w:r>
            <w:r w:rsidR="00677F13">
              <w:rPr>
                <w:rFonts w:ascii="Arial" w:hAnsi="Arial" w:cs="Arial"/>
                <w:sz w:val="20"/>
                <w:szCs w:val="20"/>
              </w:rPr>
              <w:t>D</w:t>
            </w:r>
            <w:r w:rsidR="00677F13" w:rsidRPr="00936D79">
              <w:rPr>
                <w:rFonts w:ascii="Arial" w:hAnsi="Arial" w:cs="Arial"/>
                <w:sz w:val="20"/>
                <w:szCs w:val="20"/>
              </w:rPr>
              <w:t>ea</w:t>
            </w:r>
          </w:p>
        </w:tc>
        <w:tc>
          <w:tcPr>
            <w:tcW w:w="4309" w:type="dxa"/>
          </w:tcPr>
          <w:p w14:paraId="378E100D" w14:textId="77777777" w:rsidR="004615F7" w:rsidRPr="00936D79" w:rsidRDefault="004615F7" w:rsidP="002A53AC">
            <w:pPr>
              <w:rPr>
                <w:rFonts w:ascii="Arial" w:hAnsi="Arial" w:cs="Arial"/>
                <w:sz w:val="20"/>
                <w:szCs w:val="20"/>
              </w:rPr>
            </w:pPr>
            <w:r w:rsidRPr="00936D79">
              <w:rPr>
                <w:rFonts w:ascii="Arial" w:hAnsi="Arial" w:cs="Arial"/>
                <w:sz w:val="20"/>
                <w:szCs w:val="20"/>
              </w:rPr>
              <w:t>School of Ecosystem and Forest Sciences, University of Melbourne, Melbourne, Australia</w:t>
            </w:r>
          </w:p>
        </w:tc>
        <w:tc>
          <w:tcPr>
            <w:tcW w:w="2172" w:type="dxa"/>
          </w:tcPr>
          <w:p w14:paraId="600A95D1" w14:textId="77777777" w:rsidR="004615F7" w:rsidRPr="00936D79" w:rsidRDefault="00E90B8B" w:rsidP="002A53AC">
            <w:pPr>
              <w:rPr>
                <w:rFonts w:ascii="Arial" w:hAnsi="Arial" w:cs="Arial"/>
                <w:sz w:val="20"/>
                <w:szCs w:val="20"/>
              </w:rPr>
            </w:pPr>
            <w:hyperlink r:id="rId12" w:history="1">
              <w:r w:rsidR="004615F7" w:rsidRPr="00936D79">
                <w:rPr>
                  <w:rStyle w:val="Hyperlink"/>
                  <w:rFonts w:ascii="Arial" w:hAnsi="Arial" w:cs="Arial"/>
                  <w:sz w:val="20"/>
                  <w:szCs w:val="20"/>
                </w:rPr>
                <w:t>rose.eleanor.o.dea@gmail.com</w:t>
              </w:r>
            </w:hyperlink>
            <w:r w:rsidR="004615F7" w:rsidRPr="00936D79">
              <w:rPr>
                <w:rFonts w:ascii="Arial" w:hAnsi="Arial" w:cs="Arial"/>
                <w:sz w:val="20"/>
                <w:szCs w:val="20"/>
              </w:rPr>
              <w:t xml:space="preserve"> </w:t>
            </w:r>
          </w:p>
          <w:p w14:paraId="11225DA0" w14:textId="77777777" w:rsidR="004615F7" w:rsidRPr="00936D79" w:rsidRDefault="004615F7" w:rsidP="002A53AC">
            <w:pPr>
              <w:rPr>
                <w:rFonts w:ascii="Arial" w:hAnsi="Arial" w:cs="Arial"/>
                <w:sz w:val="20"/>
                <w:szCs w:val="20"/>
              </w:rPr>
            </w:pPr>
          </w:p>
        </w:tc>
        <w:tc>
          <w:tcPr>
            <w:tcW w:w="1179" w:type="dxa"/>
          </w:tcPr>
          <w:p w14:paraId="6E6E8FC6" w14:textId="77777777" w:rsidR="004615F7" w:rsidRPr="00936D79" w:rsidRDefault="004615F7" w:rsidP="002A53AC">
            <w:pPr>
              <w:rPr>
                <w:rFonts w:ascii="Arial" w:hAnsi="Arial" w:cs="Arial"/>
                <w:sz w:val="20"/>
                <w:szCs w:val="20"/>
              </w:rPr>
            </w:pPr>
            <w:r w:rsidRPr="00936D79">
              <w:rPr>
                <w:rFonts w:ascii="Arial" w:hAnsi="Arial" w:cs="Arial"/>
                <w:sz w:val="20"/>
                <w:szCs w:val="20"/>
              </w:rPr>
              <w:t>0000-0001-8177-5075</w:t>
            </w:r>
          </w:p>
        </w:tc>
      </w:tr>
      <w:tr w:rsidR="004615F7" w:rsidRPr="00936D79" w14:paraId="0BF8EA18" w14:textId="77777777" w:rsidTr="002A53AC">
        <w:tc>
          <w:tcPr>
            <w:tcW w:w="1356" w:type="dxa"/>
          </w:tcPr>
          <w:p w14:paraId="53705933" w14:textId="77777777" w:rsidR="004615F7" w:rsidRPr="00936D79" w:rsidRDefault="004615F7" w:rsidP="002A53AC">
            <w:pPr>
              <w:rPr>
                <w:rFonts w:ascii="Arial" w:hAnsi="Arial" w:cs="Arial"/>
                <w:sz w:val="20"/>
                <w:szCs w:val="20"/>
              </w:rPr>
            </w:pPr>
            <w:r w:rsidRPr="00936D79">
              <w:rPr>
                <w:rFonts w:ascii="Arial" w:hAnsi="Arial" w:cs="Arial"/>
                <w:sz w:val="20"/>
                <w:szCs w:val="20"/>
              </w:rPr>
              <w:t>Shinichi Nakagawa</w:t>
            </w:r>
          </w:p>
        </w:tc>
        <w:tc>
          <w:tcPr>
            <w:tcW w:w="4309" w:type="dxa"/>
          </w:tcPr>
          <w:p w14:paraId="181AE07B" w14:textId="77777777" w:rsidR="004615F7" w:rsidRPr="00936D79" w:rsidRDefault="004615F7" w:rsidP="002A53AC">
            <w:pPr>
              <w:rPr>
                <w:rFonts w:ascii="Arial" w:hAnsi="Arial" w:cs="Arial"/>
                <w:sz w:val="20"/>
                <w:szCs w:val="20"/>
              </w:rPr>
            </w:pPr>
            <w:r w:rsidRPr="00936D79">
              <w:rPr>
                <w:rFonts w:ascii="Arial" w:hAnsi="Arial" w:cs="Arial"/>
                <w:sz w:val="20"/>
                <w:szCs w:val="20"/>
              </w:rPr>
              <w:t>Evolution &amp; Ecology Research Centre and School of Biological, Earth and Environmental Sciences, University of New South Wales, Sydney</w:t>
            </w:r>
          </w:p>
        </w:tc>
        <w:tc>
          <w:tcPr>
            <w:tcW w:w="2172" w:type="dxa"/>
          </w:tcPr>
          <w:p w14:paraId="5A229830" w14:textId="77777777" w:rsidR="004615F7" w:rsidRPr="00936D79" w:rsidRDefault="00E90B8B" w:rsidP="002A53AC">
            <w:pPr>
              <w:rPr>
                <w:rFonts w:ascii="Arial" w:hAnsi="Arial" w:cs="Arial"/>
                <w:sz w:val="20"/>
                <w:szCs w:val="20"/>
              </w:rPr>
            </w:pPr>
            <w:hyperlink r:id="rId13" w:history="1">
              <w:r w:rsidR="004615F7" w:rsidRPr="00936D79">
                <w:rPr>
                  <w:rStyle w:val="Hyperlink"/>
                  <w:rFonts w:ascii="Arial" w:hAnsi="Arial" w:cs="Arial"/>
                  <w:sz w:val="20"/>
                  <w:szCs w:val="20"/>
                </w:rPr>
                <w:t>s.nakagawa@unsw.edu.au</w:t>
              </w:r>
            </w:hyperlink>
            <w:r w:rsidR="004615F7" w:rsidRPr="00936D79">
              <w:rPr>
                <w:rFonts w:ascii="Arial" w:hAnsi="Arial" w:cs="Arial"/>
                <w:sz w:val="20"/>
                <w:szCs w:val="20"/>
              </w:rPr>
              <w:t xml:space="preserve"> </w:t>
            </w:r>
          </w:p>
        </w:tc>
        <w:tc>
          <w:tcPr>
            <w:tcW w:w="1179" w:type="dxa"/>
          </w:tcPr>
          <w:p w14:paraId="7C354A8B" w14:textId="77777777" w:rsidR="004615F7" w:rsidRPr="00936D79" w:rsidRDefault="004615F7" w:rsidP="002A53AC">
            <w:pPr>
              <w:rPr>
                <w:rFonts w:ascii="Arial" w:hAnsi="Arial" w:cs="Arial"/>
                <w:sz w:val="20"/>
                <w:szCs w:val="20"/>
              </w:rPr>
            </w:pPr>
            <w:r w:rsidRPr="00936D79">
              <w:rPr>
                <w:rFonts w:ascii="Arial" w:hAnsi="Arial" w:cs="Arial"/>
                <w:sz w:val="20"/>
                <w:szCs w:val="20"/>
              </w:rPr>
              <w:t>0000-0002-7765-5182</w:t>
            </w:r>
          </w:p>
          <w:p w14:paraId="23799FEC" w14:textId="77777777" w:rsidR="004615F7" w:rsidRPr="00936D79" w:rsidRDefault="004615F7" w:rsidP="002A53AC">
            <w:pPr>
              <w:rPr>
                <w:rFonts w:ascii="Arial" w:hAnsi="Arial" w:cs="Arial"/>
                <w:sz w:val="20"/>
                <w:szCs w:val="20"/>
              </w:rPr>
            </w:pPr>
          </w:p>
        </w:tc>
      </w:tr>
      <w:tr w:rsidR="004615F7" w:rsidRPr="00936D79" w14:paraId="35E863AE" w14:textId="77777777" w:rsidTr="002A53AC">
        <w:tc>
          <w:tcPr>
            <w:tcW w:w="1356" w:type="dxa"/>
          </w:tcPr>
          <w:p w14:paraId="67394786" w14:textId="77777777" w:rsidR="004615F7" w:rsidRPr="00936D79" w:rsidRDefault="004615F7" w:rsidP="002A53AC">
            <w:pPr>
              <w:rPr>
                <w:rFonts w:ascii="Arial" w:hAnsi="Arial" w:cs="Arial"/>
                <w:sz w:val="20"/>
                <w:szCs w:val="20"/>
              </w:rPr>
            </w:pPr>
            <w:r w:rsidRPr="00936D79">
              <w:rPr>
                <w:rFonts w:ascii="Arial" w:hAnsi="Arial" w:cs="Arial"/>
                <w:sz w:val="20"/>
                <w:szCs w:val="20"/>
              </w:rPr>
              <w:t>C. Patrick Doncaster</w:t>
            </w:r>
          </w:p>
        </w:tc>
        <w:tc>
          <w:tcPr>
            <w:tcW w:w="4309" w:type="dxa"/>
          </w:tcPr>
          <w:p w14:paraId="1B79D159" w14:textId="77777777" w:rsidR="004615F7" w:rsidRPr="00936D79" w:rsidRDefault="004615F7" w:rsidP="002A53AC">
            <w:pPr>
              <w:rPr>
                <w:rFonts w:ascii="Arial" w:hAnsi="Arial" w:cs="Arial"/>
                <w:sz w:val="20"/>
                <w:szCs w:val="20"/>
              </w:rPr>
            </w:pPr>
            <w:r w:rsidRPr="00936D79">
              <w:rPr>
                <w:rFonts w:ascii="Arial" w:hAnsi="Arial" w:cs="Arial"/>
                <w:sz w:val="20"/>
                <w:szCs w:val="20"/>
              </w:rPr>
              <w:t>School of Biological Sciences, University of Southampton</w:t>
            </w:r>
            <w:r>
              <w:rPr>
                <w:rFonts w:ascii="Arial" w:hAnsi="Arial" w:cs="Arial"/>
                <w:sz w:val="20"/>
                <w:szCs w:val="20"/>
              </w:rPr>
              <w:t>, SO17 1BJ, UK</w:t>
            </w:r>
          </w:p>
        </w:tc>
        <w:tc>
          <w:tcPr>
            <w:tcW w:w="2172" w:type="dxa"/>
          </w:tcPr>
          <w:p w14:paraId="2B610BDD" w14:textId="77777777" w:rsidR="004615F7" w:rsidRPr="00936D79" w:rsidRDefault="00E90B8B" w:rsidP="002A53AC">
            <w:pPr>
              <w:rPr>
                <w:rFonts w:ascii="Arial" w:hAnsi="Arial" w:cs="Arial"/>
                <w:sz w:val="20"/>
                <w:szCs w:val="20"/>
              </w:rPr>
            </w:pPr>
            <w:hyperlink r:id="rId14" w:history="1">
              <w:r w:rsidR="004615F7" w:rsidRPr="00936D79">
                <w:rPr>
                  <w:rStyle w:val="Hyperlink"/>
                  <w:rFonts w:ascii="Arial" w:hAnsi="Arial" w:cs="Arial"/>
                  <w:sz w:val="20"/>
                  <w:szCs w:val="20"/>
                </w:rPr>
                <w:t>cpd@soton.ac.uk</w:t>
              </w:r>
            </w:hyperlink>
            <w:r w:rsidR="004615F7" w:rsidRPr="00936D79">
              <w:rPr>
                <w:rFonts w:ascii="Arial" w:hAnsi="Arial" w:cs="Arial"/>
                <w:sz w:val="20"/>
                <w:szCs w:val="20"/>
              </w:rPr>
              <w:t xml:space="preserve"> </w:t>
            </w:r>
          </w:p>
        </w:tc>
        <w:tc>
          <w:tcPr>
            <w:tcW w:w="1179" w:type="dxa"/>
          </w:tcPr>
          <w:p w14:paraId="4510F088" w14:textId="77777777" w:rsidR="004615F7" w:rsidRPr="00936D79" w:rsidRDefault="004615F7" w:rsidP="002A53AC">
            <w:pPr>
              <w:rPr>
                <w:rFonts w:ascii="Arial" w:hAnsi="Arial" w:cs="Arial"/>
                <w:sz w:val="20"/>
                <w:szCs w:val="20"/>
              </w:rPr>
            </w:pPr>
            <w:r w:rsidRPr="004338CD">
              <w:rPr>
                <w:rFonts w:ascii="Arial" w:hAnsi="Arial" w:cs="Arial"/>
                <w:sz w:val="20"/>
                <w:szCs w:val="20"/>
              </w:rPr>
              <w:t>0000-0001-9406-0693</w:t>
            </w:r>
          </w:p>
        </w:tc>
      </w:tr>
      <w:tr w:rsidR="004615F7" w:rsidRPr="00936D79" w14:paraId="117A62C5" w14:textId="77777777" w:rsidTr="002A53AC">
        <w:tc>
          <w:tcPr>
            <w:tcW w:w="1356" w:type="dxa"/>
          </w:tcPr>
          <w:p w14:paraId="2F44CE9F" w14:textId="77777777" w:rsidR="004615F7" w:rsidRPr="00936D79" w:rsidRDefault="004615F7" w:rsidP="002A53AC">
            <w:pPr>
              <w:rPr>
                <w:rFonts w:ascii="Arial" w:hAnsi="Arial" w:cs="Arial"/>
                <w:sz w:val="20"/>
                <w:szCs w:val="20"/>
              </w:rPr>
            </w:pPr>
            <w:r w:rsidRPr="00936D79">
              <w:rPr>
                <w:rFonts w:ascii="Arial" w:hAnsi="Arial" w:cs="Arial"/>
                <w:sz w:val="20"/>
                <w:szCs w:val="20"/>
              </w:rPr>
              <w:t>Masahiro Ryo</w:t>
            </w:r>
          </w:p>
        </w:tc>
        <w:tc>
          <w:tcPr>
            <w:tcW w:w="4309" w:type="dxa"/>
            <w:tcBorders>
              <w:top w:val="single" w:sz="8" w:space="0" w:color="000000"/>
              <w:left w:val="single" w:sz="8" w:space="0" w:color="000000"/>
              <w:bottom w:val="single" w:sz="8" w:space="0" w:color="000000"/>
              <w:right w:val="single" w:sz="8" w:space="0" w:color="000000"/>
            </w:tcBorders>
          </w:tcPr>
          <w:p w14:paraId="7DB77D61" w14:textId="77777777" w:rsidR="004615F7" w:rsidRPr="00936D79" w:rsidRDefault="004615F7" w:rsidP="002A53AC">
            <w:pPr>
              <w:pStyle w:val="NormalWeb"/>
              <w:spacing w:before="0" w:beforeAutospacing="0" w:after="0" w:afterAutospacing="0"/>
              <w:rPr>
                <w:rFonts w:ascii="Arial" w:hAnsi="Arial" w:cs="Arial"/>
                <w:sz w:val="20"/>
                <w:szCs w:val="20"/>
              </w:rPr>
            </w:pPr>
            <w:r w:rsidRPr="00936D79">
              <w:rPr>
                <w:rFonts w:ascii="Arial" w:hAnsi="Arial" w:cs="Arial"/>
                <w:color w:val="000000"/>
                <w:sz w:val="20"/>
                <w:szCs w:val="20"/>
              </w:rPr>
              <w:t>Leibniz Centre for Agricultural Landscape Research (ZALF)</w:t>
            </w:r>
          </w:p>
          <w:p w14:paraId="0351E75B" w14:textId="77777777" w:rsidR="004615F7" w:rsidRPr="00936D79" w:rsidRDefault="004615F7" w:rsidP="002A53AC">
            <w:pPr>
              <w:rPr>
                <w:rFonts w:ascii="Arial" w:hAnsi="Arial" w:cs="Arial"/>
                <w:sz w:val="20"/>
                <w:szCs w:val="20"/>
              </w:rPr>
            </w:pPr>
            <w:r w:rsidRPr="00936D79">
              <w:rPr>
                <w:rFonts w:ascii="Arial" w:hAnsi="Arial" w:cs="Arial"/>
                <w:color w:val="000000"/>
                <w:sz w:val="20"/>
                <w:szCs w:val="20"/>
              </w:rPr>
              <w:t>Brandenburg University of Technology Cottbus–</w:t>
            </w:r>
            <w:proofErr w:type="spellStart"/>
            <w:r w:rsidRPr="00936D79">
              <w:rPr>
                <w:rFonts w:ascii="Arial" w:hAnsi="Arial" w:cs="Arial"/>
                <w:color w:val="000000"/>
                <w:sz w:val="20"/>
                <w:szCs w:val="20"/>
              </w:rPr>
              <w:t>Senftenberg</w:t>
            </w:r>
            <w:proofErr w:type="spellEnd"/>
          </w:p>
        </w:tc>
        <w:tc>
          <w:tcPr>
            <w:tcW w:w="2172" w:type="dxa"/>
            <w:tcBorders>
              <w:top w:val="single" w:sz="8" w:space="0" w:color="000000"/>
              <w:left w:val="single" w:sz="8" w:space="0" w:color="000000"/>
              <w:bottom w:val="single" w:sz="8" w:space="0" w:color="000000"/>
              <w:right w:val="single" w:sz="8" w:space="0" w:color="000000"/>
            </w:tcBorders>
          </w:tcPr>
          <w:p w14:paraId="78253DEF" w14:textId="77777777" w:rsidR="004615F7" w:rsidRPr="00936D79" w:rsidRDefault="00E90B8B" w:rsidP="002A53AC">
            <w:pPr>
              <w:rPr>
                <w:rFonts w:ascii="Arial" w:hAnsi="Arial" w:cs="Arial"/>
                <w:sz w:val="20"/>
                <w:szCs w:val="20"/>
              </w:rPr>
            </w:pPr>
            <w:hyperlink r:id="rId15" w:history="1">
              <w:r w:rsidR="004615F7" w:rsidRPr="00936D79">
                <w:rPr>
                  <w:rStyle w:val="Hyperlink"/>
                  <w:rFonts w:ascii="Arial" w:hAnsi="Arial" w:cs="Arial"/>
                  <w:sz w:val="20"/>
                  <w:szCs w:val="20"/>
                </w:rPr>
                <w:t>masahiro.ryo@zalf.de</w:t>
              </w:r>
            </w:hyperlink>
            <w:r w:rsidR="004615F7" w:rsidRPr="00936D79">
              <w:rPr>
                <w:rFonts w:ascii="Arial" w:hAnsi="Arial" w:cs="Arial"/>
                <w:color w:val="000000"/>
                <w:sz w:val="20"/>
                <w:szCs w:val="20"/>
              </w:rPr>
              <w:t xml:space="preserve"> </w:t>
            </w:r>
          </w:p>
        </w:tc>
        <w:tc>
          <w:tcPr>
            <w:tcW w:w="1179" w:type="dxa"/>
            <w:tcBorders>
              <w:top w:val="single" w:sz="8" w:space="0" w:color="000000"/>
              <w:left w:val="single" w:sz="8" w:space="0" w:color="000000"/>
              <w:bottom w:val="single" w:sz="8" w:space="0" w:color="000000"/>
              <w:right w:val="single" w:sz="8" w:space="0" w:color="000000"/>
            </w:tcBorders>
          </w:tcPr>
          <w:p w14:paraId="47C5FCA7" w14:textId="77777777" w:rsidR="004615F7" w:rsidRPr="00936D79" w:rsidRDefault="004615F7" w:rsidP="002A53AC">
            <w:pPr>
              <w:rPr>
                <w:rFonts w:ascii="Arial" w:hAnsi="Arial" w:cs="Arial"/>
                <w:sz w:val="20"/>
                <w:szCs w:val="20"/>
              </w:rPr>
            </w:pPr>
            <w:r w:rsidRPr="00936D79">
              <w:rPr>
                <w:rFonts w:ascii="Arial" w:hAnsi="Arial" w:cs="Arial"/>
                <w:color w:val="000000"/>
                <w:sz w:val="20"/>
                <w:szCs w:val="20"/>
              </w:rPr>
              <w:t>0000-0002-5271-3446</w:t>
            </w:r>
          </w:p>
        </w:tc>
      </w:tr>
      <w:tr w:rsidR="004615F7" w:rsidRPr="00936D79" w14:paraId="71D5A742" w14:textId="77777777" w:rsidTr="002A53AC">
        <w:tc>
          <w:tcPr>
            <w:tcW w:w="1356" w:type="dxa"/>
            <w:tcBorders>
              <w:top w:val="nil"/>
              <w:left w:val="single" w:sz="8" w:space="0" w:color="000000"/>
              <w:bottom w:val="single" w:sz="8" w:space="0" w:color="000000"/>
              <w:right w:val="single" w:sz="8" w:space="0" w:color="000000"/>
            </w:tcBorders>
          </w:tcPr>
          <w:p w14:paraId="1F2BD9B7" w14:textId="77777777" w:rsidR="004615F7" w:rsidRPr="00936D79" w:rsidRDefault="004615F7" w:rsidP="002A53AC">
            <w:pPr>
              <w:rPr>
                <w:rFonts w:ascii="Arial" w:hAnsi="Arial" w:cs="Arial"/>
                <w:sz w:val="20"/>
                <w:szCs w:val="20"/>
              </w:rPr>
            </w:pPr>
            <w:r w:rsidRPr="00936D79">
              <w:rPr>
                <w:rFonts w:ascii="Arial" w:hAnsi="Arial" w:cs="Arial"/>
                <w:sz w:val="20"/>
                <w:szCs w:val="20"/>
              </w:rPr>
              <w:t>Corey T. Callaghan</w:t>
            </w:r>
          </w:p>
        </w:tc>
        <w:tc>
          <w:tcPr>
            <w:tcW w:w="4309" w:type="dxa"/>
            <w:tcBorders>
              <w:top w:val="nil"/>
              <w:left w:val="nil"/>
              <w:bottom w:val="single" w:sz="8" w:space="0" w:color="000000"/>
              <w:right w:val="single" w:sz="8" w:space="0" w:color="000000"/>
            </w:tcBorders>
          </w:tcPr>
          <w:p w14:paraId="704BF328" w14:textId="0FEBF7A3" w:rsidR="004615F7" w:rsidRPr="00936D79" w:rsidRDefault="004615F7" w:rsidP="002A53AC">
            <w:pPr>
              <w:rPr>
                <w:rFonts w:ascii="Arial" w:hAnsi="Arial" w:cs="Arial"/>
                <w:sz w:val="20"/>
                <w:szCs w:val="20"/>
              </w:rPr>
            </w:pPr>
            <w:r w:rsidRPr="00936D79">
              <w:rPr>
                <w:rFonts w:ascii="Arial" w:hAnsi="Arial" w:cs="Arial"/>
                <w:sz w:val="20"/>
                <w:szCs w:val="20"/>
              </w:rPr>
              <w:t xml:space="preserve">German Centre for Integrative Biodiversity research – iDiv - Halle-Jena-Leipzig, </w:t>
            </w:r>
            <w:proofErr w:type="spellStart"/>
            <w:r w:rsidRPr="00936D79">
              <w:rPr>
                <w:rFonts w:ascii="Arial" w:hAnsi="Arial" w:cs="Arial"/>
                <w:sz w:val="20"/>
                <w:szCs w:val="20"/>
              </w:rPr>
              <w:t>Puschstrasse</w:t>
            </w:r>
            <w:proofErr w:type="spellEnd"/>
            <w:r w:rsidRPr="00936D79">
              <w:rPr>
                <w:rFonts w:ascii="Arial" w:hAnsi="Arial" w:cs="Arial"/>
                <w:sz w:val="20"/>
                <w:szCs w:val="20"/>
              </w:rPr>
              <w:t xml:space="preserve"> 4, 04103, Leipzig, Germany</w:t>
            </w:r>
          </w:p>
        </w:tc>
        <w:tc>
          <w:tcPr>
            <w:tcW w:w="2172" w:type="dxa"/>
            <w:tcBorders>
              <w:top w:val="nil"/>
              <w:left w:val="nil"/>
              <w:bottom w:val="single" w:sz="8" w:space="0" w:color="000000"/>
              <w:right w:val="single" w:sz="8" w:space="0" w:color="000000"/>
            </w:tcBorders>
          </w:tcPr>
          <w:p w14:paraId="2CBC2FC8" w14:textId="77777777" w:rsidR="004615F7" w:rsidRPr="00936D79" w:rsidRDefault="004615F7" w:rsidP="002A53AC">
            <w:pPr>
              <w:rPr>
                <w:rFonts w:ascii="Arial" w:hAnsi="Arial" w:cs="Arial"/>
                <w:sz w:val="20"/>
                <w:szCs w:val="20"/>
              </w:rPr>
            </w:pPr>
            <w:r w:rsidRPr="00936D79">
              <w:rPr>
                <w:rFonts w:ascii="Arial" w:hAnsi="Arial" w:cs="Arial"/>
                <w:color w:val="FF0000"/>
                <w:sz w:val="20"/>
                <w:szCs w:val="20"/>
              </w:rPr>
              <w:t> </w:t>
            </w:r>
            <w:hyperlink r:id="rId16" w:tgtFrame="_blank" w:history="1">
              <w:r w:rsidRPr="00936D79">
                <w:rPr>
                  <w:rStyle w:val="Hyperlink"/>
                  <w:rFonts w:ascii="Arial" w:hAnsi="Arial" w:cs="Arial"/>
                  <w:sz w:val="20"/>
                  <w:szCs w:val="20"/>
                </w:rPr>
                <w:t>corey.callaghan@idiv.de</w:t>
              </w:r>
            </w:hyperlink>
          </w:p>
        </w:tc>
        <w:tc>
          <w:tcPr>
            <w:tcW w:w="1179" w:type="dxa"/>
            <w:tcBorders>
              <w:top w:val="nil"/>
              <w:left w:val="nil"/>
              <w:bottom w:val="single" w:sz="8" w:space="0" w:color="000000"/>
              <w:right w:val="single" w:sz="8" w:space="0" w:color="000000"/>
            </w:tcBorders>
          </w:tcPr>
          <w:p w14:paraId="4A81D503" w14:textId="77777777" w:rsidR="004615F7" w:rsidRPr="00936D79" w:rsidRDefault="004615F7" w:rsidP="002A53AC">
            <w:pPr>
              <w:rPr>
                <w:rFonts w:ascii="Arial" w:hAnsi="Arial" w:cs="Arial"/>
                <w:sz w:val="20"/>
                <w:szCs w:val="20"/>
              </w:rPr>
            </w:pPr>
            <w:r w:rsidRPr="00936D79">
              <w:rPr>
                <w:rFonts w:ascii="Arial" w:hAnsi="Arial" w:cs="Arial"/>
                <w:color w:val="FF0000"/>
                <w:sz w:val="20"/>
                <w:szCs w:val="20"/>
              </w:rPr>
              <w:t> </w:t>
            </w:r>
            <w:r w:rsidRPr="00936D79">
              <w:rPr>
                <w:rStyle w:val="Strong"/>
                <w:rFonts w:ascii="Arial" w:hAnsi="Arial" w:cs="Arial"/>
                <w:spacing w:val="8"/>
                <w:sz w:val="20"/>
                <w:szCs w:val="20"/>
              </w:rPr>
              <w:t>0000-0003-0415-2709</w:t>
            </w:r>
          </w:p>
        </w:tc>
      </w:tr>
      <w:tr w:rsidR="004615F7" w:rsidRPr="00936D79" w14:paraId="296BCFDF" w14:textId="77777777" w:rsidTr="002A53AC">
        <w:tc>
          <w:tcPr>
            <w:tcW w:w="1356" w:type="dxa"/>
          </w:tcPr>
          <w:p w14:paraId="2C7E80A5" w14:textId="77777777" w:rsidR="004615F7" w:rsidRPr="00936D79" w:rsidRDefault="004615F7" w:rsidP="002A53AC">
            <w:pPr>
              <w:rPr>
                <w:rFonts w:ascii="Arial" w:hAnsi="Arial" w:cs="Arial"/>
                <w:sz w:val="20"/>
                <w:szCs w:val="20"/>
              </w:rPr>
            </w:pPr>
            <w:r w:rsidRPr="00936D79">
              <w:rPr>
                <w:rFonts w:ascii="Arial" w:hAnsi="Arial" w:cs="Arial"/>
                <w:sz w:val="20"/>
                <w:szCs w:val="20"/>
              </w:rPr>
              <w:t>James M. Bullock</w:t>
            </w:r>
          </w:p>
        </w:tc>
        <w:tc>
          <w:tcPr>
            <w:tcW w:w="4309" w:type="dxa"/>
          </w:tcPr>
          <w:p w14:paraId="0C1A028D" w14:textId="77777777" w:rsidR="004615F7" w:rsidRPr="00936D79" w:rsidRDefault="004615F7" w:rsidP="002A53AC">
            <w:pPr>
              <w:rPr>
                <w:rFonts w:ascii="Arial" w:hAnsi="Arial" w:cs="Arial"/>
                <w:sz w:val="20"/>
                <w:szCs w:val="20"/>
              </w:rPr>
            </w:pPr>
            <w:r w:rsidRPr="00936D79">
              <w:rPr>
                <w:rFonts w:ascii="Arial" w:hAnsi="Arial" w:cs="Arial"/>
                <w:sz w:val="20"/>
                <w:szCs w:val="20"/>
              </w:rPr>
              <w:t>UK Centre for Ecology &amp; Hydrology</w:t>
            </w:r>
            <w:r>
              <w:t xml:space="preserve">, </w:t>
            </w:r>
            <w:r w:rsidRPr="004338CD">
              <w:rPr>
                <w:rFonts w:ascii="Arial" w:hAnsi="Arial" w:cs="Arial"/>
                <w:sz w:val="20"/>
                <w:szCs w:val="20"/>
              </w:rPr>
              <w:t>Oxfordshire</w:t>
            </w:r>
            <w:r>
              <w:rPr>
                <w:rFonts w:ascii="Arial" w:hAnsi="Arial" w:cs="Arial"/>
                <w:sz w:val="20"/>
                <w:szCs w:val="20"/>
              </w:rPr>
              <w:t xml:space="preserve">, </w:t>
            </w:r>
            <w:r w:rsidRPr="004338CD">
              <w:rPr>
                <w:rFonts w:ascii="Arial" w:hAnsi="Arial" w:cs="Arial"/>
                <w:sz w:val="20"/>
                <w:szCs w:val="20"/>
              </w:rPr>
              <w:t>OX10 8BB</w:t>
            </w:r>
            <w:r>
              <w:rPr>
                <w:rFonts w:ascii="Arial" w:hAnsi="Arial" w:cs="Arial"/>
                <w:sz w:val="20"/>
                <w:szCs w:val="20"/>
              </w:rPr>
              <w:t xml:space="preserve">, </w:t>
            </w:r>
            <w:r w:rsidRPr="004338CD">
              <w:rPr>
                <w:rFonts w:ascii="Arial" w:hAnsi="Arial" w:cs="Arial"/>
                <w:sz w:val="20"/>
                <w:szCs w:val="20"/>
              </w:rPr>
              <w:t>UK</w:t>
            </w:r>
          </w:p>
        </w:tc>
        <w:tc>
          <w:tcPr>
            <w:tcW w:w="2172" w:type="dxa"/>
          </w:tcPr>
          <w:p w14:paraId="5CE08F12" w14:textId="77777777" w:rsidR="004615F7" w:rsidRPr="00936D79" w:rsidRDefault="00E90B8B" w:rsidP="002A53AC">
            <w:pPr>
              <w:rPr>
                <w:rFonts w:ascii="Arial" w:hAnsi="Arial" w:cs="Arial"/>
                <w:sz w:val="20"/>
                <w:szCs w:val="20"/>
              </w:rPr>
            </w:pPr>
            <w:hyperlink r:id="rId17" w:history="1">
              <w:r w:rsidR="004615F7" w:rsidRPr="00277F9A">
                <w:rPr>
                  <w:rStyle w:val="Hyperlink"/>
                  <w:rFonts w:ascii="Arial" w:hAnsi="Arial" w:cs="Arial"/>
                  <w:sz w:val="20"/>
                  <w:szCs w:val="20"/>
                </w:rPr>
                <w:t>jmbul@ceh.ac.uk</w:t>
              </w:r>
            </w:hyperlink>
            <w:r w:rsidR="004615F7">
              <w:rPr>
                <w:rFonts w:ascii="Arial" w:hAnsi="Arial" w:cs="Arial"/>
                <w:sz w:val="20"/>
                <w:szCs w:val="20"/>
              </w:rPr>
              <w:t xml:space="preserve"> </w:t>
            </w:r>
          </w:p>
        </w:tc>
        <w:tc>
          <w:tcPr>
            <w:tcW w:w="1179" w:type="dxa"/>
          </w:tcPr>
          <w:p w14:paraId="2DDD9A0E" w14:textId="77777777" w:rsidR="004615F7" w:rsidRPr="00936D79" w:rsidRDefault="004615F7" w:rsidP="002A53AC">
            <w:pPr>
              <w:rPr>
                <w:rFonts w:ascii="Arial" w:hAnsi="Arial" w:cs="Arial"/>
                <w:sz w:val="20"/>
                <w:szCs w:val="20"/>
              </w:rPr>
            </w:pPr>
            <w:r w:rsidRPr="00936D79">
              <w:rPr>
                <w:rFonts w:ascii="Arial" w:hAnsi="Arial" w:cs="Arial"/>
                <w:sz w:val="20"/>
                <w:szCs w:val="20"/>
              </w:rPr>
              <w:t>0000-0003-0529-4020</w:t>
            </w:r>
          </w:p>
        </w:tc>
      </w:tr>
    </w:tbl>
    <w:p w14:paraId="72E00E18" w14:textId="77777777" w:rsidR="004615F7" w:rsidRDefault="004615F7" w:rsidP="004615F7">
      <w:pPr>
        <w:pStyle w:val="Heading2"/>
      </w:pPr>
      <w:r>
        <w:t>Corresponding author</w:t>
      </w:r>
    </w:p>
    <w:p w14:paraId="09706A7D" w14:textId="77777777" w:rsidR="004615F7" w:rsidRDefault="004615F7" w:rsidP="004615F7">
      <w:r>
        <w:t xml:space="preserve">Correspondence to Rebecca Spake: </w:t>
      </w:r>
      <w:hyperlink r:id="rId18" w:history="1">
        <w:r w:rsidRPr="007E1228">
          <w:rPr>
            <w:rStyle w:val="Hyperlink"/>
          </w:rPr>
          <w:t>R.Spake@reading.ac.uk</w:t>
        </w:r>
      </w:hyperlink>
      <w:r>
        <w:t xml:space="preserve"> </w:t>
      </w:r>
    </w:p>
    <w:p w14:paraId="6FB51EF4" w14:textId="6F277002" w:rsidR="004B3AC7" w:rsidRDefault="004B3AC7" w:rsidP="004615F7">
      <w:pPr>
        <w:pStyle w:val="Heading1"/>
      </w:pPr>
      <w:r>
        <w:t>Author contributions</w:t>
      </w:r>
    </w:p>
    <w:p w14:paraId="5700FAFB" w14:textId="743919D7" w:rsidR="004B3AC7" w:rsidRPr="004B3AC7" w:rsidRDefault="004B3AC7" w:rsidP="004B3AC7">
      <w:r w:rsidRPr="004B3AC7">
        <w:t>RS conceived the idea and developed a first draft with JMB. All authors contributed to idea development and paper writing.</w:t>
      </w:r>
    </w:p>
    <w:p w14:paraId="34E37BD7" w14:textId="2A649501" w:rsidR="004615F7" w:rsidRDefault="004615F7" w:rsidP="004615F7">
      <w:pPr>
        <w:pStyle w:val="Heading1"/>
      </w:pPr>
      <w:r>
        <w:t>Ethics declarations</w:t>
      </w:r>
    </w:p>
    <w:p w14:paraId="284D8226" w14:textId="77777777" w:rsidR="004615F7" w:rsidRDefault="004615F7" w:rsidP="004615F7">
      <w:pPr>
        <w:pStyle w:val="Heading2"/>
      </w:pPr>
      <w:r>
        <w:t>Competing interests</w:t>
      </w:r>
    </w:p>
    <w:p w14:paraId="06BF1171" w14:textId="2B796A20" w:rsidR="004615F7" w:rsidRPr="004615F7" w:rsidRDefault="004615F7" w:rsidP="004615F7">
      <w:pPr>
        <w:rPr>
          <w:rFonts w:eastAsia="Calibri"/>
        </w:rPr>
      </w:pPr>
      <w:r w:rsidRPr="004615F7">
        <w:rPr>
          <w:rFonts w:eastAsia="Calibri"/>
        </w:rPr>
        <w:t>The authors declare no competing interests.</w:t>
      </w:r>
    </w:p>
    <w:p w14:paraId="392D3E40" w14:textId="6B0CCFC0" w:rsidR="004615F7" w:rsidRDefault="004615F7" w:rsidP="004615F7"/>
    <w:p w14:paraId="663825C2" w14:textId="77777777" w:rsidR="004615F7" w:rsidRDefault="004615F7">
      <w:pPr>
        <w:rPr>
          <w:b/>
          <w:sz w:val="32"/>
          <w:szCs w:val="32"/>
        </w:rPr>
      </w:pPr>
      <w:r>
        <w:br w:type="page"/>
      </w:r>
    </w:p>
    <w:p w14:paraId="7DE6E080" w14:textId="4EF348AE" w:rsidR="00F24A29" w:rsidRDefault="00313CC5">
      <w:pPr>
        <w:pStyle w:val="Heading1"/>
      </w:pPr>
      <w:r>
        <w:lastRenderedPageBreak/>
        <w:t>References</w:t>
      </w:r>
    </w:p>
    <w:p w14:paraId="23DF9C48" w14:textId="782B4D66" w:rsidR="005E2996" w:rsidRPr="005E2996" w:rsidRDefault="008E158C" w:rsidP="005E2996">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5E2996" w:rsidRPr="005E2996">
        <w:rPr>
          <w:noProof/>
        </w:rPr>
        <w:t>1.</w:t>
      </w:r>
      <w:r w:rsidR="005E2996" w:rsidRPr="005E2996">
        <w:rPr>
          <w:noProof/>
        </w:rPr>
        <w:tab/>
        <w:t xml:space="preserve">Houlahan, J. E., McKinney, S. T., Anderson, T. M. &amp; McGill, B. J. The priority of prediction in ecological understanding. </w:t>
      </w:r>
      <w:r w:rsidR="005E2996" w:rsidRPr="005E2996">
        <w:rPr>
          <w:i/>
          <w:iCs/>
          <w:noProof/>
        </w:rPr>
        <w:t>Oikos</w:t>
      </w:r>
      <w:r w:rsidR="005E2996" w:rsidRPr="005E2996">
        <w:rPr>
          <w:noProof/>
        </w:rPr>
        <w:t xml:space="preserve"> </w:t>
      </w:r>
      <w:r w:rsidR="005E2996" w:rsidRPr="005E2996">
        <w:rPr>
          <w:b/>
          <w:bCs/>
          <w:noProof/>
        </w:rPr>
        <w:t>126</w:t>
      </w:r>
      <w:r w:rsidR="005E2996" w:rsidRPr="005E2996">
        <w:rPr>
          <w:noProof/>
        </w:rPr>
        <w:t>, 1–7 (2017).</w:t>
      </w:r>
    </w:p>
    <w:p w14:paraId="547B38B1" w14:textId="77777777" w:rsidR="005E2996" w:rsidRPr="005E2996" w:rsidRDefault="005E2996" w:rsidP="005E2996">
      <w:pPr>
        <w:widowControl w:val="0"/>
        <w:autoSpaceDE w:val="0"/>
        <w:autoSpaceDN w:val="0"/>
        <w:adjustRightInd w:val="0"/>
        <w:ind w:left="640" w:hanging="640"/>
        <w:rPr>
          <w:noProof/>
        </w:rPr>
      </w:pPr>
      <w:r w:rsidRPr="005E2996">
        <w:rPr>
          <w:noProof/>
        </w:rPr>
        <w:t>2.</w:t>
      </w:r>
      <w:r w:rsidRPr="005E2996">
        <w:rPr>
          <w:noProof/>
        </w:rPr>
        <w:tab/>
        <w:t xml:space="preserve">Lawton, J. H. Are there general laws in ecology? </w:t>
      </w:r>
      <w:r w:rsidRPr="005E2996">
        <w:rPr>
          <w:i/>
          <w:iCs/>
          <w:noProof/>
        </w:rPr>
        <w:t>Oikos</w:t>
      </w:r>
      <w:r w:rsidRPr="005E2996">
        <w:rPr>
          <w:noProof/>
        </w:rPr>
        <w:t xml:space="preserve"> </w:t>
      </w:r>
      <w:r w:rsidRPr="005E2996">
        <w:rPr>
          <w:b/>
          <w:bCs/>
          <w:noProof/>
        </w:rPr>
        <w:t>84</w:t>
      </w:r>
      <w:r w:rsidRPr="005E2996">
        <w:rPr>
          <w:noProof/>
        </w:rPr>
        <w:t>, 177–192 (1999).</w:t>
      </w:r>
    </w:p>
    <w:p w14:paraId="163AC388" w14:textId="77777777" w:rsidR="005E2996" w:rsidRPr="005E2996" w:rsidRDefault="005E2996" w:rsidP="005E2996">
      <w:pPr>
        <w:widowControl w:val="0"/>
        <w:autoSpaceDE w:val="0"/>
        <w:autoSpaceDN w:val="0"/>
        <w:adjustRightInd w:val="0"/>
        <w:ind w:left="640" w:hanging="640"/>
        <w:rPr>
          <w:noProof/>
        </w:rPr>
      </w:pPr>
      <w:r w:rsidRPr="005E2996">
        <w:rPr>
          <w:noProof/>
        </w:rPr>
        <w:t>3.</w:t>
      </w:r>
      <w:r w:rsidRPr="005E2996">
        <w:rPr>
          <w:noProof/>
        </w:rPr>
        <w:tab/>
        <w:t xml:space="preserve">Elliott-Graves, A. Generality and Causal Interdependence in Ecology. </w:t>
      </w:r>
      <w:r w:rsidRPr="005E2996">
        <w:rPr>
          <w:i/>
          <w:iCs/>
          <w:noProof/>
        </w:rPr>
        <w:t>Philos. Sci.</w:t>
      </w:r>
      <w:r w:rsidRPr="005E2996">
        <w:rPr>
          <w:noProof/>
        </w:rPr>
        <w:t xml:space="preserve"> </w:t>
      </w:r>
      <w:r w:rsidRPr="005E2996">
        <w:rPr>
          <w:b/>
          <w:bCs/>
          <w:noProof/>
        </w:rPr>
        <w:t>85</w:t>
      </w:r>
      <w:r w:rsidRPr="005E2996">
        <w:rPr>
          <w:noProof/>
        </w:rPr>
        <w:t>, 1102–1114 (2018).</w:t>
      </w:r>
    </w:p>
    <w:p w14:paraId="676BFB17" w14:textId="77777777" w:rsidR="005E2996" w:rsidRPr="005E2996" w:rsidRDefault="005E2996" w:rsidP="005E2996">
      <w:pPr>
        <w:widowControl w:val="0"/>
        <w:autoSpaceDE w:val="0"/>
        <w:autoSpaceDN w:val="0"/>
        <w:adjustRightInd w:val="0"/>
        <w:ind w:left="640" w:hanging="640"/>
        <w:rPr>
          <w:noProof/>
        </w:rPr>
      </w:pPr>
      <w:r w:rsidRPr="005E2996">
        <w:rPr>
          <w:noProof/>
        </w:rPr>
        <w:t>4.</w:t>
      </w:r>
      <w:r w:rsidRPr="005E2996">
        <w:rPr>
          <w:noProof/>
        </w:rPr>
        <w:tab/>
        <w:t xml:space="preserve">Fox, J. W. The many roads to generality in ecology. </w:t>
      </w:r>
      <w:r w:rsidRPr="005E2996">
        <w:rPr>
          <w:i/>
          <w:iCs/>
          <w:noProof/>
        </w:rPr>
        <w:t>Philos. Top.</w:t>
      </w:r>
      <w:r w:rsidRPr="005E2996">
        <w:rPr>
          <w:noProof/>
        </w:rPr>
        <w:t xml:space="preserve"> </w:t>
      </w:r>
      <w:r w:rsidRPr="005E2996">
        <w:rPr>
          <w:b/>
          <w:bCs/>
          <w:noProof/>
        </w:rPr>
        <w:t>9</w:t>
      </w:r>
      <w:r w:rsidRPr="005E2996">
        <w:rPr>
          <w:noProof/>
        </w:rPr>
        <w:t>, 83–104 (2019).</w:t>
      </w:r>
    </w:p>
    <w:p w14:paraId="348C9485" w14:textId="77777777" w:rsidR="005E2996" w:rsidRPr="005E2996" w:rsidRDefault="005E2996" w:rsidP="005E2996">
      <w:pPr>
        <w:widowControl w:val="0"/>
        <w:autoSpaceDE w:val="0"/>
        <w:autoSpaceDN w:val="0"/>
        <w:adjustRightInd w:val="0"/>
        <w:ind w:left="640" w:hanging="640"/>
        <w:rPr>
          <w:noProof/>
        </w:rPr>
      </w:pPr>
      <w:r w:rsidRPr="005E2996">
        <w:rPr>
          <w:noProof/>
        </w:rPr>
        <w:t>5.</w:t>
      </w:r>
      <w:r w:rsidRPr="005E2996">
        <w:rPr>
          <w:noProof/>
        </w:rPr>
        <w:tab/>
        <w:t xml:space="preserve">McGill, B. J. </w:t>
      </w:r>
      <w:r w:rsidRPr="005E2996">
        <w:rPr>
          <w:i/>
          <w:iCs/>
          <w:noProof/>
        </w:rPr>
        <w:t>et al.</w:t>
      </w:r>
      <w:r w:rsidRPr="005E2996">
        <w:rPr>
          <w:noProof/>
        </w:rPr>
        <w:t xml:space="preserve"> Species abundance distributions: Moving beyond single prediction theories to integration within an ecological framework. </w:t>
      </w:r>
      <w:r w:rsidRPr="005E2996">
        <w:rPr>
          <w:i/>
          <w:iCs/>
          <w:noProof/>
        </w:rPr>
        <w:t>Ecol. Lett.</w:t>
      </w:r>
      <w:r w:rsidRPr="005E2996">
        <w:rPr>
          <w:noProof/>
        </w:rPr>
        <w:t xml:space="preserve"> </w:t>
      </w:r>
      <w:r w:rsidRPr="005E2996">
        <w:rPr>
          <w:b/>
          <w:bCs/>
          <w:noProof/>
        </w:rPr>
        <w:t>10</w:t>
      </w:r>
      <w:r w:rsidRPr="005E2996">
        <w:rPr>
          <w:noProof/>
        </w:rPr>
        <w:t>, 995–1015 (2007).</w:t>
      </w:r>
    </w:p>
    <w:p w14:paraId="102A9321" w14:textId="77777777" w:rsidR="005E2996" w:rsidRPr="005E2996" w:rsidRDefault="005E2996" w:rsidP="005E2996">
      <w:pPr>
        <w:widowControl w:val="0"/>
        <w:autoSpaceDE w:val="0"/>
        <w:autoSpaceDN w:val="0"/>
        <w:adjustRightInd w:val="0"/>
        <w:ind w:left="640" w:hanging="640"/>
        <w:rPr>
          <w:noProof/>
        </w:rPr>
      </w:pPr>
      <w:r w:rsidRPr="005E2996">
        <w:rPr>
          <w:noProof/>
        </w:rPr>
        <w:t>6.</w:t>
      </w:r>
      <w:r w:rsidRPr="005E2996">
        <w:rPr>
          <w:noProof/>
        </w:rPr>
        <w:tab/>
        <w:t xml:space="preserve">MacArthur, R. H.,  and E. O. W. An equilibrium theory of insular zoogeography. </w:t>
      </w:r>
      <w:r w:rsidRPr="005E2996">
        <w:rPr>
          <w:i/>
          <w:iCs/>
          <w:noProof/>
        </w:rPr>
        <w:t>Evolution (N. Y).</w:t>
      </w:r>
      <w:r w:rsidRPr="005E2996">
        <w:rPr>
          <w:noProof/>
        </w:rPr>
        <w:t xml:space="preserve"> </w:t>
      </w:r>
      <w:r w:rsidRPr="005E2996">
        <w:rPr>
          <w:b/>
          <w:bCs/>
          <w:noProof/>
        </w:rPr>
        <w:t>17</w:t>
      </w:r>
      <w:r w:rsidRPr="005E2996">
        <w:rPr>
          <w:noProof/>
        </w:rPr>
        <w:t>, 373–87 (1963).</w:t>
      </w:r>
    </w:p>
    <w:p w14:paraId="4C5B002D" w14:textId="77777777" w:rsidR="005E2996" w:rsidRPr="005E2996" w:rsidRDefault="005E2996" w:rsidP="005E2996">
      <w:pPr>
        <w:widowControl w:val="0"/>
        <w:autoSpaceDE w:val="0"/>
        <w:autoSpaceDN w:val="0"/>
        <w:adjustRightInd w:val="0"/>
        <w:ind w:left="640" w:hanging="640"/>
        <w:rPr>
          <w:noProof/>
        </w:rPr>
      </w:pPr>
      <w:r w:rsidRPr="005E2996">
        <w:rPr>
          <w:noProof/>
        </w:rPr>
        <w:t>7.</w:t>
      </w:r>
      <w:r w:rsidRPr="005E2996">
        <w:rPr>
          <w:noProof/>
        </w:rPr>
        <w:tab/>
        <w:t xml:space="preserve">Gurevitch, J., Fox, G. A., Wardle, G. M., Inderjit &amp; Taub, D. Emergent insights from the synthesis of conceptual frameworks for biological invasions. </w:t>
      </w:r>
      <w:r w:rsidRPr="005E2996">
        <w:rPr>
          <w:i/>
          <w:iCs/>
          <w:noProof/>
        </w:rPr>
        <w:t>Ecol. Lett.</w:t>
      </w:r>
      <w:r w:rsidRPr="005E2996">
        <w:rPr>
          <w:noProof/>
        </w:rPr>
        <w:t xml:space="preserve"> </w:t>
      </w:r>
      <w:r w:rsidRPr="005E2996">
        <w:rPr>
          <w:b/>
          <w:bCs/>
          <w:noProof/>
        </w:rPr>
        <w:t>14</w:t>
      </w:r>
      <w:r w:rsidRPr="005E2996">
        <w:rPr>
          <w:noProof/>
        </w:rPr>
        <w:t>, 407–418 (2011).</w:t>
      </w:r>
    </w:p>
    <w:p w14:paraId="5A22981C" w14:textId="77777777" w:rsidR="005E2996" w:rsidRPr="005E2996" w:rsidRDefault="005E2996" w:rsidP="005E2996">
      <w:pPr>
        <w:widowControl w:val="0"/>
        <w:autoSpaceDE w:val="0"/>
        <w:autoSpaceDN w:val="0"/>
        <w:adjustRightInd w:val="0"/>
        <w:ind w:left="640" w:hanging="640"/>
        <w:rPr>
          <w:noProof/>
        </w:rPr>
      </w:pPr>
      <w:r w:rsidRPr="005E2996">
        <w:rPr>
          <w:noProof/>
        </w:rPr>
        <w:t>8.</w:t>
      </w:r>
      <w:r w:rsidRPr="005E2996">
        <w:rPr>
          <w:noProof/>
        </w:rPr>
        <w:tab/>
        <w:t xml:space="preserve">Borer, E. T. </w:t>
      </w:r>
      <w:r w:rsidRPr="005E2996">
        <w:rPr>
          <w:i/>
          <w:iCs/>
          <w:noProof/>
        </w:rPr>
        <w:t>et al.</w:t>
      </w:r>
      <w:r w:rsidRPr="005E2996">
        <w:rPr>
          <w:noProof/>
        </w:rPr>
        <w:t xml:space="preserve"> Finding generality in ecology: A model for globally distributed experiments. </w:t>
      </w:r>
      <w:r w:rsidRPr="005E2996">
        <w:rPr>
          <w:i/>
          <w:iCs/>
          <w:noProof/>
        </w:rPr>
        <w:t>Methods Ecol. Evol.</w:t>
      </w:r>
      <w:r w:rsidRPr="005E2996">
        <w:rPr>
          <w:noProof/>
        </w:rPr>
        <w:t xml:space="preserve"> </w:t>
      </w:r>
      <w:r w:rsidRPr="005E2996">
        <w:rPr>
          <w:b/>
          <w:bCs/>
          <w:noProof/>
        </w:rPr>
        <w:t>5</w:t>
      </w:r>
      <w:r w:rsidRPr="005E2996">
        <w:rPr>
          <w:noProof/>
        </w:rPr>
        <w:t>, 65–73 (2014).</w:t>
      </w:r>
    </w:p>
    <w:p w14:paraId="7C325B3C" w14:textId="77777777" w:rsidR="005E2996" w:rsidRPr="005E2996" w:rsidRDefault="005E2996" w:rsidP="005E2996">
      <w:pPr>
        <w:widowControl w:val="0"/>
        <w:autoSpaceDE w:val="0"/>
        <w:autoSpaceDN w:val="0"/>
        <w:adjustRightInd w:val="0"/>
        <w:ind w:left="640" w:hanging="640"/>
        <w:rPr>
          <w:noProof/>
        </w:rPr>
      </w:pPr>
      <w:r w:rsidRPr="005E2996">
        <w:rPr>
          <w:noProof/>
        </w:rPr>
        <w:t>9.</w:t>
      </w:r>
      <w:r w:rsidRPr="005E2996">
        <w:rPr>
          <w:noProof/>
        </w:rPr>
        <w:tab/>
        <w:t xml:space="preserve">Gurevitch, J., Koricheva, J., Nakagawa, S. &amp; Stewart, G. Meta-analysis and the science of research synthesis. </w:t>
      </w:r>
      <w:r w:rsidRPr="005E2996">
        <w:rPr>
          <w:i/>
          <w:iCs/>
          <w:noProof/>
        </w:rPr>
        <w:t>Nature</w:t>
      </w:r>
      <w:r w:rsidRPr="005E2996">
        <w:rPr>
          <w:noProof/>
        </w:rPr>
        <w:t xml:space="preserve"> </w:t>
      </w:r>
      <w:r w:rsidRPr="005E2996">
        <w:rPr>
          <w:b/>
          <w:bCs/>
          <w:noProof/>
        </w:rPr>
        <w:t>555</w:t>
      </w:r>
      <w:r w:rsidRPr="005E2996">
        <w:rPr>
          <w:noProof/>
        </w:rPr>
        <w:t>, 175–182 (2018).</w:t>
      </w:r>
    </w:p>
    <w:p w14:paraId="32E310AC" w14:textId="77777777" w:rsidR="005E2996" w:rsidRPr="005E2996" w:rsidRDefault="005E2996" w:rsidP="005E2996">
      <w:pPr>
        <w:widowControl w:val="0"/>
        <w:autoSpaceDE w:val="0"/>
        <w:autoSpaceDN w:val="0"/>
        <w:adjustRightInd w:val="0"/>
        <w:ind w:left="640" w:hanging="640"/>
        <w:rPr>
          <w:noProof/>
        </w:rPr>
      </w:pPr>
      <w:r w:rsidRPr="005E2996">
        <w:rPr>
          <w:noProof/>
        </w:rPr>
        <w:t>10.</w:t>
      </w:r>
      <w:r w:rsidRPr="005E2996">
        <w:rPr>
          <w:noProof/>
        </w:rPr>
        <w:tab/>
        <w:t xml:space="preserve">Anderson, S. C. </w:t>
      </w:r>
      <w:r w:rsidRPr="005E2996">
        <w:rPr>
          <w:i/>
          <w:iCs/>
          <w:noProof/>
        </w:rPr>
        <w:t>et al.</w:t>
      </w:r>
      <w:r w:rsidRPr="005E2996">
        <w:rPr>
          <w:noProof/>
        </w:rPr>
        <w:t xml:space="preserve"> Trends in ecology and conservation over eight decades. </w:t>
      </w:r>
      <w:r w:rsidRPr="005E2996">
        <w:rPr>
          <w:i/>
          <w:iCs/>
          <w:noProof/>
        </w:rPr>
        <w:t>Front. Ecol. Environ.</w:t>
      </w:r>
      <w:r w:rsidRPr="005E2996">
        <w:rPr>
          <w:noProof/>
        </w:rPr>
        <w:t xml:space="preserve"> </w:t>
      </w:r>
      <w:r w:rsidRPr="005E2996">
        <w:rPr>
          <w:b/>
          <w:bCs/>
          <w:noProof/>
        </w:rPr>
        <w:t>19</w:t>
      </w:r>
      <w:r w:rsidRPr="005E2996">
        <w:rPr>
          <w:noProof/>
        </w:rPr>
        <w:t>, 274–282 (2021).</w:t>
      </w:r>
    </w:p>
    <w:p w14:paraId="4C036456" w14:textId="77777777" w:rsidR="005E2996" w:rsidRPr="005E2996" w:rsidRDefault="005E2996" w:rsidP="005E2996">
      <w:pPr>
        <w:widowControl w:val="0"/>
        <w:autoSpaceDE w:val="0"/>
        <w:autoSpaceDN w:val="0"/>
        <w:adjustRightInd w:val="0"/>
        <w:ind w:left="640" w:hanging="640"/>
        <w:rPr>
          <w:noProof/>
        </w:rPr>
      </w:pPr>
      <w:r w:rsidRPr="005E2996">
        <w:rPr>
          <w:noProof/>
        </w:rPr>
        <w:t>11.</w:t>
      </w:r>
      <w:r w:rsidRPr="005E2996">
        <w:rPr>
          <w:noProof/>
        </w:rPr>
        <w:tab/>
        <w:t xml:space="preserve">Kneale, D., Thomas, J., O’Mara-Eves, A. &amp; Wiggins, R. How can additional secondary data analysis of observational data enhance the generalisability of meta-analytic evidence for local public health decision making? </w:t>
      </w:r>
      <w:r w:rsidRPr="005E2996">
        <w:rPr>
          <w:i/>
          <w:iCs/>
          <w:noProof/>
        </w:rPr>
        <w:t>Res. Synth. Methods</w:t>
      </w:r>
      <w:r w:rsidRPr="005E2996">
        <w:rPr>
          <w:noProof/>
        </w:rPr>
        <w:t xml:space="preserve"> </w:t>
      </w:r>
      <w:r w:rsidRPr="005E2996">
        <w:rPr>
          <w:b/>
          <w:bCs/>
          <w:noProof/>
        </w:rPr>
        <w:t>10</w:t>
      </w:r>
      <w:r w:rsidRPr="005E2996">
        <w:rPr>
          <w:noProof/>
        </w:rPr>
        <w:t>, 44–56 (2019).</w:t>
      </w:r>
    </w:p>
    <w:p w14:paraId="392D0684" w14:textId="77777777" w:rsidR="005E2996" w:rsidRPr="005E2996" w:rsidRDefault="005E2996" w:rsidP="005E2996">
      <w:pPr>
        <w:widowControl w:val="0"/>
        <w:autoSpaceDE w:val="0"/>
        <w:autoSpaceDN w:val="0"/>
        <w:adjustRightInd w:val="0"/>
        <w:ind w:left="640" w:hanging="640"/>
        <w:rPr>
          <w:noProof/>
        </w:rPr>
      </w:pPr>
      <w:r w:rsidRPr="005E2996">
        <w:rPr>
          <w:noProof/>
        </w:rPr>
        <w:t>12.</w:t>
      </w:r>
      <w:r w:rsidRPr="005E2996">
        <w:rPr>
          <w:noProof/>
        </w:rPr>
        <w:tab/>
        <w:t xml:space="preserve">Aguinis, H., Pierce, C. A., Bosco, F. A., Dalton, D. R. &amp; Dalton, C. M. Debunking myths and urban legends about meta-analysis. </w:t>
      </w:r>
      <w:r w:rsidRPr="005E2996">
        <w:rPr>
          <w:i/>
          <w:iCs/>
          <w:noProof/>
        </w:rPr>
        <w:t>Organ. Res. Methods</w:t>
      </w:r>
      <w:r w:rsidRPr="005E2996">
        <w:rPr>
          <w:noProof/>
        </w:rPr>
        <w:t xml:space="preserve"> </w:t>
      </w:r>
      <w:r w:rsidRPr="005E2996">
        <w:rPr>
          <w:b/>
          <w:bCs/>
          <w:noProof/>
        </w:rPr>
        <w:t>14</w:t>
      </w:r>
      <w:r w:rsidRPr="005E2996">
        <w:rPr>
          <w:noProof/>
        </w:rPr>
        <w:t>, 306–331 (2011).</w:t>
      </w:r>
    </w:p>
    <w:p w14:paraId="0F5FD68A" w14:textId="77777777" w:rsidR="005E2996" w:rsidRPr="005E2996" w:rsidRDefault="005E2996" w:rsidP="005E2996">
      <w:pPr>
        <w:widowControl w:val="0"/>
        <w:autoSpaceDE w:val="0"/>
        <w:autoSpaceDN w:val="0"/>
        <w:adjustRightInd w:val="0"/>
        <w:ind w:left="640" w:hanging="640"/>
        <w:rPr>
          <w:noProof/>
        </w:rPr>
      </w:pPr>
      <w:r w:rsidRPr="005E2996">
        <w:rPr>
          <w:noProof/>
        </w:rPr>
        <w:lastRenderedPageBreak/>
        <w:t>13.</w:t>
      </w:r>
      <w:r w:rsidRPr="005E2996">
        <w:rPr>
          <w:noProof/>
        </w:rPr>
        <w:tab/>
        <w:t xml:space="preserve">Polit, D. F. &amp; Beck, C. T. Generalization in quantitative and qualitative research: Myths and strategies. </w:t>
      </w:r>
      <w:r w:rsidRPr="005E2996">
        <w:rPr>
          <w:i/>
          <w:iCs/>
          <w:noProof/>
        </w:rPr>
        <w:t>Int. J. Nurs. Stud.</w:t>
      </w:r>
      <w:r w:rsidRPr="005E2996">
        <w:rPr>
          <w:noProof/>
        </w:rPr>
        <w:t xml:space="preserve"> </w:t>
      </w:r>
      <w:r w:rsidRPr="005E2996">
        <w:rPr>
          <w:b/>
          <w:bCs/>
          <w:noProof/>
        </w:rPr>
        <w:t>47</w:t>
      </w:r>
      <w:r w:rsidRPr="005E2996">
        <w:rPr>
          <w:noProof/>
        </w:rPr>
        <w:t>, 1451–1458 (2010).</w:t>
      </w:r>
    </w:p>
    <w:p w14:paraId="6AB624C7" w14:textId="77777777" w:rsidR="005E2996" w:rsidRPr="005E2996" w:rsidRDefault="005E2996" w:rsidP="005E2996">
      <w:pPr>
        <w:widowControl w:val="0"/>
        <w:autoSpaceDE w:val="0"/>
        <w:autoSpaceDN w:val="0"/>
        <w:adjustRightInd w:val="0"/>
        <w:ind w:left="640" w:hanging="640"/>
        <w:rPr>
          <w:noProof/>
        </w:rPr>
      </w:pPr>
      <w:r w:rsidRPr="005E2996">
        <w:rPr>
          <w:noProof/>
        </w:rPr>
        <w:t>14.</w:t>
      </w:r>
      <w:r w:rsidRPr="005E2996">
        <w:rPr>
          <w:noProof/>
        </w:rPr>
        <w:tab/>
        <w:t xml:space="preserve">Cardinale, B. J., Gonzalez, A., Allington, G. R. H. &amp; Loreau, M. Is local biodiversity declining or not? A summary of the debate over analysis of species richness time trends. </w:t>
      </w:r>
      <w:r w:rsidRPr="005E2996">
        <w:rPr>
          <w:i/>
          <w:iCs/>
          <w:noProof/>
        </w:rPr>
        <w:t>Biol. Conserv.</w:t>
      </w:r>
      <w:r w:rsidRPr="005E2996">
        <w:rPr>
          <w:noProof/>
        </w:rPr>
        <w:t xml:space="preserve"> </w:t>
      </w:r>
      <w:r w:rsidRPr="005E2996">
        <w:rPr>
          <w:b/>
          <w:bCs/>
          <w:noProof/>
        </w:rPr>
        <w:t>219</w:t>
      </w:r>
      <w:r w:rsidRPr="005E2996">
        <w:rPr>
          <w:noProof/>
        </w:rPr>
        <w:t>, 175–183 (2018).</w:t>
      </w:r>
    </w:p>
    <w:p w14:paraId="68ADCC6B" w14:textId="77777777" w:rsidR="005E2996" w:rsidRPr="005E2996" w:rsidRDefault="005E2996" w:rsidP="005E2996">
      <w:pPr>
        <w:widowControl w:val="0"/>
        <w:autoSpaceDE w:val="0"/>
        <w:autoSpaceDN w:val="0"/>
        <w:adjustRightInd w:val="0"/>
        <w:ind w:left="640" w:hanging="640"/>
        <w:rPr>
          <w:noProof/>
        </w:rPr>
      </w:pPr>
      <w:r w:rsidRPr="005E2996">
        <w:rPr>
          <w:noProof/>
        </w:rPr>
        <w:t>15.</w:t>
      </w:r>
      <w:r w:rsidRPr="005E2996">
        <w:rPr>
          <w:noProof/>
        </w:rPr>
        <w:tab/>
        <w:t xml:space="preserve">Lundberg, I., Johnson, R. &amp; Stewart, B. M. What Is Your Estimand? Defining the Target Quantity Connects Statistical Evidence to Theory. </w:t>
      </w:r>
      <w:r w:rsidRPr="005E2996">
        <w:rPr>
          <w:i/>
          <w:iCs/>
          <w:noProof/>
        </w:rPr>
        <w:t>Am. Sociol. Rev.</w:t>
      </w:r>
      <w:r w:rsidRPr="005E2996">
        <w:rPr>
          <w:noProof/>
        </w:rPr>
        <w:t xml:space="preserve"> </w:t>
      </w:r>
      <w:r w:rsidRPr="005E2996">
        <w:rPr>
          <w:b/>
          <w:bCs/>
          <w:noProof/>
        </w:rPr>
        <w:t>86</w:t>
      </w:r>
      <w:r w:rsidRPr="005E2996">
        <w:rPr>
          <w:noProof/>
        </w:rPr>
        <w:t>, 532–565 (2021).</w:t>
      </w:r>
    </w:p>
    <w:p w14:paraId="6E8814D0" w14:textId="77777777" w:rsidR="005E2996" w:rsidRPr="005E2996" w:rsidRDefault="005E2996" w:rsidP="005E2996">
      <w:pPr>
        <w:widowControl w:val="0"/>
        <w:autoSpaceDE w:val="0"/>
        <w:autoSpaceDN w:val="0"/>
        <w:adjustRightInd w:val="0"/>
        <w:ind w:left="640" w:hanging="640"/>
        <w:rPr>
          <w:noProof/>
        </w:rPr>
      </w:pPr>
      <w:r w:rsidRPr="005E2996">
        <w:rPr>
          <w:noProof/>
        </w:rPr>
        <w:t>16.</w:t>
      </w:r>
      <w:r w:rsidRPr="005E2996">
        <w:rPr>
          <w:noProof/>
        </w:rPr>
        <w:tab/>
        <w:t xml:space="preserve">Lawrance, R. </w:t>
      </w:r>
      <w:r w:rsidRPr="005E2996">
        <w:rPr>
          <w:i/>
          <w:iCs/>
          <w:noProof/>
        </w:rPr>
        <w:t>et al.</w:t>
      </w:r>
      <w:r w:rsidRPr="005E2996">
        <w:rPr>
          <w:noProof/>
        </w:rPr>
        <w:t xml:space="preserve"> What is an estimand &amp; how does it relate to quantifying the effect of treatment on patient-reported quality of life outcomes in clinical trials? </w:t>
      </w:r>
      <w:r w:rsidRPr="005E2996">
        <w:rPr>
          <w:i/>
          <w:iCs/>
          <w:noProof/>
        </w:rPr>
        <w:t>J. Patient-Reported Outcomes</w:t>
      </w:r>
      <w:r w:rsidRPr="005E2996">
        <w:rPr>
          <w:noProof/>
        </w:rPr>
        <w:t xml:space="preserve"> </w:t>
      </w:r>
      <w:r w:rsidRPr="005E2996">
        <w:rPr>
          <w:b/>
          <w:bCs/>
          <w:noProof/>
        </w:rPr>
        <w:t>4</w:t>
      </w:r>
      <w:r w:rsidRPr="005E2996">
        <w:rPr>
          <w:noProof/>
        </w:rPr>
        <w:t>, (2020).</w:t>
      </w:r>
    </w:p>
    <w:p w14:paraId="759357A3" w14:textId="77777777" w:rsidR="005E2996" w:rsidRPr="005E2996" w:rsidRDefault="005E2996" w:rsidP="005E2996">
      <w:pPr>
        <w:widowControl w:val="0"/>
        <w:autoSpaceDE w:val="0"/>
        <w:autoSpaceDN w:val="0"/>
        <w:adjustRightInd w:val="0"/>
        <w:ind w:left="640" w:hanging="640"/>
        <w:rPr>
          <w:noProof/>
        </w:rPr>
      </w:pPr>
      <w:r w:rsidRPr="005E2996">
        <w:rPr>
          <w:noProof/>
        </w:rPr>
        <w:t>17.</w:t>
      </w:r>
      <w:r w:rsidRPr="005E2996">
        <w:rPr>
          <w:noProof/>
        </w:rPr>
        <w:tab/>
        <w:t xml:space="preserve">Findley, M. G., Kikuta, K. &amp; Denly, M. External validity. </w:t>
      </w:r>
      <w:r w:rsidRPr="005E2996">
        <w:rPr>
          <w:i/>
          <w:iCs/>
          <w:noProof/>
        </w:rPr>
        <w:t>Annu. Rev. ofPolitical Sci.</w:t>
      </w:r>
      <w:r w:rsidRPr="005E2996">
        <w:rPr>
          <w:noProof/>
        </w:rPr>
        <w:t xml:space="preserve"> </w:t>
      </w:r>
      <w:r w:rsidRPr="005E2996">
        <w:rPr>
          <w:b/>
          <w:bCs/>
          <w:noProof/>
        </w:rPr>
        <w:t>24</w:t>
      </w:r>
      <w:r w:rsidRPr="005E2996">
        <w:rPr>
          <w:noProof/>
        </w:rPr>
        <w:t>, 365–393 (2021).</w:t>
      </w:r>
    </w:p>
    <w:p w14:paraId="3095ED98" w14:textId="77777777" w:rsidR="005E2996" w:rsidRPr="005E2996" w:rsidRDefault="005E2996" w:rsidP="005E2996">
      <w:pPr>
        <w:widowControl w:val="0"/>
        <w:autoSpaceDE w:val="0"/>
        <w:autoSpaceDN w:val="0"/>
        <w:adjustRightInd w:val="0"/>
        <w:ind w:left="640" w:hanging="640"/>
        <w:rPr>
          <w:noProof/>
        </w:rPr>
      </w:pPr>
      <w:r w:rsidRPr="005E2996">
        <w:rPr>
          <w:noProof/>
        </w:rPr>
        <w:t>18.</w:t>
      </w:r>
      <w:r w:rsidRPr="005E2996">
        <w:rPr>
          <w:noProof/>
        </w:rPr>
        <w:tab/>
        <w:t xml:space="preserve">Pearl, J. &amp; Bareinboim, E. External validity: From do-calculus to transportability across populations. </w:t>
      </w:r>
      <w:r w:rsidRPr="005E2996">
        <w:rPr>
          <w:i/>
          <w:iCs/>
          <w:noProof/>
        </w:rPr>
        <w:t>Stat. Sci.</w:t>
      </w:r>
      <w:r w:rsidRPr="005E2996">
        <w:rPr>
          <w:noProof/>
        </w:rPr>
        <w:t xml:space="preserve"> </w:t>
      </w:r>
      <w:r w:rsidRPr="005E2996">
        <w:rPr>
          <w:b/>
          <w:bCs/>
          <w:noProof/>
        </w:rPr>
        <w:t>29</w:t>
      </w:r>
      <w:r w:rsidRPr="005E2996">
        <w:rPr>
          <w:noProof/>
        </w:rPr>
        <w:t>, 579–595 (2014).</w:t>
      </w:r>
    </w:p>
    <w:p w14:paraId="02C8B0EC" w14:textId="77777777" w:rsidR="005E2996" w:rsidRPr="005E2996" w:rsidRDefault="005E2996" w:rsidP="005E2996">
      <w:pPr>
        <w:widowControl w:val="0"/>
        <w:autoSpaceDE w:val="0"/>
        <w:autoSpaceDN w:val="0"/>
        <w:adjustRightInd w:val="0"/>
        <w:ind w:left="640" w:hanging="640"/>
        <w:rPr>
          <w:noProof/>
        </w:rPr>
      </w:pPr>
      <w:r w:rsidRPr="005E2996">
        <w:rPr>
          <w:noProof/>
        </w:rPr>
        <w:t>19.</w:t>
      </w:r>
      <w:r w:rsidRPr="005E2996">
        <w:rPr>
          <w:noProof/>
        </w:rPr>
        <w:tab/>
        <w:t xml:space="preserve">Westreich, D., Edwards, J. K., Lesko, C. R., Cole, S. R. &amp; Stuart, E. A. Target Validity and the Hierarchy of Study Designs. </w:t>
      </w:r>
      <w:r w:rsidRPr="005E2996">
        <w:rPr>
          <w:i/>
          <w:iCs/>
          <w:noProof/>
        </w:rPr>
        <w:t>Am. J. Epidemiol.</w:t>
      </w:r>
      <w:r w:rsidRPr="005E2996">
        <w:rPr>
          <w:noProof/>
        </w:rPr>
        <w:t xml:space="preserve"> </w:t>
      </w:r>
      <w:r w:rsidRPr="005E2996">
        <w:rPr>
          <w:b/>
          <w:bCs/>
          <w:noProof/>
        </w:rPr>
        <w:t>188</w:t>
      </w:r>
      <w:r w:rsidRPr="005E2996">
        <w:rPr>
          <w:noProof/>
        </w:rPr>
        <w:t>, 438–443 (2019).</w:t>
      </w:r>
    </w:p>
    <w:p w14:paraId="6837F2E6" w14:textId="77777777" w:rsidR="005E2996" w:rsidRPr="005E2996" w:rsidRDefault="005E2996" w:rsidP="005E2996">
      <w:pPr>
        <w:widowControl w:val="0"/>
        <w:autoSpaceDE w:val="0"/>
        <w:autoSpaceDN w:val="0"/>
        <w:adjustRightInd w:val="0"/>
        <w:ind w:left="640" w:hanging="640"/>
        <w:rPr>
          <w:noProof/>
        </w:rPr>
      </w:pPr>
      <w:r w:rsidRPr="005E2996">
        <w:rPr>
          <w:noProof/>
        </w:rPr>
        <w:t>20.</w:t>
      </w:r>
      <w:r w:rsidRPr="005E2996">
        <w:rPr>
          <w:noProof/>
        </w:rPr>
        <w:tab/>
        <w:t xml:space="preserve">Carpenter, C. J. Meta-analyzing apples and oranges: How to make applesauce instead of fruit salad. </w:t>
      </w:r>
      <w:r w:rsidRPr="005E2996">
        <w:rPr>
          <w:i/>
          <w:iCs/>
          <w:noProof/>
        </w:rPr>
        <w:t>Hum. Commun. Res.</w:t>
      </w:r>
      <w:r w:rsidRPr="005E2996">
        <w:rPr>
          <w:noProof/>
        </w:rPr>
        <w:t xml:space="preserve"> </w:t>
      </w:r>
      <w:r w:rsidRPr="005E2996">
        <w:rPr>
          <w:b/>
          <w:bCs/>
          <w:noProof/>
        </w:rPr>
        <w:t>46</w:t>
      </w:r>
      <w:r w:rsidRPr="005E2996">
        <w:rPr>
          <w:noProof/>
        </w:rPr>
        <w:t>, 322–333 (2020).</w:t>
      </w:r>
    </w:p>
    <w:p w14:paraId="456E3EFE" w14:textId="77777777" w:rsidR="005E2996" w:rsidRPr="005E2996" w:rsidRDefault="005E2996" w:rsidP="005E2996">
      <w:pPr>
        <w:widowControl w:val="0"/>
        <w:autoSpaceDE w:val="0"/>
        <w:autoSpaceDN w:val="0"/>
        <w:adjustRightInd w:val="0"/>
        <w:ind w:left="640" w:hanging="640"/>
        <w:rPr>
          <w:noProof/>
        </w:rPr>
      </w:pPr>
      <w:r w:rsidRPr="005E2996">
        <w:rPr>
          <w:noProof/>
        </w:rPr>
        <w:t>21.</w:t>
      </w:r>
      <w:r w:rsidRPr="005E2996">
        <w:rPr>
          <w:noProof/>
        </w:rPr>
        <w:tab/>
        <w:t xml:space="preserve">Rohrer, J. M. &amp; Arslan, R. C. Precise Answers to Vague Questions: Issues With Interactions. </w:t>
      </w:r>
      <w:r w:rsidRPr="005E2996">
        <w:rPr>
          <w:i/>
          <w:iCs/>
          <w:noProof/>
        </w:rPr>
        <w:t>Adv. Methods Pract. Psychol. Sci.</w:t>
      </w:r>
      <w:r w:rsidRPr="005E2996">
        <w:rPr>
          <w:noProof/>
        </w:rPr>
        <w:t xml:space="preserve"> </w:t>
      </w:r>
      <w:r w:rsidRPr="005E2996">
        <w:rPr>
          <w:b/>
          <w:bCs/>
          <w:noProof/>
        </w:rPr>
        <w:t>4</w:t>
      </w:r>
      <w:r w:rsidRPr="005E2996">
        <w:rPr>
          <w:noProof/>
        </w:rPr>
        <w:t>, (2021).</w:t>
      </w:r>
    </w:p>
    <w:p w14:paraId="31737429" w14:textId="77777777" w:rsidR="005E2996" w:rsidRPr="005E2996" w:rsidRDefault="005E2996" w:rsidP="005E2996">
      <w:pPr>
        <w:widowControl w:val="0"/>
        <w:autoSpaceDE w:val="0"/>
        <w:autoSpaceDN w:val="0"/>
        <w:adjustRightInd w:val="0"/>
        <w:ind w:left="640" w:hanging="640"/>
        <w:rPr>
          <w:noProof/>
        </w:rPr>
      </w:pPr>
      <w:r w:rsidRPr="005E2996">
        <w:rPr>
          <w:noProof/>
        </w:rPr>
        <w:t>22.</w:t>
      </w:r>
      <w:r w:rsidRPr="005E2996">
        <w:rPr>
          <w:noProof/>
        </w:rPr>
        <w:tab/>
        <w:t xml:space="preserve">Breslow, N. E. &amp; Clayton, D. G. Approximate Inference in Generalized Linear Mixed Models. </w:t>
      </w:r>
      <w:r w:rsidRPr="005E2996">
        <w:rPr>
          <w:i/>
          <w:iCs/>
          <w:noProof/>
        </w:rPr>
        <w:t>J. Am. Stat. Assoc.</w:t>
      </w:r>
      <w:r w:rsidRPr="005E2996">
        <w:rPr>
          <w:noProof/>
        </w:rPr>
        <w:t xml:space="preserve"> </w:t>
      </w:r>
      <w:r w:rsidRPr="005E2996">
        <w:rPr>
          <w:b/>
          <w:bCs/>
          <w:noProof/>
        </w:rPr>
        <w:t>88</w:t>
      </w:r>
      <w:r w:rsidRPr="005E2996">
        <w:rPr>
          <w:noProof/>
        </w:rPr>
        <w:t>, 9 (1993).</w:t>
      </w:r>
    </w:p>
    <w:p w14:paraId="353C1339" w14:textId="77777777" w:rsidR="005E2996" w:rsidRPr="005E2996" w:rsidRDefault="005E2996" w:rsidP="005E2996">
      <w:pPr>
        <w:widowControl w:val="0"/>
        <w:autoSpaceDE w:val="0"/>
        <w:autoSpaceDN w:val="0"/>
        <w:adjustRightInd w:val="0"/>
        <w:ind w:left="640" w:hanging="640"/>
        <w:rPr>
          <w:noProof/>
        </w:rPr>
      </w:pPr>
      <w:r w:rsidRPr="005E2996">
        <w:rPr>
          <w:noProof/>
        </w:rPr>
        <w:t>23.</w:t>
      </w:r>
      <w:r w:rsidRPr="005E2996">
        <w:rPr>
          <w:noProof/>
        </w:rPr>
        <w:tab/>
        <w:t xml:space="preserve">Koricheva, J. &amp; Gurevitch, J. Uses and misuses of meta-analysis in plant ecology. </w:t>
      </w:r>
      <w:r w:rsidRPr="005E2996">
        <w:rPr>
          <w:i/>
          <w:iCs/>
          <w:noProof/>
        </w:rPr>
        <w:t>J. Ecol.</w:t>
      </w:r>
      <w:r w:rsidRPr="005E2996">
        <w:rPr>
          <w:noProof/>
        </w:rPr>
        <w:t xml:space="preserve"> </w:t>
      </w:r>
      <w:r w:rsidRPr="005E2996">
        <w:rPr>
          <w:b/>
          <w:bCs/>
          <w:noProof/>
        </w:rPr>
        <w:t>102</w:t>
      </w:r>
      <w:r w:rsidRPr="005E2996">
        <w:rPr>
          <w:noProof/>
        </w:rPr>
        <w:t>, 828–844 (2014).</w:t>
      </w:r>
    </w:p>
    <w:p w14:paraId="5CBA52BD" w14:textId="77777777" w:rsidR="005E2996" w:rsidRPr="005E2996" w:rsidRDefault="005E2996" w:rsidP="005E2996">
      <w:pPr>
        <w:widowControl w:val="0"/>
        <w:autoSpaceDE w:val="0"/>
        <w:autoSpaceDN w:val="0"/>
        <w:adjustRightInd w:val="0"/>
        <w:ind w:left="640" w:hanging="640"/>
        <w:rPr>
          <w:noProof/>
        </w:rPr>
      </w:pPr>
      <w:r w:rsidRPr="005E2996">
        <w:rPr>
          <w:noProof/>
        </w:rPr>
        <w:t>24.</w:t>
      </w:r>
      <w:r w:rsidRPr="005E2996">
        <w:rPr>
          <w:noProof/>
        </w:rPr>
        <w:tab/>
        <w:t xml:space="preserve">Gonzalez, A. </w:t>
      </w:r>
      <w:r w:rsidRPr="005E2996">
        <w:rPr>
          <w:i/>
          <w:iCs/>
          <w:noProof/>
        </w:rPr>
        <w:t>et al.</w:t>
      </w:r>
      <w:r w:rsidRPr="005E2996">
        <w:rPr>
          <w:noProof/>
        </w:rPr>
        <w:t xml:space="preserve"> Estimating local biodiversity change: A critique of papers claiming no net loss of local diversity. </w:t>
      </w:r>
      <w:r w:rsidRPr="005E2996">
        <w:rPr>
          <w:i/>
          <w:iCs/>
          <w:noProof/>
        </w:rPr>
        <w:t>Ecology</w:t>
      </w:r>
      <w:r w:rsidRPr="005E2996">
        <w:rPr>
          <w:noProof/>
        </w:rPr>
        <w:t xml:space="preserve"> </w:t>
      </w:r>
      <w:r w:rsidRPr="005E2996">
        <w:rPr>
          <w:b/>
          <w:bCs/>
          <w:noProof/>
        </w:rPr>
        <w:t>97</w:t>
      </w:r>
      <w:r w:rsidRPr="005E2996">
        <w:rPr>
          <w:noProof/>
        </w:rPr>
        <w:t>, 1949–1960 (2016).</w:t>
      </w:r>
    </w:p>
    <w:p w14:paraId="7304FF1D" w14:textId="77777777" w:rsidR="005E2996" w:rsidRPr="005E2996" w:rsidRDefault="005E2996" w:rsidP="005E2996">
      <w:pPr>
        <w:widowControl w:val="0"/>
        <w:autoSpaceDE w:val="0"/>
        <w:autoSpaceDN w:val="0"/>
        <w:adjustRightInd w:val="0"/>
        <w:ind w:left="640" w:hanging="640"/>
        <w:rPr>
          <w:noProof/>
        </w:rPr>
      </w:pPr>
      <w:r w:rsidRPr="005E2996">
        <w:rPr>
          <w:noProof/>
        </w:rPr>
        <w:t>25.</w:t>
      </w:r>
      <w:r w:rsidRPr="005E2996">
        <w:rPr>
          <w:noProof/>
        </w:rPr>
        <w:tab/>
        <w:t xml:space="preserve">Konno, K. </w:t>
      </w:r>
      <w:r w:rsidRPr="005E2996">
        <w:rPr>
          <w:i/>
          <w:iCs/>
          <w:noProof/>
        </w:rPr>
        <w:t>et al.</w:t>
      </w:r>
      <w:r w:rsidRPr="005E2996">
        <w:rPr>
          <w:noProof/>
        </w:rPr>
        <w:t xml:space="preserve"> Ignoring non-English-language studies may bias ecological meta-analyses. </w:t>
      </w:r>
      <w:r w:rsidRPr="005E2996">
        <w:rPr>
          <w:i/>
          <w:iCs/>
          <w:noProof/>
        </w:rPr>
        <w:t>Ecol. Evol.</w:t>
      </w:r>
      <w:r w:rsidRPr="005E2996">
        <w:rPr>
          <w:noProof/>
        </w:rPr>
        <w:t xml:space="preserve"> </w:t>
      </w:r>
      <w:r w:rsidRPr="005E2996">
        <w:rPr>
          <w:b/>
          <w:bCs/>
          <w:noProof/>
        </w:rPr>
        <w:t>10</w:t>
      </w:r>
      <w:r w:rsidRPr="005E2996">
        <w:rPr>
          <w:noProof/>
        </w:rPr>
        <w:t>, 6373–6384 (2020).</w:t>
      </w:r>
    </w:p>
    <w:p w14:paraId="21BBEF4D" w14:textId="77777777" w:rsidR="005E2996" w:rsidRPr="005E2996" w:rsidRDefault="005E2996" w:rsidP="005E2996">
      <w:pPr>
        <w:widowControl w:val="0"/>
        <w:autoSpaceDE w:val="0"/>
        <w:autoSpaceDN w:val="0"/>
        <w:adjustRightInd w:val="0"/>
        <w:ind w:left="640" w:hanging="640"/>
        <w:rPr>
          <w:noProof/>
        </w:rPr>
      </w:pPr>
      <w:r w:rsidRPr="005E2996">
        <w:rPr>
          <w:noProof/>
        </w:rPr>
        <w:lastRenderedPageBreak/>
        <w:t>26.</w:t>
      </w:r>
      <w:r w:rsidRPr="005E2996">
        <w:rPr>
          <w:noProof/>
        </w:rPr>
        <w:tab/>
        <w:t xml:space="preserve">Nakagawa, S. </w:t>
      </w:r>
      <w:r w:rsidRPr="005E2996">
        <w:rPr>
          <w:i/>
          <w:iCs/>
          <w:noProof/>
        </w:rPr>
        <w:t>et al.</w:t>
      </w:r>
      <w:r w:rsidRPr="005E2996">
        <w:rPr>
          <w:noProof/>
        </w:rPr>
        <w:t xml:space="preserve"> Methods for testing publication bias in ecological and evolutionary meta-analyses. </w:t>
      </w:r>
      <w:r w:rsidRPr="005E2996">
        <w:rPr>
          <w:i/>
          <w:iCs/>
          <w:noProof/>
        </w:rPr>
        <w:t>Methods Ecol. Evol.</w:t>
      </w:r>
      <w:r w:rsidRPr="005E2996">
        <w:rPr>
          <w:noProof/>
        </w:rPr>
        <w:t xml:space="preserve"> </w:t>
      </w:r>
      <w:r w:rsidRPr="005E2996">
        <w:rPr>
          <w:b/>
          <w:bCs/>
          <w:noProof/>
        </w:rPr>
        <w:t>13</w:t>
      </w:r>
      <w:r w:rsidRPr="005E2996">
        <w:rPr>
          <w:noProof/>
        </w:rPr>
        <w:t>, 4–21 (2022).</w:t>
      </w:r>
    </w:p>
    <w:p w14:paraId="41D828E0" w14:textId="77777777" w:rsidR="005E2996" w:rsidRPr="005E2996" w:rsidRDefault="005E2996" w:rsidP="005E2996">
      <w:pPr>
        <w:widowControl w:val="0"/>
        <w:autoSpaceDE w:val="0"/>
        <w:autoSpaceDN w:val="0"/>
        <w:adjustRightInd w:val="0"/>
        <w:ind w:left="640" w:hanging="640"/>
        <w:rPr>
          <w:noProof/>
        </w:rPr>
      </w:pPr>
      <w:r w:rsidRPr="005E2996">
        <w:rPr>
          <w:noProof/>
        </w:rPr>
        <w:t>27.</w:t>
      </w:r>
      <w:r w:rsidRPr="005E2996">
        <w:rPr>
          <w:noProof/>
        </w:rPr>
        <w:tab/>
        <w:t xml:space="preserve">Rosenthal R. The file drawer problem and tolerance for null results. </w:t>
      </w:r>
      <w:r w:rsidRPr="005E2996">
        <w:rPr>
          <w:i/>
          <w:iCs/>
          <w:noProof/>
        </w:rPr>
        <w:t>Psychol. Bull.</w:t>
      </w:r>
      <w:r w:rsidRPr="005E2996">
        <w:rPr>
          <w:noProof/>
        </w:rPr>
        <w:t xml:space="preserve"> </w:t>
      </w:r>
      <w:r w:rsidRPr="005E2996">
        <w:rPr>
          <w:b/>
          <w:bCs/>
          <w:noProof/>
        </w:rPr>
        <w:t>86</w:t>
      </w:r>
      <w:r w:rsidRPr="005E2996">
        <w:rPr>
          <w:noProof/>
        </w:rPr>
        <w:t>, 638–641 (1979).</w:t>
      </w:r>
    </w:p>
    <w:p w14:paraId="1CA4F34B" w14:textId="77777777" w:rsidR="005E2996" w:rsidRPr="005E2996" w:rsidRDefault="005E2996" w:rsidP="005E2996">
      <w:pPr>
        <w:widowControl w:val="0"/>
        <w:autoSpaceDE w:val="0"/>
        <w:autoSpaceDN w:val="0"/>
        <w:adjustRightInd w:val="0"/>
        <w:ind w:left="640" w:hanging="640"/>
        <w:rPr>
          <w:noProof/>
        </w:rPr>
      </w:pPr>
      <w:r w:rsidRPr="005E2996">
        <w:rPr>
          <w:noProof/>
        </w:rPr>
        <w:t>28.</w:t>
      </w:r>
      <w:r w:rsidRPr="005E2996">
        <w:rPr>
          <w:noProof/>
        </w:rPr>
        <w:tab/>
        <w:t xml:space="preserve">Leung, B. </w:t>
      </w:r>
      <w:r w:rsidRPr="005E2996">
        <w:rPr>
          <w:i/>
          <w:iCs/>
          <w:noProof/>
        </w:rPr>
        <w:t>et al.</w:t>
      </w:r>
      <w:r w:rsidRPr="005E2996">
        <w:rPr>
          <w:noProof/>
        </w:rPr>
        <w:t xml:space="preserve"> Clustered versus catastrophic global vertebrate declines. </w:t>
      </w:r>
      <w:r w:rsidRPr="005E2996">
        <w:rPr>
          <w:i/>
          <w:iCs/>
          <w:noProof/>
        </w:rPr>
        <w:t>Nature</w:t>
      </w:r>
      <w:r w:rsidRPr="005E2996">
        <w:rPr>
          <w:noProof/>
        </w:rPr>
        <w:t xml:space="preserve"> </w:t>
      </w:r>
      <w:r w:rsidRPr="005E2996">
        <w:rPr>
          <w:b/>
          <w:bCs/>
          <w:noProof/>
        </w:rPr>
        <w:t>588</w:t>
      </w:r>
      <w:r w:rsidRPr="005E2996">
        <w:rPr>
          <w:noProof/>
        </w:rPr>
        <w:t>, 267–271 (2020).</w:t>
      </w:r>
    </w:p>
    <w:p w14:paraId="7F163685" w14:textId="77777777" w:rsidR="005E2996" w:rsidRPr="005E2996" w:rsidRDefault="005E2996" w:rsidP="005E2996">
      <w:pPr>
        <w:widowControl w:val="0"/>
        <w:autoSpaceDE w:val="0"/>
        <w:autoSpaceDN w:val="0"/>
        <w:adjustRightInd w:val="0"/>
        <w:ind w:left="640" w:hanging="640"/>
        <w:rPr>
          <w:noProof/>
        </w:rPr>
      </w:pPr>
      <w:r w:rsidRPr="005E2996">
        <w:rPr>
          <w:noProof/>
        </w:rPr>
        <w:t>29.</w:t>
      </w:r>
      <w:r w:rsidRPr="005E2996">
        <w:rPr>
          <w:noProof/>
        </w:rPr>
        <w:tab/>
        <w:t xml:space="preserve">Rothman, K. J., Gallacher, J. E. J. &amp; Hatch, E. E. Why representativeness should be avoided. </w:t>
      </w:r>
      <w:r w:rsidRPr="005E2996">
        <w:rPr>
          <w:i/>
          <w:iCs/>
          <w:noProof/>
        </w:rPr>
        <w:t>Int. J. Epidemiol.</w:t>
      </w:r>
      <w:r w:rsidRPr="005E2996">
        <w:rPr>
          <w:noProof/>
        </w:rPr>
        <w:t xml:space="preserve"> </w:t>
      </w:r>
      <w:r w:rsidRPr="005E2996">
        <w:rPr>
          <w:b/>
          <w:bCs/>
          <w:noProof/>
        </w:rPr>
        <w:t>42</w:t>
      </w:r>
      <w:r w:rsidRPr="005E2996">
        <w:rPr>
          <w:noProof/>
        </w:rPr>
        <w:t>, 1012–1014 (2013).</w:t>
      </w:r>
    </w:p>
    <w:p w14:paraId="123687F4" w14:textId="77777777" w:rsidR="005E2996" w:rsidRPr="005E2996" w:rsidRDefault="005E2996" w:rsidP="005E2996">
      <w:pPr>
        <w:widowControl w:val="0"/>
        <w:autoSpaceDE w:val="0"/>
        <w:autoSpaceDN w:val="0"/>
        <w:adjustRightInd w:val="0"/>
        <w:ind w:left="640" w:hanging="640"/>
        <w:rPr>
          <w:noProof/>
        </w:rPr>
      </w:pPr>
      <w:r w:rsidRPr="005E2996">
        <w:rPr>
          <w:noProof/>
        </w:rPr>
        <w:t>30.</w:t>
      </w:r>
      <w:r w:rsidRPr="005E2996">
        <w:rPr>
          <w:noProof/>
        </w:rPr>
        <w:tab/>
        <w:t xml:space="preserve">Spake, R. </w:t>
      </w:r>
      <w:r w:rsidRPr="005E2996">
        <w:rPr>
          <w:i/>
          <w:iCs/>
          <w:noProof/>
        </w:rPr>
        <w:t>et al.</w:t>
      </w:r>
      <w:r w:rsidRPr="005E2996">
        <w:rPr>
          <w:noProof/>
        </w:rPr>
        <w:t xml:space="preserve"> Implications of scale dependence for cross-study syntheses of biodiversity differences. </w:t>
      </w:r>
      <w:r w:rsidRPr="005E2996">
        <w:rPr>
          <w:i/>
          <w:iCs/>
          <w:noProof/>
        </w:rPr>
        <w:t>Ecol. Lett.</w:t>
      </w:r>
      <w:r w:rsidRPr="005E2996">
        <w:rPr>
          <w:noProof/>
        </w:rPr>
        <w:t xml:space="preserve"> </w:t>
      </w:r>
      <w:r w:rsidRPr="005E2996">
        <w:rPr>
          <w:b/>
          <w:bCs/>
          <w:noProof/>
        </w:rPr>
        <w:t>24</w:t>
      </w:r>
      <w:r w:rsidRPr="005E2996">
        <w:rPr>
          <w:noProof/>
        </w:rPr>
        <w:t>, 374–390 (2021).</w:t>
      </w:r>
    </w:p>
    <w:p w14:paraId="510A4407" w14:textId="77777777" w:rsidR="005E2996" w:rsidRPr="005E2996" w:rsidRDefault="005E2996" w:rsidP="005E2996">
      <w:pPr>
        <w:widowControl w:val="0"/>
        <w:autoSpaceDE w:val="0"/>
        <w:autoSpaceDN w:val="0"/>
        <w:adjustRightInd w:val="0"/>
        <w:ind w:left="640" w:hanging="640"/>
        <w:rPr>
          <w:noProof/>
        </w:rPr>
      </w:pPr>
      <w:r w:rsidRPr="005E2996">
        <w:rPr>
          <w:noProof/>
        </w:rPr>
        <w:t>31.</w:t>
      </w:r>
      <w:r w:rsidRPr="005E2996">
        <w:rPr>
          <w:noProof/>
        </w:rPr>
        <w:tab/>
        <w:t xml:space="preserve">Spake, R. &amp; Doncaster, C. P. Use of meta-analysis in forest biodiversity research: key challenges and considerations. </w:t>
      </w:r>
      <w:r w:rsidRPr="005E2996">
        <w:rPr>
          <w:i/>
          <w:iCs/>
          <w:noProof/>
        </w:rPr>
        <w:t>For. Ecol. Manage.</w:t>
      </w:r>
      <w:r w:rsidRPr="005E2996">
        <w:rPr>
          <w:noProof/>
        </w:rPr>
        <w:t xml:space="preserve"> </w:t>
      </w:r>
      <w:r w:rsidRPr="005E2996">
        <w:rPr>
          <w:b/>
          <w:bCs/>
          <w:noProof/>
        </w:rPr>
        <w:t>400</w:t>
      </w:r>
      <w:r w:rsidRPr="005E2996">
        <w:rPr>
          <w:noProof/>
        </w:rPr>
        <w:t>, 429–437 (2017).</w:t>
      </w:r>
    </w:p>
    <w:p w14:paraId="11E096B7" w14:textId="77777777" w:rsidR="005E2996" w:rsidRPr="005E2996" w:rsidRDefault="005E2996" w:rsidP="005E2996">
      <w:pPr>
        <w:widowControl w:val="0"/>
        <w:autoSpaceDE w:val="0"/>
        <w:autoSpaceDN w:val="0"/>
        <w:adjustRightInd w:val="0"/>
        <w:ind w:left="640" w:hanging="640"/>
        <w:rPr>
          <w:noProof/>
        </w:rPr>
      </w:pPr>
      <w:r w:rsidRPr="005E2996">
        <w:rPr>
          <w:noProof/>
        </w:rPr>
        <w:t>32.</w:t>
      </w:r>
      <w:r w:rsidRPr="005E2996">
        <w:rPr>
          <w:noProof/>
        </w:rPr>
        <w:tab/>
        <w:t xml:space="preserve">Christie, A. P. </w:t>
      </w:r>
      <w:r w:rsidRPr="005E2996">
        <w:rPr>
          <w:i/>
          <w:iCs/>
          <w:noProof/>
        </w:rPr>
        <w:t>et al.</w:t>
      </w:r>
      <w:r w:rsidRPr="005E2996">
        <w:rPr>
          <w:noProof/>
        </w:rPr>
        <w:t xml:space="preserve"> Simple study designs in ecology produce inaccurate estimates of biodiversity responses. </w:t>
      </w:r>
      <w:r w:rsidRPr="005E2996">
        <w:rPr>
          <w:i/>
          <w:iCs/>
          <w:noProof/>
        </w:rPr>
        <w:t>J. Appl. Ecol.</w:t>
      </w:r>
      <w:r w:rsidRPr="005E2996">
        <w:rPr>
          <w:noProof/>
        </w:rPr>
        <w:t xml:space="preserve"> </w:t>
      </w:r>
      <w:r w:rsidRPr="005E2996">
        <w:rPr>
          <w:b/>
          <w:bCs/>
          <w:noProof/>
        </w:rPr>
        <w:t>56</w:t>
      </w:r>
      <w:r w:rsidRPr="005E2996">
        <w:rPr>
          <w:noProof/>
        </w:rPr>
        <w:t>, 2742–2754 (2019).</w:t>
      </w:r>
    </w:p>
    <w:p w14:paraId="7002999C" w14:textId="77777777" w:rsidR="005E2996" w:rsidRPr="005E2996" w:rsidRDefault="005E2996" w:rsidP="005E2996">
      <w:pPr>
        <w:widowControl w:val="0"/>
        <w:autoSpaceDE w:val="0"/>
        <w:autoSpaceDN w:val="0"/>
        <w:adjustRightInd w:val="0"/>
        <w:ind w:left="640" w:hanging="640"/>
        <w:rPr>
          <w:noProof/>
        </w:rPr>
      </w:pPr>
      <w:r w:rsidRPr="005E2996">
        <w:rPr>
          <w:noProof/>
        </w:rPr>
        <w:t>33.</w:t>
      </w:r>
      <w:r w:rsidRPr="005E2996">
        <w:rPr>
          <w:noProof/>
        </w:rPr>
        <w:tab/>
        <w:t xml:space="preserve">Nakagawa, S., Noble, D. W. A., Senior, A. M. &amp; Lagisz, M. Meta-evaluation of meta-analysis: Ten appraisal questions for biologists. </w:t>
      </w:r>
      <w:r w:rsidRPr="005E2996">
        <w:rPr>
          <w:i/>
          <w:iCs/>
          <w:noProof/>
        </w:rPr>
        <w:t>BMC Biol.</w:t>
      </w:r>
      <w:r w:rsidRPr="005E2996">
        <w:rPr>
          <w:noProof/>
        </w:rPr>
        <w:t xml:space="preserve"> </w:t>
      </w:r>
      <w:r w:rsidRPr="005E2996">
        <w:rPr>
          <w:b/>
          <w:bCs/>
          <w:noProof/>
        </w:rPr>
        <w:t>15</w:t>
      </w:r>
      <w:r w:rsidRPr="005E2996">
        <w:rPr>
          <w:noProof/>
        </w:rPr>
        <w:t>, 1–14 (2017).</w:t>
      </w:r>
    </w:p>
    <w:p w14:paraId="2ECBD92E" w14:textId="77777777" w:rsidR="005E2996" w:rsidRPr="005E2996" w:rsidRDefault="005E2996" w:rsidP="005E2996">
      <w:pPr>
        <w:widowControl w:val="0"/>
        <w:autoSpaceDE w:val="0"/>
        <w:autoSpaceDN w:val="0"/>
        <w:adjustRightInd w:val="0"/>
        <w:ind w:left="640" w:hanging="640"/>
        <w:rPr>
          <w:noProof/>
        </w:rPr>
      </w:pPr>
      <w:r w:rsidRPr="005E2996">
        <w:rPr>
          <w:noProof/>
        </w:rPr>
        <w:t>34.</w:t>
      </w:r>
      <w:r w:rsidRPr="005E2996">
        <w:rPr>
          <w:noProof/>
        </w:rPr>
        <w:tab/>
        <w:t xml:space="preserve">Higgins, J. P. T. &amp; Thompson, S. G. Quantifying heterogeneity in a meta-analysis. </w:t>
      </w:r>
      <w:r w:rsidRPr="005E2996">
        <w:rPr>
          <w:i/>
          <w:iCs/>
          <w:noProof/>
        </w:rPr>
        <w:t>Stat. Med.</w:t>
      </w:r>
      <w:r w:rsidRPr="005E2996">
        <w:rPr>
          <w:noProof/>
        </w:rPr>
        <w:t xml:space="preserve"> </w:t>
      </w:r>
      <w:r w:rsidRPr="005E2996">
        <w:rPr>
          <w:b/>
          <w:bCs/>
          <w:noProof/>
        </w:rPr>
        <w:t>21</w:t>
      </w:r>
      <w:r w:rsidRPr="005E2996">
        <w:rPr>
          <w:noProof/>
        </w:rPr>
        <w:t>, 1539–1558 (2002).</w:t>
      </w:r>
    </w:p>
    <w:p w14:paraId="5D577594" w14:textId="77777777" w:rsidR="005E2996" w:rsidRPr="005E2996" w:rsidRDefault="005E2996" w:rsidP="005E2996">
      <w:pPr>
        <w:widowControl w:val="0"/>
        <w:autoSpaceDE w:val="0"/>
        <w:autoSpaceDN w:val="0"/>
        <w:adjustRightInd w:val="0"/>
        <w:ind w:left="640" w:hanging="640"/>
        <w:rPr>
          <w:noProof/>
        </w:rPr>
      </w:pPr>
      <w:r w:rsidRPr="005E2996">
        <w:rPr>
          <w:noProof/>
        </w:rPr>
        <w:t>35.</w:t>
      </w:r>
      <w:r w:rsidRPr="005E2996">
        <w:rPr>
          <w:noProof/>
        </w:rPr>
        <w:tab/>
        <w:t xml:space="preserve">Lorah, J. Effect size measures for multilevel models: definition, interpretation, and TIMSS example. </w:t>
      </w:r>
      <w:r w:rsidRPr="005E2996">
        <w:rPr>
          <w:i/>
          <w:iCs/>
          <w:noProof/>
        </w:rPr>
        <w:t>Large-Scale Assessments Educ.</w:t>
      </w:r>
      <w:r w:rsidRPr="005E2996">
        <w:rPr>
          <w:noProof/>
        </w:rPr>
        <w:t xml:space="preserve"> </w:t>
      </w:r>
      <w:r w:rsidRPr="005E2996">
        <w:rPr>
          <w:b/>
          <w:bCs/>
          <w:noProof/>
        </w:rPr>
        <w:t>6</w:t>
      </w:r>
      <w:r w:rsidRPr="005E2996">
        <w:rPr>
          <w:noProof/>
        </w:rPr>
        <w:t>, (2018).</w:t>
      </w:r>
    </w:p>
    <w:p w14:paraId="7F468D9F" w14:textId="77777777" w:rsidR="005E2996" w:rsidRPr="005E2996" w:rsidRDefault="005E2996" w:rsidP="005E2996">
      <w:pPr>
        <w:widowControl w:val="0"/>
        <w:autoSpaceDE w:val="0"/>
        <w:autoSpaceDN w:val="0"/>
        <w:adjustRightInd w:val="0"/>
        <w:ind w:left="640" w:hanging="640"/>
        <w:rPr>
          <w:noProof/>
        </w:rPr>
      </w:pPr>
      <w:r w:rsidRPr="005E2996">
        <w:rPr>
          <w:noProof/>
        </w:rPr>
        <w:t>36.</w:t>
      </w:r>
      <w:r w:rsidRPr="005E2996">
        <w:rPr>
          <w:noProof/>
        </w:rPr>
        <w:tab/>
        <w:t xml:space="preserve">Schielzeth, H. &amp; Nakagawa, S. Conditional repeatability and the variance explained by reaction norm variation in random slope models. </w:t>
      </w:r>
      <w:r w:rsidRPr="005E2996">
        <w:rPr>
          <w:i/>
          <w:iCs/>
          <w:noProof/>
        </w:rPr>
        <w:t>bioRxiv</w:t>
      </w:r>
      <w:r w:rsidRPr="005E2996">
        <w:rPr>
          <w:noProof/>
        </w:rPr>
        <w:t xml:space="preserve"> (2020) doi:10.1101/2020.03.11.987073.</w:t>
      </w:r>
    </w:p>
    <w:p w14:paraId="50B40B51" w14:textId="77777777" w:rsidR="005E2996" w:rsidRPr="005E2996" w:rsidRDefault="005E2996" w:rsidP="005E2996">
      <w:pPr>
        <w:widowControl w:val="0"/>
        <w:autoSpaceDE w:val="0"/>
        <w:autoSpaceDN w:val="0"/>
        <w:adjustRightInd w:val="0"/>
        <w:ind w:left="640" w:hanging="640"/>
        <w:rPr>
          <w:noProof/>
        </w:rPr>
      </w:pPr>
      <w:r w:rsidRPr="005E2996">
        <w:rPr>
          <w:noProof/>
        </w:rPr>
        <w:t>37.</w:t>
      </w:r>
      <w:r w:rsidRPr="005E2996">
        <w:rPr>
          <w:noProof/>
        </w:rPr>
        <w:tab/>
        <w:t xml:space="preserve">Nakagawa, S. </w:t>
      </w:r>
      <w:r w:rsidRPr="005E2996">
        <w:rPr>
          <w:i/>
          <w:iCs/>
          <w:noProof/>
        </w:rPr>
        <w:t>et al.</w:t>
      </w:r>
      <w:r w:rsidRPr="005E2996">
        <w:rPr>
          <w:noProof/>
        </w:rPr>
        <w:t xml:space="preserve"> The orchard plot: Cultivating a forest plot for use in ecology, evolution, and beyond. </w:t>
      </w:r>
      <w:r w:rsidRPr="005E2996">
        <w:rPr>
          <w:i/>
          <w:iCs/>
          <w:noProof/>
        </w:rPr>
        <w:t>Res. Synth. Methods</w:t>
      </w:r>
      <w:r w:rsidRPr="005E2996">
        <w:rPr>
          <w:noProof/>
        </w:rPr>
        <w:t xml:space="preserve"> </w:t>
      </w:r>
      <w:r w:rsidRPr="005E2996">
        <w:rPr>
          <w:b/>
          <w:bCs/>
          <w:noProof/>
        </w:rPr>
        <w:t>12</w:t>
      </w:r>
      <w:r w:rsidRPr="005E2996">
        <w:rPr>
          <w:noProof/>
        </w:rPr>
        <w:t>, 4–12 (2021).</w:t>
      </w:r>
    </w:p>
    <w:p w14:paraId="2622F453" w14:textId="77777777" w:rsidR="005E2996" w:rsidRPr="005E2996" w:rsidRDefault="005E2996" w:rsidP="005E2996">
      <w:pPr>
        <w:widowControl w:val="0"/>
        <w:autoSpaceDE w:val="0"/>
        <w:autoSpaceDN w:val="0"/>
        <w:adjustRightInd w:val="0"/>
        <w:ind w:left="640" w:hanging="640"/>
        <w:rPr>
          <w:noProof/>
        </w:rPr>
      </w:pPr>
      <w:r w:rsidRPr="005E2996">
        <w:rPr>
          <w:noProof/>
        </w:rPr>
        <w:t>38.</w:t>
      </w:r>
      <w:r w:rsidRPr="005E2996">
        <w:rPr>
          <w:noProof/>
        </w:rPr>
        <w:tab/>
        <w:t xml:space="preserve">Ojha, M., Naidu, D. G. T. &amp; Bagchi, S. Meta-analysis of induced anti-herbivore defence traits in plants from 647 manipulative experiments with natural and simulated herbivory. </w:t>
      </w:r>
      <w:r w:rsidRPr="005E2996">
        <w:rPr>
          <w:i/>
          <w:iCs/>
          <w:noProof/>
        </w:rPr>
        <w:t>J. Ecol.</w:t>
      </w:r>
      <w:r w:rsidRPr="005E2996">
        <w:rPr>
          <w:noProof/>
        </w:rPr>
        <w:t xml:space="preserve"> 1–18 (2022) doi:10.1111/1365-2745.13841.</w:t>
      </w:r>
    </w:p>
    <w:p w14:paraId="2603DC16" w14:textId="77777777" w:rsidR="005E2996" w:rsidRPr="005E2996" w:rsidRDefault="005E2996" w:rsidP="005E2996">
      <w:pPr>
        <w:widowControl w:val="0"/>
        <w:autoSpaceDE w:val="0"/>
        <w:autoSpaceDN w:val="0"/>
        <w:adjustRightInd w:val="0"/>
        <w:ind w:left="640" w:hanging="640"/>
        <w:rPr>
          <w:noProof/>
        </w:rPr>
      </w:pPr>
      <w:r w:rsidRPr="005E2996">
        <w:rPr>
          <w:noProof/>
        </w:rPr>
        <w:t>39.</w:t>
      </w:r>
      <w:r w:rsidRPr="005E2996">
        <w:rPr>
          <w:noProof/>
        </w:rPr>
        <w:tab/>
        <w:t xml:space="preserve">Dodds, K. C. </w:t>
      </w:r>
      <w:r w:rsidRPr="005E2996">
        <w:rPr>
          <w:i/>
          <w:iCs/>
          <w:noProof/>
        </w:rPr>
        <w:t>et al.</w:t>
      </w:r>
      <w:r w:rsidRPr="005E2996">
        <w:rPr>
          <w:noProof/>
        </w:rPr>
        <w:t xml:space="preserve"> Material type influences the abundance but not richness of </w:t>
      </w:r>
      <w:r w:rsidRPr="005E2996">
        <w:rPr>
          <w:noProof/>
        </w:rPr>
        <w:lastRenderedPageBreak/>
        <w:t xml:space="preserve">colonising organisms on marine structures. </w:t>
      </w:r>
      <w:r w:rsidRPr="005E2996">
        <w:rPr>
          <w:i/>
          <w:iCs/>
          <w:noProof/>
        </w:rPr>
        <w:t>J. Environ. Manage.</w:t>
      </w:r>
      <w:r w:rsidRPr="005E2996">
        <w:rPr>
          <w:noProof/>
        </w:rPr>
        <w:t xml:space="preserve"> </w:t>
      </w:r>
      <w:r w:rsidRPr="005E2996">
        <w:rPr>
          <w:b/>
          <w:bCs/>
          <w:noProof/>
        </w:rPr>
        <w:t>307</w:t>
      </w:r>
      <w:r w:rsidRPr="005E2996">
        <w:rPr>
          <w:noProof/>
        </w:rPr>
        <w:t>, (2022).</w:t>
      </w:r>
    </w:p>
    <w:p w14:paraId="7D1EF9DA" w14:textId="77777777" w:rsidR="005E2996" w:rsidRPr="005E2996" w:rsidRDefault="005E2996" w:rsidP="005E2996">
      <w:pPr>
        <w:widowControl w:val="0"/>
        <w:autoSpaceDE w:val="0"/>
        <w:autoSpaceDN w:val="0"/>
        <w:adjustRightInd w:val="0"/>
        <w:ind w:left="640" w:hanging="640"/>
        <w:rPr>
          <w:noProof/>
        </w:rPr>
      </w:pPr>
      <w:r w:rsidRPr="005E2996">
        <w:rPr>
          <w:noProof/>
        </w:rPr>
        <w:t>40.</w:t>
      </w:r>
      <w:r w:rsidRPr="005E2996">
        <w:rPr>
          <w:noProof/>
        </w:rPr>
        <w:tab/>
        <w:t xml:space="preserve">O’Connor, M. I. </w:t>
      </w:r>
      <w:r w:rsidRPr="005E2996">
        <w:rPr>
          <w:i/>
          <w:iCs/>
          <w:noProof/>
        </w:rPr>
        <w:t>et al.</w:t>
      </w:r>
      <w:r w:rsidRPr="005E2996">
        <w:rPr>
          <w:noProof/>
        </w:rPr>
        <w:t xml:space="preserve"> A general biodiversity–function relationship is mediated by trophic level. </w:t>
      </w:r>
      <w:r w:rsidRPr="005E2996">
        <w:rPr>
          <w:i/>
          <w:iCs/>
          <w:noProof/>
        </w:rPr>
        <w:t>Oikos</w:t>
      </w:r>
      <w:r w:rsidRPr="005E2996">
        <w:rPr>
          <w:noProof/>
        </w:rPr>
        <w:t xml:space="preserve"> </w:t>
      </w:r>
      <w:r w:rsidRPr="005E2996">
        <w:rPr>
          <w:b/>
          <w:bCs/>
          <w:noProof/>
        </w:rPr>
        <w:t>126</w:t>
      </w:r>
      <w:r w:rsidRPr="005E2996">
        <w:rPr>
          <w:noProof/>
        </w:rPr>
        <w:t>, 18–31 (2017).</w:t>
      </w:r>
    </w:p>
    <w:p w14:paraId="28641370" w14:textId="77777777" w:rsidR="005E2996" w:rsidRPr="005E2996" w:rsidRDefault="005E2996" w:rsidP="005E2996">
      <w:pPr>
        <w:widowControl w:val="0"/>
        <w:autoSpaceDE w:val="0"/>
        <w:autoSpaceDN w:val="0"/>
        <w:adjustRightInd w:val="0"/>
        <w:ind w:left="640" w:hanging="640"/>
        <w:rPr>
          <w:noProof/>
        </w:rPr>
      </w:pPr>
      <w:r w:rsidRPr="005E2996">
        <w:rPr>
          <w:noProof/>
        </w:rPr>
        <w:t>41.</w:t>
      </w:r>
      <w:r w:rsidRPr="005E2996">
        <w:rPr>
          <w:noProof/>
        </w:rPr>
        <w:tab/>
        <w:t xml:space="preserve">Dornelas, M. </w:t>
      </w:r>
      <w:r w:rsidRPr="005E2996">
        <w:rPr>
          <w:i/>
          <w:iCs/>
          <w:noProof/>
        </w:rPr>
        <w:t>et al.</w:t>
      </w:r>
      <w:r w:rsidRPr="005E2996">
        <w:rPr>
          <w:noProof/>
        </w:rPr>
        <w:t xml:space="preserve"> Assemblage time series reveal biodiversity change but not systematic loss. </w:t>
      </w:r>
      <w:r w:rsidRPr="005E2996">
        <w:rPr>
          <w:i/>
          <w:iCs/>
          <w:noProof/>
        </w:rPr>
        <w:t>Science (80-. ).</w:t>
      </w:r>
      <w:r w:rsidRPr="005E2996">
        <w:rPr>
          <w:noProof/>
        </w:rPr>
        <w:t xml:space="preserve"> </w:t>
      </w:r>
      <w:r w:rsidRPr="005E2996">
        <w:rPr>
          <w:b/>
          <w:bCs/>
          <w:noProof/>
        </w:rPr>
        <w:t>344</w:t>
      </w:r>
      <w:r w:rsidRPr="005E2996">
        <w:rPr>
          <w:noProof/>
        </w:rPr>
        <w:t>, 296–299 (2014).</w:t>
      </w:r>
    </w:p>
    <w:p w14:paraId="224A7140" w14:textId="77777777" w:rsidR="005E2996" w:rsidRPr="005E2996" w:rsidRDefault="005E2996" w:rsidP="005E2996">
      <w:pPr>
        <w:widowControl w:val="0"/>
        <w:autoSpaceDE w:val="0"/>
        <w:autoSpaceDN w:val="0"/>
        <w:adjustRightInd w:val="0"/>
        <w:ind w:left="640" w:hanging="640"/>
        <w:rPr>
          <w:noProof/>
        </w:rPr>
      </w:pPr>
      <w:r w:rsidRPr="005E2996">
        <w:rPr>
          <w:noProof/>
        </w:rPr>
        <w:t>42.</w:t>
      </w:r>
      <w:r w:rsidRPr="005E2996">
        <w:rPr>
          <w:noProof/>
        </w:rPr>
        <w:tab/>
        <w:t xml:space="preserve">Senior, A. M. </w:t>
      </w:r>
      <w:r w:rsidRPr="005E2996">
        <w:rPr>
          <w:i/>
          <w:iCs/>
          <w:noProof/>
        </w:rPr>
        <w:t>et al.</w:t>
      </w:r>
      <w:r w:rsidRPr="005E2996">
        <w:rPr>
          <w:noProof/>
        </w:rPr>
        <w:t xml:space="preserve"> Heterogeneity in ecological and evolutionary meta- analyses: its magnitude and implications. </w:t>
      </w:r>
      <w:r w:rsidRPr="005E2996">
        <w:rPr>
          <w:i/>
          <w:iCs/>
          <w:noProof/>
        </w:rPr>
        <w:t>Ecology</w:t>
      </w:r>
      <w:r w:rsidRPr="005E2996">
        <w:rPr>
          <w:noProof/>
        </w:rPr>
        <w:t xml:space="preserve"> </w:t>
      </w:r>
      <w:r w:rsidRPr="005E2996">
        <w:rPr>
          <w:b/>
          <w:bCs/>
          <w:noProof/>
        </w:rPr>
        <w:t>97</w:t>
      </w:r>
      <w:r w:rsidRPr="005E2996">
        <w:rPr>
          <w:noProof/>
        </w:rPr>
        <w:t>, 3293–3299 (2016).</w:t>
      </w:r>
    </w:p>
    <w:p w14:paraId="1CE77B9E" w14:textId="77777777" w:rsidR="005E2996" w:rsidRPr="005E2996" w:rsidRDefault="005E2996" w:rsidP="005E2996">
      <w:pPr>
        <w:widowControl w:val="0"/>
        <w:autoSpaceDE w:val="0"/>
        <w:autoSpaceDN w:val="0"/>
        <w:adjustRightInd w:val="0"/>
        <w:ind w:left="640" w:hanging="640"/>
        <w:rPr>
          <w:noProof/>
        </w:rPr>
      </w:pPr>
      <w:r w:rsidRPr="005E2996">
        <w:rPr>
          <w:noProof/>
        </w:rPr>
        <w:t>43.</w:t>
      </w:r>
      <w:r w:rsidRPr="005E2996">
        <w:rPr>
          <w:noProof/>
        </w:rPr>
        <w:tab/>
        <w:t xml:space="preserve">Blowes, S. A. </w:t>
      </w:r>
      <w:r w:rsidRPr="005E2996">
        <w:rPr>
          <w:i/>
          <w:iCs/>
          <w:noProof/>
        </w:rPr>
        <w:t>et al.</w:t>
      </w:r>
      <w:r w:rsidRPr="005E2996">
        <w:rPr>
          <w:noProof/>
        </w:rPr>
        <w:t xml:space="preserve"> The geography of biodiversity change in marine and terrestrial assemblages. </w:t>
      </w:r>
      <w:r w:rsidRPr="005E2996">
        <w:rPr>
          <w:i/>
          <w:iCs/>
          <w:noProof/>
        </w:rPr>
        <w:t>Science (80-. ).</w:t>
      </w:r>
      <w:r w:rsidRPr="005E2996">
        <w:rPr>
          <w:noProof/>
        </w:rPr>
        <w:t xml:space="preserve"> </w:t>
      </w:r>
      <w:r w:rsidRPr="005E2996">
        <w:rPr>
          <w:b/>
          <w:bCs/>
          <w:noProof/>
        </w:rPr>
        <w:t>366</w:t>
      </w:r>
      <w:r w:rsidRPr="005E2996">
        <w:rPr>
          <w:noProof/>
        </w:rPr>
        <w:t>, 339–345 (2019).</w:t>
      </w:r>
    </w:p>
    <w:p w14:paraId="777E2E4B" w14:textId="77777777" w:rsidR="005E2996" w:rsidRPr="005E2996" w:rsidRDefault="005E2996" w:rsidP="005E2996">
      <w:pPr>
        <w:widowControl w:val="0"/>
        <w:autoSpaceDE w:val="0"/>
        <w:autoSpaceDN w:val="0"/>
        <w:adjustRightInd w:val="0"/>
        <w:ind w:left="640" w:hanging="640"/>
        <w:rPr>
          <w:noProof/>
        </w:rPr>
      </w:pPr>
      <w:r w:rsidRPr="005E2996">
        <w:rPr>
          <w:noProof/>
        </w:rPr>
        <w:t>44.</w:t>
      </w:r>
      <w:r w:rsidRPr="005E2996">
        <w:rPr>
          <w:noProof/>
        </w:rPr>
        <w:tab/>
        <w:t xml:space="preserve">Nakagawa, S. &amp; Cuthill, I. C. Effect size, confidence interval and statistical significance: A practical guide for biologists. </w:t>
      </w:r>
      <w:r w:rsidRPr="005E2996">
        <w:rPr>
          <w:i/>
          <w:iCs/>
          <w:noProof/>
        </w:rPr>
        <w:t>Biol. Rev.</w:t>
      </w:r>
      <w:r w:rsidRPr="005E2996">
        <w:rPr>
          <w:noProof/>
        </w:rPr>
        <w:t xml:space="preserve"> </w:t>
      </w:r>
      <w:r w:rsidRPr="005E2996">
        <w:rPr>
          <w:b/>
          <w:bCs/>
          <w:noProof/>
        </w:rPr>
        <w:t>82</w:t>
      </w:r>
      <w:r w:rsidRPr="005E2996">
        <w:rPr>
          <w:noProof/>
        </w:rPr>
        <w:t>, 591–605 (2007).</w:t>
      </w:r>
    </w:p>
    <w:p w14:paraId="3EC2E18A" w14:textId="77777777" w:rsidR="005E2996" w:rsidRPr="005E2996" w:rsidRDefault="005E2996" w:rsidP="005E2996">
      <w:pPr>
        <w:widowControl w:val="0"/>
        <w:autoSpaceDE w:val="0"/>
        <w:autoSpaceDN w:val="0"/>
        <w:adjustRightInd w:val="0"/>
        <w:ind w:left="640" w:hanging="640"/>
        <w:rPr>
          <w:noProof/>
        </w:rPr>
      </w:pPr>
      <w:r w:rsidRPr="005E2996">
        <w:rPr>
          <w:noProof/>
        </w:rPr>
        <w:t>45.</w:t>
      </w:r>
      <w:r w:rsidRPr="005E2996">
        <w:rPr>
          <w:noProof/>
        </w:rPr>
        <w:tab/>
        <w:t xml:space="preserve">Glass, G. V. Primary, Secondary, and Meta-Analysis of Research. </w:t>
      </w:r>
      <w:r w:rsidRPr="005E2996">
        <w:rPr>
          <w:i/>
          <w:iCs/>
          <w:noProof/>
        </w:rPr>
        <w:t>Educ. Res.</w:t>
      </w:r>
      <w:r w:rsidRPr="005E2996">
        <w:rPr>
          <w:noProof/>
        </w:rPr>
        <w:t xml:space="preserve"> </w:t>
      </w:r>
      <w:r w:rsidRPr="005E2996">
        <w:rPr>
          <w:b/>
          <w:bCs/>
          <w:noProof/>
        </w:rPr>
        <w:t>5</w:t>
      </w:r>
      <w:r w:rsidRPr="005E2996">
        <w:rPr>
          <w:noProof/>
        </w:rPr>
        <w:t>, 3 (1976).</w:t>
      </w:r>
    </w:p>
    <w:p w14:paraId="5553535B" w14:textId="77777777" w:rsidR="005E2996" w:rsidRPr="005E2996" w:rsidRDefault="005E2996" w:rsidP="005E2996">
      <w:pPr>
        <w:widowControl w:val="0"/>
        <w:autoSpaceDE w:val="0"/>
        <w:autoSpaceDN w:val="0"/>
        <w:adjustRightInd w:val="0"/>
        <w:ind w:left="640" w:hanging="640"/>
        <w:rPr>
          <w:noProof/>
        </w:rPr>
      </w:pPr>
      <w:r w:rsidRPr="005E2996">
        <w:rPr>
          <w:noProof/>
        </w:rPr>
        <w:t>46.</w:t>
      </w:r>
      <w:r w:rsidRPr="005E2996">
        <w:rPr>
          <w:noProof/>
        </w:rPr>
        <w:tab/>
        <w:t>Glass, G. V. Meta‐analysis at 25. http://www.gvglass.info/papers/meta25.html (2000).</w:t>
      </w:r>
    </w:p>
    <w:p w14:paraId="78B1BD4C" w14:textId="77777777" w:rsidR="005E2996" w:rsidRPr="005E2996" w:rsidRDefault="005E2996" w:rsidP="005E2996">
      <w:pPr>
        <w:widowControl w:val="0"/>
        <w:autoSpaceDE w:val="0"/>
        <w:autoSpaceDN w:val="0"/>
        <w:adjustRightInd w:val="0"/>
        <w:ind w:left="640" w:hanging="640"/>
        <w:rPr>
          <w:noProof/>
        </w:rPr>
      </w:pPr>
      <w:r w:rsidRPr="005E2996">
        <w:rPr>
          <w:noProof/>
        </w:rPr>
        <w:t>47.</w:t>
      </w:r>
      <w:r w:rsidRPr="005E2996">
        <w:rPr>
          <w:noProof/>
        </w:rPr>
        <w:tab/>
        <w:t xml:space="preserve">Cooper, H. M. Organizing knowledge syntheses: A taxonomy of literature reviews. </w:t>
      </w:r>
      <w:r w:rsidRPr="005E2996">
        <w:rPr>
          <w:i/>
          <w:iCs/>
          <w:noProof/>
        </w:rPr>
        <w:t>Knowl. Soc.</w:t>
      </w:r>
      <w:r w:rsidRPr="005E2996">
        <w:rPr>
          <w:noProof/>
        </w:rPr>
        <w:t xml:space="preserve"> </w:t>
      </w:r>
      <w:r w:rsidRPr="005E2996">
        <w:rPr>
          <w:b/>
          <w:bCs/>
          <w:noProof/>
        </w:rPr>
        <w:t>1</w:t>
      </w:r>
      <w:r w:rsidRPr="005E2996">
        <w:rPr>
          <w:noProof/>
        </w:rPr>
        <w:t>, 104–126 (1988).</w:t>
      </w:r>
    </w:p>
    <w:p w14:paraId="55B7F462" w14:textId="77777777" w:rsidR="005E2996" w:rsidRPr="005E2996" w:rsidRDefault="005E2996" w:rsidP="005E2996">
      <w:pPr>
        <w:widowControl w:val="0"/>
        <w:autoSpaceDE w:val="0"/>
        <w:autoSpaceDN w:val="0"/>
        <w:adjustRightInd w:val="0"/>
        <w:ind w:left="640" w:hanging="640"/>
        <w:rPr>
          <w:noProof/>
        </w:rPr>
      </w:pPr>
      <w:r w:rsidRPr="005E2996">
        <w:rPr>
          <w:noProof/>
        </w:rPr>
        <w:t>48.</w:t>
      </w:r>
      <w:r w:rsidRPr="005E2996">
        <w:rPr>
          <w:noProof/>
        </w:rPr>
        <w:tab/>
        <w:t xml:space="preserve">Soranno, P. A. </w:t>
      </w:r>
      <w:r w:rsidRPr="005E2996">
        <w:rPr>
          <w:i/>
          <w:iCs/>
          <w:noProof/>
        </w:rPr>
        <w:t>et al.</w:t>
      </w:r>
      <w:r w:rsidRPr="005E2996">
        <w:rPr>
          <w:noProof/>
        </w:rPr>
        <w:t xml:space="preserve"> Cross-scale interactions: Quantifying multi-scaled cause-effect relationships in macrosystems. </w:t>
      </w:r>
      <w:r w:rsidRPr="005E2996">
        <w:rPr>
          <w:i/>
          <w:iCs/>
          <w:noProof/>
        </w:rPr>
        <w:t>Front. Ecol. Environ.</w:t>
      </w:r>
      <w:r w:rsidRPr="005E2996">
        <w:rPr>
          <w:noProof/>
        </w:rPr>
        <w:t xml:space="preserve"> </w:t>
      </w:r>
      <w:r w:rsidRPr="005E2996">
        <w:rPr>
          <w:b/>
          <w:bCs/>
          <w:noProof/>
        </w:rPr>
        <w:t>12</w:t>
      </w:r>
      <w:r w:rsidRPr="005E2996">
        <w:rPr>
          <w:noProof/>
        </w:rPr>
        <w:t>, 65–73 (2014).</w:t>
      </w:r>
    </w:p>
    <w:p w14:paraId="0D274379" w14:textId="77777777" w:rsidR="005E2996" w:rsidRPr="005E2996" w:rsidRDefault="005E2996" w:rsidP="005E2996">
      <w:pPr>
        <w:widowControl w:val="0"/>
        <w:autoSpaceDE w:val="0"/>
        <w:autoSpaceDN w:val="0"/>
        <w:adjustRightInd w:val="0"/>
        <w:ind w:left="640" w:hanging="640"/>
        <w:rPr>
          <w:noProof/>
        </w:rPr>
      </w:pPr>
      <w:r w:rsidRPr="005E2996">
        <w:rPr>
          <w:noProof/>
        </w:rPr>
        <w:t>49.</w:t>
      </w:r>
      <w:r w:rsidRPr="005E2996">
        <w:rPr>
          <w:noProof/>
        </w:rPr>
        <w:tab/>
        <w:t xml:space="preserve">Gerstner, K. </w:t>
      </w:r>
      <w:r w:rsidRPr="005E2996">
        <w:rPr>
          <w:i/>
          <w:iCs/>
          <w:noProof/>
        </w:rPr>
        <w:t>et al.</w:t>
      </w:r>
      <w:r w:rsidRPr="005E2996">
        <w:rPr>
          <w:noProof/>
        </w:rPr>
        <w:t xml:space="preserve"> Will your paper be used in a meta-analysis? Make the reach of your research broader and longer lasting. </w:t>
      </w:r>
      <w:r w:rsidRPr="005E2996">
        <w:rPr>
          <w:i/>
          <w:iCs/>
          <w:noProof/>
        </w:rPr>
        <w:t>Methods Ecol. Evol.</w:t>
      </w:r>
      <w:r w:rsidRPr="005E2996">
        <w:rPr>
          <w:noProof/>
        </w:rPr>
        <w:t xml:space="preserve"> </w:t>
      </w:r>
      <w:r w:rsidRPr="005E2996">
        <w:rPr>
          <w:b/>
          <w:bCs/>
          <w:noProof/>
        </w:rPr>
        <w:t>8</w:t>
      </w:r>
      <w:r w:rsidRPr="005E2996">
        <w:rPr>
          <w:noProof/>
        </w:rPr>
        <w:t>, 777–784 (2017).</w:t>
      </w:r>
    </w:p>
    <w:p w14:paraId="365433B4" w14:textId="77777777" w:rsidR="005E2996" w:rsidRPr="005E2996" w:rsidRDefault="005E2996" w:rsidP="005E2996">
      <w:pPr>
        <w:widowControl w:val="0"/>
        <w:autoSpaceDE w:val="0"/>
        <w:autoSpaceDN w:val="0"/>
        <w:adjustRightInd w:val="0"/>
        <w:ind w:left="640" w:hanging="640"/>
        <w:rPr>
          <w:noProof/>
        </w:rPr>
      </w:pPr>
      <w:r w:rsidRPr="005E2996">
        <w:rPr>
          <w:noProof/>
        </w:rPr>
        <w:t>50.</w:t>
      </w:r>
      <w:r w:rsidRPr="005E2996">
        <w:rPr>
          <w:noProof/>
        </w:rPr>
        <w:tab/>
        <w:t xml:space="preserve">Hortal, J. </w:t>
      </w:r>
      <w:r w:rsidRPr="005E2996">
        <w:rPr>
          <w:i/>
          <w:iCs/>
          <w:noProof/>
        </w:rPr>
        <w:t>et al.</w:t>
      </w:r>
      <w:r w:rsidRPr="005E2996">
        <w:rPr>
          <w:noProof/>
        </w:rPr>
        <w:t xml:space="preserve"> Seven Shortfalls that Beset Large-Scale Knowledge of Biodiversity. </w:t>
      </w:r>
      <w:r w:rsidRPr="005E2996">
        <w:rPr>
          <w:i/>
          <w:iCs/>
          <w:noProof/>
        </w:rPr>
        <w:t>Annu. Rev. Ecol. Evol. Syst.</w:t>
      </w:r>
      <w:r w:rsidRPr="005E2996">
        <w:rPr>
          <w:noProof/>
        </w:rPr>
        <w:t xml:space="preserve"> </w:t>
      </w:r>
      <w:r w:rsidRPr="005E2996">
        <w:rPr>
          <w:b/>
          <w:bCs/>
          <w:noProof/>
        </w:rPr>
        <w:t>46</w:t>
      </w:r>
      <w:r w:rsidRPr="005E2996">
        <w:rPr>
          <w:noProof/>
        </w:rPr>
        <w:t>, 523–549 (2015).</w:t>
      </w:r>
    </w:p>
    <w:p w14:paraId="57504373" w14:textId="77777777" w:rsidR="005E2996" w:rsidRPr="005E2996" w:rsidRDefault="005E2996" w:rsidP="005E2996">
      <w:pPr>
        <w:widowControl w:val="0"/>
        <w:autoSpaceDE w:val="0"/>
        <w:autoSpaceDN w:val="0"/>
        <w:adjustRightInd w:val="0"/>
        <w:ind w:left="640" w:hanging="640"/>
        <w:rPr>
          <w:noProof/>
        </w:rPr>
      </w:pPr>
      <w:r w:rsidRPr="005E2996">
        <w:rPr>
          <w:noProof/>
        </w:rPr>
        <w:t>51.</w:t>
      </w:r>
      <w:r w:rsidRPr="005E2996">
        <w:rPr>
          <w:noProof/>
        </w:rPr>
        <w:tab/>
        <w:t xml:space="preserve">Simons, D. J., Shoda, Y. &amp; Lindsay, D. S. Constraints on Generality (COG): A Proposed Addition to All Empirical Papers. </w:t>
      </w:r>
      <w:r w:rsidRPr="005E2996">
        <w:rPr>
          <w:i/>
          <w:iCs/>
          <w:noProof/>
        </w:rPr>
        <w:t>Perspect. Psychol. Sci.</w:t>
      </w:r>
      <w:r w:rsidRPr="005E2996">
        <w:rPr>
          <w:noProof/>
        </w:rPr>
        <w:t xml:space="preserve"> </w:t>
      </w:r>
      <w:r w:rsidRPr="005E2996">
        <w:rPr>
          <w:b/>
          <w:bCs/>
          <w:noProof/>
        </w:rPr>
        <w:t>12</w:t>
      </w:r>
      <w:r w:rsidRPr="005E2996">
        <w:rPr>
          <w:noProof/>
        </w:rPr>
        <w:t>, 1123–1128 (2017).</w:t>
      </w:r>
    </w:p>
    <w:p w14:paraId="3D38826C" w14:textId="77777777" w:rsidR="005E2996" w:rsidRPr="005E2996" w:rsidRDefault="005E2996" w:rsidP="005E2996">
      <w:pPr>
        <w:widowControl w:val="0"/>
        <w:autoSpaceDE w:val="0"/>
        <w:autoSpaceDN w:val="0"/>
        <w:adjustRightInd w:val="0"/>
        <w:ind w:left="640" w:hanging="640"/>
        <w:rPr>
          <w:noProof/>
        </w:rPr>
      </w:pPr>
      <w:r w:rsidRPr="005E2996">
        <w:rPr>
          <w:noProof/>
        </w:rPr>
        <w:t>52.</w:t>
      </w:r>
      <w:r w:rsidRPr="005E2996">
        <w:rPr>
          <w:noProof/>
        </w:rPr>
        <w:tab/>
        <w:t xml:space="preserve">Yarkoni, T. The generalizability crisis. </w:t>
      </w:r>
      <w:r w:rsidRPr="005E2996">
        <w:rPr>
          <w:i/>
          <w:iCs/>
          <w:noProof/>
        </w:rPr>
        <w:t>Behav. Brain Sci.</w:t>
      </w:r>
      <w:r w:rsidRPr="005E2996">
        <w:rPr>
          <w:noProof/>
        </w:rPr>
        <w:t xml:space="preserve"> 1–37 (2020) doi:10.1017/S0140525X20001685.</w:t>
      </w:r>
    </w:p>
    <w:p w14:paraId="3BF03570" w14:textId="77777777" w:rsidR="005E2996" w:rsidRPr="005E2996" w:rsidRDefault="005E2996" w:rsidP="005E2996">
      <w:pPr>
        <w:widowControl w:val="0"/>
        <w:autoSpaceDE w:val="0"/>
        <w:autoSpaceDN w:val="0"/>
        <w:adjustRightInd w:val="0"/>
        <w:ind w:left="640" w:hanging="640"/>
        <w:rPr>
          <w:noProof/>
        </w:rPr>
      </w:pPr>
      <w:r w:rsidRPr="005E2996">
        <w:rPr>
          <w:noProof/>
        </w:rPr>
        <w:t>53.</w:t>
      </w:r>
      <w:r w:rsidRPr="005E2996">
        <w:rPr>
          <w:noProof/>
        </w:rPr>
        <w:tab/>
        <w:t xml:space="preserve">Lopez, P. M., Subramanian, S. V. &amp; Schooling, C. M. Effect measure modification </w:t>
      </w:r>
      <w:r w:rsidRPr="005E2996">
        <w:rPr>
          <w:noProof/>
        </w:rPr>
        <w:lastRenderedPageBreak/>
        <w:t xml:space="preserve">conceptualized using selection diagrams as mediation by mechanisms of varying population-level relevance. </w:t>
      </w:r>
      <w:r w:rsidRPr="005E2996">
        <w:rPr>
          <w:i/>
          <w:iCs/>
          <w:noProof/>
        </w:rPr>
        <w:t>J. Clin. Epidemiol.</w:t>
      </w:r>
      <w:r w:rsidRPr="005E2996">
        <w:rPr>
          <w:noProof/>
        </w:rPr>
        <w:t xml:space="preserve"> </w:t>
      </w:r>
      <w:r w:rsidRPr="005E2996">
        <w:rPr>
          <w:b/>
          <w:bCs/>
          <w:noProof/>
        </w:rPr>
        <w:t>113</w:t>
      </w:r>
      <w:r w:rsidRPr="005E2996">
        <w:rPr>
          <w:noProof/>
        </w:rPr>
        <w:t>, 123–128 (2019).</w:t>
      </w:r>
    </w:p>
    <w:p w14:paraId="093ED91D" w14:textId="77777777" w:rsidR="005E2996" w:rsidRPr="005E2996" w:rsidRDefault="005E2996" w:rsidP="005E2996">
      <w:pPr>
        <w:widowControl w:val="0"/>
        <w:autoSpaceDE w:val="0"/>
        <w:autoSpaceDN w:val="0"/>
        <w:adjustRightInd w:val="0"/>
        <w:ind w:left="640" w:hanging="640"/>
        <w:rPr>
          <w:noProof/>
        </w:rPr>
      </w:pPr>
      <w:r w:rsidRPr="005E2996">
        <w:rPr>
          <w:noProof/>
        </w:rPr>
        <w:t>54.</w:t>
      </w:r>
      <w:r w:rsidRPr="005E2996">
        <w:rPr>
          <w:noProof/>
        </w:rPr>
        <w:tab/>
        <w:t xml:space="preserve">Campbell, D. T. Relabeling internal and external validity for the applied social sciences. in </w:t>
      </w:r>
      <w:r w:rsidRPr="005E2996">
        <w:rPr>
          <w:i/>
          <w:iCs/>
          <w:noProof/>
        </w:rPr>
        <w:t>Advances in QuasiExperimental Design and Analysis</w:t>
      </w:r>
      <w:r w:rsidRPr="005E2996">
        <w:rPr>
          <w:noProof/>
        </w:rPr>
        <w:t xml:space="preserve"> (ed. Trochim, W.) 67–77 (Jossey-Bass, 1986).</w:t>
      </w:r>
    </w:p>
    <w:p w14:paraId="4B1BF5B1" w14:textId="77777777" w:rsidR="005E2996" w:rsidRPr="005E2996" w:rsidRDefault="005E2996" w:rsidP="005E2996">
      <w:pPr>
        <w:widowControl w:val="0"/>
        <w:autoSpaceDE w:val="0"/>
        <w:autoSpaceDN w:val="0"/>
        <w:adjustRightInd w:val="0"/>
        <w:ind w:left="640" w:hanging="640"/>
        <w:rPr>
          <w:noProof/>
        </w:rPr>
      </w:pPr>
      <w:r w:rsidRPr="005E2996">
        <w:rPr>
          <w:noProof/>
        </w:rPr>
        <w:t>55.</w:t>
      </w:r>
      <w:r w:rsidRPr="005E2996">
        <w:rPr>
          <w:noProof/>
        </w:rPr>
        <w:tab/>
        <w:t xml:space="preserve">Mize, T. D. Best practices for estimating, interpreting, and presenting nonlinear interaction effects. </w:t>
      </w:r>
      <w:r w:rsidRPr="005E2996">
        <w:rPr>
          <w:i/>
          <w:iCs/>
          <w:noProof/>
        </w:rPr>
        <w:t>Sociol. Sci.</w:t>
      </w:r>
      <w:r w:rsidRPr="005E2996">
        <w:rPr>
          <w:noProof/>
        </w:rPr>
        <w:t xml:space="preserve"> </w:t>
      </w:r>
      <w:r w:rsidRPr="005E2996">
        <w:rPr>
          <w:b/>
          <w:bCs/>
          <w:noProof/>
        </w:rPr>
        <w:t>6</w:t>
      </w:r>
      <w:r w:rsidRPr="005E2996">
        <w:rPr>
          <w:noProof/>
        </w:rPr>
        <w:t>, 81–117 (2019).</w:t>
      </w:r>
    </w:p>
    <w:p w14:paraId="0AAD5E12" w14:textId="77777777" w:rsidR="005E2996" w:rsidRPr="005E2996" w:rsidRDefault="005E2996" w:rsidP="005E2996">
      <w:pPr>
        <w:widowControl w:val="0"/>
        <w:autoSpaceDE w:val="0"/>
        <w:autoSpaceDN w:val="0"/>
        <w:adjustRightInd w:val="0"/>
        <w:ind w:left="640" w:hanging="640"/>
        <w:rPr>
          <w:noProof/>
        </w:rPr>
      </w:pPr>
      <w:r w:rsidRPr="005E2996">
        <w:rPr>
          <w:noProof/>
        </w:rPr>
        <w:t>56.</w:t>
      </w:r>
      <w:r w:rsidRPr="005E2996">
        <w:rPr>
          <w:noProof/>
        </w:rPr>
        <w:tab/>
        <w:t xml:space="preserve">Karaca-Mandic, P., Norton, E. C. &amp; Dowd, B. Interaction terms in nonlinear models. </w:t>
      </w:r>
      <w:r w:rsidRPr="005E2996">
        <w:rPr>
          <w:i/>
          <w:iCs/>
          <w:noProof/>
        </w:rPr>
        <w:t>Health Serv. Res.</w:t>
      </w:r>
      <w:r w:rsidRPr="005E2996">
        <w:rPr>
          <w:noProof/>
        </w:rPr>
        <w:t xml:space="preserve"> </w:t>
      </w:r>
      <w:r w:rsidRPr="005E2996">
        <w:rPr>
          <w:b/>
          <w:bCs/>
          <w:noProof/>
        </w:rPr>
        <w:t>47</w:t>
      </w:r>
      <w:r w:rsidRPr="005E2996">
        <w:rPr>
          <w:noProof/>
        </w:rPr>
        <w:t>, 255–274 (2012).</w:t>
      </w:r>
    </w:p>
    <w:p w14:paraId="37FE990E" w14:textId="77777777" w:rsidR="005E2996" w:rsidRPr="005E2996" w:rsidRDefault="005E2996" w:rsidP="005E2996">
      <w:pPr>
        <w:widowControl w:val="0"/>
        <w:autoSpaceDE w:val="0"/>
        <w:autoSpaceDN w:val="0"/>
        <w:adjustRightInd w:val="0"/>
        <w:ind w:left="640" w:hanging="640"/>
        <w:rPr>
          <w:noProof/>
        </w:rPr>
      </w:pPr>
      <w:r w:rsidRPr="005E2996">
        <w:rPr>
          <w:noProof/>
        </w:rPr>
        <w:t>57.</w:t>
      </w:r>
      <w:r w:rsidRPr="005E2996">
        <w:rPr>
          <w:noProof/>
        </w:rPr>
        <w:tab/>
        <w:t xml:space="preserve">Spake, R. </w:t>
      </w:r>
      <w:r w:rsidRPr="005E2996">
        <w:rPr>
          <w:i/>
          <w:iCs/>
          <w:noProof/>
        </w:rPr>
        <w:t>et al.</w:t>
      </w:r>
      <w:r w:rsidRPr="005E2996">
        <w:rPr>
          <w:noProof/>
        </w:rPr>
        <w:t xml:space="preserve"> Forest damage by deer depends on cross-scale interactions between climate , deer density and landscape structure. 1376–1390 (2020) doi:10.1111/1365-2664.13622.</w:t>
      </w:r>
    </w:p>
    <w:p w14:paraId="3D42709F" w14:textId="77777777" w:rsidR="005E2996" w:rsidRPr="005E2996" w:rsidRDefault="005E2996" w:rsidP="005E2996">
      <w:pPr>
        <w:widowControl w:val="0"/>
        <w:autoSpaceDE w:val="0"/>
        <w:autoSpaceDN w:val="0"/>
        <w:adjustRightInd w:val="0"/>
        <w:ind w:left="640" w:hanging="640"/>
        <w:rPr>
          <w:noProof/>
        </w:rPr>
      </w:pPr>
      <w:r w:rsidRPr="005E2996">
        <w:rPr>
          <w:noProof/>
        </w:rPr>
        <w:t>58.</w:t>
      </w:r>
      <w:r w:rsidRPr="005E2996">
        <w:rPr>
          <w:noProof/>
        </w:rPr>
        <w:tab/>
        <w:t xml:space="preserve">McCabe, C. J., Kim, D. S. &amp; King, K. M. Improving Present Practices in the Visual Display of Interactions. </w:t>
      </w:r>
      <w:r w:rsidRPr="005E2996">
        <w:rPr>
          <w:i/>
          <w:iCs/>
          <w:noProof/>
        </w:rPr>
        <w:t>Adv. Methods Pract. Psychol. Sci.</w:t>
      </w:r>
      <w:r w:rsidRPr="005E2996">
        <w:rPr>
          <w:noProof/>
        </w:rPr>
        <w:t xml:space="preserve"> </w:t>
      </w:r>
      <w:r w:rsidRPr="005E2996">
        <w:rPr>
          <w:b/>
          <w:bCs/>
          <w:noProof/>
        </w:rPr>
        <w:t>1</w:t>
      </w:r>
      <w:r w:rsidRPr="005E2996">
        <w:rPr>
          <w:noProof/>
        </w:rPr>
        <w:t>, 147–165 (2018).</w:t>
      </w:r>
    </w:p>
    <w:p w14:paraId="38E768FE" w14:textId="77777777" w:rsidR="005E2996" w:rsidRPr="005E2996" w:rsidRDefault="005E2996" w:rsidP="005E2996">
      <w:pPr>
        <w:widowControl w:val="0"/>
        <w:autoSpaceDE w:val="0"/>
        <w:autoSpaceDN w:val="0"/>
        <w:adjustRightInd w:val="0"/>
        <w:ind w:left="640" w:hanging="640"/>
        <w:rPr>
          <w:noProof/>
        </w:rPr>
      </w:pPr>
      <w:r w:rsidRPr="005E2996">
        <w:rPr>
          <w:noProof/>
        </w:rPr>
        <w:t>59.</w:t>
      </w:r>
      <w:r w:rsidRPr="005E2996">
        <w:rPr>
          <w:noProof/>
        </w:rPr>
        <w:tab/>
        <w:t xml:space="preserve">Shackelford, G. E. </w:t>
      </w:r>
      <w:r w:rsidRPr="005E2996">
        <w:rPr>
          <w:i/>
          <w:iCs/>
          <w:noProof/>
        </w:rPr>
        <w:t>et al.</w:t>
      </w:r>
      <w:r w:rsidRPr="005E2996">
        <w:rPr>
          <w:noProof/>
        </w:rPr>
        <w:t xml:space="preserve"> Dynamic meta-analysis: A method of using global evidence for local decision making. </w:t>
      </w:r>
      <w:r w:rsidRPr="005E2996">
        <w:rPr>
          <w:i/>
          <w:iCs/>
          <w:noProof/>
        </w:rPr>
        <w:t>bioRxiv</w:t>
      </w:r>
      <w:r w:rsidRPr="005E2996">
        <w:rPr>
          <w:noProof/>
        </w:rPr>
        <w:t xml:space="preserve"> 1–13 (2020) doi:10.1101/2020.05.18.078840.</w:t>
      </w:r>
    </w:p>
    <w:p w14:paraId="20B39AF6" w14:textId="77777777" w:rsidR="005E2996" w:rsidRPr="005E2996" w:rsidRDefault="005E2996" w:rsidP="005E2996">
      <w:pPr>
        <w:widowControl w:val="0"/>
        <w:autoSpaceDE w:val="0"/>
        <w:autoSpaceDN w:val="0"/>
        <w:adjustRightInd w:val="0"/>
        <w:ind w:left="640" w:hanging="640"/>
        <w:rPr>
          <w:noProof/>
        </w:rPr>
      </w:pPr>
      <w:r w:rsidRPr="00A405F1">
        <w:rPr>
          <w:noProof/>
          <w:lang w:val="fr-FR"/>
        </w:rPr>
        <w:t>60.</w:t>
      </w:r>
      <w:r w:rsidRPr="00A405F1">
        <w:rPr>
          <w:noProof/>
          <w:lang w:val="fr-FR"/>
        </w:rPr>
        <w:tab/>
        <w:t xml:space="preserve">Christie, A. P. </w:t>
      </w:r>
      <w:r w:rsidRPr="00A405F1">
        <w:rPr>
          <w:i/>
          <w:iCs/>
          <w:noProof/>
          <w:lang w:val="fr-FR"/>
        </w:rPr>
        <w:t>et al.</w:t>
      </w:r>
      <w:r w:rsidRPr="00A405F1">
        <w:rPr>
          <w:noProof/>
          <w:lang w:val="fr-FR"/>
        </w:rPr>
        <w:t xml:space="preserve"> </w:t>
      </w:r>
      <w:r w:rsidRPr="005E2996">
        <w:rPr>
          <w:noProof/>
        </w:rPr>
        <w:t xml:space="preserve">Innovation and forward‐thinking are needed to improve traditional synthesis methods: A response to Pescott and Stewart. </w:t>
      </w:r>
      <w:r w:rsidRPr="005E2996">
        <w:rPr>
          <w:i/>
          <w:iCs/>
          <w:noProof/>
        </w:rPr>
        <w:t>J. Appl. Ecol.</w:t>
      </w:r>
      <w:r w:rsidRPr="005E2996">
        <w:rPr>
          <w:noProof/>
        </w:rPr>
        <w:t xml:space="preserve"> 1–7 (2022) doi:10.1111/1365-2664.14154.</w:t>
      </w:r>
    </w:p>
    <w:p w14:paraId="254C9C2C" w14:textId="77777777" w:rsidR="005E2996" w:rsidRPr="005E2996" w:rsidRDefault="005E2996" w:rsidP="005E2996">
      <w:pPr>
        <w:widowControl w:val="0"/>
        <w:autoSpaceDE w:val="0"/>
        <w:autoSpaceDN w:val="0"/>
        <w:adjustRightInd w:val="0"/>
        <w:ind w:left="640" w:hanging="640"/>
        <w:rPr>
          <w:noProof/>
        </w:rPr>
      </w:pPr>
      <w:r w:rsidRPr="005E2996">
        <w:rPr>
          <w:noProof/>
        </w:rPr>
        <w:t>61.</w:t>
      </w:r>
      <w:r w:rsidRPr="005E2996">
        <w:rPr>
          <w:noProof/>
        </w:rPr>
        <w:tab/>
        <w:t xml:space="preserve">Haddaway, N. R. </w:t>
      </w:r>
      <w:r w:rsidRPr="005E2996">
        <w:rPr>
          <w:i/>
          <w:iCs/>
          <w:noProof/>
        </w:rPr>
        <w:t>et al.</w:t>
      </w:r>
      <w:r w:rsidRPr="005E2996">
        <w:rPr>
          <w:noProof/>
        </w:rPr>
        <w:t xml:space="preserve"> EviAtlas: A tool for visualising evidence synthesis databases. </w:t>
      </w:r>
      <w:r w:rsidRPr="005E2996">
        <w:rPr>
          <w:i/>
          <w:iCs/>
          <w:noProof/>
        </w:rPr>
        <w:t>Environ. Evid.</w:t>
      </w:r>
      <w:r w:rsidRPr="005E2996">
        <w:rPr>
          <w:noProof/>
        </w:rPr>
        <w:t xml:space="preserve"> </w:t>
      </w:r>
      <w:r w:rsidRPr="005E2996">
        <w:rPr>
          <w:b/>
          <w:bCs/>
          <w:noProof/>
        </w:rPr>
        <w:t>8</w:t>
      </w:r>
      <w:r w:rsidRPr="005E2996">
        <w:rPr>
          <w:noProof/>
        </w:rPr>
        <w:t>, 1–10 (2019).</w:t>
      </w:r>
    </w:p>
    <w:p w14:paraId="070FFE6F" w14:textId="77777777" w:rsidR="005E2996" w:rsidRPr="005E2996" w:rsidRDefault="005E2996" w:rsidP="005E2996">
      <w:pPr>
        <w:widowControl w:val="0"/>
        <w:autoSpaceDE w:val="0"/>
        <w:autoSpaceDN w:val="0"/>
        <w:adjustRightInd w:val="0"/>
        <w:ind w:left="640" w:hanging="640"/>
        <w:rPr>
          <w:noProof/>
        </w:rPr>
      </w:pPr>
      <w:r w:rsidRPr="005E2996">
        <w:rPr>
          <w:noProof/>
        </w:rPr>
        <w:t>62.</w:t>
      </w:r>
      <w:r w:rsidRPr="005E2996">
        <w:rPr>
          <w:noProof/>
        </w:rPr>
        <w:tab/>
        <w:t xml:space="preserve">Delory, B. M., Li, M., Topp, C. N. &amp; Lobet, G. archiDART v3.0: A new data analysis pipeline allowing the topological analysis of plant root systems. </w:t>
      </w:r>
      <w:r w:rsidRPr="005E2996">
        <w:rPr>
          <w:i/>
          <w:iCs/>
          <w:noProof/>
        </w:rPr>
        <w:t>F1000Research</w:t>
      </w:r>
      <w:r w:rsidRPr="005E2996">
        <w:rPr>
          <w:noProof/>
        </w:rPr>
        <w:t xml:space="preserve"> </w:t>
      </w:r>
      <w:r w:rsidRPr="005E2996">
        <w:rPr>
          <w:b/>
          <w:bCs/>
          <w:noProof/>
        </w:rPr>
        <w:t>7</w:t>
      </w:r>
      <w:r w:rsidRPr="005E2996">
        <w:rPr>
          <w:noProof/>
        </w:rPr>
        <w:t>, 1–14 (2018).</w:t>
      </w:r>
    </w:p>
    <w:p w14:paraId="0BA08F84" w14:textId="77777777" w:rsidR="005E2996" w:rsidRPr="005E2996" w:rsidRDefault="005E2996" w:rsidP="005E2996">
      <w:pPr>
        <w:widowControl w:val="0"/>
        <w:autoSpaceDE w:val="0"/>
        <w:autoSpaceDN w:val="0"/>
        <w:adjustRightInd w:val="0"/>
        <w:ind w:left="640" w:hanging="640"/>
        <w:rPr>
          <w:noProof/>
        </w:rPr>
      </w:pPr>
      <w:r w:rsidRPr="005E2996">
        <w:rPr>
          <w:noProof/>
        </w:rPr>
        <w:t>63.</w:t>
      </w:r>
      <w:r w:rsidRPr="005E2996">
        <w:rPr>
          <w:noProof/>
        </w:rPr>
        <w:tab/>
        <w:t xml:space="preserve">Perkel, J. M. The Future of Scientific Figures. </w:t>
      </w:r>
      <w:r w:rsidRPr="005E2996">
        <w:rPr>
          <w:i/>
          <w:iCs/>
          <w:noProof/>
        </w:rPr>
        <w:t>Nature</w:t>
      </w:r>
      <w:r w:rsidRPr="005E2996">
        <w:rPr>
          <w:noProof/>
        </w:rPr>
        <w:t xml:space="preserve"> </w:t>
      </w:r>
      <w:r w:rsidRPr="005E2996">
        <w:rPr>
          <w:b/>
          <w:bCs/>
          <w:noProof/>
        </w:rPr>
        <w:t>554</w:t>
      </w:r>
      <w:r w:rsidRPr="005E2996">
        <w:rPr>
          <w:noProof/>
        </w:rPr>
        <w:t>, 133–134 (2018).</w:t>
      </w:r>
    </w:p>
    <w:p w14:paraId="29AE6E5B" w14:textId="77777777" w:rsidR="005E2996" w:rsidRPr="005E2996" w:rsidRDefault="005E2996" w:rsidP="005E2996">
      <w:pPr>
        <w:widowControl w:val="0"/>
        <w:autoSpaceDE w:val="0"/>
        <w:autoSpaceDN w:val="0"/>
        <w:adjustRightInd w:val="0"/>
        <w:ind w:left="640" w:hanging="640"/>
        <w:rPr>
          <w:noProof/>
        </w:rPr>
      </w:pPr>
      <w:r w:rsidRPr="005E2996">
        <w:rPr>
          <w:noProof/>
        </w:rPr>
        <w:t>64.</w:t>
      </w:r>
      <w:r w:rsidRPr="005E2996">
        <w:rPr>
          <w:noProof/>
        </w:rPr>
        <w:tab/>
        <w:t xml:space="preserve">Weaver, S. &amp; Gleeson, M. P. The importance of the domain of applicability in QSAR modeling. </w:t>
      </w:r>
      <w:r w:rsidRPr="005E2996">
        <w:rPr>
          <w:i/>
          <w:iCs/>
          <w:noProof/>
        </w:rPr>
        <w:t>J. Mol. Graph. Model.</w:t>
      </w:r>
      <w:r w:rsidRPr="005E2996">
        <w:rPr>
          <w:noProof/>
        </w:rPr>
        <w:t xml:space="preserve"> </w:t>
      </w:r>
      <w:r w:rsidRPr="005E2996">
        <w:rPr>
          <w:b/>
          <w:bCs/>
          <w:noProof/>
        </w:rPr>
        <w:t>26</w:t>
      </w:r>
      <w:r w:rsidRPr="005E2996">
        <w:rPr>
          <w:noProof/>
        </w:rPr>
        <w:t>, 1315–1326 (2008).</w:t>
      </w:r>
    </w:p>
    <w:p w14:paraId="23CC63C4" w14:textId="77777777" w:rsidR="005E2996" w:rsidRPr="005E2996" w:rsidRDefault="005E2996" w:rsidP="005E2996">
      <w:pPr>
        <w:widowControl w:val="0"/>
        <w:autoSpaceDE w:val="0"/>
        <w:autoSpaceDN w:val="0"/>
        <w:adjustRightInd w:val="0"/>
        <w:ind w:left="640" w:hanging="640"/>
        <w:rPr>
          <w:noProof/>
        </w:rPr>
      </w:pPr>
      <w:r w:rsidRPr="005E2996">
        <w:rPr>
          <w:noProof/>
        </w:rPr>
        <w:t>65.</w:t>
      </w:r>
      <w:r w:rsidRPr="005E2996">
        <w:rPr>
          <w:noProof/>
        </w:rPr>
        <w:tab/>
        <w:t xml:space="preserve">Sutton, C. </w:t>
      </w:r>
      <w:r w:rsidRPr="005E2996">
        <w:rPr>
          <w:i/>
          <w:iCs/>
          <w:noProof/>
        </w:rPr>
        <w:t>et al.</w:t>
      </w:r>
      <w:r w:rsidRPr="005E2996">
        <w:rPr>
          <w:noProof/>
        </w:rPr>
        <w:t xml:space="preserve"> Identifying domains of applicability of machine learning models for materials science. </w:t>
      </w:r>
      <w:r w:rsidRPr="005E2996">
        <w:rPr>
          <w:i/>
          <w:iCs/>
          <w:noProof/>
        </w:rPr>
        <w:t>Nat. Commun.</w:t>
      </w:r>
      <w:r w:rsidRPr="005E2996">
        <w:rPr>
          <w:noProof/>
        </w:rPr>
        <w:t xml:space="preserve"> </w:t>
      </w:r>
      <w:r w:rsidRPr="005E2996">
        <w:rPr>
          <w:b/>
          <w:bCs/>
          <w:noProof/>
        </w:rPr>
        <w:t>11</w:t>
      </w:r>
      <w:r w:rsidRPr="005E2996">
        <w:rPr>
          <w:noProof/>
        </w:rPr>
        <w:t>, 1–9 (2020).</w:t>
      </w:r>
    </w:p>
    <w:p w14:paraId="731C0D59" w14:textId="77777777" w:rsidR="005E2996" w:rsidRPr="005E2996" w:rsidRDefault="005E2996" w:rsidP="005E2996">
      <w:pPr>
        <w:widowControl w:val="0"/>
        <w:autoSpaceDE w:val="0"/>
        <w:autoSpaceDN w:val="0"/>
        <w:adjustRightInd w:val="0"/>
        <w:ind w:left="640" w:hanging="640"/>
        <w:rPr>
          <w:noProof/>
        </w:rPr>
      </w:pPr>
      <w:r w:rsidRPr="005E2996">
        <w:rPr>
          <w:noProof/>
        </w:rPr>
        <w:lastRenderedPageBreak/>
        <w:t>66.</w:t>
      </w:r>
      <w:r w:rsidRPr="005E2996">
        <w:rPr>
          <w:noProof/>
        </w:rPr>
        <w:tab/>
        <w:t xml:space="preserve">Meyer, H. &amp; Pebesma, E. Predicting into unknown space? Estimating the area of applicability of spatial prediction models. </w:t>
      </w:r>
      <w:r w:rsidRPr="005E2996">
        <w:rPr>
          <w:i/>
          <w:iCs/>
          <w:noProof/>
        </w:rPr>
        <w:t>Methods Ecol. Evol.</w:t>
      </w:r>
      <w:r w:rsidRPr="005E2996">
        <w:rPr>
          <w:noProof/>
        </w:rPr>
        <w:t xml:space="preserve"> </w:t>
      </w:r>
      <w:r w:rsidRPr="005E2996">
        <w:rPr>
          <w:b/>
          <w:bCs/>
          <w:noProof/>
        </w:rPr>
        <w:t>12</w:t>
      </w:r>
      <w:r w:rsidRPr="005E2996">
        <w:rPr>
          <w:noProof/>
        </w:rPr>
        <w:t>, 1620–1633 (2021).</w:t>
      </w:r>
    </w:p>
    <w:p w14:paraId="1639038C" w14:textId="77777777" w:rsidR="005E2996" w:rsidRPr="005E2996" w:rsidRDefault="005E2996" w:rsidP="005E2996">
      <w:pPr>
        <w:widowControl w:val="0"/>
        <w:autoSpaceDE w:val="0"/>
        <w:autoSpaceDN w:val="0"/>
        <w:adjustRightInd w:val="0"/>
        <w:ind w:left="640" w:hanging="640"/>
        <w:rPr>
          <w:noProof/>
        </w:rPr>
      </w:pPr>
      <w:r w:rsidRPr="005E2996">
        <w:rPr>
          <w:noProof/>
        </w:rPr>
        <w:t>67.</w:t>
      </w:r>
      <w:r w:rsidRPr="005E2996">
        <w:rPr>
          <w:noProof/>
        </w:rPr>
        <w:tab/>
        <w:t xml:space="preserve">Pearl, J. &amp; Bareinboim, E. Transportability of causal and statistical relations: A formal approach. </w:t>
      </w:r>
      <w:r w:rsidRPr="005E2996">
        <w:rPr>
          <w:i/>
          <w:iCs/>
          <w:noProof/>
        </w:rPr>
        <w:t>Proc. - IEEE Int. Conf. Data Mining, ICDM</w:t>
      </w:r>
      <w:r w:rsidRPr="005E2996">
        <w:rPr>
          <w:noProof/>
        </w:rPr>
        <w:t xml:space="preserve"> 540–547 (2011) doi:10.1109/ICDMW.2011.169.</w:t>
      </w:r>
    </w:p>
    <w:p w14:paraId="2449E136" w14:textId="77777777" w:rsidR="005E2996" w:rsidRPr="005E2996" w:rsidRDefault="005E2996" w:rsidP="005E2996">
      <w:pPr>
        <w:widowControl w:val="0"/>
        <w:autoSpaceDE w:val="0"/>
        <w:autoSpaceDN w:val="0"/>
        <w:adjustRightInd w:val="0"/>
        <w:ind w:left="640" w:hanging="640"/>
        <w:rPr>
          <w:noProof/>
        </w:rPr>
      </w:pPr>
      <w:r w:rsidRPr="005E2996">
        <w:rPr>
          <w:noProof/>
        </w:rPr>
        <w:t>68.</w:t>
      </w:r>
      <w:r w:rsidRPr="005E2996">
        <w:rPr>
          <w:noProof/>
        </w:rPr>
        <w:tab/>
        <w:t xml:space="preserve">Munthe-Kaas, H., Nøkleby, H. &amp; Nguyen, L. Systematic mapping of checklists for assessing transferability. </w:t>
      </w:r>
      <w:r w:rsidRPr="005E2996">
        <w:rPr>
          <w:i/>
          <w:iCs/>
          <w:noProof/>
        </w:rPr>
        <w:t>Syst. Rev.</w:t>
      </w:r>
      <w:r w:rsidRPr="005E2996">
        <w:rPr>
          <w:noProof/>
        </w:rPr>
        <w:t xml:space="preserve"> </w:t>
      </w:r>
      <w:r w:rsidRPr="005E2996">
        <w:rPr>
          <w:b/>
          <w:bCs/>
          <w:noProof/>
        </w:rPr>
        <w:t>8</w:t>
      </w:r>
      <w:r w:rsidRPr="005E2996">
        <w:rPr>
          <w:noProof/>
        </w:rPr>
        <w:t>, 1–16 (2019).</w:t>
      </w:r>
    </w:p>
    <w:p w14:paraId="415195CE" w14:textId="77777777" w:rsidR="005E2996" w:rsidRPr="005E2996" w:rsidRDefault="005E2996" w:rsidP="005E2996">
      <w:pPr>
        <w:widowControl w:val="0"/>
        <w:autoSpaceDE w:val="0"/>
        <w:autoSpaceDN w:val="0"/>
        <w:adjustRightInd w:val="0"/>
        <w:ind w:left="640" w:hanging="640"/>
        <w:rPr>
          <w:noProof/>
        </w:rPr>
      </w:pPr>
      <w:r w:rsidRPr="005E2996">
        <w:rPr>
          <w:noProof/>
        </w:rPr>
        <w:t>69.</w:t>
      </w:r>
      <w:r w:rsidRPr="005E2996">
        <w:rPr>
          <w:noProof/>
        </w:rPr>
        <w:tab/>
        <w:t xml:space="preserve">Dekkers, O. M., von Elm, E., Algra, A., Romijn, J. A. &amp; Vandenbroucke, J. P. How to assess the external validity of therapeutic trials: A conceptual approach. </w:t>
      </w:r>
      <w:r w:rsidRPr="005E2996">
        <w:rPr>
          <w:i/>
          <w:iCs/>
          <w:noProof/>
        </w:rPr>
        <w:t>Int. J. Epidemiol.</w:t>
      </w:r>
      <w:r w:rsidRPr="005E2996">
        <w:rPr>
          <w:noProof/>
        </w:rPr>
        <w:t xml:space="preserve"> </w:t>
      </w:r>
      <w:r w:rsidRPr="005E2996">
        <w:rPr>
          <w:b/>
          <w:bCs/>
          <w:noProof/>
        </w:rPr>
        <w:t>39</w:t>
      </w:r>
      <w:r w:rsidRPr="005E2996">
        <w:rPr>
          <w:noProof/>
        </w:rPr>
        <w:t>, 89–94 (2010).</w:t>
      </w:r>
    </w:p>
    <w:p w14:paraId="71ECDAB9" w14:textId="77777777" w:rsidR="005E2996" w:rsidRPr="005E2996" w:rsidRDefault="005E2996" w:rsidP="005E2996">
      <w:pPr>
        <w:widowControl w:val="0"/>
        <w:autoSpaceDE w:val="0"/>
        <w:autoSpaceDN w:val="0"/>
        <w:adjustRightInd w:val="0"/>
        <w:ind w:left="640" w:hanging="640"/>
        <w:rPr>
          <w:noProof/>
        </w:rPr>
      </w:pPr>
      <w:r w:rsidRPr="005E2996">
        <w:rPr>
          <w:noProof/>
        </w:rPr>
        <w:t>70.</w:t>
      </w:r>
      <w:r w:rsidRPr="005E2996">
        <w:rPr>
          <w:noProof/>
        </w:rPr>
        <w:tab/>
        <w:t xml:space="preserve">Schloemer, T. &amp; Schröder-Bäck, P. Criteria for evaluating transferability of health interventions: A systematic review and thematic synthesis. </w:t>
      </w:r>
      <w:r w:rsidRPr="005E2996">
        <w:rPr>
          <w:i/>
          <w:iCs/>
          <w:noProof/>
        </w:rPr>
        <w:t>Implement. Sci.</w:t>
      </w:r>
      <w:r w:rsidRPr="005E2996">
        <w:rPr>
          <w:noProof/>
        </w:rPr>
        <w:t xml:space="preserve"> </w:t>
      </w:r>
      <w:r w:rsidRPr="005E2996">
        <w:rPr>
          <w:b/>
          <w:bCs/>
          <w:noProof/>
        </w:rPr>
        <w:t>13</w:t>
      </w:r>
      <w:r w:rsidRPr="005E2996">
        <w:rPr>
          <w:noProof/>
        </w:rPr>
        <w:t>, 1–17 (2018).</w:t>
      </w:r>
    </w:p>
    <w:p w14:paraId="268FD1B6" w14:textId="77777777" w:rsidR="005E2996" w:rsidRPr="005E2996" w:rsidRDefault="005E2996" w:rsidP="005E2996">
      <w:pPr>
        <w:widowControl w:val="0"/>
        <w:autoSpaceDE w:val="0"/>
        <w:autoSpaceDN w:val="0"/>
        <w:adjustRightInd w:val="0"/>
        <w:ind w:left="640" w:hanging="640"/>
        <w:rPr>
          <w:noProof/>
        </w:rPr>
      </w:pPr>
      <w:r w:rsidRPr="005E2996">
        <w:rPr>
          <w:noProof/>
        </w:rPr>
        <w:t>71.</w:t>
      </w:r>
      <w:r w:rsidRPr="005E2996">
        <w:rPr>
          <w:noProof/>
        </w:rPr>
        <w:tab/>
        <w:t xml:space="preserve">Fernandez-Hermida, J. R., Calafat, A., Becoña, E., Tsertsvadze, A. &amp; Foxcroft, D. R. Assessment of generalizability, applicability and predictability (GAP) for evaluating external validity in studies of universal family-based prevention of alcohol misuse in young people: Systematic methodological review of randomized controlled trials. </w:t>
      </w:r>
      <w:r w:rsidRPr="005E2996">
        <w:rPr>
          <w:i/>
          <w:iCs/>
          <w:noProof/>
        </w:rPr>
        <w:t>Addiction</w:t>
      </w:r>
      <w:r w:rsidRPr="005E2996">
        <w:rPr>
          <w:noProof/>
        </w:rPr>
        <w:t xml:space="preserve"> </w:t>
      </w:r>
      <w:r w:rsidRPr="005E2996">
        <w:rPr>
          <w:b/>
          <w:bCs/>
          <w:noProof/>
        </w:rPr>
        <w:t>107</w:t>
      </w:r>
      <w:r w:rsidRPr="005E2996">
        <w:rPr>
          <w:noProof/>
        </w:rPr>
        <w:t>, 1570–1579 (2012).</w:t>
      </w:r>
    </w:p>
    <w:p w14:paraId="766CF92C" w14:textId="77777777" w:rsidR="005E2996" w:rsidRPr="005E2996" w:rsidRDefault="005E2996" w:rsidP="005E2996">
      <w:pPr>
        <w:widowControl w:val="0"/>
        <w:autoSpaceDE w:val="0"/>
        <w:autoSpaceDN w:val="0"/>
        <w:adjustRightInd w:val="0"/>
        <w:ind w:left="640" w:hanging="640"/>
        <w:rPr>
          <w:noProof/>
        </w:rPr>
      </w:pPr>
      <w:r w:rsidRPr="005E2996">
        <w:rPr>
          <w:noProof/>
        </w:rPr>
        <w:t>72.</w:t>
      </w:r>
      <w:r w:rsidRPr="005E2996">
        <w:rPr>
          <w:noProof/>
        </w:rPr>
        <w:tab/>
        <w:t xml:space="preserve">Avellar, S. A. </w:t>
      </w:r>
      <w:r w:rsidRPr="005E2996">
        <w:rPr>
          <w:i/>
          <w:iCs/>
          <w:noProof/>
        </w:rPr>
        <w:t>et al.</w:t>
      </w:r>
      <w:r w:rsidRPr="005E2996">
        <w:rPr>
          <w:noProof/>
        </w:rPr>
        <w:t xml:space="preserve"> External Validity: The Next Step for Systematic Reviews? </w:t>
      </w:r>
      <w:r w:rsidRPr="005E2996">
        <w:rPr>
          <w:i/>
          <w:iCs/>
          <w:noProof/>
        </w:rPr>
        <w:t>Eval. Rev.</w:t>
      </w:r>
      <w:r w:rsidRPr="005E2996">
        <w:rPr>
          <w:noProof/>
        </w:rPr>
        <w:t xml:space="preserve"> </w:t>
      </w:r>
      <w:r w:rsidRPr="005E2996">
        <w:rPr>
          <w:b/>
          <w:bCs/>
          <w:noProof/>
        </w:rPr>
        <w:t>41</w:t>
      </w:r>
      <w:r w:rsidRPr="005E2996">
        <w:rPr>
          <w:noProof/>
        </w:rPr>
        <w:t>, 283–325 (2017).</w:t>
      </w:r>
    </w:p>
    <w:p w14:paraId="4DA006D1" w14:textId="77777777" w:rsidR="005E2996" w:rsidRPr="005E2996" w:rsidRDefault="005E2996" w:rsidP="005E2996">
      <w:pPr>
        <w:widowControl w:val="0"/>
        <w:autoSpaceDE w:val="0"/>
        <w:autoSpaceDN w:val="0"/>
        <w:adjustRightInd w:val="0"/>
        <w:ind w:left="640" w:hanging="640"/>
        <w:rPr>
          <w:noProof/>
        </w:rPr>
      </w:pPr>
      <w:r w:rsidRPr="005E2996">
        <w:rPr>
          <w:noProof/>
        </w:rPr>
        <w:t>73.</w:t>
      </w:r>
      <w:r w:rsidRPr="005E2996">
        <w:rPr>
          <w:noProof/>
        </w:rPr>
        <w:tab/>
        <w:t xml:space="preserve">Bareinboim, E. &amp; Pearl, J. A General Algorithm for Deciding Transportability of Experimental Results. </w:t>
      </w:r>
      <w:r w:rsidRPr="005E2996">
        <w:rPr>
          <w:i/>
          <w:iCs/>
          <w:noProof/>
        </w:rPr>
        <w:t>J. Causal Inference</w:t>
      </w:r>
      <w:r w:rsidRPr="005E2996">
        <w:rPr>
          <w:noProof/>
        </w:rPr>
        <w:t xml:space="preserve"> </w:t>
      </w:r>
      <w:r w:rsidRPr="005E2996">
        <w:rPr>
          <w:b/>
          <w:bCs/>
          <w:noProof/>
        </w:rPr>
        <w:t>1</w:t>
      </w:r>
      <w:r w:rsidRPr="005E2996">
        <w:rPr>
          <w:noProof/>
        </w:rPr>
        <w:t>, 107–134 (2013).</w:t>
      </w:r>
    </w:p>
    <w:p w14:paraId="0F326741" w14:textId="77777777" w:rsidR="005E2996" w:rsidRPr="005E2996" w:rsidRDefault="005E2996" w:rsidP="005E2996">
      <w:pPr>
        <w:widowControl w:val="0"/>
        <w:autoSpaceDE w:val="0"/>
        <w:autoSpaceDN w:val="0"/>
        <w:adjustRightInd w:val="0"/>
        <w:ind w:left="640" w:hanging="640"/>
        <w:rPr>
          <w:noProof/>
        </w:rPr>
      </w:pPr>
      <w:r w:rsidRPr="005E2996">
        <w:rPr>
          <w:noProof/>
        </w:rPr>
        <w:t>74.</w:t>
      </w:r>
      <w:r w:rsidRPr="005E2996">
        <w:rPr>
          <w:noProof/>
        </w:rPr>
        <w:tab/>
        <w:t>Degtiar, I. &amp; Rose, S. A Review of Generalizability and Transportability. 1–30 (2021).</w:t>
      </w:r>
    </w:p>
    <w:p w14:paraId="1BAFEE99" w14:textId="77777777" w:rsidR="005E2996" w:rsidRPr="005E2996" w:rsidRDefault="005E2996" w:rsidP="005E2996">
      <w:pPr>
        <w:widowControl w:val="0"/>
        <w:autoSpaceDE w:val="0"/>
        <w:autoSpaceDN w:val="0"/>
        <w:adjustRightInd w:val="0"/>
        <w:ind w:left="640" w:hanging="640"/>
        <w:rPr>
          <w:noProof/>
        </w:rPr>
      </w:pPr>
      <w:r w:rsidRPr="005E2996">
        <w:rPr>
          <w:noProof/>
        </w:rPr>
        <w:t>75.</w:t>
      </w:r>
      <w:r w:rsidRPr="005E2996">
        <w:rPr>
          <w:noProof/>
        </w:rPr>
        <w:tab/>
        <w:t xml:space="preserve">Bareinboim, E. &amp; Pearl, J. Meta-transportability of causal effects: A formal approach. </w:t>
      </w:r>
      <w:r w:rsidRPr="005E2996">
        <w:rPr>
          <w:i/>
          <w:iCs/>
          <w:noProof/>
        </w:rPr>
        <w:t>J. Mach. Learn. Res.</w:t>
      </w:r>
      <w:r w:rsidRPr="005E2996">
        <w:rPr>
          <w:noProof/>
        </w:rPr>
        <w:t xml:space="preserve"> </w:t>
      </w:r>
      <w:r w:rsidRPr="005E2996">
        <w:rPr>
          <w:b/>
          <w:bCs/>
          <w:noProof/>
        </w:rPr>
        <w:t>31</w:t>
      </w:r>
      <w:r w:rsidRPr="005E2996">
        <w:rPr>
          <w:noProof/>
        </w:rPr>
        <w:t>, 135–143 (2013).</w:t>
      </w:r>
    </w:p>
    <w:p w14:paraId="47613015" w14:textId="77777777" w:rsidR="005E2996" w:rsidRPr="005E2996" w:rsidRDefault="005E2996" w:rsidP="005E2996">
      <w:pPr>
        <w:widowControl w:val="0"/>
        <w:autoSpaceDE w:val="0"/>
        <w:autoSpaceDN w:val="0"/>
        <w:adjustRightInd w:val="0"/>
        <w:ind w:left="640" w:hanging="640"/>
        <w:rPr>
          <w:noProof/>
        </w:rPr>
      </w:pPr>
      <w:r w:rsidRPr="005E2996">
        <w:rPr>
          <w:noProof/>
        </w:rPr>
        <w:t>76.</w:t>
      </w:r>
      <w:r w:rsidRPr="005E2996">
        <w:rPr>
          <w:noProof/>
        </w:rPr>
        <w:tab/>
        <w:t xml:space="preserve">Jamieson, D. Scientific uncertainty: How do we know when to communicate research findings to the public? </w:t>
      </w:r>
      <w:r w:rsidRPr="005E2996">
        <w:rPr>
          <w:i/>
          <w:iCs/>
          <w:noProof/>
        </w:rPr>
        <w:t>Sci. Total Environ.</w:t>
      </w:r>
      <w:r w:rsidRPr="005E2996">
        <w:rPr>
          <w:noProof/>
        </w:rPr>
        <w:t xml:space="preserve"> </w:t>
      </w:r>
      <w:r w:rsidRPr="005E2996">
        <w:rPr>
          <w:b/>
          <w:bCs/>
          <w:noProof/>
        </w:rPr>
        <w:t>184</w:t>
      </w:r>
      <w:r w:rsidRPr="005E2996">
        <w:rPr>
          <w:noProof/>
        </w:rPr>
        <w:t>, 103–107 (1996).</w:t>
      </w:r>
    </w:p>
    <w:p w14:paraId="767E80EC" w14:textId="77777777" w:rsidR="005E2996" w:rsidRPr="005E2996" w:rsidRDefault="005E2996" w:rsidP="005E2996">
      <w:pPr>
        <w:widowControl w:val="0"/>
        <w:autoSpaceDE w:val="0"/>
        <w:autoSpaceDN w:val="0"/>
        <w:adjustRightInd w:val="0"/>
        <w:ind w:left="640" w:hanging="640"/>
        <w:rPr>
          <w:noProof/>
        </w:rPr>
      </w:pPr>
      <w:r w:rsidRPr="005E2996">
        <w:rPr>
          <w:noProof/>
        </w:rPr>
        <w:t>77.</w:t>
      </w:r>
      <w:r w:rsidRPr="005E2996">
        <w:rPr>
          <w:noProof/>
        </w:rPr>
        <w:tab/>
        <w:t xml:space="preserve">Burchett, H. E. D., Mayhew, S. H., Lavis, J. N. &amp; Dobrow, M. J. When can research from one setting be useful in another Understanding perceptions of the applicability </w:t>
      </w:r>
      <w:r w:rsidRPr="005E2996">
        <w:rPr>
          <w:noProof/>
        </w:rPr>
        <w:lastRenderedPageBreak/>
        <w:t xml:space="preserve">and transferability of research. </w:t>
      </w:r>
      <w:r w:rsidRPr="005E2996">
        <w:rPr>
          <w:i/>
          <w:iCs/>
          <w:noProof/>
        </w:rPr>
        <w:t>Health Promot. Int.</w:t>
      </w:r>
      <w:r w:rsidRPr="005E2996">
        <w:rPr>
          <w:noProof/>
        </w:rPr>
        <w:t xml:space="preserve"> </w:t>
      </w:r>
      <w:r w:rsidRPr="005E2996">
        <w:rPr>
          <w:b/>
          <w:bCs/>
          <w:noProof/>
        </w:rPr>
        <w:t>28</w:t>
      </w:r>
      <w:r w:rsidRPr="005E2996">
        <w:rPr>
          <w:noProof/>
        </w:rPr>
        <w:t>, 418–430 (2013).</w:t>
      </w:r>
    </w:p>
    <w:p w14:paraId="6E24E221" w14:textId="77777777" w:rsidR="005E2996" w:rsidRPr="00A405F1" w:rsidRDefault="005E2996" w:rsidP="005E2996">
      <w:pPr>
        <w:widowControl w:val="0"/>
        <w:autoSpaceDE w:val="0"/>
        <w:autoSpaceDN w:val="0"/>
        <w:adjustRightInd w:val="0"/>
        <w:ind w:left="640" w:hanging="640"/>
        <w:rPr>
          <w:noProof/>
          <w:lang w:val="fr-FR"/>
        </w:rPr>
      </w:pPr>
      <w:r w:rsidRPr="005E2996">
        <w:rPr>
          <w:noProof/>
        </w:rPr>
        <w:t>78.</w:t>
      </w:r>
      <w:r w:rsidRPr="005E2996">
        <w:rPr>
          <w:noProof/>
        </w:rPr>
        <w:tab/>
        <w:t xml:space="preserve">Forscher, P. </w:t>
      </w:r>
      <w:r w:rsidRPr="005E2996">
        <w:rPr>
          <w:i/>
          <w:iCs/>
          <w:noProof/>
        </w:rPr>
        <w:t>et al.</w:t>
      </w:r>
      <w:r w:rsidRPr="005E2996">
        <w:rPr>
          <w:noProof/>
        </w:rPr>
        <w:t xml:space="preserve"> Build up big-team science. </w:t>
      </w:r>
      <w:r w:rsidRPr="00A405F1">
        <w:rPr>
          <w:i/>
          <w:iCs/>
          <w:noProof/>
          <w:lang w:val="fr-FR"/>
        </w:rPr>
        <w:t>Nature</w:t>
      </w:r>
      <w:r w:rsidRPr="00A405F1">
        <w:rPr>
          <w:noProof/>
          <w:lang w:val="fr-FR"/>
        </w:rPr>
        <w:t xml:space="preserve"> </w:t>
      </w:r>
      <w:r w:rsidRPr="00A405F1">
        <w:rPr>
          <w:b/>
          <w:bCs/>
          <w:noProof/>
          <w:lang w:val="fr-FR"/>
        </w:rPr>
        <w:t>601</w:t>
      </w:r>
      <w:r w:rsidRPr="00A405F1">
        <w:rPr>
          <w:noProof/>
          <w:lang w:val="fr-FR"/>
        </w:rPr>
        <w:t>, 505–507 (2022).</w:t>
      </w:r>
    </w:p>
    <w:p w14:paraId="18040AB2" w14:textId="77777777" w:rsidR="005E2996" w:rsidRPr="005E2996" w:rsidRDefault="005E2996" w:rsidP="005E2996">
      <w:pPr>
        <w:widowControl w:val="0"/>
        <w:autoSpaceDE w:val="0"/>
        <w:autoSpaceDN w:val="0"/>
        <w:adjustRightInd w:val="0"/>
        <w:ind w:left="640" w:hanging="640"/>
        <w:rPr>
          <w:noProof/>
        </w:rPr>
      </w:pPr>
      <w:r w:rsidRPr="00A405F1">
        <w:rPr>
          <w:noProof/>
          <w:lang w:val="fr-FR"/>
        </w:rPr>
        <w:t>79.</w:t>
      </w:r>
      <w:r w:rsidRPr="00A405F1">
        <w:rPr>
          <w:noProof/>
          <w:lang w:val="fr-FR"/>
        </w:rPr>
        <w:tab/>
        <w:t xml:space="preserve">Whalen, M. A. </w:t>
      </w:r>
      <w:r w:rsidRPr="00A405F1">
        <w:rPr>
          <w:i/>
          <w:iCs/>
          <w:noProof/>
          <w:lang w:val="fr-FR"/>
        </w:rPr>
        <w:t>et al.</w:t>
      </w:r>
      <w:r w:rsidRPr="00A405F1">
        <w:rPr>
          <w:noProof/>
          <w:lang w:val="fr-FR"/>
        </w:rPr>
        <w:t xml:space="preserve"> </w:t>
      </w:r>
      <w:r w:rsidRPr="005E2996">
        <w:rPr>
          <w:noProof/>
        </w:rPr>
        <w:t xml:space="preserve">Climate drives the geography of marine consumption by changing predator communities. </w:t>
      </w:r>
      <w:r w:rsidRPr="005E2996">
        <w:rPr>
          <w:i/>
          <w:iCs/>
          <w:noProof/>
        </w:rPr>
        <w:t>Proc. Natl. Acad. Sci. U. S. A.</w:t>
      </w:r>
      <w:r w:rsidRPr="005E2996">
        <w:rPr>
          <w:noProof/>
        </w:rPr>
        <w:t xml:space="preserve"> </w:t>
      </w:r>
      <w:r w:rsidRPr="005E2996">
        <w:rPr>
          <w:b/>
          <w:bCs/>
          <w:noProof/>
        </w:rPr>
        <w:t>117</w:t>
      </w:r>
      <w:r w:rsidRPr="005E2996">
        <w:rPr>
          <w:noProof/>
        </w:rPr>
        <w:t>, 28160–28166 (2020).</w:t>
      </w:r>
    </w:p>
    <w:p w14:paraId="6E1B0822" w14:textId="77777777" w:rsidR="005E2996" w:rsidRPr="005E2996" w:rsidRDefault="005E2996" w:rsidP="005E2996">
      <w:pPr>
        <w:widowControl w:val="0"/>
        <w:autoSpaceDE w:val="0"/>
        <w:autoSpaceDN w:val="0"/>
        <w:adjustRightInd w:val="0"/>
        <w:ind w:left="640" w:hanging="640"/>
        <w:rPr>
          <w:noProof/>
        </w:rPr>
      </w:pPr>
      <w:r w:rsidRPr="005E2996">
        <w:rPr>
          <w:noProof/>
        </w:rPr>
        <w:t>80.</w:t>
      </w:r>
      <w:r w:rsidRPr="005E2996">
        <w:rPr>
          <w:noProof/>
        </w:rPr>
        <w:tab/>
        <w:t xml:space="preserve">Moshontz, H. </w:t>
      </w:r>
      <w:r w:rsidRPr="005E2996">
        <w:rPr>
          <w:i/>
          <w:iCs/>
          <w:noProof/>
        </w:rPr>
        <w:t>et al.</w:t>
      </w:r>
      <w:r w:rsidRPr="005E2996">
        <w:rPr>
          <w:noProof/>
        </w:rPr>
        <w:t xml:space="preserve"> The Psychological Science Accelerator : Advancing Psychology through a Distributed Collaborative Network An updated version of this manuscript is published online at Advances in Methods and Practices in Psychological Science ( https://doi.org/10.1177/2515. </w:t>
      </w:r>
      <w:r w:rsidRPr="005E2996">
        <w:rPr>
          <w:i/>
          <w:iCs/>
          <w:noProof/>
        </w:rPr>
        <w:t>Adv. Methods Pract. Psychol. Sci.</w:t>
      </w:r>
      <w:r w:rsidRPr="005E2996">
        <w:rPr>
          <w:noProof/>
        </w:rPr>
        <w:t xml:space="preserve"> </w:t>
      </w:r>
      <w:r w:rsidRPr="005E2996">
        <w:rPr>
          <w:b/>
          <w:bCs/>
          <w:noProof/>
        </w:rPr>
        <w:t>1</w:t>
      </w:r>
      <w:r w:rsidRPr="005E2996">
        <w:rPr>
          <w:noProof/>
        </w:rPr>
        <w:t>, 501–515 (2018).</w:t>
      </w:r>
    </w:p>
    <w:p w14:paraId="1E13E668" w14:textId="77777777" w:rsidR="005E2996" w:rsidRPr="005E2996" w:rsidRDefault="005E2996" w:rsidP="005E2996">
      <w:pPr>
        <w:widowControl w:val="0"/>
        <w:autoSpaceDE w:val="0"/>
        <w:autoSpaceDN w:val="0"/>
        <w:adjustRightInd w:val="0"/>
        <w:ind w:left="640" w:hanging="640"/>
        <w:rPr>
          <w:noProof/>
        </w:rPr>
      </w:pPr>
      <w:r w:rsidRPr="005E2996">
        <w:rPr>
          <w:noProof/>
        </w:rPr>
        <w:t>81.</w:t>
      </w:r>
      <w:r w:rsidRPr="005E2996">
        <w:rPr>
          <w:noProof/>
        </w:rPr>
        <w:tab/>
        <w:t xml:space="preserve">Marschner, I. C. A general framework for the analysis of adaptive experiments. </w:t>
      </w:r>
      <w:r w:rsidRPr="005E2996">
        <w:rPr>
          <w:i/>
          <w:iCs/>
          <w:noProof/>
        </w:rPr>
        <w:t>Stat. Sci.</w:t>
      </w:r>
      <w:r w:rsidRPr="005E2996">
        <w:rPr>
          <w:noProof/>
        </w:rPr>
        <w:t xml:space="preserve"> </w:t>
      </w:r>
      <w:r w:rsidRPr="005E2996">
        <w:rPr>
          <w:b/>
          <w:bCs/>
          <w:noProof/>
        </w:rPr>
        <w:t>36</w:t>
      </w:r>
      <w:r w:rsidRPr="005E2996">
        <w:rPr>
          <w:noProof/>
        </w:rPr>
        <w:t>, 465–492 (2021).</w:t>
      </w:r>
    </w:p>
    <w:p w14:paraId="7C7AE68A" w14:textId="77777777" w:rsidR="005E2996" w:rsidRPr="005E2996" w:rsidRDefault="005E2996" w:rsidP="005E2996">
      <w:pPr>
        <w:widowControl w:val="0"/>
        <w:autoSpaceDE w:val="0"/>
        <w:autoSpaceDN w:val="0"/>
        <w:adjustRightInd w:val="0"/>
        <w:ind w:left="640" w:hanging="640"/>
        <w:rPr>
          <w:noProof/>
        </w:rPr>
      </w:pPr>
      <w:r w:rsidRPr="005E2996">
        <w:rPr>
          <w:noProof/>
        </w:rPr>
        <w:t>82.</w:t>
      </w:r>
      <w:r w:rsidRPr="005E2996">
        <w:rPr>
          <w:noProof/>
        </w:rPr>
        <w:tab/>
        <w:t xml:space="preserve">Mengersen, K., Gurevitch, J. &amp; Schmid, C. H. Meta-analysis of Primary Data. in </w:t>
      </w:r>
      <w:r w:rsidRPr="005E2996">
        <w:rPr>
          <w:i/>
          <w:iCs/>
          <w:noProof/>
        </w:rPr>
        <w:t>Handbook of Meta-analysis in Ecology and Evolution</w:t>
      </w:r>
      <w:r w:rsidRPr="005E2996">
        <w:rPr>
          <w:noProof/>
        </w:rPr>
        <w:t xml:space="preserve"> (eds. Koricheva, U., Gurevitch, J. &amp; Mengersen, K.) (Princeton University Press, 2013).</w:t>
      </w:r>
    </w:p>
    <w:p w14:paraId="11EB3645" w14:textId="77777777" w:rsidR="005E2996" w:rsidRPr="005E2996" w:rsidRDefault="005E2996" w:rsidP="005E2996">
      <w:pPr>
        <w:widowControl w:val="0"/>
        <w:autoSpaceDE w:val="0"/>
        <w:autoSpaceDN w:val="0"/>
        <w:adjustRightInd w:val="0"/>
        <w:ind w:left="640" w:hanging="640"/>
        <w:rPr>
          <w:noProof/>
        </w:rPr>
      </w:pPr>
      <w:r w:rsidRPr="005E2996">
        <w:rPr>
          <w:noProof/>
        </w:rPr>
        <w:t>83.</w:t>
      </w:r>
      <w:r w:rsidRPr="005E2996">
        <w:rPr>
          <w:noProof/>
        </w:rPr>
        <w:tab/>
        <w:t xml:space="preserve">Hudson, L. N. </w:t>
      </w:r>
      <w:r w:rsidRPr="005E2996">
        <w:rPr>
          <w:i/>
          <w:iCs/>
          <w:noProof/>
        </w:rPr>
        <w:t>et al.</w:t>
      </w:r>
      <w:r w:rsidRPr="005E2996">
        <w:rPr>
          <w:noProof/>
        </w:rPr>
        <w:t xml:space="preserve"> The database of the PREDICTS (Projecting Responses of Ecological Diversity In Changing Terrestrial Systems) project. </w:t>
      </w:r>
      <w:r w:rsidRPr="005E2996">
        <w:rPr>
          <w:i/>
          <w:iCs/>
          <w:noProof/>
        </w:rPr>
        <w:t>Ecol. Evol.</w:t>
      </w:r>
      <w:r w:rsidRPr="005E2996">
        <w:rPr>
          <w:noProof/>
        </w:rPr>
        <w:t xml:space="preserve"> </w:t>
      </w:r>
      <w:r w:rsidRPr="005E2996">
        <w:rPr>
          <w:b/>
          <w:bCs/>
          <w:noProof/>
        </w:rPr>
        <w:t>7</w:t>
      </w:r>
      <w:r w:rsidRPr="005E2996">
        <w:rPr>
          <w:noProof/>
        </w:rPr>
        <w:t>, 145–188 (2017).</w:t>
      </w:r>
    </w:p>
    <w:p w14:paraId="078DAB8B" w14:textId="77777777" w:rsidR="005E2996" w:rsidRPr="005E2996" w:rsidRDefault="005E2996" w:rsidP="005E2996">
      <w:pPr>
        <w:widowControl w:val="0"/>
        <w:autoSpaceDE w:val="0"/>
        <w:autoSpaceDN w:val="0"/>
        <w:adjustRightInd w:val="0"/>
        <w:ind w:left="640" w:hanging="640"/>
        <w:rPr>
          <w:noProof/>
        </w:rPr>
      </w:pPr>
      <w:r w:rsidRPr="005E2996">
        <w:rPr>
          <w:noProof/>
        </w:rPr>
        <w:t>84.</w:t>
      </w:r>
      <w:r w:rsidRPr="005E2996">
        <w:rPr>
          <w:noProof/>
        </w:rPr>
        <w:tab/>
        <w:t xml:space="preserve">M, D., Antão, L., F, M., AE, B. &amp; AE, M. BioTIME: A database of biodiversity time series for the Anthropocene. </w:t>
      </w:r>
      <w:r w:rsidRPr="005E2996">
        <w:rPr>
          <w:i/>
          <w:iCs/>
          <w:noProof/>
        </w:rPr>
        <w:t>Glob. Ecol. Biogeogr.</w:t>
      </w:r>
      <w:r w:rsidRPr="005E2996">
        <w:rPr>
          <w:noProof/>
        </w:rPr>
        <w:t xml:space="preserve"> </w:t>
      </w:r>
      <w:r w:rsidRPr="005E2996">
        <w:rPr>
          <w:b/>
          <w:bCs/>
          <w:noProof/>
        </w:rPr>
        <w:t>27</w:t>
      </w:r>
      <w:r w:rsidRPr="005E2996">
        <w:rPr>
          <w:noProof/>
        </w:rPr>
        <w:t>, 760–786 (2018).</w:t>
      </w:r>
    </w:p>
    <w:p w14:paraId="60FAA8FE" w14:textId="77777777" w:rsidR="005E2996" w:rsidRPr="00A405F1" w:rsidRDefault="005E2996" w:rsidP="005E2996">
      <w:pPr>
        <w:widowControl w:val="0"/>
        <w:autoSpaceDE w:val="0"/>
        <w:autoSpaceDN w:val="0"/>
        <w:adjustRightInd w:val="0"/>
        <w:ind w:left="640" w:hanging="640"/>
        <w:rPr>
          <w:noProof/>
          <w:lang w:val="es-MX"/>
        </w:rPr>
      </w:pPr>
      <w:r w:rsidRPr="005E2996">
        <w:rPr>
          <w:noProof/>
        </w:rPr>
        <w:t>85.</w:t>
      </w:r>
      <w:r w:rsidRPr="005E2996">
        <w:rPr>
          <w:noProof/>
        </w:rPr>
        <w:tab/>
        <w:t xml:space="preserve">Salguero-Gómez, R. </w:t>
      </w:r>
      <w:r w:rsidRPr="005E2996">
        <w:rPr>
          <w:i/>
          <w:iCs/>
          <w:noProof/>
        </w:rPr>
        <w:t>et al.</w:t>
      </w:r>
      <w:r w:rsidRPr="005E2996">
        <w:rPr>
          <w:noProof/>
        </w:rPr>
        <w:t xml:space="preserve"> The compadre Plant Matrix Database: An open online repository for plant demography. </w:t>
      </w:r>
      <w:r w:rsidRPr="00A405F1">
        <w:rPr>
          <w:i/>
          <w:iCs/>
          <w:noProof/>
          <w:lang w:val="es-MX"/>
        </w:rPr>
        <w:t>J. Ecol.</w:t>
      </w:r>
      <w:r w:rsidRPr="00A405F1">
        <w:rPr>
          <w:noProof/>
          <w:lang w:val="es-MX"/>
        </w:rPr>
        <w:t xml:space="preserve"> </w:t>
      </w:r>
      <w:r w:rsidRPr="00A405F1">
        <w:rPr>
          <w:b/>
          <w:bCs/>
          <w:noProof/>
          <w:lang w:val="es-MX"/>
        </w:rPr>
        <w:t>103</w:t>
      </w:r>
      <w:r w:rsidRPr="00A405F1">
        <w:rPr>
          <w:noProof/>
          <w:lang w:val="es-MX"/>
        </w:rPr>
        <w:t>, 202–218 (2015).</w:t>
      </w:r>
    </w:p>
    <w:p w14:paraId="0B320CA4" w14:textId="77777777" w:rsidR="005E2996" w:rsidRPr="005E2996" w:rsidRDefault="005E2996" w:rsidP="005E2996">
      <w:pPr>
        <w:widowControl w:val="0"/>
        <w:autoSpaceDE w:val="0"/>
        <w:autoSpaceDN w:val="0"/>
        <w:adjustRightInd w:val="0"/>
        <w:ind w:left="640" w:hanging="640"/>
        <w:rPr>
          <w:noProof/>
        </w:rPr>
      </w:pPr>
      <w:r w:rsidRPr="00A405F1">
        <w:rPr>
          <w:noProof/>
          <w:lang w:val="es-MX"/>
        </w:rPr>
        <w:t>86.</w:t>
      </w:r>
      <w:r w:rsidRPr="00A405F1">
        <w:rPr>
          <w:noProof/>
          <w:lang w:val="es-MX"/>
        </w:rPr>
        <w:tab/>
        <w:t xml:space="preserve">Salguero-Gómez, R. </w:t>
      </w:r>
      <w:r w:rsidRPr="00A405F1">
        <w:rPr>
          <w:i/>
          <w:iCs/>
          <w:noProof/>
          <w:lang w:val="es-MX"/>
        </w:rPr>
        <w:t>et al.</w:t>
      </w:r>
      <w:r w:rsidRPr="00A405F1">
        <w:rPr>
          <w:noProof/>
          <w:lang w:val="es-MX"/>
        </w:rPr>
        <w:t xml:space="preserve"> COMADRE: A global data base of animal demography. </w:t>
      </w:r>
      <w:r w:rsidRPr="005E2996">
        <w:rPr>
          <w:i/>
          <w:iCs/>
          <w:noProof/>
        </w:rPr>
        <w:t>J. Anim. Ecol.</w:t>
      </w:r>
      <w:r w:rsidRPr="005E2996">
        <w:rPr>
          <w:noProof/>
        </w:rPr>
        <w:t xml:space="preserve"> </w:t>
      </w:r>
      <w:r w:rsidRPr="005E2996">
        <w:rPr>
          <w:b/>
          <w:bCs/>
          <w:noProof/>
        </w:rPr>
        <w:t>85</w:t>
      </w:r>
      <w:r w:rsidRPr="005E2996">
        <w:rPr>
          <w:noProof/>
        </w:rPr>
        <w:t>, 371–384 (2016).</w:t>
      </w:r>
    </w:p>
    <w:p w14:paraId="1A1BA66E" w14:textId="77777777" w:rsidR="005E2996" w:rsidRPr="005E2996" w:rsidRDefault="005E2996" w:rsidP="005E2996">
      <w:pPr>
        <w:widowControl w:val="0"/>
        <w:autoSpaceDE w:val="0"/>
        <w:autoSpaceDN w:val="0"/>
        <w:adjustRightInd w:val="0"/>
        <w:ind w:left="640" w:hanging="640"/>
        <w:rPr>
          <w:noProof/>
        </w:rPr>
      </w:pPr>
      <w:r w:rsidRPr="005E2996">
        <w:rPr>
          <w:noProof/>
        </w:rPr>
        <w:t>87.</w:t>
      </w:r>
      <w:r w:rsidRPr="005E2996">
        <w:rPr>
          <w:noProof/>
        </w:rPr>
        <w:tab/>
        <w:t xml:space="preserve">Pastor, D. A. &amp; Lazowski, R. A. On the Multilevel Nature of Meta-Analysis: A Tutorial, Comparison of Software  Programs, and Discussion of Analytic Choices. </w:t>
      </w:r>
      <w:r w:rsidRPr="005E2996">
        <w:rPr>
          <w:i/>
          <w:iCs/>
          <w:noProof/>
        </w:rPr>
        <w:t>Multivariate Behav. Res.</w:t>
      </w:r>
      <w:r w:rsidRPr="005E2996">
        <w:rPr>
          <w:noProof/>
        </w:rPr>
        <w:t xml:space="preserve"> </w:t>
      </w:r>
      <w:r w:rsidRPr="005E2996">
        <w:rPr>
          <w:b/>
          <w:bCs/>
          <w:noProof/>
        </w:rPr>
        <w:t>53</w:t>
      </w:r>
      <w:r w:rsidRPr="005E2996">
        <w:rPr>
          <w:noProof/>
        </w:rPr>
        <w:t>, 74–89 (2018).</w:t>
      </w:r>
    </w:p>
    <w:p w14:paraId="31CC7BF0" w14:textId="77777777" w:rsidR="005E2996" w:rsidRPr="005E2996" w:rsidRDefault="005E2996" w:rsidP="005E2996">
      <w:pPr>
        <w:widowControl w:val="0"/>
        <w:autoSpaceDE w:val="0"/>
        <w:autoSpaceDN w:val="0"/>
        <w:adjustRightInd w:val="0"/>
        <w:ind w:left="640" w:hanging="640"/>
        <w:rPr>
          <w:noProof/>
        </w:rPr>
      </w:pPr>
      <w:r w:rsidRPr="005E2996">
        <w:rPr>
          <w:noProof/>
        </w:rPr>
        <w:t>88.</w:t>
      </w:r>
      <w:r w:rsidRPr="005E2996">
        <w:rPr>
          <w:noProof/>
        </w:rPr>
        <w:tab/>
        <w:t xml:space="preserve">Spake, R. </w:t>
      </w:r>
      <w:r w:rsidRPr="005E2996">
        <w:rPr>
          <w:i/>
          <w:iCs/>
          <w:noProof/>
        </w:rPr>
        <w:t>et al.</w:t>
      </w:r>
      <w:r w:rsidRPr="005E2996">
        <w:rPr>
          <w:noProof/>
        </w:rPr>
        <w:t xml:space="preserve"> Meta‐analysis of management effects on biodiversity in plantation and secondary forests of Japan. </w:t>
      </w:r>
      <w:r w:rsidRPr="005E2996">
        <w:rPr>
          <w:i/>
          <w:iCs/>
          <w:noProof/>
        </w:rPr>
        <w:t>Conserv. Sci. Pract.</w:t>
      </w:r>
      <w:r w:rsidRPr="005E2996">
        <w:rPr>
          <w:noProof/>
        </w:rPr>
        <w:t xml:space="preserve"> </w:t>
      </w:r>
      <w:r w:rsidRPr="005E2996">
        <w:rPr>
          <w:b/>
          <w:bCs/>
          <w:noProof/>
        </w:rPr>
        <w:t>1</w:t>
      </w:r>
      <w:r w:rsidRPr="005E2996">
        <w:rPr>
          <w:noProof/>
        </w:rPr>
        <w:t>, e14 (2019).</w:t>
      </w:r>
    </w:p>
    <w:p w14:paraId="0CBB85F3" w14:textId="77777777" w:rsidR="005E2996" w:rsidRPr="005E2996" w:rsidRDefault="005E2996" w:rsidP="005E2996">
      <w:pPr>
        <w:widowControl w:val="0"/>
        <w:autoSpaceDE w:val="0"/>
        <w:autoSpaceDN w:val="0"/>
        <w:adjustRightInd w:val="0"/>
        <w:ind w:left="640" w:hanging="640"/>
        <w:rPr>
          <w:noProof/>
        </w:rPr>
      </w:pPr>
      <w:r w:rsidRPr="005E2996">
        <w:rPr>
          <w:noProof/>
        </w:rPr>
        <w:t>89.</w:t>
      </w:r>
      <w:r w:rsidRPr="005E2996">
        <w:rPr>
          <w:noProof/>
        </w:rPr>
        <w:tab/>
        <w:t xml:space="preserve">Forestry Agency of Japan. Forest Ecosystem Diversity Basic Survey (in Japanese). </w:t>
      </w:r>
      <w:r w:rsidRPr="005E2996">
        <w:rPr>
          <w:noProof/>
        </w:rPr>
        <w:lastRenderedPageBreak/>
        <w:t>Available online at: https://www.rinya.maff.go.jp/j/keikaku/tayouseichousa/index.html. (2019).</w:t>
      </w:r>
    </w:p>
    <w:p w14:paraId="110E7400" w14:textId="77777777" w:rsidR="005E2996" w:rsidRPr="005E2996" w:rsidRDefault="005E2996" w:rsidP="005E2996">
      <w:pPr>
        <w:widowControl w:val="0"/>
        <w:autoSpaceDE w:val="0"/>
        <w:autoSpaceDN w:val="0"/>
        <w:adjustRightInd w:val="0"/>
        <w:ind w:left="640" w:hanging="640"/>
        <w:rPr>
          <w:noProof/>
        </w:rPr>
      </w:pPr>
      <w:r w:rsidRPr="005E2996">
        <w:rPr>
          <w:noProof/>
        </w:rPr>
        <w:t>90.</w:t>
      </w:r>
      <w:r w:rsidRPr="005E2996">
        <w:rPr>
          <w:noProof/>
        </w:rPr>
        <w:tab/>
        <w:t xml:space="preserve">S, I., S, I., N, M. &amp; GP, B. Maintaining plant species composition and diversity of understory vegetation under strip-clearcutting forestry in conifer plantations in Kyushu, southern Japan. </w:t>
      </w:r>
      <w:r w:rsidRPr="005E2996">
        <w:rPr>
          <w:i/>
          <w:iCs/>
          <w:noProof/>
        </w:rPr>
        <w:t>For. Ecol. Manage.</w:t>
      </w:r>
      <w:r w:rsidRPr="005E2996">
        <w:rPr>
          <w:noProof/>
        </w:rPr>
        <w:t xml:space="preserve"> </w:t>
      </w:r>
      <w:r w:rsidRPr="005E2996">
        <w:rPr>
          <w:b/>
          <w:bCs/>
          <w:noProof/>
        </w:rPr>
        <w:t>231</w:t>
      </w:r>
      <w:r w:rsidRPr="005E2996">
        <w:rPr>
          <w:noProof/>
        </w:rPr>
        <w:t>, 234–241 (2006).</w:t>
      </w:r>
    </w:p>
    <w:p w14:paraId="7284EABB" w14:textId="77777777" w:rsidR="005E2996" w:rsidRPr="005E2996" w:rsidRDefault="005E2996" w:rsidP="005E2996">
      <w:pPr>
        <w:widowControl w:val="0"/>
        <w:autoSpaceDE w:val="0"/>
        <w:autoSpaceDN w:val="0"/>
        <w:adjustRightInd w:val="0"/>
        <w:ind w:left="640" w:hanging="640"/>
        <w:rPr>
          <w:noProof/>
        </w:rPr>
      </w:pPr>
      <w:r w:rsidRPr="005E2996">
        <w:rPr>
          <w:noProof/>
        </w:rPr>
        <w:t>91.</w:t>
      </w:r>
      <w:r w:rsidRPr="005E2996">
        <w:rPr>
          <w:noProof/>
        </w:rPr>
        <w:tab/>
        <w:t xml:space="preserve">Utsugi, E. </w:t>
      </w:r>
      <w:r w:rsidRPr="005E2996">
        <w:rPr>
          <w:i/>
          <w:iCs/>
          <w:noProof/>
        </w:rPr>
        <w:t>et al.</w:t>
      </w:r>
      <w:r w:rsidRPr="005E2996">
        <w:rPr>
          <w:noProof/>
        </w:rPr>
        <w:t xml:space="preserve"> Hardwood recruitment into conifer plantations in Japan: Effects of thinning and distance from neighboring hardwood forests. </w:t>
      </w:r>
      <w:r w:rsidRPr="005E2996">
        <w:rPr>
          <w:i/>
          <w:iCs/>
          <w:noProof/>
        </w:rPr>
        <w:t>For. Ecol. Manage.</w:t>
      </w:r>
      <w:r w:rsidRPr="005E2996">
        <w:rPr>
          <w:noProof/>
        </w:rPr>
        <w:t xml:space="preserve"> </w:t>
      </w:r>
      <w:r w:rsidRPr="005E2996">
        <w:rPr>
          <w:b/>
          <w:bCs/>
          <w:noProof/>
        </w:rPr>
        <w:t>237</w:t>
      </w:r>
      <w:r w:rsidRPr="005E2996">
        <w:rPr>
          <w:noProof/>
        </w:rPr>
        <w:t>, 15–28 (2006).</w:t>
      </w:r>
    </w:p>
    <w:p w14:paraId="702DF3C1" w14:textId="77777777" w:rsidR="005E2996" w:rsidRPr="005E2996" w:rsidRDefault="005E2996" w:rsidP="005E2996">
      <w:pPr>
        <w:widowControl w:val="0"/>
        <w:autoSpaceDE w:val="0"/>
        <w:autoSpaceDN w:val="0"/>
        <w:adjustRightInd w:val="0"/>
        <w:ind w:left="640" w:hanging="640"/>
        <w:rPr>
          <w:noProof/>
        </w:rPr>
      </w:pPr>
      <w:r w:rsidRPr="005E2996">
        <w:rPr>
          <w:noProof/>
        </w:rPr>
        <w:t>92.</w:t>
      </w:r>
      <w:r w:rsidRPr="005E2996">
        <w:rPr>
          <w:noProof/>
        </w:rPr>
        <w:tab/>
        <w:t xml:space="preserve">Kominami, Y. </w:t>
      </w:r>
      <w:r w:rsidRPr="005E2996">
        <w:rPr>
          <w:i/>
          <w:iCs/>
          <w:noProof/>
        </w:rPr>
        <w:t>et al.</w:t>
      </w:r>
      <w:r w:rsidRPr="005E2996">
        <w:rPr>
          <w:noProof/>
        </w:rPr>
        <w:t xml:space="preserve"> Classification of bird-dispersed plants by fruiting phenology, fruit size, and growth form in a primary lucidophyllous forest: an analysis, with implications for the conservation of fruit–bird interactions. </w:t>
      </w:r>
      <w:r w:rsidRPr="005E2996">
        <w:rPr>
          <w:i/>
          <w:iCs/>
          <w:noProof/>
        </w:rPr>
        <w:t>Ornthological Sci.</w:t>
      </w:r>
      <w:r w:rsidRPr="005E2996">
        <w:rPr>
          <w:noProof/>
        </w:rPr>
        <w:t xml:space="preserve"> </w:t>
      </w:r>
      <w:r w:rsidRPr="005E2996">
        <w:rPr>
          <w:b/>
          <w:bCs/>
          <w:noProof/>
        </w:rPr>
        <w:t>2</w:t>
      </w:r>
      <w:r w:rsidRPr="005E2996">
        <w:rPr>
          <w:noProof/>
        </w:rPr>
        <w:t>, 3–23 (2003).</w:t>
      </w:r>
    </w:p>
    <w:p w14:paraId="2DED1BA4" w14:textId="77777777" w:rsidR="005E2996" w:rsidRPr="005E2996" w:rsidRDefault="005E2996" w:rsidP="005E2996">
      <w:pPr>
        <w:widowControl w:val="0"/>
        <w:autoSpaceDE w:val="0"/>
        <w:autoSpaceDN w:val="0"/>
        <w:adjustRightInd w:val="0"/>
        <w:ind w:left="640" w:hanging="640"/>
        <w:rPr>
          <w:noProof/>
        </w:rPr>
      </w:pPr>
      <w:r w:rsidRPr="005E2996">
        <w:rPr>
          <w:noProof/>
        </w:rPr>
        <w:t>93.</w:t>
      </w:r>
      <w:r w:rsidRPr="005E2996">
        <w:rPr>
          <w:noProof/>
        </w:rPr>
        <w:tab/>
        <w:t xml:space="preserve">Tsujino, R. &amp; Matsui, K. Forest regeneration inhibition in a mixed broadleaf-conifer forest under sika deer pressure. </w:t>
      </w:r>
      <w:r w:rsidRPr="005E2996">
        <w:rPr>
          <w:i/>
          <w:iCs/>
          <w:noProof/>
        </w:rPr>
        <w:t>J. For. Res.</w:t>
      </w:r>
      <w:r w:rsidRPr="005E2996">
        <w:rPr>
          <w:noProof/>
        </w:rPr>
        <w:t xml:space="preserve"> </w:t>
      </w:r>
      <w:r w:rsidRPr="005E2996">
        <w:rPr>
          <w:b/>
          <w:bCs/>
          <w:noProof/>
        </w:rPr>
        <w:t>00</w:t>
      </w:r>
      <w:r w:rsidRPr="005E2996">
        <w:rPr>
          <w:noProof/>
        </w:rPr>
        <w:t>, 1–6 (2021).</w:t>
      </w:r>
    </w:p>
    <w:p w14:paraId="7C4A2509" w14:textId="77777777" w:rsidR="005E2996" w:rsidRPr="005E2996" w:rsidRDefault="005E2996" w:rsidP="005E2996">
      <w:pPr>
        <w:widowControl w:val="0"/>
        <w:autoSpaceDE w:val="0"/>
        <w:autoSpaceDN w:val="0"/>
        <w:adjustRightInd w:val="0"/>
        <w:ind w:left="640" w:hanging="640"/>
        <w:rPr>
          <w:noProof/>
        </w:rPr>
      </w:pPr>
      <w:r w:rsidRPr="005E2996">
        <w:rPr>
          <w:noProof/>
        </w:rPr>
        <w:t>94.</w:t>
      </w:r>
      <w:r w:rsidRPr="005E2996">
        <w:rPr>
          <w:noProof/>
        </w:rPr>
        <w:tab/>
        <w:t xml:space="preserve">Spake, R., Soga, M., Catford, J. A. &amp; Eigenbrod, F. Applying the stress-gradient hypothesis to curb the spread of invasive bamboo. </w:t>
      </w:r>
      <w:r w:rsidRPr="005E2996">
        <w:rPr>
          <w:i/>
          <w:iCs/>
          <w:noProof/>
        </w:rPr>
        <w:t>J. Appl. Ecol.</w:t>
      </w:r>
      <w:r w:rsidRPr="005E2996">
        <w:rPr>
          <w:noProof/>
        </w:rPr>
        <w:t xml:space="preserve"> </w:t>
      </w:r>
      <w:r w:rsidRPr="005E2996">
        <w:rPr>
          <w:b/>
          <w:bCs/>
          <w:noProof/>
        </w:rPr>
        <w:t>58</w:t>
      </w:r>
      <w:r w:rsidRPr="005E2996">
        <w:rPr>
          <w:noProof/>
        </w:rPr>
        <w:t>, 1993–2003 (2021).</w:t>
      </w:r>
    </w:p>
    <w:p w14:paraId="437BCEE5" w14:textId="77777777" w:rsidR="005E2996" w:rsidRPr="005E2996" w:rsidRDefault="005E2996" w:rsidP="005E2996">
      <w:pPr>
        <w:widowControl w:val="0"/>
        <w:autoSpaceDE w:val="0"/>
        <w:autoSpaceDN w:val="0"/>
        <w:adjustRightInd w:val="0"/>
        <w:ind w:left="640" w:hanging="640"/>
        <w:rPr>
          <w:noProof/>
        </w:rPr>
      </w:pPr>
      <w:r w:rsidRPr="005E2996">
        <w:rPr>
          <w:noProof/>
        </w:rPr>
        <w:t>95.</w:t>
      </w:r>
      <w:r w:rsidRPr="005E2996">
        <w:rPr>
          <w:noProof/>
        </w:rPr>
        <w:tab/>
        <w:t>Clark, M. Shrinkage in mixed effects models. Available at: https://m-clark.github.io/posts/2019-05-14-shrinkage-in-mixed-models/. Last accessed 18 November 2020. (2019).</w:t>
      </w:r>
    </w:p>
    <w:p w14:paraId="7FBCEE25" w14:textId="77777777" w:rsidR="005E2996" w:rsidRPr="005E2996" w:rsidRDefault="005E2996" w:rsidP="005E2996">
      <w:pPr>
        <w:widowControl w:val="0"/>
        <w:autoSpaceDE w:val="0"/>
        <w:autoSpaceDN w:val="0"/>
        <w:adjustRightInd w:val="0"/>
        <w:ind w:left="640" w:hanging="640"/>
        <w:rPr>
          <w:noProof/>
        </w:rPr>
      </w:pPr>
      <w:r w:rsidRPr="005E2996">
        <w:rPr>
          <w:noProof/>
        </w:rPr>
        <w:t>96.</w:t>
      </w:r>
      <w:r w:rsidRPr="005E2996">
        <w:rPr>
          <w:noProof/>
        </w:rPr>
        <w:tab/>
        <w:t xml:space="preserve">Gurevitch, J. &amp; Hedges, L. V. Statistical issues in ecological meta-analyses. </w:t>
      </w:r>
      <w:r w:rsidRPr="005E2996">
        <w:rPr>
          <w:i/>
          <w:iCs/>
          <w:noProof/>
        </w:rPr>
        <w:t>Ecology</w:t>
      </w:r>
      <w:r w:rsidRPr="005E2996">
        <w:rPr>
          <w:noProof/>
        </w:rPr>
        <w:t xml:space="preserve"> </w:t>
      </w:r>
      <w:r w:rsidRPr="005E2996">
        <w:rPr>
          <w:b/>
          <w:bCs/>
          <w:noProof/>
        </w:rPr>
        <w:t>80</w:t>
      </w:r>
      <w:r w:rsidRPr="005E2996">
        <w:rPr>
          <w:noProof/>
        </w:rPr>
        <w:t>, 1142–1149 (1999).</w:t>
      </w:r>
    </w:p>
    <w:p w14:paraId="3566DB88" w14:textId="228C7C27" w:rsidR="004615F7" w:rsidRDefault="008E158C" w:rsidP="008E158C">
      <w:r>
        <w:fldChar w:fldCharType="end"/>
      </w:r>
    </w:p>
    <w:p w14:paraId="0283A669" w14:textId="77777777" w:rsidR="004615F7" w:rsidRDefault="004615F7">
      <w:r>
        <w:br w:type="page"/>
      </w:r>
    </w:p>
    <w:p w14:paraId="7D8C6263" w14:textId="77777777" w:rsidR="004615F7" w:rsidRDefault="004615F7" w:rsidP="004615F7">
      <w:pPr>
        <w:pStyle w:val="Heading2"/>
      </w:pPr>
      <w:r>
        <w:lastRenderedPageBreak/>
        <w:t xml:space="preserve">Box 1. </w:t>
      </w:r>
      <w:r>
        <w:tab/>
        <w:t xml:space="preserve">Current practices in quantitative synthesis </w:t>
      </w:r>
    </w:p>
    <w:p w14:paraId="0DA768FA" w14:textId="6E769BBE" w:rsidR="004615F7" w:rsidRDefault="004615F7" w:rsidP="004615F7">
      <w:pPr>
        <w:spacing w:after="0"/>
        <w:ind w:left="-181" w:right="-318"/>
        <w:rPr>
          <w:rFonts w:ascii="Arial" w:eastAsia="Arial" w:hAnsi="Arial" w:cs="Arial"/>
          <w:sz w:val="20"/>
          <w:szCs w:val="20"/>
        </w:rPr>
      </w:pPr>
      <w:r>
        <w:rPr>
          <w:rFonts w:ascii="Arial" w:eastAsia="Arial" w:hAnsi="Arial" w:cs="Arial"/>
          <w:sz w:val="20"/>
          <w:szCs w:val="20"/>
        </w:rPr>
        <w:t xml:space="preserve">Two approaches to quantitative synthesis are widely used: </w:t>
      </w:r>
      <w:r w:rsidR="00100ECF">
        <w:rPr>
          <w:rFonts w:ascii="Arial" w:eastAsia="Arial" w:hAnsi="Arial" w:cs="Arial"/>
          <w:sz w:val="20"/>
          <w:szCs w:val="20"/>
        </w:rPr>
        <w:t xml:space="preserve">(a) </w:t>
      </w:r>
      <w:r>
        <w:rPr>
          <w:rFonts w:ascii="Arial" w:eastAsia="Arial" w:hAnsi="Arial" w:cs="Arial"/>
          <w:sz w:val="20"/>
          <w:szCs w:val="20"/>
        </w:rPr>
        <w:t>the meta-analysis of study-level summary statistics (hereafter ‘meta-analysis’), which require</w:t>
      </w:r>
      <w:r w:rsidR="00100ECF">
        <w:rPr>
          <w:rFonts w:ascii="Arial" w:eastAsia="Arial" w:hAnsi="Arial" w:cs="Arial"/>
          <w:sz w:val="20"/>
          <w:szCs w:val="20"/>
        </w:rPr>
        <w:t>s</w:t>
      </w:r>
      <w:r>
        <w:rPr>
          <w:rFonts w:ascii="Arial" w:eastAsia="Arial" w:hAnsi="Arial" w:cs="Arial"/>
          <w:sz w:val="20"/>
          <w:szCs w:val="20"/>
        </w:rPr>
        <w:t xml:space="preserve"> treatment</w:t>
      </w:r>
      <w:r w:rsidR="00100ECF">
        <w:rPr>
          <w:rFonts w:ascii="Arial" w:eastAsia="Arial" w:hAnsi="Arial" w:cs="Arial"/>
          <w:sz w:val="20"/>
          <w:szCs w:val="20"/>
        </w:rPr>
        <w:t>-</w:t>
      </w:r>
      <w:r>
        <w:rPr>
          <w:rFonts w:ascii="Arial" w:eastAsia="Arial" w:hAnsi="Arial" w:cs="Arial"/>
          <w:sz w:val="20"/>
          <w:szCs w:val="20"/>
        </w:rPr>
        <w:t>level means</w:t>
      </w:r>
      <w:r w:rsidR="00100ECF">
        <w:rPr>
          <w:rFonts w:ascii="Arial" w:eastAsia="Arial" w:hAnsi="Arial" w:cs="Arial"/>
          <w:sz w:val="20"/>
          <w:szCs w:val="20"/>
        </w:rPr>
        <w:t>, standard deviations and</w:t>
      </w:r>
      <w:r>
        <w:rPr>
          <w:rFonts w:ascii="Arial" w:eastAsia="Arial" w:hAnsi="Arial" w:cs="Arial"/>
          <w:sz w:val="20"/>
          <w:szCs w:val="20"/>
        </w:rPr>
        <w:t xml:space="preserve"> sample sizes</w:t>
      </w:r>
      <w:r w:rsidR="00100ECF">
        <w:rPr>
          <w:rFonts w:ascii="Arial" w:eastAsia="Arial" w:hAnsi="Arial" w:cs="Arial"/>
          <w:sz w:val="20"/>
          <w:szCs w:val="20"/>
        </w:rPr>
        <w:t>; (b)</w:t>
      </w:r>
      <w:r>
        <w:rPr>
          <w:rFonts w:ascii="Arial" w:eastAsia="Arial" w:hAnsi="Arial" w:cs="Arial"/>
          <w:sz w:val="20"/>
          <w:szCs w:val="20"/>
        </w:rPr>
        <w:t xml:space="preserve"> full-data analyses that fit multilevel (generalised) linear mixed models to raw, site-level observations, hereafter ‘full-data analysis’</w:t>
      </w:r>
      <w:r w:rsidR="00100ECF">
        <w:rPr>
          <w:rFonts w:ascii="Arial" w:eastAsia="Arial" w:hAnsi="Arial" w:cs="Arial"/>
          <w:sz w:val="20"/>
          <w:szCs w:val="20"/>
        </w:rPr>
        <w:t xml:space="preserve"> (Table 1)</w:t>
      </w:r>
      <w:r>
        <w:rPr>
          <w:rFonts w:ascii="Arial" w:eastAsia="Arial" w:hAnsi="Arial" w:cs="Arial"/>
          <w:sz w:val="20"/>
          <w:szCs w:val="20"/>
        </w:rPr>
        <w:t xml:space="preserve">. </w:t>
      </w:r>
      <w:r w:rsidRPr="00630722">
        <w:rPr>
          <w:rFonts w:ascii="Arial" w:eastAsia="Arial" w:hAnsi="Arial" w:cs="Arial"/>
          <w:color w:val="000000"/>
          <w:sz w:val="20"/>
          <w:szCs w:val="20"/>
        </w:rPr>
        <w:t>In health disciplines, full-data analyses</w:t>
      </w:r>
      <w:r>
        <w:rPr>
          <w:rFonts w:ascii="Arial" w:eastAsia="Arial" w:hAnsi="Arial" w:cs="Arial"/>
          <w:color w:val="000000"/>
          <w:sz w:val="20"/>
          <w:szCs w:val="20"/>
        </w:rPr>
        <w:t xml:space="preserve"> are</w:t>
      </w:r>
      <w:r w:rsidRPr="00630722">
        <w:rPr>
          <w:rFonts w:ascii="Arial" w:eastAsia="Arial" w:hAnsi="Arial" w:cs="Arial"/>
          <w:color w:val="000000"/>
          <w:sz w:val="20"/>
          <w:szCs w:val="20"/>
        </w:rPr>
        <w:t xml:space="preserve"> known as ‘individual patient data meta-analysis’, </w:t>
      </w:r>
      <w:r>
        <w:rPr>
          <w:rFonts w:ascii="Arial" w:eastAsia="Arial" w:hAnsi="Arial" w:cs="Arial"/>
          <w:color w:val="000000"/>
          <w:sz w:val="20"/>
          <w:szCs w:val="20"/>
        </w:rPr>
        <w:t xml:space="preserve">and </w:t>
      </w:r>
      <w:r w:rsidRPr="00630722">
        <w:rPr>
          <w:rFonts w:ascii="Arial" w:eastAsia="Arial" w:hAnsi="Arial" w:cs="Arial"/>
          <w:color w:val="000000"/>
          <w:sz w:val="20"/>
          <w:szCs w:val="20"/>
        </w:rPr>
        <w:t>are considered the ‘gold standard’</w:t>
      </w:r>
      <w:r w:rsidRPr="00630722">
        <w:rPr>
          <w:rFonts w:ascii="Arial" w:eastAsia="Arial" w:hAnsi="Arial" w:cs="Arial"/>
          <w:color w:val="000000"/>
          <w:sz w:val="20"/>
          <w:szCs w:val="20"/>
        </w:rPr>
        <w:fldChar w:fldCharType="begin" w:fldLock="1"/>
      </w:r>
      <w:r w:rsidR="00F23EB1">
        <w:rPr>
          <w:rFonts w:ascii="Arial" w:eastAsia="Arial" w:hAnsi="Arial" w:cs="Arial"/>
          <w:color w:val="000000"/>
          <w:sz w:val="20"/>
          <w:szCs w:val="20"/>
        </w:rPr>
        <w:instrText>ADDIN CSL_CITATION {"citationItems":[{"id":"ITEM-1","itemData":{"author":[{"dropping-particle":"","family":"Mengersen","given":"Kerrie","non-dropping-particle":"","parse-names":false,"suffix":""},{"dropping-particle":"","family":"Gurevitch","given":"Jessica","non-dropping-particle":"","parse-names":false,"suffix":""},{"dropping-particle":"","family":"Schmid","given":"Christopher H.","non-dropping-particle":"","parse-names":false,"suffix":""}],"chapter-number":"18","container-title":"Handbook of Meta-analysis in Ecology and Evolution","editor":[{"dropping-particle":"","family":"Koricheva","given":"Ulia","non-dropping-particle":"","parse-names":false,"suffix":""},{"dropping-particle":"","family":"Gurevitch","given":"Jessica","non-dropping-particle":"","parse-names":false,"suffix":""},{"dropping-particle":"","family":"Mengersen","given":"Kerrie","non-dropping-particle":"","parse-names":false,"suffix":""}],"id":"ITEM-1","issued":{"date-parts":[["2013"]]},"publisher":"Princeton University Press","publisher-place":"Princeton","title":"Meta-analysis of Primary Data","type":"chapter"},"uris":["http://www.mendeley.com/documents/?uuid=60699d3a-6148-4eba-a426-fffaff6bb669"]}],"mendeley":{"formattedCitation":"&lt;sup&gt;82&lt;/sup&gt;","plainTextFormattedCitation":"82","previouslyFormattedCitation":"&lt;sup&gt;82&lt;/sup&gt;"},"properties":{"noteIndex":0},"schema":"https://github.com/citation-style-language/schema/raw/master/csl-citation.json"}</w:instrText>
      </w:r>
      <w:r w:rsidRPr="00630722">
        <w:rPr>
          <w:rFonts w:ascii="Arial" w:eastAsia="Arial" w:hAnsi="Arial" w:cs="Arial"/>
          <w:color w:val="000000"/>
          <w:sz w:val="20"/>
          <w:szCs w:val="20"/>
        </w:rPr>
        <w:fldChar w:fldCharType="separate"/>
      </w:r>
      <w:r w:rsidR="00852C49" w:rsidRPr="00852C49">
        <w:rPr>
          <w:rFonts w:ascii="Arial" w:eastAsia="Arial" w:hAnsi="Arial" w:cs="Arial"/>
          <w:noProof/>
          <w:color w:val="000000"/>
          <w:sz w:val="20"/>
          <w:szCs w:val="20"/>
          <w:vertAlign w:val="superscript"/>
        </w:rPr>
        <w:t>82</w:t>
      </w:r>
      <w:r w:rsidRPr="00630722">
        <w:rPr>
          <w:rFonts w:ascii="Arial" w:eastAsia="Arial" w:hAnsi="Arial" w:cs="Arial"/>
          <w:color w:val="000000"/>
          <w:sz w:val="20"/>
          <w:szCs w:val="20"/>
        </w:rPr>
        <w:fldChar w:fldCharType="end"/>
      </w:r>
      <w:r w:rsidRPr="00630722">
        <w:rPr>
          <w:rFonts w:ascii="Arial" w:eastAsia="Arial" w:hAnsi="Arial" w:cs="Arial"/>
          <w:color w:val="000000"/>
          <w:sz w:val="20"/>
          <w:szCs w:val="20"/>
        </w:rPr>
        <w:t xml:space="preserve">, due to their potential for resolving issues regarding study-specific designs and confounding variation. The use of full-data analyses has also </w:t>
      </w:r>
      <w:r w:rsidRPr="00630722">
        <w:rPr>
          <w:rFonts w:ascii="Arial" w:eastAsia="Arial" w:hAnsi="Arial" w:cs="Arial"/>
          <w:color w:val="000000"/>
          <w:sz w:val="20"/>
          <w:szCs w:val="20"/>
          <w:shd w:val="clear" w:color="auto" w:fill="FCFCFC"/>
        </w:rPr>
        <w:t>surged</w:t>
      </w:r>
      <w:r w:rsidRPr="00630722">
        <w:rPr>
          <w:rFonts w:ascii="Arial" w:eastAsia="Arial" w:hAnsi="Arial" w:cs="Arial"/>
          <w:color w:val="000000"/>
          <w:sz w:val="20"/>
          <w:szCs w:val="20"/>
        </w:rPr>
        <w:t xml:space="preserve"> in ecology</w:t>
      </w:r>
      <w:r w:rsidRPr="00630722">
        <w:rPr>
          <w:rFonts w:ascii="Arial" w:eastAsia="Arial" w:hAnsi="Arial" w:cs="Arial"/>
          <w:sz w:val="20"/>
          <w:szCs w:val="20"/>
        </w:rPr>
        <w:t xml:space="preserve">, aided by </w:t>
      </w:r>
      <w:r w:rsidRPr="00630722">
        <w:rPr>
          <w:rFonts w:ascii="Arial" w:eastAsia="Arial" w:hAnsi="Arial" w:cs="Arial"/>
          <w:color w:val="000000"/>
          <w:sz w:val="20"/>
          <w:szCs w:val="20"/>
        </w:rPr>
        <w:t>open-science policies that encourage or mandate the publication of raw data alongside articles, and initiatives that collate raw data (e.g.</w:t>
      </w:r>
      <w:r>
        <w:rPr>
          <w:rFonts w:ascii="Arial" w:eastAsia="Arial" w:hAnsi="Arial" w:cs="Arial"/>
          <w:color w:val="000000"/>
          <w:sz w:val="20"/>
          <w:szCs w:val="20"/>
        </w:rPr>
        <w:t>,</w:t>
      </w:r>
      <w:r>
        <w:rPr>
          <w:rFonts w:ascii="Arial" w:eastAsia="Arial" w:hAnsi="Arial" w:cs="Arial"/>
          <w:color w:val="000000"/>
          <w:sz w:val="20"/>
          <w:szCs w:val="20"/>
          <w:u w:val="single"/>
        </w:rPr>
        <w:t xml:space="preserve"> </w:t>
      </w:r>
      <w:r w:rsidRPr="00630722">
        <w:rPr>
          <w:rFonts w:ascii="Arial" w:eastAsia="Arial" w:hAnsi="Arial" w:cs="Arial"/>
          <w:color w:val="000000"/>
          <w:sz w:val="20"/>
          <w:szCs w:val="20"/>
        </w:rPr>
        <w:t>PREDICTS</w:t>
      </w:r>
      <w:r w:rsidRPr="00630722">
        <w:rPr>
          <w:rFonts w:ascii="Arial" w:eastAsia="Arial" w:hAnsi="Arial" w:cs="Arial"/>
          <w:color w:val="000000"/>
          <w:sz w:val="20"/>
          <w:szCs w:val="20"/>
        </w:rPr>
        <w:fldChar w:fldCharType="begin" w:fldLock="1"/>
      </w:r>
      <w:r w:rsidR="00F23EB1">
        <w:rPr>
          <w:rFonts w:ascii="Arial" w:eastAsia="Arial" w:hAnsi="Arial" w:cs="Arial"/>
          <w:color w:val="000000"/>
          <w:sz w:val="20"/>
          <w:szCs w:val="20"/>
        </w:rPr>
        <w:instrText>ADDIN CSL_CITATION {"citationItems":[{"id":"ITEM-1","itemData":{"DOI":"10.1002/ece3.2579","ISSN":"20457758","abstract":"The PREDICTS project—Projecting Responses of Ecological Diversity In Changing Terrestrial Systems (www.predicts.org.uk)—has collated from published studies a large, reasonably representative database of comparable samples of biodiversity from multiple sites that differ in the nature or intensity of human impacts relating to land use. We have used this evidence base to develop global and regional statistical models of how local biodiversity responds to these measures. We describe and make freely available this 2016 release of the database, containing more than 3.2 million records sampled at over 26,000 locations and representing over 47,000 species. We outline how the database can help in answering a range of questions in ecology and conservation biology. To our knowledge, this is the largest and most geographically and taxonomically representative database of spatial comparisons of biodiversity that has been collated to date; it will be useful to researchers and international efforts wishing to model and understand the global status of biodiversity.","author":[{"dropping-particle":"","family":"Hudson","given":"Lawrence N.","non-dropping-particle":"","parse-names":false,"suffix":""},{"dropping-particle":"","family":"Newbold","given":"Tim","non-dropping-particle":"","parse-names":false,"suffix":""},{"dropping-particle":"","family":"Contu","given":"Sara","non-dropping-particle":"","parse-names":false,"suffix":""},{"dropping-particle":"","family":"Hill","given":"Samantha L.L.","non-dropping-particle":"","parse-names":false,"suffix":""},{"dropping-particle":"","family":"Lysenko","given":"Igor","non-dropping-particle":"","parse-names":false,"suffix":""},{"dropping-particle":"","family":"Palma","given":"Adriana","non-dropping-particle":"De","parse-names":false,"suffix":""},{"dropping-particle":"","family":"Phillips","given":"Helen R.P.","non-dropping-particle":"","parse-names":false,"suffix":""},{"dropping-particle":"","family":"Alhusseini","given":"Tamera I.","non-dropping-particle":"","parse-names":false,"suffix":""},{"dropping-particle":"","family":"Bedford","given":"Felicity E.","non-dropping-particle":"","parse-names":false,"suffix":""},{"dropping-particle":"","family":"Bennett","given":"Dominic J.","non-dropping-particle":"","parse-names":false,"suffix":""},{"dropping-particle":"","family":"Booth","given":"Hollie","non-dropping-particle":"","parse-names":false,"suffix":""},{"dropping-particle":"","family":"Burton","given":"Victoria J.","non-dropping-particle":"","parse-names":false,"suffix":""},{"dropping-particle":"","family":"Chng","given":"Charlotte W.T.","non-dropping-particle":"","parse-names":false,"suffix":""},{"dropping-particle":"","family":"Choimes","given":"Argyrios","non-dropping-particle":"","parse-names":false,"suffix":""},{"dropping-particle":"","family":"Correia","given":"David L.P.","non-dropping-particle":"","parse-names":false,"suffix":""},{"dropping-particle":"","family":"Day","given":"Julie","non-dropping-particle":"","parse-names":false,"suffix":""},{"dropping-particle":"","family":"Echeverría-Londoño","given":"Susy","non-dropping-particle":"","parse-names":false,"suffix":""},{"dropping-particle":"","family":"Emerson","given":"Susan R.","non-dropping-particle":"","parse-names":false,"suffix":""},{"dropping-particle":"","family":"Gao","given":"Di","non-dropping-particle":"","parse-names":false,"suffix":""},{"dropping-particle":"","family":"Garon","given":"Morgan","non-dropping-particle":"","parse-names":false,"suffix":""},{"dropping-particle":"","family":"Harrison","given":"Michelle L.K.","non-dropping-particle":"","parse-names":false,"suffix":""},{"dropping-particle":"","family":"Ingram","given":"Daniel J.","non-dropping-particle":"","parse-names":false,"suffix":""},{"dropping-particle":"","family":"Jung","given":"Martin","non-dropping-particle":"","parse-names":false,"suffix":""},{"dropping-particle":"","family":"Kemp","given":"Victoria","non-dropping-particle":"","parse-names":false,"suffix":""},{"dropping-particle":"","family":"Kirkpatrick","given":"Lucinda","non-dropping-particle":"","parse-names":false,"suffix":""},{"dropping-particle":"","family":"Martin","given":"Callum D.","non-dropping-particle":"","parse-names":false,"suffix":""},{"dropping-particle":"","family":"Pan","given":"Yuan","non-dropping-particle":"","parse-names":false,"suffix":""},{"dropping-particle":"","family":"Pask-Hale","given":"Gwilym D.","non-dropping-particle":"","parse-names":false,"suffix":""},{"dropping-particle":"","family":"Pynegar","given":"Edwin L.","non-dropping-particle":"","parse-names":false,"suffix":""},{"dropping-particle":"","family":"Robinson","given":"Alexandra N.","non-dropping-particle":"","parse-names":false,"suffix":""},{"dropping-particle":"","family":"Sanchez-Ortiz","given":"Katia","non-dropping-particle":"","parse-names":false,"suffix":""},{"dropping-particle":"","family":"Senior","given":"Rebecca A.","non-dropping-particle":"","parse-names":false,"suffix":""},{"dropping-particle":"","family":"Simmons","given":"Benno I.","non-dropping-particle":"","parse-names":false,"suffix":""},{"dropping-particle":"","family":"White","given":"Hannah J.","non-dropping-particle":"","parse-names":false,"suffix":""},{"dropping-particle":"","family":"Zhang","given":"Hanbin","non-dropping-particle":"","parse-names":false,"suffix":""},{"dropping-particle":"","family":"Aben","given":"Job","non-dropping-particle":"","parse-names":false,"suffix":""},{"dropping-particle":"","family":"Abrahamczyk","given":"Stefan","non-dropping-particle":"","parse-names":false,"suffix":""},{"dropping-particle":"","family":"Adum","given":"Gilbert B.","non-dropping-particle":"","parse-names":false,"suffix":""},{"dropping-particle":"","family":"Aguilar-Barquero","given":"Virginia","non-dropping-particle":"","parse-names":false,"suffix":""},{"dropping-particle":"","family":"Aizen","given":"Marcelo A.","non-dropping-particle":"","parse-names":false,"suffix":""},{"dropping-particle":"","family":"Albertos","given":"Belén","non-dropping-particle":"","parse-names":false,"suffix":""},{"dropping-particle":"","family":"Alcala","given":"E. L.","non-dropping-particle":"","parse-names":false,"suffix":""},{"dropping-particle":"","family":"Mar Alguacil","given":"Maria","non-dropping-particle":"del","parse-names":false,"suffix":""},{"dropping-particle":"","family":"Alignier","given":"Audrey","non-dropping-particle":"","parse-names":false,"suffix":""},{"dropping-particle":"","family":"Ancrenaz","given":"Marc","non-dropping-particle":"","parse-names":false,"suffix":""},{"dropping-particle":"","family":"Andersen","given":"Alan N.","non-dropping-particle":"","parse-names":false,"suffix":""},{"dropping-particle":"","family":"Arbeláez-Cortés","given":"Enrique","non-dropping-particle":"","parse-names":false,"suffix":""},{"dropping-particle":"","family":"Armbrecht","given":"Inge","non-dropping-particle":"","parse-names":false,"suffix":""},{"dropping-particle":"","family":"Arroyo-Rodríguez","given":"Víctor","non-dropping-particle":"","parse-names":false,"suffix":""},{"dropping-particle":"","family":"Aumann","given":"Tom","non-dropping-particle":"","parse-names":false,"suffix":""},{"dropping-particle":"","family":"Axmacher","given":"Jan C.","non-dropping-particle":"","parse-names":false,"suffix":""},{"dropping-particle":"","family":"Azhar","given":"Badrul","non-dropping-particle":"","parse-names":false,"suffix":""},{"dropping-particle":"","family":"Azpiroz","given":"Adrián B.","non-dropping-particle":"","parse-names":false,"suffix":""},{"dropping-particle":"","family":"Baeten","given":"Lander","non-dropping-particle":"","parse-names":false,"suffix":""},{"dropping-particle":"","family":"Bakayoko","given":"Adama","non-dropping-particle":"","parse-names":false,"suffix":""},{"dropping-particle":"","family":"Báldi","given":"András","non-dropping-particle":"","parse-names":false,"suffix":""},{"dropping-particle":"","family":"Banks","given":"John E.","non-dropping-particle":"","parse-names":false,"suffix":""},{"dropping-particle":"","family":"Baral","given":"Sharad K.","non-dropping-particle":"","parse-names":false,"suffix":""},{"dropping-particle":"","family":"Barlow","given":"Jos","non-dropping-particle":"","parse-names":false,"suffix":""},{"dropping-particle":"","family":"Barratt","given":"Barbara I.P.","non-dropping-particle":"","parse-names":false,"suffix":""},{"dropping-particle":"","family":"Barrico","given":"Lurdes","non-dropping-particle":"","parse-names":false,"suffix":""},{"dropping-particle":"","family":"Bartolommei","given":"Paola","non-dropping-particle":"","parse-names":false,"suffix":""},{"dropping-particle":"","family":"Barton","given":"Diane M.","non-dropping-particle":"","parse-names":false,"suffix":""},{"dropping-particle":"","family":"Basset","given":"Yves","non-dropping-particle":"","parse-names":false,"suffix":""},{"dropping-particle":"","family":"Batáry","given":"Péter","non-dropping-particle":"","parse-names":false,"suffix":""},{"dropping-particle":"","family":"Bates","given":"Adam J.","non-dropping-particle":"","parse-names":false,"suffix":""},{"dropping-particle":"","family":"Baur","given":"Bruno","non-dropping-particle":"","parse-names":false,"suffix":""},{"dropping-particle":"","family":"Bayne","given":"Erin M.","non-dropping-particle":"","parse-names":false,"suffix":""},{"dropping-particle":"","family":"Beja","given":"Pedro","non-dropping-particle":"","parse-names":false,"suffix":""},{"dropping-particle":"","family":"Benedick","given":"Suzan","non-dropping-particle":"","parse-names":false,"suffix":""},{"dropping-particle":"","family":"Berg","given":"Åke","non-dropping-particle":"","parse-names":false,"suffix":""},{"dropping-particle":"","family":"Bernard","given":"Henry","non-dropping-particle":"","parse-names":false,"suffix":""},{"dropping-particle":"","family":"Berry","given":"Nicholas J.","non-dropping-particle":"","parse-names":false,"suffix":""},{"dropping-particle":"","family":"Bhatt","given":"Dinesh","non-dropping-particle":"","parse-names":false,"suffix":""},{"dropping-particle":"","family":"Bicknell","given":"Jake E.","non-dropping-particle":"","parse-names":false,"suffix":""},{"dropping-particle":"","family":"Bihn","given":"Jochen H.","non-dropping-particle":"","parse-names":false,"suffix":""},{"dropping-particle":"","family":"Blake","given":"Robin J.","non-dropping-particle":"","parse-names":false,"suffix":""},{"dropping-particle":"","family":"Bobo","given":"Kadiri S.","non-dropping-particle":"","parse-names":false,"suffix":""},{"dropping-particle":"","family":"Bóçon","given":"Roberto","non-dropping-particle":"","parse-names":false,"suffix":""},{"dropping-particle":"","family":"Boekhout","given":"Teun","non-dropping-particle":"","parse-names":false,"suffix":""},{"dropping-particle":"","family":"Böhning-Gaese","given":"Katrin","non-dropping-particle":"","parse-names":false,"suffix":""},{"dropping-particle":"","family":"Bonham","given":"Kevin J.","non-dropping-particle":"","parse-names":false,"suffix":""},{"dropping-particle":"","family":"Borges","given":"Paulo A.V.","non-dropping-particle":"","parse-names":false,"suffix":""},{"dropping-particle":"","family":"Borges","given":"Sérgio H.","non-dropping-particle":"","parse-names":false,"suffix":""},{"dropping-particle":"","family":"Boutin","given":"Céline","non-dropping-particle":"","parse-names":false,"suffix":""},{"dropping-particle":"","family":"Bouyer","given":"Jérémy","non-dropping-particle":"","parse-names":false,"suffix":""},{"dropping-particle":"","family":"Bragagnolo","given":"Cibele","non-dropping-particle":"","parse-names":false,"suffix":""},{"dropping-particle":"","family":"Brandt","given":"Jodi S.","non-dropping-particle":"","parse-names":false,"suffix":""},{"dropping-particle":"","family":"Brearley","given":"Francis Q.","non-dropping-particle":"","parse-names":false,"suffix":""},{"dropping-particle":"","family":"Brito","given":"Isabel","non-dropping-particle":"","parse-names":false,"suffix":""},{"dropping-particle":"","family":"Bros","given":"Vicenç","non-dropping-particle":"","parse-names":false,"suffix":""},{"dropping-particle":"","family":"Brunet","given":"Jörg","non-dropping-particle":"","parse-names":false,"suffix":""},{"dropping-particle":"","family":"Buczkowski","given":"Grzegorz","non-dropping-particle":"","parse-names":false,"suffix":""},{"dropping-particle":"","family":"Buddle","given":"Christopher M.","non-dropping-particle":"","parse-names":false,"suffix":""},{"dropping-particle":"","family":"Bugter","given":"Rob","non-dropping-particle":"","parse-names":false,"suffix":""},{"dropping-particle":"","family":"Buscardo","given":"Erika","non-dropping-particle":"","parse-names":false,"suffix":""},{"dropping-particle":"","family":"Buse","given":"Jörn","non-dropping-particle":"","parse-names":false,"suffix":""},{"dropping-particle":"","family":"Cabra-García","given":"Jimmy","non-dropping-particle":"","parse-names":false,"suffix":""},{"dropping-particle":"","family":"Cáceres","given":"Nilton C.","non-dropping-particle":"","parse-names":false,"suffix":""},{"dropping-particle":"","family":"Cagle","given":"Nicolette L.","non-dropping-particle":"","parse-names":false,"suffix":""},{"dropping-particle":"","family":"Calviño-Cancela","given":"María","non-dropping-particle":"","parse-names":false,"suffix":""},{"dropping-particle":"","family":"Cameron","given":"Sydney A.","non-dropping-particle":"","parse-names":false,"suffix":""},{"dropping-particle":"","family":"Cancello","given":"Eliana M.","non-dropping-particle":"","parse-names":false,"suffix":""},{"dropping-particle":"","family":"Caparrós","given":"Rut","non-dropping-particle":"","parse-names":false,"suffix":""},{"dropping-particle":"","family":"Cardoso","given":"Pedro","non-dropping-particle":"","parse-names":false,"suffix":""},{"dropping-particle":"","family":"Carpenter","given":"Dan","non-dropping-particle":"","parse-names":false,"suffix":""},{"dropping-particle":"","family":"Carrijo","given":"Tiago F.","non-dropping-particle":"","parse-names":false,"suffix":""},{"dropping-particle":"","family":"Carvalho","given":"Anelena L.","non-dropping-particle":"","parse-names":false,"suffix":""},{"dropping-particle":"","family":"Cassano","given":"Camila R.","non-dropping-particle":"","parse-names":false,"suffix":""},{"dropping-particle":"","family":"Castro","given":"Helena","non-dropping-particle":"","parse-names":false,"suffix":""},{"dropping-particle":"","family":"Castro-Luna","given":"Alejandro A.","non-dropping-particle":"","parse-names":false,"suffix":""},{"dropping-particle":"","family":"Rolando","given":"Cerda B.","non-dropping-particle":"","parse-names":false,"suffix":""},{"dropping-particle":"","family":"Cerezo","given":"Alexis","non-dropping-particle":"","parse-names":false,"suffix":""},{"dropping-particle":"","family":"Chapman","given":"Kim Alan","non-dropping-particle":"","parse-names":false,"suffix":""},{"dropping-particle":"","family":"Chauvat","given":"Matthieu","non-dropping-particle":"","parse-names":false,"suffix":""},{"dropping-particle":"","family":"Christensen","given":"Morten","non-dropping-particle":"","parse-names":false,"suffix":""},{"dropping-particle":"","family":"Clarke","given":"Francis M.","non-dropping-particle":"","parse-names":false,"suffix":""},{"dropping-particle":"","family":"Cleary","given":"Daniel F.R.","non-dropping-particle":"","parse-names":false,"suffix":""},{"dropping-particle":"","family":"Colombo","given":"Giorgio","non-dropping-particle":"","parse-names":false,"suffix":""},{"dropping-particle":"","family":"Connop","given":"Stuart P.","non-dropping-particle":"","parse-names":false,"suffix":""},{"dropping-particle":"","family":"Craig","given":"Michael D.","non-dropping-particle":"","parse-names":false,"suffix":""},{"dropping-particle":"","family":"Cruz-López","given":"Leopoldo","non-dropping-particle":"","parse-names":false,"suffix":""},{"dropping-particle":"","family":"Cunningham","given":"Saul A.","non-dropping-particle":"","parse-names":false,"suffix":""},{"dropping-particle":"","family":"D'Aniello","given":"Biagio","non-dropping-particle":"","parse-names":false,"suffix":""},{"dropping-particle":"","family":"D'Cruze","given":"Neil","non-dropping-particle":"","parse-names":false,"suffix":""},{"dropping-particle":"","family":"Silva","given":"Pedro Giovâni","non-dropping-particle":"da","parse-names":false,"suffix":""},{"dropping-particle":"","family":"Dallimer","given":"Martin","non-dropping-particle":"","parse-names":false,"suffix":""},{"dropping-particle":"","family":"Danquah","given":"Emmanuel","non-dropping-particle":"","parse-names":false,"suffix":""},{"dropping-particle":"","family":"Darvill","given":"Ben","non-dropping-particle":"","parse-names":false,"suffix":""},{"dropping-particle":"","family":"Dauber","given":"Jens","non-dropping-particle":"","parse-names":false,"suffix":""},{"dropping-particle":"","family":"Davis","given":"Adrian L.V.","non-dropping-particle":"","parse-names":false,"suffix":""},{"dropping-particle":"","family":"Dawson","given":"Jeff","non-dropping-particle":"","parse-names":false,"suffix":""},{"dropping-particle":"","family":"Sassi","given":"Claudio","non-dropping-particle":"de","parse-names":false,"suffix":""},{"dropping-particle":"","family":"Thoisy","given":"Benoit","non-dropping-particle":"de","parse-names":false,"suffix":""},{"dropping-particle":"","family":"Deheuvels","given":"Olivier","non-dropping-particle":"","parse-names":false,"suffix":""},{"dropping-particle":"","family":"Dejean","given":"Alain","non-dropping-particle":"","parse-names":false,"suffix":""},{"dropping-particle":"","family":"Devineau","given":"Jean Louis","non-dropping-particle":"","parse-names":false,"suffix":""},{"dropping-particle":"","family":"Diekötter","given":"Tim","non-dropping-particle":"","parse-names":false,"suffix":""},{"dropping-particle":"V.","family":"Dolia","given":"Jignasu","non-dropping-particle":"","parse-names":false,"suffix":""},{"dropping-particle":"","family":"Domínguez","given":"Erwin","non-dropping-particle":"","parse-names":false,"suffix":""},{"dropping-particle":"","family":"Dominguez-Haydar","given":"Yamileth","non-dropping-particle":"","parse-names":false,"suffix":""},{"dropping-particle":"","family":"Dorn","given":"Silvia","non-dropping-particle":"","parse-names":false,"suffix":""},{"dropping-particle":"","family":"Draper","given":"Isabel","non-dropping-particle":"","parse-names":false,"suffix":""},{"dropping-particle":"","family":"Dreber","given":"Niels","non-dropping-particle":"","parse-names":false,"suffix":""},{"dropping-particle":"","family":"Dumont","given":"Bertrand","non-dropping-particle":"","parse-names":false,"suffix":""},{"dropping-particle":"","family":"Dures","given":"Simon G.","non-dropping-particle":"","parse-names":false,"suffix":""},{"dropping-particle":"","family":"Dynesius","given":"Mats","non-dropping-particle":"","parse-names":false,"suffix":""},{"dropping-particle":"","family":"Edenius","given":"Lars","non-dropping-particle":"","parse-names":false,"suffix":""},{"dropping-particle":"","family":"Eggleton","given":"Paul","non-dropping-particle":"","parse-names":false,"suffix":""},{"dropping-particle":"","family":"Eigenbrod","given":"Felix","non-dropping-particle":"","parse-names":false,"suffix":""},{"dropping-particle":"","family":"Elek","given":"Zoltán","non-dropping-particle":"","parse-names":false,"suffix":""},{"dropping-particle":"","family":"Entling","given":"Martin H.","non-dropping-particle":"","parse-names":false,"suffix":""},{"dropping-particle":"","family":"Esler","given":"Karen J.","non-dropping-particle":"","parse-names":false,"suffix":""},{"dropping-particle":"","family":"Lima","given":"Ricardo F.","non-dropping-particle":"de","parse-names":false,"suffix":""},{"dropping-particle":"","family":"Faruk","given":"Aisyah","non-dropping-particle":"","parse-names":false,"suffix":""},{"dropping-particle":"","family":"Farwig","given":"Nina","non-dropping-particle":"","parse-names":false,"suffix":""},{"dropping-particle":"","family":"Fayle","given":"Tom M.","non-dropping-particle":"","parse-names":false,"suffix":""},{"dropping-particle":"","family":"Felicioli","given":"Antonio","non-dropping-particle":"","parse-names":false,"suffix":""},{"dropping-particle":"","family":"Felton","given":"Annika M.","non-dropping-particle":"","parse-names":false,"suffix":""},{"dropping-particle":"","family":"Fensham","given":"Roderick J.","non-dropping-particle":"","parse-names":false,"suffix":""},{"dropping-particle":"","family":"Fernandez","given":"Ignacio C.","non-dropping-particle":"","parse-names":false,"suffix":""},{"dropping-particle":"","family":"Ferreira","given":"Catarina C.","non-dropping-particle":"","parse-names":false,"suffix":""},{"dropping-particle":"","family":"Ficetola","given":"Gentile F.","non-dropping-particle":"","parse-names":false,"suffix":""},{"dropping-particle":"","family":"Fiera","given":"Cristina","non-dropping-particle":"","parse-names":false,"suffix":""},{"dropping-particle":"","family":"Filgueiras","given":"Bruno K.C.","non-dropping-particle":"","parse-names":false,"suffix":""},{"dropping-particle":"","family":"Fırıncıoğlu","given":"Hüseyin K.","non-dropping-particle":"","parse-names":false,"suffix":""},{"dropping-particle":"","family":"Flaspohler","given":"David","non-dropping-particle":"","parse-names":false,"suffix":""},{"dropping-particle":"","family":"Floren","given":"Andreas","non-dropping-particle":"","parse-names":false,"suffix":""},{"dropping-particle":"","family":"Fonte","given":"Steven J.","non-dropping-particle":"","parse-names":false,"suffix":""},{"dropping-particle":"","family":"Fournier","given":"Anne","non-dropping-particle":"","parse-names":false,"suffix":""},{"dropping-particle":"","family":"Fowler","given":"Robert E.","non-dropping-particle":"","parse-names":false,"suffix":""},{"dropping-particle":"","family":"Franzén","given":"Markus","non-dropping-particle":"","parse-names":false,"suffix":""},{"dropping-particle":"","family":"Fraser","given":"Lauchlan H.","non-dropping-particle":"","parse-names":false,"suffix":""},{"dropping-particle":"","family":"Fredriksson","given":"Gabriella M.","non-dropping-particle":"","parse-names":false,"suffix":""},{"dropping-particle":"","family":"Freire","given":"Geraldo B.","non-dropping-particle":"","parse-names":false,"suffix":""},{"dropping-particle":"","family":"Frizzo","given":"Tiago L.M.","non-dropping-particle":"","parse-names":false,"suffix":""},{"dropping-particle":"","family":"Fukuda","given":"Daisuke","non-dropping-particle":"","parse-names":false,"suffix":""},{"dropping-particle":"","family":"Furlani","given":"Dario","non-dropping-particle":"","parse-names":false,"suffix":""},{"dropping-particle":"","family":"Gaigher","given":"René","non-dropping-particle":"","parse-names":false,"suffix":""},{"dropping-particle":"","family":"Ganzhorn","given":"Jörg U.","non-dropping-particle":"","parse-names":false,"suffix":""},{"dropping-particle":"","family":"García","given":"Karla P.","non-dropping-particle":"","parse-names":false,"suffix":""},{"dropping-particle":"","family":"Garcia-R","given":"Juan C.","non-dropping-particle":"","parse-names":false,"suffix":""},{"dropping-particle":"","family":"Garden","given":"Jenni G.","non-dropping-particle":"","parse-names":false,"suffix":""},{"dropping-particle":"","family":"Garilleti","given":"Ricardo","non-dropping-particle":"","parse-names":false,"suffix":""},{"dropping-particle":"","family":"Ge","given":"Bao Ming","non-dropping-particle":"","parse-names":false,"suffix":""},{"dropping-particle":"","family":"Gendreau-Berthiaume","given":"Benoit","non-dropping-particle":"","parse-names":false,"suffix":""},{"dropping-particle":"","family":"Gerard","given":"Philippa J.","non-dropping-particle":"","parse-names":false,"suffix":""},{"dropping-particle":"","family":"Gheler-Costa","given":"Carla","non-dropping-particle":"","parse-names":false,"suffix":""},{"dropping-particle":"","family":"Gilbert","given":"Benjamin","non-dropping-particle":"","parse-names":false,"suffix":""},{"dropping-particle":"","family":"Giordani","given":"Paolo","non-dropping-particle":"","parse-names":false,"suffix":""},{"dropping-particle":"","family":"Giordano","given":"Simonetta","non-dropping-particle":"","parse-names":false,"suffix":""},{"dropping-particle":"","family":"Golodets","given":"Carly","non-dropping-particle":"","parse-names":false,"suffix":""},{"dropping-particle":"","family":"Gomes","given":"Laurens G.L.","non-dropping-particle":"","parse-names":false,"suffix":""},{"dropping-particle":"","family":"Gould","given":"Rachelle K.","non-dropping-particle":"","parse-names":false,"suffix":""},{"dropping-particle":"","family":"Goulson","given":"Dave","non-dropping-particle":"","parse-names":false,"suffix":""},{"dropping-particle":"","family":"Gove","given":"Aaron D.","non-dropping-particle":"","parse-names":false,"suffix":""},{"dropping-particle":"","family":"Granjon","given":"Laurent","non-dropping-particle":"","parse-names":false,"suffix":""},{"dropping-particle":"","family":"Grass","given":"Ingo","non-dropping-particle":"","parse-names":false,"suffix":""},{"dropping-particle":"","family":"Gray","given":"Claudia L.","non-dropping-particle":"","parse-names":false,"suffix":""},{"dropping-particle":"","family":"Grogan","given":"James","non-dropping-particle":"","parse-names":false,"suffix":""},{"dropping-particle":"","family":"Gu","given":"Weibin","non-dropping-particle":"","parse-names":false,"suffix":""},{"dropping-particle":"","family":"Guardiola","given":"Moisès","non-dropping-particle":"","parse-names":false,"suffix":""},{"dropping-particle":"","family":"Gunawardene","given":"Nihara R.","non-dropping-particle":"","parse-names":false,"suffix":""},{"dropping-particle":"","family":"Gutierrez","given":"Alvaro G.","non-dropping-particle":"","parse-names":false,"suffix":""},{"dropping-particle":"","family":"Gutiérrez-Lamus","given":"Doris L.","non-dropping-particle":"","parse-names":false,"suffix":""},{"dropping-particle":"","family":"Haarmeyer","given":"Daniela H.","non-dropping-particle":"","parse-names":false,"suffix":""},{"dropping-particle":"","family":"Hanley","given":"Mick E.","non-dropping-particle":"","parse-names":false,"suffix":""},{"dropping-particle":"","family":"Hanson","given":"Thor","non-dropping-particle":"","parse-names":false,"suffix":""},{"dropping-particle":"","family":"Hashim","given":"Nor R.","non-dropping-particle":"","parse-names":false,"suffix":""},{"dropping-particle":"","family":"Hassan","given":"Shombe N.","non-dropping-particle":"","parse-names":false,"suffix":""},{"dropping-particle":"","family":"Hatfield","given":"Richard G.","non-dropping-particle":"","parse-names":false,"suffix":""},{"dropping-particle":"","family":"Hawes","given":"Joseph E.","non-dropping-particle":"","parse-names":false,"suffix":""},{"dropping-particle":"","family":"Hayward","given":"Matt W.","non-dropping-particle":"","parse-names":false,"suffix":""},{"dropping-particle":"","family":"Hébert","given":"Christian","non-dropping-particle":"","parse-names":false,"suffix":""},{"dropping-particle":"","family":"Helden","given":"Alvin J.","non-dropping-particle":"","parse-names":false,"suffix":""},{"dropping-particle":"","family":"Henden","given":"John André","non-dropping-particle":"","parse-names":false,"suffix":""},{"dropping-particle":"","family":"Henschel","given":"Philipp","non-dropping-particle":"","parse-names":false,"suffix":""},{"dropping-particle":"","family":"Hernández","given":"Lionel","non-dropping-particle":"","parse-names":false,"suffix":""},{"dropping-particle":"","family":"Herrera","given":"James P.","non-dropping-particle":"","parse-names":false,"suffix":""},{"dropping-particle":"","family":"Herrmann","given":"Farina","non-dropping-particle":"","parse-names":false,"suffix":""},{"dropping-particle":"","family":"Herzog","given":"Felix","non-dropping-particle":"","parse-names":false,"suffix":""},{"dropping-particle":"","family":"Higuera-Diaz","given":"Diego","non-dropping-particle":"","parse-names":false,"suffix":""},{"dropping-particle":"","family":"Hilje","given":"Branko","non-dropping-particle":"","parse-names":false,"suffix":""},{"dropping-particle":"","family":"Höfer","given":"Hubert","non-dropping-particle":"","parse-names":false,"suffix":""},{"dropping-particle":"","family":"Hoffmann","given":"Anke","non-dropping-particle":"","parse-names":false,"suffix":""},{"dropping-particle":"","family":"Horgan","given":"Finbarr G.","non-dropping-particle":"","parse-names":false,"suffix":""},{"dropping-particle":"","family":"Hornung","given":"Elisabeth","non-dropping-particle":"","parse-names":false,"suffix":""},{"dropping-particle":"","family":"Horváth","given":"Roland","non-dropping-particle":"","parse-names":false,"suffix":""},{"dropping-particle":"","family":"Hylander","given":"Kristoffer","non-dropping-particle":"","parse-names":false,"suffix":""},{"dropping-particle":"","family":"Isaacs-Cubides","given":"Paola","non-dropping-particle":"","parse-names":false,"suffix":""},{"dropping-particle":"","family":"Ishida","given":"Hiroaki","non-dropping-particle":"","parse-names":false,"suffix":""},{"dropping-particle":"","family":"Ishitani","given":"Masahiro","non-dropping-particle":"","parse-names":false,"suffix":""},{"dropping-particle":"","family":"Jacobs","given":"Carmen T.","non-dropping-particle":"","parse-names":false,"suffix":""},{"dropping-particle":"","family":"Jaramillo","given":"Víctor J.","non-dropping-particle":"","parse-names":false,"suffix":""},{"dropping-particle":"","family":"Jauker","given":"Birgit","non-dropping-particle":"","parse-names":false,"suffix":""},{"dropping-particle":"","family":"Hernández","given":"F. Jiménez","non-dropping-particle":"","parse-names":false,"suffix":""},{"dropping-particle":"","family":"Johnson","given":"McKenzie F.","non-dropping-particle":"","parse-names":false,"suffix":""},{"dropping-particle":"","family":"Jolli","given":"Virat","non-dropping-particle":"","parse-names":false,"suffix":""},{"dropping-particle":"","family":"Jonsell","given":"Mats","non-dropping-particle":"","parse-names":false,"suffix":""},{"dropping-particle":"","family":"Juliani","given":"S. Nur","non-dropping-particle":"","parse-names":false,"suffix":""},{"dropping-particle":"","family":"Jung","given":"Thomas S.","non-dropping-particle":"","parse-names":false,"suffix":""},{"dropping-particle":"","family":"Kapoor","given":"Vena","non-dropping-particle":"","parse-names":false,"suffix":""},{"dropping-particle":"","family":"Kappes","given":"Heike","non-dropping-particle":"","parse-names":false,"suffix":""},{"dropping-particle":"","family":"Kati","given":"Vassiliki","non-dropping-particle":"","parse-names":false,"suffix":""},{"dropping-particle":"","family":"Katovai","given":"Eric","non-dropping-particle":"","parse-names":false,"suffix":""},{"dropping-particle":"","family":"Kellner","given":"Klaus","non-dropping-particle":"","parse-names":false,"suffix":""},{"dropping-particle":"","family":"Kessler","given":"Michael","non-dropping-particle":"","parse-names":false,"suffix":""},{"dropping-particle":"","family":"Kirby","given":"Kathryn R.","non-dropping-particle":"","parse-names":false,"suffix":""},{"dropping-particle":"","family":"Kittle","given":"Andrew M.","non-dropping-particle":"","parse-names":false,"suffix":""},{"dropping-particle":"","family":"Knight","given":"Mairi E.","non-dropping-particle":"","parse-names":false,"suffix":""},{"dropping-particle":"","family":"Knop","given":"Eva","non-dropping-particle":"","parse-names":false,"suffix":""},{"dropping-particle":"","family":"Kohler","given":"Florian","non-dropping-particle":"","parse-names":false,"suffix":""},{"dropping-particle":"","family":"Koivula","given":"Matti","non-dropping-particle":"","parse-names":false,"suffix":""},{"dropping-particle":"","family":"Kolb","given":"Annette","non-dropping-particle":"","parse-names":false,"suffix":""},{"dropping-particle":"","family":"Kone","given":"Mouhamadou","non-dropping-particle":"","parse-names":false,"suffix":""},{"dropping-particle":"","family":"Kőrösi","given":"Ádám","non-dropping-particle":"","parse-names":false,"suffix":""},{"dropping-particle":"","family":"Krauss","given":"Jochen","non-dropping-particle":"","parse-names":false,"suffix":""},{"dropping-particle":"","family":"Kumar","given":"Ajith","non-dropping-particle":"","parse-names":false,"suffix":""},{"dropping-particle":"","family":"Kumar","given":"Raman","non-dropping-particle":"","parse-names":false,"suffix":""},{"dropping-particle":"","family":"Kurz","given":"David J.","non-dropping-particle":"","parse-names":false,"suffix":""},{"dropping-particle":"","family":"Kutt","given":"Alex S.","non-dropping-particle":"","parse-names":false,"suffix":""},{"dropping-particle":"","family":"Lachat","given":"Thibault","non-dropping-particle":"","parse-names":false,"suffix":""},{"dropping-particle":"","family":"Lantschner","given":"Victoria","non-dropping-particle":"","parse-names":false,"suffix":""},{"dropping-particle":"","family":"Lara","given":"Francisco","non-dropping-particle":"","parse-names":false,"suffix":""},{"dropping-particle":"","family":"Lasky","given":"Jesse R.","non-dropping-particle":"","parse-names":false,"suffix":""},{"dropping-particle":"","family":"Latta","given":"Steven C.","non-dropping-particle":"","parse-names":false,"suffix":""},{"dropping-particle":"","family":"Laurance","given":"William F.","non-dropping-particle":"","parse-names":false,"suffix":""},{"dropping-particle":"","family":"Lavelle","given":"Patrick","non-dropping-particle":"","parse-names":false,"suffix":""},{"dropping-particle":"","family":"Féon","given":"Violette","non-dropping-particle":"Le","parse-names":false,"suffix":""},{"dropping-particle":"","family":"LeBuhn","given":"Gretchen","non-dropping-particle":"","parse-names":false,"suffix":""},{"dropping-particle":"","family":"Légaré","given":"Jean Philippe","non-dropping-particle":"","parse-names":false,"suffix":""},{"dropping-particle":"","family":"Lehouck","given":"Valérie","non-dropping-particle":"","parse-names":false,"suffix":""},{"dropping-particle":"V.","family":"Lencinas","given":"María","non-dropping-particle":"","parse-names":false,"suffix":""},{"dropping-particle":"","family":"Lentini","given":"Pia E.","non-dropping-particle":"","parse-names":false,"suffix":""},{"dropping-particle":"","family":"Letcher","given":"Susan G.","non-dropping-particle":"","parse-names":false,"suffix":""},{"dropping-particle":"","family":"Li","given":"Qi","non-dropping-particle":"","parse-names":false,"suffix":""},{"dropping-particle":"","family":"Litchwark","given":"Simon A.","non-dropping-particle":"","parse-names":false,"suffix":""},{"dropping-particle":"","family":"Littlewood","given":"Nick A.","non-dropping-particle":"","parse-names":false,"suffix":""},{"dropping-particle":"","family":"Liu","given":"Yunhui","non-dropping-particle":"","parse-names":false,"suffix":""},{"dropping-particle":"","family":"Lo-Man-Hung","given":"Nancy","non-dropping-particle":"","parse-names":false,"suffix":""},{"dropping-particle":"","family":"López-Quintero","given":"Carlos A.","non-dropping-particle":"","parse-names":false,"suffix":""},{"dropping-particle":"","family":"Louhaichi","given":"Mounir","non-dropping-particle":"","parse-names":false,"suffix":""},{"dropping-particle":"","family":"Lövei","given":"Gabor L.","non-dropping-particle":"","parse-names":false,"suffix":""},{"dropping-particle":"","family":"Lucas-Borja","given":"Manuel Esteban","non-dropping-particle":"","parse-names":false,"suffix":""},{"dropping-particle":"","family":"Luja","given":"Victor H.","non-dropping-particle":"","parse-names":false,"suffix":""},{"dropping-particle":"","family":"Luskin","given":"Matthew S.","non-dropping-particle":"","parse-names":false,"suffix":""},{"dropping-particle":"","family":"MacSwiney G","given":"M. Cristina","non-dropping-particle":"","parse-names":false,"suffix":""},{"dropping-particle":"","family":"Maeto","given":"Kaoru","non-dropping-particle":"","parse-names":false,"suffix":""},{"dropping-particle":"","family":"Magura","given":"Tibor","non-dropping-particle":"","parse-names":false,"suffix":""},{"dropping-particle":"","family":"Mallari","given":"Neil Aldrin","non-dropping-particle":"","parse-names":false,"suffix":""},{"dropping-particle":"","family":"Malone","given":"Louise A.","non-dropping-particle":"","parse-names":false,"suffix":""},{"dropping-particle":"","family":"Malonza","given":"Patrick K.","non-dropping-particle":"","parse-names":false,"suffix":""},{"dropping-particle":"","family":"Malumbres-Olarte","given":"Jagoba","non-dropping-particle":"","parse-names":false,"suffix":""},{"dropping-particle":"","family":"Mandujano","given":"Salvador","non-dropping-particle":"","parse-names":false,"suffix":""},{"dropping-particle":"","family":"Måren","given":"Inger E.","non-dropping-particle":"","parse-names":false,"suffix":""},{"dropping-particle":"","family":"Marin-Spiotta","given":"Erika","non-dropping-particle":"","parse-names":false,"suffix":""},{"dropping-particle":"","family":"Marsh","given":"Charles J.","non-dropping-particle":"","parse-names":false,"suffix":""},{"dropping-particle":"","family":"Marshall","given":"E. J.P.","non-dropping-particle":"","parse-names":false,"suffix":""},{"dropping-particle":"","family":"Martínez","given":"Eliana","non-dropping-particle":"","parse-names":false,"suffix":""},{"dropping-particle":"","family":"Martínez Pastur","given":"Guillermo","non-dropping-particle":"","parse-names":false,"suffix":""},{"dropping-particle":"","family":"Moreno Mateos","given":"David","non-dropping-particle":"","parse-names":false,"suffix":""},{"dropping-particle":"","family":"Mayfield","given":"Margaret M.","non-dropping-particle":"","parse-names":false,"suffix":""},{"dropping-particle":"","family":"Mazimpaka","given":"Vicente","non-dropping-particle":"","parse-names":false,"suffix":""},{"dropping-particle":"","family":"McCarthy","given":"Jennifer L.","non-dropping-particle":"","parse-names":false,"suffix":""},{"dropping-particle":"","family":"McCarthy","given":"Kyle P.","non-dropping-particle":"","parse-names":false,"suffix":""},{"dropping-particle":"","family":"McFrederick","given":"Quinn S.","non-dropping-particle":"","parse-names":false,"suffix":""},{"dropping-particle":"","family":"McNamara","given":"Sean","non-dropping-particle":"","parse-names":false,"suffix":""},{"dropping-particle":"","family":"Medina","given":"Nagore G.","non-dropping-particle":"","parse-names":false,"suffix":""},{"dropping-particle":"","family":"Medina","given":"Rafael","non-dropping-particle":"","parse-names":false,"suffix":""},{"dropping-particle":"","family":"Mena","given":"Jose L.","non-dropping-particle":"","parse-names":false,"suffix":""},{"dropping-particle":"","family":"Mico","given":"Estefania","non-dropping-particle":"","parse-names":false,"suffix":""},{"dropping-particle":"","family":"Mikusinski","given":"Grzegorz","non-dropping-particle":"","parse-names":false,"suffix":""},{"dropping-particle":"","family":"Milder","given":"Jeffrey C.","non-dropping-particle":"","parse-names":false,"suffix":""},{"dropping-particle":"","family":"Miller","given":"James R.","non-dropping-particle":"","parse-names":false,"suffix":""},{"dropping-particle":"","family":"Miranda-Esquivel","given":"Daniel R.","non-dropping-particle":"","parse-names":false,"suffix":""},{"dropping-particle":"","family":"Moir","given":"Melinda L.","non-dropping-particle":"","parse-names":false,"suffix":""},{"dropping-particle":"","family":"Morales","given":"Carolina L.","non-dropping-particle":"","parse-names":false,"suffix":""},{"dropping-particle":"","family":"Muchane","given":"Mary N.","non-dropping-particle":"","parse-names":false,"suffix":""},{"dropping-particle":"","family":"Muchane","given":"Muchai","non-dropping-particle":"","parse-names":false,"suffix":""},{"dropping-particle":"","family":"Mudri-Stojnic","given":"Sonja","non-dropping-particle":"","parse-names":false,"suffix":""},{"dropping-particle":"","family":"Munira","given":"A. Nur","non-dropping-particle":"","parse-names":false,"suffix":""},{"dropping-particle":"","family":"Muoñz-Alonso","given":"Antonio","non-dropping-particle":"","parse-names":false,"suffix":""},{"dropping-particle":"","family":"Munyekenye","given":"B. F.","non-dropping-particle":"","parse-names":false,"suffix":""},{"dropping-particle":"","family":"Naidoo","given":"Robin","non-dropping-particle":"","parse-names":false,"suffix":""},{"dropping-particle":"","family":"Naithani","given":"A.","non-dropping-particle":"","parse-names":false,"suffix":""},{"dropping-particle":"","family":"Nakagawa","given":"Michiko","non-dropping-particle":"","parse-names":false,"suffix":""},{"dropping-particle":"","family":"Nakamura","given":"Akihiro","non-dropping-particle":"","parse-names":false,"suffix":""},{"dropping-particle":"","family":"Nakashima","given":"Yoshihiro","non-dropping-particle":"","parse-names":false,"suffix":""},{"dropping-particle":"","family":"Naoe","given":"Shoji","non-dropping-particle":"","parse-names":false,"suffix":""},{"dropping-particle":"","family":"Nates-Parra","given":"Guiomar","non-dropping-particle":"","parse-names":false,"suffix":""},{"dropping-particle":"","family":"Navarrete Gutierrez","given":"Dario A.","non-dropping-particle":"","parse-names":false,"suffix":""},{"dropping-particle":"","family":"Navarro-Iriarte","given":"Luis","non-dropping-particle":"","parse-names":false,"suffix":""},{"dropping-particle":"","family":"Ndang'ang'a","given":"Paul K.","non-dropping-particle":"","parse-names":false,"suffix":""},{"dropping-particle":"","family":"Neuschulz","given":"Eike L.","non-dropping-particle":"","parse-names":false,"suffix":""},{"dropping-particle":"","family":"Ngai","given":"Jacqueline T.","non-dropping-particle":"","parse-names":false,"suffix":""},{"dropping-particle":"","family":"Nicolas","given":"Violaine","non-dropping-particle":"","parse-names":false,"suffix":""},{"dropping-particle":"","family":"Nilsson","given":"Sven G.","non-dropping-particle":"","parse-names":false,"suffix":""},{"dropping-particle":"","family":"Noreika","given":"Norbertas","non-dropping-particle":"","parse-names":false,"suffix":""},{"dropping-particle":"","family":"Norfolk","given":"Olivia","non-dropping-particle":"","parse-names":false,"suffix":""},{"dropping-particle":"","family":"Noriega","given":"Jorge Ari","non-dropping-particle":"","parse-names":false,"suffix":""},{"dropping-particle":"","family":"Norton","given":"David A.","non-dropping-particle":"","parse-names":false,"suffix":""},{"dropping-particle":"","family":"Nöske","given":"Nicole M.","non-dropping-particle":"","parse-names":false,"suffix":""},{"dropping-particle":"","family":"Nowakowski","given":"A. Justin","non-dropping-particle":"","parse-names":false,"suffix":""},{"dropping-particle":"","family":"Numa","given":"Catherine","non-dropping-particle":"","parse-names":false,"suffix":""},{"dropping-particle":"","family":"O'Dea","given":"Niall","non-dropping-particle":"","parse-names":false,"suffix":""},{"dropping-particle":"","family":"O'Farrell","given":"Patrick J.","non-dropping-particle":"","parse-names":false,"suffix":""},{"dropping-particle":"","family":"Oduro","given":"William","non-dropping-particle":"","parse-names":false,"suffix":""},{"dropping-particle":"","family":"Oertli","given":"Sabine","non-dropping-particle":"","parse-names":false,"suffix":""},{"dropping-particle":"","family":"Ofori-Boateng","given":"Caleb","non-dropping-particle":"","parse-names":false,"suffix":""},{"dropping-particle":"","family":"Oke","given":"Christopher Omamoke","non-dropping-particle":"","parse-names":false,"suffix":""},{"dropping-particle":"","family":"Oostra","given":"Vicencio","non-dropping-particle":"","parse-names":false,"suffix":""},{"dropping-particle":"","family":"Osgathorpe","given":"Lynne M.","non-dropping-particle":"","parse-names":false,"suffix":""},{"dropping-particle":"","family":"Otavo","given":"Samuel Eduardo","non-dropping-particle":"","parse-names":false,"suffix":""},{"dropping-particle":"V.","family":"Page","given":"Navendu","non-dropping-particle":"","parse-names":false,"suffix":""},{"dropping-particle":"","family":"Paritsis","given":"Juan","non-dropping-particle":"","parse-names":false,"suffix":""},{"dropping-particle":"","family":"Parra-H","given":"Alejandro","non-dropping-particle":"","parse-names":false,"suffix":""},{"dropping-particle":"","family":"Parry","given":"Luke","non-dropping-particle":"","parse-names":false,"suffix":""},{"dropping-particle":"","family":"Pe'er","given":"Guy","non-dropping-particle":"","parse-names":false,"suffix":""},{"dropping-particle":"","family":"Pearman","given":"Peter B.","non-dropping-particle":"","parse-names":false,"suffix":""},{"dropping-particle":"","family":"Pelegrin","given":"Nicolás","non-dropping-particle":"","parse-names":false,"suffix":""},{"dropping-particle":"","family":"Pélissier","given":"Raphaël","non-dropping-particle":"","parse-names":false,"suffix":""},{"dropping-particle":"","family":"Peres","given":"Carlos A.","non-dropping-particle":"","parse-names":false,"suffix":""},{"dropping-particle":"","family":"Peri","given":"Pablo L.","non-dropping-particle":"","parse-names":false,"suffix":""},{"dropping-particle":"","family":"Persson","given":"Anna S.","non-dropping-particle":"","parse-names":false,"suffix":""},{"dropping-particle":"","family":"Petanidou","given":"Theodora","non-dropping-particle":"","parse-names":false,"suffix":""},{"dropping-particle":"","family":"Peters","given":"Marcell K.","non-dropping-particle":"","parse-names":false,"suffix":""},{"dropping-particle":"","family":"Pethiyagoda","given":"Rohan S.","non-dropping-particle":"","parse-names":false,"suffix":""},{"dropping-particle":"","family":"Phalan","given":"Ben","non-dropping-particle":"","parse-names":false,"suffix":""},{"dropping-particle":"","family":"Philips","given":"T. Keith","non-dropping-particle":"","parse-names":false,"suffix":""},{"dropping-particle":"","family":"Pillsbury","given":"Finn C.","non-dropping-particle":"","parse-names":false,"suffix":""},{"dropping-particle":"","family":"Pincheira-Ulbrich","given":"Jimmy","non-dropping-particle":"","parse-names":false,"suffix":""},{"dropping-particle":"","family":"Pineda","given":"Eduardo","non-dropping-particle":"","parse-names":false,"suffix":""},{"dropping-particle":"","family":"Pino","given":"Joan","non-dropping-particle":"","parse-names":false,"suffix":""},{"dropping-particle":"","family":"Pizarro-Araya","given":"Jaime","non-dropping-particle":"","parse-names":false,"suffix":""},{"dropping-particle":"","family":"Plumptre","given":"A. J.","non-dropping-particle":"","parse-names":false,"suffix":""},{"dropping-particle":"","family":"Poggio","given":"Santiago L.","non-dropping-particle":"","parse-names":false,"suffix":""},{"dropping-particle":"","family":"Politi","given":"Natalia","non-dropping-particle":"","parse-names":false,"suffix":""},{"dropping-particle":"","family":"Pons","given":"Pere","non-dropping-particle":"","parse-names":false,"suffix":""},{"dropping-particle":"","family":"Poveda","given":"Katja","non-dropping-particle":"","parse-names":false,"suffix":""},{"dropping-particle":"","family":"Power","given":"Eileen F.","non-dropping-particle":"","parse-names":false,"suffix":""},{"dropping-particle":"","family":"Presley","given":"Steven J.","non-dropping-particle":"","parse-names":false,"suffix":""},{"dropping-particle":"","family":"Proença","given":"Vânia","non-dropping-particle":"","parse-names":false,"suffix":""},{"dropping-particle":"","family":"Quaranta","given":"Marino","non-dropping-particle":"","parse-names":false,"suffix":""},{"dropping-particle":"","family":"Quintero","given":"Carolina","non-dropping-particle":"","parse-names":false,"suffix":""},{"dropping-particle":"","family":"Rader","given":"Romina","non-dropping-particle":"","parse-names":false,"suffix":""},{"dropping-particle":"","family":"Ramesh","given":"B. R.","non-dropping-particle":"","parse-names":false,"suffix":""},{"dropping-particle":"","family":"Ramirez-Pinilla","given":"Martha P.","non-dropping-particle":"","parse-names":false,"suffix":""},{"dropping-particle":"","family":"Ranganathan","given":"Jai","non-dropping-particle":"","parse-names":false,"suffix":""},{"dropping-particle":"","family":"Rasmussen","given":"Claus","non-dropping-particle":"","parse-names":false,"suffix":""},{"dropping-particle":"","family":"Redpath-Downing","given":"Nicola A.","non-dropping-particle":"","parse-names":false,"suffix":""},{"dropping-particle":"","family":"Reid","given":"J. Leighton","non-dropping-particle":"","parse-names":false,"suffix":""},{"dropping-particle":"","family":"Reis","given":"Yana T.","non-dropping-particle":"","parse-names":false,"suffix":""},{"dropping-particle":"","family":"Rey Benayas","given":"José M.","non-dropping-particle":"","parse-names":false,"suffix":""},{"dropping-particle":"","family":"Rey-Velasco","given":"Juan Carlos","non-dropping-particle":"","parse-names":false,"suffix":""},{"dropping-particle":"","family":"Reynolds","given":"Chevonne","non-dropping-particle":"","parse-names":false,"suffix":""},{"dropping-particle":"","family":"Ribeiro","given":"Danilo Bandini","non-dropping-particle":"","parse-names":false,"suffix":""},{"dropping-particle":"","family":"Richards","given":"Miriam H.","non-dropping-particle":"","parse-names":false,"suffix":""},{"dropping-particle":"","family":"Richardson","given":"Barbara A.","non-dropping-particle":"","parse-names":false,"suffix":""},{"dropping-particle":"","family":"Richardson","given":"Michael J.","non-dropping-particle":"","parse-names":false,"suffix":""},{"dropping-particle":"","family":"Ríos","given":"Rodrigo Macip","non-dropping-particle":"","parse-names":false,"suffix":""},{"dropping-particle":"","family":"Robinson","given":"Richard","non-dropping-particle":"","parse-names":false,"suffix":""},{"dropping-particle":"","family":"Robles","given":"Carolina A.","non-dropping-particle":"","parse-names":false,"suffix":""},{"dropping-particle":"","family":"Römbke","given":"Jörg","non-dropping-particle":"","parse-names":false,"suffix":""},{"dropping-particle":"","family":"Romero-Duque","given":"Luz Piedad","non-dropping-particle":"","parse-names":false,"suffix":""},{"dropping-particle":"","family":"Rös","given":"Matthias","non-dropping-particle":"","parse-names":false,"suffix":""},{"dropping-particle":"","family":"Rosselli","given":"Loreta","non-dropping-particle":"","parse-names":false,"suffix":""},{"dropping-particle":"","family":"Rossiter","given":"Stephen J.","non-dropping-particle":"","parse-names":false,"suffix":""},{"dropping-particle":"","family":"Roth","given":"Dana S.","non-dropping-particle":"","parse-names":false,"suffix":""},{"dropping-particle":"","family":"Roulston","given":"T'ai H.","non-dropping-particle":"","parse-names":false,"suffix":""},{"dropping-particle":"","family":"Rousseau","given":"Laurent","non-dropping-particle":"","parse-names":false,"suffix":""},{"dropping-particle":"V.","family":"Rubio","given":"André","non-dropping-particle":"","parse-names":false,"suffix":""},{"dropping-particle":"","family":"Ruel","given":"Jean Claude","non-dropping-particle":"","parse-names":false,"suffix":""},{"dropping-particle":"","family":"Sadler","given":"Jonathan P.","non-dropping-particle":"","parse-names":false,"suffix":""},{"dropping-particle":"","family":"Sáfián","given":"Szabolcs","non-dropping-particle":"","parse-names":false,"suffix":""},{"dropping-particle":"","family":"Saldaña-Vázquez","given":"Romeo A.","non-dropping-particle":"","parse-names":false,"suffix":""},{"dropping-particle":"","family":"Sam","given":"Katerina","non-dropping-particle":"","parse-names":false,"suffix":""},{"dropping-particle":"","family":"Samnegård","given":"Ulrika","non-dropping-particle":"","parse-names":false,"suffix":""},{"dropping-particle":"","family":"Santana","given":"Joana","non-dropping-particle":"","parse-names":false,"suffix":""},{"dropping-particle":"","family":"Santos","given":"Xavier","non-dropping-particle":"","parse-names":false,"suffix":""},{"dropping-particle":"","family":"Savage","given":"Jade","non-dropping-particle":"","parse-names":false,"suffix":""},{"dropping-particle":"","family":"Schellhorn","given":"Nancy A.","non-dropping-particle":"","parse-names":false,"suffix":""},{"dropping-particle":"","family":"Schilthuizen","given":"Menno","non-dropping-particle":"","parse-names":false,"suffix":""},{"dropping-particle":"","family":"Schmiedel","given":"Ute","non-dropping-particle":"","parse-names":false,"suffix":""},{"dropping-particle":"","family":"Schmitt","given":"Christine B.","non-dropping-particle":"","parse-names":false,"suffix":""},{"dropping-particle":"","family":"Schon","given":"Nicole L.","non-dropping-particle":"","parse-names":false,"suffix":""},{"dropping-particle":"","family":"Schüepp","given":"Christof","non-dropping-particle":"","parse-names":false,"suffix":""},{"dropping-particle":"","family":"Schumann","given":"Katharina","non-dropping-particle":"","parse-names":false,"suffix":""},{"dropping-particle":"","family":"Schweiger","given":"Oliver","non-dropping-particle":"","parse-names":false,"suffix":""},{"dropping-particle":"","family":"Scott","given":"Dawn M.","non-dropping-particle":"","parse-names":false,"suffix":""},{"dropping-particle":"","family":"Scott","given":"Kenneth A.","non-dropping-particle":"","parse-names":false,"suffix":""},{"dropping-particle":"","family":"Sedlock","given":"Jodi L.","non-dropping-particle":"","parse-names":false,"suffix":""},{"dropping-particle":"","family":"Seefeldt","given":"Steven S.","non-dropping-particle":"","parse-names":false,"suffix":""},{"dropping-particle":"","family":"Shahabuddin","given":"Ghazala","non-dropping-particle":"","parse-names":false,"suffix":""},{"dropping-particle":"","family":"Shannon","given":"Graeme","non-dropping-particle":"","parse-names":false,"suffix":""},{"dropping-particle":"","family":"Sheil","given":"Douglas","non-dropping-particle":"","parse-names":false,"suffix":""},{"dropping-particle":"","family":"Sheldon","given":"Frederick H.","non-dropping-particle":"","parse-names":false,"suffix":""},{"dropping-particle":"","family":"Shochat","given":"Eyal","non-dropping-particle":"","parse-names":false,"suffix":""},{"dropping-particle":"","family":"Siebert","given":"Stefan J.","non-dropping-particle":"","parse-names":false,"suffix":""},{"dropping-particle":"","family":"Silva","given":"Fernando A.B.","non-dropping-particle":"","parse-names":false,"suffix":""},{"dropping-particle":"","family":"Simonetti","given":"Javier A.","non-dropping-particle":"","parse-names":false,"suffix":""},{"dropping-particle":"","family":"Slade","given":"Eleanor M.","non-dropping-particle":"","parse-names":false,"suffix":""},{"dropping-particle":"","family":"Smith","given":"Jo","non-dropping-particle":"","parse-names":false,"suffix":""},{"dropping-particle":"","family":"Smith-Pardo","given":"Allan H.","non-dropping-particle":"","parse-names":false,"suffix":""},{"dropping-particle":"","family":"Sodhi","given":"Navjot S.","non-dropping-particle":"","parse-names":false,"suffix":""},{"dropping-particle":"","family":"Somarriba","given":"Eduardo J.","non-dropping-particle":"","parse-names":false,"suffix":""},{"dropping-particle":"","family":"Sosa","given":"Ramón A.","non-dropping-particle":"","parse-names":false,"suffix":""},{"dropping-particle":"","family":"Soto Quiroga","given":"Grimaldo","non-dropping-particle":"","parse-names":false,"suffix":""},{"dropping-particle":"","family":"St-Laurent","given":"Martin Hugues","non-dropping-particle":"","parse-names":false,"suffix":""},{"dropping-particle":"","family":"Starzomski","given":"Brian M.","non-dropping-particle":"","parse-names":false,"suffix":""},{"dropping-particle":"","family":"Stefanescu","given":"Constanti","non-dropping-particle":"","parse-names":false,"suffix":""},{"dropping-particle":"","family":"Steffan-Dewenter","given":"Ingolf","non-dropping-particle":"","parse-names":false,"suffix":""},{"dropping-particle":"","family":"Stouffer","given":"Philip C.","non-dropping-particle":"","parse-names":false,"suffix":""},{"dropping-particle":"","family":"Stout","given":"Jane C.","non-dropping-particle":"","parse-names":false,"suffix":""},{"dropping-particle":"","family":"Strauch","given":"Ayron M.","non-dropping-particle":"","parse-names":false,"suffix":""},{"dropping-particle":"","family":"Struebig","given":"Matthew J.","non-dropping-particle":"","parse-names":false,"suffix":""},{"dropping-particle":"","family":"Su","given":"Zhimin","non-dropping-particle":"","parse-names":false,"suffix":""},{"dropping-particle":"","family":"Suarez-Rubio","given":"Marcela","non-dropping-particle":"","parse-names":false,"suffix":""},{"dropping-particle":"","family":"Sugiura","given":"Shinji","non-dropping-particle":"","parse-names":false,"suffix":""},{"dropping-particle":"","family":"Summerville","given":"Keith S.","non-dropping-particle":"","parse-names":false,"suffix":""},{"dropping-particle":"","family":"Sung","given":"Yik Hei","non-dropping-particle":"","parse-names":false,"suffix":""},{"dropping-particle":"","family":"Sutrisno","given":"Hari","non-dropping-particle":"","parse-names":false,"suffix":""},{"dropping-particle":"","family":"Svenning","given":"Jens Christian","non-dropping-particle":"","parse-names":false,"suffix":""},{"dropping-particle":"","family":"Teder","given":"Tiit","non-dropping-particle":"","parse-names":false,"suffix":""},{"dropping-particle":"","family":"Threlfall","given":"Caragh G.","non-dropping-particle":"","parse-names":false,"suffix":""},{"dropping-particle":"","family":"Tiitsaar","given":"Anu","non-dropping-particle":"","parse-names":false,"suffix":""},{"dropping-particle":"","family":"Todd","given":"Jacqui H.","non-dropping-particle":"","parse-names":false,"suffix":""},{"dropping-particle":"","family":"Tonietto","given":"Rebecca K.","non-dropping-particle":"","parse-names":false,"suffix":""},{"dropping-particle":"","family":"Torre","given":"Ignasi","non-dropping-particle":"","parse-names":false,"suffix":""},{"dropping-particle":"","family":"Tóthmérész","given":"Béla","non-dropping-particle":"","parse-names":false,"suffix":""},{"dropping-particle":"","family":"Tscharntke","given":"Teja","non-dropping-particle":"","parse-names":false,"suffix":""},{"dropping-particle":"","family":"Turner","given":"Edgar C.","non-dropping-particle":"","parse-names":false,"suffix":""},{"dropping-particle":"","family":"Tylianakis","given":"Jason M.","non-dropping-particle":"","parse-names":false,"suffix":""},{"dropping-particle":"","family":"Uehara-Prado","given":"Marcio","non-dropping-particle":"","parse-names":false,"suffix":""},{"dropping-particle":"","family":"Urbina-Cardona","given":"Nicolas","non-dropping-particle":"","parse-names":false,"suffix":""},{"dropping-particle":"","family":"Vallan","given":"Denis","non-dropping-particle":"","parse-names":false,"suffix":""},{"dropping-particle":"","family":"Vanbergen","given":"Adam J.","non-dropping-particle":"","parse-names":false,"suffix":""},{"dropping-particle":"","family":"Vasconcelos","given":"Heraldo L.","non-dropping-particle":"","parse-names":false,"suffix":""},{"dropping-particle":"","family":"Vassilev","given":"Kiril","non-dropping-particle":"","parse-names":false,"suffix":""},{"dropping-particle":"","family":"Verboven","given":"Hans A.F.","non-dropping-particle":"","parse-names":false,"suffix":""},{"dropping-particle":"","family":"Verdasca","given":"Maria João","non-dropping-particle":"","parse-names":false,"suffix":""},{"dropping-particle":"","family":"Verdú","given":"José R.","non-dropping-particle":"","parse-names":false,"suffix":""},{"dropping-particle":"","family":"Vergara","given":"Carlos H.","non-dropping-particle":"","parse-names":false,"suffix":""},{"dropping-particle":"","family":"Vergara","given":"Pablo M.","non-dropping-particle":"","parse-names":false,"suffix":""},{"dropping-particle":"","family":"Verhulst","given":"Jort","non-dropping-particle":"","parse-names":false,"suffix":""},{"dropping-particle":"","family":"Virgilio","given":"Massimiliano","non-dropping-particle":"","parse-names":false,"suffix":""},{"dropping-particle":"Van","family":"Vu","given":"Lien","non-dropping-particle":"","parse-names":false,"suffix":""},{"dropping-particle":"","family":"Waite","given":"Edward M.","non-dropping-particle":"","parse-names":false,"suffix":""},{"dropping-particle":"","family":"Walker","given":"Tony R.","non-dropping-particle":"","parse-names":false,"suffix":""},{"dropping-particle":"","family":"Wang","given":"Hua Feng","non-dropping-particle":"","parse-names":false,"suffix":""},{"dropping-particle":"","family":"Wang","given":"Yanping","non-dropping-particle":"","parse-names":false,"suffix":""},{"dropping-particle":"","family":"Watling","given":"James I.","non-dropping-particle":"","parse-names":false,"suffix":""},{"dropping-particle":"","family":"Weller","given":"Britta","non-dropping-particle":"","parse-names":false,"suffix":""},{"dropping-particle":"","family":"Wells","given":"Konstans","non-dropping-particle":"","parse-names":false,"suffix":""},{"dropping-particle":"","family":"Westphal","given":"Catrin","non-dropping-particle":"","parse-names":false,"suffix":""},{"dropping-particle":"","family":"Wiafe","given":"Edward D.","non-dropping-particle":"","parse-names":false,"suffix":""},{"dropping-particle":"","family":"Williams","given":"Christopher D.","non-dropping-particle":"","parse-names":false,"suffix":""},{"dropping-particle":"","family":"Willig","given":"Michael R.","non-dropping-particle":"","parse-names":false,"suffix":""},{"dropping-particle":"","family":"Woinarski","given":"John C.Z.","non-dropping-particle":"","parse-names":false,"suffix":""},{"dropping-particle":"","family":"Wolf","given":"Jan H.D.","non-dropping-particle":"","parse-names":false,"suffix":""},{"dropping-particle":"","family":"Wolters","given":"Volkmar","non-dropping-particle":"","parse-names":false,"suffix":""},{"dropping-particle":"","family":"Woodcock","given":"Ben A.","non-dropping-particle":"","parse-names":false,"suffix":""},{"dropping-particle":"","family":"Wu","given":"Jihua","non-dropping-particle":"","parse-names":false,"suffix":""},{"dropping-particle":"","family":"Wunderle","given":"Joseph M.","non-dropping-particle":"","parse-names":false,"suffix":""},{"dropping-particle":"","family":"Yamaura","given":"Yuichi","non-dropping-particle":"","parse-names":false,"suffix":""},{"dropping-particle":"","family":"Yoshikura","given":"Satoko","non-dropping-particle":"","parse-names":false,"suffix":""},{"dropping-particle":"","family":"Yu","given":"Douglas W.","non-dropping-particle":"","parse-names":false,"suffix":""},{"dropping-particle":"","family":"Zaitsev","given":"Andrey S.","non-dropping-particle":"","parse-names":false,"suffix":""},{"dropping-particle":"","family":"Zeidler","given":"Juliane","non-dropping-particle":"","parse-names":false,"suffix":""},{"dropping-particle":"","family":"Zou","given":"Fasheng","non-dropping-particle":"","parse-names":false,"suffix":""},{"dropping-particle":"","family":"Collen","given":"Ben","non-dropping-particle":"","parse-names":false,"suffix":""},{"dropping-particle":"","family":"Ewers","given":"Rob M.","non-dropping-particle":"","parse-names":false,"suffix":""},{"dropping-particle":"","family":"Mace","given":"Georgina M.","non-dropping-particle":"","parse-names":false,"suffix":""},{"dropping-particle":"","family":"Purves","given":"Drew W.","non-dropping-particle":"","parse-names":false,"suffix":""},{"dropping-particle":"","family":"Scharlemann","given":"Jörn P.W.","non-dropping-particle":"","parse-names":false,"suffix":""},{"dropping-particle":"","family":"Purvis","given":"Andy","non-dropping-particle":"","parse-names":false,"suffix":""}],"container-title":"Ecology and Evolution","id":"ITEM-1","issue":"1","issued":{"date-parts":[["2017"]]},"page":"145-188","title":"The database of the PREDICTS (Projecting Responses of Ecological Diversity In Changing Terrestrial Systems) project","type":"article-journal","volume":"7"},"uris":["http://www.mendeley.com/documents/?uuid=f39ccf1f-7d1e-4ae7-b95e-5e77aedf7608"]}],"mendeley":{"formattedCitation":"&lt;sup&gt;83&lt;/sup&gt;","plainTextFormattedCitation":"83","previouslyFormattedCitation":"&lt;sup&gt;83&lt;/sup&gt;"},"properties":{"noteIndex":0},"schema":"https://github.com/citation-style-language/schema/raw/master/csl-citation.json"}</w:instrText>
      </w:r>
      <w:r w:rsidRPr="00630722">
        <w:rPr>
          <w:rFonts w:ascii="Arial" w:eastAsia="Arial" w:hAnsi="Arial" w:cs="Arial"/>
          <w:color w:val="000000"/>
          <w:sz w:val="20"/>
          <w:szCs w:val="20"/>
        </w:rPr>
        <w:fldChar w:fldCharType="separate"/>
      </w:r>
      <w:r w:rsidR="00852C49" w:rsidRPr="00852C49">
        <w:rPr>
          <w:rFonts w:ascii="Arial" w:eastAsia="Arial" w:hAnsi="Arial" w:cs="Arial"/>
          <w:noProof/>
          <w:color w:val="000000"/>
          <w:sz w:val="20"/>
          <w:szCs w:val="20"/>
          <w:vertAlign w:val="superscript"/>
        </w:rPr>
        <w:t>83</w:t>
      </w:r>
      <w:r w:rsidRPr="00630722">
        <w:rPr>
          <w:rFonts w:ascii="Arial" w:eastAsia="Arial" w:hAnsi="Arial" w:cs="Arial"/>
          <w:color w:val="000000"/>
          <w:sz w:val="20"/>
          <w:szCs w:val="20"/>
        </w:rPr>
        <w:fldChar w:fldCharType="end"/>
      </w:r>
      <w:r w:rsidRPr="00630722">
        <w:rPr>
          <w:rFonts w:ascii="Arial" w:eastAsia="Arial" w:hAnsi="Arial" w:cs="Arial"/>
          <w:color w:val="000000"/>
          <w:sz w:val="20"/>
          <w:szCs w:val="20"/>
        </w:rPr>
        <w:t>, BioTime</w:t>
      </w:r>
      <w:r w:rsidRPr="00630722">
        <w:rPr>
          <w:rFonts w:ascii="Arial" w:eastAsia="Arial" w:hAnsi="Arial" w:cs="Arial"/>
          <w:color w:val="000000"/>
          <w:sz w:val="20"/>
          <w:szCs w:val="20"/>
        </w:rPr>
        <w:fldChar w:fldCharType="begin" w:fldLock="1"/>
      </w:r>
      <w:r w:rsidR="00F23EB1">
        <w:rPr>
          <w:rFonts w:ascii="Arial" w:eastAsia="Arial" w:hAnsi="Arial" w:cs="Arial"/>
          <w:color w:val="000000"/>
          <w:sz w:val="20"/>
          <w:szCs w:val="20"/>
        </w:rPr>
        <w:instrText>ADDIN CSL_CITATION {"citationItems":[{"id":"ITEM-1","itemData":{"author":[{"dropping-particle":"","family":"M","given":"Dornelas","non-dropping-particle":"","parse-names":false,"suffix":""},{"dropping-particle":"","family":"Antão","given":"LH","non-dropping-particle":"","parse-names":false,"suffix":""},{"dropping-particle":"","family":"F","given":"Moyes","non-dropping-particle":"","parse-names":false,"suffix":""},{"dropping-particle":"","family":"AE","given":"Bates","non-dropping-particle":"","parse-names":false,"suffix":""},{"dropping-particle":"","family":"AE","given":"Magurran","non-dropping-particle":"","parse-names":false,"suffix":""}],"container-title":"Global Ecology and Biogeography","id":"ITEM-1","issued":{"date-parts":[["2018"]]},"page":"760-786","title":"BioTIME: A database of biodiversity time series for the Anthropocene","type":"article-journal","volume":"27"},"uris":["http://www.mendeley.com/documents/?uuid=65f95f92-cba6-4589-958a-b46f4c1a3eb2"]}],"mendeley":{"formattedCitation":"&lt;sup&gt;84&lt;/sup&gt;","plainTextFormattedCitation":"84","previouslyFormattedCitation":"&lt;sup&gt;84&lt;/sup&gt;"},"properties":{"noteIndex":0},"schema":"https://github.com/citation-style-language/schema/raw/master/csl-citation.json"}</w:instrText>
      </w:r>
      <w:r w:rsidRPr="00630722">
        <w:rPr>
          <w:rFonts w:ascii="Arial" w:eastAsia="Arial" w:hAnsi="Arial" w:cs="Arial"/>
          <w:color w:val="000000"/>
          <w:sz w:val="20"/>
          <w:szCs w:val="20"/>
        </w:rPr>
        <w:fldChar w:fldCharType="separate"/>
      </w:r>
      <w:r w:rsidR="00852C49" w:rsidRPr="00852C49">
        <w:rPr>
          <w:rFonts w:ascii="Arial" w:eastAsia="Arial" w:hAnsi="Arial" w:cs="Arial"/>
          <w:noProof/>
          <w:color w:val="000000"/>
          <w:sz w:val="20"/>
          <w:szCs w:val="20"/>
          <w:vertAlign w:val="superscript"/>
        </w:rPr>
        <w:t>84</w:t>
      </w:r>
      <w:r w:rsidRPr="00630722">
        <w:rPr>
          <w:rFonts w:ascii="Arial" w:eastAsia="Arial" w:hAnsi="Arial" w:cs="Arial"/>
          <w:color w:val="000000"/>
          <w:sz w:val="20"/>
          <w:szCs w:val="20"/>
        </w:rPr>
        <w:fldChar w:fldCharType="end"/>
      </w:r>
      <w:r w:rsidRPr="00630722">
        <w:rPr>
          <w:rFonts w:ascii="Arial" w:eastAsia="Arial" w:hAnsi="Arial" w:cs="Arial"/>
          <w:color w:val="000000"/>
          <w:sz w:val="20"/>
          <w:szCs w:val="20"/>
        </w:rPr>
        <w:t>,</w:t>
      </w:r>
      <w:r w:rsidRPr="00630722">
        <w:rPr>
          <w:rFonts w:ascii="Arial" w:eastAsia="Arial" w:hAnsi="Arial" w:cs="Arial"/>
          <w:color w:val="000000"/>
          <w:sz w:val="20"/>
          <w:szCs w:val="20"/>
          <w:vertAlign w:val="subscript"/>
        </w:rPr>
        <w:t xml:space="preserve"> </w:t>
      </w:r>
      <w:r w:rsidRPr="00630722">
        <w:rPr>
          <w:rFonts w:ascii="Arial" w:eastAsia="Arial" w:hAnsi="Arial" w:cs="Arial"/>
          <w:color w:val="000000"/>
          <w:sz w:val="20"/>
          <w:szCs w:val="20"/>
        </w:rPr>
        <w:t>COMPADRE/COMADRE</w:t>
      </w:r>
      <w:r w:rsidRPr="00630722">
        <w:rPr>
          <w:rFonts w:ascii="Arial" w:eastAsia="Arial" w:hAnsi="Arial" w:cs="Arial"/>
          <w:color w:val="000000"/>
          <w:sz w:val="20"/>
          <w:szCs w:val="20"/>
        </w:rPr>
        <w:fldChar w:fldCharType="begin" w:fldLock="1"/>
      </w:r>
      <w:r w:rsidR="00F23EB1">
        <w:rPr>
          <w:rFonts w:ascii="Arial" w:eastAsia="Arial" w:hAnsi="Arial" w:cs="Arial"/>
          <w:color w:val="000000"/>
          <w:sz w:val="20"/>
          <w:szCs w:val="20"/>
        </w:rPr>
        <w:instrText>ADDIN CSL_CITATION {"citationItems":[{"id":"ITEM-1","itemData":{"DOI":"10.1111/1365-2745.12334","ISSN":"13652745","abstract":"Summary: Schedules of survival, growth and reproduction are key life-history traits. Data on how these traits vary among species and populations are fundamental to our understanding of the ecological conditions that have shaped plant evolution. Because these demographic schedules determine population growth or decline, such data help us understand how different biomes shape plant ecology, how plant populations and communities respond to global change and how to develop successful management tools for endangered or invasive species. Matrix population models summarize the life cycle components of survival, growth and reproduction, while explicitly acknowledging heterogeneity among classes of individuals in the population. Matrix models have comparable structures, and their emergent measures of population dynamics, such as population growth rate or mean life expectancy, have direct biological interpretations, facilitating comparisons among populations and species. Thousands of plant matrix population models have been parameterized from empirical data, but they are largely dispersed through peer-reviewed and grey literature, and thus remain inaccessible for synthetic analysis. Here, we introduce the compadre Plant Matrix Database version 3.0, an open-source online repository containing 468 studies from 598 species world-wide (672 species hits, when accounting for species studied in more than one source), with a total of 5621 matrices. compadre also contains relevant ancillary information (e.g. ecoregion, growth form, taxonomy, phylogeny) that facilitates interpretation of the numerous demographic metrics that can be derived from the matrices. Synthesis. Large collections of data allow broad questions to be addressed at the global scale, for example, in genetics (genbank), functional plant ecology (try, bien, d3) and grassland community ecology (nutnet). Here, we present compadre, a similarly data-rich and ecologically relevant resource for plant demography. Open access to this information, its frequent updates and its integration with other online resources will allow researchers to address timely and important ecological and evolutionary questions. Synthesis: Large collections of data sets allow broad questions to be addressed at the global scale, for example, in genetics (genbank), functional plant ecology (try, bien, d3) and grassland community ecology (nutnet). Here, we present compadre, a similarly data-rich and ecologically relevant resource for plant…","author":[{"dropping-particle":"","family":"Salguero-Gómez","given":"Roberto","non-dropping-particle":"","parse-names":false,"suffix":""},{"dropping-particle":"","family":"Jones","given":"Owen R.","non-dropping-particle":"","parse-names":false,"suffix":""},{"dropping-particle":"","family":"Archer","given":"C. Ruth","non-dropping-particle":"","parse-names":false,"suffix":""},{"dropping-particle":"","family":"Buckley","given":"Yvonne M.","non-dropping-particle":"","parse-names":false,"suffix":""},{"dropping-particle":"","family":"Che-Castaldo","given":"Judy","non-dropping-particle":"","parse-names":false,"suffix":""},{"dropping-particle":"","family":"Caswell","given":"Hal","non-dropping-particle":"","parse-names":false,"suffix":""},{"dropping-particle":"","family":"Hodgson","given":"David","non-dropping-particle":"","parse-names":false,"suffix":""},{"dropping-particle":"","family":"Scheuerlein","given":"Alexander","non-dropping-particle":"","parse-names":false,"suffix":""},{"dropping-particle":"","family":"Conde","given":"Dalia A.","non-dropping-particle":"","parse-names":false,"suffix":""},{"dropping-particle":"","family":"Brinks","given":"Erik","non-dropping-particle":"","parse-names":false,"suffix":""},{"dropping-particle":"","family":"Buhr","given":"Hendrik","non-dropping-particle":"de","parse-names":false,"suffix":""},{"dropping-particle":"","family":"Farack","given":"Claudia","non-dropping-particle":"","parse-names":false,"suffix":""},{"dropping-particle":"","family":"Gottschalk","given":"Fränce","non-dropping-particle":"","parse-names":false,"suffix":""},{"dropping-particle":"","family":"Hartmann","given":"Alexander","non-dropping-particle":"","parse-names":false,"suffix":""},{"dropping-particle":"","family":"Henning","given":"Anne","non-dropping-particle":"","parse-names":false,"suffix":""},{"dropping-particle":"","family":"Hoppe","given":"Gabriel","non-dropping-particle":"","parse-names":false,"suffix":""},{"dropping-particle":"","family":"Römer","given":"Gesa","non-dropping-particle":"","parse-names":false,"suffix":""},{"dropping-particle":"","family":"Runge","given":"Jens","non-dropping-particle":"","parse-names":false,"suffix":""},{"dropping-particle":"","family":"Ruoff","given":"Tara","non-dropping-particle":"","parse-names":false,"suffix":""},{"dropping-particle":"","family":"Wille","given":"Julia","non-dropping-particle":"","parse-names":false,"suffix":""},{"dropping-particle":"","family":"Zeh","given":"Stefan","non-dropping-particle":"","parse-names":false,"suffix":""},{"dropping-particle":"","family":"Davison","given":"Raziel","non-dropping-particle":"","parse-names":false,"suffix":""},{"dropping-particle":"","family":"Vieregg","given":"Dirk","non-dropping-particle":"","parse-names":false,"suffix":""},{"dropping-particle":"","family":"Baudisch","given":"Annette","non-dropping-particle":"","parse-names":false,"suffix":""},{"dropping-particle":"","family":"Altwegg","given":"Res","non-dropping-particle":"","parse-names":false,"suffix":""},{"dropping-particle":"","family":"Colchero","given":"Fernando","non-dropping-particle":"","parse-names":false,"suffix":""},{"dropping-particle":"","family":"Dong","given":"Ming","non-dropping-particle":"","parse-names":false,"suffix":""},{"dropping-particle":"","family":"Kroon","given":"Hans","non-dropping-particle":"de","parse-names":false,"suffix":""},{"dropping-particle":"","family":"Lebreton","given":"Jean Dominique","non-dropping-particle":"","parse-names":false,"suffix":""},{"dropping-particle":"","family":"Metcalf","given":"Charlotte J.E.","non-dropping-particle":"","parse-names":false,"suffix":""},{"dropping-particle":"","family":"Neel","given":"Maile M.","non-dropping-particle":"","parse-names":false,"suffix":""},{"dropping-particle":"","family":"Parker","given":"Ingrid M.","non-dropping-particle":"","parse-names":false,"suffix":""},{"dropping-particle":"","family":"Takada","given":"Takenori","non-dropping-particle":"","parse-names":false,"suffix":""},{"dropping-particle":"","family":"Valverde","given":"Teresa","non-dropping-particle":"","parse-names":false,"suffix":""},{"dropping-particle":"","family":"Vélez-Espino","given":"Luis A.","non-dropping-particle":"","parse-names":false,"suffix":""},{"dropping-particle":"","family":"Wardle","given":"Glenda M.","non-dropping-particle":"","parse-names":false,"suffix":""},{"dropping-particle":"","family":"Franco","given":"Miguel","non-dropping-particle":"","parse-names":false,"suffix":""},{"dropping-particle":"","family":"Vaupel","given":"James W.","non-dropping-particle":"","parse-names":false,"suffix":""}],"container-title":"Journal of Ecology","id":"ITEM-1","issue":"1","issued":{"date-parts":[["2015"]]},"page":"202-218","title":"The compadre Plant Matrix Database: An open online repository for plant demography","type":"article-journal","volume":"103"},"uris":["http://www.mendeley.com/documents/?uuid=c0fbe974-f27d-4f9c-8063-626aa4f0503a"]},{"id":"ITEM-2","itemData":{"DOI":"10.1111/1365-2656.12482","ISSN":"13652656","PMID":"26814420","abstract":"The open-data scientific philosophy is being widely adopted and proving to promote considerable progress in ecology and evolution. Open-data global data bases now exist on animal migration, species distribution, conservation status, etc. However, a gap exists for data on population dynamics spanning the rich diversity of the animal kingdom world-wide. This information is fundamental to our understanding of the conditions that have shaped variation in animal life histories and their relationships with the environment, as well as the determinants of invasion and extinction. Matrix population models (MPMs) are among the most widely used demographic tools by animal ecologists. MPMs project population dynamics based on the reproduction, survival and development of individuals in a population over their life cycle. The outputs from MPMs have direct biological interpretations, facilitating comparisons among animal species as different as Caenorhabditis elegans, Loxodonta africana and Homo sapiens. Thousands of animal demographic records exist in the form of MPMs, but they are dispersed throughout the literature, rendering comparative analyses difficult. Here, we introduce the COMADRE Animal Matrix Database, an open-data online repository, which in its version 1.0.0 contains data on 345 species world-wide, from 402 studies with a total of 1625 population projection matrices. COMADRE also contains ancillary information (e.g. ecoregion, taxonomy, biogeography, etc.) that facilitates interpretation of the numerous demographic metrics that can be derived from its MPMs. We provide R code to some of these examples. Synthesis: We introduce the COMADRE Animal Matrix Database, a resource for animal demography. Its open-data nature, together with its ancillary information, will facilitate comparative analysis, as will the growing availability of databases focusing on other aspects of the rich animal diversity, and tools to query and combine them. Through future frequent updates of COMADRE, and its integration with other online resources, we encourage animal ecologists to tackle global ecological and evolutionary questions with unprecedented sample size.","author":[{"dropping-particle":"","family":"Salguero-Gómez","given":"Roberto","non-dropping-particle":"","parse-names":false,"suffix":""},{"dropping-particle":"","family":"Jones","given":"Owen R.","non-dropping-particle":"","parse-names":false,"suffix":""},{"dropping-particle":"","family":"Archer","given":"C. Ruth","non-dropping-particle":"","parse-names":false,"suffix":""},{"dropping-particle":"","family":"Bein","given":"Christoph","non-dropping-particle":"","parse-names":false,"suffix":""},{"dropping-particle":"","family":"Buhr","given":"Hendrik","non-dropping-particle":"de","parse-names":false,"suffix":""},{"dropping-particle":"","family":"Farack","given":"Claudia","non-dropping-particle":"","parse-names":false,"suffix":""},{"dropping-particle":"","family":"Gottschalk","given":"Fränce","non-dropping-particle":"","parse-names":false,"suffix":""},{"dropping-particle":"","family":"Hartmann","given":"Alexander","non-dropping-particle":"","parse-names":false,"suffix":""},{"dropping-particle":"","family":"Henning","given":"Anne","non-dropping-particle":"","parse-names":false,"suffix":""},{"dropping-particle":"","family":"Hoppe","given":"Gabriel","non-dropping-particle":"","parse-names":false,"suffix":""},{"dropping-particle":"","family":"Römer","given":"Gesa","non-dropping-particle":"","parse-names":false,"suffix":""},{"dropping-particle":"","family":"Ruoff","given":"Tara","non-dropping-particle":"","parse-names":false,"suffix":""},{"dropping-particle":"","family":"Sommer","given":"Veronika","non-dropping-particle":"","parse-names":false,"suffix":""},{"dropping-particle":"","family":"Wille","given":"Julia","non-dropping-particle":"","parse-names":false,"suffix":""},{"dropping-particle":"","family":"Voigt","given":"Jakob","non-dropping-particle":"","parse-names":false,"suffix":""},{"dropping-particle":"","family":"Zeh","given":"Stefan","non-dropping-particle":"","parse-names":false,"suffix":""},{"dropping-particle":"","family":"Vieregg","given":"Dirk","non-dropping-particle":"","parse-names":false,"suffix":""},{"dropping-particle":"","family":"Buckley","given":"Yvonne M.","non-dropping-particle":"","parse-names":false,"suffix":""},{"dropping-particle":"","family":"Che-Castaldo","given":"Judy","non-dropping-particle":"","parse-names":false,"suffix":""},{"dropping-particle":"","family":"Hodgson","given":"David","non-dropping-particle":"","parse-names":false,"suffix":""},{"dropping-particle":"","family":"Scheuerlein","given":"Alexander","non-dropping-particle":"","parse-names":false,"suffix":""},{"dropping-particle":"","family":"Caswell","given":"Hal","non-dropping-particle":"","parse-names":false,"suffix":""},{"dropping-particle":"","family":"Vaupel","given":"James W.","non-dropping-particle":"","parse-names":false,"suffix":""}],"container-title":"Journal of Animal Ecology","id":"ITEM-2","issue":"2","issued":{"date-parts":[["2016"]]},"page":"371-384","title":"COMADRE: A global data base of animal demography","type":"article-journal","volume":"85"},"uris":["http://www.mendeley.com/documents/?uuid=7e228c62-d229-4419-a141-776cb5086e38"]}],"mendeley":{"formattedCitation":"&lt;sup&gt;85,86&lt;/sup&gt;","plainTextFormattedCitation":"85,86","previouslyFormattedCitation":"&lt;sup&gt;85,86&lt;/sup&gt;"},"properties":{"noteIndex":0},"schema":"https://github.com/citation-style-language/schema/raw/master/csl-citation.json"}</w:instrText>
      </w:r>
      <w:r w:rsidRPr="00630722">
        <w:rPr>
          <w:rFonts w:ascii="Arial" w:eastAsia="Arial" w:hAnsi="Arial" w:cs="Arial"/>
          <w:color w:val="000000"/>
          <w:sz w:val="20"/>
          <w:szCs w:val="20"/>
        </w:rPr>
        <w:fldChar w:fldCharType="separate"/>
      </w:r>
      <w:r w:rsidR="00852C49" w:rsidRPr="00852C49">
        <w:rPr>
          <w:rFonts w:ascii="Arial" w:eastAsia="Arial" w:hAnsi="Arial" w:cs="Arial"/>
          <w:noProof/>
          <w:color w:val="000000"/>
          <w:sz w:val="20"/>
          <w:szCs w:val="20"/>
          <w:vertAlign w:val="superscript"/>
        </w:rPr>
        <w:t>85,86</w:t>
      </w:r>
      <w:r w:rsidRPr="00630722">
        <w:rPr>
          <w:rFonts w:ascii="Arial" w:eastAsia="Arial" w:hAnsi="Arial" w:cs="Arial"/>
          <w:color w:val="000000"/>
          <w:sz w:val="20"/>
          <w:szCs w:val="20"/>
        </w:rPr>
        <w:fldChar w:fldCharType="end"/>
      </w:r>
      <w:r w:rsidRPr="00630722">
        <w:rPr>
          <w:rFonts w:ascii="Arial" w:eastAsia="Arial" w:hAnsi="Arial" w:cs="Arial"/>
          <w:color w:val="000000"/>
          <w:sz w:val="20"/>
          <w:szCs w:val="20"/>
        </w:rPr>
        <w:t>).</w:t>
      </w:r>
      <w:r>
        <w:rPr>
          <w:rFonts w:ascii="Arial" w:eastAsia="Arial" w:hAnsi="Arial" w:cs="Arial"/>
          <w:color w:val="000000"/>
          <w:sz w:val="20"/>
          <w:szCs w:val="20"/>
        </w:rPr>
        <w:t xml:space="preserve"> </w:t>
      </w:r>
      <w:r>
        <w:rPr>
          <w:rFonts w:ascii="Arial" w:eastAsia="Arial" w:hAnsi="Arial" w:cs="Arial"/>
          <w:sz w:val="20"/>
          <w:szCs w:val="20"/>
        </w:rPr>
        <w:t>While definitions vary within and between disciplines, e.g. meta-analysis may be considered a special case of multilevel modeling</w:t>
      </w:r>
      <w:r>
        <w:rPr>
          <w:rFonts w:ascii="Arial" w:eastAsia="Arial" w:hAnsi="Arial" w:cs="Arial"/>
          <w:sz w:val="20"/>
          <w:szCs w:val="20"/>
        </w:rPr>
        <w:fldChar w:fldCharType="begin" w:fldLock="1"/>
      </w:r>
      <w:r w:rsidR="00F23EB1">
        <w:rPr>
          <w:rFonts w:ascii="Arial" w:eastAsia="Arial" w:hAnsi="Arial" w:cs="Arial"/>
          <w:sz w:val="20"/>
          <w:szCs w:val="20"/>
        </w:rPr>
        <w:instrText>ADDIN CSL_CITATION {"citationItems":[{"id":"ITEM-1","itemData":{"DOI":"10.1080/00273171.2017.1365684","ISSN":"1532-7906 (Electronic)","PMID":"28952787","abstract":"The term \"multilevel meta-analysis\" is encountered not only in applied research  studies, but in multilevel resources comparing traditional meta-analysis to multilevel meta-analysis. In this tutorial, we argue that the term \"multilevel meta-analysis\" is redundant since all meta-analysis can be formulated as a special kind of multilevel model. To clarify the multilevel nature of meta-analysis the four standard meta-analytic models are presented using multilevel equations and fit to an example data set using four software programs: two specific to meta-analysis (metafor in R and SPSS macros) and two specific to multilevel modeling (PROC MIXED in SAS and HLM). The same parameter estimates are obtained across programs underscoring that all meta-analyses are multilevel in nature. Despite the equivalent results, not all software programs are alike and differences are noted in the output provided and estimators available. This tutorial also recasts distinctions made in the literature between traditional and multilevel meta-analysis as differences between meta-analytic choices, not between meta-analytic models, and provides guidance to inform choices in estimators, significance tests, moderator analyses, and modeling sequence. The extent to which the software programs allow flexibility with respect to these decisions is noted, with metafor emerging as the most favorable program reviewed.","author":[{"dropping-particle":"","family":"Pastor","given":"Dena A","non-dropping-particle":"","parse-names":false,"suffix":""},{"dropping-particle":"","family":"Lazowski","given":"Rory A","non-dropping-particle":"","parse-names":false,"suffix":""}],"container-title":"Multivariate behavioral research","id":"ITEM-1","issue":"1","issued":{"date-parts":[["2018"]]},"language":"eng","page":"74-89","publisher-place":"United States","title":"On the Multilevel Nature of Meta-Analysis: A Tutorial, Comparison of Software  Programs, and Discussion of Analytic Choices.","type":"article-journal","volume":"53"},"uris":["http://www.mendeley.com/documents/?uuid=3dee2173-f689-4a66-9181-4440034e3e27"]}],"mendeley":{"formattedCitation":"&lt;sup&gt;87&lt;/sup&gt;","plainTextFormattedCitation":"87","previouslyFormattedCitation":"&lt;sup&gt;87&lt;/sup&gt;"},"properties":{"noteIndex":0},"schema":"https://github.com/citation-style-language/schema/raw/master/csl-citation.json"}</w:instrText>
      </w:r>
      <w:r>
        <w:rPr>
          <w:rFonts w:ascii="Arial" w:eastAsia="Arial" w:hAnsi="Arial" w:cs="Arial"/>
          <w:sz w:val="20"/>
          <w:szCs w:val="20"/>
        </w:rPr>
        <w:fldChar w:fldCharType="separate"/>
      </w:r>
      <w:r w:rsidR="00852C49" w:rsidRPr="00852C49">
        <w:rPr>
          <w:rFonts w:ascii="Arial" w:eastAsia="Arial" w:hAnsi="Arial" w:cs="Arial"/>
          <w:noProof/>
          <w:sz w:val="20"/>
          <w:szCs w:val="20"/>
          <w:vertAlign w:val="superscript"/>
        </w:rPr>
        <w:t>87</w:t>
      </w:r>
      <w:r>
        <w:rPr>
          <w:rFonts w:ascii="Arial" w:eastAsia="Arial" w:hAnsi="Arial" w:cs="Arial"/>
          <w:sz w:val="20"/>
          <w:szCs w:val="20"/>
        </w:rPr>
        <w:fldChar w:fldCharType="end"/>
      </w:r>
      <w:r>
        <w:rPr>
          <w:rFonts w:ascii="Arial" w:eastAsia="Arial" w:hAnsi="Arial" w:cs="Arial"/>
          <w:sz w:val="20"/>
          <w:szCs w:val="20"/>
        </w:rPr>
        <w:t xml:space="preserve">, we use the term ‘synthesis’ to </w:t>
      </w:r>
      <w:r w:rsidR="00100ECF">
        <w:rPr>
          <w:rFonts w:ascii="Arial" w:eastAsia="Arial" w:hAnsi="Arial" w:cs="Arial"/>
          <w:sz w:val="20"/>
          <w:szCs w:val="20"/>
        </w:rPr>
        <w:t>encompass</w:t>
      </w:r>
      <w:r>
        <w:rPr>
          <w:rFonts w:ascii="Arial" w:eastAsia="Arial" w:hAnsi="Arial" w:cs="Arial"/>
          <w:sz w:val="20"/>
          <w:szCs w:val="20"/>
        </w:rPr>
        <w:t xml:space="preserve"> </w:t>
      </w:r>
      <w:r w:rsidR="0004535E" w:rsidRPr="0004535E">
        <w:rPr>
          <w:rFonts w:ascii="Arial" w:eastAsia="Arial" w:hAnsi="Arial" w:cs="Arial"/>
          <w:sz w:val="20"/>
          <w:szCs w:val="20"/>
        </w:rPr>
        <w:t xml:space="preserve">both meta-analysis and full-data analysis, as defined in Table </w:t>
      </w:r>
      <w:r w:rsidR="0004535E">
        <w:rPr>
          <w:rFonts w:ascii="Arial" w:eastAsia="Arial" w:hAnsi="Arial" w:cs="Arial"/>
          <w:sz w:val="20"/>
          <w:szCs w:val="20"/>
        </w:rPr>
        <w:t>A</w:t>
      </w:r>
      <w:r>
        <w:rPr>
          <w:rFonts w:ascii="Arial" w:eastAsia="Arial" w:hAnsi="Arial" w:cs="Arial"/>
          <w:sz w:val="20"/>
          <w:szCs w:val="20"/>
        </w:rPr>
        <w:t>.</w:t>
      </w:r>
    </w:p>
    <w:p w14:paraId="132D5ADE" w14:textId="017BBB22" w:rsidR="004615F7" w:rsidRDefault="004615F7" w:rsidP="00966147">
      <w:pPr>
        <w:spacing w:after="0"/>
        <w:ind w:left="-181" w:right="-318"/>
        <w:rPr>
          <w:rFonts w:ascii="Arial" w:eastAsia="Arial" w:hAnsi="Arial" w:cs="Arial"/>
          <w:sz w:val="20"/>
          <w:szCs w:val="20"/>
        </w:rPr>
      </w:pPr>
      <w:r w:rsidRPr="00342DF5">
        <w:rPr>
          <w:rFonts w:ascii="Arial" w:eastAsia="Arial" w:hAnsi="Arial" w:cs="Arial"/>
          <w:noProof/>
          <w:color w:val="000000"/>
          <w:sz w:val="18"/>
          <w:szCs w:val="18"/>
          <w:highlight w:val="white"/>
        </w:rPr>
        <w:t xml:space="preserve"> </w:t>
      </w:r>
      <w:r>
        <w:rPr>
          <w:rFonts w:ascii="Arial" w:eastAsia="Arial" w:hAnsi="Arial" w:cs="Arial"/>
          <w:sz w:val="20"/>
          <w:szCs w:val="20"/>
        </w:rPr>
        <w:t xml:space="preserve">Table </w:t>
      </w:r>
      <w:r w:rsidR="0004535E">
        <w:rPr>
          <w:rFonts w:ascii="Arial" w:eastAsia="Arial" w:hAnsi="Arial" w:cs="Arial"/>
          <w:sz w:val="20"/>
          <w:szCs w:val="20"/>
        </w:rPr>
        <w:t>A</w:t>
      </w:r>
      <w:r>
        <w:rPr>
          <w:rFonts w:ascii="Arial" w:eastAsia="Arial" w:hAnsi="Arial" w:cs="Arial"/>
          <w:sz w:val="20"/>
          <w:szCs w:val="20"/>
        </w:rPr>
        <w:t>.</w:t>
      </w:r>
      <w:r>
        <w:rPr>
          <w:rFonts w:ascii="Arial" w:eastAsia="Arial" w:hAnsi="Arial" w:cs="Arial"/>
          <w:sz w:val="20"/>
          <w:szCs w:val="20"/>
        </w:rPr>
        <w:tab/>
        <w:t xml:space="preserve">Two approaches to </w:t>
      </w:r>
      <w:r w:rsidR="00100ECF">
        <w:rPr>
          <w:rFonts w:ascii="Arial" w:eastAsia="Arial" w:hAnsi="Arial" w:cs="Arial"/>
          <w:sz w:val="20"/>
          <w:szCs w:val="20"/>
        </w:rPr>
        <w:t xml:space="preserve">the </w:t>
      </w:r>
      <w:r>
        <w:rPr>
          <w:rFonts w:ascii="Arial" w:eastAsia="Arial" w:hAnsi="Arial" w:cs="Arial"/>
          <w:sz w:val="20"/>
          <w:szCs w:val="20"/>
        </w:rPr>
        <w:t>synthesis</w:t>
      </w:r>
      <w:r w:rsidR="00100ECF">
        <w:rPr>
          <w:rFonts w:ascii="Arial" w:eastAsia="Arial" w:hAnsi="Arial" w:cs="Arial"/>
          <w:sz w:val="20"/>
          <w:szCs w:val="20"/>
        </w:rPr>
        <w:t xml:space="preserve"> of </w:t>
      </w:r>
      <w:r>
        <w:rPr>
          <w:rFonts w:ascii="Arial" w:eastAsia="Arial" w:hAnsi="Arial" w:cs="Arial"/>
          <w:sz w:val="20"/>
          <w:szCs w:val="20"/>
        </w:rPr>
        <w:t xml:space="preserve">primary studies that have measured responses of some ecological variable </w:t>
      </w:r>
      <w:r>
        <w:rPr>
          <w:rFonts w:ascii="Arial" w:eastAsia="Arial" w:hAnsi="Arial" w:cs="Arial"/>
          <w:i/>
          <w:sz w:val="20"/>
          <w:szCs w:val="20"/>
        </w:rPr>
        <w:t>Y</w:t>
      </w:r>
      <w:r>
        <w:rPr>
          <w:rFonts w:ascii="Arial" w:eastAsia="Arial" w:hAnsi="Arial" w:cs="Arial"/>
          <w:sz w:val="20"/>
          <w:szCs w:val="20"/>
        </w:rPr>
        <w:t>, such as biodiversity or carbon storage</w:t>
      </w:r>
      <w:r w:rsidR="000A2021">
        <w:rPr>
          <w:rFonts w:ascii="Arial" w:eastAsia="Arial" w:hAnsi="Arial" w:cs="Arial"/>
          <w:sz w:val="20"/>
          <w:szCs w:val="20"/>
        </w:rPr>
        <w:t>,</w:t>
      </w:r>
      <w:r>
        <w:rPr>
          <w:rFonts w:ascii="Arial" w:eastAsia="Arial" w:hAnsi="Arial" w:cs="Arial"/>
          <w:sz w:val="20"/>
          <w:szCs w:val="20"/>
        </w:rPr>
        <w:t xml:space="preserve"> to variable </w:t>
      </w:r>
      <w:r>
        <w:rPr>
          <w:rFonts w:ascii="Arial" w:eastAsia="Arial" w:hAnsi="Arial" w:cs="Arial"/>
          <w:i/>
          <w:sz w:val="20"/>
          <w:szCs w:val="20"/>
        </w:rPr>
        <w:t>X</w:t>
      </w:r>
      <w:r w:rsidR="000A2021">
        <w:rPr>
          <w:rFonts w:ascii="Arial" w:eastAsia="Arial" w:hAnsi="Arial" w:cs="Arial"/>
          <w:iCs/>
          <w:sz w:val="20"/>
          <w:szCs w:val="20"/>
        </w:rPr>
        <w:t>,</w:t>
      </w:r>
      <w:r>
        <w:rPr>
          <w:rFonts w:ascii="Arial" w:eastAsia="Arial" w:hAnsi="Arial" w:cs="Arial"/>
          <w:sz w:val="20"/>
          <w:szCs w:val="20"/>
        </w:rPr>
        <w:t xml:space="preserve"> and effect modification by variable </w:t>
      </w:r>
      <w:r>
        <w:rPr>
          <w:rFonts w:ascii="Arial" w:eastAsia="Arial" w:hAnsi="Arial" w:cs="Arial"/>
          <w:i/>
          <w:sz w:val="20"/>
          <w:szCs w:val="20"/>
        </w:rPr>
        <w:t>Z</w:t>
      </w:r>
      <w:r>
        <w:rPr>
          <w:rFonts w:ascii="Arial" w:eastAsia="Arial" w:hAnsi="Arial" w:cs="Arial"/>
          <w:sz w:val="20"/>
          <w:szCs w:val="20"/>
        </w:rPr>
        <w:t>.</w:t>
      </w:r>
    </w:p>
    <w:tbl>
      <w:tblPr>
        <w:tblStyle w:val="2"/>
        <w:tblW w:w="98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7"/>
        <w:gridCol w:w="4110"/>
        <w:gridCol w:w="4487"/>
      </w:tblGrid>
      <w:tr w:rsidR="004615F7" w14:paraId="71FD8D78" w14:textId="77777777" w:rsidTr="00966147">
        <w:trPr>
          <w:trHeight w:val="225"/>
        </w:trPr>
        <w:tc>
          <w:tcPr>
            <w:tcW w:w="1277" w:type="dxa"/>
            <w:tcMar>
              <w:top w:w="-288" w:type="dxa"/>
              <w:left w:w="-288" w:type="dxa"/>
              <w:bottom w:w="-288" w:type="dxa"/>
              <w:right w:w="-288" w:type="dxa"/>
            </w:tcMar>
          </w:tcPr>
          <w:p w14:paraId="4E03BB95" w14:textId="77777777" w:rsidR="004615F7" w:rsidRDefault="004615F7" w:rsidP="002A53AC">
            <w:pPr>
              <w:tabs>
                <w:tab w:val="left" w:pos="3014"/>
              </w:tabs>
              <w:rPr>
                <w:rFonts w:ascii="Arial" w:eastAsia="Arial" w:hAnsi="Arial" w:cs="Arial"/>
                <w:sz w:val="18"/>
                <w:szCs w:val="18"/>
                <w:highlight w:val="white"/>
              </w:rPr>
            </w:pPr>
          </w:p>
        </w:tc>
        <w:tc>
          <w:tcPr>
            <w:tcW w:w="4110" w:type="dxa"/>
            <w:tcMar>
              <w:top w:w="-288" w:type="dxa"/>
              <w:left w:w="-288" w:type="dxa"/>
              <w:bottom w:w="-288" w:type="dxa"/>
              <w:right w:w="-288" w:type="dxa"/>
            </w:tcMar>
          </w:tcPr>
          <w:p w14:paraId="0040212B" w14:textId="77777777" w:rsidR="004615F7" w:rsidRDefault="004615F7" w:rsidP="002A53AC">
            <w:pPr>
              <w:tabs>
                <w:tab w:val="left" w:pos="3014"/>
              </w:tabs>
              <w:rPr>
                <w:rFonts w:ascii="Arial" w:eastAsia="Arial" w:hAnsi="Arial" w:cs="Arial"/>
                <w:sz w:val="18"/>
                <w:szCs w:val="18"/>
                <w:highlight w:val="white"/>
              </w:rPr>
            </w:pPr>
            <w:r>
              <w:rPr>
                <w:rFonts w:ascii="Arial" w:eastAsia="Arial" w:hAnsi="Arial" w:cs="Arial"/>
                <w:sz w:val="18"/>
                <w:szCs w:val="18"/>
                <w:highlight w:val="white"/>
              </w:rPr>
              <w:t>Meta-analysis</w:t>
            </w:r>
          </w:p>
        </w:tc>
        <w:tc>
          <w:tcPr>
            <w:tcW w:w="4487" w:type="dxa"/>
          </w:tcPr>
          <w:p w14:paraId="37452086" w14:textId="77777777" w:rsidR="004615F7" w:rsidRDefault="004615F7" w:rsidP="002A53AC">
            <w:pPr>
              <w:tabs>
                <w:tab w:val="left" w:pos="3014"/>
              </w:tabs>
              <w:rPr>
                <w:rFonts w:ascii="Arial" w:eastAsia="Arial" w:hAnsi="Arial" w:cs="Arial"/>
                <w:sz w:val="18"/>
                <w:szCs w:val="18"/>
                <w:highlight w:val="white"/>
              </w:rPr>
            </w:pPr>
            <w:r>
              <w:rPr>
                <w:rFonts w:ascii="Arial" w:eastAsia="Arial" w:hAnsi="Arial" w:cs="Arial"/>
                <w:sz w:val="18"/>
                <w:szCs w:val="18"/>
                <w:highlight w:val="white"/>
              </w:rPr>
              <w:t>Full-data analysis</w:t>
            </w:r>
          </w:p>
        </w:tc>
      </w:tr>
      <w:tr w:rsidR="004615F7" w14:paraId="5C3D8C32" w14:textId="77777777" w:rsidTr="00966147">
        <w:trPr>
          <w:trHeight w:val="600"/>
        </w:trPr>
        <w:tc>
          <w:tcPr>
            <w:tcW w:w="1277" w:type="dxa"/>
            <w:tcMar>
              <w:top w:w="-288" w:type="dxa"/>
              <w:left w:w="-288" w:type="dxa"/>
              <w:bottom w:w="-288" w:type="dxa"/>
              <w:right w:w="-288" w:type="dxa"/>
            </w:tcMar>
          </w:tcPr>
          <w:p w14:paraId="27292630"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Input data</w:t>
            </w:r>
          </w:p>
        </w:tc>
        <w:tc>
          <w:tcPr>
            <w:tcW w:w="4110" w:type="dxa"/>
            <w:tcBorders>
              <w:top w:val="single" w:sz="8" w:space="0" w:color="000000"/>
              <w:left w:val="single" w:sz="8" w:space="0" w:color="000000"/>
              <w:bottom w:val="single" w:sz="8" w:space="0" w:color="000000"/>
              <w:right w:val="single" w:sz="8" w:space="0" w:color="000000"/>
            </w:tcBorders>
            <w:tcMar>
              <w:top w:w="-288" w:type="dxa"/>
              <w:left w:w="-288" w:type="dxa"/>
              <w:bottom w:w="-288" w:type="dxa"/>
              <w:right w:w="-288" w:type="dxa"/>
            </w:tcMar>
          </w:tcPr>
          <w:p w14:paraId="70AAC0FF"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 xml:space="preserve">Study-level summary statistics (mean, standard deviation, </w:t>
            </w:r>
            <w:r>
              <w:rPr>
                <w:rFonts w:ascii="Arial" w:eastAsia="Arial" w:hAnsi="Arial" w:cs="Arial"/>
                <w:i/>
                <w:sz w:val="18"/>
                <w:szCs w:val="18"/>
                <w:highlight w:val="white"/>
              </w:rPr>
              <w:t>n</w:t>
            </w:r>
            <w:r>
              <w:rPr>
                <w:rFonts w:ascii="Arial" w:eastAsia="Arial" w:hAnsi="Arial" w:cs="Arial"/>
                <w:sz w:val="18"/>
                <w:szCs w:val="18"/>
                <w:highlight w:val="white"/>
              </w:rPr>
              <w:t>) compiled across multiple studies. Primary studies may have measured outcomes in different units.</w:t>
            </w:r>
          </w:p>
        </w:tc>
        <w:tc>
          <w:tcPr>
            <w:tcW w:w="44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BAF45D" w14:textId="77777777" w:rsidR="004615F7" w:rsidRDefault="004615F7" w:rsidP="002A53AC">
            <w:pPr>
              <w:widowControl w:val="0"/>
              <w:tabs>
                <w:tab w:val="left" w:pos="3014"/>
              </w:tabs>
              <w:ind w:left="-80"/>
              <w:rPr>
                <w:rFonts w:ascii="Arial" w:eastAsia="Arial" w:hAnsi="Arial" w:cs="Arial"/>
                <w:sz w:val="18"/>
                <w:szCs w:val="18"/>
                <w:highlight w:val="white"/>
              </w:rPr>
            </w:pPr>
            <w:r>
              <w:rPr>
                <w:rFonts w:ascii="Arial" w:eastAsia="Arial" w:hAnsi="Arial" w:cs="Arial"/>
                <w:sz w:val="18"/>
                <w:szCs w:val="18"/>
                <w:highlight w:val="white"/>
              </w:rPr>
              <w:t>Study-level raw data compiled across multiple studies. Unit of measurement must be consistent across studies.</w:t>
            </w:r>
          </w:p>
        </w:tc>
      </w:tr>
      <w:tr w:rsidR="004615F7" w14:paraId="39ED6CE0" w14:textId="77777777" w:rsidTr="00966147">
        <w:trPr>
          <w:trHeight w:val="762"/>
        </w:trPr>
        <w:tc>
          <w:tcPr>
            <w:tcW w:w="1277" w:type="dxa"/>
            <w:tcMar>
              <w:top w:w="-288" w:type="dxa"/>
              <w:left w:w="-288" w:type="dxa"/>
              <w:bottom w:w="-288" w:type="dxa"/>
              <w:right w:w="-288" w:type="dxa"/>
            </w:tcMar>
          </w:tcPr>
          <w:p w14:paraId="40383008"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Study-level effect sizes</w:t>
            </w:r>
          </w:p>
        </w:tc>
        <w:tc>
          <w:tcPr>
            <w:tcW w:w="4110" w:type="dxa"/>
            <w:tcBorders>
              <w:top w:val="nil"/>
              <w:left w:val="single" w:sz="8" w:space="0" w:color="000000"/>
              <w:bottom w:val="single" w:sz="8" w:space="0" w:color="000000"/>
              <w:right w:val="single" w:sz="8" w:space="0" w:color="000000"/>
            </w:tcBorders>
            <w:tcMar>
              <w:top w:w="-288" w:type="dxa"/>
              <w:left w:w="-288" w:type="dxa"/>
              <w:bottom w:w="-288" w:type="dxa"/>
              <w:right w:w="-288" w:type="dxa"/>
            </w:tcMar>
          </w:tcPr>
          <w:p w14:paraId="469782E4"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rPr>
              <w:t>study-level differences between categorical treatments (</w:t>
            </w:r>
            <w:proofErr w:type="gramStart"/>
            <w:r>
              <w:rPr>
                <w:rFonts w:ascii="Arial" w:eastAsia="Arial" w:hAnsi="Arial" w:cs="Arial"/>
                <w:sz w:val="18"/>
                <w:szCs w:val="18"/>
              </w:rPr>
              <w:t>e.g.</w:t>
            </w:r>
            <w:proofErr w:type="gramEnd"/>
            <w:r>
              <w:rPr>
                <w:rFonts w:ascii="Arial" w:eastAsia="Arial" w:hAnsi="Arial" w:cs="Arial"/>
                <w:sz w:val="18"/>
                <w:szCs w:val="18"/>
              </w:rPr>
              <w:t xml:space="preserve"> Hedges’ </w:t>
            </w:r>
            <w:r>
              <w:rPr>
                <w:rFonts w:ascii="Arial" w:eastAsia="Arial" w:hAnsi="Arial" w:cs="Arial"/>
                <w:i/>
                <w:sz w:val="18"/>
                <w:szCs w:val="18"/>
              </w:rPr>
              <w:t>g</w:t>
            </w:r>
            <w:r>
              <w:rPr>
                <w:rFonts w:ascii="Arial" w:eastAsia="Arial" w:hAnsi="Arial" w:cs="Arial"/>
                <w:sz w:val="18"/>
                <w:szCs w:val="18"/>
              </w:rPr>
              <w:t xml:space="preserve"> or log response ratios), or the magnitudes of these changes against a continuous predictor (</w:t>
            </w:r>
            <w:r>
              <w:rPr>
                <w:rFonts w:ascii="Arial" w:eastAsia="Arial" w:hAnsi="Arial" w:cs="Arial"/>
                <w:i/>
                <w:sz w:val="18"/>
                <w:szCs w:val="18"/>
              </w:rPr>
              <w:t xml:space="preserve">e.g. </w:t>
            </w:r>
            <w:r>
              <w:rPr>
                <w:rFonts w:ascii="Arial" w:eastAsia="Arial" w:hAnsi="Arial" w:cs="Arial"/>
                <w:sz w:val="18"/>
                <w:szCs w:val="18"/>
              </w:rPr>
              <w:t>correlations).</w:t>
            </w:r>
          </w:p>
        </w:tc>
        <w:tc>
          <w:tcPr>
            <w:tcW w:w="4487" w:type="dxa"/>
            <w:tcBorders>
              <w:top w:val="nil"/>
              <w:left w:val="nil"/>
              <w:bottom w:val="single" w:sz="8" w:space="0" w:color="000000"/>
              <w:right w:val="single" w:sz="8" w:space="0" w:color="000000"/>
            </w:tcBorders>
            <w:tcMar>
              <w:top w:w="100" w:type="dxa"/>
              <w:left w:w="100" w:type="dxa"/>
              <w:bottom w:w="100" w:type="dxa"/>
              <w:right w:w="100" w:type="dxa"/>
            </w:tcMar>
          </w:tcPr>
          <w:p w14:paraId="3D853274" w14:textId="77777777" w:rsidR="004615F7" w:rsidRDefault="004615F7" w:rsidP="002A53AC">
            <w:pPr>
              <w:widowControl w:val="0"/>
              <w:tabs>
                <w:tab w:val="left" w:pos="3014"/>
              </w:tabs>
              <w:ind w:left="-80"/>
              <w:rPr>
                <w:rFonts w:ascii="Arial" w:eastAsia="Arial" w:hAnsi="Arial" w:cs="Arial"/>
                <w:sz w:val="18"/>
                <w:szCs w:val="18"/>
                <w:highlight w:val="white"/>
              </w:rPr>
            </w:pPr>
            <w:r>
              <w:rPr>
                <w:rFonts w:ascii="Arial" w:eastAsia="Arial" w:hAnsi="Arial" w:cs="Arial"/>
                <w:sz w:val="18"/>
                <w:szCs w:val="18"/>
                <w:highlight w:val="white"/>
              </w:rPr>
              <w:t>Study-level random slopes on the scale of the linear predictor</w:t>
            </w:r>
          </w:p>
        </w:tc>
      </w:tr>
      <w:tr w:rsidR="004615F7" w14:paraId="15D9F391" w14:textId="77777777" w:rsidTr="00966147">
        <w:trPr>
          <w:trHeight w:val="585"/>
        </w:trPr>
        <w:tc>
          <w:tcPr>
            <w:tcW w:w="1277" w:type="dxa"/>
            <w:tcMar>
              <w:top w:w="-288" w:type="dxa"/>
              <w:left w:w="-288" w:type="dxa"/>
              <w:bottom w:w="-288" w:type="dxa"/>
              <w:right w:w="-288" w:type="dxa"/>
            </w:tcMar>
          </w:tcPr>
          <w:p w14:paraId="647693F5"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 xml:space="preserve">Statistical procedure </w:t>
            </w:r>
          </w:p>
        </w:tc>
        <w:tc>
          <w:tcPr>
            <w:tcW w:w="4110" w:type="dxa"/>
            <w:tcBorders>
              <w:top w:val="nil"/>
              <w:left w:val="single" w:sz="8" w:space="0" w:color="000000"/>
              <w:bottom w:val="single" w:sz="8" w:space="0" w:color="000000"/>
              <w:right w:val="single" w:sz="8" w:space="0" w:color="000000"/>
            </w:tcBorders>
            <w:tcMar>
              <w:top w:w="-288" w:type="dxa"/>
              <w:left w:w="-288" w:type="dxa"/>
              <w:bottom w:w="-288" w:type="dxa"/>
              <w:right w:w="-288" w:type="dxa"/>
            </w:tcMar>
          </w:tcPr>
          <w:p w14:paraId="3416FBE4"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Precision-weighting, generally using the inverse of the sum of study-level and between-study variance.</w:t>
            </w:r>
          </w:p>
        </w:tc>
        <w:tc>
          <w:tcPr>
            <w:tcW w:w="4487" w:type="dxa"/>
            <w:tcBorders>
              <w:top w:val="nil"/>
              <w:left w:val="nil"/>
              <w:bottom w:val="single" w:sz="8" w:space="0" w:color="000000"/>
              <w:right w:val="single" w:sz="8" w:space="0" w:color="000000"/>
            </w:tcBorders>
            <w:tcMar>
              <w:top w:w="100" w:type="dxa"/>
              <w:left w:w="100" w:type="dxa"/>
              <w:bottom w:w="100" w:type="dxa"/>
              <w:right w:w="100" w:type="dxa"/>
            </w:tcMar>
          </w:tcPr>
          <w:p w14:paraId="70CA2428" w14:textId="77777777" w:rsidR="004615F7" w:rsidRDefault="004615F7" w:rsidP="002A53AC">
            <w:pPr>
              <w:widowControl w:val="0"/>
              <w:tabs>
                <w:tab w:val="left" w:pos="3014"/>
              </w:tabs>
              <w:ind w:left="-80"/>
              <w:rPr>
                <w:rFonts w:ascii="Arial" w:eastAsia="Arial" w:hAnsi="Arial" w:cs="Arial"/>
                <w:sz w:val="18"/>
                <w:szCs w:val="18"/>
                <w:highlight w:val="white"/>
              </w:rPr>
            </w:pPr>
            <w:r>
              <w:rPr>
                <w:rFonts w:ascii="Arial" w:eastAsia="Arial" w:hAnsi="Arial" w:cs="Arial"/>
                <w:sz w:val="18"/>
                <w:szCs w:val="18"/>
                <w:highlight w:val="white"/>
              </w:rPr>
              <w:t>Partial pooling, wherein group (study) estimates are ‘shrunk’ toward the population mean as a function of the relative variance of each estimate.</w:t>
            </w:r>
          </w:p>
        </w:tc>
      </w:tr>
      <w:tr w:rsidR="004615F7" w14:paraId="485594F5" w14:textId="77777777" w:rsidTr="00966147">
        <w:trPr>
          <w:trHeight w:val="700"/>
        </w:trPr>
        <w:tc>
          <w:tcPr>
            <w:tcW w:w="1277" w:type="dxa"/>
            <w:tcMar>
              <w:top w:w="-288" w:type="dxa"/>
              <w:left w:w="-288" w:type="dxa"/>
              <w:bottom w:w="-288" w:type="dxa"/>
              <w:right w:w="-288" w:type="dxa"/>
            </w:tcMar>
          </w:tcPr>
          <w:p w14:paraId="6561BDD7"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Estimate of overall mean effects</w:t>
            </w:r>
          </w:p>
        </w:tc>
        <w:tc>
          <w:tcPr>
            <w:tcW w:w="4110" w:type="dxa"/>
            <w:tcMar>
              <w:top w:w="-288" w:type="dxa"/>
              <w:left w:w="-288" w:type="dxa"/>
              <w:bottom w:w="-288" w:type="dxa"/>
              <w:right w:w="-288" w:type="dxa"/>
            </w:tcMar>
          </w:tcPr>
          <w:p w14:paraId="71BCDBD6" w14:textId="4D95CB80" w:rsidR="00966147" w:rsidRPr="00966147" w:rsidRDefault="004615F7" w:rsidP="002A53AC">
            <w:pPr>
              <w:pBdr>
                <w:top w:val="nil"/>
                <w:left w:val="nil"/>
                <w:bottom w:val="nil"/>
                <w:right w:val="nil"/>
                <w:between w:val="nil"/>
              </w:pBdr>
              <w:rPr>
                <w:rFonts w:ascii="Arial" w:eastAsia="Arial" w:hAnsi="Arial" w:cs="Arial"/>
                <w:iCs/>
                <w:color w:val="4D5156"/>
                <w:sz w:val="18"/>
                <w:szCs w:val="18"/>
              </w:rPr>
            </w:pPr>
            <w:r>
              <w:rPr>
                <w:rFonts w:ascii="Arial" w:eastAsia="Arial" w:hAnsi="Arial" w:cs="Arial"/>
                <w:color w:val="000000"/>
                <w:sz w:val="18"/>
                <w:szCs w:val="18"/>
                <w:highlight w:val="white"/>
              </w:rPr>
              <w:t xml:space="preserve">Meta-estimate of mean </w:t>
            </w:r>
            <w:r w:rsidRPr="00966147">
              <w:rPr>
                <w:rFonts w:ascii="Arial" w:eastAsia="Arial" w:hAnsi="Arial" w:cs="Arial"/>
                <w:sz w:val="18"/>
                <w:szCs w:val="18"/>
                <w:highlight w:val="white"/>
              </w:rPr>
              <w:t>effect (</w:t>
            </w:r>
            <w:r w:rsidRPr="00966147">
              <w:rPr>
                <w:rFonts w:ascii="Arial" w:eastAsia="Arial" w:hAnsi="Arial" w:cs="Arial"/>
                <w:i/>
                <w:sz w:val="18"/>
                <w:szCs w:val="18"/>
                <w:highlight w:val="white"/>
              </w:rPr>
              <w:t>ΔY</w:t>
            </w:r>
            <w:r w:rsidR="00966147" w:rsidRPr="00966147">
              <w:rPr>
                <w:rFonts w:ascii="Arial" w:eastAsia="Arial" w:hAnsi="Arial" w:cs="Arial"/>
                <w:iCs/>
                <w:sz w:val="18"/>
                <w:szCs w:val="18"/>
              </w:rPr>
              <w:t>; top left</w:t>
            </w:r>
            <w:r w:rsidR="004B3AC7">
              <w:rPr>
                <w:rFonts w:ascii="Arial" w:eastAsia="Arial" w:hAnsi="Arial" w:cs="Arial"/>
                <w:iCs/>
                <w:sz w:val="18"/>
                <w:szCs w:val="18"/>
              </w:rPr>
              <w:t xml:space="preserve"> in</w:t>
            </w:r>
            <w:r w:rsidR="00966147" w:rsidRPr="00966147">
              <w:rPr>
                <w:rFonts w:ascii="Arial" w:eastAsia="Arial" w:hAnsi="Arial" w:cs="Arial"/>
                <w:iCs/>
                <w:sz w:val="18"/>
                <w:szCs w:val="18"/>
              </w:rPr>
              <w:t xml:space="preserve"> </w:t>
            </w:r>
            <w:r w:rsidR="004B3AC7">
              <w:rPr>
                <w:rFonts w:ascii="Arial" w:eastAsia="Arial" w:hAnsi="Arial" w:cs="Arial"/>
                <w:iCs/>
                <w:sz w:val="18"/>
                <w:szCs w:val="18"/>
              </w:rPr>
              <w:t>figure</w:t>
            </w:r>
            <w:r w:rsidR="00966147" w:rsidRPr="00966147">
              <w:rPr>
                <w:rFonts w:ascii="Arial" w:eastAsia="Arial" w:hAnsi="Arial" w:cs="Arial"/>
                <w:iCs/>
                <w:sz w:val="18"/>
                <w:szCs w:val="18"/>
              </w:rPr>
              <w:t>)</w:t>
            </w:r>
          </w:p>
        </w:tc>
        <w:tc>
          <w:tcPr>
            <w:tcW w:w="4487" w:type="dxa"/>
          </w:tcPr>
          <w:p w14:paraId="754A8ECF" w14:textId="3B4AEEA9" w:rsidR="004615F7" w:rsidRPr="00342DF5" w:rsidRDefault="004615F7" w:rsidP="002A53AC">
            <w:pPr>
              <w:widowControl w:val="0"/>
              <w:tabs>
                <w:tab w:val="left" w:pos="3014"/>
              </w:tabs>
              <w:rPr>
                <w:rFonts w:ascii="Arial" w:eastAsia="Arial" w:hAnsi="Arial" w:cs="Arial"/>
                <w:color w:val="000000"/>
                <w:sz w:val="18"/>
                <w:szCs w:val="18"/>
                <w:highlight w:val="white"/>
              </w:rPr>
            </w:pPr>
            <w:r>
              <w:rPr>
                <w:rFonts w:ascii="Arial" w:eastAsia="Arial" w:hAnsi="Arial" w:cs="Arial"/>
                <w:color w:val="000000"/>
                <w:sz w:val="18"/>
                <w:szCs w:val="18"/>
                <w:highlight w:val="white"/>
              </w:rPr>
              <w:t>Fixed-effect estimate</w:t>
            </w:r>
            <w:r w:rsidR="00966147">
              <w:rPr>
                <w:rFonts w:ascii="Arial" w:eastAsia="Arial" w:hAnsi="Arial" w:cs="Arial"/>
                <w:color w:val="000000"/>
                <w:sz w:val="18"/>
                <w:szCs w:val="18"/>
                <w:highlight w:val="white"/>
              </w:rPr>
              <w:t xml:space="preserve"> (top right </w:t>
            </w:r>
            <w:r w:rsidR="004B3AC7">
              <w:rPr>
                <w:rFonts w:ascii="Arial" w:eastAsia="Arial" w:hAnsi="Arial" w:cs="Arial"/>
                <w:color w:val="000000"/>
                <w:sz w:val="18"/>
                <w:szCs w:val="18"/>
              </w:rPr>
              <w:t xml:space="preserve">in </w:t>
            </w:r>
            <w:r w:rsidR="004B3AC7">
              <w:rPr>
                <w:rFonts w:ascii="Arial" w:eastAsia="Arial" w:hAnsi="Arial" w:cs="Arial"/>
                <w:iCs/>
                <w:sz w:val="18"/>
                <w:szCs w:val="18"/>
              </w:rPr>
              <w:t>figure</w:t>
            </w:r>
            <w:r w:rsidR="00966147">
              <w:rPr>
                <w:rFonts w:ascii="Arial" w:eastAsia="Arial" w:hAnsi="Arial" w:cs="Arial"/>
                <w:color w:val="000000"/>
                <w:sz w:val="18"/>
                <w:szCs w:val="18"/>
                <w:highlight w:val="white"/>
              </w:rPr>
              <w:t>)</w:t>
            </w:r>
          </w:p>
        </w:tc>
      </w:tr>
      <w:tr w:rsidR="004615F7" w14:paraId="31629542" w14:textId="77777777" w:rsidTr="00966147">
        <w:trPr>
          <w:trHeight w:val="465"/>
        </w:trPr>
        <w:tc>
          <w:tcPr>
            <w:tcW w:w="1277" w:type="dxa"/>
            <w:tcMar>
              <w:top w:w="-288" w:type="dxa"/>
              <w:left w:w="-288" w:type="dxa"/>
              <w:bottom w:w="-288" w:type="dxa"/>
              <w:right w:w="-288" w:type="dxa"/>
            </w:tcMar>
          </w:tcPr>
          <w:p w14:paraId="16405B4A"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Estimate of between-study heterogeneity</w:t>
            </w:r>
          </w:p>
        </w:tc>
        <w:tc>
          <w:tcPr>
            <w:tcW w:w="4110" w:type="dxa"/>
            <w:tcMar>
              <w:top w:w="-288" w:type="dxa"/>
              <w:left w:w="-288" w:type="dxa"/>
              <w:bottom w:w="-288" w:type="dxa"/>
              <w:right w:w="-288" w:type="dxa"/>
            </w:tcMar>
          </w:tcPr>
          <w:p w14:paraId="3DFAE905"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color w:val="000000"/>
                <w:sz w:val="18"/>
                <w:szCs w:val="18"/>
              </w:rPr>
              <w:t xml:space="preserve">Heterogeneity statistics e.g. </w:t>
            </w:r>
            <w:r>
              <w:rPr>
                <w:rFonts w:ascii="Arial" w:eastAsia="Arial" w:hAnsi="Arial" w:cs="Arial"/>
                <w:i/>
                <w:color w:val="000000"/>
                <w:sz w:val="18"/>
                <w:szCs w:val="18"/>
              </w:rPr>
              <w:t>I</w:t>
            </w:r>
            <w:r>
              <w:rPr>
                <w:rFonts w:ascii="Arial" w:eastAsia="Arial" w:hAnsi="Arial" w:cs="Arial"/>
                <w:color w:val="000000"/>
                <w:sz w:val="11"/>
                <w:szCs w:val="11"/>
                <w:vertAlign w:val="superscript"/>
              </w:rPr>
              <w:t>2</w:t>
            </w:r>
            <w:r>
              <w:rPr>
                <w:rFonts w:ascii="Arial" w:eastAsia="Arial" w:hAnsi="Arial" w:cs="Arial"/>
                <w:color w:val="000000"/>
                <w:sz w:val="18"/>
                <w:szCs w:val="18"/>
                <w:highlight w:val="white"/>
              </w:rPr>
              <w:t xml:space="preserve">. </w:t>
            </w:r>
            <w:r>
              <w:rPr>
                <w:rFonts w:ascii="Arial" w:eastAsia="Arial" w:hAnsi="Arial" w:cs="Arial"/>
                <w:color w:val="000000"/>
                <w:sz w:val="18"/>
                <w:szCs w:val="18"/>
              </w:rPr>
              <w:t xml:space="preserve">Benchmarks of </w:t>
            </w:r>
            <w:r>
              <w:rPr>
                <w:rFonts w:ascii="Arial" w:eastAsia="Arial" w:hAnsi="Arial" w:cs="Arial"/>
                <w:i/>
                <w:color w:val="000000"/>
                <w:sz w:val="18"/>
                <w:szCs w:val="18"/>
              </w:rPr>
              <w:t>I</w:t>
            </w:r>
            <w:r>
              <w:rPr>
                <w:rFonts w:ascii="Arial" w:eastAsia="Arial" w:hAnsi="Arial" w:cs="Arial"/>
                <w:color w:val="000000"/>
                <w:sz w:val="11"/>
                <w:szCs w:val="11"/>
                <w:vertAlign w:val="superscript"/>
              </w:rPr>
              <w:t>2</w:t>
            </w:r>
            <w:r>
              <w:rPr>
                <w:rFonts w:ascii="Arial" w:eastAsia="Arial" w:hAnsi="Arial" w:cs="Arial"/>
                <w:color w:val="000000"/>
                <w:sz w:val="18"/>
                <w:szCs w:val="18"/>
              </w:rPr>
              <w:t xml:space="preserve"> of 25%, 50%, and 75% are interpreted as small, medium, and high, respectively.</w:t>
            </w:r>
          </w:p>
        </w:tc>
        <w:tc>
          <w:tcPr>
            <w:tcW w:w="4487" w:type="dxa"/>
          </w:tcPr>
          <w:p w14:paraId="5DCA3510"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color w:val="000000"/>
                <w:sz w:val="18"/>
                <w:szCs w:val="18"/>
                <w:highlight w:val="white"/>
              </w:rPr>
              <w:t>Concurrent interpretation of three parameters: the variance of i) random slopes ii) random intercepts, and iii) the covariance of intercepts and slopes. </w:t>
            </w:r>
          </w:p>
        </w:tc>
      </w:tr>
      <w:tr w:rsidR="004615F7" w14:paraId="0A6392E3" w14:textId="77777777" w:rsidTr="00966147">
        <w:trPr>
          <w:trHeight w:val="983"/>
        </w:trPr>
        <w:tc>
          <w:tcPr>
            <w:tcW w:w="1277" w:type="dxa"/>
            <w:tcBorders>
              <w:top w:val="single" w:sz="4" w:space="0" w:color="000000"/>
              <w:left w:val="single" w:sz="4" w:space="0" w:color="000000"/>
              <w:bottom w:val="single" w:sz="4" w:space="0" w:color="000000"/>
              <w:right w:val="single" w:sz="4" w:space="0" w:color="000000"/>
            </w:tcBorders>
            <w:tcMar>
              <w:top w:w="-288" w:type="dxa"/>
              <w:left w:w="-288" w:type="dxa"/>
              <w:bottom w:w="-288" w:type="dxa"/>
              <w:right w:w="-288" w:type="dxa"/>
            </w:tcMar>
          </w:tcPr>
          <w:p w14:paraId="2E04D4C7" w14:textId="77777777" w:rsidR="004615F7" w:rsidRDefault="004615F7" w:rsidP="002A53AC">
            <w:pPr>
              <w:widowControl w:val="0"/>
              <w:tabs>
                <w:tab w:val="left" w:pos="3014"/>
              </w:tabs>
              <w:rPr>
                <w:rFonts w:ascii="Arial" w:eastAsia="Arial" w:hAnsi="Arial" w:cs="Arial"/>
                <w:sz w:val="18"/>
                <w:szCs w:val="18"/>
                <w:highlight w:val="white"/>
              </w:rPr>
            </w:pPr>
            <w:r>
              <w:rPr>
                <w:rFonts w:ascii="Arial" w:eastAsia="Arial" w:hAnsi="Arial" w:cs="Arial"/>
                <w:sz w:val="18"/>
                <w:szCs w:val="18"/>
                <w:highlight w:val="white"/>
              </w:rPr>
              <w:t xml:space="preserve">Attribution </w:t>
            </w:r>
          </w:p>
        </w:tc>
        <w:tc>
          <w:tcPr>
            <w:tcW w:w="4110" w:type="dxa"/>
            <w:tcBorders>
              <w:top w:val="single" w:sz="4" w:space="0" w:color="000000"/>
              <w:left w:val="single" w:sz="4" w:space="0" w:color="000000"/>
              <w:bottom w:val="single" w:sz="4" w:space="0" w:color="000000"/>
              <w:right w:val="single" w:sz="4" w:space="0" w:color="000000"/>
            </w:tcBorders>
            <w:tcMar>
              <w:top w:w="-288" w:type="dxa"/>
              <w:left w:w="-288" w:type="dxa"/>
              <w:bottom w:w="-288" w:type="dxa"/>
              <w:right w:w="-288" w:type="dxa"/>
            </w:tcMar>
          </w:tcPr>
          <w:p w14:paraId="0A639AEE" w14:textId="7A4488DA" w:rsidR="004615F7" w:rsidRPr="00F55E19" w:rsidRDefault="004615F7" w:rsidP="002A53AC">
            <w:pPr>
              <w:pBdr>
                <w:top w:val="nil"/>
                <w:left w:val="nil"/>
                <w:bottom w:val="nil"/>
                <w:right w:val="nil"/>
                <w:between w:val="nil"/>
              </w:pBdr>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Comparison of subgroup mean effects, or meta-regression of effect sizes on </w:t>
            </w:r>
            <w:proofErr w:type="gramStart"/>
            <w:r>
              <w:rPr>
                <w:rFonts w:ascii="Arial" w:eastAsia="Arial" w:hAnsi="Arial" w:cs="Arial"/>
                <w:color w:val="000000"/>
                <w:sz w:val="18"/>
                <w:szCs w:val="18"/>
                <w:highlight w:val="white"/>
              </w:rPr>
              <w:t>meaningful  ‘</w:t>
            </w:r>
            <w:proofErr w:type="gramEnd"/>
            <w:r>
              <w:rPr>
                <w:rFonts w:ascii="Arial" w:eastAsia="Arial" w:hAnsi="Arial" w:cs="Arial"/>
                <w:i/>
                <w:color w:val="000000"/>
                <w:sz w:val="18"/>
                <w:szCs w:val="18"/>
                <w:highlight w:val="white"/>
              </w:rPr>
              <w:t xml:space="preserve">effect modifiers’ </w:t>
            </w:r>
            <w:r>
              <w:rPr>
                <w:rFonts w:ascii="Arial" w:eastAsia="Arial" w:hAnsi="Arial" w:cs="Arial"/>
                <w:color w:val="000000"/>
                <w:sz w:val="18"/>
                <w:szCs w:val="18"/>
                <w:highlight w:val="white"/>
              </w:rPr>
              <w:t xml:space="preserve">or </w:t>
            </w:r>
            <w:r>
              <w:rPr>
                <w:rFonts w:ascii="Arial" w:eastAsia="Arial" w:hAnsi="Arial" w:cs="Arial"/>
                <w:i/>
                <w:color w:val="000000"/>
                <w:sz w:val="18"/>
                <w:szCs w:val="18"/>
                <w:highlight w:val="white"/>
              </w:rPr>
              <w:t>‘moderators’ (Z</w:t>
            </w:r>
            <w:r w:rsidR="00966147">
              <w:rPr>
                <w:rFonts w:ascii="Arial" w:eastAsia="Arial" w:hAnsi="Arial" w:cs="Arial"/>
                <w:i/>
                <w:color w:val="000000"/>
                <w:sz w:val="18"/>
                <w:szCs w:val="18"/>
                <w:highlight w:val="white"/>
              </w:rPr>
              <w:t xml:space="preserve">; </w:t>
            </w:r>
            <w:r w:rsidR="00966147" w:rsidRPr="00966147">
              <w:rPr>
                <w:rFonts w:ascii="Arial" w:eastAsia="Arial" w:hAnsi="Arial" w:cs="Arial"/>
                <w:iCs/>
                <w:color w:val="000000"/>
                <w:sz w:val="18"/>
                <w:szCs w:val="18"/>
                <w:highlight w:val="white"/>
              </w:rPr>
              <w:t>bottom left</w:t>
            </w:r>
            <w:r w:rsidR="00966147">
              <w:rPr>
                <w:rFonts w:ascii="Arial" w:eastAsia="Arial" w:hAnsi="Arial" w:cs="Arial"/>
                <w:color w:val="000000"/>
                <w:sz w:val="18"/>
                <w:szCs w:val="18"/>
                <w:highlight w:val="white"/>
              </w:rPr>
              <w:t xml:space="preserve"> </w:t>
            </w:r>
            <w:r w:rsidR="004B3AC7">
              <w:rPr>
                <w:rFonts w:ascii="Arial" w:eastAsia="Arial" w:hAnsi="Arial" w:cs="Arial"/>
                <w:iCs/>
                <w:sz w:val="18"/>
                <w:szCs w:val="18"/>
              </w:rPr>
              <w:t>in figure</w:t>
            </w:r>
            <w:r w:rsidR="00966147">
              <w:rPr>
                <w:rFonts w:ascii="Arial" w:eastAsia="Arial" w:hAnsi="Arial" w:cs="Arial"/>
                <w:color w:val="000000"/>
                <w:sz w:val="18"/>
                <w:szCs w:val="18"/>
                <w:highlight w:val="white"/>
              </w:rPr>
              <w:t>)</w:t>
            </w:r>
            <w:r>
              <w:rPr>
                <w:rFonts w:ascii="Arial" w:eastAsia="Arial" w:hAnsi="Arial" w:cs="Arial"/>
                <w:color w:val="000000"/>
                <w:sz w:val="18"/>
                <w:szCs w:val="18"/>
                <w:highlight w:val="white"/>
              </w:rPr>
              <w:t>.</w:t>
            </w:r>
          </w:p>
          <w:p w14:paraId="2A3B5EA0" w14:textId="77777777" w:rsidR="004615F7" w:rsidRDefault="004615F7" w:rsidP="002A53AC">
            <w:pPr>
              <w:widowControl w:val="0"/>
              <w:tabs>
                <w:tab w:val="left" w:pos="3014"/>
              </w:tabs>
              <w:rPr>
                <w:rFonts w:ascii="Arial" w:eastAsia="Arial" w:hAnsi="Arial" w:cs="Arial"/>
                <w:sz w:val="18"/>
                <w:szCs w:val="18"/>
                <w:highlight w:val="white"/>
              </w:rPr>
            </w:pPr>
          </w:p>
        </w:tc>
        <w:tc>
          <w:tcPr>
            <w:tcW w:w="4487" w:type="dxa"/>
            <w:tcBorders>
              <w:top w:val="single" w:sz="4" w:space="0" w:color="000000"/>
              <w:left w:val="single" w:sz="4" w:space="0" w:color="000000"/>
              <w:bottom w:val="single" w:sz="4" w:space="0" w:color="000000"/>
              <w:right w:val="single" w:sz="4" w:space="0" w:color="000000"/>
            </w:tcBorders>
          </w:tcPr>
          <w:p w14:paraId="42A9E283" w14:textId="7A4AA475" w:rsidR="004615F7" w:rsidRPr="00342DF5" w:rsidRDefault="004615F7" w:rsidP="002A53AC">
            <w:pPr>
              <w:pBdr>
                <w:top w:val="nil"/>
                <w:left w:val="nil"/>
                <w:bottom w:val="nil"/>
                <w:right w:val="nil"/>
                <w:between w:val="nil"/>
              </w:pBdr>
              <w:rPr>
                <w:color w:val="000000"/>
              </w:rPr>
            </w:pPr>
            <w:r>
              <w:rPr>
                <w:rFonts w:ascii="Arial" w:eastAsia="Arial" w:hAnsi="Arial" w:cs="Arial"/>
                <w:color w:val="000000"/>
                <w:sz w:val="18"/>
                <w:szCs w:val="18"/>
                <w:highlight w:val="white"/>
              </w:rPr>
              <w:t xml:space="preserve">The analyst may fit an interaction term between the </w:t>
            </w:r>
            <w:r>
              <w:rPr>
                <w:rFonts w:ascii="Arial" w:eastAsia="Arial" w:hAnsi="Arial" w:cs="Arial"/>
                <w:i/>
                <w:color w:val="000000"/>
                <w:sz w:val="18"/>
                <w:szCs w:val="18"/>
                <w:highlight w:val="white"/>
              </w:rPr>
              <w:t>X</w:t>
            </w:r>
            <w:r>
              <w:rPr>
                <w:rFonts w:ascii="Arial" w:eastAsia="Arial" w:hAnsi="Arial" w:cs="Arial"/>
                <w:color w:val="000000"/>
                <w:sz w:val="18"/>
                <w:szCs w:val="18"/>
                <w:highlight w:val="white"/>
              </w:rPr>
              <w:t xml:space="preserve"> and </w:t>
            </w:r>
            <w:proofErr w:type="gramStart"/>
            <w:r>
              <w:rPr>
                <w:rFonts w:ascii="Arial" w:eastAsia="Arial" w:hAnsi="Arial" w:cs="Arial"/>
                <w:i/>
                <w:color w:val="000000"/>
                <w:sz w:val="18"/>
                <w:szCs w:val="18"/>
                <w:highlight w:val="white"/>
              </w:rPr>
              <w:t>Z</w:t>
            </w:r>
            <w:r>
              <w:rPr>
                <w:rFonts w:ascii="Arial" w:eastAsia="Arial" w:hAnsi="Arial" w:cs="Arial"/>
                <w:color w:val="000000"/>
                <w:sz w:val="18"/>
                <w:szCs w:val="18"/>
                <w:highlight w:val="white"/>
              </w:rPr>
              <w:t>, and</w:t>
            </w:r>
            <w:proofErr w:type="gramEnd"/>
            <w:r>
              <w:rPr>
                <w:rFonts w:ascii="Arial" w:eastAsia="Arial" w:hAnsi="Arial" w:cs="Arial"/>
                <w:color w:val="000000"/>
                <w:sz w:val="18"/>
                <w:szCs w:val="18"/>
                <w:highlight w:val="white"/>
              </w:rPr>
              <w:t xml:space="preserve"> interrogate the marginal effects. Sometimes analysts perform </w:t>
            </w:r>
            <w:r>
              <w:rPr>
                <w:rFonts w:ascii="Arial" w:eastAsia="Arial" w:hAnsi="Arial" w:cs="Arial"/>
                <w:i/>
                <w:color w:val="000000"/>
                <w:sz w:val="18"/>
                <w:szCs w:val="18"/>
                <w:highlight w:val="white"/>
              </w:rPr>
              <w:t>post-hoc</w:t>
            </w:r>
            <w:r>
              <w:rPr>
                <w:rFonts w:ascii="Arial" w:eastAsia="Arial" w:hAnsi="Arial" w:cs="Arial"/>
                <w:color w:val="000000"/>
                <w:sz w:val="18"/>
                <w:szCs w:val="18"/>
                <w:highlight w:val="white"/>
              </w:rPr>
              <w:t xml:space="preserve"> analyses of random slopes, </w:t>
            </w:r>
            <w:proofErr w:type="gramStart"/>
            <w:r>
              <w:rPr>
                <w:rFonts w:ascii="Arial" w:eastAsia="Arial" w:hAnsi="Arial" w:cs="Arial"/>
                <w:color w:val="000000"/>
                <w:sz w:val="18"/>
                <w:szCs w:val="18"/>
                <w:highlight w:val="white"/>
              </w:rPr>
              <w:t>e.g.</w:t>
            </w:r>
            <w:proofErr w:type="gramEnd"/>
            <w:r>
              <w:rPr>
                <w:rFonts w:ascii="Arial" w:eastAsia="Arial" w:hAnsi="Arial" w:cs="Arial"/>
                <w:color w:val="000000"/>
                <w:sz w:val="18"/>
                <w:szCs w:val="18"/>
                <w:highlight w:val="white"/>
              </w:rPr>
              <w:t xml:space="preserve"> regression on ‘</w:t>
            </w:r>
            <w:r>
              <w:rPr>
                <w:rFonts w:ascii="Arial" w:eastAsia="Arial" w:hAnsi="Arial" w:cs="Arial"/>
                <w:i/>
                <w:color w:val="000000"/>
                <w:sz w:val="18"/>
                <w:szCs w:val="18"/>
                <w:highlight w:val="white"/>
              </w:rPr>
              <w:t xml:space="preserve">effect modifiers’ </w:t>
            </w:r>
            <w:r>
              <w:rPr>
                <w:rFonts w:ascii="Arial" w:eastAsia="Arial" w:hAnsi="Arial" w:cs="Arial"/>
                <w:color w:val="000000"/>
                <w:sz w:val="18"/>
                <w:szCs w:val="18"/>
                <w:highlight w:val="white"/>
              </w:rPr>
              <w:t xml:space="preserve">or </w:t>
            </w:r>
            <w:r>
              <w:rPr>
                <w:rFonts w:ascii="Arial" w:eastAsia="Arial" w:hAnsi="Arial" w:cs="Arial"/>
                <w:i/>
                <w:color w:val="000000"/>
                <w:sz w:val="18"/>
                <w:szCs w:val="18"/>
                <w:highlight w:val="white"/>
              </w:rPr>
              <w:t>‘moderators’</w:t>
            </w:r>
            <w:r>
              <w:rPr>
                <w:rFonts w:ascii="Arial" w:eastAsia="Arial" w:hAnsi="Arial" w:cs="Arial"/>
                <w:color w:val="000000"/>
                <w:sz w:val="18"/>
                <w:szCs w:val="18"/>
                <w:highlight w:val="white"/>
              </w:rPr>
              <w:t xml:space="preserve">, </w:t>
            </w:r>
            <w:r>
              <w:rPr>
                <w:rFonts w:ascii="Arial" w:eastAsia="Arial" w:hAnsi="Arial" w:cs="Arial"/>
                <w:i/>
                <w:color w:val="000000"/>
                <w:sz w:val="18"/>
                <w:szCs w:val="18"/>
                <w:highlight w:val="white"/>
              </w:rPr>
              <w:t>(Z</w:t>
            </w:r>
            <w:r w:rsidR="00966147">
              <w:rPr>
                <w:rFonts w:ascii="Arial" w:eastAsia="Arial" w:hAnsi="Arial" w:cs="Arial"/>
                <w:iCs/>
                <w:color w:val="000000"/>
                <w:sz w:val="18"/>
                <w:szCs w:val="18"/>
                <w:highlight w:val="white"/>
              </w:rPr>
              <w:t xml:space="preserve">; bottom right </w:t>
            </w:r>
            <w:r w:rsidR="004B3AC7">
              <w:rPr>
                <w:rFonts w:ascii="Arial" w:eastAsia="Arial" w:hAnsi="Arial" w:cs="Arial"/>
                <w:iCs/>
                <w:color w:val="000000"/>
                <w:sz w:val="18"/>
                <w:szCs w:val="18"/>
              </w:rPr>
              <w:t xml:space="preserve">in </w:t>
            </w:r>
            <w:r w:rsidR="004B3AC7">
              <w:rPr>
                <w:rFonts w:ascii="Arial" w:eastAsia="Arial" w:hAnsi="Arial" w:cs="Arial"/>
                <w:iCs/>
                <w:sz w:val="18"/>
                <w:szCs w:val="18"/>
              </w:rPr>
              <w:t>figure</w:t>
            </w:r>
            <w:r>
              <w:rPr>
                <w:rFonts w:ascii="Arial" w:eastAsia="Arial" w:hAnsi="Arial" w:cs="Arial"/>
                <w:i/>
                <w:color w:val="000000"/>
                <w:sz w:val="18"/>
                <w:szCs w:val="18"/>
                <w:highlight w:val="white"/>
              </w:rPr>
              <w:t>)</w:t>
            </w:r>
            <w:r>
              <w:rPr>
                <w:rFonts w:ascii="Arial" w:eastAsia="Arial" w:hAnsi="Arial" w:cs="Arial"/>
                <w:color w:val="000000"/>
                <w:sz w:val="18"/>
                <w:szCs w:val="18"/>
                <w:highlight w:val="white"/>
              </w:rPr>
              <w:t>.</w:t>
            </w:r>
          </w:p>
        </w:tc>
      </w:tr>
    </w:tbl>
    <w:p w14:paraId="28D58643" w14:textId="77777777" w:rsidR="004615F7" w:rsidRDefault="004615F7" w:rsidP="008E158C"/>
    <w:p w14:paraId="73AB7DCB" w14:textId="77777777" w:rsidR="004615F7" w:rsidRDefault="004615F7">
      <w:r>
        <w:br w:type="page"/>
      </w:r>
    </w:p>
    <w:tbl>
      <w:tblPr>
        <w:tblStyle w:val="TableGrid"/>
        <w:tblW w:w="9376" w:type="dxa"/>
        <w:tblLook w:val="04A0" w:firstRow="1" w:lastRow="0" w:firstColumn="1" w:lastColumn="0" w:noHBand="0" w:noVBand="1"/>
      </w:tblPr>
      <w:tblGrid>
        <w:gridCol w:w="9376"/>
      </w:tblGrid>
      <w:tr w:rsidR="004615F7" w14:paraId="3BFB81FA" w14:textId="77777777" w:rsidTr="004615F7">
        <w:tc>
          <w:tcPr>
            <w:tcW w:w="9376" w:type="dxa"/>
          </w:tcPr>
          <w:p w14:paraId="4600CEE4" w14:textId="77777777" w:rsidR="004615F7" w:rsidRPr="00E94213" w:rsidRDefault="004615F7" w:rsidP="002A53AC">
            <w:pPr>
              <w:spacing w:after="120"/>
              <w:rPr>
                <w:rFonts w:ascii="Arial" w:hAnsi="Arial" w:cs="Arial"/>
                <w:b/>
                <w:bCs/>
              </w:rPr>
            </w:pPr>
            <w:r w:rsidRPr="00E94213">
              <w:rPr>
                <w:rFonts w:ascii="Arial" w:hAnsi="Arial" w:cs="Arial"/>
                <w:b/>
                <w:bCs/>
              </w:rPr>
              <w:lastRenderedPageBreak/>
              <w:t xml:space="preserve">Box </w:t>
            </w:r>
            <w:r>
              <w:rPr>
                <w:rFonts w:ascii="Arial" w:hAnsi="Arial" w:cs="Arial"/>
                <w:b/>
                <w:bCs/>
              </w:rPr>
              <w:t>2</w:t>
            </w:r>
            <w:r w:rsidRPr="00E94213">
              <w:rPr>
                <w:rFonts w:ascii="Arial" w:hAnsi="Arial" w:cs="Arial"/>
                <w:b/>
                <w:bCs/>
              </w:rPr>
              <w:t>.</w:t>
            </w:r>
            <w:r>
              <w:rPr>
                <w:rFonts w:ascii="Arial" w:hAnsi="Arial" w:cs="Arial"/>
                <w:b/>
                <w:bCs/>
              </w:rPr>
              <w:t xml:space="preserve"> </w:t>
            </w:r>
            <w:r w:rsidRPr="00E94213">
              <w:rPr>
                <w:rFonts w:ascii="Arial" w:hAnsi="Arial" w:cs="Arial"/>
                <w:b/>
                <w:bCs/>
              </w:rPr>
              <w:t>Example ‘Constraints on Generality’ statement for synthesis of plantation thinning effects on</w:t>
            </w:r>
            <w:r>
              <w:rPr>
                <w:rFonts w:ascii="Arial" w:hAnsi="Arial" w:cs="Arial"/>
                <w:b/>
                <w:bCs/>
              </w:rPr>
              <w:t xml:space="preserve"> broadleaved</w:t>
            </w:r>
            <w:r w:rsidRPr="00E94213">
              <w:rPr>
                <w:rFonts w:ascii="Arial" w:hAnsi="Arial" w:cs="Arial"/>
                <w:b/>
                <w:bCs/>
              </w:rPr>
              <w:t xml:space="preserve"> sapling abundance</w:t>
            </w:r>
          </w:p>
          <w:p w14:paraId="280DDC8B" w14:textId="20E75E4D" w:rsidR="004615F7" w:rsidRDefault="004615F7" w:rsidP="002A53AC">
            <w:pPr>
              <w:spacing w:after="120"/>
              <w:rPr>
                <w:rFonts w:ascii="Arial" w:hAnsi="Arial" w:cs="Arial"/>
                <w:sz w:val="22"/>
                <w:szCs w:val="22"/>
              </w:rPr>
            </w:pPr>
            <w:r w:rsidRPr="00E94213">
              <w:rPr>
                <w:rFonts w:ascii="Arial" w:hAnsi="Arial" w:cs="Arial"/>
                <w:b/>
                <w:bCs/>
                <w:i/>
                <w:iCs/>
                <w:sz w:val="22"/>
                <w:szCs w:val="22"/>
              </w:rPr>
              <w:t>Summary of study</w:t>
            </w:r>
            <w:r>
              <w:rPr>
                <w:rFonts w:ascii="Arial" w:hAnsi="Arial" w:cs="Arial"/>
                <w:b/>
                <w:bCs/>
                <w:i/>
                <w:iCs/>
                <w:sz w:val="22"/>
                <w:szCs w:val="22"/>
              </w:rPr>
              <w:t xml:space="preserve">: </w:t>
            </w:r>
            <w:r w:rsidRPr="00E94213">
              <w:rPr>
                <w:rFonts w:ascii="Arial" w:hAnsi="Arial" w:cs="Arial"/>
                <w:sz w:val="22"/>
                <w:szCs w:val="22"/>
              </w:rPr>
              <w:t>Spake et al. (2019)</w:t>
            </w:r>
            <w:r>
              <w:rPr>
                <w:rFonts w:ascii="Arial" w:hAnsi="Arial" w:cs="Arial"/>
                <w:sz w:val="22"/>
                <w:szCs w:val="22"/>
              </w:rPr>
              <w:fldChar w:fldCharType="begin" w:fldLock="1"/>
            </w:r>
            <w:r w:rsidR="00F23EB1">
              <w:rPr>
                <w:rFonts w:ascii="Arial" w:hAnsi="Arial" w:cs="Arial"/>
                <w:sz w:val="22"/>
                <w:szCs w:val="22"/>
              </w:rPr>
              <w:instrText>ADDIN CSL_CITATION {"citationItems":[{"id":"ITEM-1","itemData":{"DOI":"10.1111/csp2.14","ISSN":"2578-4854","abstract":"Conservation of temperate forest biodiversity has historically focused on natural old</w:instrText>
            </w:r>
            <w:r w:rsidR="00F23EB1">
              <w:rPr>
                <w:rFonts w:ascii="Cambria Math" w:hAnsi="Cambria Math" w:cs="Cambria Math"/>
                <w:sz w:val="22"/>
                <w:szCs w:val="22"/>
              </w:rPr>
              <w:instrText>‐</w:instrText>
            </w:r>
            <w:r w:rsidR="00F23EB1">
              <w:rPr>
                <w:rFonts w:ascii="Arial" w:hAnsi="Arial" w:cs="Arial"/>
                <w:sz w:val="22"/>
                <w:szCs w:val="22"/>
              </w:rPr>
              <w:instrText>growth. Less than 3% of the world's temperate forests remain unmodified by humans, however, and much of temperate</w:instrText>
            </w:r>
            <w:r w:rsidR="00F23EB1">
              <w:rPr>
                <w:rFonts w:ascii="Cambria Math" w:hAnsi="Cambria Math" w:cs="Cambria Math"/>
                <w:sz w:val="22"/>
                <w:szCs w:val="22"/>
              </w:rPr>
              <w:instrText>‐</w:instrText>
            </w:r>
            <w:r w:rsidR="00F23EB1">
              <w:rPr>
                <w:rFonts w:ascii="Arial" w:hAnsi="Arial" w:cs="Arial"/>
                <w:sz w:val="22"/>
                <w:szCs w:val="22"/>
              </w:rPr>
              <w:instrText>forest biodiversity is held in the predominating planted and secondary forests. Japan provides a widely applicable model for examining how to maximize biodiversity in managed temperate forests, because of its richness of forestry research generated from its vast forest area, albeit largely in Japanese, and the wide practice of its dominant management interventions across the northern temperate zone. Management for plantations includes thinning, extended rotation cycles and clear</w:instrText>
            </w:r>
            <w:r w:rsidR="00F23EB1">
              <w:rPr>
                <w:rFonts w:ascii="Cambria Math" w:hAnsi="Cambria Math" w:cs="Cambria Math"/>
                <w:sz w:val="22"/>
                <w:szCs w:val="22"/>
              </w:rPr>
              <w:instrText>‐</w:instrText>
            </w:r>
            <w:r w:rsidR="00F23EB1">
              <w:rPr>
                <w:rFonts w:ascii="Arial" w:hAnsi="Arial" w:cs="Arial"/>
                <w:sz w:val="22"/>
                <w:szCs w:val="22"/>
              </w:rPr>
              <w:instrText>cutting. For secondary forests regenerating from past clearance, traditional management varies in its intensities, from clear</w:instrText>
            </w:r>
            <w:r w:rsidR="00F23EB1">
              <w:rPr>
                <w:rFonts w:ascii="Cambria Math" w:hAnsi="Cambria Math" w:cs="Cambria Math"/>
                <w:sz w:val="22"/>
                <w:szCs w:val="22"/>
              </w:rPr>
              <w:instrText>‐</w:instrText>
            </w:r>
            <w:r w:rsidR="00F23EB1">
              <w:rPr>
                <w:rFonts w:ascii="Arial" w:hAnsi="Arial" w:cs="Arial"/>
                <w:sz w:val="22"/>
                <w:szCs w:val="22"/>
              </w:rPr>
              <w:instrText>cutting as coppices to small</w:instrText>
            </w:r>
            <w:r w:rsidR="00F23EB1">
              <w:rPr>
                <w:rFonts w:ascii="Cambria Math" w:hAnsi="Cambria Math" w:cs="Cambria Math"/>
                <w:sz w:val="22"/>
                <w:szCs w:val="22"/>
              </w:rPr>
              <w:instrText>‐</w:instrText>
            </w:r>
            <w:r w:rsidR="00F23EB1">
              <w:rPr>
                <w:rFonts w:ascii="Arial" w:hAnsi="Arial" w:cs="Arial"/>
                <w:sz w:val="22"/>
                <w:szCs w:val="22"/>
              </w:rPr>
              <w:instrText>scale understory clearance. Here we provide a first synthesis of published research on biodiversity in planted and secondary forests of Japan, relevant to management of these types of forest in northern temperate regions. Systematic review and meta</w:instrText>
            </w:r>
            <w:r w:rsidR="00F23EB1">
              <w:rPr>
                <w:rFonts w:ascii="Cambria Math" w:hAnsi="Cambria Math" w:cs="Cambria Math"/>
                <w:sz w:val="22"/>
                <w:szCs w:val="22"/>
              </w:rPr>
              <w:instrText>‐</w:instrText>
            </w:r>
            <w:r w:rsidR="00F23EB1">
              <w:rPr>
                <w:rFonts w:ascii="Arial" w:hAnsi="Arial" w:cs="Arial"/>
                <w:sz w:val="22"/>
                <w:szCs w:val="22"/>
              </w:rPr>
              <w:instrText>analyses of papers published in English and Japanese quantified management impacts on species richness and abundance of several taxa, in relation to moderator variables including stand age and management intensity. Plantation thinning substantially increases the richness and abundance of several taxa. Effect sizes decline with time since thinning for the abundance of regenerating saplings and seedlings, necessitating repeated thinning treatments every 6 years to sustain this positive effect. Taxonomic groups exhibit variable relationships with stand age in both planted and secondary forests, indicating a need to include both young and old forest stands in managed forest mosaics. We find an insufficient evidence base is available to allow for a meaningful synthesis of low</w:instrText>
            </w:r>
            <w:r w:rsidR="00F23EB1">
              <w:rPr>
                <w:rFonts w:ascii="Cambria Math" w:hAnsi="Cambria Math" w:cs="Cambria Math"/>
                <w:sz w:val="22"/>
                <w:szCs w:val="22"/>
              </w:rPr>
              <w:instrText>‐</w:instrText>
            </w:r>
            <w:r w:rsidR="00F23EB1">
              <w:rPr>
                <w:rFonts w:ascii="Arial" w:hAnsi="Arial" w:cs="Arial"/>
                <w:sz w:val="22"/>
                <w:szCs w:val="22"/>
              </w:rPr>
              <w:instrText>intensity management effects in historically managed secondary forests, with studies varying widely in scale and reported outcomes. We outline an agenda for the research community to achieve a systematic evaluation of scale</w:instrText>
            </w:r>
            <w:r w:rsidR="00F23EB1">
              <w:rPr>
                <w:rFonts w:ascii="Cambria Math" w:hAnsi="Cambria Math" w:cs="Cambria Math"/>
                <w:sz w:val="22"/>
                <w:szCs w:val="22"/>
              </w:rPr>
              <w:instrText>‐</w:instrText>
            </w:r>
            <w:r w:rsidR="00F23EB1">
              <w:rPr>
                <w:rFonts w:ascii="Arial" w:hAnsi="Arial" w:cs="Arial"/>
                <w:sz w:val="22"/>
                <w:szCs w:val="22"/>
              </w:rPr>
              <w:instrText>dependent effects of traditional forest management on biodiversity. [ABSTRACT FROM AUTHOR]","author":[{"dropping-particle":"","family":"Spake","given":"Rebecca","non-dropping-particle":"","parse-names":false,"suffix":""},{"dropping-particle":"","family":"Yanou","given":"Sakiko","non-dropping-particle":"","parse-names":false,"suffix":""},{"dropping-particle":"","family":"Yamaura","given":"Yuichi","non-dropping-particle":"","parse-names":false,"suffix":""},{"dropping-particle":"","family":"Kawamura","given":"Kazuhiro","non-dropping-particle":"","parse-names":false,"suffix":""},{"dropping-particle":"","family":"Kitayama","given":"Kanehiro","non-dropping-particle":"","parse-names":false,"suffix":""},{"dropping-particle":"","family":"Doncaster","given":"C. Patrick","non-dropping-particle":"","parse-names":false,"suffix":""}],"container-title":"Conservation Science and Practice","id":"ITEM-1","issue":"3","issued":{"date-parts":[["2019"]]},"page":"e14","title":"Meta</w:instrText>
            </w:r>
            <w:r w:rsidR="00F23EB1">
              <w:rPr>
                <w:rFonts w:ascii="Cambria Math" w:hAnsi="Cambria Math" w:cs="Cambria Math"/>
                <w:sz w:val="22"/>
                <w:szCs w:val="22"/>
              </w:rPr>
              <w:instrText>‐</w:instrText>
            </w:r>
            <w:r w:rsidR="00F23EB1">
              <w:rPr>
                <w:rFonts w:ascii="Arial" w:hAnsi="Arial" w:cs="Arial"/>
                <w:sz w:val="22"/>
                <w:szCs w:val="22"/>
              </w:rPr>
              <w:instrText>analysis of management effects on biodiversity in plantation and secondary forests of Japan","type":"article-journal","volume":"1"},"uris":["http://www.mendeley.com/documents/?uuid=f78c8c1a-8715-416d-bdae-e520d9dc2f68"]}],"mendeley":{"formattedCitation":"&lt;sup&gt;88&lt;/sup&gt;","plainTextFormattedCitation":"88","previouslyFormattedCitation":"&lt;sup&gt;88&lt;/sup&gt;"},"properties":{"noteIndex":0},"schema":"https://github.com/citation-style-language/schema/raw/master/csl-citation.json"}</w:instrText>
            </w:r>
            <w:r>
              <w:rPr>
                <w:rFonts w:ascii="Arial" w:hAnsi="Arial" w:cs="Arial"/>
                <w:sz w:val="22"/>
                <w:szCs w:val="22"/>
              </w:rPr>
              <w:fldChar w:fldCharType="separate"/>
            </w:r>
            <w:r w:rsidR="00852C49" w:rsidRPr="00852C49">
              <w:rPr>
                <w:rFonts w:ascii="Arial" w:hAnsi="Arial" w:cs="Arial"/>
                <w:noProof/>
                <w:sz w:val="22"/>
                <w:szCs w:val="22"/>
                <w:vertAlign w:val="superscript"/>
              </w:rPr>
              <w:t>88</w:t>
            </w:r>
            <w:r>
              <w:rPr>
                <w:rFonts w:ascii="Arial" w:hAnsi="Arial" w:cs="Arial"/>
                <w:sz w:val="22"/>
                <w:szCs w:val="22"/>
              </w:rPr>
              <w:fldChar w:fldCharType="end"/>
            </w:r>
            <w:r w:rsidRPr="00E94213">
              <w:rPr>
                <w:rFonts w:ascii="Arial" w:hAnsi="Arial" w:cs="Arial"/>
                <w:sz w:val="22"/>
                <w:szCs w:val="22"/>
              </w:rPr>
              <w:t xml:space="preserve"> synthesised the effects of</w:t>
            </w:r>
            <w:r>
              <w:rPr>
                <w:rFonts w:ascii="Arial" w:hAnsi="Arial" w:cs="Arial"/>
                <w:sz w:val="22"/>
                <w:szCs w:val="22"/>
              </w:rPr>
              <w:t xml:space="preserve"> stand-level forest management interventions on biodiversity in Japan. Here we present effect sizes representing the effect of plantation thinning on broadleaved tree regeneration, for plantations dominated by either </w:t>
            </w:r>
            <w:r w:rsidR="00FF353C" w:rsidRPr="005A6156">
              <w:rPr>
                <w:rFonts w:ascii="Arial" w:hAnsi="Arial" w:cs="Arial"/>
                <w:i/>
                <w:iCs/>
                <w:sz w:val="22"/>
                <w:szCs w:val="22"/>
              </w:rPr>
              <w:t>Cryptomeria</w:t>
            </w:r>
            <w:r w:rsidRPr="005A6156">
              <w:rPr>
                <w:rFonts w:ascii="Arial" w:hAnsi="Arial" w:cs="Arial"/>
                <w:i/>
                <w:iCs/>
                <w:sz w:val="22"/>
                <w:szCs w:val="22"/>
              </w:rPr>
              <w:t xml:space="preserve"> japonica</w:t>
            </w:r>
            <w:r>
              <w:rPr>
                <w:rFonts w:ascii="Arial" w:hAnsi="Arial" w:cs="Arial"/>
                <w:sz w:val="22"/>
                <w:szCs w:val="22"/>
              </w:rPr>
              <w:t xml:space="preserve"> (</w:t>
            </w:r>
            <w:proofErr w:type="spellStart"/>
            <w:r>
              <w:rPr>
                <w:rFonts w:ascii="Arial" w:hAnsi="Arial" w:cs="Arial"/>
                <w:sz w:val="22"/>
                <w:szCs w:val="22"/>
              </w:rPr>
              <w:t>sugi</w:t>
            </w:r>
            <w:proofErr w:type="spellEnd"/>
            <w:r>
              <w:rPr>
                <w:rFonts w:ascii="Arial" w:hAnsi="Arial" w:cs="Arial"/>
                <w:sz w:val="22"/>
                <w:szCs w:val="22"/>
              </w:rPr>
              <w:t>)</w:t>
            </w:r>
            <w:r w:rsidRPr="005A6156">
              <w:rPr>
                <w:rFonts w:ascii="Arial" w:hAnsi="Arial" w:cs="Arial"/>
                <w:sz w:val="22"/>
                <w:szCs w:val="22"/>
              </w:rPr>
              <w:t xml:space="preserve"> </w:t>
            </w:r>
            <w:r w:rsidR="00677F13">
              <w:rPr>
                <w:rFonts w:ascii="Arial" w:hAnsi="Arial" w:cs="Arial"/>
                <w:sz w:val="22"/>
                <w:szCs w:val="22"/>
              </w:rPr>
              <w:t>or</w:t>
            </w:r>
            <w:r w:rsidR="00677F13" w:rsidRPr="005A6156">
              <w:rPr>
                <w:rFonts w:ascii="Arial" w:hAnsi="Arial" w:cs="Arial"/>
                <w:sz w:val="22"/>
                <w:szCs w:val="22"/>
              </w:rPr>
              <w:t xml:space="preserve"> </w:t>
            </w:r>
            <w:r w:rsidRPr="005A6156">
              <w:rPr>
                <w:rFonts w:ascii="Arial" w:hAnsi="Arial" w:cs="Arial"/>
                <w:i/>
                <w:iCs/>
                <w:sz w:val="22"/>
                <w:szCs w:val="22"/>
              </w:rPr>
              <w:t>Cham</w:t>
            </w:r>
            <w:r w:rsidR="00FF353C">
              <w:rPr>
                <w:rFonts w:ascii="Arial" w:hAnsi="Arial" w:cs="Arial"/>
                <w:i/>
                <w:iCs/>
                <w:sz w:val="22"/>
                <w:szCs w:val="22"/>
              </w:rPr>
              <w:t>a</w:t>
            </w:r>
            <w:r w:rsidRPr="005A6156">
              <w:rPr>
                <w:rFonts w:ascii="Arial" w:hAnsi="Arial" w:cs="Arial"/>
                <w:i/>
                <w:iCs/>
                <w:sz w:val="22"/>
                <w:szCs w:val="22"/>
              </w:rPr>
              <w:t>ecy</w:t>
            </w:r>
            <w:r w:rsidR="00FF353C">
              <w:rPr>
                <w:rFonts w:ascii="Arial" w:hAnsi="Arial" w:cs="Arial"/>
                <w:i/>
                <w:iCs/>
                <w:sz w:val="22"/>
                <w:szCs w:val="22"/>
              </w:rPr>
              <w:t>pa</w:t>
            </w:r>
            <w:r w:rsidRPr="005A6156">
              <w:rPr>
                <w:rFonts w:ascii="Arial" w:hAnsi="Arial" w:cs="Arial"/>
                <w:i/>
                <w:iCs/>
                <w:sz w:val="22"/>
                <w:szCs w:val="22"/>
              </w:rPr>
              <w:t xml:space="preserve">ris </w:t>
            </w:r>
            <w:proofErr w:type="spellStart"/>
            <w:r>
              <w:rPr>
                <w:rFonts w:ascii="Arial" w:hAnsi="Arial" w:cs="Arial"/>
                <w:i/>
                <w:iCs/>
                <w:sz w:val="22"/>
                <w:szCs w:val="22"/>
              </w:rPr>
              <w:t>obtusa</w:t>
            </w:r>
            <w:proofErr w:type="spellEnd"/>
            <w:r>
              <w:rPr>
                <w:rFonts w:ascii="Arial" w:hAnsi="Arial" w:cs="Arial"/>
                <w:sz w:val="22"/>
                <w:szCs w:val="22"/>
              </w:rPr>
              <w:t xml:space="preserve"> (hinoki) distributed across Japan. For each comparison, a</w:t>
            </w:r>
            <w:r w:rsidRPr="00E94213">
              <w:rPr>
                <w:rFonts w:ascii="Arial" w:hAnsi="Arial" w:cs="Arial"/>
                <w:sz w:val="22"/>
                <w:szCs w:val="22"/>
              </w:rPr>
              <w:t xml:space="preserve"> log response ratio</w:t>
            </w:r>
            <w:r>
              <w:rPr>
                <w:rFonts w:ascii="Arial" w:hAnsi="Arial" w:cs="Arial"/>
                <w:sz w:val="22"/>
                <w:szCs w:val="22"/>
              </w:rPr>
              <w:t xml:space="preserve"> was estimated</w:t>
            </w:r>
            <w:r w:rsidRPr="00E94213">
              <w:rPr>
                <w:rFonts w:ascii="Arial" w:hAnsi="Arial" w:cs="Arial"/>
                <w:sz w:val="22"/>
                <w:szCs w:val="22"/>
              </w:rPr>
              <w:t xml:space="preserve"> to represent the proportionate difference </w:t>
            </w:r>
            <w:r>
              <w:rPr>
                <w:rFonts w:ascii="Arial" w:hAnsi="Arial" w:cs="Arial"/>
                <w:sz w:val="22"/>
                <w:szCs w:val="22"/>
              </w:rPr>
              <w:t>in broadleaved sapling/seedling abundance between replicates of thinned and unthinned stands. Effect sizes were meta-regressed on thinning intensity, measured as the percent of stand volume removed. A positive</w:t>
            </w:r>
            <w:r w:rsidRPr="00E94213">
              <w:rPr>
                <w:rFonts w:ascii="Arial" w:hAnsi="Arial" w:cs="Arial"/>
                <w:sz w:val="22"/>
                <w:szCs w:val="22"/>
              </w:rPr>
              <w:t xml:space="preserve"> effect of stand thinning on</w:t>
            </w:r>
            <w:r>
              <w:rPr>
                <w:rFonts w:ascii="Arial" w:hAnsi="Arial" w:cs="Arial"/>
                <w:sz w:val="22"/>
                <w:szCs w:val="22"/>
              </w:rPr>
              <w:t xml:space="preserve"> biodiversity increased with thinning intensity (</w:t>
            </w:r>
            <w:r w:rsidR="004B3AC7">
              <w:rPr>
                <w:rFonts w:ascii="Arial" w:hAnsi="Arial" w:cs="Arial"/>
                <w:sz w:val="22"/>
                <w:szCs w:val="22"/>
              </w:rPr>
              <w:t>below, left</w:t>
            </w:r>
            <w:r>
              <w:rPr>
                <w:rFonts w:ascii="Arial" w:hAnsi="Arial" w:cs="Arial"/>
                <w:sz w:val="22"/>
                <w:szCs w:val="22"/>
              </w:rPr>
              <w:t>). Further details are available in Appendix S2.</w:t>
            </w:r>
          </w:p>
          <w:p w14:paraId="67196818" w14:textId="2E0A2E64" w:rsidR="00725CB3" w:rsidRDefault="00725CB3" w:rsidP="002A53AC">
            <w:pPr>
              <w:spacing w:after="120"/>
              <w:rPr>
                <w:rFonts w:ascii="Arial" w:hAnsi="Arial" w:cs="Arial"/>
                <w:sz w:val="22"/>
                <w:szCs w:val="22"/>
              </w:rPr>
            </w:pPr>
          </w:p>
          <w:p w14:paraId="57A2716B" w14:textId="0DE5ED77" w:rsidR="00725CB3" w:rsidRDefault="00725CB3" w:rsidP="002A53AC">
            <w:pPr>
              <w:spacing w:after="120"/>
              <w:rPr>
                <w:rFonts w:ascii="Arial" w:hAnsi="Arial" w:cs="Arial"/>
                <w:sz w:val="22"/>
                <w:szCs w:val="22"/>
              </w:rPr>
            </w:pPr>
          </w:p>
          <w:p w14:paraId="48D3AEAB" w14:textId="7BE0B80D" w:rsidR="00725CB3" w:rsidRDefault="00725CB3" w:rsidP="002A53AC">
            <w:pPr>
              <w:spacing w:after="120"/>
              <w:rPr>
                <w:rFonts w:ascii="Arial" w:hAnsi="Arial" w:cs="Arial"/>
                <w:sz w:val="22"/>
                <w:szCs w:val="22"/>
              </w:rPr>
            </w:pPr>
          </w:p>
          <w:p w14:paraId="7701B412" w14:textId="1765FF5E" w:rsidR="00725CB3" w:rsidRDefault="00725CB3" w:rsidP="002A53AC">
            <w:pPr>
              <w:spacing w:after="120"/>
              <w:rPr>
                <w:rFonts w:ascii="Arial" w:hAnsi="Arial" w:cs="Arial"/>
                <w:sz w:val="22"/>
                <w:szCs w:val="22"/>
              </w:rPr>
            </w:pPr>
          </w:p>
          <w:p w14:paraId="3F02711F" w14:textId="77777777" w:rsidR="00725CB3" w:rsidRDefault="00725CB3" w:rsidP="002A53AC">
            <w:pPr>
              <w:spacing w:after="120"/>
              <w:rPr>
                <w:rFonts w:ascii="Arial" w:hAnsi="Arial" w:cs="Arial"/>
                <w:sz w:val="22"/>
                <w:szCs w:val="22"/>
              </w:rPr>
            </w:pPr>
          </w:p>
          <w:p w14:paraId="4A2AECFF" w14:textId="77777777" w:rsidR="00725CB3" w:rsidRPr="00CB557F" w:rsidRDefault="00725CB3" w:rsidP="00725CB3">
            <w:pPr>
              <w:spacing w:after="120"/>
              <w:rPr>
                <w:rFonts w:ascii="Arial" w:hAnsi="Arial" w:cs="Arial"/>
                <w:sz w:val="20"/>
                <w:szCs w:val="20"/>
              </w:rPr>
            </w:pPr>
            <w:r w:rsidRPr="00CB557F">
              <w:rPr>
                <w:rFonts w:ascii="Arial" w:hAnsi="Arial" w:cs="Arial"/>
                <w:sz w:val="20"/>
                <w:szCs w:val="20"/>
              </w:rPr>
              <w:t>Left: Effect sizes representing the effects of plantation thinning on abundance of saplings and seedlings depend on thinning intensity, showing grey</w:t>
            </w:r>
            <w:r w:rsidRPr="00CB557F">
              <w:rPr>
                <w:rFonts w:ascii="Cambria Math" w:hAnsi="Cambria Math" w:cs="Cambria Math"/>
                <w:sz w:val="20"/>
                <w:szCs w:val="20"/>
              </w:rPr>
              <w:t>‐</w:t>
            </w:r>
            <w:r w:rsidRPr="00CB557F">
              <w:rPr>
                <w:rFonts w:ascii="Arial" w:hAnsi="Arial" w:cs="Arial"/>
                <w:sz w:val="20"/>
                <w:szCs w:val="20"/>
              </w:rPr>
              <w:t>shaded 95% CI in the regression based on between</w:t>
            </w:r>
            <w:r w:rsidRPr="00CB557F">
              <w:rPr>
                <w:rFonts w:ascii="Cambria Math" w:hAnsi="Cambria Math" w:cs="Cambria Math"/>
                <w:sz w:val="20"/>
                <w:szCs w:val="20"/>
              </w:rPr>
              <w:t>‐</w:t>
            </w:r>
            <w:r w:rsidRPr="00CB557F">
              <w:rPr>
                <w:rFonts w:ascii="Arial" w:hAnsi="Arial" w:cs="Arial"/>
                <w:sz w:val="20"/>
                <w:szCs w:val="20"/>
              </w:rPr>
              <w:t xml:space="preserve">study and within-study uncertainty; values above horizontal dotted line </w:t>
            </w:r>
            <w:proofErr w:type="gramStart"/>
            <w:r w:rsidRPr="00CB557F">
              <w:rPr>
                <w:rFonts w:ascii="Arial" w:hAnsi="Arial" w:cs="Arial"/>
                <w:sz w:val="20"/>
                <w:szCs w:val="20"/>
              </w:rPr>
              <w:t>signify</w:t>
            </w:r>
            <w:proofErr w:type="gramEnd"/>
            <w:r w:rsidRPr="00CB557F">
              <w:rPr>
                <w:rFonts w:ascii="Arial" w:hAnsi="Arial" w:cs="Arial"/>
                <w:sz w:val="20"/>
                <w:szCs w:val="20"/>
              </w:rPr>
              <w:t xml:space="preserve"> higher abundance in thinned than unthinned stands. Point colour and shape combinations correspond to study identifiers, while point size is proportional to estimated weights.</w:t>
            </w:r>
            <w:r>
              <w:rPr>
                <w:rFonts w:ascii="Arial" w:hAnsi="Arial" w:cs="Arial"/>
                <w:sz w:val="20"/>
                <w:szCs w:val="20"/>
              </w:rPr>
              <w:t xml:space="preserve"> Middle: </w:t>
            </w:r>
            <w:r w:rsidRPr="00CB557F">
              <w:rPr>
                <w:rFonts w:ascii="Arial" w:hAnsi="Arial" w:cs="Arial"/>
                <w:sz w:val="20"/>
                <w:szCs w:val="20"/>
              </w:rPr>
              <w:t>Spatial distribution of study sites in Japan. Right:</w:t>
            </w:r>
            <w:r>
              <w:rPr>
                <w:rFonts w:ascii="Arial" w:hAnsi="Arial" w:cs="Arial"/>
                <w:sz w:val="20"/>
                <w:szCs w:val="20"/>
              </w:rPr>
              <w:t xml:space="preserve"> Distribution of studies in parameter space according to mean annual rainfall and elevation. Coloured study locations are overlain on parameter space occupied by plots dominated by </w:t>
            </w:r>
            <w:proofErr w:type="spellStart"/>
            <w:r>
              <w:rPr>
                <w:rFonts w:ascii="Arial" w:hAnsi="Arial" w:cs="Arial"/>
                <w:sz w:val="20"/>
                <w:szCs w:val="20"/>
              </w:rPr>
              <w:t>sugi</w:t>
            </w:r>
            <w:proofErr w:type="spellEnd"/>
            <w:r>
              <w:rPr>
                <w:rFonts w:ascii="Arial" w:hAnsi="Arial" w:cs="Arial"/>
                <w:sz w:val="20"/>
                <w:szCs w:val="20"/>
              </w:rPr>
              <w:t xml:space="preserve"> or hinoki surveyed in a national forest inventory</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{"citationItems":[{"id":"ITEM-1","itemData":{"author":[{"dropping-particle":"","family":"Forestry Agency of Japan","given":"","non-dropping-particle":"","parse-names":false,"suffix":""}],"id":"ITEM-1","issued":{"date-parts":[["2019"]]},"title":"Forest Ecosystem Diversity Basic Survey (in Japanese). Available online at: https://www.rinya.maff.go.jp/j/keikaku/tayouseichousa/index.html","type":"webpage"},"uris":["http://www.mendeley.com/documents/?uuid=ea721ce0-7565-4797-a681-fa8a5b1f17ac"]}],"mendeley":{"formattedCitation":"&lt;sup&gt;89&lt;/sup&gt;","plainTextFormattedCitation":"89","previouslyFormattedCitation":"&lt;sup&gt;89&lt;/sup&gt;"},"properties":{"noteIndex":0},"schema":"https://github.com/citation-style-language/schema/raw/master/csl-citation.json"}</w:instrText>
            </w:r>
            <w:r>
              <w:rPr>
                <w:rFonts w:ascii="Arial" w:hAnsi="Arial" w:cs="Arial"/>
                <w:sz w:val="20"/>
                <w:szCs w:val="20"/>
              </w:rPr>
              <w:fldChar w:fldCharType="separate"/>
            </w:r>
            <w:r w:rsidRPr="00852C49">
              <w:rPr>
                <w:rFonts w:ascii="Arial" w:hAnsi="Arial" w:cs="Arial"/>
                <w:noProof/>
                <w:sz w:val="20"/>
                <w:szCs w:val="20"/>
                <w:vertAlign w:val="superscript"/>
              </w:rPr>
              <w:t>89</w:t>
            </w:r>
            <w:r>
              <w:rPr>
                <w:rFonts w:ascii="Arial" w:hAnsi="Arial" w:cs="Arial"/>
                <w:sz w:val="20"/>
                <w:szCs w:val="20"/>
              </w:rPr>
              <w:fldChar w:fldCharType="end"/>
            </w:r>
            <w:r>
              <w:rPr>
                <w:rFonts w:ascii="Arial" w:hAnsi="Arial" w:cs="Arial"/>
                <w:sz w:val="20"/>
                <w:szCs w:val="20"/>
              </w:rPr>
              <w:t xml:space="preserve"> (grey shading corresponds to plot density; see Appendix S2 for details). </w:t>
            </w:r>
          </w:p>
          <w:p w14:paraId="02ACEE03" w14:textId="53E66EB2" w:rsidR="004615F7" w:rsidRDefault="004615F7" w:rsidP="002A53AC">
            <w:pPr>
              <w:spacing w:after="120"/>
              <w:rPr>
                <w:rFonts w:ascii="Arial" w:hAnsi="Arial" w:cs="Arial"/>
                <w:sz w:val="22"/>
                <w:szCs w:val="22"/>
              </w:rPr>
            </w:pPr>
            <w:r w:rsidRPr="00CB557F">
              <w:rPr>
                <w:rFonts w:ascii="Arial" w:hAnsi="Arial" w:cs="Arial"/>
                <w:b/>
                <w:bCs/>
                <w:i/>
                <w:iCs/>
                <w:sz w:val="22"/>
                <w:szCs w:val="22"/>
              </w:rPr>
              <w:t>C</w:t>
            </w:r>
            <w:r>
              <w:rPr>
                <w:rFonts w:ascii="Arial" w:hAnsi="Arial" w:cs="Arial"/>
                <w:b/>
                <w:bCs/>
                <w:i/>
                <w:iCs/>
                <w:sz w:val="22"/>
                <w:szCs w:val="22"/>
              </w:rPr>
              <w:t xml:space="preserve">onstraints on Generality: </w:t>
            </w:r>
            <w:r>
              <w:rPr>
                <w:rFonts w:ascii="Arial" w:hAnsi="Arial" w:cs="Arial"/>
                <w:sz w:val="22"/>
                <w:szCs w:val="22"/>
              </w:rPr>
              <w:t xml:space="preserve">Reductions in </w:t>
            </w:r>
            <w:proofErr w:type="spellStart"/>
            <w:r>
              <w:rPr>
                <w:rFonts w:ascii="Arial" w:hAnsi="Arial" w:cs="Arial"/>
                <w:sz w:val="22"/>
                <w:szCs w:val="22"/>
              </w:rPr>
              <w:t>sugi</w:t>
            </w:r>
            <w:proofErr w:type="spellEnd"/>
            <w:r>
              <w:rPr>
                <w:rFonts w:ascii="Arial" w:hAnsi="Arial" w:cs="Arial"/>
                <w:sz w:val="22"/>
                <w:szCs w:val="22"/>
              </w:rPr>
              <w:t xml:space="preserve"> and hinoki stand volumes by greater than 30% are likely to increase sapling and seedling abundances in young, even-aged plantations between 20 and 41 years old</w:t>
            </w:r>
            <w:bookmarkStart w:id="33" w:name="_Hlk106089590"/>
            <w:r>
              <w:rPr>
                <w:rFonts w:ascii="Arial" w:hAnsi="Arial" w:cs="Arial"/>
                <w:sz w:val="22"/>
                <w:szCs w:val="22"/>
              </w:rPr>
              <w:t xml:space="preserve">, located </w:t>
            </w:r>
            <w:r w:rsidR="00E7317A">
              <w:rPr>
                <w:rFonts w:ascii="Arial" w:hAnsi="Arial" w:cs="Arial"/>
                <w:sz w:val="22"/>
                <w:szCs w:val="22"/>
              </w:rPr>
              <w:t xml:space="preserve">across </w:t>
            </w:r>
            <w:r w:rsidRPr="00C578FE">
              <w:rPr>
                <w:rFonts w:ascii="Arial" w:hAnsi="Arial" w:cs="Arial"/>
                <w:sz w:val="22"/>
                <w:szCs w:val="22"/>
              </w:rPr>
              <w:t>warm-temperate Japan</w:t>
            </w:r>
            <w:r w:rsidR="00E7317A">
              <w:rPr>
                <w:rFonts w:ascii="Arial" w:hAnsi="Arial" w:cs="Arial"/>
                <w:sz w:val="22"/>
                <w:szCs w:val="22"/>
              </w:rPr>
              <w:t xml:space="preserve"> (</w:t>
            </w:r>
            <w:r w:rsidR="004B3AC7">
              <w:rPr>
                <w:rFonts w:ascii="Arial" w:hAnsi="Arial" w:cs="Arial"/>
                <w:sz w:val="22"/>
                <w:szCs w:val="22"/>
              </w:rPr>
              <w:t>above figure</w:t>
            </w:r>
            <w:r w:rsidR="00E7317A">
              <w:rPr>
                <w:rFonts w:ascii="Arial" w:hAnsi="Arial" w:cs="Arial"/>
                <w:sz w:val="22"/>
                <w:szCs w:val="22"/>
              </w:rPr>
              <w:t>, middle</w:t>
            </w:r>
            <w:r w:rsidR="00B82FC5">
              <w:rPr>
                <w:rFonts w:ascii="Arial" w:hAnsi="Arial" w:cs="Arial"/>
                <w:sz w:val="22"/>
                <w:szCs w:val="22"/>
              </w:rPr>
              <w:t xml:space="preserve"> &amp; </w:t>
            </w:r>
            <w:r w:rsidR="00E7317A">
              <w:rPr>
                <w:rFonts w:ascii="Arial" w:hAnsi="Arial" w:cs="Arial"/>
                <w:sz w:val="22"/>
                <w:szCs w:val="22"/>
              </w:rPr>
              <w:t>right)</w:t>
            </w:r>
            <w:r>
              <w:rPr>
                <w:rFonts w:ascii="Arial" w:hAnsi="Arial" w:cs="Arial"/>
                <w:sz w:val="22"/>
                <w:szCs w:val="22"/>
              </w:rPr>
              <w:t>.</w:t>
            </w:r>
            <w:r w:rsidR="00DF75D8">
              <w:rPr>
                <w:rFonts w:ascii="Arial" w:hAnsi="Arial" w:cs="Arial"/>
                <w:sz w:val="22"/>
                <w:szCs w:val="22"/>
              </w:rPr>
              <w:t xml:space="preserve"> </w:t>
            </w:r>
            <w:r>
              <w:rPr>
                <w:rFonts w:ascii="Arial" w:hAnsi="Arial" w:cs="Arial"/>
                <w:sz w:val="22"/>
                <w:szCs w:val="22"/>
              </w:rPr>
              <w:t xml:space="preserve"> </w:t>
            </w:r>
            <w:bookmarkEnd w:id="33"/>
            <w:r>
              <w:rPr>
                <w:rFonts w:ascii="Arial" w:hAnsi="Arial" w:cs="Arial"/>
                <w:sz w:val="22"/>
                <w:szCs w:val="22"/>
              </w:rPr>
              <w:t xml:space="preserve">For these closed-canopy forests, the positive effect of thinning on sapling abundance </w:t>
            </w:r>
            <w:r w:rsidRPr="00082988">
              <w:rPr>
                <w:rFonts w:ascii="Arial" w:hAnsi="Arial" w:cs="Arial"/>
                <w:sz w:val="22"/>
                <w:szCs w:val="22"/>
              </w:rPr>
              <w:t xml:space="preserve">should </w:t>
            </w:r>
            <w:r>
              <w:rPr>
                <w:rFonts w:ascii="Arial" w:hAnsi="Arial" w:cs="Arial"/>
                <w:sz w:val="22"/>
                <w:szCs w:val="22"/>
              </w:rPr>
              <w:t>increase with thinning intensity, up to 60%. Further studies are required to establish whether positive effects remain or indeed become stronger after 60%, because planted trees might have indirect effects on broadleaved regeneration: c</w:t>
            </w:r>
            <w:r w:rsidRPr="00DE71E1">
              <w:rPr>
                <w:rFonts w:ascii="Arial" w:hAnsi="Arial" w:cs="Arial"/>
                <w:sz w:val="22"/>
                <w:szCs w:val="22"/>
              </w:rPr>
              <w:t>lear-cutting</w:t>
            </w:r>
            <w:r>
              <w:rPr>
                <w:rFonts w:ascii="Arial" w:hAnsi="Arial" w:cs="Arial"/>
                <w:sz w:val="22"/>
                <w:szCs w:val="22"/>
              </w:rPr>
              <w:t xml:space="preserve"> (100% reductions)</w:t>
            </w:r>
            <w:r w:rsidRPr="00DE71E1">
              <w:rPr>
                <w:rFonts w:ascii="Arial" w:hAnsi="Arial" w:cs="Arial"/>
                <w:sz w:val="22"/>
                <w:szCs w:val="22"/>
              </w:rPr>
              <w:t xml:space="preserve"> can </w:t>
            </w:r>
            <w:r>
              <w:rPr>
                <w:rFonts w:ascii="Arial" w:hAnsi="Arial" w:cs="Arial"/>
                <w:sz w:val="22"/>
                <w:szCs w:val="22"/>
              </w:rPr>
              <w:t xml:space="preserve">lead to </w:t>
            </w:r>
            <w:r w:rsidRPr="00DE71E1">
              <w:rPr>
                <w:rFonts w:ascii="Arial" w:hAnsi="Arial" w:cs="Arial"/>
                <w:sz w:val="22"/>
                <w:szCs w:val="22"/>
              </w:rPr>
              <w:t xml:space="preserve">dominance of herbs and/or shrubs, which inhibit the regeneration of </w:t>
            </w:r>
            <w:r>
              <w:rPr>
                <w:rFonts w:ascii="Arial" w:hAnsi="Arial" w:cs="Arial"/>
                <w:sz w:val="22"/>
                <w:szCs w:val="22"/>
              </w:rPr>
              <w:t>broadleaved</w:t>
            </w:r>
            <w:r w:rsidRPr="00DE71E1">
              <w:rPr>
                <w:rFonts w:ascii="Arial" w:hAnsi="Arial" w:cs="Arial"/>
                <w:sz w:val="22"/>
                <w:szCs w:val="22"/>
              </w:rPr>
              <w:t xml:space="preserve"> tree species</w:t>
            </w:r>
            <w:r>
              <w:rPr>
                <w:rFonts w:ascii="Arial" w:hAnsi="Arial" w:cs="Arial"/>
                <w:sz w:val="22"/>
                <w:szCs w:val="22"/>
              </w:rPr>
              <w:fldChar w:fldCharType="begin" w:fldLock="1"/>
            </w:r>
            <w:r w:rsidR="00F23EB1">
              <w:rPr>
                <w:rFonts w:ascii="Arial" w:hAnsi="Arial" w:cs="Arial"/>
                <w:sz w:val="22"/>
                <w:szCs w:val="22"/>
              </w:rPr>
              <w:instrText>ADDIN CSL_CITATION {"citationItems":[{"id":"ITEM-1","itemData":{"author":[{"dropping-particle":"","family":"S","given":"Ito","non-dropping-particle":"","parse-names":false,"suffix":""},{"dropping-particle":"","family":"S","given":"Ishigami","non-dropping-particle":"","parse-names":false,"suffix":""},{"dropping-particle":"","family":"N","given":"Mizoue","non-dropping-particle":"","parse-names":false,"suffix":""},{"dropping-particle":"","family":"GP","given":"Buckley","non-dropping-particle":"","parse-names":false,"suffix":""}],"container-title":"Forest Ecology and Management","id":"ITEM-1","issued":{"date-parts":[["2006"]]},"page":"234–241","title":"Maintaining plant species composition and diversity of understory vegetation under strip-clearcutting forestry in conifer plantations in Kyushu, southern Japan","type":"article-journal","volume":"231"},"uris":["http://www.mendeley.com/documents/?uuid=2df73b0d-8146-4c23-bb8f-8d158b56fd31"]}],"mendeley":{"formattedCitation":"&lt;sup&gt;90&lt;/sup&gt;","plainTextFormattedCitation":"90","previouslyFormattedCitation":"&lt;sup&gt;90&lt;/sup&gt;"},"properties":{"noteIndex":0},"schema":"https://github.com/citation-style-language/schema/raw/master/csl-citation.json"}</w:instrText>
            </w:r>
            <w:r>
              <w:rPr>
                <w:rFonts w:ascii="Arial" w:hAnsi="Arial" w:cs="Arial"/>
                <w:sz w:val="22"/>
                <w:szCs w:val="22"/>
              </w:rPr>
              <w:fldChar w:fldCharType="separate"/>
            </w:r>
            <w:r w:rsidR="00852C49" w:rsidRPr="00852C49">
              <w:rPr>
                <w:rFonts w:ascii="Arial" w:hAnsi="Arial" w:cs="Arial"/>
                <w:noProof/>
                <w:sz w:val="22"/>
                <w:szCs w:val="22"/>
                <w:vertAlign w:val="superscript"/>
              </w:rPr>
              <w:t>90</w:t>
            </w:r>
            <w:r>
              <w:rPr>
                <w:rFonts w:ascii="Arial" w:hAnsi="Arial" w:cs="Arial"/>
                <w:sz w:val="22"/>
                <w:szCs w:val="22"/>
              </w:rPr>
              <w:fldChar w:fldCharType="end"/>
            </w:r>
            <w:r>
              <w:rPr>
                <w:rFonts w:ascii="Arial" w:hAnsi="Arial" w:cs="Arial"/>
                <w:sz w:val="22"/>
                <w:szCs w:val="22"/>
              </w:rPr>
              <w:t xml:space="preserve">. In the studies collated, stands had been surveyed between two and seven years after </w:t>
            </w:r>
            <w:r w:rsidR="008465C3">
              <w:rPr>
                <w:rFonts w:ascii="Arial" w:hAnsi="Arial" w:cs="Arial"/>
                <w:sz w:val="22"/>
                <w:szCs w:val="22"/>
              </w:rPr>
              <w:t xml:space="preserve">line or selective </w:t>
            </w:r>
            <w:r>
              <w:rPr>
                <w:rFonts w:ascii="Arial" w:hAnsi="Arial" w:cs="Arial"/>
                <w:sz w:val="22"/>
                <w:szCs w:val="22"/>
              </w:rPr>
              <w:t>thinning. Positive effects may not be evident after longer periods, as recruitment to older age classes may not persist following rapid canopy closure, and</w:t>
            </w:r>
            <w:r>
              <w:t xml:space="preserve"> </w:t>
            </w:r>
            <w:r w:rsidRPr="00DE71E1">
              <w:rPr>
                <w:rFonts w:ascii="Arial" w:hAnsi="Arial" w:cs="Arial"/>
                <w:sz w:val="22"/>
                <w:szCs w:val="22"/>
              </w:rPr>
              <w:t xml:space="preserve">repeated thinning </w:t>
            </w:r>
            <w:r>
              <w:rPr>
                <w:rFonts w:ascii="Arial" w:hAnsi="Arial" w:cs="Arial"/>
                <w:sz w:val="22"/>
                <w:szCs w:val="22"/>
              </w:rPr>
              <w:t>may be</w:t>
            </w:r>
            <w:r w:rsidRPr="00DE71E1">
              <w:rPr>
                <w:rFonts w:ascii="Arial" w:hAnsi="Arial" w:cs="Arial"/>
                <w:sz w:val="22"/>
                <w:szCs w:val="22"/>
              </w:rPr>
              <w:t xml:space="preserve"> required to ensure the survival of regenerated seedlings.</w:t>
            </w:r>
            <w:r w:rsidR="00FF353C">
              <w:rPr>
                <w:rFonts w:ascii="Arial" w:hAnsi="Arial" w:cs="Arial"/>
                <w:sz w:val="22"/>
                <w:szCs w:val="22"/>
              </w:rPr>
              <w:t xml:space="preserve"> </w:t>
            </w:r>
          </w:p>
          <w:p w14:paraId="3F33A987" w14:textId="183CC106" w:rsidR="004615F7" w:rsidRDefault="004615F7" w:rsidP="00E7317A">
            <w:pPr>
              <w:spacing w:after="120"/>
              <w:rPr>
                <w:rFonts w:ascii="Arial" w:hAnsi="Arial" w:cs="Arial"/>
                <w:b/>
                <w:bCs/>
              </w:rPr>
            </w:pPr>
            <w:r>
              <w:rPr>
                <w:rFonts w:ascii="Arial" w:hAnsi="Arial" w:cs="Arial"/>
                <w:sz w:val="22"/>
                <w:szCs w:val="22"/>
              </w:rPr>
              <w:t>Positive effects of thinning on broadleaved tree regeneration should hold for plantations with intact broadleaved</w:t>
            </w:r>
            <w:r w:rsidRPr="00E8218B">
              <w:rPr>
                <w:rFonts w:ascii="Arial" w:hAnsi="Arial" w:cs="Arial"/>
                <w:sz w:val="22"/>
                <w:szCs w:val="22"/>
              </w:rPr>
              <w:t xml:space="preserve"> seed banks</w:t>
            </w:r>
            <w:r>
              <w:rPr>
                <w:rFonts w:ascii="Arial" w:hAnsi="Arial" w:cs="Arial"/>
                <w:sz w:val="22"/>
                <w:szCs w:val="22"/>
              </w:rPr>
              <w:t>, which</w:t>
            </w:r>
            <w:r w:rsidRPr="00E8218B">
              <w:rPr>
                <w:rFonts w:ascii="Arial" w:hAnsi="Arial" w:cs="Arial"/>
                <w:sz w:val="22"/>
                <w:szCs w:val="22"/>
              </w:rPr>
              <w:t xml:space="preserve"> are major sources of seedlings recruited after disturbance in conifer plantation</w:t>
            </w:r>
            <w:r>
              <w:rPr>
                <w:rFonts w:ascii="Arial" w:hAnsi="Arial" w:cs="Arial"/>
                <w:sz w:val="22"/>
                <w:szCs w:val="22"/>
              </w:rPr>
              <w:t>s</w:t>
            </w:r>
            <w:r>
              <w:rPr>
                <w:rFonts w:ascii="Arial" w:hAnsi="Arial" w:cs="Arial"/>
                <w:sz w:val="22"/>
                <w:szCs w:val="22"/>
              </w:rPr>
              <w:fldChar w:fldCharType="begin" w:fldLock="1"/>
            </w:r>
            <w:r w:rsidR="00F23EB1">
              <w:rPr>
                <w:rFonts w:ascii="Arial" w:hAnsi="Arial" w:cs="Arial"/>
                <w:sz w:val="22"/>
                <w:szCs w:val="22"/>
              </w:rPr>
              <w:instrText>ADDIN CSL_CITATION {"citationItems":[{"id":"ITEM-1","itemData":{"DOI":"10.1016/j.foreco.2006.09.011","ISBN":"0378-1127","ISSN":"03781127","PMID":"20073028517","abstract":"Conservation of plant species diversity in managed and natural forests is a concern worldwide. To clarify the effects of thinning and distance from neighboring hardwood forests on hardwood establishment in conifer plantations, we measured the abundance and diversity of hardwoods at different life stages (seed-fall, soil seed bank, seedling, sapling) and environmental conditions (light, soil temperature, litter accumulation, and composition) from -2 to 40 m from the hardwood-coniferous forest boundary into the coniferous forest interior in five unthinned and four thinned stands in Cryptomeria japonica plantations in Japan. In unthinned stands, hardwood abundance and diversity decreased with increasing distance into the coniferous forest interior for all life stages, perhaps because of a distance-dependent decrease in seed-fall and the subsequent soil seed bank for wind- and bird-dispersed seeds. Higher light and soil temperatures and shallower litter accumulation were observed at the hardwood-coniferous forest boundary compared to the coniferous forest interior, suggesting favorable environmental conditions for germination, emergence, and seedling growth for hardwood species, and resulting in higher species diversity near the boundary. In thinned stands, hardwood abundance and diversity also decreased with increasing distance into the coniferous forest interior for seed-fall and the soil seed bank, but did not decrease for seedlings and saplings, probably because of distance-independent improvement of environmental conditions due to thinning. Higher light availability and soil temperature and lower litter accumulation in thinned stands enhance seedling establishment for not only shade-tolerant but also shade-intolerant and light-demanding species. Our results suggest that distance-dependent diversity of juvenile hardwoods in dense coniferous plantations is closely related to distance-dependent gradients in both seed-fall and environmental conditions, but thinning enhances diversity, even in the forest interior. ?? 2006 Elsevier B.V. All rights reserved.","author":[{"dropping-particle":"","family":"Utsugi","given":"Etsuko","non-dropping-particle":"","parse-names":false,"suffix":""},{"dropping-particle":"","family":"Kanno","given":"Hiroshi","non-dropping-particle":"","parse-names":false,"suffix":""},{"dropping-particle":"","family":"Ueno","given":"Naoto","non-dropping-particle":"","parse-names":false,"suffix":""},{"dropping-particle":"","family":"Tomita","given":"Mizuki","non-dropping-particle":"","parse-names":false,"suffix":""},{"dropping-particle":"","family":"Saitoh","given":"Tomoyuki","non-dropping-particle":"","parse-names":false,"suffix":""},{"dropping-particle":"","family":"Kimura","given":"Megumi","non-dropping-particle":"","parse-names":false,"suffix":""},{"dropping-particle":"","family":"Kanou","given":"Kenich","non-dropping-particle":"","parse-names":false,"suffix":""},{"dropping-particle":"","family":"Seiwa","given":"Kenji","non-dropping-particle":"","parse-names":false,"suffix":""}],"container-title":"Forest Ecology and Management","id":"ITEM-1","issue":"1-3","issued":{"date-parts":[["2006"]]},"page":"15-28","title":"Hardwood recruitment into conifer plantations in Japan: Effects of thinning and distance from neighboring hardwood forests","type":"article-journal","volume":"237"},"uris":["http://www.mendeley.com/documents/?uuid=e3cbdbd1-25db-4f84-9bde-aa9047f96899"]}],"mendeley":{"formattedCitation":"&lt;sup&gt;91&lt;/sup&gt;","plainTextFormattedCitation":"91","previouslyFormattedCitation":"&lt;sup&gt;91&lt;/sup&gt;"},"properties":{"noteIndex":0},"schema":"https://github.com/citation-style-language/schema/raw/master/csl-citation.json"}</w:instrText>
            </w:r>
            <w:r>
              <w:rPr>
                <w:rFonts w:ascii="Arial" w:hAnsi="Arial" w:cs="Arial"/>
                <w:sz w:val="22"/>
                <w:szCs w:val="22"/>
              </w:rPr>
              <w:fldChar w:fldCharType="separate"/>
            </w:r>
            <w:r w:rsidR="00852C49" w:rsidRPr="00852C49">
              <w:rPr>
                <w:rFonts w:ascii="Arial" w:hAnsi="Arial" w:cs="Arial"/>
                <w:noProof/>
                <w:sz w:val="22"/>
                <w:szCs w:val="22"/>
                <w:vertAlign w:val="superscript"/>
              </w:rPr>
              <w:t>91</w:t>
            </w:r>
            <w:r>
              <w:rPr>
                <w:rFonts w:ascii="Arial" w:hAnsi="Arial" w:cs="Arial"/>
                <w:sz w:val="22"/>
                <w:szCs w:val="22"/>
              </w:rPr>
              <w:fldChar w:fldCharType="end"/>
            </w:r>
            <w:r>
              <w:rPr>
                <w:rFonts w:ascii="Arial" w:hAnsi="Arial" w:cs="Arial"/>
                <w:sz w:val="22"/>
                <w:szCs w:val="22"/>
              </w:rPr>
              <w:t xml:space="preserve">, and for sites located in highly-forested landscapes. We caution against transferring the positive effect of thinning to landscapes with little </w:t>
            </w:r>
            <w:r w:rsidR="006C248B">
              <w:rPr>
                <w:rFonts w:ascii="Arial" w:hAnsi="Arial" w:cs="Arial"/>
                <w:sz w:val="22"/>
                <w:szCs w:val="22"/>
              </w:rPr>
              <w:t xml:space="preserve">forest </w:t>
            </w:r>
            <w:r>
              <w:rPr>
                <w:rFonts w:ascii="Arial" w:hAnsi="Arial" w:cs="Arial"/>
                <w:sz w:val="22"/>
                <w:szCs w:val="22"/>
              </w:rPr>
              <w:t>cover, because recruitment has been shown to decline with distance to forest</w:t>
            </w:r>
            <w:r>
              <w:rPr>
                <w:rFonts w:ascii="Arial" w:hAnsi="Arial" w:cs="Arial"/>
                <w:sz w:val="22"/>
                <w:szCs w:val="22"/>
              </w:rPr>
              <w:fldChar w:fldCharType="begin" w:fldLock="1"/>
            </w:r>
            <w:r w:rsidR="00F23EB1">
              <w:rPr>
                <w:rFonts w:ascii="Arial" w:hAnsi="Arial" w:cs="Arial"/>
                <w:sz w:val="22"/>
                <w:szCs w:val="22"/>
              </w:rPr>
              <w:instrText>ADDIN CSL_CITATION {"citationItems":[{"id":"ITEM-1","itemData":{"DOI":"10.1016/j.foreco.2006.09.011","ISBN":"0378-1127","ISSN":"03781127","PMID":"20073028517","abstract":"Conservation of plant species diversity in managed and natural forests is a concern worldwide. To clarify the effects of thinning and distance from neighboring hardwood forests on hardwood establishment in conifer plantations, we measured the abundance and diversity of hardwoods at different life stages (seed-fall, soil seed bank, seedling, sapling) and environmental conditions (light, soil temperature, litter accumulation, and composition) from -2 to 40 m from the hardwood-coniferous forest boundary into the coniferous forest interior in five unthinned and four thinned stands in Cryptomeria japonica plantations in Japan. In unthinned stands, hardwood abundance and diversity decreased with increasing distance into the coniferous forest interior for all life stages, perhaps because of a distance-dependent decrease in seed-fall and the subsequent soil seed bank for wind- and bird-dispersed seeds. Higher light and soil temperatures and shallower litter accumulation were observed at the hardwood-coniferous forest boundary compared to the coniferous forest interior, suggesting favorable environmental conditions for germination, emergence, and seedling growth for hardwood species, and resulting in higher species diversity near the boundary. In thinned stands, hardwood abundance and diversity also decreased with increasing distance into the coniferous forest interior for seed-fall and the soil seed bank, but did not decrease for seedlings and saplings, probably because of distance-independent improvement of environmental conditions due to thinning. Higher light availability and soil temperature and lower litter accumulation in thinned stands enhance seedling establishment for not only shade-tolerant but also shade-intolerant and light-demanding species. Our results suggest that distance-dependent diversity of juvenile hardwoods in dense coniferous plantations is closely related to distance-dependent gradients in both seed-fall and environmental conditions, but thinning enhances diversity, even in the forest interior. ?? 2006 Elsevier B.V. All rights reserved.","author":[{"dropping-particle":"","family":"Utsugi","given":"Etsuko","non-dropping-particle":"","parse-names":false,"suffix":""},{"dropping-particle":"","family":"Kanno","given":"Hiroshi","non-dropping-particle":"","parse-names":false,"suffix":""},{"dropping-particle":"","family":"Ueno","given":"Naoto","non-dropping-particle":"","parse-names":false,"suffix":""},{"dropping-particle":"","family":"Tomita","given":"Mizuki","non-dropping-particle":"","parse-names":false,"suffix":""},{"dropping-particle":"","family":"Saitoh","given":"Tomoyuki","non-dropping-particle":"","parse-names":false,"suffix":""},{"dropping-particle":"","family":"Kimura","given":"Megumi","non-dropping-particle":"","parse-names":false,"suffix":""},{"dropping-particle":"","family":"Kanou","given":"Kenich","non-dropping-particle":"","parse-names":false,"suffix":""},{"dropping-particle":"","family":"Seiwa","given":"Kenji","non-dropping-particle":"","parse-names":false,"suffix":""}],"container-title":"Forest Ecology and Management","id":"ITEM-1","issue":"1-3","issued":{"date-parts":[["2006"]]},"page":"15-28","title":"Hardwood recruitment into conifer plantations in Japan: Effects of thinning and distance from neighboring hardwood forests","type":"article-journal","volume":"237"},"uris":["http://www.mendeley.com/documents/?uuid=e3cbdbd1-25db-4f84-9bde-aa9047f96899"]}],"mendeley":{"formattedCitation":"&lt;sup&gt;91&lt;/sup&gt;","plainTextFormattedCitation":"91","previouslyFormattedCitation":"&lt;sup&gt;91&lt;/sup&gt;"},"properties":{"noteIndex":0},"schema":"https://github.com/citation-style-language/schema/raw/master/csl-citation.json"}</w:instrText>
            </w:r>
            <w:r>
              <w:rPr>
                <w:rFonts w:ascii="Arial" w:hAnsi="Arial" w:cs="Arial"/>
                <w:sz w:val="22"/>
                <w:szCs w:val="22"/>
              </w:rPr>
              <w:fldChar w:fldCharType="separate"/>
            </w:r>
            <w:r w:rsidR="00852C49" w:rsidRPr="00852C49">
              <w:rPr>
                <w:rFonts w:ascii="Arial" w:hAnsi="Arial" w:cs="Arial"/>
                <w:noProof/>
                <w:sz w:val="22"/>
                <w:szCs w:val="22"/>
                <w:vertAlign w:val="superscript"/>
              </w:rPr>
              <w:t>91</w:t>
            </w:r>
            <w:r>
              <w:rPr>
                <w:rFonts w:ascii="Arial" w:hAnsi="Arial" w:cs="Arial"/>
                <w:sz w:val="22"/>
                <w:szCs w:val="22"/>
              </w:rPr>
              <w:fldChar w:fldCharType="end"/>
            </w:r>
            <w:r>
              <w:rPr>
                <w:rFonts w:ascii="Arial" w:hAnsi="Arial" w:cs="Arial"/>
                <w:sz w:val="22"/>
                <w:szCs w:val="22"/>
              </w:rPr>
              <w:t>, with</w:t>
            </w:r>
            <w:r w:rsidRPr="00C578FE">
              <w:rPr>
                <w:rFonts w:ascii="Arial" w:hAnsi="Arial" w:cs="Arial"/>
                <w:sz w:val="22"/>
                <w:szCs w:val="22"/>
              </w:rPr>
              <w:t xml:space="preserve"> seeds of more than 60% of tree species in warm-temperate forests of Japan dispersed by </w:t>
            </w:r>
            <w:r>
              <w:rPr>
                <w:rFonts w:ascii="Arial" w:hAnsi="Arial" w:cs="Arial"/>
                <w:sz w:val="22"/>
                <w:szCs w:val="22"/>
              </w:rPr>
              <w:t xml:space="preserve">forest-dwelling </w:t>
            </w:r>
            <w:r w:rsidRPr="00C578FE">
              <w:rPr>
                <w:rFonts w:ascii="Arial" w:hAnsi="Arial" w:cs="Arial"/>
                <w:sz w:val="22"/>
                <w:szCs w:val="22"/>
              </w:rPr>
              <w:t>birds</w:t>
            </w:r>
            <w:r>
              <w:rPr>
                <w:rFonts w:ascii="Arial" w:hAnsi="Arial" w:cs="Arial"/>
                <w:sz w:val="22"/>
                <w:szCs w:val="22"/>
              </w:rPr>
              <w:fldChar w:fldCharType="begin" w:fldLock="1"/>
            </w:r>
            <w:r w:rsidR="00F23EB1">
              <w:rPr>
                <w:rFonts w:ascii="Arial" w:hAnsi="Arial" w:cs="Arial"/>
                <w:sz w:val="22"/>
                <w:szCs w:val="22"/>
              </w:rPr>
              <w:instrText>ADDIN CSL_CITATION {"citationItems":[{"id":"ITEM-1","itemData":{"author":[{"dropping-particle":"","family":"Kominami","given":"Y","non-dropping-particle":"","parse-names":false,"suffix":""},{"dropping-particle":"","family":"T","given":"Sato","non-dropping-particle":"","parse-names":false,"suffix":""},{"dropping-particle":"","family":"K","given":"Takeshita","non-dropping-particle":"","parse-names":false,"suffix":""},{"dropping-particle":"","family":"T","given":"Manabe","non-dropping-particle":"","parse-names":false,"suffix":""},{"dropping-particle":"","family":"A","given":"Endo","non-dropping-particle":"","parse-names":false,"suffix":""},{"dropping-particle":"","family":"N","given":"Noma","non-dropping-particle":"","parse-names":false,"suffix":""}],"container-title":"Ornthological Science","id":"ITEM-1","issued":{"date-parts":[["2003"]]},"page":"3–23","title":"Classification of bird-dispersed plants by fruiting phenology, fruit size, and growth form in a primary lucidophyllous forest: an analysis, with implications for the conservation of fruit–bird interactions","type":"article-journal","volume":"2"},"uris":["http://www.mendeley.com/documents/?uuid=85976b13-48c1-420d-a061-a3f46657ff10"]}],"mendeley":{"formattedCitation":"&lt;sup&gt;92&lt;/sup&gt;","plainTextFormattedCitation":"92","previouslyFormattedCitation":"&lt;sup&gt;92&lt;/sup&gt;"},"properties":{"noteIndex":0},"schema":"https://github.com/citation-style-language/schema/raw/master/csl-citation.json"}</w:instrText>
            </w:r>
            <w:r>
              <w:rPr>
                <w:rFonts w:ascii="Arial" w:hAnsi="Arial" w:cs="Arial"/>
                <w:sz w:val="22"/>
                <w:szCs w:val="22"/>
              </w:rPr>
              <w:fldChar w:fldCharType="separate"/>
            </w:r>
            <w:r w:rsidR="00852C49" w:rsidRPr="00852C49">
              <w:rPr>
                <w:rFonts w:ascii="Arial" w:hAnsi="Arial" w:cs="Arial"/>
                <w:noProof/>
                <w:sz w:val="22"/>
                <w:szCs w:val="22"/>
                <w:vertAlign w:val="superscript"/>
              </w:rPr>
              <w:t>92</w:t>
            </w:r>
            <w:r>
              <w:rPr>
                <w:rFonts w:ascii="Arial" w:hAnsi="Arial" w:cs="Arial"/>
                <w:sz w:val="22"/>
                <w:szCs w:val="22"/>
              </w:rPr>
              <w:fldChar w:fldCharType="end"/>
            </w:r>
            <w:r>
              <w:rPr>
                <w:rFonts w:ascii="Arial" w:hAnsi="Arial" w:cs="Arial"/>
                <w:sz w:val="22"/>
                <w:szCs w:val="22"/>
              </w:rPr>
              <w:t xml:space="preserve">. </w:t>
            </w:r>
            <w:bookmarkStart w:id="34" w:name="_Hlk106089101"/>
            <w:bookmarkStart w:id="35" w:name="_Hlk106089414"/>
            <w:r w:rsidR="00DF75D8">
              <w:rPr>
                <w:rFonts w:ascii="Arial" w:hAnsi="Arial" w:cs="Arial"/>
                <w:sz w:val="22"/>
                <w:szCs w:val="22"/>
              </w:rPr>
              <w:t xml:space="preserve">We </w:t>
            </w:r>
            <w:r w:rsidR="00B82FC5">
              <w:rPr>
                <w:rFonts w:ascii="Arial" w:hAnsi="Arial" w:cs="Arial"/>
                <w:sz w:val="22"/>
                <w:szCs w:val="22"/>
              </w:rPr>
              <w:t>speculate that</w:t>
            </w:r>
            <w:r w:rsidR="00DF75D8">
              <w:rPr>
                <w:rFonts w:ascii="Arial" w:hAnsi="Arial" w:cs="Arial"/>
                <w:sz w:val="22"/>
                <w:szCs w:val="22"/>
              </w:rPr>
              <w:t xml:space="preserve"> these positive effects </w:t>
            </w:r>
            <w:r w:rsidR="00B82FC5">
              <w:rPr>
                <w:rFonts w:ascii="Arial" w:hAnsi="Arial" w:cs="Arial"/>
                <w:sz w:val="22"/>
                <w:szCs w:val="22"/>
              </w:rPr>
              <w:t>will</w:t>
            </w:r>
            <w:r w:rsidR="00DF75D8">
              <w:rPr>
                <w:rFonts w:ascii="Arial" w:hAnsi="Arial" w:cs="Arial"/>
                <w:sz w:val="22"/>
                <w:szCs w:val="22"/>
              </w:rPr>
              <w:t xml:space="preserve"> extend to</w:t>
            </w:r>
            <w:r w:rsidR="00DF75D8" w:rsidRPr="008465C3">
              <w:rPr>
                <w:rFonts w:ascii="Arial" w:hAnsi="Arial" w:cs="Arial"/>
                <w:sz w:val="22"/>
                <w:szCs w:val="22"/>
              </w:rPr>
              <w:t xml:space="preserve"> closed-canopy </w:t>
            </w:r>
            <w:r w:rsidR="00DF75D8">
              <w:rPr>
                <w:rFonts w:ascii="Arial" w:hAnsi="Arial" w:cs="Arial"/>
                <w:sz w:val="22"/>
                <w:szCs w:val="22"/>
              </w:rPr>
              <w:t xml:space="preserve">plantations in other temperate regions where light availability is </w:t>
            </w:r>
            <w:r w:rsidR="00DF75D8" w:rsidRPr="0037367C">
              <w:rPr>
                <w:rFonts w:ascii="Arial" w:hAnsi="Arial" w:cs="Arial"/>
                <w:sz w:val="22"/>
                <w:szCs w:val="22"/>
              </w:rPr>
              <w:t xml:space="preserve">the most limiting resource for </w:t>
            </w:r>
            <w:r w:rsidR="00DF75D8">
              <w:rPr>
                <w:rFonts w:ascii="Arial" w:hAnsi="Arial" w:cs="Arial"/>
                <w:sz w:val="22"/>
                <w:szCs w:val="22"/>
              </w:rPr>
              <w:t xml:space="preserve">understory </w:t>
            </w:r>
            <w:r w:rsidR="00DF75D8" w:rsidRPr="0037367C">
              <w:rPr>
                <w:rFonts w:ascii="Arial" w:hAnsi="Arial" w:cs="Arial"/>
                <w:sz w:val="22"/>
                <w:szCs w:val="22"/>
              </w:rPr>
              <w:t>plants</w:t>
            </w:r>
            <w:r w:rsidR="00DF75D8">
              <w:rPr>
                <w:rFonts w:ascii="Arial" w:hAnsi="Arial" w:cs="Arial"/>
                <w:sz w:val="22"/>
                <w:szCs w:val="22"/>
              </w:rPr>
              <w:t>, but caution that th</w:t>
            </w:r>
            <w:r>
              <w:rPr>
                <w:rFonts w:ascii="Arial" w:hAnsi="Arial" w:cs="Arial"/>
                <w:sz w:val="22"/>
                <w:szCs w:val="22"/>
              </w:rPr>
              <w:t xml:space="preserve">e </w:t>
            </w:r>
            <w:bookmarkEnd w:id="34"/>
            <w:r>
              <w:rPr>
                <w:rFonts w:ascii="Arial" w:hAnsi="Arial" w:cs="Arial"/>
                <w:sz w:val="22"/>
                <w:szCs w:val="22"/>
              </w:rPr>
              <w:t>positive effect of thinning will likely not extend to older plantations with more complex age structures and open canopies, i.e. to stands with forest floors that are not light-limited, or to stands</w:t>
            </w:r>
            <w:r w:rsidR="008272A3">
              <w:rPr>
                <w:rFonts w:ascii="Arial" w:hAnsi="Arial" w:cs="Arial"/>
                <w:sz w:val="22"/>
                <w:szCs w:val="22"/>
              </w:rPr>
              <w:t xml:space="preserve"> i</w:t>
            </w:r>
            <w:bookmarkStart w:id="36" w:name="_Hlk106175791"/>
            <w:r w:rsidR="008272A3">
              <w:rPr>
                <w:rFonts w:ascii="Arial" w:hAnsi="Arial" w:cs="Arial"/>
                <w:sz w:val="22"/>
                <w:szCs w:val="22"/>
              </w:rPr>
              <w:t>n regions</w:t>
            </w:r>
            <w:r>
              <w:rPr>
                <w:rFonts w:ascii="Arial" w:hAnsi="Arial" w:cs="Arial"/>
                <w:sz w:val="22"/>
                <w:szCs w:val="22"/>
              </w:rPr>
              <w:t xml:space="preserve"> with high densities of deer (</w:t>
            </w:r>
            <w:r w:rsidRPr="00B020D5">
              <w:rPr>
                <w:rFonts w:ascii="Arial" w:hAnsi="Arial" w:cs="Arial"/>
                <w:i/>
                <w:iCs/>
                <w:sz w:val="22"/>
                <w:szCs w:val="22"/>
              </w:rPr>
              <w:t>Cervus japonicus</w:t>
            </w:r>
            <w:r>
              <w:rPr>
                <w:rFonts w:ascii="Arial" w:hAnsi="Arial" w:cs="Arial"/>
                <w:sz w:val="22"/>
                <w:szCs w:val="22"/>
              </w:rPr>
              <w:t xml:space="preserve">) that limit </w:t>
            </w:r>
            <w:r>
              <w:rPr>
                <w:rFonts w:ascii="Arial" w:hAnsi="Arial" w:cs="Arial"/>
                <w:sz w:val="22"/>
                <w:szCs w:val="22"/>
              </w:rPr>
              <w:lastRenderedPageBreak/>
              <w:t>regeneration</w:t>
            </w:r>
            <w:r>
              <w:rPr>
                <w:rFonts w:ascii="Arial" w:hAnsi="Arial" w:cs="Arial"/>
                <w:sz w:val="22"/>
                <w:szCs w:val="22"/>
              </w:rPr>
              <w:fldChar w:fldCharType="begin" w:fldLock="1"/>
            </w:r>
            <w:r w:rsidR="0019390D">
              <w:rPr>
                <w:rFonts w:ascii="Arial" w:hAnsi="Arial" w:cs="Arial"/>
                <w:sz w:val="22"/>
                <w:szCs w:val="22"/>
              </w:rPr>
              <w:instrText>ADDIN CSL_CITATION {"citationItems":[{"id":"ITEM-1","itemData":{"DOI":"10.1080/13416979.2021.2019176","ISSN":"16107403","abstract":"To examine the tree regeneration and forest structure under sika deer pressure, we established a 1.08 ha plot, including a 0.0176 ha fenced area, and measured DBH (diameter at breast height) and/or height of trees in 2005–2006 and 2015–2016 in a mixed forest in the Ohmine Mountains, Central Japan. Small trees (&lt;10 cm in DBH) were few or none for most species, but for Pieris japonica. Densities of sapling trees (50 cm ≤ height &lt; 130 cm) were not significantly different between fenced and non-fenced areas in 2005, and were significantly different in 2015. Owing to the treefalls of large trees by wind disturbances, the total basal area decreased by 1.6% from 53.3 m2/ha in 2005 to 52.5 m2/ha in 2015. In the non-fenced area, the annual mortality of the other trees (11.7%/year) than P. japonica was significantly greater than that of P. japonica (5.7%/year). The annual recruitment densities of saplings showed a great difference between fenced (1,670.5 stems/ha/year) and non-fenced areas (56.5 stems/ha/year). Although the light condition was improved by wind disturbance, sapling tree survival and growth, except for non-preferred P. japonica, had been inhibited through effects of sika deer pressure, resulting in the decrease in the saplings of preferred tree species and an increase in the saplings of non-preferred P. japonica at this study site.","author":[{"dropping-particle":"","family":"Tsujino","given":"Riyou","non-dropping-particle":"","parse-names":false,"suffix":""},{"dropping-particle":"","family":"Matsui","given":"Kiyoshi","non-dropping-particle":"","parse-names":false,"suffix":""}],"container-title":"Journal of Forest Research","id":"ITEM-1","issue":"00","issued":{"date-parts":[["2021"]]},"page":"1-6","publisher":"Taylor &amp; Francis","title":"Forest regeneration inhibition in a mixed broadleaf-conifer forest under sika deer pressure","type":"article-journal","volume":"00"},"uris":["http://www.mendeley.com/documents/?uuid=bbe7db93-5b28-4101-9bf6-b78b226419c8"]}],"mendeley":{"formattedCitation":"&lt;sup&gt;93&lt;/sup&gt;","plainTextFormattedCitation":"93","previouslyFormattedCitation":"&lt;sup&gt;93&lt;/sup&gt;"},"properties":{"noteIndex":0},"schema":"https://github.com/citation-style-language/schema/raw/master/csl-citation.json"}</w:instrText>
            </w:r>
            <w:r>
              <w:rPr>
                <w:rFonts w:ascii="Arial" w:hAnsi="Arial" w:cs="Arial"/>
                <w:sz w:val="22"/>
                <w:szCs w:val="22"/>
              </w:rPr>
              <w:fldChar w:fldCharType="separate"/>
            </w:r>
            <w:r w:rsidR="004D1D65" w:rsidRPr="004D1D65">
              <w:rPr>
                <w:rFonts w:ascii="Arial" w:hAnsi="Arial" w:cs="Arial"/>
                <w:noProof/>
                <w:sz w:val="22"/>
                <w:szCs w:val="22"/>
                <w:vertAlign w:val="superscript"/>
              </w:rPr>
              <w:t>93</w:t>
            </w:r>
            <w:r>
              <w:rPr>
                <w:rFonts w:ascii="Arial" w:hAnsi="Arial" w:cs="Arial"/>
                <w:sz w:val="22"/>
                <w:szCs w:val="22"/>
              </w:rPr>
              <w:fldChar w:fldCharType="end"/>
            </w:r>
            <w:r w:rsidR="00F23EB1">
              <w:rPr>
                <w:rFonts w:ascii="Arial" w:hAnsi="Arial" w:cs="Arial"/>
                <w:sz w:val="22"/>
                <w:szCs w:val="22"/>
              </w:rPr>
              <w:t xml:space="preserve">, or </w:t>
            </w:r>
            <w:r w:rsidR="00854070">
              <w:rPr>
                <w:rFonts w:ascii="Arial" w:hAnsi="Arial" w:cs="Arial"/>
                <w:sz w:val="22"/>
                <w:szCs w:val="22"/>
              </w:rPr>
              <w:t>where</w:t>
            </w:r>
            <w:r w:rsidR="00F23EB1">
              <w:rPr>
                <w:rFonts w:ascii="Arial" w:hAnsi="Arial" w:cs="Arial"/>
                <w:sz w:val="22"/>
                <w:szCs w:val="22"/>
              </w:rPr>
              <w:t xml:space="preserve"> thinning </w:t>
            </w:r>
            <w:r w:rsidR="00854070">
              <w:rPr>
                <w:rFonts w:ascii="Arial" w:hAnsi="Arial" w:cs="Arial"/>
                <w:sz w:val="22"/>
                <w:szCs w:val="22"/>
              </w:rPr>
              <w:t>is known to</w:t>
            </w:r>
            <w:r w:rsidR="00F23EB1">
              <w:rPr>
                <w:rFonts w:ascii="Arial" w:hAnsi="Arial" w:cs="Arial"/>
                <w:sz w:val="22"/>
                <w:szCs w:val="22"/>
              </w:rPr>
              <w:t xml:space="preserve"> enhance </w:t>
            </w:r>
            <w:r w:rsidR="00DF75D8">
              <w:rPr>
                <w:rFonts w:ascii="Arial" w:hAnsi="Arial" w:cs="Arial"/>
                <w:sz w:val="22"/>
                <w:szCs w:val="22"/>
              </w:rPr>
              <w:t xml:space="preserve">single-species dominance or </w:t>
            </w:r>
            <w:r w:rsidR="00854070">
              <w:rPr>
                <w:rFonts w:ascii="Arial" w:hAnsi="Arial" w:cs="Arial"/>
                <w:sz w:val="22"/>
                <w:szCs w:val="22"/>
              </w:rPr>
              <w:t>invasive species</w:t>
            </w:r>
            <w:r w:rsidR="00DF75D8">
              <w:rPr>
                <w:rFonts w:ascii="Arial" w:hAnsi="Arial" w:cs="Arial"/>
                <w:sz w:val="22"/>
                <w:szCs w:val="22"/>
              </w:rPr>
              <w:t xml:space="preserve"> establishment</w:t>
            </w:r>
            <w:r w:rsidR="00854070">
              <w:rPr>
                <w:rFonts w:ascii="Arial" w:hAnsi="Arial" w:cs="Arial"/>
                <w:sz w:val="22"/>
                <w:szCs w:val="22"/>
              </w:rPr>
              <w:t xml:space="preserve"> (e.g., giant</w:t>
            </w:r>
            <w:r w:rsidR="00F23EB1">
              <w:rPr>
                <w:rFonts w:ascii="Arial" w:hAnsi="Arial" w:cs="Arial"/>
                <w:sz w:val="22"/>
                <w:szCs w:val="22"/>
              </w:rPr>
              <w:t xml:space="preserve"> bamboo</w:t>
            </w:r>
            <w:r w:rsidR="00854070">
              <w:rPr>
                <w:rFonts w:ascii="Arial" w:hAnsi="Arial" w:cs="Arial"/>
                <w:sz w:val="22"/>
                <w:szCs w:val="22"/>
              </w:rPr>
              <w:t xml:space="preserve"> [</w:t>
            </w:r>
            <w:r w:rsidR="00854070" w:rsidRPr="00C9245D">
              <w:rPr>
                <w:rFonts w:ascii="Arial" w:hAnsi="Arial" w:cs="Arial"/>
                <w:i/>
                <w:iCs/>
                <w:sz w:val="22"/>
                <w:szCs w:val="22"/>
              </w:rPr>
              <w:t>Phyllostachys</w:t>
            </w:r>
            <w:r w:rsidR="00854070">
              <w:rPr>
                <w:rFonts w:ascii="Arial" w:hAnsi="Arial" w:cs="Arial"/>
                <w:sz w:val="22"/>
                <w:szCs w:val="22"/>
              </w:rPr>
              <w:t xml:space="preserve"> sp.] in warm-temperate Japan)</w:t>
            </w:r>
            <w:r w:rsidR="00F23EB1">
              <w:rPr>
                <w:rFonts w:ascii="Arial" w:hAnsi="Arial" w:cs="Arial"/>
                <w:sz w:val="22"/>
                <w:szCs w:val="22"/>
              </w:rPr>
              <w:fldChar w:fldCharType="begin" w:fldLock="1"/>
            </w:r>
            <w:r w:rsidR="0019390D">
              <w:rPr>
                <w:rFonts w:ascii="Arial" w:hAnsi="Arial" w:cs="Arial"/>
                <w:sz w:val="22"/>
                <w:szCs w:val="22"/>
              </w:rPr>
              <w:instrText>ADDIN CSL_CITATION {"citationItems":[{"id":"ITEM-1","itemData":{"DOI":"10.1111/1365-2664.13945","ISSN":"13652664","abstract":"The stress-gradient hypothesis (SGH) provides a conceptual framework for explaining how environmental context determines the nature of biotic interactions. It may be also useful for predicting geographic variability in the effect of management interventions on biological invasions. We aimed to test hypotheses consistent with the SGH to explain context dependency in bamboo invasion of secondary forests in Japan, and establish a predictive understanding of forest management impacts on invasion. We use a priori physiological knowledge of invasive giant bamboo, Phyllostachys bambusoides, to generate hypotheses consistent with the SGH. We modelled variation in giant bamboo occupancy within 810 secondary forest plots across the broad environmental gradients of Japan using a national vegetation database. Consistent with the SGH, we find that the effect of tree canopy cover on bamboo occupancy depends on interactions between solar radiation and mean annual temperature. In cool regions with high solar radiation—stressful conditions for bamboo—shade cast by dense canopies facilitates invasion. However, in warmer regions that are more benign, dense canopies tend to inhibit spread via competition for light, space and other resources. Synthesis and applications. We provide evidence that the stress-gradient hypothesis can inform practical recommendations for invasive species control. We characterised geographic variability in the effect of forest thinning, a widespread management intervention used to enhance forest biodiversity, on the risk of bamboo spread into secondary forests in Japan. Thinning forest canopies to increase understorey light radiation should limit bamboo spread in cooler regions, while tree planting to increase canopy shade should limit bamboo spread in warmer regions.","author":[{"dropping-particle":"","family":"Spake","given":"Rebecca","non-dropping-particle":"","parse-names":false,"suffix":""},{"dropping-particle":"","family":"Soga","given":"Masashi","non-dropping-particle":"","parse-names":false,"suffix":""},{"dropping-particle":"","family":"Catford","given":"Jane A.","non-dropping-particle":"","parse-names":false,"suffix":""},{"dropping-particle":"","family":"Eigenbrod","given":"Felix","non-dropping-particle":"","parse-names":false,"suffix":""}],"container-title":"Journal of Applied Ecology","id":"ITEM-1","issue":"9","issued":{"date-parts":[["2021"]]},"page":"1993-2003","title":"Applying the stress-gradient hypothesis to curb the spread of invasive bamboo","type":"article-journal","volume":"58"},"uris":["http://www.mendeley.com/documents/?uuid=efd21515-eae1-4d68-9706-1a27859d7c85"]}],"mendeley":{"formattedCitation":"&lt;sup&gt;94&lt;/sup&gt;","plainTextFormattedCitation":"94","previouslyFormattedCitation":"&lt;sup&gt;94&lt;/sup&gt;"},"properties":{"noteIndex":0},"schema":"https://github.com/citation-style-language/schema/raw/master/csl-citation.json"}</w:instrText>
            </w:r>
            <w:r w:rsidR="00F23EB1">
              <w:rPr>
                <w:rFonts w:ascii="Arial" w:hAnsi="Arial" w:cs="Arial"/>
                <w:sz w:val="22"/>
                <w:szCs w:val="22"/>
              </w:rPr>
              <w:fldChar w:fldCharType="separate"/>
            </w:r>
            <w:r w:rsidR="004D1D65" w:rsidRPr="004D1D65">
              <w:rPr>
                <w:rFonts w:ascii="Arial" w:hAnsi="Arial" w:cs="Arial"/>
                <w:noProof/>
                <w:sz w:val="22"/>
                <w:szCs w:val="22"/>
                <w:vertAlign w:val="superscript"/>
              </w:rPr>
              <w:t>94</w:t>
            </w:r>
            <w:r w:rsidR="00F23EB1">
              <w:rPr>
                <w:rFonts w:ascii="Arial" w:hAnsi="Arial" w:cs="Arial"/>
                <w:sz w:val="22"/>
                <w:szCs w:val="22"/>
              </w:rPr>
              <w:fldChar w:fldCharType="end"/>
            </w:r>
            <w:bookmarkEnd w:id="35"/>
            <w:bookmarkEnd w:id="36"/>
          </w:p>
        </w:tc>
      </w:tr>
    </w:tbl>
    <w:p w14:paraId="5DDAD9AE" w14:textId="77777777" w:rsidR="00E464CC" w:rsidRDefault="00E464CC">
      <w:bookmarkStart w:id="37" w:name="_4i7ojhp" w:colFirst="0" w:colLast="0"/>
      <w:bookmarkEnd w:id="37"/>
      <w:r>
        <w:lastRenderedPageBreak/>
        <w:br w:type="page"/>
      </w:r>
    </w:p>
    <w:p w14:paraId="42C95984" w14:textId="1BA4F3E6" w:rsidR="00226284" w:rsidRPr="002F428B" w:rsidRDefault="00FF353C" w:rsidP="002A53AC">
      <w:pPr>
        <w:pStyle w:val="Heading2"/>
        <w:tabs>
          <w:tab w:val="left" w:pos="1120"/>
          <w:tab w:val="left" w:pos="2114"/>
          <w:tab w:val="left" w:pos="3088"/>
          <w:tab w:val="left" w:pos="3920"/>
          <w:tab w:val="left" w:pos="4866"/>
          <w:tab w:val="left" w:pos="5790"/>
          <w:tab w:val="left" w:pos="6700"/>
          <w:tab w:val="left" w:pos="7441"/>
          <w:tab w:val="left" w:pos="8316"/>
          <w:tab w:val="left" w:pos="9096"/>
        </w:tabs>
        <w:ind w:left="113"/>
      </w:pPr>
      <w:r w:rsidRPr="002A53AC">
        <w:lastRenderedPageBreak/>
        <w:t>Box 3: Selection diagram approach for identifying contextual variables and assumptions</w:t>
      </w:r>
      <w:r w:rsidR="002F428B">
        <w:t xml:space="preserve">, </w:t>
      </w:r>
      <w:r w:rsidRPr="002A53AC">
        <w:t xml:space="preserve">and transport formulae to enable transfer of an </w:t>
      </w:r>
      <w:proofErr w:type="spellStart"/>
      <w:r w:rsidRPr="002A53AC">
        <w:t>estimand</w:t>
      </w:r>
      <w:proofErr w:type="spellEnd"/>
      <w:r w:rsidRPr="002A53AC">
        <w:t xml:space="preserve">. </w:t>
      </w:r>
    </w:p>
    <w:p w14:paraId="252ED375" w14:textId="77777777" w:rsidR="00725CB3" w:rsidRDefault="00725CB3" w:rsidP="00725CB3">
      <w:pPr>
        <w:rPr>
          <w:rFonts w:ascii="Arial" w:hAnsi="Arial" w:cs="Arial"/>
          <w:sz w:val="22"/>
          <w:szCs w:val="22"/>
        </w:rPr>
      </w:pPr>
    </w:p>
    <w:p w14:paraId="123F3CB3" w14:textId="77777777" w:rsidR="00725CB3" w:rsidRDefault="00725CB3" w:rsidP="00725CB3">
      <w:pPr>
        <w:rPr>
          <w:rFonts w:ascii="Arial" w:hAnsi="Arial" w:cs="Arial"/>
          <w:sz w:val="22"/>
          <w:szCs w:val="22"/>
        </w:rPr>
      </w:pPr>
    </w:p>
    <w:p w14:paraId="14369E27" w14:textId="77777777" w:rsidR="00725CB3" w:rsidRDefault="00725CB3" w:rsidP="00725CB3">
      <w:pPr>
        <w:rPr>
          <w:rFonts w:ascii="Arial" w:hAnsi="Arial" w:cs="Arial"/>
          <w:sz w:val="22"/>
          <w:szCs w:val="22"/>
        </w:rPr>
      </w:pPr>
    </w:p>
    <w:p w14:paraId="1B50B996" w14:textId="0954C5D8" w:rsidR="00725CB3" w:rsidRPr="00DA66C6" w:rsidRDefault="00725CB3" w:rsidP="00725CB3">
      <w:pPr>
        <w:rPr>
          <w:rFonts w:ascii="Arial" w:hAnsi="Arial" w:cs="Arial"/>
          <w:sz w:val="20"/>
          <w:szCs w:val="20"/>
        </w:rPr>
      </w:pPr>
      <w:r w:rsidRPr="00DA66C6">
        <w:rPr>
          <w:rFonts w:ascii="Arial" w:hAnsi="Arial" w:cs="Arial"/>
          <w:sz w:val="20"/>
          <w:szCs w:val="20"/>
        </w:rPr>
        <w:t xml:space="preserve">Selection diagram approach for the effect of forest thinning on understory biodiversity (Adapted from Pearl &amp; </w:t>
      </w:r>
      <w:proofErr w:type="spellStart"/>
      <w:r w:rsidRPr="00DA66C6">
        <w:rPr>
          <w:rFonts w:ascii="Arial" w:hAnsi="Arial" w:cs="Arial"/>
          <w:sz w:val="20"/>
          <w:szCs w:val="20"/>
        </w:rPr>
        <w:t>Bareinboim</w:t>
      </w:r>
      <w:proofErr w:type="spellEnd"/>
      <w:r w:rsidRPr="00DA66C6">
        <w:rPr>
          <w:rFonts w:ascii="Arial" w:hAnsi="Arial" w:cs="Arial"/>
          <w:sz w:val="20"/>
          <w:szCs w:val="20"/>
        </w:rPr>
        <w:t xml:space="preserve"> (2013)</w:t>
      </w:r>
      <w:r w:rsidRPr="00DA66C6">
        <w:rPr>
          <w:rFonts w:ascii="Arial" w:hAnsi="Arial" w:cs="Arial"/>
          <w:sz w:val="20"/>
          <w:szCs w:val="20"/>
        </w:rPr>
        <w:fldChar w:fldCharType="begin" w:fldLock="1"/>
      </w:r>
      <w:r w:rsidRPr="00DA66C6">
        <w:rPr>
          <w:rFonts w:ascii="Arial" w:hAnsi="Arial" w:cs="Arial"/>
          <w:sz w:val="20"/>
          <w:szCs w:val="20"/>
        </w:rPr>
        <w:instrText>ADDIN CSL_CITATION {"citationItems":[{"id":"ITEM-1","itemData":{"ISSN":"15337928","abstract":"This paper considers the problem of transferring experimental findings learned from multiple heterogeneous domains to a different environment, in which only passive observations can be collected. Pearl and Bareinboim (2011) established a complete characterization for such transfer between two domains, a source and a target, and this paper generalizes their results to multiple heterogeneous domains. It establishes a necessary and sufficient condition for deciding when effects in the target domain are estimable from both statistical and causal information transferred from the experiments in the source domains. The paper further provides a complete algorithm for computing the transport formula, that is, a way of fusing observational and experimental information to synthesize an unbiased estimate of the desired effects.","author":[{"dropping-particle":"","family":"Bareinboim","given":"Elias","non-dropping-particle":"","parse-names":false,"suffix":""},{"dropping-particle":"","family":"Pearl","given":"Judea","non-dropping-particle":"","parse-names":false,"suffix":""}],"container-title":"Journal of Machine Learning Research","id":"ITEM-1","issued":{"date-parts":[["2013"]]},"page":"135-143","title":"Meta-transportability of causal effects: A formal approach","type":"article-journal","volume":"31"},"uris":["http://www.mendeley.com/documents/?uuid=952e1428-5a77-4431-8643-868af8de00b8"]}],"mendeley":{"formattedCitation":"&lt;sup&gt;75&lt;/sup&gt;","plainTextFormattedCitation":"75","previouslyFormattedCitation":"&lt;sup&gt;75&lt;/sup&gt;"},"properties":{"noteIndex":0},"schema":"https://github.com/citation-style-language/schema/raw/master/csl-citation.json"}</w:instrText>
      </w:r>
      <w:r w:rsidRPr="00DA66C6">
        <w:rPr>
          <w:rFonts w:ascii="Arial" w:hAnsi="Arial" w:cs="Arial"/>
          <w:sz w:val="20"/>
          <w:szCs w:val="20"/>
        </w:rPr>
        <w:fldChar w:fldCharType="separate"/>
      </w:r>
      <w:r w:rsidRPr="00DA66C6">
        <w:rPr>
          <w:rFonts w:ascii="Arial" w:hAnsi="Arial" w:cs="Arial"/>
          <w:noProof/>
          <w:sz w:val="20"/>
          <w:szCs w:val="20"/>
          <w:vertAlign w:val="superscript"/>
        </w:rPr>
        <w:t>75</w:t>
      </w:r>
      <w:r w:rsidRPr="00DA66C6">
        <w:rPr>
          <w:rFonts w:ascii="Arial" w:hAnsi="Arial" w:cs="Arial"/>
          <w:sz w:val="20"/>
          <w:szCs w:val="20"/>
        </w:rPr>
        <w:fldChar w:fldCharType="end"/>
      </w:r>
      <w:r w:rsidRPr="00DA66C6">
        <w:rPr>
          <w:rFonts w:ascii="Arial" w:hAnsi="Arial" w:cs="Arial"/>
          <w:sz w:val="20"/>
          <w:szCs w:val="20"/>
        </w:rPr>
        <w:t>.</w:t>
      </w:r>
      <w:r w:rsidRPr="00DA66C6">
        <w:rPr>
          <w:rFonts w:ascii="Arial" w:hAnsi="Arial" w:cs="Arial"/>
          <w:sz w:val="20"/>
          <w:szCs w:val="20"/>
        </w:rPr>
        <w:tab/>
      </w:r>
    </w:p>
    <w:p w14:paraId="777C0EB7" w14:textId="3FE42B17" w:rsidR="00FF353C" w:rsidRPr="00E464CC"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Arial" w:hAnsi="Arial" w:cs="Arial"/>
          <w:sz w:val="22"/>
          <w:szCs w:val="22"/>
        </w:rPr>
      </w:pPr>
      <w:r w:rsidRPr="00E464CC">
        <w:rPr>
          <w:rFonts w:ascii="Arial" w:hAnsi="Arial" w:cs="Arial"/>
          <w:sz w:val="22"/>
          <w:szCs w:val="22"/>
        </w:rPr>
        <w:t xml:space="preserve">a) Consider the problem of transporting experimental results between two locations. We first conduct a randomized experiment in a location (reference context) and estimate the causal effect of forest thinning (treatment </w:t>
      </w:r>
      <w:r w:rsidRPr="00E464CC">
        <w:rPr>
          <w:rFonts w:ascii="Arial" w:hAnsi="Arial" w:cs="Arial"/>
          <w:i/>
          <w:iCs/>
          <w:sz w:val="22"/>
          <w:szCs w:val="22"/>
        </w:rPr>
        <w:t>X</w:t>
      </w:r>
      <w:r w:rsidRPr="00E464CC">
        <w:rPr>
          <w:rFonts w:ascii="Arial" w:hAnsi="Arial" w:cs="Arial"/>
          <w:sz w:val="22"/>
          <w:szCs w:val="22"/>
        </w:rPr>
        <w:t xml:space="preserve">) on understory biodiversity (outcome </w:t>
      </w:r>
      <w:r w:rsidRPr="00E464CC">
        <w:rPr>
          <w:rFonts w:ascii="Arial" w:hAnsi="Arial" w:cs="Arial"/>
          <w:i/>
          <w:iCs/>
          <w:sz w:val="22"/>
          <w:szCs w:val="22"/>
        </w:rPr>
        <w:t>Y</w:t>
      </w:r>
      <w:r w:rsidRPr="00E464CC">
        <w:rPr>
          <w:rFonts w:ascii="Arial" w:hAnsi="Arial" w:cs="Arial"/>
          <w:sz w:val="22"/>
          <w:szCs w:val="22"/>
        </w:rPr>
        <w:t>) for every stand age group (</w:t>
      </w:r>
      <w:r w:rsidRPr="00E464CC">
        <w:rPr>
          <w:rFonts w:ascii="Arial" w:hAnsi="Arial" w:cs="Arial"/>
          <w:i/>
          <w:iCs/>
          <w:sz w:val="22"/>
          <w:szCs w:val="22"/>
        </w:rPr>
        <w:t>Z</w:t>
      </w:r>
      <w:r w:rsidRPr="00E464CC">
        <w:rPr>
          <w:rFonts w:ascii="Arial" w:hAnsi="Arial" w:cs="Arial"/>
          <w:sz w:val="22"/>
          <w:szCs w:val="22"/>
        </w:rPr>
        <w:t xml:space="preserve"> = </w:t>
      </w:r>
      <w:r w:rsidRPr="00E464CC">
        <w:rPr>
          <w:rFonts w:ascii="Arial" w:hAnsi="Arial" w:cs="Arial"/>
          <w:i/>
          <w:iCs/>
          <w:sz w:val="22"/>
          <w:szCs w:val="22"/>
        </w:rPr>
        <w:t>z</w:t>
      </w:r>
      <w:r w:rsidRPr="00E464CC">
        <w:rPr>
          <w:rFonts w:ascii="Arial" w:hAnsi="Arial" w:cs="Arial"/>
          <w:sz w:val="22"/>
          <w:szCs w:val="22"/>
        </w:rPr>
        <w:t>)</w:t>
      </w:r>
      <w:r>
        <w:rPr>
          <w:rFonts w:ascii="Arial" w:hAnsi="Arial" w:cs="Arial"/>
          <w:sz w:val="22"/>
          <w:szCs w:val="22"/>
        </w:rPr>
        <w:t xml:space="preserve">, </w:t>
      </w:r>
      <w:r w:rsidRPr="00E464CC">
        <w:rPr>
          <w:rFonts w:ascii="Arial" w:hAnsi="Arial" w:cs="Arial"/>
          <w:sz w:val="22"/>
          <w:szCs w:val="22"/>
        </w:rPr>
        <w:t xml:space="preserve">denoted </w:t>
      </w:r>
      <w:r w:rsidRPr="00E464CC">
        <w:rPr>
          <w:rFonts w:ascii="Arial" w:hAnsi="Arial" w:cs="Arial"/>
          <w:i/>
          <w:iCs/>
          <w:sz w:val="22"/>
          <w:szCs w:val="22"/>
          <w:lang w:val="en-US"/>
        </w:rPr>
        <w:t>P</w:t>
      </w:r>
      <w:r w:rsidRPr="00A405F1">
        <w:rPr>
          <w:rFonts w:ascii="Arial" w:hAnsi="Arial" w:cs="Arial"/>
          <w:sz w:val="22"/>
          <w:szCs w:val="22"/>
          <w:lang w:val="en-US"/>
        </w:rPr>
        <w:t>(</w:t>
      </w:r>
      <w:proofErr w:type="spellStart"/>
      <w:r w:rsidRPr="00E464CC">
        <w:rPr>
          <w:rFonts w:ascii="Arial" w:hAnsi="Arial" w:cs="Arial"/>
          <w:i/>
          <w:iCs/>
          <w:sz w:val="22"/>
          <w:szCs w:val="22"/>
          <w:lang w:val="en-US"/>
        </w:rPr>
        <w:t>y|do</w:t>
      </w:r>
      <w:proofErr w:type="spellEnd"/>
      <w:r w:rsidRPr="00A405F1">
        <w:rPr>
          <w:rFonts w:ascii="Arial" w:hAnsi="Arial" w:cs="Arial"/>
          <w:sz w:val="22"/>
          <w:szCs w:val="22"/>
          <w:lang w:val="en-US"/>
        </w:rPr>
        <w:t>(</w:t>
      </w:r>
      <w:r w:rsidRPr="00E464CC">
        <w:rPr>
          <w:rFonts w:ascii="Arial" w:hAnsi="Arial" w:cs="Arial"/>
          <w:i/>
          <w:iCs/>
          <w:sz w:val="22"/>
          <w:szCs w:val="22"/>
          <w:lang w:val="en-US"/>
        </w:rPr>
        <w:t>x</w:t>
      </w:r>
      <w:proofErr w:type="gramStart"/>
      <w:r w:rsidRPr="00A405F1">
        <w:rPr>
          <w:rFonts w:ascii="Arial" w:hAnsi="Arial" w:cs="Arial"/>
          <w:sz w:val="22"/>
          <w:szCs w:val="22"/>
          <w:lang w:val="en-US"/>
        </w:rPr>
        <w:t>)</w:t>
      </w:r>
      <w:r w:rsidR="005E2996" w:rsidRPr="00A405F1">
        <w:rPr>
          <w:rFonts w:ascii="Arial" w:hAnsi="Arial" w:cs="Arial"/>
          <w:sz w:val="22"/>
          <w:szCs w:val="22"/>
          <w:lang w:val="en-US"/>
        </w:rPr>
        <w:t>,</w:t>
      </w:r>
      <w:r w:rsidRPr="00E464CC">
        <w:rPr>
          <w:rFonts w:ascii="Arial" w:hAnsi="Arial" w:cs="Arial"/>
          <w:i/>
          <w:iCs/>
          <w:sz w:val="22"/>
          <w:szCs w:val="22"/>
          <w:lang w:val="en-US"/>
        </w:rPr>
        <w:t>z</w:t>
      </w:r>
      <w:proofErr w:type="gramEnd"/>
      <w:r w:rsidRPr="00A405F1">
        <w:rPr>
          <w:rFonts w:ascii="Arial" w:hAnsi="Arial" w:cs="Arial"/>
          <w:sz w:val="22"/>
          <w:szCs w:val="22"/>
          <w:lang w:val="en-US"/>
        </w:rPr>
        <w:t>)</w:t>
      </w:r>
      <w:r w:rsidRPr="008B25C8">
        <w:rPr>
          <w:rFonts w:ascii="Arial" w:hAnsi="Arial" w:cs="Arial"/>
          <w:sz w:val="22"/>
          <w:szCs w:val="22"/>
        </w:rPr>
        <w:t>.</w:t>
      </w:r>
      <w:r w:rsidRPr="00E464CC">
        <w:rPr>
          <w:rFonts w:ascii="Arial" w:hAnsi="Arial" w:cs="Arial"/>
          <w:sz w:val="22"/>
          <w:szCs w:val="22"/>
        </w:rPr>
        <w:t xml:space="preserve"> We now wish to transport the results to forests in another location (target context)</w:t>
      </w:r>
      <w:r>
        <w:rPr>
          <w:rFonts w:ascii="Arial" w:hAnsi="Arial" w:cs="Arial"/>
          <w:sz w:val="22"/>
          <w:szCs w:val="22"/>
        </w:rPr>
        <w:t xml:space="preserve">, </w:t>
      </w:r>
      <w:r w:rsidRPr="00E464CC">
        <w:rPr>
          <w:rFonts w:ascii="Arial" w:hAnsi="Arial" w:cs="Arial"/>
          <w:sz w:val="22"/>
          <w:szCs w:val="22"/>
        </w:rPr>
        <w:t xml:space="preserve">but we find the distribution </w:t>
      </w:r>
      <w:r w:rsidRPr="00E464CC">
        <w:rPr>
          <w:rFonts w:ascii="Arial" w:hAnsi="Arial" w:cs="Arial"/>
          <w:i/>
          <w:iCs/>
          <w:sz w:val="22"/>
          <w:szCs w:val="22"/>
        </w:rPr>
        <w:t>P</w:t>
      </w:r>
      <w:r w:rsidRPr="00A405F1">
        <w:rPr>
          <w:rFonts w:ascii="Arial" w:hAnsi="Arial" w:cs="Arial"/>
          <w:sz w:val="22"/>
          <w:szCs w:val="22"/>
        </w:rPr>
        <w:t>(</w:t>
      </w:r>
      <w:proofErr w:type="spellStart"/>
      <w:r w:rsidRPr="00E464CC">
        <w:rPr>
          <w:rFonts w:ascii="Arial" w:hAnsi="Arial" w:cs="Arial"/>
          <w:i/>
          <w:iCs/>
          <w:sz w:val="22"/>
          <w:szCs w:val="22"/>
        </w:rPr>
        <w:t>xyz</w:t>
      </w:r>
      <w:proofErr w:type="spellEnd"/>
      <w:r w:rsidRPr="00A405F1">
        <w:rPr>
          <w:rFonts w:ascii="Arial" w:hAnsi="Arial" w:cs="Arial"/>
          <w:sz w:val="22"/>
          <w:szCs w:val="22"/>
        </w:rPr>
        <w:t>)</w:t>
      </w:r>
      <w:r w:rsidRPr="00E464CC">
        <w:rPr>
          <w:rFonts w:ascii="Arial" w:hAnsi="Arial" w:cs="Arial"/>
          <w:sz w:val="22"/>
          <w:szCs w:val="22"/>
        </w:rPr>
        <w:t xml:space="preserve"> to be different from the one in target context (call the latter</w:t>
      </w:r>
      <w:r w:rsidRPr="00E464CC">
        <w:rPr>
          <w:rFonts w:ascii="Arial" w:hAnsi="Arial" w:cs="Arial"/>
          <w:i/>
          <w:iCs/>
          <w:sz w:val="22"/>
          <w:szCs w:val="22"/>
        </w:rPr>
        <w:t xml:space="preserve"> P*</w:t>
      </w:r>
      <w:r w:rsidRPr="00A405F1">
        <w:rPr>
          <w:rFonts w:ascii="Arial" w:hAnsi="Arial" w:cs="Arial"/>
          <w:sz w:val="22"/>
          <w:szCs w:val="22"/>
        </w:rPr>
        <w:t>(</w:t>
      </w:r>
      <w:proofErr w:type="spellStart"/>
      <w:r w:rsidRPr="00E464CC">
        <w:rPr>
          <w:rFonts w:ascii="Arial" w:hAnsi="Arial" w:cs="Arial"/>
          <w:i/>
          <w:iCs/>
          <w:sz w:val="22"/>
          <w:szCs w:val="22"/>
        </w:rPr>
        <w:t>xyz</w:t>
      </w:r>
      <w:proofErr w:type="spellEnd"/>
      <w:r w:rsidRPr="00A405F1">
        <w:rPr>
          <w:rFonts w:ascii="Arial" w:hAnsi="Arial" w:cs="Arial"/>
          <w:sz w:val="22"/>
          <w:szCs w:val="22"/>
        </w:rPr>
        <w:t>)</w:t>
      </w:r>
      <w:r w:rsidRPr="00E464CC">
        <w:rPr>
          <w:rFonts w:ascii="Arial" w:hAnsi="Arial" w:cs="Arial"/>
          <w:sz w:val="22"/>
          <w:szCs w:val="22"/>
        </w:rPr>
        <w:t>). In particular</w:t>
      </w:r>
      <w:r>
        <w:rPr>
          <w:rFonts w:ascii="Arial" w:hAnsi="Arial" w:cs="Arial"/>
          <w:sz w:val="22"/>
          <w:szCs w:val="22"/>
        </w:rPr>
        <w:t xml:space="preserve">, </w:t>
      </w:r>
      <w:r w:rsidRPr="00E464CC">
        <w:rPr>
          <w:rFonts w:ascii="Arial" w:hAnsi="Arial" w:cs="Arial"/>
          <w:sz w:val="22"/>
          <w:szCs w:val="22"/>
        </w:rPr>
        <w:t xml:space="preserve">the average age of the trees is significantly </w:t>
      </w:r>
      <w:r w:rsidR="0004535E">
        <w:rPr>
          <w:rFonts w:ascii="Arial" w:hAnsi="Arial" w:cs="Arial"/>
          <w:sz w:val="22"/>
          <w:szCs w:val="22"/>
        </w:rPr>
        <w:t>lower</w:t>
      </w:r>
      <w:r w:rsidR="0004535E" w:rsidRPr="00E464CC">
        <w:rPr>
          <w:rFonts w:ascii="Arial" w:hAnsi="Arial" w:cs="Arial"/>
          <w:sz w:val="22"/>
          <w:szCs w:val="22"/>
        </w:rPr>
        <w:t xml:space="preserve"> </w:t>
      </w:r>
      <w:r w:rsidRPr="00E464CC">
        <w:rPr>
          <w:rFonts w:ascii="Arial" w:hAnsi="Arial" w:cs="Arial"/>
          <w:sz w:val="22"/>
          <w:szCs w:val="22"/>
        </w:rPr>
        <w:t xml:space="preserve">than that in the reference context. How </w:t>
      </w:r>
      <w:r>
        <w:rPr>
          <w:rFonts w:ascii="Arial" w:hAnsi="Arial" w:cs="Arial"/>
          <w:sz w:val="22"/>
          <w:szCs w:val="22"/>
        </w:rPr>
        <w:t>do we</w:t>
      </w:r>
      <w:r w:rsidRPr="00E464CC">
        <w:rPr>
          <w:rFonts w:ascii="Arial" w:hAnsi="Arial" w:cs="Arial"/>
          <w:sz w:val="22"/>
          <w:szCs w:val="22"/>
        </w:rPr>
        <w:t xml:space="preserve"> estimate the causal effect of </w:t>
      </w:r>
      <w:r w:rsidRPr="00E464CC">
        <w:rPr>
          <w:rFonts w:ascii="Arial" w:hAnsi="Arial" w:cs="Arial"/>
          <w:i/>
          <w:iCs/>
          <w:sz w:val="22"/>
          <w:szCs w:val="22"/>
        </w:rPr>
        <w:t>X</w:t>
      </w:r>
      <w:r w:rsidRPr="00E464CC">
        <w:rPr>
          <w:rFonts w:ascii="Arial" w:hAnsi="Arial" w:cs="Arial"/>
          <w:sz w:val="22"/>
          <w:szCs w:val="22"/>
        </w:rPr>
        <w:t xml:space="preserve"> on </w:t>
      </w:r>
      <w:r w:rsidRPr="00E464CC">
        <w:rPr>
          <w:rFonts w:ascii="Arial" w:hAnsi="Arial" w:cs="Arial"/>
          <w:i/>
          <w:iCs/>
          <w:sz w:val="22"/>
          <w:szCs w:val="22"/>
        </w:rPr>
        <w:t>Y</w:t>
      </w:r>
      <w:r w:rsidRPr="00E464CC">
        <w:rPr>
          <w:rFonts w:ascii="Arial" w:hAnsi="Arial" w:cs="Arial"/>
          <w:sz w:val="22"/>
          <w:szCs w:val="22"/>
        </w:rPr>
        <w:t xml:space="preserve"> in the target context</w:t>
      </w:r>
      <w:r>
        <w:rPr>
          <w:rFonts w:ascii="Arial" w:hAnsi="Arial" w:cs="Arial"/>
          <w:sz w:val="22"/>
          <w:szCs w:val="22"/>
        </w:rPr>
        <w:t xml:space="preserve">, </w:t>
      </w:r>
      <w:r w:rsidRPr="00E464CC">
        <w:rPr>
          <w:rFonts w:ascii="Arial" w:hAnsi="Arial" w:cs="Arial"/>
          <w:sz w:val="22"/>
          <w:szCs w:val="22"/>
        </w:rPr>
        <w:t xml:space="preserve">denoted </w:t>
      </w:r>
      <w:r w:rsidRPr="00E464CC">
        <w:rPr>
          <w:rFonts w:ascii="Arial" w:hAnsi="Arial" w:cs="Arial"/>
          <w:i/>
          <w:iCs/>
          <w:sz w:val="22"/>
          <w:szCs w:val="22"/>
        </w:rPr>
        <w:t>R</w:t>
      </w:r>
      <w:r w:rsidRPr="00E464CC">
        <w:rPr>
          <w:rFonts w:ascii="Arial" w:hAnsi="Arial" w:cs="Arial"/>
          <w:sz w:val="22"/>
          <w:szCs w:val="22"/>
        </w:rPr>
        <w:t xml:space="preserve"> </w:t>
      </w:r>
      <w:r w:rsidR="00A405F1">
        <w:rPr>
          <w:rFonts w:ascii="Arial" w:hAnsi="Arial" w:cs="Arial"/>
          <w:sz w:val="22"/>
          <w:szCs w:val="22"/>
        </w:rPr>
        <w:t xml:space="preserve">= </w:t>
      </w:r>
      <w:r w:rsidRPr="00E464CC">
        <w:rPr>
          <w:rFonts w:ascii="Arial" w:hAnsi="Arial" w:cs="Arial"/>
          <w:i/>
          <w:iCs/>
          <w:sz w:val="22"/>
          <w:szCs w:val="22"/>
          <w:lang w:val="en-US"/>
        </w:rPr>
        <w:t>P*</w:t>
      </w:r>
      <w:r w:rsidRPr="00A405F1">
        <w:rPr>
          <w:rFonts w:ascii="Arial" w:hAnsi="Arial" w:cs="Arial"/>
          <w:sz w:val="22"/>
          <w:szCs w:val="22"/>
          <w:lang w:val="en-US"/>
        </w:rPr>
        <w:t>(</w:t>
      </w:r>
      <w:proofErr w:type="spellStart"/>
      <w:r w:rsidRPr="00E464CC">
        <w:rPr>
          <w:rFonts w:ascii="Arial" w:hAnsi="Arial" w:cs="Arial"/>
          <w:i/>
          <w:iCs/>
          <w:sz w:val="22"/>
          <w:szCs w:val="22"/>
          <w:lang w:val="en-US"/>
        </w:rPr>
        <w:t>y|do</w:t>
      </w:r>
      <w:proofErr w:type="spellEnd"/>
      <w:r w:rsidRPr="00A405F1">
        <w:rPr>
          <w:rFonts w:ascii="Arial" w:hAnsi="Arial" w:cs="Arial"/>
          <w:sz w:val="22"/>
          <w:szCs w:val="22"/>
          <w:lang w:val="en-US"/>
        </w:rPr>
        <w:t>(</w:t>
      </w:r>
      <w:r w:rsidRPr="00E464CC">
        <w:rPr>
          <w:rFonts w:ascii="Arial" w:hAnsi="Arial" w:cs="Arial"/>
          <w:i/>
          <w:iCs/>
          <w:sz w:val="22"/>
          <w:szCs w:val="22"/>
          <w:lang w:val="en-US"/>
        </w:rPr>
        <w:t>x</w:t>
      </w:r>
      <w:proofErr w:type="gramStart"/>
      <w:r w:rsidRPr="00A405F1">
        <w:rPr>
          <w:rFonts w:ascii="Arial" w:hAnsi="Arial" w:cs="Arial"/>
          <w:sz w:val="22"/>
          <w:szCs w:val="22"/>
          <w:lang w:val="en-US"/>
        </w:rPr>
        <w:t>)</w:t>
      </w:r>
      <w:r w:rsidR="005E2996" w:rsidRPr="00A405F1">
        <w:rPr>
          <w:rFonts w:ascii="Arial" w:hAnsi="Arial" w:cs="Arial"/>
          <w:sz w:val="22"/>
          <w:szCs w:val="22"/>
          <w:lang w:val="en-US"/>
        </w:rPr>
        <w:t>,</w:t>
      </w:r>
      <w:r w:rsidRPr="00E464CC">
        <w:rPr>
          <w:rFonts w:ascii="Arial" w:hAnsi="Arial" w:cs="Arial"/>
          <w:i/>
          <w:iCs/>
          <w:sz w:val="22"/>
          <w:szCs w:val="22"/>
          <w:lang w:val="en-US"/>
        </w:rPr>
        <w:t>z</w:t>
      </w:r>
      <w:proofErr w:type="gramEnd"/>
      <w:r w:rsidRPr="00A405F1">
        <w:rPr>
          <w:rFonts w:ascii="Arial" w:hAnsi="Arial" w:cs="Arial"/>
          <w:sz w:val="22"/>
          <w:szCs w:val="22"/>
          <w:lang w:val="en-US"/>
        </w:rPr>
        <w:t>)</w:t>
      </w:r>
      <w:r w:rsidRPr="00E464CC">
        <w:rPr>
          <w:rFonts w:ascii="Arial" w:hAnsi="Arial" w:cs="Arial"/>
          <w:sz w:val="22"/>
          <w:szCs w:val="22"/>
        </w:rPr>
        <w:t>?</w:t>
      </w:r>
    </w:p>
    <w:p w14:paraId="3CFD69F4" w14:textId="357F15D2" w:rsidR="00FF353C"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Arial" w:hAnsi="Arial" w:cs="Arial"/>
          <w:sz w:val="22"/>
          <w:szCs w:val="22"/>
        </w:rPr>
      </w:pPr>
      <w:r w:rsidRPr="00E464CC">
        <w:rPr>
          <w:rFonts w:ascii="Arial" w:hAnsi="Arial" w:cs="Arial"/>
          <w:sz w:val="22"/>
          <w:szCs w:val="22"/>
          <w:lang w:val="en-US"/>
        </w:rPr>
        <w:t>b) The selection diagram conveys the assumption that the only difference between the two populations are factors determining age distributions of trees</w:t>
      </w:r>
      <w:r>
        <w:rPr>
          <w:rFonts w:ascii="Arial" w:hAnsi="Arial" w:cs="Arial"/>
          <w:sz w:val="22"/>
          <w:szCs w:val="22"/>
          <w:lang w:val="en-US"/>
        </w:rPr>
        <w:t xml:space="preserve"> </w:t>
      </w:r>
      <w:r w:rsidRPr="00E464CC">
        <w:rPr>
          <w:rFonts w:ascii="Arial" w:hAnsi="Arial" w:cs="Arial"/>
          <w:sz w:val="22"/>
          <w:szCs w:val="22"/>
          <w:lang w:val="en-US"/>
        </w:rPr>
        <w:t xml:space="preserve">shown as </w:t>
      </w:r>
      <w:r w:rsidRPr="00E464CC">
        <w:rPr>
          <w:rFonts w:ascii="Arial" w:hAnsi="Arial" w:cs="Arial"/>
          <w:i/>
          <w:iCs/>
          <w:sz w:val="22"/>
          <w:szCs w:val="22"/>
          <w:lang w:val="en-US"/>
        </w:rPr>
        <w:t>S → Z</w:t>
      </w:r>
      <w:r>
        <w:rPr>
          <w:rFonts w:ascii="Arial" w:hAnsi="Arial" w:cs="Arial"/>
          <w:i/>
          <w:iCs/>
          <w:sz w:val="22"/>
          <w:szCs w:val="22"/>
          <w:lang w:val="en-US"/>
        </w:rPr>
        <w:t xml:space="preserve">, </w:t>
      </w:r>
      <w:r w:rsidRPr="00E464CC">
        <w:rPr>
          <w:rFonts w:ascii="Arial" w:hAnsi="Arial" w:cs="Arial"/>
          <w:sz w:val="22"/>
          <w:szCs w:val="22"/>
          <w:lang w:val="en-US"/>
        </w:rPr>
        <w:t>while age-specific effects</w:t>
      </w:r>
      <w:r w:rsidRPr="00E464CC">
        <w:rPr>
          <w:rFonts w:ascii="Arial" w:hAnsi="Arial" w:cs="Arial"/>
          <w:i/>
          <w:iCs/>
          <w:sz w:val="22"/>
          <w:szCs w:val="22"/>
          <w:lang w:val="en-US"/>
        </w:rPr>
        <w:t xml:space="preserve"> P</w:t>
      </w:r>
      <w:r w:rsidRPr="00A405F1">
        <w:rPr>
          <w:rFonts w:ascii="Arial" w:hAnsi="Arial" w:cs="Arial"/>
          <w:sz w:val="22"/>
          <w:szCs w:val="22"/>
          <w:lang w:val="en-US"/>
        </w:rPr>
        <w:t>(</w:t>
      </w:r>
      <w:proofErr w:type="spellStart"/>
      <w:r w:rsidRPr="00E464CC">
        <w:rPr>
          <w:rFonts w:ascii="Arial" w:hAnsi="Arial" w:cs="Arial"/>
          <w:i/>
          <w:iCs/>
          <w:sz w:val="22"/>
          <w:szCs w:val="22"/>
          <w:lang w:val="en-US"/>
        </w:rPr>
        <w:t>y|do</w:t>
      </w:r>
      <w:proofErr w:type="spellEnd"/>
      <w:r w:rsidRPr="00A405F1">
        <w:rPr>
          <w:rFonts w:ascii="Arial" w:hAnsi="Arial" w:cs="Arial"/>
          <w:sz w:val="22"/>
          <w:szCs w:val="22"/>
          <w:lang w:val="en-US"/>
        </w:rPr>
        <w:t>(</w:t>
      </w:r>
      <w:r w:rsidRPr="00E464CC">
        <w:rPr>
          <w:rFonts w:ascii="Arial" w:hAnsi="Arial" w:cs="Arial"/>
          <w:i/>
          <w:iCs/>
          <w:sz w:val="22"/>
          <w:szCs w:val="22"/>
          <w:lang w:val="en-US"/>
        </w:rPr>
        <w:t>x</w:t>
      </w:r>
      <w:proofErr w:type="gramStart"/>
      <w:r w:rsidRPr="00A405F1">
        <w:rPr>
          <w:rFonts w:ascii="Arial" w:hAnsi="Arial" w:cs="Arial"/>
          <w:sz w:val="22"/>
          <w:szCs w:val="22"/>
          <w:lang w:val="en-US"/>
        </w:rPr>
        <w:t>)</w:t>
      </w:r>
      <w:r w:rsidR="005E2996" w:rsidRPr="00A405F1">
        <w:rPr>
          <w:rFonts w:ascii="Arial" w:hAnsi="Arial" w:cs="Arial"/>
          <w:sz w:val="22"/>
          <w:szCs w:val="22"/>
          <w:lang w:val="en-US"/>
        </w:rPr>
        <w:t>,</w:t>
      </w:r>
      <w:r w:rsidRPr="00E464CC">
        <w:rPr>
          <w:rFonts w:ascii="Arial" w:hAnsi="Arial" w:cs="Arial"/>
          <w:i/>
          <w:iCs/>
          <w:sz w:val="22"/>
          <w:szCs w:val="22"/>
          <w:lang w:val="en-US"/>
        </w:rPr>
        <w:t>Z</w:t>
      </w:r>
      <w:proofErr w:type="gramEnd"/>
      <w:r w:rsidRPr="00E464CC">
        <w:rPr>
          <w:rFonts w:ascii="Arial" w:hAnsi="Arial" w:cs="Arial"/>
          <w:i/>
          <w:iCs/>
          <w:sz w:val="22"/>
          <w:szCs w:val="22"/>
          <w:lang w:val="en-US"/>
        </w:rPr>
        <w:t>=z</w:t>
      </w:r>
      <w:r w:rsidRPr="00A405F1">
        <w:rPr>
          <w:rFonts w:ascii="Arial" w:hAnsi="Arial" w:cs="Arial"/>
          <w:sz w:val="22"/>
          <w:szCs w:val="22"/>
          <w:lang w:val="en-US"/>
        </w:rPr>
        <w:t>)</w:t>
      </w:r>
      <w:r w:rsidRPr="00E464CC">
        <w:rPr>
          <w:rFonts w:ascii="Arial" w:hAnsi="Arial" w:cs="Arial"/>
          <w:sz w:val="22"/>
          <w:szCs w:val="22"/>
          <w:lang w:val="en-US"/>
        </w:rPr>
        <w:t xml:space="preserve"> are invariant across forest contexts. Dashed arcs (e.g.</w:t>
      </w:r>
      <w:r w:rsidR="005E2996">
        <w:rPr>
          <w:rFonts w:ascii="Arial" w:hAnsi="Arial" w:cs="Arial"/>
          <w:sz w:val="22"/>
          <w:szCs w:val="22"/>
          <w:lang w:val="en-US"/>
        </w:rPr>
        <w:t xml:space="preserve">, </w:t>
      </w:r>
      <w:r w:rsidRPr="00E464CC">
        <w:rPr>
          <w:rFonts w:ascii="Arial" w:hAnsi="Arial" w:cs="Arial"/>
          <w:sz w:val="22"/>
          <w:szCs w:val="22"/>
          <w:lang w:val="en-US"/>
        </w:rPr>
        <w:t>X</w:t>
      </w:r>
      <w:r w:rsidRPr="00E464CC">
        <w:rPr>
          <w:rFonts w:ascii="Cambria Math" w:hAnsi="Cambria Math" w:cs="Cambria Math"/>
          <w:sz w:val="22"/>
          <w:szCs w:val="22"/>
          <w:lang w:val="en-US"/>
        </w:rPr>
        <w:t>⇠</w:t>
      </w:r>
      <w:r w:rsidRPr="00E464CC">
        <w:rPr>
          <w:rFonts w:ascii="Arial" w:hAnsi="Arial" w:cs="Arial"/>
          <w:sz w:val="22"/>
          <w:szCs w:val="22"/>
          <w:lang w:val="en-US"/>
        </w:rPr>
        <w:t xml:space="preserve"> </w:t>
      </w:r>
      <w:r w:rsidRPr="00E464CC">
        <w:rPr>
          <w:rFonts w:ascii="Cambria Math" w:hAnsi="Cambria Math" w:cs="Cambria Math"/>
          <w:sz w:val="22"/>
          <w:szCs w:val="22"/>
          <w:lang w:val="en-US"/>
        </w:rPr>
        <w:t>⇢</w:t>
      </w:r>
      <w:r w:rsidRPr="00E464CC">
        <w:rPr>
          <w:rFonts w:ascii="Arial" w:hAnsi="Arial" w:cs="Arial"/>
          <w:sz w:val="22"/>
          <w:szCs w:val="22"/>
          <w:lang w:val="en-US"/>
        </w:rPr>
        <w:t xml:space="preserve">Y) represent the presence of latent variables affecting both </w:t>
      </w:r>
      <w:r w:rsidRPr="00FF353C">
        <w:rPr>
          <w:rFonts w:ascii="Arial" w:hAnsi="Arial" w:cs="Arial"/>
          <w:i/>
          <w:iCs/>
          <w:sz w:val="22"/>
          <w:szCs w:val="22"/>
          <w:lang w:val="en-US"/>
        </w:rPr>
        <w:t>X</w:t>
      </w:r>
      <w:r w:rsidRPr="00E464CC">
        <w:rPr>
          <w:rFonts w:ascii="Arial" w:hAnsi="Arial" w:cs="Arial"/>
          <w:sz w:val="22"/>
          <w:szCs w:val="22"/>
          <w:lang w:val="en-US"/>
        </w:rPr>
        <w:t xml:space="preserve"> and </w:t>
      </w:r>
      <w:r w:rsidRPr="00FF353C">
        <w:rPr>
          <w:rFonts w:ascii="Arial" w:hAnsi="Arial" w:cs="Arial"/>
          <w:i/>
          <w:iCs/>
          <w:sz w:val="22"/>
          <w:szCs w:val="22"/>
          <w:lang w:val="en-US"/>
        </w:rPr>
        <w:t>Y</w:t>
      </w:r>
      <w:r w:rsidRPr="00E464CC">
        <w:rPr>
          <w:rFonts w:ascii="Arial" w:hAnsi="Arial" w:cs="Arial"/>
          <w:sz w:val="22"/>
          <w:szCs w:val="22"/>
          <w:lang w:val="en-US"/>
        </w:rPr>
        <w:t>.</w:t>
      </w:r>
      <w:r w:rsidRPr="00E464CC">
        <w:rPr>
          <w:rFonts w:ascii="Arial" w:hAnsi="Arial" w:cs="Arial"/>
          <w:sz w:val="22"/>
          <w:szCs w:val="22"/>
        </w:rPr>
        <w:tab/>
      </w:r>
      <w:r w:rsidRPr="00E464CC">
        <w:rPr>
          <w:rFonts w:ascii="Arial" w:hAnsi="Arial" w:cs="Arial"/>
          <w:sz w:val="22"/>
          <w:szCs w:val="22"/>
        </w:rPr>
        <w:tab/>
      </w:r>
      <w:r w:rsidRPr="00E464CC">
        <w:rPr>
          <w:rFonts w:ascii="Arial" w:hAnsi="Arial" w:cs="Arial"/>
          <w:sz w:val="22"/>
          <w:szCs w:val="22"/>
        </w:rPr>
        <w:tab/>
      </w:r>
    </w:p>
    <w:p w14:paraId="4F6D9E69" w14:textId="7E674259" w:rsidR="00FF353C" w:rsidRPr="002A53AC"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Arial" w:hAnsi="Arial" w:cs="Arial"/>
          <w:sz w:val="22"/>
          <w:szCs w:val="22"/>
          <w:lang w:val="en-US"/>
        </w:rPr>
      </w:pPr>
      <w:r w:rsidRPr="00E464CC">
        <w:rPr>
          <w:rFonts w:ascii="Arial" w:hAnsi="Arial" w:cs="Arial"/>
          <w:sz w:val="22"/>
          <w:szCs w:val="22"/>
          <w:lang w:val="en-US"/>
        </w:rPr>
        <w:t>Under these assumptions</w:t>
      </w:r>
      <w:r>
        <w:rPr>
          <w:rFonts w:ascii="Arial" w:hAnsi="Arial" w:cs="Arial"/>
          <w:sz w:val="22"/>
          <w:szCs w:val="22"/>
          <w:lang w:val="en-US"/>
        </w:rPr>
        <w:t xml:space="preserve">, </w:t>
      </w:r>
      <w:r w:rsidRPr="00E464CC">
        <w:rPr>
          <w:rFonts w:ascii="Arial" w:hAnsi="Arial" w:cs="Arial"/>
          <w:sz w:val="22"/>
          <w:szCs w:val="22"/>
          <w:lang w:val="en-US"/>
        </w:rPr>
        <w:t>the causal effect in the target context</w:t>
      </w:r>
      <w:r>
        <w:rPr>
          <w:rFonts w:ascii="Arial" w:hAnsi="Arial" w:cs="Arial"/>
          <w:sz w:val="22"/>
          <w:szCs w:val="22"/>
          <w:lang w:val="en-US"/>
        </w:rPr>
        <w:t xml:space="preserve">, </w:t>
      </w:r>
      <w:r w:rsidRPr="00E464CC">
        <w:rPr>
          <w:rFonts w:ascii="Arial" w:hAnsi="Arial" w:cs="Arial"/>
          <w:i/>
          <w:iCs/>
          <w:sz w:val="22"/>
          <w:szCs w:val="22"/>
          <w:lang w:val="en-US"/>
        </w:rPr>
        <w:t>R</w:t>
      </w:r>
      <w:r>
        <w:rPr>
          <w:rFonts w:ascii="Arial" w:hAnsi="Arial" w:cs="Arial"/>
          <w:i/>
          <w:iCs/>
          <w:sz w:val="22"/>
          <w:szCs w:val="22"/>
          <w:lang w:val="en-US"/>
        </w:rPr>
        <w:t>,</w:t>
      </w:r>
      <w:r w:rsidRPr="00E464CC">
        <w:rPr>
          <w:rFonts w:ascii="Arial" w:hAnsi="Arial" w:cs="Arial"/>
          <w:sz w:val="22"/>
          <w:szCs w:val="22"/>
          <w:lang w:val="en-US"/>
        </w:rPr>
        <w:tab/>
        <w:t>can be estimated using a transport formula as follows:</w:t>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p>
    <w:p w14:paraId="3B62FC6F" w14:textId="22594FC0" w:rsidR="00FF353C" w:rsidRPr="002A53AC"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Arial" w:hAnsi="Arial" w:cs="Arial"/>
          <w:sz w:val="22"/>
          <w:szCs w:val="22"/>
          <w:lang w:val="en-US"/>
        </w:rPr>
      </w:pPr>
      <w:r w:rsidRPr="002A53AC">
        <w:rPr>
          <w:rFonts w:ascii="Arial" w:hAnsi="Arial" w:cs="Arial"/>
          <w:i/>
          <w:iCs/>
          <w:sz w:val="22"/>
          <w:szCs w:val="22"/>
          <w:lang w:val="en-US"/>
        </w:rPr>
        <w:t>R</w:t>
      </w:r>
      <w:r w:rsidRPr="002A53AC">
        <w:rPr>
          <w:rFonts w:ascii="Arial" w:hAnsi="Arial" w:cs="Arial"/>
          <w:sz w:val="22"/>
          <w:szCs w:val="22"/>
          <w:lang w:val="en-US"/>
        </w:rPr>
        <w:t xml:space="preserve"> = </w:t>
      </w:r>
      <m:oMath>
        <m:nary>
          <m:naryPr>
            <m:chr m:val="∑"/>
            <m:limLoc m:val="undOvr"/>
            <m:supHide m:val="1"/>
            <m:ctrlPr>
              <w:rPr>
                <w:rFonts w:ascii="Cambria Math" w:hAnsi="Cambria Math" w:cs="Arial"/>
                <w:i/>
                <w:sz w:val="22"/>
                <w:szCs w:val="22"/>
                <w:lang w:val="en-US"/>
              </w:rPr>
            </m:ctrlPr>
          </m:naryPr>
          <m:sub>
            <m:r>
              <w:rPr>
                <w:rFonts w:ascii="Cambria Math" w:hAnsi="Cambria Math" w:cs="Arial"/>
                <w:sz w:val="22"/>
                <w:szCs w:val="22"/>
                <w:lang w:val="en-US"/>
              </w:rPr>
              <m:t>Z</m:t>
            </m:r>
          </m:sub>
          <m:sup/>
          <m:e>
            <m:sSup>
              <m:sSupPr>
                <m:ctrlPr>
                  <w:rPr>
                    <w:rFonts w:ascii="Cambria Math" w:hAnsi="Cambria Math" w:cs="Arial"/>
                    <w:i/>
                    <w:iCs/>
                    <w:sz w:val="22"/>
                    <w:szCs w:val="22"/>
                    <w:lang w:val="en-US"/>
                  </w:rPr>
                </m:ctrlPr>
              </m:sSupPr>
              <m:e>
                <m:r>
                  <w:rPr>
                    <w:rFonts w:ascii="Cambria Math" w:hAnsi="Cambria Math" w:cs="Arial"/>
                    <w:sz w:val="22"/>
                    <w:szCs w:val="22"/>
                    <w:lang w:val="en-US"/>
                  </w:rPr>
                  <m:t>P</m:t>
                </m:r>
              </m:e>
              <m:sup>
                <m:r>
                  <w:rPr>
                    <w:rFonts w:ascii="Cambria Math" w:hAnsi="Cambria Math" w:cs="Arial"/>
                    <w:sz w:val="22"/>
                    <w:szCs w:val="22"/>
                    <w:lang w:val="en-US"/>
                  </w:rPr>
                  <m:t>*</m:t>
                </m:r>
              </m:sup>
            </m:sSup>
            <m:r>
              <w:rPr>
                <w:rFonts w:ascii="Cambria Math" w:hAnsi="Cambria Math" w:cs="Arial"/>
                <w:sz w:val="22"/>
                <w:szCs w:val="22"/>
                <w:lang w:val="en-US"/>
              </w:rPr>
              <m:t>(y|do</m:t>
            </m:r>
            <m:d>
              <m:dPr>
                <m:ctrlPr>
                  <w:rPr>
                    <w:rFonts w:ascii="Cambria Math" w:hAnsi="Cambria Math" w:cs="Arial"/>
                    <w:i/>
                    <w:iCs/>
                    <w:sz w:val="22"/>
                    <w:szCs w:val="22"/>
                    <w:lang w:val="en-US"/>
                  </w:rPr>
                </m:ctrlPr>
              </m:dPr>
              <m:e>
                <m:r>
                  <w:rPr>
                    <w:rFonts w:ascii="Cambria Math" w:hAnsi="Cambria Math" w:cs="Arial"/>
                    <w:sz w:val="22"/>
                    <w:szCs w:val="22"/>
                    <w:lang w:val="en-US"/>
                  </w:rPr>
                  <m:t>x</m:t>
                </m:r>
              </m:e>
            </m:d>
            <m:r>
              <w:rPr>
                <w:rFonts w:ascii="Cambria Math" w:hAnsi="Cambria Math" w:cs="Arial"/>
                <w:sz w:val="22"/>
                <w:szCs w:val="22"/>
                <w:lang w:val="en-US"/>
              </w:rPr>
              <m:t>,z)</m:t>
            </m:r>
          </m:e>
        </m:nary>
        <m:sSup>
          <m:sSupPr>
            <m:ctrlPr>
              <w:rPr>
                <w:rFonts w:ascii="Cambria Math" w:hAnsi="Cambria Math" w:cs="Arial"/>
                <w:i/>
                <w:iCs/>
                <w:sz w:val="22"/>
                <w:szCs w:val="22"/>
                <w:lang w:val="en-US"/>
              </w:rPr>
            </m:ctrlPr>
          </m:sSupPr>
          <m:e>
            <m:r>
              <w:rPr>
                <w:rFonts w:ascii="Cambria Math" w:hAnsi="Cambria Math" w:cs="Arial"/>
                <w:sz w:val="22"/>
                <w:szCs w:val="22"/>
                <w:lang w:val="en-US"/>
              </w:rPr>
              <m:t>P</m:t>
            </m:r>
          </m:e>
          <m:sup>
            <m:r>
              <w:rPr>
                <w:rFonts w:ascii="Cambria Math" w:hAnsi="Cambria Math" w:cs="Arial"/>
                <w:sz w:val="22"/>
                <w:szCs w:val="22"/>
                <w:lang w:val="en-US"/>
              </w:rPr>
              <m:t>*</m:t>
            </m:r>
          </m:sup>
        </m:sSup>
        <m:d>
          <m:dPr>
            <m:ctrlPr>
              <w:rPr>
                <w:rFonts w:ascii="Cambria Math" w:hAnsi="Cambria Math" w:cs="Arial"/>
                <w:i/>
                <w:sz w:val="22"/>
                <w:szCs w:val="22"/>
                <w:lang w:val="en-US"/>
              </w:rPr>
            </m:ctrlPr>
          </m:dPr>
          <m:e>
            <m:r>
              <w:rPr>
                <w:rFonts w:ascii="Cambria Math" w:hAnsi="Cambria Math" w:cs="Arial"/>
                <w:sz w:val="22"/>
                <w:szCs w:val="22"/>
                <w:lang w:val="en-US"/>
              </w:rPr>
              <m:t>z</m:t>
            </m:r>
          </m:e>
        </m:d>
      </m:oMath>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p>
    <w:p w14:paraId="5F7B0371" w14:textId="25EFFA3B" w:rsidR="00FF353C" w:rsidRPr="002A53AC"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Arial" w:hAnsi="Arial" w:cs="Arial"/>
          <w:sz w:val="22"/>
          <w:szCs w:val="22"/>
          <w:lang w:val="en-US"/>
        </w:rPr>
      </w:pPr>
      <w:r>
        <w:rPr>
          <w:rFonts w:ascii="Arial" w:hAnsi="Arial" w:cs="Arial"/>
          <w:i/>
          <w:iCs/>
          <w:sz w:val="22"/>
          <w:szCs w:val="22"/>
          <w:lang w:val="en-US"/>
        </w:rPr>
        <w:t xml:space="preserve">    </w:t>
      </w:r>
      <w:r w:rsidRPr="002A53AC">
        <w:rPr>
          <w:rFonts w:ascii="Arial" w:hAnsi="Arial" w:cs="Arial"/>
          <w:sz w:val="22"/>
          <w:szCs w:val="22"/>
          <w:lang w:val="en-US"/>
        </w:rPr>
        <w:t xml:space="preserve">= </w:t>
      </w:r>
      <m:oMath>
        <m:nary>
          <m:naryPr>
            <m:chr m:val="∑"/>
            <m:limLoc m:val="undOvr"/>
            <m:supHide m:val="1"/>
            <m:ctrlPr>
              <w:rPr>
                <w:rFonts w:ascii="Cambria Math" w:hAnsi="Cambria Math" w:cs="Arial"/>
                <w:i/>
                <w:sz w:val="22"/>
                <w:szCs w:val="22"/>
                <w:lang w:val="en-US"/>
              </w:rPr>
            </m:ctrlPr>
          </m:naryPr>
          <m:sub>
            <m:r>
              <w:rPr>
                <w:rFonts w:ascii="Cambria Math" w:hAnsi="Cambria Math" w:cs="Arial"/>
                <w:sz w:val="22"/>
                <w:szCs w:val="22"/>
                <w:lang w:val="en-US"/>
              </w:rPr>
              <m:t>Z</m:t>
            </m:r>
          </m:sub>
          <m:sup/>
          <m:e>
            <m:r>
              <w:rPr>
                <w:rFonts w:ascii="Cambria Math" w:hAnsi="Cambria Math" w:cs="Arial"/>
                <w:sz w:val="22"/>
                <w:szCs w:val="22"/>
                <w:lang w:val="en-US"/>
              </w:rPr>
              <m:t>P(y|do</m:t>
            </m:r>
            <m:d>
              <m:dPr>
                <m:ctrlPr>
                  <w:rPr>
                    <w:rFonts w:ascii="Cambria Math" w:hAnsi="Cambria Math" w:cs="Arial"/>
                    <w:i/>
                    <w:iCs/>
                    <w:sz w:val="22"/>
                    <w:szCs w:val="22"/>
                    <w:lang w:val="en-US"/>
                  </w:rPr>
                </m:ctrlPr>
              </m:dPr>
              <m:e>
                <m:r>
                  <w:rPr>
                    <w:rFonts w:ascii="Cambria Math" w:hAnsi="Cambria Math" w:cs="Arial"/>
                    <w:sz w:val="22"/>
                    <w:szCs w:val="22"/>
                    <w:lang w:val="en-US"/>
                  </w:rPr>
                  <m:t>x</m:t>
                </m:r>
              </m:e>
            </m:d>
            <m:r>
              <w:rPr>
                <w:rFonts w:ascii="Cambria Math" w:hAnsi="Cambria Math" w:cs="Arial"/>
                <w:sz w:val="22"/>
                <w:szCs w:val="22"/>
                <w:lang w:val="en-US"/>
              </w:rPr>
              <m:t>,z)</m:t>
            </m:r>
          </m:e>
        </m:nary>
        <m:sSup>
          <m:sSupPr>
            <m:ctrlPr>
              <w:rPr>
                <w:rFonts w:ascii="Cambria Math" w:hAnsi="Cambria Math" w:cs="Arial"/>
                <w:i/>
                <w:iCs/>
                <w:sz w:val="22"/>
                <w:szCs w:val="22"/>
                <w:lang w:val="en-US"/>
              </w:rPr>
            </m:ctrlPr>
          </m:sSupPr>
          <m:e>
            <m:r>
              <w:rPr>
                <w:rFonts w:ascii="Cambria Math" w:hAnsi="Cambria Math" w:cs="Arial"/>
                <w:sz w:val="22"/>
                <w:szCs w:val="22"/>
                <w:lang w:val="en-US"/>
              </w:rPr>
              <m:t>P</m:t>
            </m:r>
          </m:e>
          <m:sup>
            <m:r>
              <w:rPr>
                <w:rFonts w:ascii="Cambria Math" w:hAnsi="Cambria Math" w:cs="Arial"/>
                <w:sz w:val="22"/>
                <w:szCs w:val="22"/>
                <w:lang w:val="en-US"/>
              </w:rPr>
              <m:t>*</m:t>
            </m:r>
          </m:sup>
        </m:sSup>
        <m:d>
          <m:dPr>
            <m:ctrlPr>
              <w:rPr>
                <w:rFonts w:ascii="Cambria Math" w:hAnsi="Cambria Math" w:cs="Arial"/>
                <w:i/>
                <w:sz w:val="22"/>
                <w:szCs w:val="22"/>
                <w:lang w:val="en-US"/>
              </w:rPr>
            </m:ctrlPr>
          </m:dPr>
          <m:e>
            <m:r>
              <w:rPr>
                <w:rFonts w:ascii="Cambria Math" w:hAnsi="Cambria Math" w:cs="Arial"/>
                <w:sz w:val="22"/>
                <w:szCs w:val="22"/>
                <w:lang w:val="en-US"/>
              </w:rPr>
              <m:t>z</m:t>
            </m:r>
          </m:e>
        </m:d>
      </m:oMath>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r w:rsidRPr="002A53AC">
        <w:rPr>
          <w:rFonts w:ascii="Arial" w:hAnsi="Arial" w:cs="Arial"/>
          <w:sz w:val="22"/>
          <w:szCs w:val="22"/>
          <w:lang w:val="en-US"/>
        </w:rPr>
        <w:tab/>
      </w:r>
    </w:p>
    <w:p w14:paraId="767DA5CE" w14:textId="77777777" w:rsidR="006D4CBE"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Arial" w:hAnsi="Arial" w:cs="Arial"/>
          <w:sz w:val="22"/>
          <w:szCs w:val="22"/>
        </w:rPr>
      </w:pPr>
      <w:r w:rsidRPr="00E464CC">
        <w:rPr>
          <w:rFonts w:ascii="Arial" w:hAnsi="Arial" w:cs="Arial"/>
          <w:sz w:val="22"/>
          <w:szCs w:val="22"/>
        </w:rPr>
        <w:t>It combines experimental results obtained in the reference context</w:t>
      </w:r>
      <w:r>
        <w:rPr>
          <w:rFonts w:ascii="Arial" w:hAnsi="Arial" w:cs="Arial"/>
          <w:sz w:val="22"/>
          <w:szCs w:val="22"/>
        </w:rPr>
        <w:t xml:space="preserve">, </w:t>
      </w:r>
      <w:r w:rsidRPr="00E464CC">
        <w:rPr>
          <w:rFonts w:ascii="Arial" w:hAnsi="Arial" w:cs="Arial"/>
          <w:i/>
          <w:iCs/>
          <w:sz w:val="22"/>
          <w:szCs w:val="22"/>
          <w:lang w:val="en-US"/>
        </w:rPr>
        <w:t>P</w:t>
      </w:r>
      <w:r w:rsidRPr="00A405F1">
        <w:rPr>
          <w:rFonts w:ascii="Arial" w:hAnsi="Arial" w:cs="Arial"/>
          <w:sz w:val="22"/>
          <w:szCs w:val="22"/>
          <w:lang w:val="en-US"/>
        </w:rPr>
        <w:t>(</w:t>
      </w:r>
      <w:proofErr w:type="spellStart"/>
      <w:r w:rsidRPr="00E464CC">
        <w:rPr>
          <w:rFonts w:ascii="Arial" w:hAnsi="Arial" w:cs="Arial"/>
          <w:i/>
          <w:iCs/>
          <w:sz w:val="22"/>
          <w:szCs w:val="22"/>
          <w:lang w:val="en-US"/>
        </w:rPr>
        <w:t>y|do</w:t>
      </w:r>
      <w:proofErr w:type="spellEnd"/>
      <w:r w:rsidRPr="00A405F1">
        <w:rPr>
          <w:rFonts w:ascii="Arial" w:hAnsi="Arial" w:cs="Arial"/>
          <w:sz w:val="22"/>
          <w:szCs w:val="22"/>
          <w:lang w:val="en-US"/>
        </w:rPr>
        <w:t>(</w:t>
      </w:r>
      <w:r w:rsidRPr="00E464CC">
        <w:rPr>
          <w:rFonts w:ascii="Arial" w:hAnsi="Arial" w:cs="Arial"/>
          <w:i/>
          <w:iCs/>
          <w:sz w:val="22"/>
          <w:szCs w:val="22"/>
          <w:lang w:val="en-US"/>
        </w:rPr>
        <w:t>x</w:t>
      </w:r>
      <w:proofErr w:type="gramStart"/>
      <w:r w:rsidRPr="00A405F1">
        <w:rPr>
          <w:rFonts w:ascii="Arial" w:hAnsi="Arial" w:cs="Arial"/>
          <w:sz w:val="22"/>
          <w:szCs w:val="22"/>
          <w:lang w:val="en-US"/>
        </w:rPr>
        <w:t>),</w:t>
      </w:r>
      <w:r w:rsidRPr="00E464CC">
        <w:rPr>
          <w:rFonts w:ascii="Arial" w:hAnsi="Arial" w:cs="Arial"/>
          <w:i/>
          <w:iCs/>
          <w:sz w:val="22"/>
          <w:szCs w:val="22"/>
          <w:lang w:val="en-US"/>
        </w:rPr>
        <w:t>z</w:t>
      </w:r>
      <w:proofErr w:type="gramEnd"/>
      <w:r w:rsidRPr="00A405F1">
        <w:rPr>
          <w:rFonts w:ascii="Arial" w:hAnsi="Arial" w:cs="Arial"/>
          <w:sz w:val="22"/>
          <w:szCs w:val="22"/>
          <w:lang w:val="en-US"/>
        </w:rPr>
        <w:t>)</w:t>
      </w:r>
      <w:r w:rsidRPr="00E464CC">
        <w:rPr>
          <w:rFonts w:ascii="Arial" w:hAnsi="Arial" w:cs="Arial"/>
          <w:sz w:val="22"/>
          <w:szCs w:val="22"/>
        </w:rPr>
        <w:t>; with observational aspects of target context</w:t>
      </w:r>
      <w:r w:rsidRPr="00E464CC">
        <w:rPr>
          <w:rFonts w:ascii="Arial" w:hAnsi="Arial" w:cs="Arial"/>
          <w:sz w:val="22"/>
          <w:szCs w:val="22"/>
        </w:rPr>
        <w:tab/>
      </w:r>
      <w:r w:rsidRPr="00E464CC">
        <w:rPr>
          <w:rFonts w:ascii="Arial" w:hAnsi="Arial" w:cs="Arial"/>
          <w:i/>
          <w:iCs/>
          <w:sz w:val="22"/>
          <w:szCs w:val="22"/>
        </w:rPr>
        <w:t>P*z</w:t>
      </w:r>
      <w:r>
        <w:rPr>
          <w:rFonts w:ascii="Arial" w:hAnsi="Arial" w:cs="Arial"/>
          <w:i/>
          <w:iCs/>
          <w:sz w:val="22"/>
          <w:szCs w:val="22"/>
        </w:rPr>
        <w:t xml:space="preserve">, </w:t>
      </w:r>
      <w:r w:rsidRPr="00E464CC">
        <w:rPr>
          <w:rFonts w:ascii="Arial" w:hAnsi="Arial" w:cs="Arial"/>
          <w:sz w:val="22"/>
          <w:szCs w:val="22"/>
        </w:rPr>
        <w:t xml:space="preserve">to obtain an experimental claim </w:t>
      </w:r>
      <w:r w:rsidRPr="00E464CC">
        <w:rPr>
          <w:rFonts w:ascii="Arial" w:hAnsi="Arial" w:cs="Arial"/>
          <w:i/>
          <w:iCs/>
          <w:sz w:val="22"/>
          <w:szCs w:val="22"/>
          <w:lang w:val="en-US"/>
        </w:rPr>
        <w:t>P*</w:t>
      </w:r>
      <w:r w:rsidRPr="00A405F1">
        <w:rPr>
          <w:rFonts w:ascii="Arial" w:hAnsi="Arial" w:cs="Arial"/>
          <w:sz w:val="22"/>
          <w:szCs w:val="22"/>
          <w:lang w:val="en-US"/>
        </w:rPr>
        <w:t>(</w:t>
      </w:r>
      <w:proofErr w:type="spellStart"/>
      <w:r w:rsidRPr="00E464CC">
        <w:rPr>
          <w:rFonts w:ascii="Arial" w:hAnsi="Arial" w:cs="Arial"/>
          <w:i/>
          <w:iCs/>
          <w:sz w:val="22"/>
          <w:szCs w:val="22"/>
          <w:lang w:val="en-US"/>
        </w:rPr>
        <w:t>y|do</w:t>
      </w:r>
      <w:proofErr w:type="spellEnd"/>
      <w:r w:rsidRPr="00A405F1">
        <w:rPr>
          <w:rFonts w:ascii="Arial" w:hAnsi="Arial" w:cs="Arial"/>
          <w:sz w:val="22"/>
          <w:szCs w:val="22"/>
          <w:lang w:val="en-US"/>
        </w:rPr>
        <w:t>(</w:t>
      </w:r>
      <w:r w:rsidRPr="00E464CC">
        <w:rPr>
          <w:rFonts w:ascii="Arial" w:hAnsi="Arial" w:cs="Arial"/>
          <w:i/>
          <w:iCs/>
          <w:sz w:val="22"/>
          <w:szCs w:val="22"/>
          <w:lang w:val="en-US"/>
        </w:rPr>
        <w:t>x</w:t>
      </w:r>
      <w:r w:rsidRPr="00A405F1">
        <w:rPr>
          <w:rFonts w:ascii="Arial" w:hAnsi="Arial" w:cs="Arial"/>
          <w:sz w:val="22"/>
          <w:szCs w:val="22"/>
          <w:lang w:val="en-US"/>
        </w:rPr>
        <w:t>)</w:t>
      </w:r>
      <w:r>
        <w:rPr>
          <w:rFonts w:ascii="Arial" w:hAnsi="Arial" w:cs="Arial"/>
          <w:i/>
          <w:iCs/>
          <w:sz w:val="22"/>
          <w:szCs w:val="22"/>
          <w:lang w:val="en-US"/>
        </w:rPr>
        <w:t xml:space="preserve">, </w:t>
      </w:r>
      <w:r w:rsidRPr="00E464CC">
        <w:rPr>
          <w:rFonts w:ascii="Arial" w:hAnsi="Arial" w:cs="Arial"/>
          <w:sz w:val="22"/>
          <w:szCs w:val="22"/>
        </w:rPr>
        <w:t>about the target context. By formalising this graphically and formulaically</w:t>
      </w:r>
      <w:r w:rsidR="00351F9A">
        <w:rPr>
          <w:rFonts w:ascii="Arial" w:hAnsi="Arial" w:cs="Arial"/>
          <w:sz w:val="22"/>
          <w:szCs w:val="22"/>
        </w:rPr>
        <w:t xml:space="preserve">, </w:t>
      </w:r>
      <w:r w:rsidRPr="00E464CC">
        <w:rPr>
          <w:rFonts w:ascii="Arial" w:hAnsi="Arial" w:cs="Arial"/>
          <w:sz w:val="22"/>
          <w:szCs w:val="22"/>
        </w:rPr>
        <w:t xml:space="preserve">we are forced to </w:t>
      </w:r>
      <w:r w:rsidR="005E2996">
        <w:rPr>
          <w:rFonts w:ascii="Arial" w:hAnsi="Arial" w:cs="Arial"/>
          <w:sz w:val="22"/>
          <w:szCs w:val="22"/>
        </w:rPr>
        <w:t>define</w:t>
      </w:r>
      <w:r w:rsidR="005E2996" w:rsidRPr="00E464CC">
        <w:rPr>
          <w:rFonts w:ascii="Arial" w:hAnsi="Arial" w:cs="Arial"/>
          <w:sz w:val="22"/>
          <w:szCs w:val="22"/>
        </w:rPr>
        <w:t xml:space="preserve"> </w:t>
      </w:r>
      <w:r w:rsidRPr="00E464CC">
        <w:rPr>
          <w:rFonts w:ascii="Arial" w:hAnsi="Arial" w:cs="Arial"/>
          <w:sz w:val="22"/>
          <w:szCs w:val="22"/>
        </w:rPr>
        <w:t xml:space="preserve">what we </w:t>
      </w:r>
      <w:r w:rsidR="0009322B" w:rsidRPr="00E464CC">
        <w:rPr>
          <w:rFonts w:ascii="Arial" w:hAnsi="Arial" w:cs="Arial"/>
          <w:sz w:val="22"/>
          <w:szCs w:val="22"/>
        </w:rPr>
        <w:t xml:space="preserve">must </w:t>
      </w:r>
      <w:r w:rsidRPr="00E464CC">
        <w:rPr>
          <w:rFonts w:ascii="Arial" w:hAnsi="Arial" w:cs="Arial"/>
          <w:sz w:val="22"/>
          <w:szCs w:val="22"/>
        </w:rPr>
        <w:t>assume about other confounding variables beside stand age</w:t>
      </w:r>
      <w:r w:rsidR="0009322B">
        <w:rPr>
          <w:rFonts w:ascii="Arial" w:hAnsi="Arial" w:cs="Arial"/>
          <w:sz w:val="22"/>
          <w:szCs w:val="22"/>
        </w:rPr>
        <w:t xml:space="preserve">, </w:t>
      </w:r>
      <w:r w:rsidRPr="00E464CC">
        <w:rPr>
          <w:rFonts w:ascii="Arial" w:hAnsi="Arial" w:cs="Arial"/>
          <w:sz w:val="22"/>
          <w:szCs w:val="22"/>
        </w:rPr>
        <w:t>both latent and observed</w:t>
      </w:r>
      <w:r w:rsidR="0009322B">
        <w:rPr>
          <w:rFonts w:ascii="Arial" w:hAnsi="Arial" w:cs="Arial"/>
          <w:sz w:val="22"/>
          <w:szCs w:val="22"/>
        </w:rPr>
        <w:t>,</w:t>
      </w:r>
      <w:r w:rsidRPr="00E464CC">
        <w:rPr>
          <w:rFonts w:ascii="Arial" w:hAnsi="Arial" w:cs="Arial"/>
          <w:sz w:val="22"/>
          <w:szCs w:val="22"/>
        </w:rPr>
        <w:tab/>
        <w:t xml:space="preserve">for our formulae to </w:t>
      </w:r>
      <w:r w:rsidR="0009322B">
        <w:rPr>
          <w:rFonts w:ascii="Arial" w:hAnsi="Arial" w:cs="Arial"/>
          <w:sz w:val="22"/>
          <w:szCs w:val="22"/>
        </w:rPr>
        <w:t>have validity</w:t>
      </w:r>
      <w:r w:rsidRPr="00E464CC">
        <w:rPr>
          <w:rFonts w:ascii="Arial" w:hAnsi="Arial" w:cs="Arial"/>
          <w:sz w:val="22"/>
          <w:szCs w:val="22"/>
        </w:rPr>
        <w:t>.</w:t>
      </w:r>
    </w:p>
    <w:p w14:paraId="0D3FED15" w14:textId="4D4EC6E6" w:rsidR="00FF353C" w:rsidRDefault="00FF353C" w:rsidP="002A53AC">
      <w:pPr>
        <w:tabs>
          <w:tab w:val="left" w:pos="1120"/>
          <w:tab w:val="left" w:pos="2114"/>
          <w:tab w:val="left" w:pos="3088"/>
          <w:tab w:val="left" w:pos="3920"/>
          <w:tab w:val="left" w:pos="4866"/>
          <w:tab w:val="left" w:pos="5790"/>
          <w:tab w:val="left" w:pos="6700"/>
          <w:tab w:val="left" w:pos="7441"/>
          <w:tab w:val="left" w:pos="8316"/>
          <w:tab w:val="left" w:pos="9096"/>
        </w:tabs>
        <w:ind w:left="113"/>
        <w:rPr>
          <w:rFonts w:ascii="Calibri" w:eastAsia="Calibri" w:hAnsi="Calibri" w:cs="Calibri"/>
          <w:b/>
          <w:sz w:val="26"/>
          <w:szCs w:val="26"/>
        </w:rPr>
      </w:pPr>
      <w:r>
        <w:rPr>
          <w:rFonts w:ascii="Calibri" w:eastAsia="Calibri" w:hAnsi="Calibri" w:cs="Calibri"/>
          <w:b/>
          <w:sz w:val="26"/>
          <w:szCs w:val="26"/>
        </w:rPr>
        <w:tab/>
      </w:r>
      <w:r>
        <w:rPr>
          <w:rFonts w:ascii="Calibri" w:eastAsia="Calibri" w:hAnsi="Calibri" w:cs="Calibri"/>
          <w:b/>
          <w:sz w:val="26"/>
          <w:szCs w:val="26"/>
        </w:rPr>
        <w:tab/>
      </w:r>
    </w:p>
    <w:tbl>
      <w:tblPr>
        <w:tblStyle w:val="TableGrid"/>
        <w:tblW w:w="0" w:type="auto"/>
        <w:tblLook w:val="04A0" w:firstRow="1" w:lastRow="0" w:firstColumn="1" w:lastColumn="0" w:noHBand="0" w:noVBand="1"/>
      </w:tblPr>
      <w:tblGrid>
        <w:gridCol w:w="9016"/>
      </w:tblGrid>
      <w:tr w:rsidR="00C50D16" w14:paraId="6C45C0A1" w14:textId="77777777" w:rsidTr="1D18E6E7">
        <w:tc>
          <w:tcPr>
            <w:tcW w:w="9376" w:type="dxa"/>
          </w:tcPr>
          <w:p w14:paraId="7C3A49CA" w14:textId="5768EDD1" w:rsidR="00C50D16" w:rsidRPr="00C50D16" w:rsidRDefault="00C50D16" w:rsidP="00C50D16">
            <w:pPr>
              <w:pStyle w:val="Heading1"/>
              <w:outlineLvl w:val="0"/>
            </w:pPr>
            <w:r w:rsidRPr="00C50D16">
              <w:lastRenderedPageBreak/>
              <w:t>Box</w:t>
            </w:r>
            <w:r w:rsidR="00E464CC">
              <w:t xml:space="preserve"> 4</w:t>
            </w:r>
            <w:r w:rsidRPr="00C50D16">
              <w:t>. Glossary of terms</w:t>
            </w:r>
          </w:p>
          <w:p w14:paraId="4ADDBE78" w14:textId="4C0E07D1" w:rsidR="001820F5" w:rsidRPr="005E2996" w:rsidRDefault="001820F5" w:rsidP="00600326">
            <w:pPr>
              <w:spacing w:after="120"/>
              <w:rPr>
                <w:rFonts w:ascii="Arial" w:hAnsi="Arial" w:cs="Arial"/>
                <w:bCs/>
                <w:sz w:val="20"/>
                <w:szCs w:val="20"/>
              </w:rPr>
            </w:pPr>
            <w:r>
              <w:rPr>
                <w:rFonts w:ascii="Arial" w:hAnsi="Arial" w:cs="Arial"/>
                <w:b/>
                <w:sz w:val="20"/>
                <w:szCs w:val="20"/>
              </w:rPr>
              <w:t>Accuracy / bias</w:t>
            </w:r>
            <w:r>
              <w:rPr>
                <w:rFonts w:ascii="Arial" w:hAnsi="Arial" w:cs="Arial"/>
                <w:bCs/>
                <w:sz w:val="20"/>
                <w:szCs w:val="20"/>
              </w:rPr>
              <w:t>: the distance of an estimate from the value it is estimating, with a large distance signifying low accuracy / high bias.</w:t>
            </w:r>
          </w:p>
          <w:p w14:paraId="632DC9D6" w14:textId="6C8524B2" w:rsidR="00C50D16" w:rsidRPr="00746BF8" w:rsidRDefault="00C50D16" w:rsidP="00600326">
            <w:pPr>
              <w:spacing w:after="120"/>
              <w:rPr>
                <w:rFonts w:ascii="Arial" w:hAnsi="Arial" w:cs="Arial"/>
                <w:sz w:val="20"/>
                <w:szCs w:val="20"/>
              </w:rPr>
            </w:pPr>
            <w:r w:rsidRPr="00746BF8">
              <w:rPr>
                <w:rFonts w:ascii="Arial" w:hAnsi="Arial" w:cs="Arial"/>
                <w:b/>
                <w:sz w:val="20"/>
                <w:szCs w:val="20"/>
              </w:rPr>
              <w:t>Boundary conditions</w:t>
            </w:r>
            <w:r w:rsidRPr="00746BF8">
              <w:rPr>
                <w:rFonts w:ascii="Arial" w:hAnsi="Arial" w:cs="Arial"/>
                <w:sz w:val="20"/>
                <w:szCs w:val="20"/>
              </w:rPr>
              <w:t xml:space="preserve">: the regions of the parameter space that describe a context, within which an inference is valid. </w:t>
            </w:r>
          </w:p>
          <w:p w14:paraId="6EA4EF88" w14:textId="232A7F72" w:rsidR="00C50D16" w:rsidRPr="00746BF8" w:rsidRDefault="00C50D16" w:rsidP="00600326">
            <w:pPr>
              <w:spacing w:after="120"/>
              <w:rPr>
                <w:rFonts w:ascii="Arial" w:hAnsi="Arial" w:cs="Arial"/>
                <w:sz w:val="20"/>
                <w:szCs w:val="20"/>
              </w:rPr>
            </w:pPr>
            <w:r w:rsidRPr="00746BF8">
              <w:rPr>
                <w:rFonts w:ascii="Arial" w:hAnsi="Arial" w:cs="Arial"/>
                <w:b/>
                <w:sz w:val="20"/>
                <w:szCs w:val="20"/>
              </w:rPr>
              <w:t>Causal inference:</w:t>
            </w:r>
            <w:r w:rsidRPr="00746BF8">
              <w:rPr>
                <w:rFonts w:ascii="Arial" w:hAnsi="Arial" w:cs="Arial"/>
                <w:sz w:val="20"/>
                <w:szCs w:val="20"/>
              </w:rPr>
              <w:t xml:space="preserve"> </w:t>
            </w:r>
            <w:r w:rsidR="004E7EAD">
              <w:rPr>
                <w:rFonts w:ascii="Arial" w:hAnsi="Arial" w:cs="Arial"/>
                <w:sz w:val="20"/>
                <w:szCs w:val="20"/>
              </w:rPr>
              <w:t>an evidence-based conclusion about</w:t>
            </w:r>
            <w:r w:rsidR="004E7EAD" w:rsidRPr="00746BF8">
              <w:rPr>
                <w:rFonts w:ascii="Arial" w:hAnsi="Arial" w:cs="Arial"/>
                <w:sz w:val="20"/>
                <w:szCs w:val="20"/>
              </w:rPr>
              <w:t xml:space="preserve"> </w:t>
            </w:r>
            <w:r w:rsidRPr="00746BF8">
              <w:rPr>
                <w:rFonts w:ascii="Arial" w:hAnsi="Arial" w:cs="Arial"/>
                <w:sz w:val="20"/>
                <w:szCs w:val="20"/>
              </w:rPr>
              <w:t xml:space="preserve">the causal, driving effect of a particular phenomenon. </w:t>
            </w:r>
          </w:p>
          <w:p w14:paraId="4886179C" w14:textId="6822BCDE" w:rsidR="00C50D16" w:rsidRPr="00746BF8" w:rsidRDefault="00C50D16" w:rsidP="00600326">
            <w:pPr>
              <w:spacing w:after="120"/>
              <w:rPr>
                <w:rFonts w:ascii="Arial" w:hAnsi="Arial" w:cs="Arial"/>
                <w:sz w:val="20"/>
                <w:szCs w:val="20"/>
              </w:rPr>
            </w:pPr>
            <w:r w:rsidRPr="00746BF8">
              <w:rPr>
                <w:rFonts w:ascii="Arial" w:hAnsi="Arial" w:cs="Arial"/>
                <w:b/>
                <w:sz w:val="20"/>
                <w:szCs w:val="20"/>
              </w:rPr>
              <w:t xml:space="preserve">Effect modification: </w:t>
            </w:r>
            <w:r w:rsidR="004E7EAD">
              <w:rPr>
                <w:rFonts w:ascii="Arial" w:hAnsi="Arial" w:cs="Arial"/>
                <w:sz w:val="20"/>
                <w:szCs w:val="20"/>
              </w:rPr>
              <w:t>an effect</w:t>
            </w:r>
            <w:r w:rsidRPr="00746BF8">
              <w:rPr>
                <w:rFonts w:ascii="Arial" w:hAnsi="Arial" w:cs="Arial"/>
                <w:sz w:val="20"/>
                <w:szCs w:val="20"/>
              </w:rPr>
              <w:t xml:space="preserve"> magnitude and/or direction </w:t>
            </w:r>
            <w:r w:rsidR="004E7EAD">
              <w:rPr>
                <w:rFonts w:ascii="Arial" w:hAnsi="Arial" w:cs="Arial"/>
                <w:sz w:val="20"/>
                <w:szCs w:val="20"/>
              </w:rPr>
              <w:t>that</w:t>
            </w:r>
            <w:r w:rsidRPr="00746BF8">
              <w:rPr>
                <w:rFonts w:ascii="Arial" w:hAnsi="Arial" w:cs="Arial"/>
                <w:sz w:val="20"/>
                <w:szCs w:val="20"/>
              </w:rPr>
              <w:t xml:space="preserve"> varies with the values of another</w:t>
            </w:r>
            <w:r w:rsidR="004E7EAD">
              <w:rPr>
                <w:rFonts w:ascii="Arial" w:hAnsi="Arial" w:cs="Arial"/>
                <w:sz w:val="20"/>
                <w:szCs w:val="20"/>
              </w:rPr>
              <w:t xml:space="preserve"> effect</w:t>
            </w:r>
            <w:r w:rsidRPr="00746BF8">
              <w:rPr>
                <w:rFonts w:ascii="Arial" w:hAnsi="Arial" w:cs="Arial"/>
                <w:sz w:val="20"/>
                <w:szCs w:val="20"/>
              </w:rPr>
              <w:t>, and vice versa.</w:t>
            </w:r>
          </w:p>
          <w:p w14:paraId="5B44A864" w14:textId="39C724AB" w:rsidR="00C50D16" w:rsidRPr="00746BF8" w:rsidRDefault="1D18E6E7" w:rsidP="0078290C">
            <w:pPr>
              <w:spacing w:after="120"/>
              <w:rPr>
                <w:rFonts w:ascii="Arial" w:hAnsi="Arial" w:cs="Arial"/>
                <w:sz w:val="20"/>
                <w:szCs w:val="20"/>
              </w:rPr>
            </w:pPr>
            <w:proofErr w:type="spellStart"/>
            <w:r w:rsidRPr="1D18E6E7">
              <w:rPr>
                <w:rFonts w:ascii="Arial" w:hAnsi="Arial" w:cs="Arial"/>
                <w:b/>
                <w:bCs/>
                <w:sz w:val="20"/>
                <w:szCs w:val="20"/>
              </w:rPr>
              <w:t>Estimand</w:t>
            </w:r>
            <w:proofErr w:type="spellEnd"/>
            <w:r w:rsidRPr="1D18E6E7">
              <w:rPr>
                <w:rFonts w:ascii="Arial" w:hAnsi="Arial" w:cs="Arial"/>
                <w:sz w:val="20"/>
                <w:szCs w:val="20"/>
              </w:rPr>
              <w:t xml:space="preserve">: the target of estimation, characterised by: a response variable of interest (e.g. species richness), an independent variable of interest (e.g. forest logging), a summary measure (e.g., the </w:t>
            </w:r>
            <w:r w:rsidR="008B25C8">
              <w:rPr>
                <w:rFonts w:ascii="Arial" w:hAnsi="Arial" w:cs="Arial"/>
                <w:sz w:val="20"/>
                <w:szCs w:val="20"/>
              </w:rPr>
              <w:t xml:space="preserve">standardised mean </w:t>
            </w:r>
            <w:r w:rsidRPr="1D18E6E7">
              <w:rPr>
                <w:rFonts w:ascii="Arial" w:hAnsi="Arial" w:cs="Arial"/>
                <w:sz w:val="20"/>
                <w:szCs w:val="20"/>
              </w:rPr>
              <w:t xml:space="preserve">difference in species richness </w:t>
            </w:r>
            <w:r w:rsidR="008B25C8">
              <w:rPr>
                <w:rFonts w:ascii="Arial" w:hAnsi="Arial" w:cs="Arial"/>
                <w:sz w:val="20"/>
                <w:szCs w:val="20"/>
              </w:rPr>
              <w:t xml:space="preserve">between the populations of </w:t>
            </w:r>
            <w:r w:rsidRPr="1D18E6E7">
              <w:rPr>
                <w:rFonts w:ascii="Arial" w:hAnsi="Arial" w:cs="Arial"/>
                <w:sz w:val="20"/>
                <w:szCs w:val="20"/>
              </w:rPr>
              <w:t>logged and unlogged stands</w:t>
            </w:r>
            <w:r w:rsidR="008B25C8">
              <w:rPr>
                <w:rFonts w:ascii="Arial" w:hAnsi="Arial" w:cs="Arial"/>
                <w:sz w:val="20"/>
                <w:szCs w:val="20"/>
              </w:rPr>
              <w:t>: [</w:t>
            </w:r>
            <w:r w:rsidR="008B25C8" w:rsidRPr="008B25C8">
              <w:rPr>
                <w:i/>
                <w:iCs/>
              </w:rPr>
              <w:t>μ</w:t>
            </w:r>
            <w:r w:rsidR="008B25C8" w:rsidRPr="008B25C8">
              <w:rPr>
                <w:sz w:val="22"/>
                <w:szCs w:val="22"/>
                <w:vertAlign w:val="subscript"/>
              </w:rPr>
              <w:t>1</w:t>
            </w:r>
            <w:r w:rsidR="008B25C8" w:rsidRPr="008B25C8">
              <w:t xml:space="preserve"> – </w:t>
            </w:r>
            <w:r w:rsidR="008B25C8" w:rsidRPr="008B25C8">
              <w:rPr>
                <w:i/>
                <w:iCs/>
              </w:rPr>
              <w:t>μ</w:t>
            </w:r>
            <w:r w:rsidR="008B25C8" w:rsidRPr="008B25C8">
              <w:rPr>
                <w:sz w:val="22"/>
                <w:szCs w:val="22"/>
                <w:vertAlign w:val="subscript"/>
              </w:rPr>
              <w:t>2</w:t>
            </w:r>
            <w:r w:rsidR="008B25C8" w:rsidRPr="008B25C8">
              <w:t>]/</w:t>
            </w:r>
            <w:r w:rsidR="008B25C8" w:rsidRPr="008B25C8">
              <w:rPr>
                <w:i/>
                <w:iCs/>
              </w:rPr>
              <w:t>σ</w:t>
            </w:r>
            <w:r w:rsidRPr="1D18E6E7">
              <w:rPr>
                <w:rFonts w:ascii="Arial" w:hAnsi="Arial" w:cs="Arial"/>
                <w:sz w:val="20"/>
                <w:szCs w:val="20"/>
              </w:rPr>
              <w:t>), the target population or unit of interest (e.g., planted forest stands within a national park</w:t>
            </w:r>
            <w:proofErr w:type="gramStart"/>
            <w:r w:rsidRPr="1D18E6E7">
              <w:rPr>
                <w:rFonts w:ascii="Arial" w:hAnsi="Arial" w:cs="Arial"/>
                <w:sz w:val="20"/>
                <w:szCs w:val="20"/>
              </w:rPr>
              <w:t>)..</w:t>
            </w:r>
            <w:proofErr w:type="gramEnd"/>
          </w:p>
          <w:p w14:paraId="73FCF3AB" w14:textId="453D83E9" w:rsidR="00C50D16" w:rsidRPr="00746BF8" w:rsidRDefault="00C50D16" w:rsidP="00600326">
            <w:pPr>
              <w:spacing w:after="120"/>
              <w:rPr>
                <w:rFonts w:ascii="Arial" w:hAnsi="Arial" w:cs="Arial"/>
                <w:sz w:val="20"/>
                <w:szCs w:val="20"/>
              </w:rPr>
            </w:pPr>
            <w:r w:rsidRPr="00746BF8">
              <w:rPr>
                <w:rFonts w:ascii="Arial" w:hAnsi="Arial" w:cs="Arial"/>
                <w:b/>
                <w:sz w:val="20"/>
                <w:szCs w:val="20"/>
              </w:rPr>
              <w:t>External validity:</w:t>
            </w:r>
            <w:r w:rsidRPr="00746BF8">
              <w:rPr>
                <w:rFonts w:ascii="Arial" w:hAnsi="Arial" w:cs="Arial"/>
                <w:sz w:val="20"/>
                <w:szCs w:val="20"/>
              </w:rPr>
              <w:t xml:space="preserve"> </w:t>
            </w:r>
            <w:r w:rsidR="001B2DC3">
              <w:rPr>
                <w:rFonts w:ascii="Arial" w:hAnsi="Arial" w:cs="Arial"/>
                <w:sz w:val="20"/>
                <w:szCs w:val="20"/>
              </w:rPr>
              <w:t>Here referred to as</w:t>
            </w:r>
            <w:r w:rsidRPr="00746BF8">
              <w:rPr>
                <w:rFonts w:ascii="Arial" w:hAnsi="Arial" w:cs="Arial"/>
                <w:sz w:val="20"/>
                <w:szCs w:val="20"/>
              </w:rPr>
              <w:t xml:space="preserve"> ‘generality’. The </w:t>
            </w:r>
            <w:r w:rsidR="00600326">
              <w:rPr>
                <w:rFonts w:ascii="Arial" w:hAnsi="Arial" w:cs="Arial"/>
                <w:sz w:val="20"/>
                <w:szCs w:val="20"/>
              </w:rPr>
              <w:t xml:space="preserve">capacity for a sample </w:t>
            </w:r>
            <w:proofErr w:type="spellStart"/>
            <w:r w:rsidRPr="00746BF8">
              <w:rPr>
                <w:rFonts w:ascii="Arial" w:hAnsi="Arial" w:cs="Arial"/>
                <w:sz w:val="20"/>
                <w:szCs w:val="20"/>
              </w:rPr>
              <w:t>estimand</w:t>
            </w:r>
            <w:proofErr w:type="spellEnd"/>
            <w:r w:rsidRPr="00746BF8">
              <w:rPr>
                <w:rFonts w:ascii="Arial" w:hAnsi="Arial" w:cs="Arial"/>
                <w:sz w:val="20"/>
                <w:szCs w:val="20"/>
              </w:rPr>
              <w:t xml:space="preserve"> to apply to a specified target population. Two types are distinguished: generalisability and transferability.</w:t>
            </w:r>
          </w:p>
          <w:p w14:paraId="4A1CE42D" w14:textId="37E67D67" w:rsidR="00C50D16" w:rsidRPr="00746BF8" w:rsidRDefault="00C50D16" w:rsidP="00600326">
            <w:pPr>
              <w:spacing w:after="120"/>
              <w:rPr>
                <w:rFonts w:ascii="Arial" w:hAnsi="Arial" w:cs="Arial"/>
                <w:sz w:val="20"/>
                <w:szCs w:val="20"/>
              </w:rPr>
            </w:pPr>
            <w:r w:rsidRPr="00746BF8">
              <w:rPr>
                <w:rFonts w:ascii="Arial" w:hAnsi="Arial" w:cs="Arial"/>
                <w:b/>
                <w:sz w:val="20"/>
                <w:szCs w:val="20"/>
              </w:rPr>
              <w:t xml:space="preserve">Generalisability: </w:t>
            </w:r>
            <w:r w:rsidRPr="00746BF8">
              <w:rPr>
                <w:rFonts w:ascii="Arial" w:hAnsi="Arial" w:cs="Arial"/>
                <w:bCs/>
                <w:sz w:val="20"/>
                <w:szCs w:val="20"/>
              </w:rPr>
              <w:t xml:space="preserve">concerns the validity of extending an inference about an </w:t>
            </w:r>
            <w:proofErr w:type="spellStart"/>
            <w:r w:rsidRPr="00746BF8">
              <w:rPr>
                <w:rFonts w:ascii="Arial" w:hAnsi="Arial" w:cs="Arial"/>
                <w:bCs/>
                <w:sz w:val="20"/>
                <w:szCs w:val="20"/>
              </w:rPr>
              <w:t>estimand</w:t>
            </w:r>
            <w:proofErr w:type="spellEnd"/>
            <w:r w:rsidRPr="00746BF8">
              <w:rPr>
                <w:rFonts w:ascii="Arial" w:hAnsi="Arial" w:cs="Arial"/>
                <w:bCs/>
                <w:sz w:val="20"/>
                <w:szCs w:val="20"/>
              </w:rPr>
              <w:t xml:space="preserve"> from the sample to the population from which it is drawn. </w:t>
            </w:r>
            <w:r w:rsidR="00A31141">
              <w:rPr>
                <w:rFonts w:ascii="Arial" w:hAnsi="Arial" w:cs="Arial"/>
                <w:bCs/>
                <w:sz w:val="20"/>
                <w:szCs w:val="20"/>
              </w:rPr>
              <w:t>Generalisability</w:t>
            </w:r>
            <w:r w:rsidR="00A31141" w:rsidRPr="00746BF8">
              <w:rPr>
                <w:rFonts w:ascii="Arial" w:hAnsi="Arial" w:cs="Arial"/>
                <w:bCs/>
                <w:sz w:val="20"/>
                <w:szCs w:val="20"/>
              </w:rPr>
              <w:t xml:space="preserve"> </w:t>
            </w:r>
            <w:r w:rsidRPr="00746BF8">
              <w:rPr>
                <w:rFonts w:ascii="Arial" w:hAnsi="Arial" w:cs="Arial"/>
                <w:bCs/>
                <w:sz w:val="20"/>
                <w:szCs w:val="20"/>
              </w:rPr>
              <w:t xml:space="preserve">could be </w:t>
            </w:r>
            <w:r w:rsidR="00A31141">
              <w:rPr>
                <w:rFonts w:ascii="Arial" w:hAnsi="Arial" w:cs="Arial"/>
                <w:bCs/>
                <w:sz w:val="20"/>
                <w:szCs w:val="20"/>
              </w:rPr>
              <w:t xml:space="preserve">defined </w:t>
            </w:r>
            <w:r w:rsidRPr="00746BF8">
              <w:rPr>
                <w:rFonts w:ascii="Arial" w:hAnsi="Arial" w:cs="Arial"/>
                <w:bCs/>
                <w:sz w:val="20"/>
                <w:szCs w:val="20"/>
              </w:rPr>
              <w:t xml:space="preserve">as the accuracy of a </w:t>
            </w:r>
            <w:r w:rsidR="00A31141">
              <w:rPr>
                <w:rFonts w:ascii="Arial" w:hAnsi="Arial" w:cs="Arial"/>
                <w:bCs/>
                <w:sz w:val="20"/>
                <w:szCs w:val="20"/>
              </w:rPr>
              <w:t xml:space="preserve">sample </w:t>
            </w:r>
            <w:proofErr w:type="spellStart"/>
            <w:r w:rsidRPr="00746BF8">
              <w:rPr>
                <w:rFonts w:ascii="Arial" w:hAnsi="Arial" w:cs="Arial"/>
                <w:bCs/>
                <w:sz w:val="20"/>
                <w:szCs w:val="20"/>
              </w:rPr>
              <w:t>estimand</w:t>
            </w:r>
            <w:proofErr w:type="spellEnd"/>
            <w:r w:rsidRPr="00746BF8">
              <w:rPr>
                <w:rFonts w:ascii="Arial" w:hAnsi="Arial" w:cs="Arial"/>
                <w:bCs/>
                <w:sz w:val="20"/>
                <w:szCs w:val="20"/>
              </w:rPr>
              <w:t xml:space="preserve">, in terms of its difference from the true population </w:t>
            </w:r>
            <w:proofErr w:type="spellStart"/>
            <w:r w:rsidRPr="00746BF8">
              <w:rPr>
                <w:rFonts w:ascii="Arial" w:hAnsi="Arial" w:cs="Arial"/>
                <w:bCs/>
                <w:sz w:val="20"/>
                <w:szCs w:val="20"/>
              </w:rPr>
              <w:t>estimand</w:t>
            </w:r>
            <w:proofErr w:type="spellEnd"/>
            <w:r w:rsidRPr="00746BF8">
              <w:rPr>
                <w:rFonts w:ascii="Arial" w:hAnsi="Arial" w:cs="Arial"/>
                <w:bCs/>
                <w:sz w:val="20"/>
                <w:szCs w:val="20"/>
              </w:rPr>
              <w:t>.</w:t>
            </w:r>
            <w:r w:rsidRPr="00746BF8">
              <w:rPr>
                <w:rFonts w:ascii="Arial" w:hAnsi="Arial" w:cs="Arial"/>
                <w:sz w:val="20"/>
                <w:szCs w:val="20"/>
              </w:rPr>
              <w:t xml:space="preserve"> </w:t>
            </w:r>
          </w:p>
          <w:p w14:paraId="516A7254" w14:textId="2EAF2A14" w:rsidR="00C50D16" w:rsidRPr="00746BF8" w:rsidRDefault="00C50D16" w:rsidP="00436BD3">
            <w:pPr>
              <w:spacing w:after="120"/>
              <w:rPr>
                <w:rFonts w:ascii="Arial" w:hAnsi="Arial" w:cs="Arial"/>
                <w:sz w:val="20"/>
                <w:szCs w:val="20"/>
              </w:rPr>
            </w:pPr>
            <w:r w:rsidRPr="00746BF8">
              <w:rPr>
                <w:rFonts w:ascii="Arial" w:hAnsi="Arial" w:cs="Arial"/>
                <w:b/>
                <w:sz w:val="20"/>
                <w:szCs w:val="20"/>
              </w:rPr>
              <w:t xml:space="preserve">Internal </w:t>
            </w:r>
            <w:proofErr w:type="gramStart"/>
            <w:r w:rsidRPr="00746BF8">
              <w:rPr>
                <w:rFonts w:ascii="Arial" w:hAnsi="Arial" w:cs="Arial"/>
                <w:b/>
                <w:sz w:val="20"/>
                <w:szCs w:val="20"/>
              </w:rPr>
              <w:t>validity:</w:t>
            </w:r>
            <w:r w:rsidRPr="00746BF8">
              <w:rPr>
                <w:rFonts w:ascii="Arial" w:hAnsi="Arial" w:cs="Arial"/>
                <w:sz w:val="20"/>
                <w:szCs w:val="20"/>
              </w:rPr>
              <w:t>.</w:t>
            </w:r>
            <w:proofErr w:type="gramEnd"/>
            <w:r w:rsidR="00436BD3">
              <w:t xml:space="preserve"> </w:t>
            </w:r>
            <w:r w:rsidR="00436BD3">
              <w:rPr>
                <w:rFonts w:ascii="Arial" w:hAnsi="Arial" w:cs="Arial"/>
                <w:sz w:val="20"/>
                <w:szCs w:val="20"/>
              </w:rPr>
              <w:t xml:space="preserve">The degree to which </w:t>
            </w:r>
            <w:r w:rsidR="00436BD3" w:rsidRPr="00436BD3">
              <w:rPr>
                <w:rFonts w:ascii="Arial" w:hAnsi="Arial" w:cs="Arial"/>
                <w:sz w:val="20"/>
                <w:szCs w:val="20"/>
              </w:rPr>
              <w:t>observed covariation</w:t>
            </w:r>
            <w:r w:rsidR="00436BD3">
              <w:rPr>
                <w:rFonts w:ascii="Arial" w:hAnsi="Arial" w:cs="Arial"/>
                <w:sz w:val="20"/>
                <w:szCs w:val="20"/>
              </w:rPr>
              <w:t xml:space="preserve"> between a dependent and </w:t>
            </w:r>
            <w:r w:rsidR="00B328E5">
              <w:rPr>
                <w:rFonts w:ascii="Arial" w:hAnsi="Arial" w:cs="Arial"/>
                <w:sz w:val="20"/>
                <w:szCs w:val="20"/>
              </w:rPr>
              <w:t>an in</w:t>
            </w:r>
            <w:r w:rsidR="00436BD3">
              <w:rPr>
                <w:rFonts w:ascii="Arial" w:hAnsi="Arial" w:cs="Arial"/>
                <w:sz w:val="20"/>
                <w:szCs w:val="20"/>
              </w:rPr>
              <w:t xml:space="preserve">dependent variable </w:t>
            </w:r>
            <w:r w:rsidR="00217E6A">
              <w:rPr>
                <w:rFonts w:ascii="Arial" w:hAnsi="Arial" w:cs="Arial"/>
                <w:sz w:val="20"/>
                <w:szCs w:val="20"/>
              </w:rPr>
              <w:t>can</w:t>
            </w:r>
            <w:r w:rsidR="00436BD3" w:rsidRPr="00436BD3">
              <w:rPr>
                <w:rFonts w:ascii="Arial" w:hAnsi="Arial" w:cs="Arial"/>
                <w:sz w:val="20"/>
                <w:szCs w:val="20"/>
              </w:rPr>
              <w:t xml:space="preserve"> be interpreted as a causal </w:t>
            </w:r>
            <w:r w:rsidR="0078290C">
              <w:rPr>
                <w:rFonts w:ascii="Arial" w:hAnsi="Arial" w:cs="Arial"/>
                <w:sz w:val="20"/>
                <w:szCs w:val="20"/>
              </w:rPr>
              <w:t>effect</w:t>
            </w:r>
            <w:r w:rsidR="008227B8">
              <w:rPr>
                <w:rFonts w:ascii="Arial" w:hAnsi="Arial" w:cs="Arial"/>
                <w:sz w:val="20"/>
                <w:szCs w:val="20"/>
              </w:rPr>
              <w:t xml:space="preserve">. </w:t>
            </w:r>
          </w:p>
          <w:p w14:paraId="7BB0F480" w14:textId="1C0EA2A5" w:rsidR="00C50D16" w:rsidRPr="00746BF8" w:rsidRDefault="00C50D16" w:rsidP="00600326">
            <w:pPr>
              <w:spacing w:after="120"/>
              <w:rPr>
                <w:rFonts w:ascii="Arial" w:hAnsi="Arial" w:cs="Arial"/>
                <w:sz w:val="20"/>
                <w:szCs w:val="20"/>
              </w:rPr>
            </w:pPr>
            <w:r w:rsidRPr="00746BF8">
              <w:rPr>
                <w:rFonts w:ascii="Arial" w:hAnsi="Arial" w:cs="Arial"/>
                <w:b/>
                <w:sz w:val="20"/>
                <w:szCs w:val="20"/>
              </w:rPr>
              <w:t>Precision:</w:t>
            </w:r>
            <w:r w:rsidRPr="00746BF8">
              <w:rPr>
                <w:rFonts w:ascii="Arial" w:hAnsi="Arial" w:cs="Arial"/>
                <w:sz w:val="20"/>
                <w:szCs w:val="20"/>
              </w:rPr>
              <w:t xml:space="preserve"> the distribution of replicate estimates around their mean, with a tight distribution signifying high precision</w:t>
            </w:r>
            <w:r w:rsidR="001820F5">
              <w:rPr>
                <w:rFonts w:ascii="Arial" w:hAnsi="Arial" w:cs="Arial"/>
                <w:sz w:val="20"/>
                <w:szCs w:val="20"/>
              </w:rPr>
              <w:t xml:space="preserve">. </w:t>
            </w:r>
            <w:r w:rsidR="001820F5" w:rsidRPr="001820F5">
              <w:rPr>
                <w:rFonts w:ascii="Arial" w:hAnsi="Arial" w:cs="Arial"/>
                <w:bCs/>
                <w:sz w:val="20"/>
                <w:szCs w:val="20"/>
              </w:rPr>
              <w:t>In the absence of systematic bias, greater precision leads to higher accuracy.</w:t>
            </w:r>
          </w:p>
          <w:p w14:paraId="4EA0D998" w14:textId="77148A97" w:rsidR="00C50D16" w:rsidRPr="00746BF8" w:rsidRDefault="00C50D16" w:rsidP="00600326">
            <w:pPr>
              <w:spacing w:after="120"/>
              <w:rPr>
                <w:rFonts w:ascii="Arial" w:hAnsi="Arial" w:cs="Arial"/>
                <w:sz w:val="20"/>
                <w:szCs w:val="20"/>
              </w:rPr>
            </w:pPr>
            <w:r w:rsidRPr="00746BF8">
              <w:rPr>
                <w:rFonts w:ascii="Arial" w:hAnsi="Arial" w:cs="Arial"/>
                <w:b/>
                <w:sz w:val="20"/>
                <w:szCs w:val="20"/>
              </w:rPr>
              <w:t>Primary study:</w:t>
            </w:r>
            <w:r w:rsidRPr="00746BF8">
              <w:rPr>
                <w:rFonts w:ascii="Arial" w:hAnsi="Arial" w:cs="Arial"/>
                <w:sz w:val="20"/>
                <w:szCs w:val="20"/>
              </w:rPr>
              <w:t xml:space="preserve"> a study </w:t>
            </w:r>
            <w:r w:rsidR="00EA4E4A">
              <w:rPr>
                <w:rFonts w:ascii="Arial" w:hAnsi="Arial" w:cs="Arial"/>
                <w:sz w:val="20"/>
                <w:szCs w:val="20"/>
              </w:rPr>
              <w:t>that</w:t>
            </w:r>
            <w:r w:rsidR="00EA4E4A" w:rsidRPr="00746BF8">
              <w:rPr>
                <w:rFonts w:ascii="Arial" w:hAnsi="Arial" w:cs="Arial"/>
                <w:sz w:val="20"/>
                <w:szCs w:val="20"/>
              </w:rPr>
              <w:t xml:space="preserve"> </w:t>
            </w:r>
            <w:r w:rsidRPr="00746BF8">
              <w:rPr>
                <w:rFonts w:ascii="Arial" w:hAnsi="Arial" w:cs="Arial"/>
                <w:sz w:val="20"/>
                <w:szCs w:val="20"/>
              </w:rPr>
              <w:t>gathers new data on a particular population (distinguished from a secondary</w:t>
            </w:r>
            <w:r w:rsidR="00EA4E4A">
              <w:rPr>
                <w:rFonts w:ascii="Arial" w:hAnsi="Arial" w:cs="Arial"/>
                <w:sz w:val="20"/>
                <w:szCs w:val="20"/>
              </w:rPr>
              <w:t xml:space="preserve"> study, such as a</w:t>
            </w:r>
            <w:r w:rsidRPr="00746BF8">
              <w:rPr>
                <w:rFonts w:ascii="Arial" w:hAnsi="Arial" w:cs="Arial"/>
                <w:sz w:val="20"/>
                <w:szCs w:val="20"/>
              </w:rPr>
              <w:t xml:space="preserve"> synthesis</w:t>
            </w:r>
            <w:r w:rsidR="00EA4E4A">
              <w:rPr>
                <w:rFonts w:ascii="Arial" w:hAnsi="Arial" w:cs="Arial"/>
                <w:sz w:val="20"/>
                <w:szCs w:val="20"/>
              </w:rPr>
              <w:t xml:space="preserve"> of primary studies</w:t>
            </w:r>
            <w:r w:rsidRPr="00746BF8">
              <w:rPr>
                <w:rFonts w:ascii="Arial" w:hAnsi="Arial" w:cs="Arial"/>
                <w:sz w:val="20"/>
                <w:szCs w:val="20"/>
              </w:rPr>
              <w:t>)</w:t>
            </w:r>
            <w:r w:rsidR="001820F5">
              <w:rPr>
                <w:rFonts w:ascii="Arial" w:hAnsi="Arial" w:cs="Arial"/>
                <w:sz w:val="20"/>
                <w:szCs w:val="20"/>
              </w:rPr>
              <w:t xml:space="preserve">. </w:t>
            </w:r>
          </w:p>
          <w:p w14:paraId="0BC8893E" w14:textId="77777777" w:rsidR="00C50D16" w:rsidRPr="00746BF8" w:rsidRDefault="00C50D16" w:rsidP="00600326">
            <w:pPr>
              <w:spacing w:after="120"/>
              <w:rPr>
                <w:rFonts w:ascii="Arial" w:hAnsi="Arial" w:cs="Arial"/>
                <w:sz w:val="20"/>
                <w:szCs w:val="20"/>
              </w:rPr>
            </w:pPr>
            <w:r w:rsidRPr="00746BF8">
              <w:rPr>
                <w:rFonts w:ascii="Arial" w:hAnsi="Arial" w:cs="Arial"/>
                <w:b/>
                <w:sz w:val="20"/>
                <w:szCs w:val="20"/>
              </w:rPr>
              <w:t>Sampled population:</w:t>
            </w:r>
            <w:r w:rsidRPr="00746BF8">
              <w:rPr>
                <w:rFonts w:ascii="Arial" w:hAnsi="Arial" w:cs="Arial"/>
                <w:sz w:val="20"/>
                <w:szCs w:val="20"/>
              </w:rPr>
              <w:t xml:space="preserve"> the set of observational units of a distributed variable that define the scope of inference of the testable hypotheses. Statistical analyses require random and independent sampling from the population of interest, which means that the population needs defining at the design stage. The outcome of statistical testing (e.g., detection of a trend) applies to the sampled population, not to the sample(s). Thus, confidence intervals around a sample mean describe the range of plausible values of the population mean given the sample.  </w:t>
            </w:r>
          </w:p>
          <w:p w14:paraId="2745CE04" w14:textId="6898CABF" w:rsidR="00C50D16" w:rsidRPr="00746BF8" w:rsidRDefault="00C50D16" w:rsidP="00600326">
            <w:pPr>
              <w:spacing w:after="120"/>
              <w:rPr>
                <w:rFonts w:ascii="Arial" w:hAnsi="Arial" w:cs="Arial"/>
                <w:sz w:val="20"/>
                <w:szCs w:val="20"/>
              </w:rPr>
            </w:pPr>
            <w:r w:rsidRPr="00746BF8">
              <w:rPr>
                <w:rFonts w:ascii="Arial" w:hAnsi="Arial" w:cs="Arial"/>
                <w:b/>
                <w:bCs/>
                <w:sz w:val="20"/>
                <w:szCs w:val="20"/>
              </w:rPr>
              <w:t xml:space="preserve">Shrinkage: </w:t>
            </w:r>
            <w:r w:rsidRPr="00746BF8">
              <w:rPr>
                <w:rFonts w:ascii="Arial" w:hAnsi="Arial" w:cs="Arial"/>
                <w:sz w:val="20"/>
                <w:szCs w:val="20"/>
              </w:rPr>
              <w:t>a</w:t>
            </w:r>
            <w:r w:rsidRPr="00746BF8">
              <w:rPr>
                <w:rFonts w:ascii="Arial" w:hAnsi="Arial" w:cs="Arial"/>
                <w:b/>
                <w:bCs/>
                <w:sz w:val="20"/>
                <w:szCs w:val="20"/>
              </w:rPr>
              <w:t xml:space="preserve"> </w:t>
            </w:r>
            <w:r w:rsidRPr="00746BF8">
              <w:rPr>
                <w:rFonts w:ascii="Arial" w:hAnsi="Arial" w:cs="Arial"/>
                <w:sz w:val="20"/>
                <w:szCs w:val="20"/>
              </w:rPr>
              <w:t>fundamental property of multilevel models, also known as ‘borrowing strength’, wherein individual group (e.g., study-level) estimates are shrunk toward the overall population mean. Data nuances will determine the relative amount of strength borrowed per study, but in general, shrinkage is a function of the relative variance of each estimate, and is greater for groups with extreme values and lower replication</w:t>
            </w:r>
            <w:r w:rsidRPr="00746BF8">
              <w:rPr>
                <w:rFonts w:ascii="Arial" w:hAnsi="Arial" w:cs="Arial"/>
                <w:sz w:val="20"/>
                <w:szCs w:val="20"/>
              </w:rPr>
              <w:fldChar w:fldCharType="begin" w:fldLock="1"/>
            </w:r>
            <w:r w:rsidR="0019390D">
              <w:rPr>
                <w:rFonts w:ascii="Arial" w:hAnsi="Arial" w:cs="Arial"/>
                <w:sz w:val="20"/>
                <w:szCs w:val="20"/>
              </w:rPr>
              <w:instrText>ADDIN CSL_CITATION {"citationItems":[{"id":"ITEM-1","itemData":{"author":[{"dropping-particle":"","family":"Clark","given":"M","non-dropping-particle":"","parse-names":false,"suffix":""}],"id":"ITEM-1","issued":{"date-parts":[["2019"]]},"title":"Shrinkage in mixed effects models. Available at: https://m-clark.github.io/posts/2019-05-14-shrinkage-in-mixed-models/. Last accessed 18 November 2020.","type":"webpage"},"uris":["http://www.mendeley.com/documents/?uuid=425fe30e-9d31-4443-b875-ee13d3840bfb"]}],"mendeley":{"formattedCitation":"&lt;sup&gt;95&lt;/sup&gt;","plainTextFormattedCitation":"95","previouslyFormattedCitation":"&lt;sup&gt;95&lt;/sup&gt;"},"properties":{"noteIndex":0},"schema":"https://github.com/citation-style-language/schema/raw/master/csl-citation.json"}</w:instrText>
            </w:r>
            <w:r w:rsidRPr="00746BF8">
              <w:rPr>
                <w:rFonts w:ascii="Arial" w:hAnsi="Arial" w:cs="Arial"/>
                <w:sz w:val="20"/>
                <w:szCs w:val="20"/>
              </w:rPr>
              <w:fldChar w:fldCharType="separate"/>
            </w:r>
            <w:r w:rsidR="004D1D65" w:rsidRPr="004D1D65">
              <w:rPr>
                <w:rFonts w:ascii="Arial" w:hAnsi="Arial" w:cs="Arial"/>
                <w:noProof/>
                <w:sz w:val="20"/>
                <w:szCs w:val="20"/>
                <w:vertAlign w:val="superscript"/>
              </w:rPr>
              <w:t>95</w:t>
            </w:r>
            <w:r w:rsidRPr="00746BF8">
              <w:rPr>
                <w:rFonts w:ascii="Arial" w:hAnsi="Arial" w:cs="Arial"/>
                <w:sz w:val="20"/>
                <w:szCs w:val="20"/>
              </w:rPr>
              <w:fldChar w:fldCharType="end"/>
            </w:r>
            <w:r w:rsidRPr="00746BF8">
              <w:rPr>
                <w:rFonts w:ascii="Arial" w:hAnsi="Arial" w:cs="Arial"/>
                <w:sz w:val="20"/>
                <w:szCs w:val="20"/>
              </w:rPr>
              <w:t xml:space="preserve">. </w:t>
            </w:r>
            <w:r w:rsidR="00EA4E4A">
              <w:rPr>
                <w:rFonts w:ascii="Arial" w:hAnsi="Arial" w:cs="Arial"/>
                <w:sz w:val="20"/>
                <w:szCs w:val="20"/>
              </w:rPr>
              <w:t>As with</w:t>
            </w:r>
            <w:r w:rsidR="00EA4E4A" w:rsidRPr="00746BF8">
              <w:rPr>
                <w:rFonts w:ascii="Arial" w:hAnsi="Arial" w:cs="Arial"/>
                <w:sz w:val="20"/>
                <w:szCs w:val="20"/>
              </w:rPr>
              <w:t xml:space="preserve"> </w:t>
            </w:r>
            <w:r w:rsidRPr="00746BF8">
              <w:rPr>
                <w:rFonts w:ascii="Arial" w:hAnsi="Arial" w:cs="Arial"/>
                <w:sz w:val="20"/>
                <w:szCs w:val="20"/>
              </w:rPr>
              <w:t>weighting in meta-analyses of effect sizes, shrinkage functions to reduce the variance of cross-study estimates.</w:t>
            </w:r>
          </w:p>
          <w:p w14:paraId="3BFD35A9" w14:textId="7DFF105F" w:rsidR="00C50D16" w:rsidRPr="00746BF8" w:rsidRDefault="00C50D16" w:rsidP="00600326">
            <w:pPr>
              <w:spacing w:after="120"/>
              <w:rPr>
                <w:rFonts w:ascii="Arial" w:hAnsi="Arial" w:cs="Arial"/>
                <w:sz w:val="20"/>
                <w:szCs w:val="20"/>
              </w:rPr>
            </w:pPr>
            <w:r w:rsidRPr="00746BF8">
              <w:rPr>
                <w:rFonts w:ascii="Arial" w:hAnsi="Arial" w:cs="Arial"/>
                <w:b/>
                <w:bCs/>
                <w:sz w:val="20"/>
                <w:szCs w:val="20"/>
              </w:rPr>
              <w:t>Transferability:</w:t>
            </w:r>
            <w:r w:rsidRPr="00746BF8">
              <w:rPr>
                <w:rFonts w:ascii="Arial" w:hAnsi="Arial" w:cs="Arial"/>
                <w:sz w:val="20"/>
                <w:szCs w:val="20"/>
              </w:rPr>
              <w:t xml:space="preserve"> The validity of extending</w:t>
            </w:r>
            <w:r w:rsidR="00EA4E4A">
              <w:rPr>
                <w:rFonts w:ascii="Arial" w:hAnsi="Arial" w:cs="Arial"/>
                <w:sz w:val="20"/>
                <w:szCs w:val="20"/>
              </w:rPr>
              <w:t xml:space="preserve"> an</w:t>
            </w:r>
            <w:r w:rsidRPr="00746BF8">
              <w:rPr>
                <w:rFonts w:ascii="Arial" w:hAnsi="Arial" w:cs="Arial"/>
                <w:sz w:val="20"/>
                <w:szCs w:val="20"/>
              </w:rPr>
              <w:t xml:space="preserve"> inference about an </w:t>
            </w:r>
            <w:proofErr w:type="spellStart"/>
            <w:r w:rsidRPr="00746BF8">
              <w:rPr>
                <w:rFonts w:ascii="Arial" w:hAnsi="Arial" w:cs="Arial"/>
                <w:sz w:val="20"/>
                <w:szCs w:val="20"/>
              </w:rPr>
              <w:t>estimand</w:t>
            </w:r>
            <w:proofErr w:type="spellEnd"/>
            <w:r w:rsidRPr="00746BF8">
              <w:rPr>
                <w:rFonts w:ascii="Arial" w:hAnsi="Arial" w:cs="Arial"/>
                <w:sz w:val="20"/>
                <w:szCs w:val="20"/>
              </w:rPr>
              <w:t xml:space="preserve"> to different sampling units or a different population of units. Transferability could be measured by the accuracy of a predicted </w:t>
            </w:r>
            <w:proofErr w:type="spellStart"/>
            <w:r w:rsidRPr="00746BF8">
              <w:rPr>
                <w:rFonts w:ascii="Arial" w:hAnsi="Arial" w:cs="Arial"/>
                <w:sz w:val="20"/>
                <w:szCs w:val="20"/>
              </w:rPr>
              <w:t>estimand</w:t>
            </w:r>
            <w:proofErr w:type="spellEnd"/>
            <w:r w:rsidRPr="00746BF8">
              <w:rPr>
                <w:rFonts w:ascii="Arial" w:hAnsi="Arial" w:cs="Arial"/>
                <w:sz w:val="20"/>
                <w:szCs w:val="20"/>
              </w:rPr>
              <w:t xml:space="preserve"> for a target population or observation, quantified by the difference between the transferred </w:t>
            </w:r>
            <w:proofErr w:type="spellStart"/>
            <w:r w:rsidRPr="00746BF8">
              <w:rPr>
                <w:rFonts w:ascii="Arial" w:hAnsi="Arial" w:cs="Arial"/>
                <w:sz w:val="20"/>
                <w:szCs w:val="20"/>
              </w:rPr>
              <w:t>estimand</w:t>
            </w:r>
            <w:proofErr w:type="spellEnd"/>
            <w:r w:rsidRPr="00746BF8">
              <w:rPr>
                <w:rFonts w:ascii="Arial" w:hAnsi="Arial" w:cs="Arial"/>
                <w:sz w:val="20"/>
                <w:szCs w:val="20"/>
              </w:rPr>
              <w:t xml:space="preserve"> and the ‘true’ </w:t>
            </w:r>
            <w:proofErr w:type="spellStart"/>
            <w:r w:rsidRPr="00746BF8">
              <w:rPr>
                <w:rFonts w:ascii="Arial" w:hAnsi="Arial" w:cs="Arial"/>
                <w:sz w:val="20"/>
                <w:szCs w:val="20"/>
              </w:rPr>
              <w:t>estimand</w:t>
            </w:r>
            <w:proofErr w:type="spellEnd"/>
            <w:r w:rsidRPr="00746BF8">
              <w:rPr>
                <w:rFonts w:ascii="Arial" w:hAnsi="Arial" w:cs="Arial"/>
                <w:sz w:val="20"/>
                <w:szCs w:val="20"/>
              </w:rPr>
              <w:t>.</w:t>
            </w:r>
          </w:p>
          <w:p w14:paraId="1D554BB3" w14:textId="1AB839A1" w:rsidR="00C50D16" w:rsidRPr="00EA4E4A" w:rsidRDefault="00C50D16" w:rsidP="00600326">
            <w:pPr>
              <w:spacing w:after="120"/>
              <w:rPr>
                <w:rFonts w:ascii="Arial" w:eastAsia="Calibri" w:hAnsi="Arial" w:cs="Arial"/>
                <w:b/>
                <w:sz w:val="20"/>
                <w:szCs w:val="20"/>
              </w:rPr>
            </w:pPr>
            <w:r w:rsidRPr="00746BF8">
              <w:rPr>
                <w:rFonts w:ascii="Arial" w:hAnsi="Arial" w:cs="Arial"/>
                <w:b/>
                <w:bCs/>
                <w:sz w:val="20"/>
                <w:szCs w:val="20"/>
              </w:rPr>
              <w:t xml:space="preserve">Weighting: </w:t>
            </w:r>
            <w:r w:rsidRPr="00746BF8">
              <w:rPr>
                <w:rFonts w:ascii="Arial" w:hAnsi="Arial" w:cs="Arial"/>
                <w:sz w:val="20"/>
                <w:szCs w:val="20"/>
              </w:rPr>
              <w:t xml:space="preserve">Considered a hallmark of formal meta-analysis, the precision-weighting of </w:t>
            </w:r>
            <w:r w:rsidR="00EA4E4A">
              <w:rPr>
                <w:rFonts w:ascii="Arial" w:hAnsi="Arial" w:cs="Arial"/>
                <w:sz w:val="20"/>
                <w:szCs w:val="20"/>
              </w:rPr>
              <w:t xml:space="preserve">each </w:t>
            </w:r>
            <w:r w:rsidRPr="00746BF8">
              <w:rPr>
                <w:rFonts w:ascii="Arial" w:hAnsi="Arial" w:cs="Arial"/>
                <w:sz w:val="20"/>
                <w:szCs w:val="20"/>
              </w:rPr>
              <w:t xml:space="preserve">effect size by the inverse of </w:t>
            </w:r>
            <w:r w:rsidR="00EA4E4A">
              <w:rPr>
                <w:rFonts w:ascii="Arial" w:hAnsi="Arial" w:cs="Arial"/>
                <w:sz w:val="20"/>
                <w:szCs w:val="20"/>
              </w:rPr>
              <w:t xml:space="preserve">its </w:t>
            </w:r>
            <w:r w:rsidRPr="00746BF8">
              <w:rPr>
                <w:rFonts w:ascii="Arial" w:hAnsi="Arial" w:cs="Arial"/>
                <w:sz w:val="20"/>
                <w:szCs w:val="20"/>
              </w:rPr>
              <w:t>variance ensures that more precise studies make a larger contribution to the meta-estimate. Weighting serves only to increase the precision of the meta-estimate and the power of tests, not the accuracy of meta-estimation</w:t>
            </w:r>
            <w:r w:rsidRPr="00746BF8">
              <w:rPr>
                <w:rFonts w:ascii="Arial" w:hAnsi="Arial" w:cs="Arial"/>
                <w:sz w:val="20"/>
                <w:szCs w:val="20"/>
              </w:rPr>
              <w:fldChar w:fldCharType="begin" w:fldLock="1"/>
            </w:r>
            <w:r w:rsidR="0019390D">
              <w:rPr>
                <w:rFonts w:ascii="Arial" w:hAnsi="Arial" w:cs="Arial"/>
                <w:sz w:val="20"/>
                <w:szCs w:val="20"/>
              </w:rPr>
              <w:instrText>ADDIN CSL_CITATION {"citationItems":[{"id":"ITEM-1","itemData":{"DOI":"10.1890/0012-9658(1999)080[1142:SIIEMA]2.0.CO;2","ISSN":"00129658","abstract":"Meta-analysis is the use of statistical methods to summarize research findings across studies. Special statistical methods are usually needed for meta-analysis, both because effect-size indexes are typically highly heteroscedastic and because it is desirable to be able to distinguish between-study variance from within-study sampling-error variance. We outline a number of considerations related to choosing methods for the meta-analysis of ecological data, including the choice of parametric vs. resampling methods, reasons for conducting weighted analyses where possible, and comparisons fixed vs. mixed models in categorical and regression-type analyses.","author":[{"dropping-particle":"","family":"Gurevitch","given":"Jessica","non-dropping-particle":"","parse-names":false,"suffix":""},{"dropping-particle":"V.","family":"Hedges","given":"Larry","non-dropping-particle":"","parse-names":false,"suffix":""}],"container-title":"Ecology","id":"ITEM-1","issue":"4","issued":{"date-parts":[["1999"]]},"page":"1142-1149","title":"Statistical issues in ecological meta-analyses","type":"article-journal","volume":"80"},"uris":["http://www.mendeley.com/documents/?uuid=808f1941-cf9d-40c3-81d1-1297075b5855"]}],"mendeley":{"formattedCitation":"&lt;sup&gt;96&lt;/sup&gt;","plainTextFormattedCitation":"96","previouslyFormattedCitation":"&lt;sup&gt;96&lt;/sup&gt;"},"properties":{"noteIndex":0},"schema":"https://github.com/citation-style-language/schema/raw/master/csl-citation.json"}</w:instrText>
            </w:r>
            <w:r w:rsidRPr="00746BF8">
              <w:rPr>
                <w:rFonts w:ascii="Arial" w:hAnsi="Arial" w:cs="Arial"/>
                <w:sz w:val="20"/>
                <w:szCs w:val="20"/>
              </w:rPr>
              <w:fldChar w:fldCharType="separate"/>
            </w:r>
            <w:r w:rsidR="004D1D65" w:rsidRPr="004D1D65">
              <w:rPr>
                <w:rFonts w:ascii="Arial" w:hAnsi="Arial" w:cs="Arial"/>
                <w:noProof/>
                <w:sz w:val="20"/>
                <w:szCs w:val="20"/>
                <w:vertAlign w:val="superscript"/>
              </w:rPr>
              <w:t>96</w:t>
            </w:r>
            <w:r w:rsidRPr="00746BF8">
              <w:rPr>
                <w:rFonts w:ascii="Arial" w:hAnsi="Arial" w:cs="Arial"/>
                <w:sz w:val="20"/>
                <w:szCs w:val="20"/>
              </w:rPr>
              <w:fldChar w:fldCharType="end"/>
            </w:r>
            <w:r w:rsidRPr="00746BF8">
              <w:rPr>
                <w:rFonts w:ascii="Arial" w:hAnsi="Arial" w:cs="Arial"/>
                <w:sz w:val="20"/>
                <w:szCs w:val="20"/>
              </w:rPr>
              <w:t>.</w:t>
            </w:r>
            <w:r w:rsidR="00EA4E4A">
              <w:rPr>
                <w:rFonts w:ascii="Arial" w:hAnsi="Arial" w:cs="Arial"/>
                <w:sz w:val="20"/>
                <w:szCs w:val="20"/>
              </w:rPr>
              <w:t xml:space="preserve"> In the presence of bias, it can lead to precisely wrong estimates</w:t>
            </w:r>
            <w:r w:rsidR="005E2996">
              <w:rPr>
                <w:rFonts w:ascii="Arial" w:hAnsi="Arial" w:cs="Arial"/>
                <w:sz w:val="20"/>
                <w:szCs w:val="20"/>
                <w:vertAlign w:val="superscript"/>
              </w:rPr>
              <w:fldChar w:fldCharType="begin" w:fldLock="1"/>
            </w:r>
            <w:r w:rsidR="005E2996">
              <w:rPr>
                <w:rFonts w:ascii="Arial" w:hAnsi="Arial" w:cs="Arial"/>
                <w:sz w:val="20"/>
                <w:szCs w:val="20"/>
                <w:vertAlign w:val="superscript"/>
              </w:rPr>
              <w:instrText>ADDIN CSL_CITATION {"citationItems":[{"id":"ITEM-1","itemData":{"DOI":"10.1111/ele.13641","ISSN":"14610248","PMID":"33216440","abstract":"Biodiversity studies are sensitive to well-recognised temporal and spatial scale dependencies. Cross-study syntheses may inflate these influences by collating studies that vary widely in the numbers and sizes of sampling plots. Here we evaluate sources of inaccuracy and imprecision in study-level and cross-study estimates of biodiversity differences, caused by within-study grain and sample sizes, biodiversity measure, and choice of effect-size metric. Samples from simulated communities of old-growth and secondary forests demonstrated influences of all these parameters on the accuracy and precision of cross-study effect sizes. In cross-study synthesis by formal meta-analysis, the metric of log response ratio applied to measures of species richness yielded better accuracy than the commonly used Hedges' g metric on species density, which dangerously combined higher precision with persistent bias. Full-data analyses of the raw plot-scale data using multilevel models were also susceptible to scale-dependent bias. We demonstrate the challenge of detecting scale dependence in cross-study synthesis, due to ubiquitous covariation between replication, variance and plot size. We propose solutions for diagnosing and minimising bias. We urge that empirical studies publish raw data to allow evaluation of covariation in cross-study syntheses, and we recommend against using Hedges' g in biodiversity meta-analyses.","author":[{"dropping-particle":"","family":"Spake","given":"Rebecca","non-dropping-particle":"","parse-names":false,"suffix":""},{"dropping-particle":"","family":"Mori","given":"Akira S.","non-dropping-particle":"","parse-names":false,"suffix":""},{"dropping-particle":"","family":"Beckmann","given":"Michael","non-dropping-particle":"","parse-names":false,"suffix":""},{"dropping-particle":"","family":"Martin","given":"Philip A.","non-dropping-particle":"","parse-names":false,"suffix":""},{"dropping-particle":"","family":"Christie","given":"Alec P.","non-dropping-particle":"","parse-names":false,"suffix":""},{"dropping-particle":"","family":"Duguid","given":"Marlyse C.","non-dropping-particle":"","parse-names":false,"suffix":""},{"dropping-particle":"","family":"Doncaster","given":"C. Patrick","non-dropping-particle":"","parse-names":false,"suffix":""}],"container-title":"Ecology Letters","id":"ITEM-1","issue":"2","issued":{"date-parts":[["2021"]]},"page":"374-390","title":"Implications of scale dependence for cross-study syntheses of biodiversity differences","type":"article-journal","volume":"24"},"uris":["http://www.mendeley.com/documents/?uuid=48976cc1-5b2f-4fe6-b5f8-3ae418133379"]}],"mendeley":{"formattedCitation":"&lt;sup&gt;30&lt;/sup&gt;","plainTextFormattedCitation":"30"},"properties":{"noteIndex":0},"schema":"https://github.com/citation-style-language/schema/raw/master/csl-citation.json"}</w:instrText>
            </w:r>
            <w:r w:rsidR="005E2996">
              <w:rPr>
                <w:rFonts w:ascii="Arial" w:hAnsi="Arial" w:cs="Arial"/>
                <w:sz w:val="20"/>
                <w:szCs w:val="20"/>
                <w:vertAlign w:val="superscript"/>
              </w:rPr>
              <w:fldChar w:fldCharType="separate"/>
            </w:r>
            <w:r w:rsidR="005E2996" w:rsidRPr="005E2996">
              <w:rPr>
                <w:rFonts w:ascii="Arial" w:hAnsi="Arial" w:cs="Arial"/>
                <w:noProof/>
                <w:sz w:val="20"/>
                <w:szCs w:val="20"/>
                <w:vertAlign w:val="superscript"/>
              </w:rPr>
              <w:t>30</w:t>
            </w:r>
            <w:r w:rsidR="005E2996">
              <w:rPr>
                <w:rFonts w:ascii="Arial" w:hAnsi="Arial" w:cs="Arial"/>
                <w:sz w:val="20"/>
                <w:szCs w:val="20"/>
                <w:vertAlign w:val="superscript"/>
              </w:rPr>
              <w:fldChar w:fldCharType="end"/>
            </w:r>
            <w:r w:rsidR="00EA4E4A">
              <w:rPr>
                <w:rFonts w:ascii="Arial" w:hAnsi="Arial" w:cs="Arial"/>
                <w:sz w:val="20"/>
                <w:szCs w:val="20"/>
              </w:rPr>
              <w:t>.</w:t>
            </w:r>
          </w:p>
        </w:tc>
      </w:tr>
    </w:tbl>
    <w:p w14:paraId="20F49BCF" w14:textId="77777777" w:rsidR="00F24A29" w:rsidRDefault="00F24A29" w:rsidP="00C9245D">
      <w:pPr>
        <w:rPr>
          <w:b/>
        </w:rPr>
      </w:pPr>
    </w:p>
    <w:p w14:paraId="34EB1A98" w14:textId="77777777" w:rsidR="00725CB3" w:rsidRDefault="00725CB3" w:rsidP="00725CB3">
      <w:pPr>
        <w:pStyle w:val="Heading1"/>
      </w:pPr>
      <w:r>
        <w:br w:type="page"/>
      </w:r>
      <w:r>
        <w:lastRenderedPageBreak/>
        <w:t>Figure legends</w:t>
      </w:r>
    </w:p>
    <w:p w14:paraId="1485CEC9" w14:textId="77777777" w:rsidR="00725CB3" w:rsidRPr="00DA66C6" w:rsidRDefault="00725CB3" w:rsidP="00725CB3">
      <w:pPr>
        <w:rPr>
          <w:rFonts w:ascii="Arial" w:eastAsia="Arial" w:hAnsi="Arial" w:cs="Arial"/>
          <w:sz w:val="20"/>
          <w:szCs w:val="20"/>
        </w:rPr>
      </w:pPr>
      <w:bookmarkStart w:id="38" w:name="_3znysh7" w:colFirst="0" w:colLast="0"/>
      <w:bookmarkEnd w:id="38"/>
      <w:r w:rsidRPr="00DA66C6">
        <w:rPr>
          <w:rFonts w:ascii="Arial" w:eastAsia="Arial" w:hAnsi="Arial" w:cs="Arial"/>
          <w:sz w:val="20"/>
          <w:szCs w:val="20"/>
        </w:rPr>
        <w:t>Figure 1.</w:t>
      </w:r>
      <w:r w:rsidRPr="00DA66C6">
        <w:rPr>
          <w:rFonts w:ascii="Arial" w:eastAsia="Arial" w:hAnsi="Arial" w:cs="Arial"/>
          <w:sz w:val="20"/>
          <w:szCs w:val="20"/>
        </w:rPr>
        <w:tab/>
        <w:t xml:space="preserve"> Generality - which we use synonymously with external validity - comprises the generalisability and transferability of </w:t>
      </w:r>
      <w:proofErr w:type="spellStart"/>
      <w:r w:rsidRPr="00DA66C6">
        <w:rPr>
          <w:rFonts w:ascii="Arial" w:eastAsia="Arial" w:hAnsi="Arial" w:cs="Arial"/>
          <w:sz w:val="20"/>
          <w:szCs w:val="20"/>
        </w:rPr>
        <w:t>estimands</w:t>
      </w:r>
      <w:proofErr w:type="spellEnd"/>
      <w:r w:rsidRPr="00DA66C6">
        <w:rPr>
          <w:rFonts w:ascii="Arial" w:eastAsia="Arial" w:hAnsi="Arial" w:cs="Arial"/>
          <w:sz w:val="20"/>
          <w:szCs w:val="20"/>
        </w:rPr>
        <w:t xml:space="preserve"> drawn from primary and synthetic research. Syntheses collate data from primary studies, each of which usually has a well-defined and narrow context relative to the context of the synthesis, and these studies are here each represented by a fruit of one of several types. Collated, these studies form a reference sample from a hypothetical population of studies, which together cover a broader context (here of fruits, either implicitly or explicitly defined by the researcher). Generalisability concerns the validity of an inference based on a sample that is randomly or non-randomly drawn from the target population (left column). Transferability concerns the validity of inferences based on a reference sample, when applied to either a different target population or unit (target context). Transfer across space is shown as an example, to sites in a different spatial location (middle row), or an individual target site from a different population (bottom row), which may also differ in</w:t>
      </w:r>
      <w:r w:rsidRPr="00DA66C6">
        <w:rPr>
          <w:rFonts w:ascii="Arial" w:eastAsia="Arial" w:hAnsi="Arial" w:cs="Arial"/>
          <w:color w:val="000000"/>
          <w:sz w:val="20"/>
          <w:szCs w:val="20"/>
        </w:rPr>
        <w:t xml:space="preserve"> temporal or taxonomic </w:t>
      </w:r>
      <w:r w:rsidRPr="00DA66C6">
        <w:rPr>
          <w:rFonts w:ascii="Arial" w:eastAsia="Arial" w:hAnsi="Arial" w:cs="Arial"/>
          <w:sz w:val="20"/>
          <w:szCs w:val="20"/>
        </w:rPr>
        <w:t xml:space="preserve">context to the reference sample. In both cases, the synthesised samples and the populations may have well-defined or poorly defined contexts. Here, the context of the synthesis is represented by the distribution of individual studies (fruits) within three measured or unmeasured dimensions of parameter space, </w:t>
      </w:r>
      <w:proofErr w:type="gramStart"/>
      <w:r w:rsidRPr="00DA66C6">
        <w:rPr>
          <w:rFonts w:ascii="Arial" w:eastAsia="Arial" w:hAnsi="Arial" w:cs="Arial"/>
          <w:sz w:val="20"/>
          <w:szCs w:val="20"/>
        </w:rPr>
        <w:t>e.g.</w:t>
      </w:r>
      <w:proofErr w:type="gramEnd"/>
      <w:r w:rsidRPr="00DA66C6">
        <w:rPr>
          <w:rFonts w:ascii="Arial" w:eastAsia="Arial" w:hAnsi="Arial" w:cs="Arial"/>
          <w:sz w:val="20"/>
          <w:szCs w:val="20"/>
        </w:rPr>
        <w:t xml:space="preserve"> edaphic, taxonomic, climatic variables (</w:t>
      </w:r>
      <w:r w:rsidRPr="00DA66C6">
        <w:rPr>
          <w:rFonts w:ascii="Arial" w:eastAsia="Arial" w:hAnsi="Arial" w:cs="Arial"/>
          <w:i/>
          <w:sz w:val="20"/>
          <w:szCs w:val="20"/>
        </w:rPr>
        <w:t>V</w:t>
      </w:r>
      <w:r w:rsidRPr="00DA66C6">
        <w:rPr>
          <w:rFonts w:ascii="Arial" w:eastAsia="Arial" w:hAnsi="Arial" w:cs="Arial"/>
          <w:sz w:val="20"/>
          <w:szCs w:val="20"/>
        </w:rPr>
        <w:t>) that vary depending on context and may influence the outcome of a study. In our example, the hypothetical reference and target contexts overlap (within the parameter space shaded blue) despite being on different continents.</w:t>
      </w:r>
    </w:p>
    <w:p w14:paraId="3FC99099" w14:textId="0BCBBBCE" w:rsidR="00725CB3" w:rsidRPr="00DA66C6" w:rsidRDefault="00725CB3" w:rsidP="00725CB3">
      <w:pPr>
        <w:rPr>
          <w:rFonts w:ascii="Arial" w:eastAsia="Arial" w:hAnsi="Arial" w:cs="Arial"/>
          <w:sz w:val="20"/>
          <w:szCs w:val="20"/>
        </w:rPr>
      </w:pPr>
      <w:r w:rsidRPr="00DA66C6">
        <w:rPr>
          <w:rFonts w:ascii="Arial" w:eastAsia="Arial" w:hAnsi="Arial" w:cs="Arial"/>
          <w:sz w:val="20"/>
          <w:szCs w:val="20"/>
        </w:rPr>
        <w:t xml:space="preserve">Figure 2. Six steps to transfer an </w:t>
      </w:r>
      <w:proofErr w:type="spellStart"/>
      <w:r w:rsidRPr="00DA66C6">
        <w:rPr>
          <w:rFonts w:ascii="Arial" w:eastAsia="Arial" w:hAnsi="Arial" w:cs="Arial"/>
          <w:sz w:val="20"/>
          <w:szCs w:val="20"/>
        </w:rPr>
        <w:t>estimand</w:t>
      </w:r>
      <w:proofErr w:type="spellEnd"/>
      <w:r w:rsidRPr="00DA66C6">
        <w:rPr>
          <w:rFonts w:ascii="Arial" w:eastAsia="Arial" w:hAnsi="Arial" w:cs="Arial"/>
          <w:sz w:val="20"/>
          <w:szCs w:val="20"/>
        </w:rPr>
        <w:t xml:space="preserve"> to a target context</w:t>
      </w:r>
    </w:p>
    <w:p w14:paraId="307E4A18" w14:textId="24A88FA7" w:rsidR="00725CB3" w:rsidRPr="00DA66C6" w:rsidRDefault="00725CB3" w:rsidP="00725CB3">
      <w:pPr>
        <w:rPr>
          <w:rFonts w:ascii="Arial" w:hAnsi="Arial" w:cs="Arial"/>
          <w:sz w:val="20"/>
          <w:szCs w:val="20"/>
        </w:rPr>
      </w:pPr>
      <w:r w:rsidRPr="00DA66C6">
        <w:rPr>
          <w:rFonts w:ascii="Arial" w:hAnsi="Arial" w:cs="Arial"/>
          <w:noProof/>
          <w:sz w:val="20"/>
          <w:szCs w:val="20"/>
        </w:rPr>
        <w:t xml:space="preserve">Figure legend in Box 1: </w:t>
      </w:r>
    </w:p>
    <w:p w14:paraId="77ED3A7B" w14:textId="77777777" w:rsidR="00725CB3" w:rsidRPr="00DA66C6" w:rsidRDefault="00725CB3" w:rsidP="00725CB3">
      <w:pPr>
        <w:rPr>
          <w:rFonts w:ascii="Arial" w:hAnsi="Arial" w:cs="Arial"/>
          <w:sz w:val="20"/>
          <w:szCs w:val="20"/>
        </w:rPr>
      </w:pPr>
      <w:r w:rsidRPr="00DA66C6">
        <w:rPr>
          <w:rFonts w:ascii="Arial" w:hAnsi="Arial" w:cs="Arial"/>
          <w:sz w:val="20"/>
          <w:szCs w:val="20"/>
        </w:rPr>
        <w:t xml:space="preserve">Two approaches used to synthesise primary studies, represented as different fruits, that have measured responses of some ecological variable </w:t>
      </w:r>
      <w:r w:rsidRPr="00DA66C6">
        <w:rPr>
          <w:rFonts w:ascii="Arial" w:hAnsi="Arial" w:cs="Arial"/>
          <w:i/>
          <w:iCs/>
          <w:sz w:val="20"/>
          <w:szCs w:val="20"/>
        </w:rPr>
        <w:t>Y</w:t>
      </w:r>
      <w:r w:rsidRPr="00DA66C6">
        <w:rPr>
          <w:rFonts w:ascii="Arial" w:hAnsi="Arial" w:cs="Arial"/>
          <w:sz w:val="20"/>
          <w:szCs w:val="20"/>
        </w:rPr>
        <w:t xml:space="preserve"> to variable </w:t>
      </w:r>
      <w:r w:rsidRPr="00DA66C6">
        <w:rPr>
          <w:rFonts w:ascii="Arial" w:hAnsi="Arial" w:cs="Arial"/>
          <w:i/>
          <w:iCs/>
          <w:sz w:val="20"/>
          <w:szCs w:val="20"/>
        </w:rPr>
        <w:t>X</w:t>
      </w:r>
      <w:r w:rsidRPr="00DA66C6">
        <w:rPr>
          <w:rFonts w:ascii="Arial" w:hAnsi="Arial" w:cs="Arial"/>
          <w:sz w:val="20"/>
          <w:szCs w:val="20"/>
        </w:rPr>
        <w:t xml:space="preserve"> and effect modification by variable </w:t>
      </w:r>
      <w:r w:rsidRPr="00DA66C6">
        <w:rPr>
          <w:rFonts w:ascii="Arial" w:hAnsi="Arial" w:cs="Arial"/>
          <w:i/>
          <w:iCs/>
          <w:sz w:val="20"/>
          <w:szCs w:val="20"/>
        </w:rPr>
        <w:t>Z</w:t>
      </w:r>
      <w:r w:rsidRPr="00DA66C6">
        <w:rPr>
          <w:rFonts w:ascii="Arial" w:hAnsi="Arial" w:cs="Arial"/>
          <w:sz w:val="20"/>
          <w:szCs w:val="20"/>
        </w:rPr>
        <w:t>. See Table 1.</w:t>
      </w:r>
    </w:p>
    <w:p w14:paraId="430C0349" w14:textId="4179DFB5" w:rsidR="00725CB3" w:rsidRPr="00DA66C6" w:rsidRDefault="00725CB3" w:rsidP="00725CB3">
      <w:pPr>
        <w:rPr>
          <w:rFonts w:ascii="Arial" w:hAnsi="Arial" w:cs="Arial"/>
          <w:noProof/>
          <w:sz w:val="20"/>
          <w:szCs w:val="20"/>
        </w:rPr>
      </w:pPr>
      <w:r w:rsidRPr="00DA66C6">
        <w:rPr>
          <w:rFonts w:ascii="Arial" w:hAnsi="Arial" w:cs="Arial"/>
          <w:noProof/>
          <w:sz w:val="20"/>
          <w:szCs w:val="20"/>
        </w:rPr>
        <w:t xml:space="preserve">Figure legend in Box 2: </w:t>
      </w:r>
    </w:p>
    <w:p w14:paraId="446B8963" w14:textId="77777777" w:rsidR="00725CB3" w:rsidRPr="00DA66C6" w:rsidRDefault="00725CB3" w:rsidP="00725CB3">
      <w:pPr>
        <w:spacing w:after="120"/>
        <w:rPr>
          <w:rFonts w:ascii="Arial" w:hAnsi="Arial" w:cs="Arial"/>
          <w:sz w:val="20"/>
          <w:szCs w:val="20"/>
        </w:rPr>
      </w:pPr>
      <w:r w:rsidRPr="00DA66C6">
        <w:rPr>
          <w:rFonts w:ascii="Arial" w:hAnsi="Arial" w:cs="Arial"/>
          <w:sz w:val="20"/>
          <w:szCs w:val="20"/>
        </w:rPr>
        <w:t>Left: Effect sizes representing the effects of plantation thinning on abundance of saplings and seedlings depend on thinning intensity, showing grey</w:t>
      </w:r>
      <w:r w:rsidRPr="00DA66C6">
        <w:rPr>
          <w:rFonts w:ascii="Cambria Math" w:hAnsi="Cambria Math" w:cs="Cambria Math"/>
          <w:sz w:val="20"/>
          <w:szCs w:val="20"/>
        </w:rPr>
        <w:t>‐</w:t>
      </w:r>
      <w:r w:rsidRPr="00DA66C6">
        <w:rPr>
          <w:rFonts w:ascii="Arial" w:hAnsi="Arial" w:cs="Arial"/>
          <w:sz w:val="20"/>
          <w:szCs w:val="20"/>
        </w:rPr>
        <w:t>shaded 95% CI in the regression based on between</w:t>
      </w:r>
      <w:r w:rsidRPr="00DA66C6">
        <w:rPr>
          <w:rFonts w:ascii="Cambria Math" w:hAnsi="Cambria Math" w:cs="Cambria Math"/>
          <w:sz w:val="20"/>
          <w:szCs w:val="20"/>
        </w:rPr>
        <w:t>‐</w:t>
      </w:r>
      <w:r w:rsidRPr="00DA66C6">
        <w:rPr>
          <w:rFonts w:ascii="Arial" w:hAnsi="Arial" w:cs="Arial"/>
          <w:sz w:val="20"/>
          <w:szCs w:val="20"/>
        </w:rPr>
        <w:t xml:space="preserve">study and within-study uncertainty; values above horizontal dotted line </w:t>
      </w:r>
      <w:proofErr w:type="gramStart"/>
      <w:r w:rsidRPr="00DA66C6">
        <w:rPr>
          <w:rFonts w:ascii="Arial" w:hAnsi="Arial" w:cs="Arial"/>
          <w:sz w:val="20"/>
          <w:szCs w:val="20"/>
        </w:rPr>
        <w:t>signify</w:t>
      </w:r>
      <w:proofErr w:type="gramEnd"/>
      <w:r w:rsidRPr="00DA66C6">
        <w:rPr>
          <w:rFonts w:ascii="Arial" w:hAnsi="Arial" w:cs="Arial"/>
          <w:sz w:val="20"/>
          <w:szCs w:val="20"/>
        </w:rPr>
        <w:t xml:space="preserve"> higher abundance in thinned than unthinned stands. Point colour and shape combinations correspond to study identifiers, while point size is proportional to estimated weights. Middle: Spatial distribution of study sites in Japan. Right: Distribution of studies in parameter space according to mean annual rainfall and elevation. Coloured study locations are overlain on parameter space occupied by plots dominated by </w:t>
      </w:r>
      <w:proofErr w:type="spellStart"/>
      <w:r w:rsidRPr="00DA66C6">
        <w:rPr>
          <w:rFonts w:ascii="Arial" w:hAnsi="Arial" w:cs="Arial"/>
          <w:sz w:val="20"/>
          <w:szCs w:val="20"/>
        </w:rPr>
        <w:t>sugi</w:t>
      </w:r>
      <w:proofErr w:type="spellEnd"/>
      <w:r w:rsidRPr="00DA66C6">
        <w:rPr>
          <w:rFonts w:ascii="Arial" w:hAnsi="Arial" w:cs="Arial"/>
          <w:sz w:val="20"/>
          <w:szCs w:val="20"/>
        </w:rPr>
        <w:t xml:space="preserve"> or hinoki surveyed in a national forest inventory</w:t>
      </w:r>
      <w:r w:rsidRPr="00DA66C6">
        <w:rPr>
          <w:rFonts w:ascii="Arial" w:hAnsi="Arial" w:cs="Arial"/>
          <w:sz w:val="20"/>
          <w:szCs w:val="20"/>
        </w:rPr>
        <w:fldChar w:fldCharType="begin" w:fldLock="1"/>
      </w:r>
      <w:r w:rsidRPr="00DA66C6">
        <w:rPr>
          <w:rFonts w:ascii="Arial" w:hAnsi="Arial" w:cs="Arial"/>
          <w:sz w:val="20"/>
          <w:szCs w:val="20"/>
        </w:rPr>
        <w:instrText>ADDIN CSL_CITATION {"citationItems":[{"id":"ITEM-1","itemData":{"author":[{"dropping-particle":"","family":"Forestry Agency of Japan","given":"","non-dropping-particle":"","parse-names":false,"suffix":""}],"id":"ITEM-1","issued":{"date-parts":[["2019"]]},"title":"Forest Ecosystem Diversity Basic Survey (in Japanese). Available online at: https://www.rinya.maff.go.jp/j/keikaku/tayouseichousa/index.html","type":"webpage"},"uris":["http://www.mendeley.com/documents/?uuid=ea721ce0-7565-4797-a681-fa8a5b1f17ac"]}],"mendeley":{"formattedCitation":"&lt;sup&gt;89&lt;/sup&gt;","plainTextFormattedCitation":"89","previouslyFormattedCitation":"&lt;sup&gt;89&lt;/sup&gt;"},"properties":{"noteIndex":0},"schema":"https://github.com/citation-style-language/schema/raw/master/csl-citation.json"}</w:instrText>
      </w:r>
      <w:r w:rsidRPr="00DA66C6">
        <w:rPr>
          <w:rFonts w:ascii="Arial" w:hAnsi="Arial" w:cs="Arial"/>
          <w:sz w:val="20"/>
          <w:szCs w:val="20"/>
        </w:rPr>
        <w:fldChar w:fldCharType="separate"/>
      </w:r>
      <w:r w:rsidRPr="00DA66C6">
        <w:rPr>
          <w:rFonts w:ascii="Arial" w:hAnsi="Arial" w:cs="Arial"/>
          <w:noProof/>
          <w:sz w:val="20"/>
          <w:szCs w:val="20"/>
          <w:vertAlign w:val="superscript"/>
        </w:rPr>
        <w:t>89</w:t>
      </w:r>
      <w:r w:rsidRPr="00DA66C6">
        <w:rPr>
          <w:rFonts w:ascii="Arial" w:hAnsi="Arial" w:cs="Arial"/>
          <w:sz w:val="20"/>
          <w:szCs w:val="20"/>
        </w:rPr>
        <w:fldChar w:fldCharType="end"/>
      </w:r>
      <w:r w:rsidRPr="00DA66C6">
        <w:rPr>
          <w:rFonts w:ascii="Arial" w:hAnsi="Arial" w:cs="Arial"/>
          <w:sz w:val="20"/>
          <w:szCs w:val="20"/>
        </w:rPr>
        <w:t xml:space="preserve"> (grey shading corresponds to plot density; see Appendix S2 for details). </w:t>
      </w:r>
    </w:p>
    <w:p w14:paraId="4D619978" w14:textId="03348F7A" w:rsidR="00725CB3" w:rsidRPr="00DA66C6" w:rsidRDefault="00725CB3" w:rsidP="00725CB3">
      <w:pPr>
        <w:rPr>
          <w:rFonts w:ascii="Arial" w:hAnsi="Arial" w:cs="Arial"/>
          <w:sz w:val="20"/>
          <w:szCs w:val="20"/>
        </w:rPr>
      </w:pPr>
      <w:r w:rsidRPr="00DA66C6">
        <w:rPr>
          <w:rFonts w:ascii="Arial" w:hAnsi="Arial" w:cs="Arial"/>
          <w:noProof/>
          <w:sz w:val="20"/>
          <w:szCs w:val="20"/>
        </w:rPr>
        <w:t xml:space="preserve">Figure legend in Box 3: </w:t>
      </w:r>
    </w:p>
    <w:p w14:paraId="0B150324" w14:textId="37610C55" w:rsidR="00B147C0" w:rsidRPr="00DA66C6" w:rsidRDefault="00725CB3" w:rsidP="00DA66C6">
      <w:pPr>
        <w:rPr>
          <w:rFonts w:ascii="Arial" w:hAnsi="Arial" w:cs="Arial"/>
          <w:sz w:val="20"/>
          <w:szCs w:val="20"/>
        </w:rPr>
      </w:pPr>
      <w:r w:rsidRPr="00DA66C6">
        <w:rPr>
          <w:rFonts w:ascii="Arial" w:hAnsi="Arial" w:cs="Arial"/>
          <w:sz w:val="20"/>
          <w:szCs w:val="20"/>
        </w:rPr>
        <w:lastRenderedPageBreak/>
        <w:t xml:space="preserve">Selection diagram approach for the effect of forest thinning on understory biodiversity (Adapted from Pearl &amp; </w:t>
      </w:r>
      <w:proofErr w:type="spellStart"/>
      <w:r w:rsidRPr="00DA66C6">
        <w:rPr>
          <w:rFonts w:ascii="Arial" w:hAnsi="Arial" w:cs="Arial"/>
          <w:sz w:val="20"/>
          <w:szCs w:val="20"/>
        </w:rPr>
        <w:t>Bareinboim</w:t>
      </w:r>
      <w:proofErr w:type="spellEnd"/>
      <w:r w:rsidRPr="00DA66C6">
        <w:rPr>
          <w:rFonts w:ascii="Arial" w:hAnsi="Arial" w:cs="Arial"/>
          <w:sz w:val="20"/>
          <w:szCs w:val="20"/>
        </w:rPr>
        <w:t xml:space="preserve"> (2013)</w:t>
      </w:r>
      <w:r w:rsidRPr="00DA66C6">
        <w:rPr>
          <w:rFonts w:ascii="Arial" w:hAnsi="Arial" w:cs="Arial"/>
          <w:sz w:val="20"/>
          <w:szCs w:val="20"/>
        </w:rPr>
        <w:fldChar w:fldCharType="begin" w:fldLock="1"/>
      </w:r>
      <w:r w:rsidRPr="00DA66C6">
        <w:rPr>
          <w:rFonts w:ascii="Arial" w:hAnsi="Arial" w:cs="Arial"/>
          <w:sz w:val="20"/>
          <w:szCs w:val="20"/>
        </w:rPr>
        <w:instrText>ADDIN CSL_CITATION {"citationItems":[{"id":"ITEM-1","itemData":{"ISSN":"15337928","abstract":"This paper considers the problem of transferring experimental findings learned from multiple heterogeneous domains to a different environment, in which only passive observations can be collected. Pearl and Bareinboim (2011) established a complete characterization for such transfer between two domains, a source and a target, and this paper generalizes their results to multiple heterogeneous domains. It establishes a necessary and sufficient condition for deciding when effects in the target domain are estimable from both statistical and causal information transferred from the experiments in the source domains. The paper further provides a complete algorithm for computing the transport formula, that is, a way of fusing observational and experimental information to synthesize an unbiased estimate of the desired effects.","author":[{"dropping-particle":"","family":"Bareinboim","given":"Elias","non-dropping-particle":"","parse-names":false,"suffix":""},{"dropping-particle":"","family":"Pearl","given":"Judea","non-dropping-particle":"","parse-names":false,"suffix":""}],"container-title":"Journal of Machine Learning Research","id":"ITEM-1","issued":{"date-parts":[["2013"]]},"page":"135-143","title":"Meta-transportability of causal effects: A formal approach","type":"article-journal","volume":"31"},"uris":["http://www.mendeley.com/documents/?uuid=952e1428-5a77-4431-8643-868af8de00b8"]}],"mendeley":{"formattedCitation":"&lt;sup&gt;75&lt;/sup&gt;","plainTextFormattedCitation":"75","previouslyFormattedCitation":"&lt;sup&gt;75&lt;/sup&gt;"},"properties":{"noteIndex":0},"schema":"https://github.com/citation-style-language/schema/raw/master/csl-citation.json"}</w:instrText>
      </w:r>
      <w:r w:rsidRPr="00DA66C6">
        <w:rPr>
          <w:rFonts w:ascii="Arial" w:hAnsi="Arial" w:cs="Arial"/>
          <w:sz w:val="20"/>
          <w:szCs w:val="20"/>
        </w:rPr>
        <w:fldChar w:fldCharType="separate"/>
      </w:r>
      <w:r w:rsidRPr="00DA66C6">
        <w:rPr>
          <w:rFonts w:ascii="Arial" w:hAnsi="Arial" w:cs="Arial"/>
          <w:noProof/>
          <w:sz w:val="20"/>
          <w:szCs w:val="20"/>
          <w:vertAlign w:val="superscript"/>
        </w:rPr>
        <w:t>75</w:t>
      </w:r>
      <w:r w:rsidRPr="00DA66C6">
        <w:rPr>
          <w:rFonts w:ascii="Arial" w:hAnsi="Arial" w:cs="Arial"/>
          <w:sz w:val="20"/>
          <w:szCs w:val="20"/>
        </w:rPr>
        <w:fldChar w:fldCharType="end"/>
      </w:r>
      <w:bookmarkStart w:id="39" w:name="_2xcytpi" w:colFirst="0" w:colLast="0"/>
      <w:bookmarkEnd w:id="2"/>
      <w:bookmarkEnd w:id="39"/>
    </w:p>
    <w:sectPr w:rsidR="00B147C0" w:rsidRPr="00DA66C6" w:rsidSect="00DA66C6">
      <w:footerReference w:type="default" r:id="rId19"/>
      <w:pgSz w:w="11906" w:h="16838"/>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4EDC" w14:textId="77777777" w:rsidR="00E90B8B" w:rsidRDefault="00E90B8B">
      <w:pPr>
        <w:spacing w:after="0" w:line="240" w:lineRule="auto"/>
      </w:pPr>
      <w:r>
        <w:separator/>
      </w:r>
    </w:p>
  </w:endnote>
  <w:endnote w:type="continuationSeparator" w:id="0">
    <w:p w14:paraId="5F778D9F" w14:textId="77777777" w:rsidR="00E90B8B" w:rsidRDefault="00E9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58F6" w14:textId="71B1F69B" w:rsidR="0034522D" w:rsidRDefault="0034522D">
    <w:pPr>
      <w:jc w:val="right"/>
    </w:pPr>
    <w:r>
      <w:fldChar w:fldCharType="begin"/>
    </w:r>
    <w:r>
      <w:instrText>PAGE</w:instrText>
    </w:r>
    <w:r>
      <w:fldChar w:fldCharType="separate"/>
    </w:r>
    <w:r w:rsidR="00845947">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98DC" w14:textId="77777777" w:rsidR="00E90B8B" w:rsidRDefault="00E90B8B">
      <w:pPr>
        <w:spacing w:after="0" w:line="240" w:lineRule="auto"/>
      </w:pPr>
      <w:r>
        <w:separator/>
      </w:r>
    </w:p>
  </w:footnote>
  <w:footnote w:type="continuationSeparator" w:id="0">
    <w:p w14:paraId="523A5BDF" w14:textId="77777777" w:rsidR="00E90B8B" w:rsidRDefault="00E90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600DD"/>
    <w:multiLevelType w:val="hybridMultilevel"/>
    <w:tmpl w:val="078E1B32"/>
    <w:lvl w:ilvl="0" w:tplc="7466E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801523"/>
    <w:multiLevelType w:val="hybridMultilevel"/>
    <w:tmpl w:val="B68E12BE"/>
    <w:lvl w:ilvl="0" w:tplc="4ADE9E9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29"/>
    <w:rsid w:val="0000278C"/>
    <w:rsid w:val="000052E1"/>
    <w:rsid w:val="000171FD"/>
    <w:rsid w:val="00044F09"/>
    <w:rsid w:val="0004535E"/>
    <w:rsid w:val="000458BF"/>
    <w:rsid w:val="00055362"/>
    <w:rsid w:val="00057E6D"/>
    <w:rsid w:val="0006219B"/>
    <w:rsid w:val="00064A70"/>
    <w:rsid w:val="00067053"/>
    <w:rsid w:val="0008251B"/>
    <w:rsid w:val="00082988"/>
    <w:rsid w:val="0009322B"/>
    <w:rsid w:val="000939B1"/>
    <w:rsid w:val="000A2021"/>
    <w:rsid w:val="000A2CD5"/>
    <w:rsid w:val="000A303F"/>
    <w:rsid w:val="000B0D93"/>
    <w:rsid w:val="000C2ED9"/>
    <w:rsid w:val="000D32B6"/>
    <w:rsid w:val="000F01A7"/>
    <w:rsid w:val="00100ECF"/>
    <w:rsid w:val="00132F57"/>
    <w:rsid w:val="001363CC"/>
    <w:rsid w:val="0014114E"/>
    <w:rsid w:val="00150C0B"/>
    <w:rsid w:val="00150CF0"/>
    <w:rsid w:val="00152EF6"/>
    <w:rsid w:val="00160997"/>
    <w:rsid w:val="00172821"/>
    <w:rsid w:val="001820F5"/>
    <w:rsid w:val="00186AA9"/>
    <w:rsid w:val="0019390D"/>
    <w:rsid w:val="001B1818"/>
    <w:rsid w:val="001B2DC3"/>
    <w:rsid w:val="001C0ABB"/>
    <w:rsid w:val="001C0C7A"/>
    <w:rsid w:val="001C75EB"/>
    <w:rsid w:val="002000F4"/>
    <w:rsid w:val="00202731"/>
    <w:rsid w:val="00217E6A"/>
    <w:rsid w:val="00226284"/>
    <w:rsid w:val="0023683C"/>
    <w:rsid w:val="00255806"/>
    <w:rsid w:val="002805B2"/>
    <w:rsid w:val="00284127"/>
    <w:rsid w:val="00297CF1"/>
    <w:rsid w:val="002A53AC"/>
    <w:rsid w:val="002B1EEE"/>
    <w:rsid w:val="002F428B"/>
    <w:rsid w:val="002F6D4A"/>
    <w:rsid w:val="002F705F"/>
    <w:rsid w:val="00300B1E"/>
    <w:rsid w:val="0030632A"/>
    <w:rsid w:val="00313CC5"/>
    <w:rsid w:val="00325156"/>
    <w:rsid w:val="003350A6"/>
    <w:rsid w:val="00340484"/>
    <w:rsid w:val="00342DF5"/>
    <w:rsid w:val="003432D2"/>
    <w:rsid w:val="0034522D"/>
    <w:rsid w:val="00351F9A"/>
    <w:rsid w:val="003541DC"/>
    <w:rsid w:val="00355A37"/>
    <w:rsid w:val="00362DDD"/>
    <w:rsid w:val="003712A2"/>
    <w:rsid w:val="00371619"/>
    <w:rsid w:val="00373430"/>
    <w:rsid w:val="0037367C"/>
    <w:rsid w:val="00375AA5"/>
    <w:rsid w:val="00386BAE"/>
    <w:rsid w:val="003948D8"/>
    <w:rsid w:val="00396F85"/>
    <w:rsid w:val="00397A70"/>
    <w:rsid w:val="003B13A9"/>
    <w:rsid w:val="003B4107"/>
    <w:rsid w:val="003C1290"/>
    <w:rsid w:val="003C74FB"/>
    <w:rsid w:val="003E26F1"/>
    <w:rsid w:val="003F22B7"/>
    <w:rsid w:val="003F6C51"/>
    <w:rsid w:val="0040578D"/>
    <w:rsid w:val="00407EA7"/>
    <w:rsid w:val="004140D5"/>
    <w:rsid w:val="00415DEC"/>
    <w:rsid w:val="00436BD3"/>
    <w:rsid w:val="0043719E"/>
    <w:rsid w:val="00445195"/>
    <w:rsid w:val="00452321"/>
    <w:rsid w:val="004615F7"/>
    <w:rsid w:val="00471245"/>
    <w:rsid w:val="0047491C"/>
    <w:rsid w:val="00481552"/>
    <w:rsid w:val="004A4725"/>
    <w:rsid w:val="004B3AC7"/>
    <w:rsid w:val="004B4C30"/>
    <w:rsid w:val="004C59C7"/>
    <w:rsid w:val="004D1D65"/>
    <w:rsid w:val="004E099E"/>
    <w:rsid w:val="004E54F8"/>
    <w:rsid w:val="004E65E8"/>
    <w:rsid w:val="004E7EAD"/>
    <w:rsid w:val="00517018"/>
    <w:rsid w:val="00530DD0"/>
    <w:rsid w:val="0053448B"/>
    <w:rsid w:val="005444BE"/>
    <w:rsid w:val="00550C20"/>
    <w:rsid w:val="00552939"/>
    <w:rsid w:val="00552F34"/>
    <w:rsid w:val="0056380A"/>
    <w:rsid w:val="00572EFF"/>
    <w:rsid w:val="005815D1"/>
    <w:rsid w:val="005875C9"/>
    <w:rsid w:val="00587B60"/>
    <w:rsid w:val="00591DB1"/>
    <w:rsid w:val="005A6156"/>
    <w:rsid w:val="005A790A"/>
    <w:rsid w:val="005B5A43"/>
    <w:rsid w:val="005D5BDC"/>
    <w:rsid w:val="005D5FE8"/>
    <w:rsid w:val="005E2996"/>
    <w:rsid w:val="00600326"/>
    <w:rsid w:val="00604290"/>
    <w:rsid w:val="006054F5"/>
    <w:rsid w:val="0061571B"/>
    <w:rsid w:val="00622CAB"/>
    <w:rsid w:val="00630722"/>
    <w:rsid w:val="00636AA5"/>
    <w:rsid w:val="00651B58"/>
    <w:rsid w:val="006554B1"/>
    <w:rsid w:val="0066286C"/>
    <w:rsid w:val="00664696"/>
    <w:rsid w:val="00666ECE"/>
    <w:rsid w:val="00677F13"/>
    <w:rsid w:val="00684A2E"/>
    <w:rsid w:val="006971E9"/>
    <w:rsid w:val="006A37EA"/>
    <w:rsid w:val="006A7166"/>
    <w:rsid w:val="006C00D2"/>
    <w:rsid w:val="006C248B"/>
    <w:rsid w:val="006D0155"/>
    <w:rsid w:val="006D4CBE"/>
    <w:rsid w:val="006E1294"/>
    <w:rsid w:val="006F25FA"/>
    <w:rsid w:val="00716A95"/>
    <w:rsid w:val="007229C9"/>
    <w:rsid w:val="00725CB3"/>
    <w:rsid w:val="0072684B"/>
    <w:rsid w:val="00730E26"/>
    <w:rsid w:val="00735A00"/>
    <w:rsid w:val="00744F88"/>
    <w:rsid w:val="00746BF8"/>
    <w:rsid w:val="007555C3"/>
    <w:rsid w:val="00756572"/>
    <w:rsid w:val="007649EA"/>
    <w:rsid w:val="007664D8"/>
    <w:rsid w:val="00775DE7"/>
    <w:rsid w:val="0078290C"/>
    <w:rsid w:val="00794A17"/>
    <w:rsid w:val="00794DFA"/>
    <w:rsid w:val="00795080"/>
    <w:rsid w:val="007955EF"/>
    <w:rsid w:val="007A3B54"/>
    <w:rsid w:val="007A48AE"/>
    <w:rsid w:val="007A7BE1"/>
    <w:rsid w:val="007D1895"/>
    <w:rsid w:val="007E5137"/>
    <w:rsid w:val="007E5632"/>
    <w:rsid w:val="008075EB"/>
    <w:rsid w:val="00813147"/>
    <w:rsid w:val="008227B8"/>
    <w:rsid w:val="0082692A"/>
    <w:rsid w:val="008272A3"/>
    <w:rsid w:val="00836F4C"/>
    <w:rsid w:val="00845947"/>
    <w:rsid w:val="008465C3"/>
    <w:rsid w:val="00852C49"/>
    <w:rsid w:val="00854070"/>
    <w:rsid w:val="00860E5E"/>
    <w:rsid w:val="00866092"/>
    <w:rsid w:val="00871156"/>
    <w:rsid w:val="00881A3A"/>
    <w:rsid w:val="008835CA"/>
    <w:rsid w:val="00890055"/>
    <w:rsid w:val="008901FE"/>
    <w:rsid w:val="008A01FD"/>
    <w:rsid w:val="008A35D5"/>
    <w:rsid w:val="008B20DC"/>
    <w:rsid w:val="008B25C8"/>
    <w:rsid w:val="008B4FC9"/>
    <w:rsid w:val="008B5ADB"/>
    <w:rsid w:val="008B6468"/>
    <w:rsid w:val="008E158C"/>
    <w:rsid w:val="008E2237"/>
    <w:rsid w:val="008E52CF"/>
    <w:rsid w:val="008E5D59"/>
    <w:rsid w:val="008F3538"/>
    <w:rsid w:val="00910EFE"/>
    <w:rsid w:val="009170E7"/>
    <w:rsid w:val="009207B8"/>
    <w:rsid w:val="00952883"/>
    <w:rsid w:val="00966147"/>
    <w:rsid w:val="00981331"/>
    <w:rsid w:val="00982034"/>
    <w:rsid w:val="00982E73"/>
    <w:rsid w:val="00995439"/>
    <w:rsid w:val="009A6A7C"/>
    <w:rsid w:val="009B41E0"/>
    <w:rsid w:val="009C5E2F"/>
    <w:rsid w:val="009D0AAE"/>
    <w:rsid w:val="009F07B9"/>
    <w:rsid w:val="009F74B0"/>
    <w:rsid w:val="00A038A0"/>
    <w:rsid w:val="00A0428A"/>
    <w:rsid w:val="00A21ED5"/>
    <w:rsid w:val="00A31141"/>
    <w:rsid w:val="00A33591"/>
    <w:rsid w:val="00A405F1"/>
    <w:rsid w:val="00A8029C"/>
    <w:rsid w:val="00A828E4"/>
    <w:rsid w:val="00A83E7C"/>
    <w:rsid w:val="00A84E2B"/>
    <w:rsid w:val="00A971C6"/>
    <w:rsid w:val="00AA32F1"/>
    <w:rsid w:val="00AB6839"/>
    <w:rsid w:val="00AC746F"/>
    <w:rsid w:val="00AD4A1A"/>
    <w:rsid w:val="00AD5EBD"/>
    <w:rsid w:val="00AE4512"/>
    <w:rsid w:val="00AF23B9"/>
    <w:rsid w:val="00B020D5"/>
    <w:rsid w:val="00B059C1"/>
    <w:rsid w:val="00B147C0"/>
    <w:rsid w:val="00B17A3C"/>
    <w:rsid w:val="00B328E5"/>
    <w:rsid w:val="00B45E8E"/>
    <w:rsid w:val="00B60C05"/>
    <w:rsid w:val="00B62A48"/>
    <w:rsid w:val="00B62B5D"/>
    <w:rsid w:val="00B82FC5"/>
    <w:rsid w:val="00B91A17"/>
    <w:rsid w:val="00B96EFF"/>
    <w:rsid w:val="00BA7134"/>
    <w:rsid w:val="00BB00E8"/>
    <w:rsid w:val="00BB1A5F"/>
    <w:rsid w:val="00BC21E6"/>
    <w:rsid w:val="00BC741E"/>
    <w:rsid w:val="00BD35DE"/>
    <w:rsid w:val="00BD3BDF"/>
    <w:rsid w:val="00BD565D"/>
    <w:rsid w:val="00BF6784"/>
    <w:rsid w:val="00C11F5A"/>
    <w:rsid w:val="00C310DA"/>
    <w:rsid w:val="00C42363"/>
    <w:rsid w:val="00C50D16"/>
    <w:rsid w:val="00C51A91"/>
    <w:rsid w:val="00C52B1D"/>
    <w:rsid w:val="00C578FE"/>
    <w:rsid w:val="00C60779"/>
    <w:rsid w:val="00C6550E"/>
    <w:rsid w:val="00C77293"/>
    <w:rsid w:val="00C8056C"/>
    <w:rsid w:val="00C8228F"/>
    <w:rsid w:val="00C8317A"/>
    <w:rsid w:val="00C83704"/>
    <w:rsid w:val="00C85D0D"/>
    <w:rsid w:val="00C90EBC"/>
    <w:rsid w:val="00C91F6E"/>
    <w:rsid w:val="00C9245D"/>
    <w:rsid w:val="00C93FAB"/>
    <w:rsid w:val="00C973CD"/>
    <w:rsid w:val="00CB557F"/>
    <w:rsid w:val="00CB6F2D"/>
    <w:rsid w:val="00CB7BB2"/>
    <w:rsid w:val="00CC19F3"/>
    <w:rsid w:val="00CD2511"/>
    <w:rsid w:val="00CD30FB"/>
    <w:rsid w:val="00CD3714"/>
    <w:rsid w:val="00CD3FF3"/>
    <w:rsid w:val="00CE7C6F"/>
    <w:rsid w:val="00CF75D2"/>
    <w:rsid w:val="00D00003"/>
    <w:rsid w:val="00D0263D"/>
    <w:rsid w:val="00D027A4"/>
    <w:rsid w:val="00D15C60"/>
    <w:rsid w:val="00D249A7"/>
    <w:rsid w:val="00D27943"/>
    <w:rsid w:val="00D3145C"/>
    <w:rsid w:val="00D46F43"/>
    <w:rsid w:val="00D516BA"/>
    <w:rsid w:val="00D54C5A"/>
    <w:rsid w:val="00D55197"/>
    <w:rsid w:val="00D561D8"/>
    <w:rsid w:val="00D95947"/>
    <w:rsid w:val="00DA66C6"/>
    <w:rsid w:val="00DB1CBE"/>
    <w:rsid w:val="00DC7AE0"/>
    <w:rsid w:val="00DE1F85"/>
    <w:rsid w:val="00DE608C"/>
    <w:rsid w:val="00DE71E1"/>
    <w:rsid w:val="00DF4CE5"/>
    <w:rsid w:val="00DF75D8"/>
    <w:rsid w:val="00DF7BE6"/>
    <w:rsid w:val="00E03673"/>
    <w:rsid w:val="00E1755E"/>
    <w:rsid w:val="00E256D3"/>
    <w:rsid w:val="00E26AC5"/>
    <w:rsid w:val="00E3134B"/>
    <w:rsid w:val="00E42562"/>
    <w:rsid w:val="00E433CB"/>
    <w:rsid w:val="00E464CC"/>
    <w:rsid w:val="00E47176"/>
    <w:rsid w:val="00E535B9"/>
    <w:rsid w:val="00E60FBC"/>
    <w:rsid w:val="00E7317A"/>
    <w:rsid w:val="00E8218B"/>
    <w:rsid w:val="00E87E12"/>
    <w:rsid w:val="00E90B8B"/>
    <w:rsid w:val="00E94213"/>
    <w:rsid w:val="00EA4E4A"/>
    <w:rsid w:val="00EA604D"/>
    <w:rsid w:val="00EB0D0C"/>
    <w:rsid w:val="00EB287D"/>
    <w:rsid w:val="00EB500A"/>
    <w:rsid w:val="00EC1ACF"/>
    <w:rsid w:val="00EC30FD"/>
    <w:rsid w:val="00EC7DD2"/>
    <w:rsid w:val="00EE50E5"/>
    <w:rsid w:val="00EF42C7"/>
    <w:rsid w:val="00F10305"/>
    <w:rsid w:val="00F16033"/>
    <w:rsid w:val="00F23EB1"/>
    <w:rsid w:val="00F24A29"/>
    <w:rsid w:val="00F25476"/>
    <w:rsid w:val="00F52418"/>
    <w:rsid w:val="00F55E19"/>
    <w:rsid w:val="00F64D4F"/>
    <w:rsid w:val="00F8220F"/>
    <w:rsid w:val="00F94DEC"/>
    <w:rsid w:val="00FA098E"/>
    <w:rsid w:val="00FA53DD"/>
    <w:rsid w:val="00FA67E2"/>
    <w:rsid w:val="00FB4951"/>
    <w:rsid w:val="00FB5694"/>
    <w:rsid w:val="00FB6309"/>
    <w:rsid w:val="00FC47E7"/>
    <w:rsid w:val="00FD3DFD"/>
    <w:rsid w:val="00FE0704"/>
    <w:rsid w:val="00FE6E9D"/>
    <w:rsid w:val="00FF2BF2"/>
    <w:rsid w:val="00FF33D5"/>
    <w:rsid w:val="00FF353C"/>
    <w:rsid w:val="1D18E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57266"/>
  <w15:docId w15:val="{0C636B74-2089-4E1E-AE61-871ACFC9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outlineLvl w:val="0"/>
    </w:pPr>
    <w:rPr>
      <w:b/>
      <w:sz w:val="32"/>
      <w:szCs w:val="32"/>
    </w:rPr>
  </w:style>
  <w:style w:type="paragraph" w:styleId="Heading2">
    <w:name w:val="heading 2"/>
    <w:basedOn w:val="Normal"/>
    <w:next w:val="Normal"/>
    <w:uiPriority w:val="9"/>
    <w:unhideWhenUsed/>
    <w:qFormat/>
    <w:pPr>
      <w:keepNext/>
      <w:keepLines/>
      <w:spacing w:before="120" w:line="240" w:lineRule="auto"/>
      <w:outlineLvl w:val="1"/>
    </w:pPr>
    <w:rPr>
      <w:rFonts w:ascii="Calibri" w:eastAsia="Calibri" w:hAnsi="Calibri" w:cs="Calibri"/>
      <w:b/>
      <w:sz w:val="26"/>
      <w:szCs w:val="26"/>
    </w:rPr>
  </w:style>
  <w:style w:type="paragraph" w:styleId="Heading3">
    <w:name w:val="heading 3"/>
    <w:basedOn w:val="Normal"/>
    <w:next w:val="Normal"/>
    <w:uiPriority w:val="9"/>
    <w:unhideWhenUsed/>
    <w:qFormat/>
    <w:pPr>
      <w:keepNext/>
      <w:keepLines/>
      <w:spacing w:before="40" w:after="0"/>
      <w:outlineLvl w:val="2"/>
    </w:pPr>
    <w:rPr>
      <w:rFonts w:ascii="Calibri" w:eastAsia="Calibri" w:hAnsi="Calibri" w:cs="Calibri"/>
      <w:b/>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B5694"/>
    <w:pPr>
      <w:ind w:left="720"/>
      <w:contextualSpacing/>
    </w:pPr>
  </w:style>
  <w:style w:type="character" w:styleId="Hyperlink">
    <w:name w:val="Hyperlink"/>
    <w:basedOn w:val="DefaultParagraphFont"/>
    <w:uiPriority w:val="99"/>
    <w:unhideWhenUsed/>
    <w:rsid w:val="00373430"/>
    <w:rPr>
      <w:color w:val="0000FF" w:themeColor="hyperlink"/>
      <w:u w:val="single"/>
    </w:rPr>
  </w:style>
  <w:style w:type="character" w:customStyle="1" w:styleId="UnresolvedMention1">
    <w:name w:val="Unresolved Mention1"/>
    <w:basedOn w:val="DefaultParagraphFont"/>
    <w:uiPriority w:val="99"/>
    <w:semiHidden/>
    <w:unhideWhenUsed/>
    <w:rsid w:val="003734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6AA5"/>
    <w:rPr>
      <w:b/>
      <w:bCs/>
    </w:rPr>
  </w:style>
  <w:style w:type="character" w:customStyle="1" w:styleId="CommentSubjectChar">
    <w:name w:val="Comment Subject Char"/>
    <w:basedOn w:val="CommentTextChar"/>
    <w:link w:val="CommentSubject"/>
    <w:uiPriority w:val="99"/>
    <w:semiHidden/>
    <w:rsid w:val="00636AA5"/>
    <w:rPr>
      <w:b/>
      <w:bCs/>
      <w:sz w:val="20"/>
      <w:szCs w:val="20"/>
    </w:rPr>
  </w:style>
  <w:style w:type="paragraph" w:styleId="Header">
    <w:name w:val="header"/>
    <w:basedOn w:val="Normal"/>
    <w:link w:val="HeaderChar"/>
    <w:uiPriority w:val="99"/>
    <w:unhideWhenUsed/>
    <w:rsid w:val="00055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362"/>
  </w:style>
  <w:style w:type="paragraph" w:styleId="Footer">
    <w:name w:val="footer"/>
    <w:basedOn w:val="Normal"/>
    <w:link w:val="FooterChar"/>
    <w:uiPriority w:val="99"/>
    <w:unhideWhenUsed/>
    <w:rsid w:val="00055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362"/>
  </w:style>
  <w:style w:type="paragraph" w:styleId="NormalWeb">
    <w:name w:val="Normal (Web)"/>
    <w:basedOn w:val="Normal"/>
    <w:uiPriority w:val="99"/>
    <w:unhideWhenUsed/>
    <w:rsid w:val="00630722"/>
    <w:pPr>
      <w:spacing w:before="100" w:beforeAutospacing="1" w:after="100" w:afterAutospacing="1" w:line="240" w:lineRule="auto"/>
    </w:pPr>
  </w:style>
  <w:style w:type="character" w:styleId="LineNumber">
    <w:name w:val="line number"/>
    <w:basedOn w:val="DefaultParagraphFont"/>
    <w:uiPriority w:val="99"/>
    <w:semiHidden/>
    <w:unhideWhenUsed/>
    <w:rsid w:val="00FF2BF2"/>
  </w:style>
  <w:style w:type="character" w:customStyle="1" w:styleId="mi">
    <w:name w:val="mi"/>
    <w:basedOn w:val="DefaultParagraphFont"/>
    <w:rsid w:val="00B147C0"/>
  </w:style>
  <w:style w:type="character" w:customStyle="1" w:styleId="mo">
    <w:name w:val="mo"/>
    <w:basedOn w:val="DefaultParagraphFont"/>
    <w:rsid w:val="00B147C0"/>
  </w:style>
  <w:style w:type="character" w:styleId="Emphasis">
    <w:name w:val="Emphasis"/>
    <w:basedOn w:val="DefaultParagraphFont"/>
    <w:uiPriority w:val="20"/>
    <w:qFormat/>
    <w:rsid w:val="00B147C0"/>
    <w:rPr>
      <w:i/>
      <w:iCs/>
    </w:rPr>
  </w:style>
  <w:style w:type="paragraph" w:customStyle="1" w:styleId="p">
    <w:name w:val="p"/>
    <w:basedOn w:val="Normal"/>
    <w:rsid w:val="00B147C0"/>
    <w:pPr>
      <w:spacing w:before="100" w:beforeAutospacing="1" w:after="100" w:afterAutospacing="1" w:line="240" w:lineRule="auto"/>
    </w:pPr>
  </w:style>
  <w:style w:type="character" w:styleId="FollowedHyperlink">
    <w:name w:val="FollowedHyperlink"/>
    <w:basedOn w:val="DefaultParagraphFont"/>
    <w:uiPriority w:val="99"/>
    <w:semiHidden/>
    <w:unhideWhenUsed/>
    <w:rsid w:val="00C578FE"/>
    <w:rPr>
      <w:color w:val="800080" w:themeColor="followedHyperlink"/>
      <w:u w:val="single"/>
    </w:rPr>
  </w:style>
  <w:style w:type="table" w:styleId="TableGrid">
    <w:name w:val="Table Grid"/>
    <w:basedOn w:val="TableNormal"/>
    <w:uiPriority w:val="39"/>
    <w:rsid w:val="00B0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oupname">
    <w:name w:val="groupname"/>
    <w:basedOn w:val="DefaultParagraphFont"/>
    <w:rsid w:val="00BC741E"/>
  </w:style>
  <w:style w:type="character" w:customStyle="1" w:styleId="pubyear">
    <w:name w:val="pubyear"/>
    <w:basedOn w:val="DefaultParagraphFont"/>
    <w:rsid w:val="00BC741E"/>
  </w:style>
  <w:style w:type="character" w:customStyle="1" w:styleId="booktitle">
    <w:name w:val="booktitle"/>
    <w:basedOn w:val="DefaultParagraphFont"/>
    <w:rsid w:val="00BC741E"/>
  </w:style>
  <w:style w:type="paragraph" w:customStyle="1" w:styleId="referencescopy1">
    <w:name w:val="referencescopy1"/>
    <w:basedOn w:val="Normal"/>
    <w:rsid w:val="00BC741E"/>
    <w:pPr>
      <w:spacing w:before="100" w:beforeAutospacing="1" w:after="100" w:afterAutospacing="1" w:line="240" w:lineRule="auto"/>
    </w:pPr>
  </w:style>
  <w:style w:type="paragraph" w:styleId="BalloonText">
    <w:name w:val="Balloon Text"/>
    <w:basedOn w:val="Normal"/>
    <w:link w:val="BalloonTextChar"/>
    <w:uiPriority w:val="99"/>
    <w:semiHidden/>
    <w:unhideWhenUsed/>
    <w:rsid w:val="006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A2E"/>
    <w:rPr>
      <w:rFonts w:ascii="Segoe UI" w:hAnsi="Segoe UI" w:cs="Segoe UI"/>
      <w:sz w:val="18"/>
      <w:szCs w:val="18"/>
    </w:rPr>
  </w:style>
  <w:style w:type="paragraph" w:styleId="Revision">
    <w:name w:val="Revision"/>
    <w:hidden/>
    <w:uiPriority w:val="99"/>
    <w:semiHidden/>
    <w:rsid w:val="00B96EFF"/>
    <w:pPr>
      <w:spacing w:after="0" w:line="240" w:lineRule="auto"/>
    </w:pPr>
  </w:style>
  <w:style w:type="character" w:customStyle="1" w:styleId="UnresolvedMention2">
    <w:name w:val="Unresolved Mention2"/>
    <w:basedOn w:val="DefaultParagraphFont"/>
    <w:uiPriority w:val="99"/>
    <w:semiHidden/>
    <w:unhideWhenUsed/>
    <w:rsid w:val="004615F7"/>
    <w:rPr>
      <w:color w:val="605E5C"/>
      <w:shd w:val="clear" w:color="auto" w:fill="E1DFDD"/>
    </w:rPr>
  </w:style>
  <w:style w:type="character" w:styleId="Strong">
    <w:name w:val="Strong"/>
    <w:basedOn w:val="DefaultParagraphFont"/>
    <w:uiPriority w:val="22"/>
    <w:qFormat/>
    <w:rsid w:val="004615F7"/>
    <w:rPr>
      <w:b/>
      <w:bCs/>
    </w:rPr>
  </w:style>
  <w:style w:type="character" w:styleId="PlaceholderText">
    <w:name w:val="Placeholder Text"/>
    <w:basedOn w:val="DefaultParagraphFont"/>
    <w:uiPriority w:val="99"/>
    <w:semiHidden/>
    <w:rsid w:val="00E464CC"/>
    <w:rPr>
      <w:color w:val="808080"/>
    </w:rPr>
  </w:style>
  <w:style w:type="character" w:styleId="UnresolvedMention">
    <w:name w:val="Unresolved Mention"/>
    <w:basedOn w:val="DefaultParagraphFont"/>
    <w:uiPriority w:val="99"/>
    <w:semiHidden/>
    <w:unhideWhenUsed/>
    <w:rsid w:val="00920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448">
      <w:bodyDiv w:val="1"/>
      <w:marLeft w:val="0"/>
      <w:marRight w:val="0"/>
      <w:marTop w:val="0"/>
      <w:marBottom w:val="0"/>
      <w:divBdr>
        <w:top w:val="none" w:sz="0" w:space="0" w:color="auto"/>
        <w:left w:val="none" w:sz="0" w:space="0" w:color="auto"/>
        <w:bottom w:val="none" w:sz="0" w:space="0" w:color="auto"/>
        <w:right w:val="none" w:sz="0" w:space="0" w:color="auto"/>
      </w:divBdr>
      <w:divsChild>
        <w:div w:id="1142230547">
          <w:marLeft w:val="0"/>
          <w:marRight w:val="0"/>
          <w:marTop w:val="400"/>
          <w:marBottom w:val="400"/>
          <w:divBdr>
            <w:top w:val="none" w:sz="0" w:space="0" w:color="auto"/>
            <w:left w:val="none" w:sz="0" w:space="0" w:color="auto"/>
            <w:bottom w:val="none" w:sz="0" w:space="0" w:color="auto"/>
            <w:right w:val="none" w:sz="0" w:space="0" w:color="auto"/>
          </w:divBdr>
          <w:divsChild>
            <w:div w:id="14908321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5902605">
      <w:bodyDiv w:val="1"/>
      <w:marLeft w:val="0"/>
      <w:marRight w:val="0"/>
      <w:marTop w:val="0"/>
      <w:marBottom w:val="0"/>
      <w:divBdr>
        <w:top w:val="none" w:sz="0" w:space="0" w:color="auto"/>
        <w:left w:val="none" w:sz="0" w:space="0" w:color="auto"/>
        <w:bottom w:val="none" w:sz="0" w:space="0" w:color="auto"/>
        <w:right w:val="none" w:sz="0" w:space="0" w:color="auto"/>
      </w:divBdr>
    </w:div>
    <w:div w:id="570845034">
      <w:bodyDiv w:val="1"/>
      <w:marLeft w:val="0"/>
      <w:marRight w:val="0"/>
      <w:marTop w:val="0"/>
      <w:marBottom w:val="0"/>
      <w:divBdr>
        <w:top w:val="none" w:sz="0" w:space="0" w:color="auto"/>
        <w:left w:val="none" w:sz="0" w:space="0" w:color="auto"/>
        <w:bottom w:val="none" w:sz="0" w:space="0" w:color="auto"/>
        <w:right w:val="none" w:sz="0" w:space="0" w:color="auto"/>
      </w:divBdr>
    </w:div>
    <w:div w:id="1238327060">
      <w:bodyDiv w:val="1"/>
      <w:marLeft w:val="0"/>
      <w:marRight w:val="0"/>
      <w:marTop w:val="0"/>
      <w:marBottom w:val="0"/>
      <w:divBdr>
        <w:top w:val="none" w:sz="0" w:space="0" w:color="auto"/>
        <w:left w:val="none" w:sz="0" w:space="0" w:color="auto"/>
        <w:bottom w:val="none" w:sz="0" w:space="0" w:color="auto"/>
        <w:right w:val="none" w:sz="0" w:space="0" w:color="auto"/>
      </w:divBdr>
    </w:div>
    <w:div w:id="1531525891">
      <w:bodyDiv w:val="1"/>
      <w:marLeft w:val="0"/>
      <w:marRight w:val="0"/>
      <w:marTop w:val="0"/>
      <w:marBottom w:val="0"/>
      <w:divBdr>
        <w:top w:val="none" w:sz="0" w:space="0" w:color="auto"/>
        <w:left w:val="none" w:sz="0" w:space="0" w:color="auto"/>
        <w:bottom w:val="none" w:sz="0" w:space="0" w:color="auto"/>
        <w:right w:val="none" w:sz="0" w:space="0" w:color="auto"/>
      </w:divBdr>
      <w:divsChild>
        <w:div w:id="1517694775">
          <w:marLeft w:val="0"/>
          <w:marRight w:val="0"/>
          <w:marTop w:val="400"/>
          <w:marBottom w:val="400"/>
          <w:divBdr>
            <w:top w:val="none" w:sz="0" w:space="0" w:color="auto"/>
            <w:left w:val="none" w:sz="0" w:space="0" w:color="auto"/>
            <w:bottom w:val="none" w:sz="0" w:space="0" w:color="auto"/>
            <w:right w:val="none" w:sz="0" w:space="0" w:color="auto"/>
          </w:divBdr>
          <w:divsChild>
            <w:div w:id="14023693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50267914">
      <w:bodyDiv w:val="1"/>
      <w:marLeft w:val="0"/>
      <w:marRight w:val="0"/>
      <w:marTop w:val="0"/>
      <w:marBottom w:val="0"/>
      <w:divBdr>
        <w:top w:val="none" w:sz="0" w:space="0" w:color="auto"/>
        <w:left w:val="none" w:sz="0" w:space="0" w:color="auto"/>
        <w:bottom w:val="none" w:sz="0" w:space="0" w:color="auto"/>
        <w:right w:val="none" w:sz="0" w:space="0" w:color="auto"/>
      </w:divBdr>
    </w:div>
    <w:div w:id="2143889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pdf/10.1177/2515245917746792" TargetMode="External"/><Relationship Id="rId13" Type="http://schemas.openxmlformats.org/officeDocument/2006/relationships/hyperlink" Target="mailto:s.nakagawa@unsw.edu.au" TargetMode="External"/><Relationship Id="rId18" Type="http://schemas.openxmlformats.org/officeDocument/2006/relationships/hyperlink" Target="mailto:R.Spake@reading.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se.eleanor.o.dea@gmail.com" TargetMode="External"/><Relationship Id="rId17" Type="http://schemas.openxmlformats.org/officeDocument/2006/relationships/hyperlink" Target="mailto:jmbul@ceh.ac.uk" TargetMode="External"/><Relationship Id="rId2" Type="http://schemas.openxmlformats.org/officeDocument/2006/relationships/numbering" Target="numbering.xml"/><Relationship Id="rId16" Type="http://schemas.openxmlformats.org/officeDocument/2006/relationships/hyperlink" Target="mailto:corey.callaghan@idiv.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ksspake@gmail.com" TargetMode="External"/><Relationship Id="rId5" Type="http://schemas.openxmlformats.org/officeDocument/2006/relationships/webSettings" Target="webSettings.xml"/><Relationship Id="rId15" Type="http://schemas.openxmlformats.org/officeDocument/2006/relationships/hyperlink" Target="mailto:masahiro.ryo@zalf.de" TargetMode="External"/><Relationship Id="rId10" Type="http://schemas.openxmlformats.org/officeDocument/2006/relationships/hyperlink" Target="https://www.neonscienc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norjmccabe.shinyapps.io/interactive/" TargetMode="External"/><Relationship Id="rId14" Type="http://schemas.openxmlformats.org/officeDocument/2006/relationships/hyperlink" Target="mailto:cp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94CA-7159-4EA8-A0C2-AF1F11EB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66116</Words>
  <Characters>376862</Characters>
  <Application>Microsoft Office Word</Application>
  <DocSecurity>0</DocSecurity>
  <Lines>3140</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Spake</dc:creator>
  <cp:keywords/>
  <dc:description/>
  <cp:lastModifiedBy>Rebecca Spake</cp:lastModifiedBy>
  <cp:revision>3</cp:revision>
  <dcterms:created xsi:type="dcterms:W3CDTF">2022-07-01T18:02:00Z</dcterms:created>
  <dcterms:modified xsi:type="dcterms:W3CDTF">2022-07-01T18:14:00Z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http://www.zotero.org/styles/annual-review-of-environment-and-resources</vt:lpwstr>
  </property>
  <property fmtid="{D5CDD505-2E9C-101B-9397-08002B2CF9AE}" pid="7" name="Mendeley Recent Style Name 2_1">
    <vt:lpwstr>Annual Review of Environment and Resources</vt:lpwstr>
  </property>
  <property fmtid="{D5CDD505-2E9C-101B-9397-08002B2CF9AE}" pid="8" name="Mendeley Recent Style Id 3_1">
    <vt:lpwstr>http://www.zotero.org/styles/biological-reviews</vt:lpwstr>
  </property>
  <property fmtid="{D5CDD505-2E9C-101B-9397-08002B2CF9AE}" pid="9" name="Mendeley Recent Style Name 3_1">
    <vt:lpwstr>Biological Reviews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636afa8f-48fc-37ef-8363-cb271920ac51</vt:lpwstr>
  </property>
  <property fmtid="{D5CDD505-2E9C-101B-9397-08002B2CF9AE}" pid="24" name="Mendeley Citation Style_1">
    <vt:lpwstr>http://www.zotero.org/styles/nature</vt:lpwstr>
  </property>
</Properties>
</file>