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2DEE5" w14:textId="77777777" w:rsidR="00DE3962" w:rsidRPr="009F1C15" w:rsidRDefault="00DE3962" w:rsidP="00EC00EA">
      <w:pPr>
        <w:pStyle w:val="MDPI11articletype"/>
      </w:pPr>
      <w:bookmarkStart w:id="0" w:name="OLE_LINK1"/>
      <w:bookmarkStart w:id="1" w:name="OLE_LINK2"/>
      <w:r w:rsidRPr="009F1C15">
        <w:t>Systematic Review</w:t>
      </w:r>
    </w:p>
    <w:bookmarkEnd w:id="0"/>
    <w:bookmarkEnd w:id="1"/>
    <w:p w14:paraId="4582877F" w14:textId="7ADD2E9B" w:rsidR="00593259" w:rsidRPr="009F1C15" w:rsidRDefault="00593259" w:rsidP="00EC00EA">
      <w:pPr>
        <w:pStyle w:val="MDPI12title"/>
      </w:pPr>
      <w:r w:rsidRPr="009F1C15">
        <w:t>Fractional Flow Reserve Versus Angiography</w:t>
      </w:r>
      <w:r w:rsidR="00E66D70" w:rsidRPr="009F1C15">
        <w:t>–</w:t>
      </w:r>
      <w:r w:rsidRPr="009F1C15">
        <w:t xml:space="preserve">Guided </w:t>
      </w:r>
      <w:r w:rsidR="00EC0E96" w:rsidRPr="009F1C15">
        <w:br/>
      </w:r>
      <w:r w:rsidRPr="009F1C15">
        <w:t xml:space="preserve">Management of Coronary Artery Disease: </w:t>
      </w:r>
      <w:r w:rsidR="00D12817" w:rsidRPr="009F1C15">
        <w:t>A</w:t>
      </w:r>
      <w:r w:rsidRPr="009F1C15">
        <w:t xml:space="preserve"> Meta</w:t>
      </w:r>
      <w:r w:rsidR="00D12817" w:rsidRPr="009F1C15">
        <w:t>–</w:t>
      </w:r>
      <w:r w:rsidRPr="009F1C15">
        <w:t xml:space="preserve">Analysis of Contemporary </w:t>
      </w:r>
      <w:proofErr w:type="spellStart"/>
      <w:r w:rsidRPr="009F1C15">
        <w:t>Randomised</w:t>
      </w:r>
      <w:proofErr w:type="spellEnd"/>
      <w:r w:rsidRPr="009F1C15">
        <w:t xml:space="preserve"> Controlled Trials</w:t>
      </w:r>
    </w:p>
    <w:p w14:paraId="55B99799" w14:textId="77777777" w:rsidR="007A6734" w:rsidRPr="009F1C15" w:rsidRDefault="00593259" w:rsidP="00D12817">
      <w:pPr>
        <w:pStyle w:val="MDPI13authornames"/>
      </w:pPr>
      <w:r w:rsidRPr="009F1C15">
        <w:t xml:space="preserve">Annette M. </w:t>
      </w:r>
      <w:proofErr w:type="spellStart"/>
      <w:r w:rsidRPr="009F1C15">
        <w:t>Maznyczka</w:t>
      </w:r>
      <w:proofErr w:type="spellEnd"/>
      <w:r w:rsidR="00915454" w:rsidRPr="009F1C15">
        <w:t xml:space="preserve"> </w:t>
      </w:r>
      <w:r w:rsidRPr="009F1C15">
        <w:rPr>
          <w:vertAlign w:val="superscript"/>
        </w:rPr>
        <w:t>1</w:t>
      </w:r>
      <w:r w:rsidRPr="009F1C15">
        <w:t xml:space="preserve">, Connor J. Matthews </w:t>
      </w:r>
      <w:r w:rsidRPr="009F1C15">
        <w:rPr>
          <w:vertAlign w:val="superscript"/>
        </w:rPr>
        <w:t>1</w:t>
      </w:r>
      <w:r w:rsidRPr="009F1C15">
        <w:t xml:space="preserve">, Jonathan M. </w:t>
      </w:r>
      <w:proofErr w:type="spellStart"/>
      <w:r w:rsidRPr="009F1C15">
        <w:t>Blaxill</w:t>
      </w:r>
      <w:proofErr w:type="spellEnd"/>
      <w:r w:rsidR="00915454" w:rsidRPr="009F1C15">
        <w:t xml:space="preserve"> </w:t>
      </w:r>
      <w:r w:rsidRPr="009F1C15">
        <w:rPr>
          <w:vertAlign w:val="superscript"/>
        </w:rPr>
        <w:t>1,2</w:t>
      </w:r>
      <w:r w:rsidRPr="009F1C15">
        <w:t>, John P. Greenwood</w:t>
      </w:r>
      <w:r w:rsidR="00915454" w:rsidRPr="009F1C15">
        <w:t xml:space="preserve"> </w:t>
      </w:r>
      <w:r w:rsidRPr="009F1C15">
        <w:rPr>
          <w:vertAlign w:val="superscript"/>
        </w:rPr>
        <w:t>1,2</w:t>
      </w:r>
      <w:r w:rsidRPr="009F1C15">
        <w:t xml:space="preserve">, Abdul M. </w:t>
      </w:r>
      <w:proofErr w:type="spellStart"/>
      <w:r w:rsidRPr="009F1C15">
        <w:t>Mozid</w:t>
      </w:r>
      <w:proofErr w:type="spellEnd"/>
      <w:r w:rsidRPr="009F1C15">
        <w:t xml:space="preserve"> </w:t>
      </w:r>
      <w:r w:rsidRPr="009F1C15">
        <w:rPr>
          <w:vertAlign w:val="superscript"/>
        </w:rPr>
        <w:t>1,2</w:t>
      </w:r>
      <w:r w:rsidRPr="009F1C15">
        <w:t xml:space="preserve">, Jennifer A. Rossington </w:t>
      </w:r>
      <w:r w:rsidRPr="009F1C15">
        <w:rPr>
          <w:vertAlign w:val="superscript"/>
        </w:rPr>
        <w:t>1,2</w:t>
      </w:r>
      <w:r w:rsidRPr="009F1C15">
        <w:t xml:space="preserve">, </w:t>
      </w:r>
      <w:proofErr w:type="spellStart"/>
      <w:r w:rsidRPr="009F1C15">
        <w:t>Murugapathy</w:t>
      </w:r>
      <w:proofErr w:type="spellEnd"/>
      <w:r w:rsidRPr="009F1C15">
        <w:t xml:space="preserve"> </w:t>
      </w:r>
      <w:proofErr w:type="spellStart"/>
      <w:r w:rsidRPr="009F1C15">
        <w:t>Veerasamy</w:t>
      </w:r>
      <w:proofErr w:type="spellEnd"/>
      <w:r w:rsidRPr="009F1C15">
        <w:t xml:space="preserve"> </w:t>
      </w:r>
      <w:r w:rsidRPr="009F1C15">
        <w:rPr>
          <w:vertAlign w:val="superscript"/>
        </w:rPr>
        <w:t>1,2</w:t>
      </w:r>
      <w:r w:rsidRPr="009F1C15">
        <w:t xml:space="preserve">, Stephen B. Wheatcroft </w:t>
      </w:r>
      <w:r w:rsidRPr="009F1C15">
        <w:rPr>
          <w:vertAlign w:val="superscript"/>
        </w:rPr>
        <w:t>1,2</w:t>
      </w:r>
      <w:r w:rsidRPr="009F1C15">
        <w:t xml:space="preserve">, Nick </w:t>
      </w:r>
      <w:proofErr w:type="spellStart"/>
      <w:r w:rsidRPr="009F1C15">
        <w:t>Curzen</w:t>
      </w:r>
      <w:proofErr w:type="spellEnd"/>
      <w:r w:rsidRPr="009F1C15">
        <w:t xml:space="preserve"> </w:t>
      </w:r>
      <w:r w:rsidRPr="009F1C15">
        <w:rPr>
          <w:vertAlign w:val="superscript"/>
        </w:rPr>
        <w:t>3,4</w:t>
      </w:r>
      <w:r w:rsidR="00B73BC2" w:rsidRPr="009F1C15">
        <w:t xml:space="preserve"> </w:t>
      </w:r>
      <w:r w:rsidR="00915454" w:rsidRPr="009F1C15">
        <w:br/>
      </w:r>
      <w:r w:rsidR="00B73BC2" w:rsidRPr="009F1C15">
        <w:t xml:space="preserve">and </w:t>
      </w:r>
      <w:proofErr w:type="spellStart"/>
      <w:r w:rsidRPr="009F1C15">
        <w:t>Heerajnarain</w:t>
      </w:r>
      <w:proofErr w:type="spellEnd"/>
      <w:r w:rsidRPr="009F1C15">
        <w:t xml:space="preserve"> </w:t>
      </w:r>
      <w:proofErr w:type="spellStart"/>
      <w:r w:rsidRPr="009F1C15">
        <w:t>Bulluck</w:t>
      </w:r>
      <w:proofErr w:type="spellEnd"/>
      <w:r w:rsidRPr="009F1C15">
        <w:t xml:space="preserve"> </w:t>
      </w:r>
      <w:r w:rsidRPr="009F1C15">
        <w:rPr>
          <w:vertAlign w:val="superscript"/>
        </w:rPr>
        <w:t>1,</w:t>
      </w:r>
      <w:proofErr w:type="gramStart"/>
      <w:r w:rsidRPr="009F1C15">
        <w:rPr>
          <w:vertAlign w:val="superscript"/>
        </w:rPr>
        <w:t>2</w:t>
      </w:r>
      <w:r w:rsidR="00915454" w:rsidRPr="009F1C15">
        <w:rPr>
          <w:vertAlign w:val="superscript"/>
        </w:rPr>
        <w:t>,</w:t>
      </w:r>
      <w:r w:rsidR="00915454" w:rsidRPr="009F1C15">
        <w:t>*</w:t>
      </w:r>
      <w:proofErr w:type="gramEnd"/>
    </w:p>
    <w:p w14:paraId="0068DA3E" w14:textId="66BF08D7" w:rsidR="00593259" w:rsidRPr="009F1C15" w:rsidRDefault="00593259" w:rsidP="00D12817">
      <w:pPr>
        <w:pStyle w:val="MDPI16affiliation"/>
        <w:rPr>
          <w:color w:val="auto"/>
        </w:rPr>
      </w:pPr>
      <w:r w:rsidRPr="009F1C15">
        <w:rPr>
          <w:vertAlign w:val="superscript"/>
        </w:rPr>
        <w:t>1</w:t>
      </w:r>
      <w:r w:rsidR="00D12817" w:rsidRPr="009F1C15">
        <w:rPr>
          <w:bCs/>
        </w:rPr>
        <w:tab/>
      </w:r>
      <w:r w:rsidRPr="009F1C15">
        <w:t xml:space="preserve">Yorkshire Heart Centre, Leeds General Infirmary, Leeds Teaching Hospitals NHS Trust, Leeds </w:t>
      </w:r>
      <w:r w:rsidR="00764D99" w:rsidRPr="009F1C15">
        <w:t xml:space="preserve">LS1 3EX, </w:t>
      </w:r>
      <w:r w:rsidRPr="009F1C15">
        <w:rPr>
          <w:color w:val="auto"/>
        </w:rPr>
        <w:t>UK</w:t>
      </w:r>
      <w:r w:rsidR="00764D99" w:rsidRPr="009F1C15">
        <w:rPr>
          <w:color w:val="auto"/>
        </w:rPr>
        <w:t xml:space="preserve">; </w:t>
      </w:r>
      <w:hyperlink r:id="rId7" w:history="1">
        <w:r w:rsidR="00764D99" w:rsidRPr="009F1C15">
          <w:rPr>
            <w:rStyle w:val="Hyperlink"/>
            <w:color w:val="auto"/>
            <w:u w:val="none"/>
          </w:rPr>
          <w:t>amaznyczka@nhs.net</w:t>
        </w:r>
      </w:hyperlink>
      <w:r w:rsidR="00764D99" w:rsidRPr="009F1C15">
        <w:rPr>
          <w:color w:val="auto"/>
        </w:rPr>
        <w:t xml:space="preserve"> (A.M.M.); </w:t>
      </w:r>
      <w:hyperlink r:id="rId8" w:history="1">
        <w:r w:rsidR="00764D99" w:rsidRPr="009F1C15">
          <w:rPr>
            <w:rStyle w:val="Hyperlink"/>
            <w:color w:val="auto"/>
            <w:u w:val="none"/>
          </w:rPr>
          <w:t>connor.matthews@nhs.net</w:t>
        </w:r>
      </w:hyperlink>
      <w:r w:rsidR="00764D99" w:rsidRPr="009F1C15">
        <w:rPr>
          <w:color w:val="auto"/>
        </w:rPr>
        <w:t xml:space="preserve"> (C.J.M.); </w:t>
      </w:r>
      <w:hyperlink r:id="rId9" w:history="1">
        <w:r w:rsidR="00764D99" w:rsidRPr="009F1C15">
          <w:rPr>
            <w:rStyle w:val="Hyperlink"/>
            <w:color w:val="auto"/>
            <w:u w:val="none"/>
          </w:rPr>
          <w:t>jonathan.blaxill@nhs.net</w:t>
        </w:r>
      </w:hyperlink>
      <w:r w:rsidR="00764D99" w:rsidRPr="009F1C15">
        <w:rPr>
          <w:color w:val="auto"/>
        </w:rPr>
        <w:t xml:space="preserve"> (J.M.B.); </w:t>
      </w:r>
      <w:hyperlink r:id="rId10" w:history="1">
        <w:r w:rsidR="00764D99" w:rsidRPr="009F1C15">
          <w:rPr>
            <w:rStyle w:val="Hyperlink"/>
            <w:color w:val="auto"/>
            <w:u w:val="none"/>
          </w:rPr>
          <w:t>j.greenwood@leeds.ac.uk</w:t>
        </w:r>
      </w:hyperlink>
      <w:r w:rsidR="00764D99" w:rsidRPr="009F1C15">
        <w:rPr>
          <w:color w:val="auto"/>
        </w:rPr>
        <w:t xml:space="preserve"> (J.P.G.); </w:t>
      </w:r>
      <w:hyperlink r:id="rId11" w:history="1">
        <w:r w:rsidR="00764D99" w:rsidRPr="009F1C15">
          <w:rPr>
            <w:rStyle w:val="Hyperlink"/>
            <w:color w:val="auto"/>
            <w:u w:val="none"/>
          </w:rPr>
          <w:t>abdul.mozid@nhs.net</w:t>
        </w:r>
      </w:hyperlink>
      <w:r w:rsidR="00764D99" w:rsidRPr="009F1C15">
        <w:rPr>
          <w:color w:val="auto"/>
        </w:rPr>
        <w:t xml:space="preserve"> (A.M.M.); </w:t>
      </w:r>
      <w:hyperlink r:id="rId12" w:history="1">
        <w:r w:rsidR="00764D99" w:rsidRPr="009F1C15">
          <w:rPr>
            <w:rStyle w:val="Hyperlink"/>
            <w:color w:val="auto"/>
            <w:u w:val="none"/>
          </w:rPr>
          <w:t>jennifer.rossington@nhs.net</w:t>
        </w:r>
      </w:hyperlink>
      <w:r w:rsidR="00764D99" w:rsidRPr="009F1C15">
        <w:rPr>
          <w:color w:val="auto"/>
        </w:rPr>
        <w:t xml:space="preserve"> (J.A.R.); </w:t>
      </w:r>
      <w:hyperlink r:id="rId13" w:history="1">
        <w:r w:rsidR="00764D99" w:rsidRPr="009F1C15">
          <w:rPr>
            <w:rStyle w:val="Hyperlink"/>
            <w:color w:val="auto"/>
            <w:u w:val="none"/>
          </w:rPr>
          <w:t>mveerasamy@nhs.net</w:t>
        </w:r>
      </w:hyperlink>
      <w:r w:rsidR="00764D99" w:rsidRPr="009F1C15">
        <w:rPr>
          <w:color w:val="auto"/>
        </w:rPr>
        <w:t xml:space="preserve"> (M.V.); </w:t>
      </w:r>
      <w:hyperlink r:id="rId14" w:history="1">
        <w:r w:rsidR="00764D99" w:rsidRPr="009F1C15">
          <w:rPr>
            <w:rStyle w:val="Hyperlink"/>
            <w:color w:val="auto"/>
            <w:u w:val="none"/>
          </w:rPr>
          <w:t>s.b.wheatcroft@leeds.ac.uk</w:t>
        </w:r>
      </w:hyperlink>
      <w:r w:rsidR="00764D99" w:rsidRPr="009F1C15">
        <w:rPr>
          <w:color w:val="auto"/>
        </w:rPr>
        <w:t xml:space="preserve"> (S.B.W.)</w:t>
      </w:r>
    </w:p>
    <w:p w14:paraId="51892BA7" w14:textId="49C31C69" w:rsidR="00593259" w:rsidRPr="009F1C15" w:rsidRDefault="00593259" w:rsidP="00D12817">
      <w:pPr>
        <w:pStyle w:val="MDPI16affiliation"/>
        <w:rPr>
          <w:color w:val="auto"/>
        </w:rPr>
      </w:pPr>
      <w:r w:rsidRPr="009F1C15">
        <w:rPr>
          <w:color w:val="auto"/>
          <w:vertAlign w:val="superscript"/>
        </w:rPr>
        <w:t>2</w:t>
      </w:r>
      <w:r w:rsidR="00D12817" w:rsidRPr="009F1C15">
        <w:rPr>
          <w:bCs/>
          <w:color w:val="auto"/>
        </w:rPr>
        <w:tab/>
      </w:r>
      <w:r w:rsidRPr="009F1C15">
        <w:rPr>
          <w:color w:val="auto"/>
        </w:rPr>
        <w:t xml:space="preserve">Leeds Institute of Cardiovascular and Metabolic Medicine, University of Leeds, Leeds </w:t>
      </w:r>
      <w:r w:rsidR="00254A4F" w:rsidRPr="009F1C15">
        <w:t xml:space="preserve">LS1 3EX, </w:t>
      </w:r>
      <w:r w:rsidRPr="009F1C15">
        <w:rPr>
          <w:color w:val="auto"/>
        </w:rPr>
        <w:t>UK</w:t>
      </w:r>
    </w:p>
    <w:p w14:paraId="165C892D" w14:textId="43977D52" w:rsidR="00593259" w:rsidRPr="009F1C15" w:rsidRDefault="00593259" w:rsidP="00D12817">
      <w:pPr>
        <w:pStyle w:val="MDPI16affiliation"/>
        <w:rPr>
          <w:color w:val="auto"/>
          <w:shd w:val="clear" w:color="auto" w:fill="FFFFFF"/>
        </w:rPr>
      </w:pPr>
      <w:r w:rsidRPr="009F1C15">
        <w:rPr>
          <w:color w:val="auto"/>
          <w:vertAlign w:val="superscript"/>
        </w:rPr>
        <w:t>3</w:t>
      </w:r>
      <w:r w:rsidR="00D12817" w:rsidRPr="009F1C15">
        <w:rPr>
          <w:bCs/>
          <w:color w:val="auto"/>
        </w:rPr>
        <w:tab/>
      </w:r>
      <w:r w:rsidRPr="009F1C15">
        <w:rPr>
          <w:color w:val="auto"/>
          <w:shd w:val="clear" w:color="auto" w:fill="FFFFFF"/>
        </w:rPr>
        <w:t xml:space="preserve">Faculty of Medicine, University of Southampton, Southampton </w:t>
      </w:r>
      <w:r w:rsidR="00FD6850" w:rsidRPr="009F1C15">
        <w:rPr>
          <w:color w:val="auto"/>
          <w:shd w:val="clear" w:color="auto" w:fill="FFFFFF"/>
        </w:rPr>
        <w:t xml:space="preserve">SO17 1BJ, </w:t>
      </w:r>
      <w:r w:rsidRPr="009F1C15">
        <w:rPr>
          <w:color w:val="auto"/>
          <w:shd w:val="clear" w:color="auto" w:fill="FFFFFF"/>
        </w:rPr>
        <w:t>UK</w:t>
      </w:r>
      <w:r w:rsidR="00764D99" w:rsidRPr="009F1C15">
        <w:rPr>
          <w:color w:val="auto"/>
          <w:shd w:val="clear" w:color="auto" w:fill="FFFFFF"/>
        </w:rPr>
        <w:t xml:space="preserve">; </w:t>
      </w:r>
      <w:hyperlink r:id="rId15" w:history="1">
        <w:r w:rsidR="00764D99" w:rsidRPr="009F1C15">
          <w:rPr>
            <w:rStyle w:val="Hyperlink"/>
            <w:color w:val="auto"/>
            <w:u w:val="none"/>
            <w:shd w:val="clear" w:color="auto" w:fill="FFFFFF"/>
          </w:rPr>
          <w:t>nick.curzen@uhs.nhs.uk</w:t>
        </w:r>
      </w:hyperlink>
    </w:p>
    <w:p w14:paraId="4AB4232E" w14:textId="5B84A4B8" w:rsidR="00593259" w:rsidRPr="009F1C15" w:rsidRDefault="00593259" w:rsidP="00D12817">
      <w:pPr>
        <w:pStyle w:val="MDPI16affiliation"/>
        <w:rPr>
          <w:color w:val="auto"/>
        </w:rPr>
      </w:pPr>
      <w:r w:rsidRPr="009F1C15">
        <w:rPr>
          <w:color w:val="auto"/>
          <w:shd w:val="clear" w:color="auto" w:fill="FFFFFF"/>
          <w:vertAlign w:val="superscript"/>
        </w:rPr>
        <w:t>4</w:t>
      </w:r>
      <w:r w:rsidR="00D12817" w:rsidRPr="009F1C15">
        <w:rPr>
          <w:bCs/>
          <w:color w:val="auto"/>
        </w:rPr>
        <w:tab/>
      </w:r>
      <w:r w:rsidRPr="009F1C15">
        <w:rPr>
          <w:color w:val="auto"/>
          <w:shd w:val="clear" w:color="auto" w:fill="FFFFFF"/>
        </w:rPr>
        <w:t xml:space="preserve">Coronary Research Group, University Hospital Southampton NHS Trust, Southampton </w:t>
      </w:r>
      <w:r w:rsidR="00FD6850" w:rsidRPr="009F1C15">
        <w:rPr>
          <w:color w:val="auto"/>
          <w:shd w:val="clear" w:color="auto" w:fill="FFFFFF"/>
        </w:rPr>
        <w:t xml:space="preserve">SO17 1BJ, </w:t>
      </w:r>
      <w:r w:rsidRPr="009F1C15">
        <w:rPr>
          <w:color w:val="auto"/>
          <w:shd w:val="clear" w:color="auto" w:fill="FFFFFF"/>
        </w:rPr>
        <w:t>UK</w:t>
      </w:r>
    </w:p>
    <w:p w14:paraId="30F14D3B" w14:textId="306E66DA" w:rsidR="00593259" w:rsidRPr="009F1C15" w:rsidRDefault="00B73BC2" w:rsidP="00B73BC2">
      <w:pPr>
        <w:pStyle w:val="MDPI16affiliation"/>
        <w:rPr>
          <w:bCs/>
        </w:rPr>
      </w:pPr>
      <w:r w:rsidRPr="009F1C15">
        <w:rPr>
          <w:bCs/>
        </w:rPr>
        <w:t>*</w:t>
      </w:r>
      <w:r w:rsidRPr="009F1C15">
        <w:rPr>
          <w:bCs/>
        </w:rPr>
        <w:tab/>
        <w:t xml:space="preserve">Correspondence: </w:t>
      </w:r>
      <w:r w:rsidR="007239F9" w:rsidRPr="009F1C15">
        <w:rPr>
          <w:bCs/>
        </w:rPr>
        <w:t>h.bulluck@leeds.ac.uk</w:t>
      </w:r>
    </w:p>
    <w:tbl>
      <w:tblPr>
        <w:tblStyle w:val="MDPITable"/>
        <w:tblpPr w:leftFromText="198" w:rightFromText="198" w:vertAnchor="page" w:horzAnchor="margin" w:tblpY="7269"/>
        <w:tblW w:w="2409" w:type="dxa"/>
        <w:tblLayout w:type="fixed"/>
        <w:tblLook w:val="04A0" w:firstRow="1" w:lastRow="0" w:firstColumn="1" w:lastColumn="0" w:noHBand="0" w:noVBand="1"/>
      </w:tblPr>
      <w:tblGrid>
        <w:gridCol w:w="2409"/>
      </w:tblGrid>
      <w:tr w:rsidR="00393736" w:rsidRPr="009F1C15" w14:paraId="070558A4" w14:textId="77777777" w:rsidTr="00393736">
        <w:trPr>
          <w:cantSplit/>
        </w:trPr>
        <w:tc>
          <w:tcPr>
            <w:tcW w:w="2409" w:type="dxa"/>
          </w:tcPr>
          <w:p w14:paraId="37DB2827" w14:textId="77777777" w:rsidR="00393736" w:rsidRPr="009F1C15" w:rsidRDefault="00393736" w:rsidP="00393736">
            <w:pPr>
              <w:pStyle w:val="MDPI61Citation"/>
            </w:pPr>
            <w:r w:rsidRPr="009F1C15">
              <w:rPr>
                <w:b/>
              </w:rPr>
              <w:t>Citation:</w:t>
            </w:r>
            <w:r w:rsidRPr="009F1C15">
              <w:t xml:space="preserve"> </w:t>
            </w:r>
            <w:proofErr w:type="spellStart"/>
            <w:r w:rsidRPr="009F1C15">
              <w:t>Maznyczka</w:t>
            </w:r>
            <w:proofErr w:type="spellEnd"/>
            <w:r w:rsidRPr="009F1C15">
              <w:t xml:space="preserve">, A.M.; </w:t>
            </w:r>
            <w:r w:rsidRPr="009F1C15">
              <w:br/>
              <w:t xml:space="preserve">Matthews, C.J.; </w:t>
            </w:r>
            <w:proofErr w:type="spellStart"/>
            <w:r w:rsidRPr="009F1C15">
              <w:t>Blaxill</w:t>
            </w:r>
            <w:proofErr w:type="spellEnd"/>
            <w:r w:rsidRPr="009F1C15">
              <w:t xml:space="preserve">, J.M.; </w:t>
            </w:r>
            <w:r w:rsidRPr="009F1C15">
              <w:br/>
              <w:t xml:space="preserve">Greenwood, J.P.; </w:t>
            </w:r>
            <w:proofErr w:type="spellStart"/>
            <w:r w:rsidRPr="009F1C15">
              <w:t>Mozid</w:t>
            </w:r>
            <w:proofErr w:type="spellEnd"/>
            <w:r w:rsidRPr="009F1C15">
              <w:t xml:space="preserve">, A.M.; </w:t>
            </w:r>
            <w:r w:rsidRPr="009F1C15">
              <w:br/>
              <w:t xml:space="preserve">Rossington, J.A.; </w:t>
            </w:r>
            <w:proofErr w:type="spellStart"/>
            <w:r w:rsidRPr="009F1C15">
              <w:t>Veerasamy</w:t>
            </w:r>
            <w:proofErr w:type="spellEnd"/>
            <w:r w:rsidRPr="009F1C15">
              <w:t xml:space="preserve">, M.; Wheatcroft, S.B.; </w:t>
            </w:r>
            <w:proofErr w:type="spellStart"/>
            <w:r w:rsidRPr="009F1C15">
              <w:t>Curzen</w:t>
            </w:r>
            <w:proofErr w:type="spellEnd"/>
            <w:r w:rsidRPr="009F1C15">
              <w:t xml:space="preserve">, N. </w:t>
            </w:r>
            <w:r w:rsidRPr="009F1C15">
              <w:br/>
              <w:t xml:space="preserve">Fractional Flow Reserve Versus </w:t>
            </w:r>
            <w:r w:rsidRPr="009F1C15">
              <w:br/>
              <w:t xml:space="preserve">Angiography–Guided Management of Coronary Artery Disease: A Meta–Analysis of Contemporary Randomised Controlled Trials. </w:t>
            </w:r>
            <w:r w:rsidRPr="009F1C15">
              <w:rPr>
                <w:i/>
              </w:rPr>
              <w:t xml:space="preserve">J. Clin. Med. </w:t>
            </w:r>
            <w:r w:rsidRPr="009F1C15">
              <w:rPr>
                <w:b/>
              </w:rPr>
              <w:t>2022</w:t>
            </w:r>
            <w:r w:rsidRPr="009F1C15">
              <w:t xml:space="preserve">, </w:t>
            </w:r>
            <w:r w:rsidRPr="009F1C15">
              <w:rPr>
                <w:i/>
              </w:rPr>
              <w:t>10</w:t>
            </w:r>
            <w:r w:rsidRPr="009F1C15">
              <w:t>, x. https://doi.org/10.3390/xxxxx</w:t>
            </w:r>
          </w:p>
          <w:p w14:paraId="6DA02194" w14:textId="77777777" w:rsidR="00393736" w:rsidRPr="009F1C15" w:rsidRDefault="00393736" w:rsidP="00393736">
            <w:pPr>
              <w:pStyle w:val="MDPI15academiceditor"/>
              <w:spacing w:before="120" w:after="120"/>
            </w:pPr>
            <w:r w:rsidRPr="009F1C15">
              <w:t xml:space="preserve">Academic Editors: </w:t>
            </w:r>
            <w:proofErr w:type="spellStart"/>
            <w:r w:rsidRPr="009F1C15">
              <w:t>Michał</w:t>
            </w:r>
            <w:proofErr w:type="spellEnd"/>
            <w:r w:rsidRPr="009F1C15">
              <w:t xml:space="preserve"> </w:t>
            </w:r>
            <w:r w:rsidRPr="009F1C15">
              <w:br/>
            </w:r>
            <w:proofErr w:type="spellStart"/>
            <w:r w:rsidRPr="009F1C15">
              <w:t>Ciurzyński</w:t>
            </w:r>
            <w:proofErr w:type="spellEnd"/>
            <w:r w:rsidRPr="009F1C15">
              <w:t xml:space="preserve"> and Justyna </w:t>
            </w:r>
            <w:r w:rsidRPr="009F1C15">
              <w:br/>
            </w:r>
            <w:proofErr w:type="spellStart"/>
            <w:r w:rsidRPr="009F1C15">
              <w:t>Domienik-Karłowicz</w:t>
            </w:r>
            <w:proofErr w:type="spellEnd"/>
          </w:p>
          <w:p w14:paraId="33351A8F" w14:textId="77777777" w:rsidR="00393736" w:rsidRPr="009F1C15" w:rsidRDefault="00393736" w:rsidP="00393736">
            <w:pPr>
              <w:pStyle w:val="MDPI14history"/>
              <w:spacing w:before="120"/>
            </w:pPr>
            <w:r w:rsidRPr="009F1C15">
              <w:t>Received: 3 November 2022</w:t>
            </w:r>
          </w:p>
          <w:p w14:paraId="1748BA17" w14:textId="77777777" w:rsidR="00393736" w:rsidRPr="009F1C15" w:rsidRDefault="00393736" w:rsidP="00393736">
            <w:pPr>
              <w:pStyle w:val="MDPI14history"/>
            </w:pPr>
            <w:r w:rsidRPr="009F1C15">
              <w:t>Accepted: 28 November 2022</w:t>
            </w:r>
          </w:p>
          <w:p w14:paraId="5C17CB89" w14:textId="77777777" w:rsidR="00393736" w:rsidRPr="009F1C15" w:rsidRDefault="00393736" w:rsidP="00393736">
            <w:pPr>
              <w:pStyle w:val="MDPI14history"/>
              <w:spacing w:after="120"/>
            </w:pPr>
            <w:r w:rsidRPr="009F1C15">
              <w:t>Published: date</w:t>
            </w:r>
          </w:p>
          <w:p w14:paraId="17E8360A" w14:textId="77777777" w:rsidR="00393736" w:rsidRPr="009F1C15" w:rsidRDefault="00393736" w:rsidP="00393736">
            <w:pPr>
              <w:pStyle w:val="MDPI63Notes"/>
              <w:jc w:val="both"/>
            </w:pPr>
            <w:r w:rsidRPr="009F1C15">
              <w:rPr>
                <w:b/>
              </w:rPr>
              <w:t>Publisher’s Note:</w:t>
            </w:r>
            <w:r w:rsidRPr="009F1C15">
              <w:t xml:space="preserve"> MDPI stays neutral with regard to jurisdictional claims in published maps and institutional affiliations.</w:t>
            </w:r>
          </w:p>
          <w:p w14:paraId="426DED5B" w14:textId="77777777" w:rsidR="00393736" w:rsidRPr="009F1C15" w:rsidRDefault="00393736" w:rsidP="00393736">
            <w:pPr>
              <w:pStyle w:val="MDPI63Notes"/>
              <w:spacing w:before="120" w:after="0"/>
              <w:jc w:val="both"/>
            </w:pPr>
            <w:r w:rsidRPr="009F1C15">
              <w:rPr>
                <w:noProof/>
                <w:snapToGrid/>
              </w:rPr>
              <w:drawing>
                <wp:inline distT="0" distB="0" distL="0" distR="0" wp14:anchorId="73264D96" wp14:editId="1F7B74AC">
                  <wp:extent cx="694800" cy="248400"/>
                  <wp:effectExtent l="0" t="0" r="0" b="0"/>
                  <wp:docPr id="1"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0E37A017" w14:textId="77777777" w:rsidR="00393736" w:rsidRPr="009F1C15" w:rsidRDefault="00393736" w:rsidP="00393736">
            <w:pPr>
              <w:pStyle w:val="MDPI63Notes"/>
              <w:spacing w:before="60" w:after="0"/>
              <w:jc w:val="both"/>
            </w:pPr>
            <w:r w:rsidRPr="009F1C15">
              <w:rPr>
                <w:b/>
              </w:rPr>
              <w:t>Copyright:</w:t>
            </w:r>
            <w:r w:rsidRPr="009F1C15">
              <w:t xml:space="preserve"> © 2022 by the authors. Submitted for possible open access publication under the terms and </w:t>
            </w:r>
            <w:r w:rsidRPr="009F1C15">
              <w:br/>
              <w:t>conditions of the Creative Commons Attribution (CC BY) license (https://creativecommons.org/licenses/by/4.0/).</w:t>
            </w:r>
          </w:p>
        </w:tc>
      </w:tr>
    </w:tbl>
    <w:p w14:paraId="753CBA57" w14:textId="35FD301F" w:rsidR="00593259" w:rsidRPr="009F1C15" w:rsidRDefault="00593259" w:rsidP="00092836">
      <w:pPr>
        <w:pStyle w:val="MDPI17abstract"/>
      </w:pPr>
      <w:r w:rsidRPr="009F1C15">
        <w:rPr>
          <w:b/>
        </w:rPr>
        <w:t>Abstract</w:t>
      </w:r>
      <w:r w:rsidR="00543360" w:rsidRPr="009F1C15">
        <w:rPr>
          <w:b/>
        </w:rPr>
        <w:t xml:space="preserve">: </w:t>
      </w:r>
      <w:r w:rsidRPr="009F1C15">
        <w:rPr>
          <w:bCs/>
        </w:rPr>
        <w:t>Background a</w:t>
      </w:r>
      <w:r w:rsidRPr="009F1C15">
        <w:t>nd Aims</w:t>
      </w:r>
      <w:r w:rsidR="00EC00EA" w:rsidRPr="009F1C15">
        <w:t>:</w:t>
      </w:r>
      <w:r w:rsidR="00543360" w:rsidRPr="009F1C15">
        <w:t xml:space="preserve"> </w:t>
      </w:r>
      <w:proofErr w:type="spellStart"/>
      <w:r w:rsidR="00B73BC2" w:rsidRPr="009F1C15">
        <w:rPr>
          <w:bCs/>
        </w:rPr>
        <w:t>Random</w:t>
      </w:r>
      <w:r w:rsidRPr="009F1C15">
        <w:rPr>
          <w:bCs/>
        </w:rPr>
        <w:t>ised</w:t>
      </w:r>
      <w:proofErr w:type="spellEnd"/>
      <w:r w:rsidRPr="009F1C15">
        <w:rPr>
          <w:b/>
        </w:rPr>
        <w:t xml:space="preserve"> </w:t>
      </w:r>
      <w:r w:rsidRPr="009F1C15">
        <w:t>controlled trials (RCTs) comparing outcomes after fractional flow reserve (FFR)-guided versus angiography-guided management for obstructive coronary artery disease (CAD) have produced conflicting results. We investigated the efficacy and safety of an FFR-guided versus angiography-guided management strategy among patients with obstructive CAD. Methods</w:t>
      </w:r>
      <w:r w:rsidR="00543360" w:rsidRPr="009F1C15">
        <w:t xml:space="preserve">: </w:t>
      </w:r>
      <w:r w:rsidRPr="009F1C15">
        <w:rPr>
          <w:bCs/>
        </w:rPr>
        <w:t xml:space="preserve">A </w:t>
      </w:r>
      <w:r w:rsidRPr="009F1C15">
        <w:t xml:space="preserve">systematic electronic search of the major databases was performed from inception to September 2022. </w:t>
      </w:r>
      <w:r w:rsidR="00415BBF" w:rsidRPr="009F1C15">
        <w:t xml:space="preserve">We included studies of patients presenting with angina or myocardial infarction (MI), managed with medications, percutaneous coronary intervention, or bypass graft surgery. </w:t>
      </w:r>
      <w:r w:rsidRPr="009F1C15">
        <w:t xml:space="preserve">A meta-analysis was performed by pooling the risk ratio (RR) using a random-effects model. The endpoints of interest were all-cause mortality, </w:t>
      </w:r>
      <w:r w:rsidR="00415BBF" w:rsidRPr="009F1C15">
        <w:t>MI</w:t>
      </w:r>
      <w:r w:rsidRPr="009F1C15">
        <w:t xml:space="preserve"> and unplanned </w:t>
      </w:r>
      <w:proofErr w:type="spellStart"/>
      <w:r w:rsidRPr="009F1C15">
        <w:t>revascularisation</w:t>
      </w:r>
      <w:proofErr w:type="spellEnd"/>
      <w:r w:rsidRPr="009F1C15">
        <w:t>.</w:t>
      </w:r>
      <w:r w:rsidR="00543360" w:rsidRPr="009F1C15">
        <w:t xml:space="preserve"> </w:t>
      </w:r>
      <w:r w:rsidRPr="009F1C15">
        <w:t>Results</w:t>
      </w:r>
      <w:r w:rsidR="00EC00EA" w:rsidRPr="009F1C15">
        <w:t>:</w:t>
      </w:r>
      <w:r w:rsidR="00092836" w:rsidRPr="009F1C15">
        <w:t xml:space="preserve"> </w:t>
      </w:r>
      <w:r w:rsidRPr="009F1C15">
        <w:rPr>
          <w:bCs/>
        </w:rPr>
        <w:t>Eight</w:t>
      </w:r>
      <w:r w:rsidRPr="009F1C15">
        <w:rPr>
          <w:b/>
        </w:rPr>
        <w:t xml:space="preserve"> </w:t>
      </w:r>
      <w:r w:rsidRPr="009F1C15">
        <w:t>RCTs, with outcome data from 5077 patients, were included</w:t>
      </w:r>
      <w:r w:rsidR="00363148" w:rsidRPr="009F1C15">
        <w:t xml:space="preserve">. The </w:t>
      </w:r>
      <w:r w:rsidRPr="009F1C15">
        <w:t xml:space="preserve">weighted mean follow up </w:t>
      </w:r>
      <w:r w:rsidR="00363148" w:rsidRPr="009F1C15">
        <w:t xml:space="preserve">was </w:t>
      </w:r>
      <w:r w:rsidRPr="009F1C15">
        <w:t>22 months. When FFR-guided management was compared to angiography-guided management, there was no difference in all-cause mortality [3.5% vs. 3.7%, RR: 0.99 (95% confidence interval (CI) 0.62</w:t>
      </w:r>
      <w:r w:rsidR="00737614" w:rsidRPr="009F1C15">
        <w:t>–</w:t>
      </w:r>
      <w:r w:rsidRPr="009F1C15">
        <w:t xml:space="preserve">1.60), </w:t>
      </w:r>
      <w:r w:rsidRPr="009F1C15">
        <w:rPr>
          <w:i/>
          <w:iCs/>
        </w:rPr>
        <w:t>p</w:t>
      </w:r>
      <w:r w:rsidR="00092836" w:rsidRPr="009F1C15">
        <w:t xml:space="preserve"> </w:t>
      </w:r>
      <w:r w:rsidRPr="009F1C15">
        <w:t>=</w:t>
      </w:r>
      <w:r w:rsidR="00092836" w:rsidRPr="009F1C15">
        <w:t xml:space="preserve"> </w:t>
      </w:r>
      <w:r w:rsidRPr="009F1C15">
        <w:t>0.98, heterogeneity (I</w:t>
      </w:r>
      <w:r w:rsidRPr="009F1C15">
        <w:rPr>
          <w:vertAlign w:val="superscript"/>
        </w:rPr>
        <w:t>2</w:t>
      </w:r>
      <w:r w:rsidRPr="009F1C15">
        <w:t>) 43%], MI [5.3% vs. 5.9%, RR: 0.93 (95%CI 0.66</w:t>
      </w:r>
      <w:r w:rsidR="00092836" w:rsidRPr="009F1C15">
        <w:t>–</w:t>
      </w:r>
      <w:r w:rsidRPr="009F1C15">
        <w:t xml:space="preserve">1.32), </w:t>
      </w:r>
      <w:r w:rsidRPr="009F1C15">
        <w:rPr>
          <w:i/>
          <w:iCs/>
        </w:rPr>
        <w:t>p</w:t>
      </w:r>
      <w:r w:rsidR="00092836" w:rsidRPr="009F1C15">
        <w:t xml:space="preserve"> </w:t>
      </w:r>
      <w:r w:rsidRPr="009F1C15">
        <w:t>=</w:t>
      </w:r>
      <w:r w:rsidR="00092836" w:rsidRPr="009F1C15">
        <w:t xml:space="preserve"> </w:t>
      </w:r>
      <w:r w:rsidRPr="009F1C15">
        <w:t>0.69, I</w:t>
      </w:r>
      <w:r w:rsidRPr="009F1C15">
        <w:rPr>
          <w:vertAlign w:val="superscript"/>
        </w:rPr>
        <w:t>2</w:t>
      </w:r>
      <w:r w:rsidRPr="009F1C15">
        <w:t xml:space="preserve"> 42%], or unplanned </w:t>
      </w:r>
      <w:proofErr w:type="spellStart"/>
      <w:r w:rsidRPr="009F1C15">
        <w:t>revascularisation</w:t>
      </w:r>
      <w:proofErr w:type="spellEnd"/>
      <w:r w:rsidRPr="009F1C15">
        <w:t xml:space="preserve"> [7.4% vs. 7.9%, RR: 0.92 (95%CI 0.76</w:t>
      </w:r>
      <w:r w:rsidR="00AB3594" w:rsidRPr="009F1C15">
        <w:t>–</w:t>
      </w:r>
      <w:r w:rsidRPr="009F1C15">
        <w:t xml:space="preserve">1.11), </w:t>
      </w:r>
      <w:r w:rsidRPr="009F1C15">
        <w:rPr>
          <w:i/>
          <w:iCs/>
        </w:rPr>
        <w:t>p</w:t>
      </w:r>
      <w:r w:rsidR="00AB3594" w:rsidRPr="009F1C15">
        <w:t xml:space="preserve"> </w:t>
      </w:r>
      <w:r w:rsidRPr="009F1C15">
        <w:t>=</w:t>
      </w:r>
      <w:r w:rsidR="00AB3594" w:rsidRPr="009F1C15">
        <w:t xml:space="preserve"> </w:t>
      </w:r>
      <w:r w:rsidRPr="009F1C15">
        <w:t>0.37, I</w:t>
      </w:r>
      <w:r w:rsidRPr="009F1C15">
        <w:rPr>
          <w:vertAlign w:val="superscript"/>
        </w:rPr>
        <w:t>2</w:t>
      </w:r>
      <w:r w:rsidR="00164861" w:rsidRPr="009F1C15">
        <w:t xml:space="preserve"> </w:t>
      </w:r>
      <w:r w:rsidRPr="009F1C15">
        <w:t xml:space="preserve">0%]. However, the number patients undergoing planned </w:t>
      </w:r>
      <w:proofErr w:type="spellStart"/>
      <w:r w:rsidRPr="009F1C15">
        <w:t>revascularisation</w:t>
      </w:r>
      <w:proofErr w:type="spellEnd"/>
      <w:r w:rsidRPr="009F1C15">
        <w:t xml:space="preserve"> by either stent or surgery was significantly lower with an FFR-guided strategy [weighted mean difference: 14 (95% CI 3 to </w:t>
      </w:r>
      <w:proofErr w:type="gramStart"/>
      <w:r w:rsidRPr="009F1C15">
        <w:t>25)%</w:t>
      </w:r>
      <w:proofErr w:type="gramEnd"/>
      <w:r w:rsidRPr="009F1C15">
        <w:t xml:space="preserve">, </w:t>
      </w:r>
      <w:r w:rsidRPr="009F1C15">
        <w:rPr>
          <w:i/>
          <w:iCs/>
        </w:rPr>
        <w:t>p</w:t>
      </w:r>
      <w:r w:rsidR="00AB3594" w:rsidRPr="009F1C15">
        <w:t xml:space="preserve"> </w:t>
      </w:r>
      <w:r w:rsidR="00652F06" w:rsidRPr="009F1C15">
        <w:t>=&lt;</w:t>
      </w:r>
      <w:r w:rsidR="005433E8" w:rsidRPr="009F1C15">
        <w:t xml:space="preserve"> </w:t>
      </w:r>
      <w:r w:rsidRPr="009F1C15">
        <w:t>0.001]. Conclusion</w:t>
      </w:r>
      <w:r w:rsidR="00092836" w:rsidRPr="009F1C15">
        <w:t xml:space="preserve">: </w:t>
      </w:r>
      <w:r w:rsidRPr="009F1C15">
        <w:rPr>
          <w:bCs/>
        </w:rPr>
        <w:t xml:space="preserve">In </w:t>
      </w:r>
      <w:r w:rsidRPr="009F1C15">
        <w:t xml:space="preserve">patients with obstructive CAD, an FFR-guided management strategy did not impact on all-cause mortality, MI and unplanned </w:t>
      </w:r>
      <w:proofErr w:type="spellStart"/>
      <w:r w:rsidRPr="009F1C15">
        <w:t>revascularisation</w:t>
      </w:r>
      <w:proofErr w:type="spellEnd"/>
      <w:r w:rsidRPr="009F1C15">
        <w:t xml:space="preserve">, when compared to an angiography-guided management strategy, but led to up to a quarter less patients needing </w:t>
      </w:r>
      <w:proofErr w:type="spellStart"/>
      <w:r w:rsidRPr="009F1C15">
        <w:t>revascularisation</w:t>
      </w:r>
      <w:proofErr w:type="spellEnd"/>
      <w:r w:rsidRPr="009F1C15">
        <w:t>.</w:t>
      </w:r>
    </w:p>
    <w:p w14:paraId="1C98E2CB" w14:textId="30900A62" w:rsidR="00593259" w:rsidRPr="009F1C15" w:rsidRDefault="00B73BC2" w:rsidP="00B73BC2">
      <w:pPr>
        <w:pStyle w:val="MDPI18keywords"/>
      </w:pPr>
      <w:r w:rsidRPr="009F1C15">
        <w:rPr>
          <w:b/>
          <w:bCs/>
        </w:rPr>
        <w:t xml:space="preserve">Keywords: </w:t>
      </w:r>
      <w:r w:rsidR="00EC00EA" w:rsidRPr="009F1C15">
        <w:t xml:space="preserve">fractional </w:t>
      </w:r>
      <w:r w:rsidR="00593259" w:rsidRPr="009F1C15">
        <w:t>flow reserve</w:t>
      </w:r>
      <w:r w:rsidRPr="009F1C15">
        <w:t xml:space="preserve">; </w:t>
      </w:r>
      <w:r w:rsidR="00EC00EA" w:rsidRPr="009F1C15">
        <w:t>angiography</w:t>
      </w:r>
      <w:r w:rsidRPr="009F1C15">
        <w:t xml:space="preserve">; </w:t>
      </w:r>
      <w:r w:rsidR="00EC00EA" w:rsidRPr="009F1C15">
        <w:t xml:space="preserve">coronary </w:t>
      </w:r>
      <w:r w:rsidR="00593259" w:rsidRPr="009F1C15">
        <w:t>artery disease</w:t>
      </w:r>
      <w:r w:rsidRPr="009F1C15">
        <w:t xml:space="preserve">; </w:t>
      </w:r>
      <w:r w:rsidR="00EC00EA" w:rsidRPr="009F1C15">
        <w:t xml:space="preserve">percutaneous </w:t>
      </w:r>
      <w:r w:rsidR="00593259" w:rsidRPr="009F1C15">
        <w:t>coronary intervention</w:t>
      </w:r>
      <w:r w:rsidRPr="009F1C15">
        <w:t xml:space="preserve">; </w:t>
      </w:r>
      <w:r w:rsidR="00EC00EA" w:rsidRPr="009F1C15">
        <w:t xml:space="preserve">coronary </w:t>
      </w:r>
      <w:r w:rsidR="00593259" w:rsidRPr="009F1C15">
        <w:t>artery bypass graft surgery</w:t>
      </w:r>
    </w:p>
    <w:p w14:paraId="304152C6" w14:textId="77777777" w:rsidR="00593259" w:rsidRPr="009F1C15" w:rsidRDefault="00593259" w:rsidP="00B73BC2">
      <w:pPr>
        <w:pStyle w:val="MDPI19line"/>
        <w:pBdr>
          <w:bottom w:val="single" w:sz="4" w:space="1" w:color="000000"/>
        </w:pBdr>
      </w:pPr>
    </w:p>
    <w:p w14:paraId="55114547" w14:textId="2651EC13" w:rsidR="00593259" w:rsidRPr="009F1C15" w:rsidRDefault="00F5336F" w:rsidP="00F5336F">
      <w:pPr>
        <w:pStyle w:val="MDPI21heading1"/>
      </w:pPr>
      <w:r w:rsidRPr="009F1C15">
        <w:t xml:space="preserve">1. </w:t>
      </w:r>
      <w:r w:rsidR="00593259" w:rsidRPr="009F1C15">
        <w:t>Introduction</w:t>
      </w:r>
    </w:p>
    <w:p w14:paraId="129B9C59" w14:textId="25A4FFB6" w:rsidR="00593259" w:rsidRPr="009F1C15" w:rsidRDefault="00593259" w:rsidP="00B73BC2">
      <w:pPr>
        <w:pStyle w:val="MDPI31text"/>
        <w:rPr>
          <w:color w:val="000000" w:themeColor="text1"/>
        </w:rPr>
      </w:pPr>
      <w:r w:rsidRPr="009F1C15">
        <w:t xml:space="preserve">Current guidelines recommend fractional flow reserve (FFR) to guide </w:t>
      </w:r>
      <w:proofErr w:type="spellStart"/>
      <w:r w:rsidRPr="009F1C15">
        <w:t>revascularisation</w:t>
      </w:r>
      <w:proofErr w:type="spellEnd"/>
      <w:r w:rsidRPr="009F1C15">
        <w:t xml:space="preserve"> for intermediate stenoses with no prior evidence of myocardial </w:t>
      </w:r>
      <w:proofErr w:type="spellStart"/>
      <w:r w:rsidRPr="009F1C15">
        <w:t>ischaemia</w:t>
      </w:r>
      <w:proofErr w:type="spellEnd"/>
      <w:r w:rsidRPr="009F1C15">
        <w:t xml:space="preserve"> on non-invasive testing and in the setting of multivessel coronary disease</w:t>
      </w:r>
      <w:r w:rsidR="00EE02BF" w:rsidRPr="009F1C15">
        <w:t xml:space="preserve"> [</w:t>
      </w:r>
      <w:r w:rsidRPr="009F1C15">
        <w:rPr>
          <w:noProof/>
          <w:color w:val="000000" w:themeColor="text1"/>
        </w:rPr>
        <w:t>1</w:t>
      </w:r>
      <w:r w:rsidR="00EE02BF" w:rsidRPr="009F1C15">
        <w:rPr>
          <w:noProof/>
          <w:color w:val="000000" w:themeColor="text1"/>
        </w:rPr>
        <w:t>]</w:t>
      </w:r>
      <w:r w:rsidRPr="009F1C15">
        <w:rPr>
          <w:color w:val="000000" w:themeColor="text1"/>
        </w:rPr>
        <w:t xml:space="preserve">. These recommendations are predominantly based on the FAME (Fractional Flow Reserve </w:t>
      </w:r>
      <w:r w:rsidRPr="009F1C15">
        <w:t xml:space="preserve">Versus Angiography for Multivessel Evaluation) trial, which demonstrated lower rates of major </w:t>
      </w:r>
      <w:r w:rsidRPr="009F1C15">
        <w:lastRenderedPageBreak/>
        <w:t xml:space="preserve">adverse cardiac events (MACE), predominantly driven by repeat </w:t>
      </w:r>
      <w:proofErr w:type="spellStart"/>
      <w:r w:rsidRPr="009F1C15">
        <w:t>revascularisation</w:t>
      </w:r>
      <w:proofErr w:type="spellEnd"/>
      <w:r w:rsidRPr="009F1C15">
        <w:t xml:space="preserve">, in patients with multivessel disease who had FFR-guided </w:t>
      </w:r>
      <w:proofErr w:type="spellStart"/>
      <w:r w:rsidRPr="009F1C15">
        <w:t>revascularisation</w:t>
      </w:r>
      <w:proofErr w:type="spellEnd"/>
      <w:r w:rsidRPr="009F1C15">
        <w:t>, compared to angiography-guidance</w:t>
      </w:r>
      <w:r w:rsidR="005E293F" w:rsidRPr="009F1C15">
        <w:t xml:space="preserve"> [</w:t>
      </w:r>
      <w:r w:rsidRPr="009F1C15">
        <w:rPr>
          <w:noProof/>
        </w:rPr>
        <w:t>2</w:t>
      </w:r>
      <w:r w:rsidR="005E293F" w:rsidRPr="009F1C15">
        <w:rPr>
          <w:noProof/>
        </w:rPr>
        <w:t>]</w:t>
      </w:r>
      <w:r w:rsidRPr="009F1C15">
        <w:t>.</w:t>
      </w:r>
    </w:p>
    <w:p w14:paraId="76C9B6DB" w14:textId="5F8B78B3" w:rsidR="00593259" w:rsidRPr="009F1C15" w:rsidRDefault="00593259" w:rsidP="00F5336F">
      <w:pPr>
        <w:pStyle w:val="MDPI31text"/>
      </w:pPr>
      <w:r w:rsidRPr="009F1C15">
        <w:t xml:space="preserve">Subsequent </w:t>
      </w:r>
      <w:proofErr w:type="spellStart"/>
      <w:r w:rsidRPr="009F1C15">
        <w:t>randomised</w:t>
      </w:r>
      <w:proofErr w:type="spellEnd"/>
      <w:r w:rsidRPr="009F1C15">
        <w:t xml:space="preserve"> controlled trials (RCTs), performed in a variety of clinical settings, comparing outcomes after FFR-guided versus angiography-guided </w:t>
      </w:r>
      <w:proofErr w:type="spellStart"/>
      <w:r w:rsidRPr="009F1C15">
        <w:t>revascularisation</w:t>
      </w:r>
      <w:proofErr w:type="spellEnd"/>
      <w:r w:rsidRPr="009F1C15">
        <w:t xml:space="preserve"> have produced conflicting results, but have, in general, failed to demonstrate the expected additional benefit from using FFR in addition to angiography to guide diagnosis, management and </w:t>
      </w:r>
      <w:r w:rsidR="005E293F" w:rsidRPr="009F1C15">
        <w:t>revascularization [</w:t>
      </w:r>
      <w:r w:rsidRPr="009F1C15">
        <w:rPr>
          <w:noProof/>
        </w:rPr>
        <w:t>2</w:t>
      </w:r>
      <w:r w:rsidR="000A5C77" w:rsidRPr="009F1C15">
        <w:t>–</w:t>
      </w:r>
      <w:r w:rsidR="00B73BC2" w:rsidRPr="009F1C15">
        <w:rPr>
          <w:noProof/>
        </w:rPr>
        <w:t>8</w:t>
      </w:r>
      <w:r w:rsidR="005E293F" w:rsidRPr="009F1C15">
        <w:rPr>
          <w:noProof/>
        </w:rPr>
        <w:t>]</w:t>
      </w:r>
      <w:r w:rsidRPr="009F1C15">
        <w:t xml:space="preserve">. Most recently, the FRAME-AMI trial (FFR- vs. Angiography-guided PCI in AMI with multivessel disease) found lower MACE with FFR-guided complete </w:t>
      </w:r>
      <w:proofErr w:type="spellStart"/>
      <w:r w:rsidRPr="009F1C15">
        <w:t>revascularisation</w:t>
      </w:r>
      <w:proofErr w:type="spellEnd"/>
      <w:r w:rsidRPr="009F1C15">
        <w:t xml:space="preserve">, compared to angiography-guided, among 562 patients with ST-segment elevation myocardial infarction (STEMI) who had been committed to complete </w:t>
      </w:r>
      <w:proofErr w:type="spellStart"/>
      <w:r w:rsidRPr="009F1C15">
        <w:t>revascularisation</w:t>
      </w:r>
      <w:proofErr w:type="spellEnd"/>
      <w:r w:rsidRPr="009F1C15">
        <w:t xml:space="preserve"> of non-culprit coronary disease</w:t>
      </w:r>
      <w:r w:rsidR="00BC1577" w:rsidRPr="009F1C15">
        <w:t xml:space="preserve"> [</w:t>
      </w:r>
      <w:r w:rsidRPr="009F1C15">
        <w:rPr>
          <w:noProof/>
        </w:rPr>
        <w:t>3</w:t>
      </w:r>
      <w:r w:rsidR="00BC1577" w:rsidRPr="009F1C15">
        <w:rPr>
          <w:noProof/>
        </w:rPr>
        <w:t>]</w:t>
      </w:r>
      <w:r w:rsidRPr="009F1C15">
        <w:t xml:space="preserve">. Furthermore, RIPCORD-2 (Does Routine Pressure Wire Assessment Influence Management Strategy at Coronary Angiography for Diagnosis of Chest Pain?) </w:t>
      </w:r>
      <w:proofErr w:type="spellStart"/>
      <w:r w:rsidRPr="009F1C15">
        <w:t>randomised</w:t>
      </w:r>
      <w:proofErr w:type="spellEnd"/>
      <w:r w:rsidRPr="009F1C15">
        <w:t xml:space="preserve"> 1100 patients undergoing diagnostic angiography for stable angina or non-ST elevation MI (NSTEMI) to either angiographic diagnosis and management alone, of angiography plus FFR assessment of all major coronary arteries.</w:t>
      </w:r>
      <w:r w:rsidR="00620A5A" w:rsidRPr="009F1C15">
        <w:t xml:space="preserve"> </w:t>
      </w:r>
      <w:r w:rsidRPr="009F1C15">
        <w:t>It found no difference in MACE, cost, or quality of life between the groups</w:t>
      </w:r>
      <w:r w:rsidR="0029124E" w:rsidRPr="009F1C15">
        <w:t xml:space="preserve"> [</w:t>
      </w:r>
      <w:r w:rsidRPr="009F1C15">
        <w:rPr>
          <w:noProof/>
        </w:rPr>
        <w:t>4</w:t>
      </w:r>
      <w:r w:rsidR="0029124E" w:rsidRPr="009F1C15">
        <w:rPr>
          <w:noProof/>
        </w:rPr>
        <w:t>]</w:t>
      </w:r>
      <w:r w:rsidRPr="009F1C15">
        <w:t>.</w:t>
      </w:r>
    </w:p>
    <w:p w14:paraId="3378D610" w14:textId="1F69F7FC" w:rsidR="00593259" w:rsidRPr="009F1C15" w:rsidRDefault="00593259" w:rsidP="00B73BC2">
      <w:pPr>
        <w:pStyle w:val="MDPI31text"/>
      </w:pPr>
      <w:r w:rsidRPr="009F1C15">
        <w:t xml:space="preserve">Given the discrepant outcome data, the aim of this study was to perform a contemporary meta-analysis of RCTs </w:t>
      </w:r>
      <w:r w:rsidR="0081729F" w:rsidRPr="009F1C15">
        <w:t xml:space="preserve">(including patients with stable angina or AMI, managed with medications, percutaneous coronary intervention (PCI) or coronary artery bypass grafts surgery (CABG), to compare </w:t>
      </w:r>
      <w:r w:rsidRPr="009F1C15">
        <w:t xml:space="preserve">clinical outcomes after an FFR-guided versus an angiography-guided management strategy in patients with obstructive CAD. </w:t>
      </w:r>
    </w:p>
    <w:p w14:paraId="3DB8E9DF" w14:textId="730B3C28" w:rsidR="00593259" w:rsidRPr="009F1C15" w:rsidRDefault="00F5336F" w:rsidP="00F5336F">
      <w:pPr>
        <w:pStyle w:val="MDPI21heading1"/>
      </w:pPr>
      <w:r w:rsidRPr="009F1C15">
        <w:t xml:space="preserve">2. </w:t>
      </w:r>
      <w:r w:rsidR="00593259" w:rsidRPr="009F1C15">
        <w:t>Methods</w:t>
      </w:r>
    </w:p>
    <w:p w14:paraId="2953CCDD" w14:textId="75B67F3A" w:rsidR="00593259" w:rsidRPr="009F1C15" w:rsidRDefault="00593259" w:rsidP="00F5336F">
      <w:pPr>
        <w:pStyle w:val="MDPI31text"/>
      </w:pPr>
      <w:r w:rsidRPr="009F1C15">
        <w:t>This study was performed following the PRISMA (Preferred Reporting Items for systematic Reviews and Meta-Analyses) guidelines</w:t>
      </w:r>
      <w:r w:rsidR="00974C4A" w:rsidRPr="009F1C15">
        <w:t xml:space="preserve"> [</w:t>
      </w:r>
      <w:r w:rsidRPr="009F1C15">
        <w:rPr>
          <w:noProof/>
        </w:rPr>
        <w:t>9</w:t>
      </w:r>
      <w:r w:rsidR="00974C4A" w:rsidRPr="009F1C15">
        <w:rPr>
          <w:noProof/>
        </w:rPr>
        <w:t>]</w:t>
      </w:r>
      <w:r w:rsidRPr="009F1C15">
        <w:t>. The protocol for this study was registered with the International Prospective Register of Systematic Reviews (PROSPERO ID: CRD42022356766).</w:t>
      </w:r>
    </w:p>
    <w:p w14:paraId="0EE6F269" w14:textId="21196997" w:rsidR="00593259" w:rsidRPr="009F1C15" w:rsidRDefault="00F5336F" w:rsidP="00F5336F">
      <w:pPr>
        <w:pStyle w:val="MDPI22heading2"/>
        <w:spacing w:before="240"/>
      </w:pPr>
      <w:r w:rsidRPr="009F1C15">
        <w:t xml:space="preserve">2.1. </w:t>
      </w:r>
      <w:r w:rsidR="00593259" w:rsidRPr="009F1C15">
        <w:t xml:space="preserve">Search Strategy </w:t>
      </w:r>
    </w:p>
    <w:p w14:paraId="6F38D733" w14:textId="28CB9DA6" w:rsidR="00593259" w:rsidRPr="009F1C15" w:rsidRDefault="00593259" w:rsidP="00F5336F">
      <w:pPr>
        <w:pStyle w:val="MDPI31text"/>
      </w:pPr>
      <w:r w:rsidRPr="009F1C15">
        <w:t xml:space="preserve">A systematic search of the online databases Medline and Embase via Ovid was performed, from inception to September 2022. Peer-reviewed RCTs were selected using combinations of the following keywords: </w:t>
      </w:r>
      <w:r w:rsidR="00E0547F" w:rsidRPr="009F1C15">
        <w:t>‘</w:t>
      </w:r>
      <w:r w:rsidRPr="009F1C15">
        <w:t>fractional flow reserve</w:t>
      </w:r>
      <w:r w:rsidR="00E0547F" w:rsidRPr="009F1C15">
        <w:t>’</w:t>
      </w:r>
      <w:r w:rsidRPr="009F1C15">
        <w:t xml:space="preserve">; </w:t>
      </w:r>
      <w:r w:rsidR="00E0547F" w:rsidRPr="009F1C15">
        <w:t>‘</w:t>
      </w:r>
      <w:r w:rsidRPr="009F1C15">
        <w:t>pressure wire</w:t>
      </w:r>
      <w:r w:rsidR="00E0547F" w:rsidRPr="009F1C15">
        <w:t>’</w:t>
      </w:r>
      <w:r w:rsidRPr="009F1C15">
        <w:t>; ‘FFR</w:t>
      </w:r>
      <w:r w:rsidR="00E0547F" w:rsidRPr="009F1C15">
        <w:t>’</w:t>
      </w:r>
      <w:r w:rsidRPr="009F1C15">
        <w:t xml:space="preserve">; </w:t>
      </w:r>
      <w:r w:rsidR="00E0547F" w:rsidRPr="009F1C15">
        <w:t>‘</w:t>
      </w:r>
      <w:r w:rsidRPr="009F1C15">
        <w:t>coronary angiogram</w:t>
      </w:r>
      <w:r w:rsidR="00E0547F" w:rsidRPr="009F1C15">
        <w:t>’</w:t>
      </w:r>
      <w:r w:rsidRPr="009F1C15">
        <w:t xml:space="preserve">; and </w:t>
      </w:r>
      <w:r w:rsidR="00E0547F" w:rsidRPr="009F1C15">
        <w:t>‘</w:t>
      </w:r>
      <w:r w:rsidRPr="009F1C15">
        <w:t>coronary angiography</w:t>
      </w:r>
      <w:r w:rsidR="00E0547F" w:rsidRPr="009F1C15">
        <w:t>’</w:t>
      </w:r>
      <w:r w:rsidRPr="009F1C15">
        <w:t>. The electronic database search was supplemented by using the clinical trial registry ‘ClinicalTrials.gov</w:t>
      </w:r>
      <w:r w:rsidR="00E0547F" w:rsidRPr="009F1C15">
        <w:t>’</w:t>
      </w:r>
      <w:r w:rsidRPr="009F1C15">
        <w:t xml:space="preserve">, to identify other relevant studies. The reference lists of included trials were also reviewed, for other appropriate trials. For completeness, we searched conference abstracts from recent major cardiology meetings, specifically the European Society of Cardiology, </w:t>
      </w:r>
      <w:proofErr w:type="spellStart"/>
      <w:r w:rsidRPr="009F1C15">
        <w:t>EuroPCR</w:t>
      </w:r>
      <w:proofErr w:type="spellEnd"/>
      <w:r w:rsidRPr="009F1C15">
        <w:t>, Transcatheter Cardiovascular Therapeutics, the American College of Cardiology and the American Heart Association. Two investigators (C.J.M and A.M) independently screened abstracts against eligibility criteria. In case of discrepancies among the two independent investigators, a third independent investigator (H.B) was available to review the data, to resolve discrepancies by consensus among the investigators.</w:t>
      </w:r>
    </w:p>
    <w:p w14:paraId="72A4A4FA" w14:textId="2221757C" w:rsidR="00593259" w:rsidRPr="009F1C15" w:rsidRDefault="00F5336F" w:rsidP="00F5336F">
      <w:pPr>
        <w:pStyle w:val="MDPI22heading2"/>
        <w:spacing w:before="240"/>
      </w:pPr>
      <w:r w:rsidRPr="009F1C15">
        <w:t xml:space="preserve">2.2. </w:t>
      </w:r>
      <w:r w:rsidR="00593259" w:rsidRPr="009F1C15">
        <w:t>Eligibility Criteria</w:t>
      </w:r>
    </w:p>
    <w:p w14:paraId="66153A8C" w14:textId="27D29ABF" w:rsidR="00593259" w:rsidRPr="009F1C15" w:rsidRDefault="00593259" w:rsidP="00F5336F">
      <w:pPr>
        <w:pStyle w:val="MDPI31text"/>
      </w:pPr>
      <w:r w:rsidRPr="009F1C15">
        <w:t xml:space="preserve">We included all RCTs comparing an FFR-guided versus an angiography-guided management strategy in patients with obstructive CAD, and reporting outcomes on death, MI and </w:t>
      </w:r>
      <w:r w:rsidRPr="009F1C15">
        <w:rPr>
          <w:sz w:val="22"/>
        </w:rPr>
        <w:t>unplanned</w:t>
      </w:r>
      <w:r w:rsidRPr="009F1C15">
        <w:t xml:space="preserve"> </w:t>
      </w:r>
      <w:proofErr w:type="spellStart"/>
      <w:r w:rsidRPr="009F1C15">
        <w:t>revascularisation</w:t>
      </w:r>
      <w:proofErr w:type="spellEnd"/>
      <w:r w:rsidRPr="009F1C15">
        <w:t xml:space="preserve">. For studies with multiple publications, we used data from the longest reported follow-up. We included RCTs in which patients presented with either stable coronary artery disease, or acute coronary syndrome (ACS), including RCTs assessing non-infarct related artery stenoses following </w:t>
      </w:r>
      <w:proofErr w:type="spellStart"/>
      <w:r w:rsidRPr="009F1C15">
        <w:t>revascularisation</w:t>
      </w:r>
      <w:proofErr w:type="spellEnd"/>
      <w:r w:rsidRPr="009F1C15">
        <w:t xml:space="preserve"> of the culprit vessel in STEMI. RCTs of patients undergoing </w:t>
      </w:r>
      <w:proofErr w:type="spellStart"/>
      <w:r w:rsidRPr="009F1C15">
        <w:t>revascularisation</w:t>
      </w:r>
      <w:proofErr w:type="spellEnd"/>
      <w:r w:rsidRPr="009F1C15">
        <w:t xml:space="preserve"> with either coronary </w:t>
      </w:r>
      <w:r w:rsidRPr="009F1C15">
        <w:lastRenderedPageBreak/>
        <w:t>artery bypass graft surgery or percutaneous coronary intervention were included. Non-</w:t>
      </w:r>
      <w:proofErr w:type="spellStart"/>
      <w:r w:rsidRPr="009F1C15">
        <w:t>randomised</w:t>
      </w:r>
      <w:proofErr w:type="spellEnd"/>
      <w:r w:rsidRPr="009F1C15">
        <w:t xml:space="preserve"> trials, publications not in English, and those not reporting clinical outcomes of interest were excluded. We also excluded studies that used an FFR cut-off other than </w:t>
      </w:r>
      <w:r w:rsidR="009268BA" w:rsidRPr="009F1C15">
        <w:t>≤</w:t>
      </w:r>
      <w:r w:rsidRPr="009F1C15">
        <w:t xml:space="preserve">0.8 to define significant </w:t>
      </w:r>
      <w:proofErr w:type="spellStart"/>
      <w:r w:rsidRPr="009F1C15">
        <w:t>ischaemia</w:t>
      </w:r>
      <w:proofErr w:type="spellEnd"/>
      <w:r w:rsidRPr="009F1C15">
        <w:t xml:space="preserve">, because 0.8 is the FFR threshold accepted by international clinical guidelines for defining </w:t>
      </w:r>
      <w:proofErr w:type="spellStart"/>
      <w:r w:rsidRPr="009F1C15">
        <w:t>haemodynamically</w:t>
      </w:r>
      <w:proofErr w:type="spellEnd"/>
      <w:r w:rsidRPr="009F1C15">
        <w:t xml:space="preserve"> significant lesions</w:t>
      </w:r>
      <w:r w:rsidR="00E510AC" w:rsidRPr="009F1C15">
        <w:t xml:space="preserve"> [</w:t>
      </w:r>
      <w:r w:rsidRPr="009F1C15">
        <w:rPr>
          <w:noProof/>
        </w:rPr>
        <w:t>1</w:t>
      </w:r>
      <w:r w:rsidR="00E510AC" w:rsidRPr="009F1C15">
        <w:rPr>
          <w:noProof/>
        </w:rPr>
        <w:t>]</w:t>
      </w:r>
      <w:r w:rsidRPr="009F1C15">
        <w:t>.</w:t>
      </w:r>
    </w:p>
    <w:p w14:paraId="5773ED84" w14:textId="12FADD16" w:rsidR="00593259" w:rsidRPr="009F1C15" w:rsidRDefault="00F5336F" w:rsidP="00F5336F">
      <w:pPr>
        <w:pStyle w:val="MDPI22heading2"/>
        <w:spacing w:before="240"/>
      </w:pPr>
      <w:r w:rsidRPr="009F1C15">
        <w:t xml:space="preserve">2.3. </w:t>
      </w:r>
      <w:r w:rsidR="00593259" w:rsidRPr="009F1C15">
        <w:t xml:space="preserve">Data </w:t>
      </w:r>
      <w:r w:rsidRPr="009F1C15">
        <w:t>Extraction</w:t>
      </w:r>
    </w:p>
    <w:p w14:paraId="62BB7A77" w14:textId="126779B9" w:rsidR="00593259" w:rsidRPr="009F1C15" w:rsidRDefault="00593259" w:rsidP="00F5336F">
      <w:pPr>
        <w:pStyle w:val="MDPI31text"/>
      </w:pPr>
      <w:r w:rsidRPr="009F1C15">
        <w:t>Baseline demographic and clinical outcome data were extracted from the main study reports. Supplementary material was also reviewed. Clinical outcome data were extracted on an intension-to-treat basis. For RCTs including an all-comer population undergoing angiography, we only included outcomes on the subsets with obstructive CAD.</w:t>
      </w:r>
    </w:p>
    <w:p w14:paraId="4D56178C" w14:textId="66E054CA" w:rsidR="00593259" w:rsidRPr="009F1C15" w:rsidRDefault="00F5336F" w:rsidP="00F5336F">
      <w:pPr>
        <w:pStyle w:val="MDPI22heading2"/>
        <w:spacing w:before="240"/>
      </w:pPr>
      <w:r w:rsidRPr="009F1C15">
        <w:t xml:space="preserve">2.4. </w:t>
      </w:r>
      <w:r w:rsidR="00593259" w:rsidRPr="009F1C15">
        <w:t>Quality Assessment</w:t>
      </w:r>
    </w:p>
    <w:p w14:paraId="56F9ADB6" w14:textId="09739A98" w:rsidR="00F53286" w:rsidRPr="009F1C15" w:rsidRDefault="00593259" w:rsidP="00E74491">
      <w:pPr>
        <w:pStyle w:val="MDPI31text"/>
      </w:pPr>
      <w:r w:rsidRPr="009F1C15">
        <w:t>We assessed the risk of bias and the quality of included studies, according to the Cochrane risk of bias assessment tool</w:t>
      </w:r>
      <w:r w:rsidR="001517B8" w:rsidRPr="009F1C15">
        <w:t xml:space="preserve"> [</w:t>
      </w:r>
      <w:r w:rsidRPr="009F1C15">
        <w:rPr>
          <w:noProof/>
        </w:rPr>
        <w:t>10</w:t>
      </w:r>
      <w:r w:rsidR="001517B8" w:rsidRPr="009F1C15">
        <w:rPr>
          <w:noProof/>
        </w:rPr>
        <w:t>]</w:t>
      </w:r>
      <w:r w:rsidRPr="009F1C15">
        <w:t xml:space="preserve"> (Figure 1).</w:t>
      </w:r>
    </w:p>
    <w:p w14:paraId="4D397368" w14:textId="74CB6432" w:rsidR="00F53286" w:rsidRPr="009F1C15" w:rsidRDefault="00F53286" w:rsidP="00F5336F">
      <w:pPr>
        <w:pStyle w:val="MDPI52figure"/>
        <w:ind w:left="2608"/>
        <w:jc w:val="left"/>
      </w:pPr>
      <w:r w:rsidRPr="009F1C15">
        <w:rPr>
          <w:noProof/>
        </w:rPr>
        <w:drawing>
          <wp:inline distT="0" distB="0" distL="0" distR="0" wp14:anchorId="3AA363F3" wp14:editId="4D48EC94">
            <wp:extent cx="2635200" cy="501500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937" cy="5138206"/>
                    </a:xfrm>
                    <a:prstGeom prst="rect">
                      <a:avLst/>
                    </a:prstGeom>
                  </pic:spPr>
                </pic:pic>
              </a:graphicData>
            </a:graphic>
          </wp:inline>
        </w:drawing>
      </w:r>
    </w:p>
    <w:p w14:paraId="39CFD90A" w14:textId="381519FB" w:rsidR="00F53286" w:rsidRPr="009F1C15" w:rsidRDefault="00F5336F" w:rsidP="00F5336F">
      <w:pPr>
        <w:pStyle w:val="MDPI51figurecaption"/>
        <w:jc w:val="both"/>
      </w:pPr>
      <w:r w:rsidRPr="009F1C15">
        <w:rPr>
          <w:b/>
          <w:bCs/>
        </w:rPr>
        <w:t xml:space="preserve">Figure 1. </w:t>
      </w:r>
      <w:r w:rsidR="00F53286" w:rsidRPr="009F1C15">
        <w:t>Risk of bias summary for the individual studies, by Cochrane risk assessment tool. + = low risk of bias,</w:t>
      </w:r>
      <w:r w:rsidR="00EC00EA" w:rsidRPr="009F1C15">
        <w:t xml:space="preserve"> −</w:t>
      </w:r>
      <w:r w:rsidR="00DA40EB" w:rsidRPr="009F1C15">
        <w:t xml:space="preserve"> </w:t>
      </w:r>
      <w:r w:rsidR="00F53286" w:rsidRPr="009F1C15">
        <w:t>= risk of bias</w:t>
      </w:r>
      <w:proofErr w:type="gramStart"/>
      <w:r w:rsidR="00F53286" w:rsidRPr="009F1C15">
        <w:t>, ?</w:t>
      </w:r>
      <w:proofErr w:type="gramEnd"/>
      <w:r w:rsidR="00F53286" w:rsidRPr="009F1C15">
        <w:t xml:space="preserve"> = unclear</w:t>
      </w:r>
      <w:r w:rsidR="00E510AC" w:rsidRPr="009F1C15">
        <w:t>.</w:t>
      </w:r>
    </w:p>
    <w:p w14:paraId="733BF4DD" w14:textId="77777777" w:rsidR="00DF59FB" w:rsidRPr="009F1C15" w:rsidRDefault="00DF59FB">
      <w:pPr>
        <w:spacing w:line="240" w:lineRule="auto"/>
        <w:jc w:val="left"/>
        <w:rPr>
          <w:rFonts w:eastAsia="Times New Roman"/>
          <w:i/>
          <w:snapToGrid w:val="0"/>
          <w:szCs w:val="22"/>
          <w:lang w:eastAsia="de-DE" w:bidi="en-US"/>
        </w:rPr>
      </w:pPr>
      <w:r w:rsidRPr="009F1C15">
        <w:br w:type="page"/>
      </w:r>
    </w:p>
    <w:p w14:paraId="20F54DDC" w14:textId="375FDA06" w:rsidR="00593259" w:rsidRPr="009F1C15" w:rsidRDefault="00F5336F" w:rsidP="00B73BC2">
      <w:pPr>
        <w:pStyle w:val="MDPI22heading2"/>
        <w:spacing w:before="240"/>
      </w:pPr>
      <w:r w:rsidRPr="009F1C15">
        <w:lastRenderedPageBreak/>
        <w:t xml:space="preserve">2.5. </w:t>
      </w:r>
      <w:r w:rsidR="00593259" w:rsidRPr="009F1C15">
        <w:t>Outcomes</w:t>
      </w:r>
    </w:p>
    <w:p w14:paraId="311FDC5D" w14:textId="180101C8" w:rsidR="00593259" w:rsidRPr="009F1C15" w:rsidRDefault="00593259" w:rsidP="00F5336F">
      <w:pPr>
        <w:pStyle w:val="MDPI31text"/>
      </w:pPr>
      <w:r w:rsidRPr="009F1C15">
        <w:t xml:space="preserve">The main endpoints of interest were all-cause mortality, MI and </w:t>
      </w:r>
      <w:r w:rsidRPr="009F1C15">
        <w:rPr>
          <w:sz w:val="22"/>
        </w:rPr>
        <w:t>unplanned</w:t>
      </w:r>
      <w:r w:rsidRPr="009F1C15" w:rsidDel="00CC38DC">
        <w:t xml:space="preserve"> </w:t>
      </w:r>
      <w:proofErr w:type="spellStart"/>
      <w:r w:rsidRPr="009F1C15">
        <w:t>revascularisation</w:t>
      </w:r>
      <w:proofErr w:type="spellEnd"/>
      <w:r w:rsidRPr="009F1C15">
        <w:t xml:space="preserve">. We also investigated the number of stents implanted and number of patients proceeding to </w:t>
      </w:r>
      <w:proofErr w:type="spellStart"/>
      <w:r w:rsidRPr="009F1C15">
        <w:t>revascularisation</w:t>
      </w:r>
      <w:proofErr w:type="spellEnd"/>
      <w:r w:rsidRPr="009F1C15">
        <w:t xml:space="preserve"> in each group. We originally planned to stratify the results according to patients presenting with stable CAD or ACS, but outcome data for these individual endpoints were not available from the trial-level data. However, we were able to provide the pooled, trial-defined major composite endpoint analysis, stratified by stable CAD or ACS if available, from the selected RCTs.</w:t>
      </w:r>
    </w:p>
    <w:p w14:paraId="2E55AB6F" w14:textId="54FD129C" w:rsidR="00593259" w:rsidRPr="009F1C15" w:rsidRDefault="00F5336F" w:rsidP="00F5336F">
      <w:pPr>
        <w:pStyle w:val="MDPI22heading2"/>
        <w:spacing w:before="240"/>
      </w:pPr>
      <w:r w:rsidRPr="009F1C15">
        <w:t xml:space="preserve">2.6. </w:t>
      </w:r>
      <w:r w:rsidR="00593259" w:rsidRPr="009F1C15">
        <w:t>Statistical Analysis</w:t>
      </w:r>
    </w:p>
    <w:p w14:paraId="0B2F065F" w14:textId="1EDFC568" w:rsidR="00593259" w:rsidRPr="009F1C15" w:rsidRDefault="00593259" w:rsidP="00F5336F">
      <w:pPr>
        <w:pStyle w:val="MDPI31text"/>
      </w:pPr>
      <w:r w:rsidRPr="009F1C15">
        <w:t xml:space="preserve">Weighted mean follow-up duration was calculated according to study size. We </w:t>
      </w:r>
      <w:proofErr w:type="spellStart"/>
      <w:r w:rsidRPr="009F1C15">
        <w:t>summarised</w:t>
      </w:r>
      <w:proofErr w:type="spellEnd"/>
      <w:r w:rsidRPr="009F1C15">
        <w:t xml:space="preserve"> the estimate of effect incorporating the clinical outcome as the risk ratio (RR) with 95% confidence intervals (CI). The pooled RR was calculated with a random-effects model, due to anticipated heterogeneity between included RCTs, using the Mantel-Haenszel method. We performed heterogeneity testing with Higgins </w:t>
      </w:r>
      <w:r w:rsidR="00E640C8" w:rsidRPr="009F1C15">
        <w:t>I</w:t>
      </w:r>
      <w:r w:rsidR="00E640C8" w:rsidRPr="009F1C15">
        <w:rPr>
          <w:vertAlign w:val="superscript"/>
        </w:rPr>
        <w:t>2</w:t>
      </w:r>
      <w:r w:rsidR="00E640C8" w:rsidRPr="009F1C15">
        <w:t>,</w:t>
      </w:r>
      <w:r w:rsidRPr="009F1C15">
        <w:t xml:space="preserve"> with a threshold of &gt;50% suggestive of significant heterogeneity</w:t>
      </w:r>
      <w:r w:rsidR="00DF59FB" w:rsidRPr="009F1C15">
        <w:t xml:space="preserve"> [</w:t>
      </w:r>
      <w:r w:rsidRPr="009F1C15">
        <w:rPr>
          <w:noProof/>
        </w:rPr>
        <w:t>11</w:t>
      </w:r>
      <w:r w:rsidR="00DF59FB" w:rsidRPr="009F1C15">
        <w:rPr>
          <w:noProof/>
        </w:rPr>
        <w:t>]</w:t>
      </w:r>
      <w:r w:rsidRPr="009F1C15">
        <w:t>. The statistical analyses were performed using Review Manager (</w:t>
      </w:r>
      <w:proofErr w:type="spellStart"/>
      <w:r w:rsidRPr="009F1C15">
        <w:t>RevMan</w:t>
      </w:r>
      <w:proofErr w:type="spellEnd"/>
      <w:r w:rsidRPr="009F1C15">
        <w:t>) [Computer program]. Version 5.4, The Cochrane Collaboration, 2020.</w:t>
      </w:r>
    </w:p>
    <w:p w14:paraId="26142C27" w14:textId="4479ACB8" w:rsidR="00593259" w:rsidRPr="009F1C15" w:rsidRDefault="00F5336F" w:rsidP="00F5336F">
      <w:pPr>
        <w:pStyle w:val="MDPI21heading1"/>
      </w:pPr>
      <w:r w:rsidRPr="009F1C15">
        <w:t xml:space="preserve">3. </w:t>
      </w:r>
      <w:r w:rsidR="00593259" w:rsidRPr="009F1C15">
        <w:t>Results</w:t>
      </w:r>
    </w:p>
    <w:p w14:paraId="1B6A33F7" w14:textId="10B6BFB9" w:rsidR="00F53286" w:rsidRPr="009F1C15" w:rsidRDefault="00593259" w:rsidP="00F5336F">
      <w:pPr>
        <w:pStyle w:val="MDPI31text"/>
      </w:pPr>
      <w:r w:rsidRPr="009F1C15">
        <w:t>Figure 2 shows the process of trial selection. Eight RCTs met the eligibility criteria</w:t>
      </w:r>
      <w:r w:rsidR="00543360" w:rsidRPr="009F1C15">
        <w:t xml:space="preserve"> [</w:t>
      </w:r>
      <w:r w:rsidRPr="009F1C15">
        <w:rPr>
          <w:noProof/>
        </w:rPr>
        <w:t>2</w:t>
      </w:r>
      <w:r w:rsidR="00B73BC2" w:rsidRPr="009F1C15">
        <w:t>−</w:t>
      </w:r>
      <w:r w:rsidR="00B73BC2" w:rsidRPr="009F1C15">
        <w:rPr>
          <w:noProof/>
        </w:rPr>
        <w:t>8</w:t>
      </w:r>
      <w:r w:rsidRPr="009F1C15">
        <w:rPr>
          <w:noProof/>
        </w:rPr>
        <w:t>,12</w:t>
      </w:r>
      <w:r w:rsidR="00543360" w:rsidRPr="009F1C15">
        <w:t>],</w:t>
      </w:r>
      <w:r w:rsidRPr="009F1C15">
        <w:t xml:space="preserve"> including a total of 5077 patients, with 1 of those</w:t>
      </w:r>
      <w:r w:rsidR="00543360" w:rsidRPr="009F1C15">
        <w:t xml:space="preserve"> [</w:t>
      </w:r>
      <w:r w:rsidRPr="009F1C15">
        <w:rPr>
          <w:noProof/>
        </w:rPr>
        <w:t>3</w:t>
      </w:r>
      <w:r w:rsidR="00543360" w:rsidRPr="009F1C15">
        <w:rPr>
          <w:noProof/>
        </w:rPr>
        <w:t>]</w:t>
      </w:r>
      <w:r w:rsidRPr="009F1C15">
        <w:t xml:space="preserve"> only recently presented in detail at the recent ESC 2022 conference and not yet published in full text. Among these, 2544 patients were in the FFR-guided group and 2533 were in angiography-guided group. Out of the included RCTs, five had follow-up of 1 yea</w:t>
      </w:r>
      <w:r w:rsidR="00E83626" w:rsidRPr="009F1C15">
        <w:t>r</w:t>
      </w:r>
      <w:r w:rsidR="00543360" w:rsidRPr="009F1C15">
        <w:t xml:space="preserve"> [</w:t>
      </w:r>
      <w:r w:rsidRPr="009F1C15">
        <w:rPr>
          <w:noProof/>
        </w:rPr>
        <w:t>4,6</w:t>
      </w:r>
      <w:r w:rsidR="00B73BC2" w:rsidRPr="009F1C15">
        <w:t>−</w:t>
      </w:r>
      <w:r w:rsidR="00B73BC2" w:rsidRPr="009F1C15">
        <w:rPr>
          <w:noProof/>
        </w:rPr>
        <w:t>8</w:t>
      </w:r>
      <w:r w:rsidRPr="009F1C15">
        <w:rPr>
          <w:noProof/>
        </w:rPr>
        <w:t>,12</w:t>
      </w:r>
      <w:r w:rsidR="00543360" w:rsidRPr="009F1C15">
        <w:t>]</w:t>
      </w:r>
      <w:r w:rsidRPr="009F1C15">
        <w:t xml:space="preserve">, one had </w:t>
      </w:r>
      <w:proofErr w:type="gramStart"/>
      <w:r w:rsidRPr="009F1C15">
        <w:t>follow</w:t>
      </w:r>
      <w:proofErr w:type="gramEnd"/>
      <w:r w:rsidRPr="009F1C15">
        <w:t xml:space="preserve"> up of 6 months</w:t>
      </w:r>
      <w:r w:rsidR="00543360" w:rsidRPr="009F1C15">
        <w:t xml:space="preserve"> [</w:t>
      </w:r>
      <w:r w:rsidRPr="009F1C15">
        <w:rPr>
          <w:noProof/>
        </w:rPr>
        <w:t>5</w:t>
      </w:r>
      <w:r w:rsidR="00543360" w:rsidRPr="009F1C15">
        <w:rPr>
          <w:noProof/>
        </w:rPr>
        <w:t>]</w:t>
      </w:r>
      <w:r w:rsidRPr="009F1C15">
        <w:t>, and two RCTs had longer follow-up of 3.5</w:t>
      </w:r>
      <w:r w:rsidR="00543360" w:rsidRPr="009F1C15">
        <w:t xml:space="preserve"> [</w:t>
      </w:r>
      <w:r w:rsidRPr="009F1C15">
        <w:rPr>
          <w:noProof/>
        </w:rPr>
        <w:t>3</w:t>
      </w:r>
      <w:r w:rsidR="00543360" w:rsidRPr="009F1C15">
        <w:rPr>
          <w:noProof/>
        </w:rPr>
        <w:t>]</w:t>
      </w:r>
      <w:r w:rsidRPr="009F1C15">
        <w:t xml:space="preserve"> and 5 years</w:t>
      </w:r>
      <w:r w:rsidR="00543360" w:rsidRPr="009F1C15">
        <w:t xml:space="preserve"> [</w:t>
      </w:r>
      <w:r w:rsidRPr="009F1C15">
        <w:rPr>
          <w:noProof/>
        </w:rPr>
        <w:t>2</w:t>
      </w:r>
      <w:r w:rsidR="00543360" w:rsidRPr="009F1C15">
        <w:rPr>
          <w:noProof/>
        </w:rPr>
        <w:t>]</w:t>
      </w:r>
      <w:r w:rsidRPr="009F1C15">
        <w:t>. The weighted mean follow-up was 22 months. Overall, the loss to follow-up of patients in this study was &lt;1%.</w:t>
      </w:r>
    </w:p>
    <w:p w14:paraId="5A45B2AE" w14:textId="4C2DEA8A" w:rsidR="00F53286" w:rsidRPr="009F1C15" w:rsidRDefault="00E64375" w:rsidP="004F0C8B">
      <w:pPr>
        <w:pStyle w:val="MDPI52figure"/>
      </w:pPr>
      <w:r>
        <w:rPr>
          <w:noProof/>
          <w:snapToGrid/>
        </w:rPr>
        <w:drawing>
          <wp:inline distT="0" distB="0" distL="0" distR="0" wp14:anchorId="188B846E" wp14:editId="12AE67F0">
            <wp:extent cx="5544460" cy="31185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517" cy="3137107"/>
                    </a:xfrm>
                    <a:prstGeom prst="rect">
                      <a:avLst/>
                    </a:prstGeom>
                  </pic:spPr>
                </pic:pic>
              </a:graphicData>
            </a:graphic>
          </wp:inline>
        </w:drawing>
      </w:r>
    </w:p>
    <w:p w14:paraId="7CAE12A7" w14:textId="632D3C9A" w:rsidR="00F53286" w:rsidRPr="009F1C15" w:rsidRDefault="004F0C8B" w:rsidP="004F0C8B">
      <w:pPr>
        <w:pStyle w:val="MDPI51figurecaption"/>
      </w:pPr>
      <w:r w:rsidRPr="009F1C15">
        <w:rPr>
          <w:b/>
          <w:bCs/>
        </w:rPr>
        <w:t xml:space="preserve">Figure 2. </w:t>
      </w:r>
      <w:r w:rsidR="00F53286" w:rsidRPr="009F1C15">
        <w:t>PRISMA diagram of the trial selection process.</w:t>
      </w:r>
    </w:p>
    <w:p w14:paraId="5303BD53" w14:textId="50A677E9" w:rsidR="00593259" w:rsidRPr="009F1C15" w:rsidRDefault="00423104" w:rsidP="00B73BC2">
      <w:pPr>
        <w:pStyle w:val="MDPI22heading2"/>
        <w:spacing w:before="240"/>
      </w:pPr>
      <w:r w:rsidRPr="009F1C15">
        <w:t xml:space="preserve">3.1. </w:t>
      </w:r>
      <w:r w:rsidR="00593259" w:rsidRPr="009F1C15">
        <w:t xml:space="preserve">Characteristics of </w:t>
      </w:r>
      <w:r w:rsidRPr="009F1C15">
        <w:t xml:space="preserve">Included </w:t>
      </w:r>
      <w:r w:rsidR="00593259" w:rsidRPr="009F1C15">
        <w:t>RCTs</w:t>
      </w:r>
    </w:p>
    <w:p w14:paraId="08A118F6" w14:textId="77777777" w:rsidR="00B55A4A" w:rsidRPr="009F1C15" w:rsidRDefault="00593259" w:rsidP="00F5336F">
      <w:pPr>
        <w:pStyle w:val="MDPI31text"/>
      </w:pPr>
      <w:r w:rsidRPr="009F1C15">
        <w:lastRenderedPageBreak/>
        <w:t xml:space="preserve">There was heterogeneity of clinical presentations included in the trials, endpoint definitions and treatment with CABG or PCI (Tables 1 and 2). The trial-defined composite endpoint was not uniform in the RCTs, as highlighted in bold in Table 1. </w:t>
      </w:r>
      <w:proofErr w:type="spellStart"/>
      <w:r w:rsidRPr="009F1C15">
        <w:t>Revascularisation</w:t>
      </w:r>
      <w:proofErr w:type="spellEnd"/>
      <w:r w:rsidRPr="009F1C15">
        <w:t xml:space="preserve"> was exclusively with CABG in two RCTs (FARGO [Fractional Flow Reserve Versus Angiography Randomization for Graft Optimization] and GRAFFITI [Graft Patency After FFR-Guided Versus Angio-Guided CABG])</w:t>
      </w:r>
      <w:r w:rsidR="00C07A74" w:rsidRPr="009F1C15">
        <w:t xml:space="preserve"> [</w:t>
      </w:r>
      <w:r w:rsidRPr="009F1C15">
        <w:rPr>
          <w:noProof/>
        </w:rPr>
        <w:t>5,6</w:t>
      </w:r>
      <w:r w:rsidR="00C07A74" w:rsidRPr="009F1C15">
        <w:rPr>
          <w:noProof/>
        </w:rPr>
        <w:t>]</w:t>
      </w:r>
      <w:r w:rsidRPr="009F1C15">
        <w:t xml:space="preserve">. By contrast, </w:t>
      </w:r>
      <w:proofErr w:type="spellStart"/>
      <w:r w:rsidRPr="009F1C15">
        <w:t>revascularisation</w:t>
      </w:r>
      <w:proofErr w:type="spellEnd"/>
      <w:r w:rsidRPr="009F1C15">
        <w:t xml:space="preserve"> was exclusively with PCI in three RCTs (FRAME-AMI, FAME, FLOWER-MI [Flow Evaluation to Guide </w:t>
      </w:r>
      <w:proofErr w:type="spellStart"/>
      <w:r w:rsidRPr="009F1C15">
        <w:t>Revascularisation</w:t>
      </w:r>
      <w:proofErr w:type="spellEnd"/>
      <w:r w:rsidRPr="009F1C15">
        <w:t xml:space="preserve"> in Multivessel ST-elevation Myocardial Infarction])</w:t>
      </w:r>
      <w:r w:rsidR="001D4C54" w:rsidRPr="009F1C15">
        <w:t xml:space="preserve"> [</w:t>
      </w:r>
      <w:r w:rsidRPr="009F1C15">
        <w:rPr>
          <w:noProof/>
        </w:rPr>
        <w:t>2,3,7</w:t>
      </w:r>
      <w:r w:rsidR="001D4C54" w:rsidRPr="009F1C15">
        <w:rPr>
          <w:noProof/>
        </w:rPr>
        <w:t>]</w:t>
      </w:r>
      <w:r w:rsidRPr="009F1C15">
        <w:t xml:space="preserve">. </w:t>
      </w:r>
      <w:proofErr w:type="spellStart"/>
      <w:r w:rsidRPr="009F1C15">
        <w:t>Revascularisation</w:t>
      </w:r>
      <w:proofErr w:type="spellEnd"/>
      <w:r w:rsidRPr="009F1C15">
        <w:t xml:space="preserve"> was predominantly with PCI in the remaining three included trials (RIPCORD-2, FAMOUS-NSTEMI [Fractional Flow Reserve Versus Angiographically Guided Management to </w:t>
      </w:r>
      <w:proofErr w:type="spellStart"/>
      <w:r w:rsidRPr="009F1C15">
        <w:t>Optimise</w:t>
      </w:r>
      <w:proofErr w:type="spellEnd"/>
      <w:r w:rsidRPr="009F1C15">
        <w:t xml:space="preserve"> Outcomes in Unstable Coronary Syndromes], FUTURE [Functional Testing Underlying Coronary </w:t>
      </w:r>
      <w:proofErr w:type="spellStart"/>
      <w:r w:rsidRPr="009F1C15">
        <w:t>Revascularisation</w:t>
      </w:r>
      <w:proofErr w:type="spellEnd"/>
      <w:r w:rsidRPr="009F1C15">
        <w:t>])</w:t>
      </w:r>
      <w:r w:rsidR="00F9261E" w:rsidRPr="009F1C15">
        <w:t xml:space="preserve"> [</w:t>
      </w:r>
      <w:r w:rsidRPr="009F1C15">
        <w:rPr>
          <w:noProof/>
        </w:rPr>
        <w:t>4,8,12</w:t>
      </w:r>
      <w:r w:rsidR="00F9261E" w:rsidRPr="009F1C15">
        <w:rPr>
          <w:noProof/>
        </w:rPr>
        <w:t>]</w:t>
      </w:r>
      <w:r w:rsidRPr="009F1C15">
        <w:t>. In general, there was low risk of bias across the included RCTs (Figure</w:t>
      </w:r>
      <w:r w:rsidR="00354AAD" w:rsidRPr="009F1C15">
        <w:t xml:space="preserve"> 1)</w:t>
      </w:r>
      <w:r w:rsidR="00B55A4A" w:rsidRPr="009F1C15">
        <w:t>.</w:t>
      </w:r>
    </w:p>
    <w:p w14:paraId="594F757F" w14:textId="5041D54F" w:rsidR="00D23E2C" w:rsidRPr="009F1C15" w:rsidRDefault="00D23E2C" w:rsidP="00F5336F">
      <w:pPr>
        <w:pStyle w:val="MDPI31text"/>
        <w:sectPr w:rsidR="00D23E2C" w:rsidRPr="009F1C15" w:rsidSect="00AE2DE1">
          <w:headerReference w:type="even" r:id="rId19"/>
          <w:headerReference w:type="default" r:id="rId20"/>
          <w:footerReference w:type="default" r:id="rId21"/>
          <w:headerReference w:type="first" r:id="rId22"/>
          <w:footerReference w:type="first" r:id="rId23"/>
          <w:pgSz w:w="11906" w:h="16838" w:code="9"/>
          <w:pgMar w:top="1418" w:right="720" w:bottom="1077" w:left="720" w:header="1021" w:footer="340" w:gutter="0"/>
          <w:pgNumType w:start="1"/>
          <w:cols w:space="425"/>
          <w:titlePg/>
          <w:bidi/>
          <w:docGrid w:type="linesAndChars" w:linePitch="326"/>
        </w:sectPr>
      </w:pPr>
    </w:p>
    <w:p w14:paraId="27DB1A8A" w14:textId="192D0067" w:rsidR="00AC1E78" w:rsidRPr="009F1C15" w:rsidRDefault="00F5336F" w:rsidP="00F5336F">
      <w:pPr>
        <w:pStyle w:val="MDPI41tablecaption"/>
        <w:rPr>
          <w:rFonts w:eastAsiaTheme="minorHAnsi"/>
          <w:lang w:val="en-GB"/>
        </w:rPr>
      </w:pPr>
      <w:r w:rsidRPr="009F1C15">
        <w:rPr>
          <w:rFonts w:eastAsiaTheme="minorHAnsi"/>
          <w:b/>
          <w:bCs/>
          <w:lang w:val="en-GB"/>
        </w:rPr>
        <w:lastRenderedPageBreak/>
        <w:t xml:space="preserve">Table 1. </w:t>
      </w:r>
      <w:r w:rsidR="00AC1E78" w:rsidRPr="009F1C15">
        <w:rPr>
          <w:rFonts w:eastAsiaTheme="minorHAnsi"/>
          <w:lang w:val="en-GB"/>
        </w:rPr>
        <w:t>Characteristics of RCTs, comparing FFR with angiography, for guiding revascularisation.</w:t>
      </w:r>
    </w:p>
    <w:tbl>
      <w:tblPr>
        <w:tblStyle w:val="TableGrid"/>
        <w:tblW w:w="5000" w:type="pct"/>
        <w:tblBorders>
          <w:top w:val="single" w:sz="8" w:space="0" w:color="auto"/>
          <w:left w:val="none" w:sz="0" w:space="0" w:color="auto"/>
          <w:bottom w:val="single" w:sz="8"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085"/>
        <w:gridCol w:w="995"/>
        <w:gridCol w:w="1210"/>
        <w:gridCol w:w="1743"/>
        <w:gridCol w:w="1875"/>
        <w:gridCol w:w="1210"/>
        <w:gridCol w:w="1608"/>
        <w:gridCol w:w="4672"/>
      </w:tblGrid>
      <w:tr w:rsidR="00AC1E78" w:rsidRPr="009F1C15" w14:paraId="573972BF" w14:textId="77777777" w:rsidTr="000A5C77">
        <w:tc>
          <w:tcPr>
            <w:tcW w:w="677" w:type="pct"/>
            <w:tcBorders>
              <w:top w:val="single" w:sz="4" w:space="0" w:color="auto"/>
              <w:bottom w:val="single" w:sz="4" w:space="0" w:color="auto"/>
            </w:tcBorders>
            <w:shd w:val="clear" w:color="auto" w:fill="auto"/>
            <w:vAlign w:val="center"/>
          </w:tcPr>
          <w:p w14:paraId="117E4167" w14:textId="77777777" w:rsidR="00AC1E78" w:rsidRPr="009F1C15" w:rsidRDefault="00AC1E78" w:rsidP="000A5C77">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Study</w:t>
            </w:r>
          </w:p>
        </w:tc>
        <w:tc>
          <w:tcPr>
            <w:tcW w:w="323" w:type="pct"/>
            <w:tcBorders>
              <w:top w:val="single" w:sz="4" w:space="0" w:color="auto"/>
              <w:bottom w:val="single" w:sz="4" w:space="0" w:color="auto"/>
            </w:tcBorders>
            <w:shd w:val="clear" w:color="auto" w:fill="auto"/>
            <w:vAlign w:val="center"/>
          </w:tcPr>
          <w:p w14:paraId="339FC00B" w14:textId="77777777"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Year</w:t>
            </w:r>
          </w:p>
          <w:p w14:paraId="1297459C" w14:textId="62A06F64" w:rsidR="00AC1E78" w:rsidRPr="009F1C15" w:rsidRDefault="00751744"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Published</w:t>
            </w:r>
          </w:p>
        </w:tc>
        <w:tc>
          <w:tcPr>
            <w:tcW w:w="393" w:type="pct"/>
            <w:tcBorders>
              <w:top w:val="single" w:sz="4" w:space="0" w:color="auto"/>
              <w:bottom w:val="single" w:sz="4" w:space="0" w:color="auto"/>
            </w:tcBorders>
            <w:shd w:val="clear" w:color="auto" w:fill="auto"/>
            <w:vAlign w:val="center"/>
          </w:tcPr>
          <w:p w14:paraId="50561C75" w14:textId="77777777"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Enrolment</w:t>
            </w:r>
          </w:p>
          <w:p w14:paraId="128E837B" w14:textId="48F52742" w:rsidR="00AC1E78" w:rsidRPr="009F1C15" w:rsidRDefault="00751744"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Centres</w:t>
            </w:r>
          </w:p>
        </w:tc>
        <w:tc>
          <w:tcPr>
            <w:tcW w:w="566" w:type="pct"/>
            <w:tcBorders>
              <w:top w:val="single" w:sz="4" w:space="0" w:color="auto"/>
              <w:bottom w:val="single" w:sz="4" w:space="0" w:color="auto"/>
            </w:tcBorders>
            <w:shd w:val="clear" w:color="auto" w:fill="auto"/>
            <w:vAlign w:val="center"/>
          </w:tcPr>
          <w:p w14:paraId="0056CA66" w14:textId="77777777"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Participants</w:t>
            </w:r>
          </w:p>
          <w:p w14:paraId="1C9F4DD3" w14:textId="32812310"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 xml:space="preserve">and </w:t>
            </w:r>
            <w:r w:rsidR="00751744" w:rsidRPr="009F1C15">
              <w:rPr>
                <w:rFonts w:eastAsiaTheme="minorHAnsi"/>
                <w:b/>
                <w:bCs/>
                <w:noProof w:val="0"/>
                <w:color w:val="auto"/>
                <w:szCs w:val="22"/>
                <w:lang w:val="en-GB" w:eastAsia="en-US"/>
              </w:rPr>
              <w:t>Presentation</w:t>
            </w:r>
          </w:p>
        </w:tc>
        <w:tc>
          <w:tcPr>
            <w:tcW w:w="609" w:type="pct"/>
            <w:tcBorders>
              <w:top w:val="single" w:sz="4" w:space="0" w:color="auto"/>
              <w:bottom w:val="single" w:sz="4" w:space="0" w:color="auto"/>
            </w:tcBorders>
            <w:shd w:val="clear" w:color="auto" w:fill="auto"/>
            <w:vAlign w:val="center"/>
          </w:tcPr>
          <w:p w14:paraId="267955EC" w14:textId="4DAFBD10"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 xml:space="preserve">Primary </w:t>
            </w:r>
            <w:r w:rsidR="00751744" w:rsidRPr="009F1C15">
              <w:rPr>
                <w:rFonts w:eastAsiaTheme="minorHAnsi"/>
                <w:b/>
                <w:bCs/>
                <w:noProof w:val="0"/>
                <w:color w:val="auto"/>
                <w:szCs w:val="22"/>
                <w:lang w:val="en-GB" w:eastAsia="en-US"/>
              </w:rPr>
              <w:t>Endpoint</w:t>
            </w:r>
          </w:p>
        </w:tc>
        <w:tc>
          <w:tcPr>
            <w:tcW w:w="393" w:type="pct"/>
            <w:tcBorders>
              <w:top w:val="single" w:sz="4" w:space="0" w:color="auto"/>
              <w:bottom w:val="single" w:sz="4" w:space="0" w:color="auto"/>
            </w:tcBorders>
            <w:shd w:val="clear" w:color="auto" w:fill="auto"/>
            <w:vAlign w:val="center"/>
          </w:tcPr>
          <w:p w14:paraId="17E1FE6D" w14:textId="3DA21318"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Follow-</w:t>
            </w:r>
            <w:r w:rsidR="00C30505" w:rsidRPr="009F1C15">
              <w:rPr>
                <w:rFonts w:eastAsiaTheme="minorHAnsi"/>
                <w:b/>
                <w:bCs/>
                <w:noProof w:val="0"/>
                <w:color w:val="auto"/>
                <w:szCs w:val="22"/>
                <w:lang w:val="en-GB" w:eastAsia="en-US"/>
              </w:rPr>
              <w:t>Up</w:t>
            </w:r>
          </w:p>
          <w:p w14:paraId="53EA5E35" w14:textId="76DB3A51"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w:t>
            </w:r>
            <w:r w:rsidR="00751744" w:rsidRPr="009F1C15">
              <w:rPr>
                <w:rFonts w:eastAsiaTheme="minorHAnsi"/>
                <w:b/>
                <w:bCs/>
                <w:noProof w:val="0"/>
                <w:color w:val="auto"/>
                <w:szCs w:val="22"/>
                <w:lang w:val="en-GB" w:eastAsia="en-US"/>
              </w:rPr>
              <w:t>Years</w:t>
            </w:r>
            <w:r w:rsidRPr="009F1C15">
              <w:rPr>
                <w:rFonts w:eastAsiaTheme="minorHAnsi"/>
                <w:b/>
                <w:bCs/>
                <w:noProof w:val="0"/>
                <w:color w:val="auto"/>
                <w:szCs w:val="22"/>
                <w:lang w:val="en-GB" w:eastAsia="en-US"/>
              </w:rPr>
              <w:t>)</w:t>
            </w:r>
          </w:p>
        </w:tc>
        <w:tc>
          <w:tcPr>
            <w:tcW w:w="522" w:type="pct"/>
            <w:tcBorders>
              <w:top w:val="single" w:sz="4" w:space="0" w:color="auto"/>
              <w:bottom w:val="single" w:sz="4" w:space="0" w:color="auto"/>
            </w:tcBorders>
            <w:shd w:val="clear" w:color="auto" w:fill="auto"/>
            <w:vAlign w:val="center"/>
          </w:tcPr>
          <w:p w14:paraId="2188DB5B" w14:textId="77777777" w:rsidR="000004BA"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 xml:space="preserve">Loss to </w:t>
            </w:r>
          </w:p>
          <w:p w14:paraId="612D0373" w14:textId="0D200C69" w:rsidR="00AC1E78" w:rsidRPr="009F1C15" w:rsidRDefault="00751744"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Follow</w:t>
            </w:r>
            <w:r w:rsidR="00AC1E78" w:rsidRPr="009F1C15">
              <w:rPr>
                <w:rFonts w:eastAsiaTheme="minorHAnsi"/>
                <w:b/>
                <w:bCs/>
                <w:noProof w:val="0"/>
                <w:color w:val="auto"/>
                <w:szCs w:val="22"/>
                <w:lang w:val="en-GB" w:eastAsia="en-US"/>
              </w:rPr>
              <w:t>-</w:t>
            </w:r>
          </w:p>
          <w:p w14:paraId="16EA37B5" w14:textId="1A721312" w:rsidR="00AC1E78" w:rsidRPr="009F1C15" w:rsidRDefault="00C30505"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Up</w:t>
            </w:r>
            <w:r w:rsidR="00AC1E78" w:rsidRPr="009F1C15">
              <w:rPr>
                <w:rFonts w:eastAsiaTheme="minorHAnsi"/>
                <w:b/>
                <w:bCs/>
                <w:noProof w:val="0"/>
                <w:color w:val="auto"/>
                <w:szCs w:val="22"/>
                <w:lang w:val="en-GB" w:eastAsia="en-US"/>
              </w:rPr>
              <w:t>, n (%)</w:t>
            </w:r>
          </w:p>
        </w:tc>
        <w:tc>
          <w:tcPr>
            <w:tcW w:w="1517" w:type="pct"/>
            <w:shd w:val="clear" w:color="auto" w:fill="auto"/>
            <w:vAlign w:val="center"/>
          </w:tcPr>
          <w:p w14:paraId="3267E7EE" w14:textId="77777777" w:rsidR="00AC1E78" w:rsidRPr="009F1C15" w:rsidRDefault="00AC1E78" w:rsidP="00AC1E78">
            <w:pPr>
              <w:autoSpaceDE w:val="0"/>
              <w:autoSpaceDN w:val="0"/>
              <w:adjustRightInd w:val="0"/>
              <w:snapToGrid w:val="0"/>
              <w:spacing w:line="240" w:lineRule="auto"/>
              <w:jc w:val="center"/>
              <w:rPr>
                <w:rFonts w:eastAsiaTheme="minorHAnsi"/>
                <w:b/>
                <w:bCs/>
                <w:noProof w:val="0"/>
                <w:color w:val="auto"/>
                <w:szCs w:val="22"/>
                <w:lang w:val="en-GB" w:eastAsia="en-US"/>
              </w:rPr>
            </w:pPr>
            <w:r w:rsidRPr="009F1C15">
              <w:rPr>
                <w:rFonts w:eastAsiaTheme="minorHAnsi"/>
                <w:b/>
                <w:bCs/>
                <w:noProof w:val="0"/>
                <w:color w:val="auto"/>
                <w:szCs w:val="22"/>
                <w:lang w:val="en-GB" w:eastAsia="en-US"/>
              </w:rPr>
              <w:t>Findings</w:t>
            </w:r>
          </w:p>
        </w:tc>
      </w:tr>
      <w:tr w:rsidR="00AC1E78" w:rsidRPr="009F1C15" w14:paraId="4F849837" w14:textId="77777777" w:rsidTr="000A5C77">
        <w:tc>
          <w:tcPr>
            <w:tcW w:w="677" w:type="pct"/>
            <w:tcBorders>
              <w:top w:val="single" w:sz="4" w:space="0" w:color="auto"/>
            </w:tcBorders>
            <w:shd w:val="clear" w:color="auto" w:fill="auto"/>
            <w:vAlign w:val="center"/>
          </w:tcPr>
          <w:p w14:paraId="51F3E8B2" w14:textId="2364B028" w:rsidR="00AC1E78"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FRAME-AMI</w:t>
            </w:r>
            <w:r w:rsidR="00751744" w:rsidRPr="009F1C15">
              <w:rPr>
                <w:rFonts w:eastAsiaTheme="minorHAnsi"/>
                <w:bCs/>
                <w:noProof w:val="0"/>
                <w:color w:val="auto"/>
                <w:szCs w:val="22"/>
                <w:lang w:val="en-GB" w:eastAsia="en-US"/>
              </w:rPr>
              <w:t xml:space="preserve"> </w:t>
            </w:r>
            <w:r w:rsidR="00751744" w:rsidRPr="009F1C15">
              <w:rPr>
                <w:rFonts w:eastAsiaTheme="minorHAnsi"/>
                <w:noProof w:val="0"/>
                <w:color w:val="auto"/>
                <w:szCs w:val="22"/>
                <w:lang w:val="en-GB" w:eastAsia="en-US"/>
              </w:rPr>
              <w:t>[</w:t>
            </w:r>
            <w:r w:rsidRPr="009F1C15">
              <w:rPr>
                <w:rFonts w:eastAsiaTheme="minorHAnsi"/>
                <w:color w:val="auto"/>
                <w:szCs w:val="22"/>
                <w:lang w:val="en-GB" w:eastAsia="en-US"/>
              </w:rPr>
              <w:t>3</w:t>
            </w:r>
            <w:r w:rsidR="00751744" w:rsidRPr="009F1C15">
              <w:rPr>
                <w:rFonts w:eastAsiaTheme="minorHAnsi"/>
                <w:noProof w:val="0"/>
                <w:color w:val="auto"/>
                <w:szCs w:val="22"/>
                <w:lang w:val="en-GB" w:eastAsia="en-US"/>
              </w:rPr>
              <w:t>]</w:t>
            </w:r>
          </w:p>
          <w:p w14:paraId="1532D04E" w14:textId="7777777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(NCT02715518)</w:t>
            </w:r>
          </w:p>
        </w:tc>
        <w:tc>
          <w:tcPr>
            <w:tcW w:w="323" w:type="pct"/>
            <w:tcBorders>
              <w:top w:val="single" w:sz="4" w:space="0" w:color="auto"/>
            </w:tcBorders>
            <w:shd w:val="clear" w:color="auto" w:fill="auto"/>
            <w:vAlign w:val="center"/>
          </w:tcPr>
          <w:p w14:paraId="596DF96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2022</w:t>
            </w:r>
          </w:p>
        </w:tc>
        <w:tc>
          <w:tcPr>
            <w:tcW w:w="393" w:type="pct"/>
            <w:tcBorders>
              <w:top w:val="single" w:sz="4" w:space="0" w:color="auto"/>
            </w:tcBorders>
            <w:shd w:val="clear" w:color="auto" w:fill="auto"/>
            <w:vAlign w:val="center"/>
          </w:tcPr>
          <w:p w14:paraId="6B06DA8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14 sites in</w:t>
            </w:r>
          </w:p>
          <w:p w14:paraId="00FA90F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Korea</w:t>
            </w:r>
          </w:p>
        </w:tc>
        <w:tc>
          <w:tcPr>
            <w:tcW w:w="566" w:type="pct"/>
            <w:tcBorders>
              <w:top w:val="single" w:sz="4" w:space="0" w:color="auto"/>
            </w:tcBorders>
            <w:shd w:val="clear" w:color="auto" w:fill="auto"/>
            <w:vAlign w:val="center"/>
          </w:tcPr>
          <w:p w14:paraId="2798FDD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562 patients</w:t>
            </w:r>
          </w:p>
          <w:p w14:paraId="33502430"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(STEMI/</w:t>
            </w:r>
          </w:p>
          <w:p w14:paraId="2489120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NSTEMI)</w:t>
            </w:r>
          </w:p>
        </w:tc>
        <w:tc>
          <w:tcPr>
            <w:tcW w:w="609" w:type="pct"/>
            <w:tcBorders>
              <w:top w:val="single" w:sz="4" w:space="0" w:color="auto"/>
            </w:tcBorders>
            <w:shd w:val="clear" w:color="auto" w:fill="auto"/>
            <w:vAlign w:val="center"/>
          </w:tcPr>
          <w:p w14:paraId="39865F4B"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MACE defined as</w:t>
            </w:r>
          </w:p>
          <w:p w14:paraId="730284E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the composite of</w:t>
            </w:r>
          </w:p>
          <w:p w14:paraId="42B2043C"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death, MI, or unplanned revascularisation</w:t>
            </w:r>
          </w:p>
        </w:tc>
        <w:tc>
          <w:tcPr>
            <w:tcW w:w="393" w:type="pct"/>
            <w:tcBorders>
              <w:top w:val="single" w:sz="4" w:space="0" w:color="auto"/>
            </w:tcBorders>
            <w:shd w:val="clear" w:color="auto" w:fill="auto"/>
            <w:vAlign w:val="center"/>
          </w:tcPr>
          <w:p w14:paraId="42595C1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3.5</w:t>
            </w:r>
          </w:p>
        </w:tc>
        <w:tc>
          <w:tcPr>
            <w:tcW w:w="522" w:type="pct"/>
            <w:tcBorders>
              <w:top w:val="single" w:sz="4" w:space="0" w:color="auto"/>
            </w:tcBorders>
            <w:shd w:val="clear" w:color="auto" w:fill="auto"/>
            <w:vAlign w:val="center"/>
          </w:tcPr>
          <w:p w14:paraId="792FE16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0.4</w:t>
            </w:r>
          </w:p>
        </w:tc>
        <w:tc>
          <w:tcPr>
            <w:tcW w:w="1517" w:type="pct"/>
            <w:shd w:val="clear" w:color="auto" w:fill="auto"/>
            <w:vAlign w:val="center"/>
          </w:tcPr>
          <w:p w14:paraId="3CE846CD"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Lower </w:t>
            </w:r>
            <w:r w:rsidRPr="009F1C15">
              <w:rPr>
                <w:rFonts w:eastAsiaTheme="minorHAnsi"/>
                <w:bCs/>
                <w:noProof w:val="0"/>
                <w:color w:val="auto"/>
                <w:szCs w:val="22"/>
                <w:lang w:val="en-GB" w:eastAsia="en-US"/>
              </w:rPr>
              <w:t xml:space="preserve">composite rates of death, MI, or </w:t>
            </w:r>
            <w:r w:rsidRPr="009F1C15">
              <w:rPr>
                <w:rFonts w:eastAsiaTheme="minorHAnsi"/>
                <w:noProof w:val="0"/>
                <w:color w:val="auto"/>
                <w:szCs w:val="22"/>
                <w:lang w:val="en-GB" w:eastAsia="en-US"/>
              </w:rPr>
              <w:t>unplanned</w:t>
            </w:r>
            <w:r w:rsidRPr="009F1C15" w:rsidDel="0060402F">
              <w:rPr>
                <w:rFonts w:eastAsiaTheme="minorHAnsi"/>
                <w:bCs/>
                <w:noProof w:val="0"/>
                <w:color w:val="auto"/>
                <w:szCs w:val="22"/>
                <w:lang w:val="en-GB" w:eastAsia="en-US"/>
              </w:rPr>
              <w:t xml:space="preserve"> </w:t>
            </w:r>
            <w:r w:rsidRPr="009F1C15">
              <w:rPr>
                <w:rFonts w:eastAsiaTheme="minorHAnsi"/>
                <w:bCs/>
                <w:noProof w:val="0"/>
                <w:color w:val="auto"/>
                <w:szCs w:val="22"/>
                <w:lang w:val="en-GB" w:eastAsia="en-US"/>
              </w:rPr>
              <w:t>revascularisation</w:t>
            </w:r>
            <w:r w:rsidRPr="009F1C15">
              <w:rPr>
                <w:rFonts w:eastAsiaTheme="minorHAnsi"/>
                <w:noProof w:val="0"/>
                <w:color w:val="auto"/>
                <w:szCs w:val="22"/>
                <w:lang w:val="en-GB" w:eastAsia="en-US"/>
              </w:rPr>
              <w:t xml:space="preserve"> with FFR-guidance vs.</w:t>
            </w:r>
          </w:p>
          <w:p w14:paraId="35F0FA78"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angiography-guidance (7.4% vs. 19.7%, hazard ratio:</w:t>
            </w:r>
          </w:p>
          <w:p w14:paraId="78C598D2" w14:textId="6C2B3BFE"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0.43 [95% CI: 0.25, 0.75] </w:t>
            </w:r>
            <w:r w:rsidRPr="009F1C15">
              <w:rPr>
                <w:rFonts w:eastAsiaTheme="minorHAnsi"/>
                <w:i/>
                <w:iCs/>
                <w:noProof w:val="0"/>
                <w:color w:val="auto"/>
                <w:szCs w:val="22"/>
                <w:lang w:val="en-GB" w:eastAsia="en-US"/>
              </w:rPr>
              <w:t>p</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0.003)</w:t>
            </w:r>
          </w:p>
        </w:tc>
      </w:tr>
      <w:tr w:rsidR="00AC1E78" w:rsidRPr="009F1C15" w14:paraId="462AD254" w14:textId="77777777" w:rsidTr="000A5C77">
        <w:tc>
          <w:tcPr>
            <w:tcW w:w="677" w:type="pct"/>
            <w:shd w:val="clear" w:color="auto" w:fill="auto"/>
            <w:vAlign w:val="center"/>
          </w:tcPr>
          <w:p w14:paraId="7B062943" w14:textId="3669F756" w:rsidR="00751744"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RIPCORD-2</w:t>
            </w:r>
          </w:p>
          <w:p w14:paraId="2CD04D6C" w14:textId="7ADC9327" w:rsidR="00AC1E78" w:rsidRPr="009F1C15" w:rsidRDefault="00751744"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w:t>
            </w:r>
            <w:r w:rsidR="00AC1E78" w:rsidRPr="009F1C15">
              <w:rPr>
                <w:rFonts w:eastAsiaTheme="minorHAnsi"/>
                <w:color w:val="auto"/>
                <w:szCs w:val="22"/>
                <w:lang w:val="en-GB" w:eastAsia="en-US"/>
              </w:rPr>
              <w:t>4</w:t>
            </w:r>
            <w:r w:rsidRPr="009F1C15">
              <w:rPr>
                <w:rFonts w:eastAsiaTheme="minorHAnsi"/>
                <w:color w:val="auto"/>
                <w:szCs w:val="22"/>
                <w:lang w:val="en-GB" w:eastAsia="en-US"/>
              </w:rPr>
              <w:t>]</w:t>
            </w:r>
          </w:p>
          <w:p w14:paraId="4E370119" w14:textId="7777777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(NCT02892903)</w:t>
            </w:r>
          </w:p>
        </w:tc>
        <w:tc>
          <w:tcPr>
            <w:tcW w:w="323" w:type="pct"/>
            <w:shd w:val="clear" w:color="auto" w:fill="auto"/>
            <w:vAlign w:val="center"/>
          </w:tcPr>
          <w:p w14:paraId="2F320642"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2022</w:t>
            </w:r>
          </w:p>
        </w:tc>
        <w:tc>
          <w:tcPr>
            <w:tcW w:w="393" w:type="pct"/>
            <w:shd w:val="clear" w:color="auto" w:fill="auto"/>
            <w:vAlign w:val="center"/>
          </w:tcPr>
          <w:p w14:paraId="2D26D43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17 sites in</w:t>
            </w:r>
          </w:p>
          <w:p w14:paraId="45A80B56"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United</w:t>
            </w:r>
          </w:p>
          <w:p w14:paraId="3A876ED0" w14:textId="47BCD0FB" w:rsidR="00AC1E78" w:rsidRPr="009F1C15" w:rsidRDefault="00AC1E78" w:rsidP="00C30505">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Kingdom</w:t>
            </w:r>
          </w:p>
        </w:tc>
        <w:tc>
          <w:tcPr>
            <w:tcW w:w="566" w:type="pct"/>
            <w:shd w:val="clear" w:color="auto" w:fill="auto"/>
            <w:vAlign w:val="center"/>
          </w:tcPr>
          <w:p w14:paraId="78B2EA1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1100 patients</w:t>
            </w:r>
          </w:p>
          <w:p w14:paraId="02CB6DF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(stable angina/</w:t>
            </w:r>
          </w:p>
          <w:p w14:paraId="51466F1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NSTEMI)</w:t>
            </w:r>
          </w:p>
        </w:tc>
        <w:tc>
          <w:tcPr>
            <w:tcW w:w="609" w:type="pct"/>
            <w:shd w:val="clear" w:color="auto" w:fill="auto"/>
            <w:vAlign w:val="center"/>
          </w:tcPr>
          <w:p w14:paraId="16201DA6"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Total hospital cost</w:t>
            </w:r>
          </w:p>
          <w:p w14:paraId="691E297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and quality of life</w:t>
            </w:r>
          </w:p>
        </w:tc>
        <w:tc>
          <w:tcPr>
            <w:tcW w:w="393" w:type="pct"/>
            <w:shd w:val="clear" w:color="auto" w:fill="auto"/>
            <w:vAlign w:val="center"/>
          </w:tcPr>
          <w:p w14:paraId="4528C079"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w:t>
            </w:r>
          </w:p>
        </w:tc>
        <w:tc>
          <w:tcPr>
            <w:tcW w:w="522" w:type="pct"/>
            <w:shd w:val="clear" w:color="auto" w:fill="auto"/>
            <w:vAlign w:val="center"/>
          </w:tcPr>
          <w:p w14:paraId="476CB56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0.3</w:t>
            </w:r>
          </w:p>
        </w:tc>
        <w:tc>
          <w:tcPr>
            <w:tcW w:w="1517" w:type="pct"/>
            <w:shd w:val="clear" w:color="auto" w:fill="auto"/>
            <w:vAlign w:val="center"/>
          </w:tcPr>
          <w:p w14:paraId="3078FDC6"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No difference in median hospital costs or quality of</w:t>
            </w:r>
          </w:p>
          <w:p w14:paraId="2CAC7357"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life for FFR-guidance vs. angiography-guidance. </w:t>
            </w:r>
          </w:p>
          <w:p w14:paraId="7BC131E0"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noProof w:val="0"/>
                <w:color w:val="auto"/>
                <w:szCs w:val="22"/>
                <w:lang w:val="en-GB" w:eastAsia="en-US"/>
              </w:rPr>
              <w:t xml:space="preserve">No difference in the </w:t>
            </w:r>
            <w:r w:rsidRPr="009F1C15">
              <w:rPr>
                <w:rFonts w:eastAsiaTheme="minorHAnsi"/>
                <w:bCs/>
                <w:noProof w:val="0"/>
                <w:color w:val="auto"/>
                <w:szCs w:val="22"/>
                <w:lang w:val="en-GB" w:eastAsia="en-US"/>
              </w:rPr>
              <w:t>composite of death, stroke, MI,</w:t>
            </w:r>
          </w:p>
          <w:p w14:paraId="3DA369F8"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bCs/>
                <w:noProof w:val="0"/>
                <w:color w:val="auto"/>
                <w:szCs w:val="22"/>
                <w:lang w:val="en-GB" w:eastAsia="en-US"/>
              </w:rPr>
              <w:t xml:space="preserve">or </w:t>
            </w:r>
            <w:r w:rsidRPr="009F1C15">
              <w:rPr>
                <w:rFonts w:eastAsiaTheme="minorHAnsi"/>
                <w:noProof w:val="0"/>
                <w:color w:val="auto"/>
                <w:szCs w:val="22"/>
                <w:lang w:val="en-GB" w:eastAsia="en-US"/>
              </w:rPr>
              <w:t>unplanned</w:t>
            </w:r>
            <w:r w:rsidRPr="009F1C15">
              <w:rPr>
                <w:rFonts w:eastAsiaTheme="minorHAnsi"/>
                <w:bCs/>
                <w:noProof w:val="0"/>
                <w:color w:val="auto"/>
                <w:szCs w:val="22"/>
                <w:lang w:val="en-GB" w:eastAsia="en-US"/>
              </w:rPr>
              <w:t xml:space="preserve"> revascularisation</w:t>
            </w:r>
            <w:r w:rsidRPr="009F1C15">
              <w:rPr>
                <w:rFonts w:eastAsiaTheme="minorHAnsi"/>
                <w:noProof w:val="0"/>
                <w:color w:val="auto"/>
                <w:szCs w:val="22"/>
                <w:lang w:val="en-GB" w:eastAsia="en-US"/>
              </w:rPr>
              <w:t xml:space="preserve"> for FFR-guidance </w:t>
            </w:r>
          </w:p>
          <w:p w14:paraId="412511DB" w14:textId="6BF43ADD"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vs. angiography-guidance (9.5% vs. 8.7%, </w:t>
            </w:r>
            <w:r w:rsidRPr="009F1C15">
              <w:rPr>
                <w:rFonts w:eastAsiaTheme="minorHAnsi"/>
                <w:i/>
                <w:iCs/>
                <w:noProof w:val="0"/>
                <w:color w:val="auto"/>
                <w:szCs w:val="22"/>
                <w:lang w:val="en-GB" w:eastAsia="en-US"/>
              </w:rPr>
              <w:t>p</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0.064).</w:t>
            </w:r>
          </w:p>
        </w:tc>
      </w:tr>
      <w:tr w:rsidR="00AC1E78" w:rsidRPr="009F1C15" w14:paraId="6DF65659" w14:textId="77777777" w:rsidTr="000A5C77">
        <w:tc>
          <w:tcPr>
            <w:tcW w:w="677" w:type="pct"/>
            <w:shd w:val="clear" w:color="auto" w:fill="auto"/>
            <w:vAlign w:val="center"/>
          </w:tcPr>
          <w:p w14:paraId="73D3BD33" w14:textId="1B7F39E4" w:rsidR="00AC1E78"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FAME 5 year</w:t>
            </w:r>
            <w:r w:rsidR="00751744" w:rsidRPr="009F1C15">
              <w:rPr>
                <w:rFonts w:eastAsiaTheme="minorHAnsi"/>
                <w:bCs/>
                <w:noProof w:val="0"/>
                <w:color w:val="auto"/>
                <w:szCs w:val="22"/>
                <w:lang w:val="en-GB" w:eastAsia="en-US"/>
              </w:rPr>
              <w:t xml:space="preserve"> </w:t>
            </w:r>
            <w:r w:rsidR="00751744" w:rsidRPr="009F1C15">
              <w:rPr>
                <w:rFonts w:eastAsiaTheme="minorHAnsi"/>
                <w:noProof w:val="0"/>
                <w:color w:val="auto"/>
                <w:szCs w:val="22"/>
                <w:lang w:val="en-GB" w:eastAsia="en-US"/>
              </w:rPr>
              <w:t>[</w:t>
            </w:r>
            <w:r w:rsidRPr="009F1C15">
              <w:rPr>
                <w:rFonts w:eastAsiaTheme="minorHAnsi"/>
                <w:color w:val="auto"/>
                <w:szCs w:val="22"/>
                <w:lang w:val="en-GB" w:eastAsia="en-US"/>
              </w:rPr>
              <w:t>2</w:t>
            </w:r>
            <w:r w:rsidR="00751744" w:rsidRPr="009F1C15">
              <w:rPr>
                <w:rFonts w:eastAsiaTheme="minorHAnsi"/>
                <w:color w:val="auto"/>
                <w:szCs w:val="22"/>
                <w:lang w:val="en-GB" w:eastAsia="en-US"/>
              </w:rPr>
              <w:t>]</w:t>
            </w:r>
          </w:p>
          <w:p w14:paraId="1D0E41D2" w14:textId="7777777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(NCT00267774)</w:t>
            </w:r>
          </w:p>
        </w:tc>
        <w:tc>
          <w:tcPr>
            <w:tcW w:w="323" w:type="pct"/>
            <w:shd w:val="clear" w:color="auto" w:fill="auto"/>
            <w:vAlign w:val="center"/>
          </w:tcPr>
          <w:p w14:paraId="46FFC52B"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2015</w:t>
            </w:r>
          </w:p>
        </w:tc>
        <w:tc>
          <w:tcPr>
            <w:tcW w:w="393" w:type="pct"/>
            <w:shd w:val="clear" w:color="auto" w:fill="auto"/>
            <w:vAlign w:val="center"/>
          </w:tcPr>
          <w:p w14:paraId="5D3BDF15"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 sites in</w:t>
            </w:r>
          </w:p>
          <w:p w14:paraId="5CEA080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the United</w:t>
            </w:r>
          </w:p>
          <w:p w14:paraId="19423DB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States and</w:t>
            </w:r>
          </w:p>
          <w:p w14:paraId="1D45B10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Europe</w:t>
            </w:r>
          </w:p>
        </w:tc>
        <w:tc>
          <w:tcPr>
            <w:tcW w:w="566" w:type="pct"/>
            <w:shd w:val="clear" w:color="auto" w:fill="auto"/>
            <w:vAlign w:val="center"/>
          </w:tcPr>
          <w:p w14:paraId="15A436F4"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1005 patients</w:t>
            </w:r>
          </w:p>
          <w:p w14:paraId="57DCDBF9"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(stable/ unstable</w:t>
            </w:r>
          </w:p>
          <w:p w14:paraId="4EEFB52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Angina)</w:t>
            </w:r>
          </w:p>
        </w:tc>
        <w:tc>
          <w:tcPr>
            <w:tcW w:w="609" w:type="pct"/>
            <w:shd w:val="clear" w:color="auto" w:fill="auto"/>
            <w:vAlign w:val="center"/>
          </w:tcPr>
          <w:p w14:paraId="5D065165"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MACE defined as</w:t>
            </w:r>
          </w:p>
          <w:p w14:paraId="566D658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the composite of</w:t>
            </w:r>
          </w:p>
          <w:p w14:paraId="3DDDFEE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death, MI, or unplanned</w:t>
            </w:r>
          </w:p>
          <w:p w14:paraId="0889E474"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revascularisation</w:t>
            </w:r>
          </w:p>
        </w:tc>
        <w:tc>
          <w:tcPr>
            <w:tcW w:w="393" w:type="pct"/>
            <w:shd w:val="clear" w:color="auto" w:fill="auto"/>
            <w:vAlign w:val="center"/>
          </w:tcPr>
          <w:p w14:paraId="2D0DF08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5</w:t>
            </w:r>
          </w:p>
        </w:tc>
        <w:tc>
          <w:tcPr>
            <w:tcW w:w="522" w:type="pct"/>
            <w:shd w:val="clear" w:color="auto" w:fill="auto"/>
            <w:vAlign w:val="center"/>
          </w:tcPr>
          <w:p w14:paraId="0AD0982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7.5</w:t>
            </w:r>
          </w:p>
        </w:tc>
        <w:tc>
          <w:tcPr>
            <w:tcW w:w="1517" w:type="pct"/>
            <w:shd w:val="clear" w:color="auto" w:fill="auto"/>
            <w:vAlign w:val="center"/>
          </w:tcPr>
          <w:p w14:paraId="7F6AADDE"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noProof w:val="0"/>
                <w:color w:val="auto"/>
                <w:szCs w:val="22"/>
                <w:lang w:val="en-GB" w:eastAsia="en-US"/>
              </w:rPr>
              <w:t xml:space="preserve">At 5 years, no difference in </w:t>
            </w:r>
            <w:r w:rsidRPr="009F1C15">
              <w:rPr>
                <w:rFonts w:eastAsiaTheme="minorHAnsi"/>
                <w:bCs/>
                <w:noProof w:val="0"/>
                <w:color w:val="auto"/>
                <w:szCs w:val="22"/>
                <w:lang w:val="en-GB" w:eastAsia="en-US"/>
              </w:rPr>
              <w:t xml:space="preserve">the composite of death, </w:t>
            </w:r>
          </w:p>
          <w:p w14:paraId="3A9D0E57"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bCs/>
                <w:noProof w:val="0"/>
                <w:color w:val="auto"/>
                <w:szCs w:val="22"/>
                <w:lang w:val="en-GB" w:eastAsia="en-US"/>
              </w:rPr>
              <w:t xml:space="preserve">MI, or </w:t>
            </w:r>
            <w:r w:rsidRPr="009F1C15">
              <w:rPr>
                <w:rFonts w:eastAsiaTheme="minorHAnsi"/>
                <w:noProof w:val="0"/>
                <w:color w:val="auto"/>
                <w:szCs w:val="22"/>
                <w:lang w:val="en-GB" w:eastAsia="en-US"/>
              </w:rPr>
              <w:t>unplanned</w:t>
            </w:r>
            <w:r w:rsidRPr="009F1C15">
              <w:rPr>
                <w:rFonts w:eastAsiaTheme="minorHAnsi"/>
                <w:bCs/>
                <w:noProof w:val="0"/>
                <w:color w:val="auto"/>
                <w:szCs w:val="22"/>
                <w:lang w:val="en-GB" w:eastAsia="en-US"/>
              </w:rPr>
              <w:t xml:space="preserve"> revascularisation</w:t>
            </w:r>
            <w:r w:rsidRPr="009F1C15">
              <w:rPr>
                <w:rFonts w:eastAsiaTheme="minorHAnsi"/>
                <w:noProof w:val="0"/>
                <w:color w:val="auto"/>
                <w:szCs w:val="22"/>
                <w:lang w:val="en-GB" w:eastAsia="en-US"/>
              </w:rPr>
              <w:t xml:space="preserve"> with FFR</w:t>
            </w:r>
          </w:p>
          <w:p w14:paraId="363C00A3"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-guidance vs. angiography-guidance (28% vs. 31%,</w:t>
            </w:r>
          </w:p>
          <w:p w14:paraId="36F14FAC" w14:textId="29C5AA4C"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relative risk: 0.91 [95% CI: 0.75, 1.10] </w:t>
            </w:r>
            <w:r w:rsidRPr="009F1C15">
              <w:rPr>
                <w:rFonts w:eastAsiaTheme="minorHAnsi"/>
                <w:i/>
                <w:iCs/>
                <w:noProof w:val="0"/>
                <w:color w:val="auto"/>
                <w:szCs w:val="22"/>
                <w:lang w:val="en-GB" w:eastAsia="en-US"/>
              </w:rPr>
              <w:t>p</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0.31).</w:t>
            </w:r>
          </w:p>
          <w:p w14:paraId="6DCE3E4A"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At 2 years, MACE was lower with FFR-guidance vs.</w:t>
            </w:r>
          </w:p>
          <w:p w14:paraId="1C389632"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angiography-guidance.</w:t>
            </w:r>
          </w:p>
          <w:p w14:paraId="4A5FF314"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Number of stents implanted per patient was lower</w:t>
            </w:r>
          </w:p>
          <w:p w14:paraId="5DFD1444"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with FFR-guidance vs. angiography-guidance (mean</w:t>
            </w:r>
          </w:p>
          <w:p w14:paraId="50FF51EA" w14:textId="79960AAA"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1.9</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1.3 vs. 2.7</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 xml:space="preserve">1.2, </w:t>
            </w:r>
            <w:r w:rsidRPr="009F1C15">
              <w:rPr>
                <w:rFonts w:eastAsiaTheme="minorHAnsi"/>
                <w:i/>
                <w:iCs/>
                <w:noProof w:val="0"/>
                <w:color w:val="auto"/>
                <w:szCs w:val="22"/>
                <w:lang w:val="en-GB" w:eastAsia="en-US"/>
              </w:rPr>
              <w:t>p</w:t>
            </w:r>
            <w:r w:rsidRPr="009F1C15">
              <w:rPr>
                <w:rFonts w:eastAsiaTheme="minorHAnsi"/>
                <w:noProof w:val="0"/>
                <w:color w:val="auto"/>
                <w:szCs w:val="22"/>
                <w:lang w:val="en-GB" w:eastAsia="en-US"/>
              </w:rPr>
              <w:t>&lt;</w:t>
            </w:r>
            <w:r w:rsidR="00751744"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0.0001).</w:t>
            </w:r>
          </w:p>
        </w:tc>
      </w:tr>
      <w:tr w:rsidR="00AC1E78" w:rsidRPr="009F1C15" w14:paraId="4994EB10" w14:textId="77777777" w:rsidTr="000A5C77">
        <w:tc>
          <w:tcPr>
            <w:tcW w:w="677" w:type="pct"/>
            <w:shd w:val="clear" w:color="auto" w:fill="auto"/>
            <w:vAlign w:val="center"/>
          </w:tcPr>
          <w:p w14:paraId="1E5B7418" w14:textId="623B804B" w:rsidR="00AC1E78"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FARGO</w:t>
            </w:r>
            <w:r w:rsidR="00751744" w:rsidRPr="009F1C15">
              <w:rPr>
                <w:rFonts w:eastAsiaTheme="minorHAnsi"/>
                <w:bCs/>
                <w:noProof w:val="0"/>
                <w:color w:val="auto"/>
                <w:szCs w:val="22"/>
                <w:lang w:val="en-GB" w:eastAsia="en-US"/>
              </w:rPr>
              <w:t xml:space="preserve"> </w:t>
            </w:r>
            <w:r w:rsidR="00751744" w:rsidRPr="009F1C15">
              <w:rPr>
                <w:rFonts w:eastAsiaTheme="minorHAnsi"/>
                <w:noProof w:val="0"/>
                <w:color w:val="auto"/>
                <w:szCs w:val="22"/>
                <w:lang w:val="en-GB" w:eastAsia="en-US"/>
              </w:rPr>
              <w:t>[</w:t>
            </w:r>
            <w:r w:rsidRPr="009F1C15">
              <w:rPr>
                <w:rFonts w:eastAsiaTheme="minorHAnsi"/>
                <w:color w:val="auto"/>
                <w:szCs w:val="22"/>
                <w:lang w:val="en-GB" w:eastAsia="en-US"/>
              </w:rPr>
              <w:t>5</w:t>
            </w:r>
            <w:r w:rsidR="00751744" w:rsidRPr="009F1C15">
              <w:rPr>
                <w:rFonts w:eastAsiaTheme="minorHAnsi"/>
                <w:color w:val="auto"/>
                <w:szCs w:val="22"/>
                <w:lang w:val="en-GB" w:eastAsia="en-US"/>
              </w:rPr>
              <w:t>]</w:t>
            </w:r>
          </w:p>
          <w:p w14:paraId="35817597" w14:textId="7777777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(NCT02477371)</w:t>
            </w:r>
          </w:p>
        </w:tc>
        <w:tc>
          <w:tcPr>
            <w:tcW w:w="323" w:type="pct"/>
            <w:shd w:val="clear" w:color="auto" w:fill="auto"/>
            <w:vAlign w:val="center"/>
          </w:tcPr>
          <w:p w14:paraId="4288F686"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2018</w:t>
            </w:r>
          </w:p>
        </w:tc>
        <w:tc>
          <w:tcPr>
            <w:tcW w:w="393" w:type="pct"/>
            <w:shd w:val="clear" w:color="auto" w:fill="auto"/>
            <w:vAlign w:val="center"/>
          </w:tcPr>
          <w:p w14:paraId="1B66564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3 sites in</w:t>
            </w:r>
          </w:p>
          <w:p w14:paraId="40080B2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Denmark</w:t>
            </w:r>
          </w:p>
        </w:tc>
        <w:tc>
          <w:tcPr>
            <w:tcW w:w="566" w:type="pct"/>
            <w:shd w:val="clear" w:color="auto" w:fill="auto"/>
            <w:vAlign w:val="center"/>
          </w:tcPr>
          <w:p w14:paraId="0FA1981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100 patients</w:t>
            </w:r>
          </w:p>
          <w:p w14:paraId="45545C8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(stable angina/</w:t>
            </w:r>
          </w:p>
          <w:p w14:paraId="506FA840"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NSTEMI)</w:t>
            </w:r>
          </w:p>
        </w:tc>
        <w:tc>
          <w:tcPr>
            <w:tcW w:w="609" w:type="pct"/>
            <w:shd w:val="clear" w:color="auto" w:fill="auto"/>
            <w:vAlign w:val="center"/>
          </w:tcPr>
          <w:p w14:paraId="669671F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Graft failure in the</w:t>
            </w:r>
          </w:p>
          <w:p w14:paraId="349F2550"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percentage of all</w:t>
            </w:r>
          </w:p>
          <w:p w14:paraId="58674F5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grafts</w:t>
            </w:r>
          </w:p>
        </w:tc>
        <w:tc>
          <w:tcPr>
            <w:tcW w:w="393" w:type="pct"/>
            <w:shd w:val="clear" w:color="auto" w:fill="auto"/>
            <w:vAlign w:val="center"/>
          </w:tcPr>
          <w:p w14:paraId="0E5ACDC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0.5</w:t>
            </w:r>
          </w:p>
        </w:tc>
        <w:tc>
          <w:tcPr>
            <w:tcW w:w="522" w:type="pct"/>
            <w:shd w:val="clear" w:color="auto" w:fill="auto"/>
            <w:vAlign w:val="center"/>
          </w:tcPr>
          <w:p w14:paraId="4C957F6C"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0.0 (for MACE)</w:t>
            </w:r>
          </w:p>
          <w:p w14:paraId="03273CD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25.0 (for</w:t>
            </w:r>
          </w:p>
          <w:p w14:paraId="1355099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angiogram</w:t>
            </w:r>
          </w:p>
          <w:p w14:paraId="405E0D19"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follow-up at 6</w:t>
            </w:r>
          </w:p>
          <w:p w14:paraId="732952B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months)</w:t>
            </w:r>
          </w:p>
        </w:tc>
        <w:tc>
          <w:tcPr>
            <w:tcW w:w="1517" w:type="pct"/>
            <w:shd w:val="clear" w:color="auto" w:fill="auto"/>
            <w:vAlign w:val="center"/>
          </w:tcPr>
          <w:p w14:paraId="13583AFD"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No difference in graft failure rates with FFR</w:t>
            </w:r>
          </w:p>
          <w:p w14:paraId="3ADBA80B"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guidance vs. angiography-guidance (16% vs. 12%,</w:t>
            </w:r>
          </w:p>
          <w:p w14:paraId="17CA8750" w14:textId="07D1BA85"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i/>
                <w:iCs/>
                <w:noProof w:val="0"/>
                <w:color w:val="auto"/>
                <w:szCs w:val="22"/>
                <w:lang w:val="en-GB" w:eastAsia="en-US"/>
              </w:rPr>
              <w:t>p</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0.97).</w:t>
            </w:r>
          </w:p>
          <w:p w14:paraId="0CDF4CAB"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noProof w:val="0"/>
                <w:color w:val="auto"/>
                <w:szCs w:val="22"/>
                <w:lang w:val="en-GB" w:eastAsia="en-US"/>
              </w:rPr>
              <w:t xml:space="preserve">No difference in the </w:t>
            </w:r>
            <w:r w:rsidRPr="009F1C15">
              <w:rPr>
                <w:rFonts w:eastAsiaTheme="minorHAnsi"/>
                <w:bCs/>
                <w:noProof w:val="0"/>
                <w:color w:val="auto"/>
                <w:szCs w:val="22"/>
                <w:lang w:val="en-GB" w:eastAsia="en-US"/>
              </w:rPr>
              <w:t>composite of death,</w:t>
            </w:r>
          </w:p>
          <w:p w14:paraId="6D8CE15C"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bCs/>
                <w:noProof w:val="0"/>
                <w:color w:val="auto"/>
                <w:szCs w:val="22"/>
                <w:lang w:val="en-GB" w:eastAsia="en-US"/>
              </w:rPr>
              <w:t xml:space="preserve">nonprocedural MI, </w:t>
            </w:r>
            <w:r w:rsidRPr="009F1C15">
              <w:rPr>
                <w:rFonts w:eastAsiaTheme="minorHAnsi"/>
                <w:noProof w:val="0"/>
                <w:color w:val="auto"/>
                <w:szCs w:val="22"/>
                <w:lang w:val="en-GB" w:eastAsia="en-US"/>
              </w:rPr>
              <w:t>unplanned</w:t>
            </w:r>
            <w:r w:rsidRPr="009F1C15">
              <w:rPr>
                <w:rFonts w:eastAsiaTheme="minorHAnsi"/>
                <w:bCs/>
                <w:noProof w:val="0"/>
                <w:color w:val="auto"/>
                <w:szCs w:val="22"/>
                <w:lang w:val="en-GB" w:eastAsia="en-US"/>
              </w:rPr>
              <w:t xml:space="preserve"> revascularisation and</w:t>
            </w:r>
          </w:p>
          <w:p w14:paraId="50AE6AD3"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bCs/>
                <w:noProof w:val="0"/>
                <w:color w:val="auto"/>
                <w:szCs w:val="22"/>
                <w:lang w:val="en-GB" w:eastAsia="en-US"/>
              </w:rPr>
              <w:t xml:space="preserve">stroke </w:t>
            </w:r>
            <w:r w:rsidRPr="009F1C15">
              <w:rPr>
                <w:rFonts w:eastAsiaTheme="minorHAnsi"/>
                <w:noProof w:val="0"/>
                <w:color w:val="auto"/>
                <w:szCs w:val="22"/>
                <w:lang w:val="en-GB" w:eastAsia="en-US"/>
              </w:rPr>
              <w:t>with FFR-guidance vs. angiography-guidance</w:t>
            </w:r>
          </w:p>
          <w:p w14:paraId="4E4509C7" w14:textId="0F4D3463"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(12% vs. 12%, </w:t>
            </w:r>
            <w:r w:rsidRPr="009F1C15">
              <w:rPr>
                <w:rFonts w:eastAsiaTheme="minorHAnsi"/>
                <w:i/>
                <w:iCs/>
                <w:noProof w:val="0"/>
                <w:color w:val="auto"/>
                <w:szCs w:val="22"/>
                <w:lang w:val="en-GB" w:eastAsia="en-US"/>
              </w:rPr>
              <w:t>p</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0.97).</w:t>
            </w:r>
          </w:p>
        </w:tc>
      </w:tr>
      <w:tr w:rsidR="00AC1E78" w:rsidRPr="009F1C15" w14:paraId="435F21D8" w14:textId="77777777" w:rsidTr="000A5C77">
        <w:tc>
          <w:tcPr>
            <w:tcW w:w="677" w:type="pct"/>
            <w:shd w:val="clear" w:color="auto" w:fill="auto"/>
            <w:vAlign w:val="center"/>
          </w:tcPr>
          <w:p w14:paraId="4E83A9C3" w14:textId="2C148252" w:rsidR="00751744"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GRAFFITI</w:t>
            </w:r>
          </w:p>
          <w:p w14:paraId="710AA17F" w14:textId="6B95023C" w:rsidR="00AC1E78" w:rsidRPr="009F1C15" w:rsidRDefault="00751744"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w:t>
            </w:r>
            <w:r w:rsidR="00AC1E78" w:rsidRPr="009F1C15">
              <w:rPr>
                <w:rFonts w:eastAsiaTheme="minorHAnsi"/>
                <w:color w:val="auto"/>
                <w:szCs w:val="22"/>
                <w:lang w:val="en-GB" w:eastAsia="en-US"/>
              </w:rPr>
              <w:t>6</w:t>
            </w:r>
            <w:r w:rsidRPr="009F1C15">
              <w:rPr>
                <w:rFonts w:eastAsiaTheme="minorHAnsi"/>
                <w:color w:val="auto"/>
                <w:szCs w:val="22"/>
                <w:lang w:val="en-GB" w:eastAsia="en-US"/>
              </w:rPr>
              <w:t>]</w:t>
            </w:r>
          </w:p>
          <w:p w14:paraId="6E5920D6" w14:textId="78AAEBBA"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(NCT01810224)</w:t>
            </w:r>
          </w:p>
        </w:tc>
        <w:tc>
          <w:tcPr>
            <w:tcW w:w="323" w:type="pct"/>
            <w:shd w:val="clear" w:color="auto" w:fill="auto"/>
            <w:vAlign w:val="center"/>
          </w:tcPr>
          <w:p w14:paraId="6C4DB49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2019</w:t>
            </w:r>
          </w:p>
        </w:tc>
        <w:tc>
          <w:tcPr>
            <w:tcW w:w="393" w:type="pct"/>
            <w:shd w:val="clear" w:color="auto" w:fill="auto"/>
            <w:vAlign w:val="center"/>
          </w:tcPr>
          <w:p w14:paraId="7C14FE35"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6 sites in</w:t>
            </w:r>
          </w:p>
          <w:p w14:paraId="4C6927D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Europe</w:t>
            </w:r>
          </w:p>
        </w:tc>
        <w:tc>
          <w:tcPr>
            <w:tcW w:w="566" w:type="pct"/>
            <w:shd w:val="clear" w:color="auto" w:fill="auto"/>
            <w:vAlign w:val="center"/>
          </w:tcPr>
          <w:p w14:paraId="792B7026"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172 patients</w:t>
            </w:r>
          </w:p>
          <w:p w14:paraId="127A4F5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(stable angina/</w:t>
            </w:r>
          </w:p>
          <w:p w14:paraId="7942F8B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NSTEMI)</w:t>
            </w:r>
          </w:p>
        </w:tc>
        <w:tc>
          <w:tcPr>
            <w:tcW w:w="609" w:type="pct"/>
            <w:shd w:val="clear" w:color="auto" w:fill="auto"/>
            <w:vAlign w:val="center"/>
          </w:tcPr>
          <w:p w14:paraId="194DBB6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Graft occlusion</w:t>
            </w:r>
          </w:p>
        </w:tc>
        <w:tc>
          <w:tcPr>
            <w:tcW w:w="393" w:type="pct"/>
            <w:shd w:val="clear" w:color="auto" w:fill="auto"/>
            <w:vAlign w:val="center"/>
          </w:tcPr>
          <w:p w14:paraId="561B8715"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w:t>
            </w:r>
          </w:p>
        </w:tc>
        <w:tc>
          <w:tcPr>
            <w:tcW w:w="522" w:type="pct"/>
            <w:shd w:val="clear" w:color="auto" w:fill="auto"/>
            <w:vAlign w:val="center"/>
          </w:tcPr>
          <w:p w14:paraId="791A059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1.7 (for MACE)</w:t>
            </w:r>
          </w:p>
          <w:p w14:paraId="4CA87A46"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35.5 (for</w:t>
            </w:r>
          </w:p>
          <w:p w14:paraId="7667B2B5"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Coronary</w:t>
            </w:r>
          </w:p>
          <w:p w14:paraId="033FBD72"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imaging follow-</w:t>
            </w:r>
          </w:p>
          <w:p w14:paraId="3F538346"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up at 6 months)</w:t>
            </w:r>
          </w:p>
          <w:p w14:paraId="01DFEB8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p>
        </w:tc>
        <w:tc>
          <w:tcPr>
            <w:tcW w:w="1517" w:type="pct"/>
            <w:shd w:val="clear" w:color="auto" w:fill="auto"/>
            <w:vAlign w:val="center"/>
          </w:tcPr>
          <w:p w14:paraId="065A5A88"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No difference in graft failure rates with FFR-</w:t>
            </w:r>
          </w:p>
          <w:p w14:paraId="534FBC65"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lastRenderedPageBreak/>
              <w:t>guidance vs. angiography-guidance (19% vs. 20%,</w:t>
            </w:r>
          </w:p>
          <w:p w14:paraId="34FB46E0" w14:textId="578DAFB5"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i/>
                <w:iCs/>
                <w:noProof w:val="0"/>
                <w:color w:val="auto"/>
                <w:szCs w:val="22"/>
                <w:lang w:val="en-GB" w:eastAsia="en-US"/>
              </w:rPr>
              <w:t>p</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0.885).</w:t>
            </w:r>
          </w:p>
          <w:p w14:paraId="314DECE0"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No difference in the </w:t>
            </w:r>
            <w:r w:rsidRPr="009F1C15">
              <w:rPr>
                <w:rFonts w:eastAsiaTheme="minorHAnsi"/>
                <w:bCs/>
                <w:noProof w:val="0"/>
                <w:color w:val="auto"/>
                <w:szCs w:val="22"/>
                <w:lang w:val="en-GB" w:eastAsia="en-US"/>
              </w:rPr>
              <w:t xml:space="preserve">composite of death, MI, </w:t>
            </w:r>
            <w:r w:rsidRPr="009F1C15">
              <w:rPr>
                <w:rFonts w:eastAsiaTheme="minorHAnsi"/>
                <w:noProof w:val="0"/>
                <w:color w:val="auto"/>
                <w:szCs w:val="22"/>
                <w:lang w:val="en-GB" w:eastAsia="en-US"/>
              </w:rPr>
              <w:t>unplanned</w:t>
            </w:r>
            <w:r w:rsidRPr="009F1C15">
              <w:rPr>
                <w:rFonts w:eastAsiaTheme="minorHAnsi"/>
                <w:bCs/>
                <w:noProof w:val="0"/>
                <w:color w:val="auto"/>
                <w:szCs w:val="22"/>
                <w:lang w:val="en-GB" w:eastAsia="en-US"/>
              </w:rPr>
              <w:t xml:space="preserve"> revascularisation and stroke </w:t>
            </w:r>
            <w:r w:rsidRPr="009F1C15">
              <w:rPr>
                <w:rFonts w:eastAsiaTheme="minorHAnsi"/>
                <w:noProof w:val="0"/>
                <w:color w:val="auto"/>
                <w:szCs w:val="22"/>
                <w:lang w:val="en-GB" w:eastAsia="en-US"/>
              </w:rPr>
              <w:t xml:space="preserve">with FFR-guidance vs. </w:t>
            </w:r>
          </w:p>
          <w:p w14:paraId="15851010"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angiography-guidance (3.7% vs. 7.1%, hazard ratio: </w:t>
            </w:r>
          </w:p>
          <w:p w14:paraId="2CC6029E" w14:textId="737E9443"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1.28 [95% CI: 0.39, 4.16], </w:t>
            </w:r>
            <w:r w:rsidRPr="009F1C15">
              <w:rPr>
                <w:rFonts w:eastAsiaTheme="minorHAnsi"/>
                <w:i/>
                <w:iCs/>
                <w:noProof w:val="0"/>
                <w:color w:val="auto"/>
                <w:szCs w:val="22"/>
                <w:lang w:val="en-GB" w:eastAsia="en-US"/>
              </w:rPr>
              <w:t>p</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347E56"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0.687).</w:t>
            </w:r>
          </w:p>
        </w:tc>
      </w:tr>
      <w:tr w:rsidR="00AC1E78" w:rsidRPr="009F1C15" w14:paraId="67A07609" w14:textId="77777777" w:rsidTr="000A5C77">
        <w:tc>
          <w:tcPr>
            <w:tcW w:w="677" w:type="pct"/>
            <w:shd w:val="clear" w:color="auto" w:fill="auto"/>
            <w:vAlign w:val="center"/>
          </w:tcPr>
          <w:p w14:paraId="33A22905" w14:textId="77777777" w:rsidR="00AC1E78"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lastRenderedPageBreak/>
              <w:t>FAMOUS-</w:t>
            </w:r>
          </w:p>
          <w:p w14:paraId="632FA5CE" w14:textId="35F8AE2C" w:rsidR="00751744"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NSTEMI</w:t>
            </w:r>
          </w:p>
          <w:p w14:paraId="6F0C7E94" w14:textId="203E9BC3" w:rsidR="00AC1E78" w:rsidRPr="009F1C15" w:rsidRDefault="00751744"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w:t>
            </w:r>
            <w:r w:rsidR="00AC1E78" w:rsidRPr="009F1C15">
              <w:rPr>
                <w:rFonts w:eastAsiaTheme="minorHAnsi"/>
                <w:color w:val="auto"/>
                <w:szCs w:val="22"/>
                <w:lang w:val="en-GB" w:eastAsia="en-US"/>
              </w:rPr>
              <w:t>12</w:t>
            </w:r>
            <w:r w:rsidRPr="009F1C15">
              <w:rPr>
                <w:rFonts w:eastAsiaTheme="minorHAnsi"/>
                <w:color w:val="auto"/>
                <w:szCs w:val="22"/>
                <w:lang w:val="en-GB" w:eastAsia="en-US"/>
              </w:rPr>
              <w:t>]</w:t>
            </w:r>
          </w:p>
          <w:p w14:paraId="4D60E4D5" w14:textId="7777777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(NCT01764334)</w:t>
            </w:r>
          </w:p>
        </w:tc>
        <w:tc>
          <w:tcPr>
            <w:tcW w:w="323" w:type="pct"/>
            <w:shd w:val="clear" w:color="auto" w:fill="auto"/>
            <w:vAlign w:val="center"/>
          </w:tcPr>
          <w:p w14:paraId="19379CF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2014</w:t>
            </w:r>
          </w:p>
        </w:tc>
        <w:tc>
          <w:tcPr>
            <w:tcW w:w="393" w:type="pct"/>
            <w:shd w:val="clear" w:color="auto" w:fill="auto"/>
            <w:vAlign w:val="center"/>
          </w:tcPr>
          <w:p w14:paraId="058D848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6 sites in</w:t>
            </w:r>
          </w:p>
          <w:p w14:paraId="2122E06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the United</w:t>
            </w:r>
          </w:p>
          <w:p w14:paraId="5206A3D5"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Kingdom</w:t>
            </w:r>
          </w:p>
        </w:tc>
        <w:tc>
          <w:tcPr>
            <w:tcW w:w="566" w:type="pct"/>
            <w:shd w:val="clear" w:color="auto" w:fill="auto"/>
            <w:vAlign w:val="center"/>
          </w:tcPr>
          <w:p w14:paraId="63C7FDD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350 patients</w:t>
            </w:r>
          </w:p>
          <w:p w14:paraId="0A62FF2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(NSTEMI)</w:t>
            </w:r>
          </w:p>
        </w:tc>
        <w:tc>
          <w:tcPr>
            <w:tcW w:w="609" w:type="pct"/>
            <w:shd w:val="clear" w:color="auto" w:fill="auto"/>
            <w:vAlign w:val="center"/>
          </w:tcPr>
          <w:p w14:paraId="12E4067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Proportion of</w:t>
            </w:r>
          </w:p>
          <w:p w14:paraId="50D7CD2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patients allocated to</w:t>
            </w:r>
          </w:p>
          <w:p w14:paraId="01E6428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medical</w:t>
            </w:r>
          </w:p>
          <w:p w14:paraId="799354C9"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management</w:t>
            </w:r>
          </w:p>
        </w:tc>
        <w:tc>
          <w:tcPr>
            <w:tcW w:w="393" w:type="pct"/>
            <w:shd w:val="clear" w:color="auto" w:fill="auto"/>
            <w:vAlign w:val="center"/>
          </w:tcPr>
          <w:p w14:paraId="2428AD1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w:t>
            </w:r>
          </w:p>
        </w:tc>
        <w:tc>
          <w:tcPr>
            <w:tcW w:w="522" w:type="pct"/>
            <w:shd w:val="clear" w:color="auto" w:fill="auto"/>
            <w:vAlign w:val="center"/>
          </w:tcPr>
          <w:p w14:paraId="47861950"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0.0</w:t>
            </w:r>
          </w:p>
        </w:tc>
        <w:tc>
          <w:tcPr>
            <w:tcW w:w="1517" w:type="pct"/>
            <w:shd w:val="clear" w:color="auto" w:fill="auto"/>
            <w:vAlign w:val="center"/>
          </w:tcPr>
          <w:p w14:paraId="7E85DB7D"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Higher proportion of patients initially treated by</w:t>
            </w:r>
          </w:p>
          <w:p w14:paraId="70424AE9"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medical therapy with FFR-guidance vs. angiography</w:t>
            </w:r>
          </w:p>
          <w:p w14:paraId="3A40BA44" w14:textId="3DBBEF09"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guidance (22.7% vs. 13.2%, </w:t>
            </w:r>
            <w:r w:rsidRPr="009F1C15">
              <w:rPr>
                <w:rFonts w:eastAsiaTheme="minorHAnsi"/>
                <w:i/>
                <w:iCs/>
                <w:noProof w:val="0"/>
                <w:color w:val="auto"/>
                <w:szCs w:val="22"/>
                <w:lang w:val="en-GB" w:eastAsia="en-US"/>
              </w:rPr>
              <w:t>p</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0.022).</w:t>
            </w:r>
          </w:p>
          <w:p w14:paraId="28A4E33E"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noProof w:val="0"/>
                <w:color w:val="auto"/>
                <w:szCs w:val="22"/>
                <w:lang w:val="en-GB" w:eastAsia="en-US"/>
              </w:rPr>
              <w:t xml:space="preserve">No difference in the </w:t>
            </w:r>
            <w:r w:rsidRPr="009F1C15">
              <w:rPr>
                <w:rFonts w:eastAsiaTheme="minorHAnsi"/>
                <w:bCs/>
                <w:noProof w:val="0"/>
                <w:color w:val="auto"/>
                <w:szCs w:val="22"/>
                <w:lang w:val="en-GB" w:eastAsia="en-US"/>
              </w:rPr>
              <w:t xml:space="preserve">composite of cardiovascular </w:t>
            </w:r>
          </w:p>
          <w:p w14:paraId="58AE7B71"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bCs/>
                <w:noProof w:val="0"/>
                <w:color w:val="auto"/>
                <w:szCs w:val="22"/>
                <w:lang w:val="en-GB" w:eastAsia="en-US"/>
              </w:rPr>
              <w:t xml:space="preserve">death, MI, or unplanned hospitalisation for heart </w:t>
            </w:r>
          </w:p>
          <w:p w14:paraId="38C2878D" w14:textId="13A7D38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bCs/>
                <w:noProof w:val="0"/>
                <w:color w:val="auto"/>
                <w:szCs w:val="22"/>
                <w:lang w:val="en-GB" w:eastAsia="en-US"/>
              </w:rPr>
              <w:t>failure</w:t>
            </w:r>
            <w:r w:rsidRPr="009F1C15">
              <w:rPr>
                <w:rFonts w:eastAsiaTheme="minorHAnsi"/>
                <w:noProof w:val="0"/>
                <w:color w:val="auto"/>
                <w:szCs w:val="22"/>
                <w:lang w:val="en-GB" w:eastAsia="en-US"/>
              </w:rPr>
              <w:t xml:space="preserve"> (8.0% vs. 8.6%, risk difference </w:t>
            </w:r>
            <w:r w:rsidR="009D493D" w:rsidRPr="009F1C15">
              <w:rPr>
                <w:rFonts w:eastAsiaTheme="minorHAnsi"/>
                <w:noProof w:val="0"/>
                <w:color w:val="auto"/>
                <w:szCs w:val="22"/>
                <w:lang w:val="en-GB" w:eastAsia="en-US"/>
              </w:rPr>
              <w:t>−</w:t>
            </w:r>
            <w:r w:rsidRPr="009F1C15">
              <w:rPr>
                <w:rFonts w:eastAsiaTheme="minorHAnsi"/>
                <w:noProof w:val="0"/>
                <w:color w:val="auto"/>
                <w:szCs w:val="22"/>
                <w:lang w:val="en-GB" w:eastAsia="en-US"/>
              </w:rPr>
              <w:t xml:space="preserve">0.7% [95% </w:t>
            </w:r>
          </w:p>
          <w:p w14:paraId="19D6FC79" w14:textId="1E300762"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CI: </w:t>
            </w:r>
            <w:r w:rsidR="00347E56" w:rsidRPr="009F1C15">
              <w:rPr>
                <w:rFonts w:eastAsiaTheme="minorHAnsi"/>
                <w:noProof w:val="0"/>
                <w:color w:val="auto"/>
                <w:szCs w:val="22"/>
                <w:lang w:val="en-GB" w:eastAsia="en-US"/>
              </w:rPr>
              <w:t>−</w:t>
            </w:r>
            <w:r w:rsidRPr="009F1C15">
              <w:rPr>
                <w:rFonts w:eastAsiaTheme="minorHAnsi"/>
                <w:noProof w:val="0"/>
                <w:color w:val="auto"/>
                <w:szCs w:val="22"/>
                <w:lang w:val="en-GB" w:eastAsia="en-US"/>
              </w:rPr>
              <w:t xml:space="preserve">6.7, 5.3%] </w:t>
            </w:r>
            <w:r w:rsidRPr="009F1C15">
              <w:rPr>
                <w:rFonts w:eastAsiaTheme="minorHAnsi"/>
                <w:i/>
                <w:iCs/>
                <w:noProof w:val="0"/>
                <w:color w:val="auto"/>
                <w:szCs w:val="22"/>
                <w:lang w:val="en-GB" w:eastAsia="en-US"/>
              </w:rPr>
              <w:t>p</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0.89).</w:t>
            </w:r>
          </w:p>
        </w:tc>
      </w:tr>
      <w:tr w:rsidR="00AC1E78" w:rsidRPr="009F1C15" w14:paraId="65F3B282" w14:textId="77777777" w:rsidTr="000A5C77">
        <w:tc>
          <w:tcPr>
            <w:tcW w:w="677" w:type="pct"/>
            <w:shd w:val="clear" w:color="auto" w:fill="auto"/>
            <w:vAlign w:val="center"/>
          </w:tcPr>
          <w:p w14:paraId="29B9C48E" w14:textId="77777777" w:rsidR="00751744"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FLOWER-MI</w:t>
            </w:r>
          </w:p>
          <w:p w14:paraId="11DD2D6F" w14:textId="0E6DEA14" w:rsidR="00AC1E78" w:rsidRPr="009F1C15" w:rsidRDefault="00751744"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w:t>
            </w:r>
            <w:r w:rsidR="00AC1E78" w:rsidRPr="009F1C15">
              <w:rPr>
                <w:rFonts w:eastAsiaTheme="minorHAnsi"/>
                <w:color w:val="auto"/>
                <w:szCs w:val="22"/>
                <w:lang w:val="en-GB" w:eastAsia="en-US"/>
              </w:rPr>
              <w:t>7</w:t>
            </w:r>
            <w:r w:rsidRPr="009F1C15">
              <w:rPr>
                <w:rFonts w:eastAsiaTheme="minorHAnsi"/>
                <w:color w:val="auto"/>
                <w:szCs w:val="22"/>
                <w:lang w:val="en-GB" w:eastAsia="en-US"/>
              </w:rPr>
              <w:t>]</w:t>
            </w:r>
          </w:p>
          <w:p w14:paraId="35E50288" w14:textId="50222A1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(NCT02943954)</w:t>
            </w:r>
          </w:p>
        </w:tc>
        <w:tc>
          <w:tcPr>
            <w:tcW w:w="323" w:type="pct"/>
            <w:shd w:val="clear" w:color="auto" w:fill="auto"/>
            <w:vAlign w:val="center"/>
          </w:tcPr>
          <w:p w14:paraId="2D9EDDDE"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2021</w:t>
            </w:r>
          </w:p>
        </w:tc>
        <w:tc>
          <w:tcPr>
            <w:tcW w:w="393" w:type="pct"/>
            <w:shd w:val="clear" w:color="auto" w:fill="auto"/>
            <w:vAlign w:val="center"/>
          </w:tcPr>
          <w:p w14:paraId="42B26BE9"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41 sites in</w:t>
            </w:r>
          </w:p>
          <w:p w14:paraId="51E2907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France</w:t>
            </w:r>
          </w:p>
        </w:tc>
        <w:tc>
          <w:tcPr>
            <w:tcW w:w="566" w:type="pct"/>
            <w:shd w:val="clear" w:color="auto" w:fill="auto"/>
            <w:vAlign w:val="center"/>
          </w:tcPr>
          <w:p w14:paraId="7BCC7E90"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1163 patients</w:t>
            </w:r>
          </w:p>
          <w:p w14:paraId="6F20650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(STEMI)</w:t>
            </w:r>
          </w:p>
        </w:tc>
        <w:tc>
          <w:tcPr>
            <w:tcW w:w="609" w:type="pct"/>
            <w:shd w:val="clear" w:color="auto" w:fill="auto"/>
            <w:vAlign w:val="center"/>
          </w:tcPr>
          <w:p w14:paraId="48CFB99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MACE defined as</w:t>
            </w:r>
          </w:p>
          <w:p w14:paraId="640FDB2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the composite of</w:t>
            </w:r>
          </w:p>
          <w:p w14:paraId="4F574654"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death, MI, and</w:t>
            </w:r>
          </w:p>
          <w:p w14:paraId="6231D23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unplanned</w:t>
            </w:r>
          </w:p>
          <w:p w14:paraId="2C5A6FA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hospitalisation</w:t>
            </w:r>
          </w:p>
          <w:p w14:paraId="247B4F0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leading to urgent</w:t>
            </w:r>
          </w:p>
          <w:p w14:paraId="2993EA8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revascularisation</w:t>
            </w:r>
          </w:p>
        </w:tc>
        <w:tc>
          <w:tcPr>
            <w:tcW w:w="393" w:type="pct"/>
            <w:shd w:val="clear" w:color="auto" w:fill="auto"/>
            <w:vAlign w:val="center"/>
          </w:tcPr>
          <w:p w14:paraId="2A992A37"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w:t>
            </w:r>
          </w:p>
        </w:tc>
        <w:tc>
          <w:tcPr>
            <w:tcW w:w="522" w:type="pct"/>
            <w:shd w:val="clear" w:color="auto" w:fill="auto"/>
            <w:vAlign w:val="center"/>
          </w:tcPr>
          <w:p w14:paraId="50F54C6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0.4</w:t>
            </w:r>
          </w:p>
        </w:tc>
        <w:tc>
          <w:tcPr>
            <w:tcW w:w="1517" w:type="pct"/>
            <w:shd w:val="clear" w:color="auto" w:fill="auto"/>
            <w:vAlign w:val="center"/>
          </w:tcPr>
          <w:p w14:paraId="6D81161C"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noProof w:val="0"/>
                <w:color w:val="auto"/>
                <w:szCs w:val="22"/>
                <w:lang w:val="en-GB" w:eastAsia="en-US"/>
              </w:rPr>
              <w:t xml:space="preserve">At 5 years, no difference in </w:t>
            </w:r>
            <w:r w:rsidRPr="009F1C15">
              <w:rPr>
                <w:rFonts w:eastAsiaTheme="minorHAnsi"/>
                <w:bCs/>
                <w:noProof w:val="0"/>
                <w:color w:val="auto"/>
                <w:szCs w:val="22"/>
                <w:lang w:val="en-GB" w:eastAsia="en-US"/>
              </w:rPr>
              <w:t xml:space="preserve">the composite of death, </w:t>
            </w:r>
          </w:p>
          <w:p w14:paraId="0C3A1255"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bCs/>
                <w:noProof w:val="0"/>
                <w:color w:val="auto"/>
                <w:szCs w:val="22"/>
                <w:lang w:val="en-GB" w:eastAsia="en-US"/>
              </w:rPr>
              <w:t>MI and urgent revascularisation</w:t>
            </w:r>
            <w:r w:rsidRPr="009F1C15">
              <w:rPr>
                <w:rFonts w:eastAsiaTheme="minorHAnsi"/>
                <w:noProof w:val="0"/>
                <w:color w:val="auto"/>
                <w:szCs w:val="22"/>
                <w:lang w:val="en-GB" w:eastAsia="en-US"/>
              </w:rPr>
              <w:t xml:space="preserve"> with FFR-</w:t>
            </w:r>
          </w:p>
          <w:p w14:paraId="2ADDF88F"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guidance vs. angiography-guidance (5.5% vs. 4.2%,</w:t>
            </w:r>
          </w:p>
          <w:p w14:paraId="209549D6" w14:textId="6AB71758"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hazard ratio: 1.32 [95% CI: 0.78, 2.23] </w:t>
            </w:r>
            <w:r w:rsidRPr="009F1C15">
              <w:rPr>
                <w:rFonts w:eastAsiaTheme="minorHAnsi"/>
                <w:i/>
                <w:iCs/>
                <w:noProof w:val="0"/>
                <w:color w:val="auto"/>
                <w:szCs w:val="22"/>
                <w:lang w:val="en-GB" w:eastAsia="en-US"/>
              </w:rPr>
              <w:t>p</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0.31).</w:t>
            </w:r>
          </w:p>
          <w:p w14:paraId="1A3E5FF3"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p>
        </w:tc>
      </w:tr>
      <w:tr w:rsidR="00AC1E78" w:rsidRPr="009F1C15" w14:paraId="1ACD1BF5" w14:textId="77777777" w:rsidTr="000A5C77">
        <w:tc>
          <w:tcPr>
            <w:tcW w:w="677" w:type="pct"/>
            <w:shd w:val="clear" w:color="auto" w:fill="auto"/>
            <w:vAlign w:val="center"/>
          </w:tcPr>
          <w:p w14:paraId="25FAD2AD" w14:textId="77777777" w:rsidR="00751744" w:rsidRPr="009F1C15" w:rsidRDefault="00AC1E78" w:rsidP="000A5C77">
            <w:pPr>
              <w:autoSpaceDE w:val="0"/>
              <w:autoSpaceDN w:val="0"/>
              <w:adjustRightInd w:val="0"/>
              <w:snapToGrid w:val="0"/>
              <w:spacing w:line="240" w:lineRule="auto"/>
              <w:jc w:val="center"/>
              <w:rPr>
                <w:rFonts w:eastAsiaTheme="minorHAnsi"/>
                <w:bCs/>
                <w:noProof w:val="0"/>
                <w:color w:val="auto"/>
                <w:szCs w:val="22"/>
                <w:lang w:val="en-GB" w:eastAsia="en-US"/>
              </w:rPr>
            </w:pPr>
            <w:r w:rsidRPr="009F1C15">
              <w:rPr>
                <w:rFonts w:eastAsiaTheme="minorHAnsi"/>
                <w:bCs/>
                <w:noProof w:val="0"/>
                <w:color w:val="auto"/>
                <w:szCs w:val="22"/>
                <w:lang w:val="en-GB" w:eastAsia="en-US"/>
              </w:rPr>
              <w:t>FUTURE</w:t>
            </w:r>
          </w:p>
          <w:p w14:paraId="51141F22" w14:textId="54824E18" w:rsidR="00AC1E78" w:rsidRPr="009F1C15" w:rsidRDefault="00751744"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w:t>
            </w:r>
            <w:r w:rsidR="00AC1E78" w:rsidRPr="009F1C15">
              <w:rPr>
                <w:rFonts w:eastAsiaTheme="minorHAnsi"/>
                <w:color w:val="auto"/>
                <w:szCs w:val="22"/>
                <w:lang w:val="en-GB" w:eastAsia="en-US"/>
              </w:rPr>
              <w:t>8</w:t>
            </w:r>
            <w:r w:rsidRPr="009F1C15">
              <w:rPr>
                <w:rFonts w:eastAsiaTheme="minorHAnsi"/>
                <w:color w:val="auto"/>
                <w:szCs w:val="22"/>
                <w:lang w:val="en-GB" w:eastAsia="en-US"/>
              </w:rPr>
              <w:t>]</w:t>
            </w:r>
          </w:p>
          <w:p w14:paraId="0BFB4980" w14:textId="77777777" w:rsidR="00AC1E78" w:rsidRPr="009F1C15" w:rsidRDefault="00AC1E78" w:rsidP="000A5C77">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(NCT01881555)</w:t>
            </w:r>
          </w:p>
        </w:tc>
        <w:tc>
          <w:tcPr>
            <w:tcW w:w="323" w:type="pct"/>
            <w:shd w:val="clear" w:color="auto" w:fill="auto"/>
            <w:vAlign w:val="center"/>
          </w:tcPr>
          <w:p w14:paraId="423F676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2021</w:t>
            </w:r>
          </w:p>
        </w:tc>
        <w:tc>
          <w:tcPr>
            <w:tcW w:w="393" w:type="pct"/>
            <w:shd w:val="clear" w:color="auto" w:fill="auto"/>
            <w:vAlign w:val="center"/>
          </w:tcPr>
          <w:p w14:paraId="156F95B8"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31 sites in</w:t>
            </w:r>
          </w:p>
          <w:p w14:paraId="74CF748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France</w:t>
            </w:r>
          </w:p>
        </w:tc>
        <w:tc>
          <w:tcPr>
            <w:tcW w:w="566" w:type="pct"/>
            <w:shd w:val="clear" w:color="auto" w:fill="auto"/>
            <w:vAlign w:val="center"/>
          </w:tcPr>
          <w:p w14:paraId="55B56FB3"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927 patients</w:t>
            </w:r>
          </w:p>
          <w:p w14:paraId="2C8B032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(stable angina/</w:t>
            </w:r>
          </w:p>
          <w:p w14:paraId="6C0533A1"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ACS/ atypical</w:t>
            </w:r>
          </w:p>
          <w:p w14:paraId="1E9A8B5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chest pain/</w:t>
            </w:r>
          </w:p>
          <w:p w14:paraId="29E173EF"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silent ischaemia)</w:t>
            </w:r>
          </w:p>
        </w:tc>
        <w:tc>
          <w:tcPr>
            <w:tcW w:w="609" w:type="pct"/>
            <w:shd w:val="clear" w:color="auto" w:fill="auto"/>
            <w:vAlign w:val="center"/>
          </w:tcPr>
          <w:p w14:paraId="4929690C"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Composite of</w:t>
            </w:r>
          </w:p>
          <w:p w14:paraId="54AFC74D"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death, MI, stroke or</w:t>
            </w:r>
          </w:p>
          <w:p w14:paraId="767DBBEC"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unplanned</w:t>
            </w:r>
          </w:p>
          <w:p w14:paraId="509F3C9A"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revascularisation</w:t>
            </w:r>
          </w:p>
        </w:tc>
        <w:tc>
          <w:tcPr>
            <w:tcW w:w="393" w:type="pct"/>
            <w:shd w:val="clear" w:color="auto" w:fill="auto"/>
            <w:vAlign w:val="center"/>
          </w:tcPr>
          <w:p w14:paraId="07E4C122"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1</w:t>
            </w:r>
          </w:p>
        </w:tc>
        <w:tc>
          <w:tcPr>
            <w:tcW w:w="522" w:type="pct"/>
            <w:shd w:val="clear" w:color="auto" w:fill="auto"/>
            <w:vAlign w:val="center"/>
          </w:tcPr>
          <w:p w14:paraId="6DD1D904" w14:textId="77777777" w:rsidR="00AC1E78" w:rsidRPr="009F1C15" w:rsidRDefault="00AC1E78" w:rsidP="00AC1E78">
            <w:pPr>
              <w:autoSpaceDE w:val="0"/>
              <w:autoSpaceDN w:val="0"/>
              <w:adjustRightInd w:val="0"/>
              <w:snapToGrid w:val="0"/>
              <w:spacing w:line="240" w:lineRule="auto"/>
              <w:jc w:val="center"/>
              <w:rPr>
                <w:rFonts w:eastAsiaTheme="minorHAnsi"/>
                <w:noProof w:val="0"/>
                <w:color w:val="auto"/>
                <w:szCs w:val="22"/>
                <w:lang w:val="en-GB" w:eastAsia="en-US"/>
              </w:rPr>
            </w:pPr>
            <w:r w:rsidRPr="009F1C15">
              <w:rPr>
                <w:rFonts w:eastAsiaTheme="minorHAnsi"/>
                <w:noProof w:val="0"/>
                <w:color w:val="auto"/>
                <w:szCs w:val="22"/>
                <w:lang w:val="en-GB" w:eastAsia="en-US"/>
              </w:rPr>
              <w:t>0.1</w:t>
            </w:r>
          </w:p>
        </w:tc>
        <w:tc>
          <w:tcPr>
            <w:tcW w:w="1517" w:type="pct"/>
            <w:shd w:val="clear" w:color="auto" w:fill="auto"/>
            <w:vAlign w:val="center"/>
          </w:tcPr>
          <w:p w14:paraId="267F59FA" w14:textId="77777777" w:rsidR="00AC1E78" w:rsidRPr="009F1C15" w:rsidRDefault="00AC1E78" w:rsidP="00C30505">
            <w:pPr>
              <w:autoSpaceDE w:val="0"/>
              <w:autoSpaceDN w:val="0"/>
              <w:adjustRightInd w:val="0"/>
              <w:snapToGrid w:val="0"/>
              <w:spacing w:line="240" w:lineRule="auto"/>
              <w:jc w:val="left"/>
              <w:rPr>
                <w:rFonts w:eastAsiaTheme="minorHAnsi"/>
                <w:bCs/>
                <w:noProof w:val="0"/>
                <w:color w:val="auto"/>
                <w:szCs w:val="22"/>
                <w:lang w:val="en-GB" w:eastAsia="en-US"/>
              </w:rPr>
            </w:pPr>
            <w:r w:rsidRPr="009F1C15">
              <w:rPr>
                <w:rFonts w:eastAsiaTheme="minorHAnsi"/>
                <w:noProof w:val="0"/>
                <w:color w:val="auto"/>
                <w:szCs w:val="22"/>
                <w:lang w:val="en-GB" w:eastAsia="en-US"/>
              </w:rPr>
              <w:t xml:space="preserve">No difference in the </w:t>
            </w:r>
            <w:r w:rsidRPr="009F1C15">
              <w:rPr>
                <w:rFonts w:eastAsiaTheme="minorHAnsi"/>
                <w:bCs/>
                <w:noProof w:val="0"/>
                <w:color w:val="auto"/>
                <w:szCs w:val="22"/>
                <w:lang w:val="en-GB" w:eastAsia="en-US"/>
              </w:rPr>
              <w:t xml:space="preserve">composite of death, MI, stroke </w:t>
            </w:r>
          </w:p>
          <w:p w14:paraId="7EAB9878"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bCs/>
                <w:noProof w:val="0"/>
                <w:color w:val="auto"/>
                <w:szCs w:val="22"/>
                <w:lang w:val="en-GB" w:eastAsia="en-US"/>
              </w:rPr>
              <w:t xml:space="preserve">or unplanned revascularisation </w:t>
            </w:r>
            <w:r w:rsidRPr="009F1C15">
              <w:rPr>
                <w:rFonts w:eastAsiaTheme="minorHAnsi"/>
                <w:noProof w:val="0"/>
                <w:color w:val="auto"/>
                <w:szCs w:val="22"/>
                <w:lang w:val="en-GB" w:eastAsia="en-US"/>
              </w:rPr>
              <w:t xml:space="preserve">with FFR-guidance </w:t>
            </w:r>
          </w:p>
          <w:p w14:paraId="18052CD5" w14:textId="77777777"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vs. angiography-guidance (14.6% vs. 14.4%, hazard </w:t>
            </w:r>
          </w:p>
          <w:p w14:paraId="199596F6" w14:textId="7253CC9B" w:rsidR="00AC1E78" w:rsidRPr="009F1C15" w:rsidRDefault="00AC1E78" w:rsidP="00C30505">
            <w:pPr>
              <w:autoSpaceDE w:val="0"/>
              <w:autoSpaceDN w:val="0"/>
              <w:adjustRightInd w:val="0"/>
              <w:snapToGrid w:val="0"/>
              <w:spacing w:line="240" w:lineRule="auto"/>
              <w:jc w:val="left"/>
              <w:rPr>
                <w:rFonts w:eastAsiaTheme="minorHAnsi"/>
                <w:noProof w:val="0"/>
                <w:color w:val="auto"/>
                <w:szCs w:val="22"/>
                <w:lang w:val="en-GB" w:eastAsia="en-US"/>
              </w:rPr>
            </w:pPr>
            <w:r w:rsidRPr="009F1C15">
              <w:rPr>
                <w:rFonts w:eastAsiaTheme="minorHAnsi"/>
                <w:noProof w:val="0"/>
                <w:color w:val="auto"/>
                <w:szCs w:val="22"/>
                <w:lang w:val="en-GB" w:eastAsia="en-US"/>
              </w:rPr>
              <w:t xml:space="preserve">ratio: 0.97 [95% CI: 0.69, 1.36], </w:t>
            </w:r>
            <w:r w:rsidRPr="009F1C15">
              <w:rPr>
                <w:rFonts w:eastAsiaTheme="minorHAnsi"/>
                <w:i/>
                <w:iCs/>
                <w:noProof w:val="0"/>
                <w:color w:val="auto"/>
                <w:szCs w:val="22"/>
                <w:lang w:val="en-GB" w:eastAsia="en-US"/>
              </w:rPr>
              <w:t>p</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w:t>
            </w:r>
            <w:r w:rsidR="009D493D" w:rsidRPr="009F1C15">
              <w:rPr>
                <w:rFonts w:eastAsiaTheme="minorHAnsi"/>
                <w:noProof w:val="0"/>
                <w:color w:val="auto"/>
                <w:szCs w:val="22"/>
                <w:lang w:val="en-GB" w:eastAsia="en-US"/>
              </w:rPr>
              <w:t xml:space="preserve"> </w:t>
            </w:r>
            <w:r w:rsidRPr="009F1C15">
              <w:rPr>
                <w:rFonts w:eastAsiaTheme="minorHAnsi"/>
                <w:noProof w:val="0"/>
                <w:color w:val="auto"/>
                <w:szCs w:val="22"/>
                <w:lang w:val="en-GB" w:eastAsia="en-US"/>
              </w:rPr>
              <w:t>0.85).</w:t>
            </w:r>
          </w:p>
        </w:tc>
      </w:tr>
    </w:tbl>
    <w:p w14:paraId="5FFB38FA" w14:textId="3831D75F" w:rsidR="00AC1E78" w:rsidRPr="009F1C15" w:rsidRDefault="00AC1E78" w:rsidP="00AC1E78">
      <w:pPr>
        <w:pStyle w:val="MDPI43tablefooter"/>
      </w:pPr>
      <w:r w:rsidRPr="009F1C15">
        <w:t xml:space="preserve">Abbreviations: CI = confidence interval; FAME = Fractional Flow Reserve Versus Angiography for Multivessel Evaluation; FAMOUS-NSTEMI = Fractional Flow Reserve Versus Angiographically Guided Management to </w:t>
      </w:r>
      <w:proofErr w:type="spellStart"/>
      <w:r w:rsidRPr="009F1C15">
        <w:t>Optimise</w:t>
      </w:r>
      <w:proofErr w:type="spellEnd"/>
      <w:r w:rsidRPr="009F1C15">
        <w:t xml:space="preserve"> Outcomes in Unstable Coronary Syndromes; FARGO = Fractional Flow Reserve Versus Angiography </w:t>
      </w:r>
      <w:proofErr w:type="spellStart"/>
      <w:r w:rsidRPr="009F1C15">
        <w:t>Randomisation</w:t>
      </w:r>
      <w:proofErr w:type="spellEnd"/>
      <w:r w:rsidRPr="009F1C15">
        <w:t xml:space="preserve"> for Graft </w:t>
      </w:r>
      <w:proofErr w:type="spellStart"/>
      <w:r w:rsidRPr="009F1C15">
        <w:t>Optimisation</w:t>
      </w:r>
      <w:proofErr w:type="spellEnd"/>
      <w:r w:rsidRPr="009F1C15">
        <w:t xml:space="preserve">; FFR = fractional flow reserve; FLOWER-MI = FLOW Evaluation to Guide </w:t>
      </w:r>
      <w:proofErr w:type="spellStart"/>
      <w:r w:rsidRPr="009F1C15">
        <w:t>Revascularisation</w:t>
      </w:r>
      <w:proofErr w:type="spellEnd"/>
      <w:r w:rsidRPr="009F1C15">
        <w:t xml:space="preserve"> in multivessel ST-elevation Myocardial Infarction; FRAME-AMI = FFR vs. Angiography-guided PCI in AMI with multivessel disease; FUTURE = Functional Testing Underlying Coronary </w:t>
      </w:r>
      <w:proofErr w:type="spellStart"/>
      <w:r w:rsidRPr="009F1C15">
        <w:t>Revascularisation</w:t>
      </w:r>
      <w:proofErr w:type="spellEnd"/>
      <w:r w:rsidRPr="009F1C15">
        <w:t>; GRAFFITI = Graft Patency After FFR-Guided Versus Angio-Guided CABG; MACE = major adverse cardiac events; NSTEMI = non-ST segment elevation myocardial infarction; RIPCORD-2 = Does Routine Pressure Wire Assessment Influence Management Strategy at Coronary Angiography for Diagnosis of Chest Pain?; STEMI = ST segment elevation myocardial infarction.</w:t>
      </w:r>
    </w:p>
    <w:p w14:paraId="4AF163D6" w14:textId="3475EF03" w:rsidR="00AC1E78" w:rsidRPr="009F1C15" w:rsidRDefault="00AC1E78" w:rsidP="00AC1E78">
      <w:pPr>
        <w:pStyle w:val="MDPI41tablecaption"/>
      </w:pPr>
      <w:r w:rsidRPr="009F1C15">
        <w:rPr>
          <w:b/>
          <w:bCs/>
        </w:rPr>
        <w:lastRenderedPageBreak/>
        <w:t xml:space="preserve">Table 2. </w:t>
      </w:r>
      <w:r w:rsidRPr="009F1C15">
        <w:t xml:space="preserve">Patient and procedural characteristics from RCTs, comparing FFR with angiography only, for guiding </w:t>
      </w:r>
      <w:proofErr w:type="spellStart"/>
      <w:r w:rsidRPr="009F1C15">
        <w:t>revascularisation</w:t>
      </w:r>
      <w:proofErr w:type="spellEnd"/>
      <w:r w:rsidRPr="009F1C15">
        <w:t>.</w:t>
      </w:r>
    </w:p>
    <w:tbl>
      <w:tblPr>
        <w:tblStyle w:val="TableGrid"/>
        <w:tblW w:w="5000" w:type="pct"/>
        <w:jc w:val="center"/>
        <w:tblBorders>
          <w:top w:val="single" w:sz="8" w:space="0" w:color="auto"/>
          <w:left w:val="none" w:sz="0" w:space="0" w:color="auto"/>
          <w:bottom w:val="single" w:sz="8"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906"/>
        <w:gridCol w:w="1851"/>
        <w:gridCol w:w="1284"/>
        <w:gridCol w:w="687"/>
        <w:gridCol w:w="1093"/>
        <w:gridCol w:w="958"/>
        <w:gridCol w:w="1361"/>
        <w:gridCol w:w="1364"/>
        <w:gridCol w:w="2310"/>
        <w:gridCol w:w="822"/>
        <w:gridCol w:w="1762"/>
      </w:tblGrid>
      <w:tr w:rsidR="008A22DC" w:rsidRPr="009F1C15" w14:paraId="30592B33" w14:textId="77777777" w:rsidTr="000A5C77">
        <w:trPr>
          <w:jc w:val="center"/>
        </w:trPr>
        <w:tc>
          <w:tcPr>
            <w:tcW w:w="619" w:type="pct"/>
            <w:tcBorders>
              <w:top w:val="single" w:sz="8" w:space="0" w:color="auto"/>
              <w:bottom w:val="single" w:sz="4" w:space="0" w:color="auto"/>
            </w:tcBorders>
            <w:shd w:val="clear" w:color="auto" w:fill="auto"/>
            <w:vAlign w:val="center"/>
          </w:tcPr>
          <w:p w14:paraId="43B0702B" w14:textId="7BC25DD6" w:rsidR="00095209" w:rsidRPr="009F1C15" w:rsidRDefault="00095209" w:rsidP="000A5C77">
            <w:pPr>
              <w:autoSpaceDE w:val="0"/>
              <w:autoSpaceDN w:val="0"/>
              <w:adjustRightInd w:val="0"/>
              <w:snapToGrid w:val="0"/>
              <w:spacing w:line="240" w:lineRule="auto"/>
              <w:jc w:val="center"/>
              <w:rPr>
                <w:b/>
                <w:bCs/>
                <w:szCs w:val="21"/>
              </w:rPr>
            </w:pPr>
            <w:r w:rsidRPr="009F1C15">
              <w:rPr>
                <w:b/>
                <w:bCs/>
                <w:szCs w:val="21"/>
              </w:rPr>
              <w:t>Study</w:t>
            </w:r>
          </w:p>
        </w:tc>
        <w:tc>
          <w:tcPr>
            <w:tcW w:w="601" w:type="pct"/>
            <w:tcBorders>
              <w:top w:val="single" w:sz="8" w:space="0" w:color="auto"/>
              <w:bottom w:val="single" w:sz="4" w:space="0" w:color="auto"/>
            </w:tcBorders>
            <w:shd w:val="clear" w:color="auto" w:fill="auto"/>
            <w:vAlign w:val="center"/>
          </w:tcPr>
          <w:p w14:paraId="62CC0653"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Strategy</w:t>
            </w:r>
          </w:p>
        </w:tc>
        <w:tc>
          <w:tcPr>
            <w:tcW w:w="417" w:type="pct"/>
            <w:tcBorders>
              <w:top w:val="single" w:sz="8" w:space="0" w:color="auto"/>
              <w:bottom w:val="single" w:sz="4" w:space="0" w:color="auto"/>
            </w:tcBorders>
            <w:shd w:val="clear" w:color="auto" w:fill="auto"/>
            <w:vAlign w:val="center"/>
          </w:tcPr>
          <w:p w14:paraId="481B7CC9" w14:textId="1D211783"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 xml:space="preserve">Age, </w:t>
            </w:r>
            <w:r w:rsidR="005F1043" w:rsidRPr="009F1C15">
              <w:rPr>
                <w:b/>
                <w:bCs/>
                <w:szCs w:val="21"/>
              </w:rPr>
              <w:t>Years</w:t>
            </w:r>
          </w:p>
          <w:p w14:paraId="618F14AB" w14:textId="40D61FB1"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t>
            </w:r>
            <w:r w:rsidR="005F1043" w:rsidRPr="009F1C15">
              <w:rPr>
                <w:b/>
                <w:bCs/>
                <w:szCs w:val="21"/>
              </w:rPr>
              <w:t xml:space="preserve">Mean </w:t>
            </w:r>
            <w:r w:rsidR="009268BA" w:rsidRPr="009F1C15">
              <w:rPr>
                <w:b/>
                <w:bCs/>
                <w:szCs w:val="21"/>
              </w:rPr>
              <w:t>±</w:t>
            </w:r>
            <w:r w:rsidR="005F1043" w:rsidRPr="009F1C15">
              <w:rPr>
                <w:b/>
                <w:bCs/>
                <w:szCs w:val="21"/>
              </w:rPr>
              <w:t xml:space="preserve"> </w:t>
            </w:r>
            <w:r w:rsidRPr="009F1C15">
              <w:rPr>
                <w:b/>
                <w:bCs/>
                <w:szCs w:val="21"/>
              </w:rPr>
              <w:t>SD, or</w:t>
            </w:r>
          </w:p>
          <w:p w14:paraId="55E3108A" w14:textId="40544406" w:rsidR="00095209" w:rsidRPr="009F1C15" w:rsidRDefault="005F1043" w:rsidP="00C30505">
            <w:pPr>
              <w:autoSpaceDE w:val="0"/>
              <w:autoSpaceDN w:val="0"/>
              <w:adjustRightInd w:val="0"/>
              <w:snapToGrid w:val="0"/>
              <w:spacing w:line="240" w:lineRule="auto"/>
              <w:jc w:val="center"/>
              <w:rPr>
                <w:b/>
                <w:bCs/>
                <w:szCs w:val="21"/>
              </w:rPr>
            </w:pPr>
            <w:r w:rsidRPr="009F1C15">
              <w:rPr>
                <w:b/>
                <w:bCs/>
                <w:szCs w:val="21"/>
              </w:rPr>
              <w:t xml:space="preserve">Median </w:t>
            </w:r>
            <w:r w:rsidR="00095209" w:rsidRPr="009F1C15">
              <w:rPr>
                <w:b/>
                <w:bCs/>
                <w:szCs w:val="21"/>
              </w:rPr>
              <w:t>[IQR])</w:t>
            </w:r>
          </w:p>
        </w:tc>
        <w:tc>
          <w:tcPr>
            <w:tcW w:w="223" w:type="pct"/>
            <w:tcBorders>
              <w:top w:val="single" w:sz="8" w:space="0" w:color="auto"/>
              <w:bottom w:val="single" w:sz="4" w:space="0" w:color="auto"/>
            </w:tcBorders>
            <w:shd w:val="clear" w:color="auto" w:fill="auto"/>
            <w:vAlign w:val="center"/>
          </w:tcPr>
          <w:p w14:paraId="02FE4EAF"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Male</w:t>
            </w:r>
          </w:p>
          <w:p w14:paraId="711D4D2A"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t>
            </w:r>
          </w:p>
        </w:tc>
        <w:tc>
          <w:tcPr>
            <w:tcW w:w="355" w:type="pct"/>
            <w:tcBorders>
              <w:top w:val="single" w:sz="8" w:space="0" w:color="auto"/>
              <w:bottom w:val="single" w:sz="4" w:space="0" w:color="auto"/>
            </w:tcBorders>
            <w:shd w:val="clear" w:color="auto" w:fill="auto"/>
            <w:vAlign w:val="center"/>
          </w:tcPr>
          <w:p w14:paraId="0C2629F1"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Diabetes</w:t>
            </w:r>
          </w:p>
          <w:p w14:paraId="2F23B953"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Mellitus</w:t>
            </w:r>
          </w:p>
          <w:p w14:paraId="08897687"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t>
            </w:r>
          </w:p>
        </w:tc>
        <w:tc>
          <w:tcPr>
            <w:tcW w:w="311" w:type="pct"/>
            <w:tcBorders>
              <w:top w:val="single" w:sz="8" w:space="0" w:color="auto"/>
              <w:bottom w:val="single" w:sz="4" w:space="0" w:color="auto"/>
            </w:tcBorders>
            <w:shd w:val="clear" w:color="auto" w:fill="auto"/>
            <w:vAlign w:val="center"/>
          </w:tcPr>
          <w:p w14:paraId="1C94D690"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Smoker</w:t>
            </w:r>
          </w:p>
          <w:p w14:paraId="14F80AA9"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t>
            </w:r>
          </w:p>
        </w:tc>
        <w:tc>
          <w:tcPr>
            <w:tcW w:w="442" w:type="pct"/>
            <w:tcBorders>
              <w:top w:val="single" w:sz="8" w:space="0" w:color="auto"/>
              <w:bottom w:val="single" w:sz="4" w:space="0" w:color="auto"/>
            </w:tcBorders>
            <w:shd w:val="clear" w:color="auto" w:fill="auto"/>
            <w:vAlign w:val="center"/>
          </w:tcPr>
          <w:p w14:paraId="0ABDBFA7"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ACS</w:t>
            </w:r>
          </w:p>
          <w:p w14:paraId="2C6E1D5F" w14:textId="0D1C0B6B" w:rsidR="00095209" w:rsidRPr="009F1C15" w:rsidRDefault="005F1043" w:rsidP="00AC1E78">
            <w:pPr>
              <w:autoSpaceDE w:val="0"/>
              <w:autoSpaceDN w:val="0"/>
              <w:adjustRightInd w:val="0"/>
              <w:snapToGrid w:val="0"/>
              <w:spacing w:line="240" w:lineRule="auto"/>
              <w:jc w:val="center"/>
              <w:rPr>
                <w:b/>
                <w:bCs/>
                <w:szCs w:val="21"/>
              </w:rPr>
            </w:pPr>
            <w:r w:rsidRPr="009F1C15">
              <w:rPr>
                <w:b/>
                <w:bCs/>
                <w:szCs w:val="21"/>
              </w:rPr>
              <w:t>Presentation</w:t>
            </w:r>
          </w:p>
          <w:p w14:paraId="176985BA"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t>
            </w:r>
          </w:p>
        </w:tc>
        <w:tc>
          <w:tcPr>
            <w:tcW w:w="443" w:type="pct"/>
            <w:tcBorders>
              <w:top w:val="single" w:sz="8" w:space="0" w:color="auto"/>
              <w:bottom w:val="single" w:sz="4" w:space="0" w:color="auto"/>
            </w:tcBorders>
            <w:shd w:val="clear" w:color="auto" w:fill="auto"/>
            <w:vAlign w:val="center"/>
          </w:tcPr>
          <w:p w14:paraId="463BFD99"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Treatment</w:t>
            </w:r>
          </w:p>
          <w:p w14:paraId="067CA5EF"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with CABG</w:t>
            </w:r>
          </w:p>
          <w:p w14:paraId="76F68302"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w:t>
            </w:r>
          </w:p>
        </w:tc>
        <w:tc>
          <w:tcPr>
            <w:tcW w:w="750" w:type="pct"/>
            <w:tcBorders>
              <w:top w:val="single" w:sz="8" w:space="0" w:color="auto"/>
              <w:bottom w:val="single" w:sz="4" w:space="0" w:color="auto"/>
            </w:tcBorders>
            <w:shd w:val="clear" w:color="auto" w:fill="auto"/>
            <w:vAlign w:val="center"/>
          </w:tcPr>
          <w:p w14:paraId="6A0CE4FA" w14:textId="22F53C95"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 xml:space="preserve">Procedure </w:t>
            </w:r>
            <w:r w:rsidR="005F1043" w:rsidRPr="009F1C15">
              <w:rPr>
                <w:b/>
                <w:bCs/>
                <w:szCs w:val="21"/>
              </w:rPr>
              <w:t xml:space="preserve">Time </w:t>
            </w:r>
            <w:r w:rsidRPr="009F1C15">
              <w:rPr>
                <w:b/>
                <w:bCs/>
                <w:szCs w:val="21"/>
              </w:rPr>
              <w:t>for PCI,</w:t>
            </w:r>
          </w:p>
          <w:p w14:paraId="0BB93167" w14:textId="1476D857" w:rsidR="00095209" w:rsidRPr="009F1C15" w:rsidRDefault="005F1043" w:rsidP="00AC1E78">
            <w:pPr>
              <w:autoSpaceDE w:val="0"/>
              <w:autoSpaceDN w:val="0"/>
              <w:adjustRightInd w:val="0"/>
              <w:snapToGrid w:val="0"/>
              <w:spacing w:line="240" w:lineRule="auto"/>
              <w:jc w:val="center"/>
              <w:rPr>
                <w:b/>
                <w:bCs/>
                <w:szCs w:val="21"/>
              </w:rPr>
            </w:pPr>
            <w:r w:rsidRPr="009F1C15">
              <w:rPr>
                <w:b/>
                <w:bCs/>
                <w:szCs w:val="21"/>
              </w:rPr>
              <w:t xml:space="preserve">Mins </w:t>
            </w:r>
            <w:r w:rsidR="00095209" w:rsidRPr="009F1C15">
              <w:rPr>
                <w:b/>
                <w:bCs/>
                <w:szCs w:val="21"/>
              </w:rPr>
              <w:t>(</w:t>
            </w:r>
            <w:r w:rsidR="00C30505" w:rsidRPr="009F1C15">
              <w:rPr>
                <w:b/>
                <w:bCs/>
                <w:szCs w:val="21"/>
              </w:rPr>
              <w:t xml:space="preserve">Mean </w:t>
            </w:r>
            <w:r w:rsidR="009268BA" w:rsidRPr="009F1C15">
              <w:rPr>
                <w:b/>
                <w:bCs/>
                <w:szCs w:val="21"/>
              </w:rPr>
              <w:t>±</w:t>
            </w:r>
            <w:r w:rsidRPr="009F1C15">
              <w:rPr>
                <w:b/>
                <w:bCs/>
                <w:szCs w:val="21"/>
              </w:rPr>
              <w:t xml:space="preserve"> </w:t>
            </w:r>
            <w:r w:rsidR="00095209" w:rsidRPr="009F1C15">
              <w:rPr>
                <w:b/>
                <w:bCs/>
                <w:szCs w:val="21"/>
              </w:rPr>
              <w:t>SD, or</w:t>
            </w:r>
          </w:p>
          <w:p w14:paraId="5AA8E314" w14:textId="3892697B" w:rsidR="00095209" w:rsidRPr="009F1C15" w:rsidRDefault="005F1043" w:rsidP="00AC1E78">
            <w:pPr>
              <w:autoSpaceDE w:val="0"/>
              <w:autoSpaceDN w:val="0"/>
              <w:adjustRightInd w:val="0"/>
              <w:snapToGrid w:val="0"/>
              <w:spacing w:line="240" w:lineRule="auto"/>
              <w:jc w:val="center"/>
              <w:rPr>
                <w:b/>
                <w:bCs/>
                <w:szCs w:val="21"/>
              </w:rPr>
            </w:pPr>
            <w:r w:rsidRPr="009F1C15">
              <w:rPr>
                <w:b/>
                <w:bCs/>
                <w:szCs w:val="21"/>
              </w:rPr>
              <w:t xml:space="preserve">Median </w:t>
            </w:r>
            <w:r w:rsidR="00095209" w:rsidRPr="009F1C15">
              <w:rPr>
                <w:b/>
                <w:bCs/>
                <w:szCs w:val="21"/>
              </w:rPr>
              <w:t>IQR])</w:t>
            </w:r>
          </w:p>
        </w:tc>
        <w:tc>
          <w:tcPr>
            <w:tcW w:w="267" w:type="pct"/>
            <w:tcBorders>
              <w:top w:val="single" w:sz="8" w:space="0" w:color="auto"/>
              <w:bottom w:val="single" w:sz="4" w:space="0" w:color="auto"/>
            </w:tcBorders>
            <w:shd w:val="clear" w:color="auto" w:fill="auto"/>
            <w:vAlign w:val="center"/>
          </w:tcPr>
          <w:p w14:paraId="1C1C6BFB"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FFR</w:t>
            </w:r>
          </w:p>
          <w:p w14:paraId="09673D60" w14:textId="3FF0EDC1" w:rsidR="00095209" w:rsidRPr="009F1C15" w:rsidRDefault="005F1043" w:rsidP="00AC1E78">
            <w:pPr>
              <w:autoSpaceDE w:val="0"/>
              <w:autoSpaceDN w:val="0"/>
              <w:adjustRightInd w:val="0"/>
              <w:snapToGrid w:val="0"/>
              <w:spacing w:line="240" w:lineRule="auto"/>
              <w:jc w:val="center"/>
              <w:rPr>
                <w:b/>
                <w:bCs/>
                <w:szCs w:val="21"/>
              </w:rPr>
            </w:pPr>
            <w:r w:rsidRPr="009F1C15">
              <w:rPr>
                <w:b/>
                <w:bCs/>
                <w:szCs w:val="21"/>
              </w:rPr>
              <w:t>Cut</w:t>
            </w:r>
            <w:r w:rsidR="00095209" w:rsidRPr="009F1C15">
              <w:rPr>
                <w:b/>
                <w:bCs/>
                <w:szCs w:val="21"/>
              </w:rPr>
              <w:t>-</w:t>
            </w:r>
            <w:r w:rsidR="00C30505" w:rsidRPr="009F1C15">
              <w:rPr>
                <w:b/>
                <w:bCs/>
                <w:szCs w:val="21"/>
              </w:rPr>
              <w:t>Off</w:t>
            </w:r>
          </w:p>
        </w:tc>
        <w:tc>
          <w:tcPr>
            <w:tcW w:w="573" w:type="pct"/>
            <w:tcBorders>
              <w:top w:val="single" w:sz="8" w:space="0" w:color="auto"/>
              <w:bottom w:val="single" w:sz="4" w:space="0" w:color="auto"/>
            </w:tcBorders>
            <w:shd w:val="clear" w:color="auto" w:fill="auto"/>
            <w:vAlign w:val="center"/>
          </w:tcPr>
          <w:p w14:paraId="58AA4066" w14:textId="58AD33A9"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 xml:space="preserve">Angiogram </w:t>
            </w:r>
            <w:r w:rsidR="005F1043" w:rsidRPr="009F1C15">
              <w:rPr>
                <w:b/>
                <w:bCs/>
                <w:szCs w:val="21"/>
              </w:rPr>
              <w:t>Visual</w:t>
            </w:r>
          </w:p>
          <w:p w14:paraId="16756F8F" w14:textId="3A2F6B0D" w:rsidR="00095209" w:rsidRPr="009F1C15" w:rsidRDefault="005F1043" w:rsidP="00AC1E78">
            <w:pPr>
              <w:autoSpaceDE w:val="0"/>
              <w:autoSpaceDN w:val="0"/>
              <w:adjustRightInd w:val="0"/>
              <w:snapToGrid w:val="0"/>
              <w:spacing w:line="240" w:lineRule="auto"/>
              <w:jc w:val="center"/>
              <w:rPr>
                <w:b/>
                <w:bCs/>
                <w:szCs w:val="21"/>
              </w:rPr>
            </w:pPr>
            <w:r w:rsidRPr="009F1C15">
              <w:rPr>
                <w:b/>
                <w:bCs/>
                <w:szCs w:val="21"/>
              </w:rPr>
              <w:t>Stenosis Threshold</w:t>
            </w:r>
          </w:p>
          <w:p w14:paraId="32458702" w14:textId="77777777" w:rsidR="00095209" w:rsidRPr="009F1C15" w:rsidRDefault="00095209" w:rsidP="00AC1E78">
            <w:pPr>
              <w:autoSpaceDE w:val="0"/>
              <w:autoSpaceDN w:val="0"/>
              <w:adjustRightInd w:val="0"/>
              <w:snapToGrid w:val="0"/>
              <w:spacing w:line="240" w:lineRule="auto"/>
              <w:jc w:val="center"/>
              <w:rPr>
                <w:b/>
                <w:bCs/>
                <w:szCs w:val="21"/>
              </w:rPr>
            </w:pPr>
            <w:r w:rsidRPr="009F1C15">
              <w:rPr>
                <w:b/>
                <w:bCs/>
                <w:szCs w:val="21"/>
              </w:rPr>
              <w:t>for PCI (%)</w:t>
            </w:r>
          </w:p>
        </w:tc>
      </w:tr>
      <w:tr w:rsidR="00AC1E78" w:rsidRPr="009F1C15" w14:paraId="4BF8CF92" w14:textId="77777777" w:rsidTr="000A5C77">
        <w:trPr>
          <w:jc w:val="center"/>
        </w:trPr>
        <w:tc>
          <w:tcPr>
            <w:tcW w:w="619" w:type="pct"/>
            <w:vMerge w:val="restart"/>
            <w:tcBorders>
              <w:top w:val="single" w:sz="4" w:space="0" w:color="auto"/>
            </w:tcBorders>
            <w:shd w:val="clear" w:color="auto" w:fill="auto"/>
            <w:vAlign w:val="center"/>
          </w:tcPr>
          <w:p w14:paraId="67DB0457" w14:textId="60154B05" w:rsidR="00095209" w:rsidRPr="009F1C15" w:rsidRDefault="00095209" w:rsidP="000A5C77">
            <w:pPr>
              <w:autoSpaceDE w:val="0"/>
              <w:autoSpaceDN w:val="0"/>
              <w:adjustRightInd w:val="0"/>
              <w:snapToGrid w:val="0"/>
              <w:spacing w:line="240" w:lineRule="auto"/>
              <w:jc w:val="center"/>
              <w:rPr>
                <w:bCs/>
                <w:szCs w:val="21"/>
              </w:rPr>
            </w:pPr>
            <w:r w:rsidRPr="009F1C15">
              <w:rPr>
                <w:bCs/>
                <w:szCs w:val="21"/>
              </w:rPr>
              <w:t>FRAME-AMI</w:t>
            </w:r>
            <w:r w:rsidR="00A8707F" w:rsidRPr="009F1C15">
              <w:rPr>
                <w:bCs/>
                <w:szCs w:val="21"/>
              </w:rPr>
              <w:t xml:space="preserve"> </w:t>
            </w:r>
            <w:r w:rsidR="00A8707F" w:rsidRPr="009F1C15">
              <w:rPr>
                <w:szCs w:val="21"/>
              </w:rPr>
              <w:t>[</w:t>
            </w:r>
            <w:r w:rsidRPr="009F1C15">
              <w:rPr>
                <w:szCs w:val="21"/>
              </w:rPr>
              <w:t>3</w:t>
            </w:r>
            <w:r w:rsidR="00A8707F" w:rsidRPr="009F1C15">
              <w:rPr>
                <w:szCs w:val="21"/>
              </w:rPr>
              <w:t>]</w:t>
            </w:r>
          </w:p>
          <w:p w14:paraId="58425C04" w14:textId="77777777"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(NCT02715518)</w:t>
            </w:r>
          </w:p>
        </w:tc>
        <w:tc>
          <w:tcPr>
            <w:tcW w:w="601" w:type="pct"/>
            <w:tcBorders>
              <w:top w:val="single" w:sz="4" w:space="0" w:color="auto"/>
            </w:tcBorders>
            <w:shd w:val="clear" w:color="auto" w:fill="auto"/>
            <w:vAlign w:val="center"/>
          </w:tcPr>
          <w:p w14:paraId="04D0DA33" w14:textId="272A5DB3"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278)</w:t>
            </w:r>
          </w:p>
        </w:tc>
        <w:tc>
          <w:tcPr>
            <w:tcW w:w="417" w:type="pct"/>
            <w:tcBorders>
              <w:top w:val="single" w:sz="4" w:space="0" w:color="auto"/>
            </w:tcBorders>
            <w:shd w:val="clear" w:color="auto" w:fill="auto"/>
            <w:vAlign w:val="center"/>
          </w:tcPr>
          <w:p w14:paraId="5B4F9AB6" w14:textId="6E241ECA" w:rsidR="00095209" w:rsidRPr="009F1C15" w:rsidRDefault="00095209" w:rsidP="00AC1E78">
            <w:pPr>
              <w:autoSpaceDE w:val="0"/>
              <w:autoSpaceDN w:val="0"/>
              <w:adjustRightInd w:val="0"/>
              <w:snapToGrid w:val="0"/>
              <w:spacing w:line="240" w:lineRule="auto"/>
              <w:jc w:val="center"/>
              <w:rPr>
                <w:szCs w:val="21"/>
              </w:rPr>
            </w:pPr>
            <w:r w:rsidRPr="009F1C15">
              <w:rPr>
                <w:szCs w:val="21"/>
              </w:rPr>
              <w:t>62.7</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11.5</w:t>
            </w:r>
          </w:p>
        </w:tc>
        <w:tc>
          <w:tcPr>
            <w:tcW w:w="223" w:type="pct"/>
            <w:tcBorders>
              <w:top w:val="single" w:sz="4" w:space="0" w:color="auto"/>
            </w:tcBorders>
            <w:shd w:val="clear" w:color="auto" w:fill="auto"/>
            <w:vAlign w:val="center"/>
          </w:tcPr>
          <w:p w14:paraId="17EF1D3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84.2</w:t>
            </w:r>
          </w:p>
        </w:tc>
        <w:tc>
          <w:tcPr>
            <w:tcW w:w="355" w:type="pct"/>
            <w:tcBorders>
              <w:top w:val="single" w:sz="4" w:space="0" w:color="auto"/>
            </w:tcBorders>
            <w:shd w:val="clear" w:color="auto" w:fill="auto"/>
            <w:vAlign w:val="center"/>
          </w:tcPr>
          <w:p w14:paraId="4B3FE24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30.9</w:t>
            </w:r>
          </w:p>
        </w:tc>
        <w:tc>
          <w:tcPr>
            <w:tcW w:w="311" w:type="pct"/>
            <w:tcBorders>
              <w:top w:val="single" w:sz="4" w:space="0" w:color="auto"/>
            </w:tcBorders>
            <w:shd w:val="clear" w:color="auto" w:fill="auto"/>
            <w:vAlign w:val="center"/>
          </w:tcPr>
          <w:p w14:paraId="6CD892D6"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37.8</w:t>
            </w:r>
          </w:p>
        </w:tc>
        <w:tc>
          <w:tcPr>
            <w:tcW w:w="442" w:type="pct"/>
            <w:tcBorders>
              <w:top w:val="single" w:sz="4" w:space="0" w:color="auto"/>
            </w:tcBorders>
            <w:shd w:val="clear" w:color="auto" w:fill="auto"/>
            <w:vAlign w:val="center"/>
          </w:tcPr>
          <w:p w14:paraId="4B85FBC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100.0</w:t>
            </w:r>
          </w:p>
        </w:tc>
        <w:tc>
          <w:tcPr>
            <w:tcW w:w="443" w:type="pct"/>
            <w:tcBorders>
              <w:top w:val="single" w:sz="4" w:space="0" w:color="auto"/>
            </w:tcBorders>
            <w:shd w:val="clear" w:color="auto" w:fill="auto"/>
            <w:vAlign w:val="center"/>
          </w:tcPr>
          <w:p w14:paraId="6E19BC3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0</w:t>
            </w:r>
          </w:p>
        </w:tc>
        <w:tc>
          <w:tcPr>
            <w:tcW w:w="750" w:type="pct"/>
            <w:tcBorders>
              <w:top w:val="single" w:sz="4" w:space="0" w:color="auto"/>
            </w:tcBorders>
            <w:shd w:val="clear" w:color="auto" w:fill="auto"/>
            <w:vAlign w:val="center"/>
          </w:tcPr>
          <w:p w14:paraId="6C56748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Not reported</w:t>
            </w:r>
          </w:p>
        </w:tc>
        <w:tc>
          <w:tcPr>
            <w:tcW w:w="267" w:type="pct"/>
            <w:tcBorders>
              <w:top w:val="single" w:sz="4" w:space="0" w:color="auto"/>
            </w:tcBorders>
            <w:shd w:val="clear" w:color="auto" w:fill="auto"/>
            <w:vAlign w:val="center"/>
          </w:tcPr>
          <w:p w14:paraId="4BC14445"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tcBorders>
              <w:top w:val="single" w:sz="4" w:space="0" w:color="auto"/>
            </w:tcBorders>
            <w:shd w:val="clear" w:color="auto" w:fill="auto"/>
            <w:vAlign w:val="center"/>
          </w:tcPr>
          <w:p w14:paraId="5064F43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&gt;50</w:t>
            </w:r>
          </w:p>
        </w:tc>
      </w:tr>
      <w:tr w:rsidR="00AC1E78" w:rsidRPr="009F1C15" w14:paraId="7D38DB02" w14:textId="77777777" w:rsidTr="000A5C77">
        <w:trPr>
          <w:jc w:val="center"/>
        </w:trPr>
        <w:tc>
          <w:tcPr>
            <w:tcW w:w="619" w:type="pct"/>
            <w:vMerge/>
            <w:shd w:val="clear" w:color="auto" w:fill="auto"/>
            <w:vAlign w:val="center"/>
          </w:tcPr>
          <w:p w14:paraId="233FF0BA"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6702DD7E" w14:textId="439333C6"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284)</w:t>
            </w:r>
          </w:p>
        </w:tc>
        <w:tc>
          <w:tcPr>
            <w:tcW w:w="417" w:type="pct"/>
            <w:shd w:val="clear" w:color="auto" w:fill="auto"/>
            <w:vAlign w:val="center"/>
          </w:tcPr>
          <w:p w14:paraId="73F82760" w14:textId="5B62CDC6" w:rsidR="00095209" w:rsidRPr="009F1C15" w:rsidRDefault="00095209" w:rsidP="00AC1E78">
            <w:pPr>
              <w:autoSpaceDE w:val="0"/>
              <w:autoSpaceDN w:val="0"/>
              <w:adjustRightInd w:val="0"/>
              <w:snapToGrid w:val="0"/>
              <w:spacing w:line="240" w:lineRule="auto"/>
              <w:jc w:val="center"/>
              <w:rPr>
                <w:szCs w:val="21"/>
              </w:rPr>
            </w:pPr>
            <w:r w:rsidRPr="009F1C15">
              <w:rPr>
                <w:szCs w:val="21"/>
              </w:rPr>
              <w:t>63.9</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11.4</w:t>
            </w:r>
          </w:p>
        </w:tc>
        <w:tc>
          <w:tcPr>
            <w:tcW w:w="223" w:type="pct"/>
            <w:shd w:val="clear" w:color="auto" w:fill="auto"/>
            <w:vAlign w:val="center"/>
          </w:tcPr>
          <w:p w14:paraId="120B90B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84.5</w:t>
            </w:r>
          </w:p>
        </w:tc>
        <w:tc>
          <w:tcPr>
            <w:tcW w:w="355" w:type="pct"/>
            <w:shd w:val="clear" w:color="auto" w:fill="auto"/>
            <w:vAlign w:val="center"/>
          </w:tcPr>
          <w:p w14:paraId="60BB028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34.2</w:t>
            </w:r>
          </w:p>
        </w:tc>
        <w:tc>
          <w:tcPr>
            <w:tcW w:w="311" w:type="pct"/>
            <w:shd w:val="clear" w:color="auto" w:fill="auto"/>
            <w:vAlign w:val="center"/>
          </w:tcPr>
          <w:p w14:paraId="015E187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32.0</w:t>
            </w:r>
          </w:p>
        </w:tc>
        <w:tc>
          <w:tcPr>
            <w:tcW w:w="442" w:type="pct"/>
            <w:shd w:val="clear" w:color="auto" w:fill="auto"/>
            <w:vAlign w:val="center"/>
          </w:tcPr>
          <w:p w14:paraId="11DE6CD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100.0</w:t>
            </w:r>
          </w:p>
        </w:tc>
        <w:tc>
          <w:tcPr>
            <w:tcW w:w="443" w:type="pct"/>
            <w:shd w:val="clear" w:color="auto" w:fill="auto"/>
            <w:vAlign w:val="center"/>
          </w:tcPr>
          <w:p w14:paraId="1D036B5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0</w:t>
            </w:r>
          </w:p>
        </w:tc>
        <w:tc>
          <w:tcPr>
            <w:tcW w:w="750" w:type="pct"/>
            <w:shd w:val="clear" w:color="auto" w:fill="auto"/>
            <w:vAlign w:val="center"/>
          </w:tcPr>
          <w:p w14:paraId="273A0D7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Not reported</w:t>
            </w:r>
          </w:p>
        </w:tc>
        <w:tc>
          <w:tcPr>
            <w:tcW w:w="267" w:type="pct"/>
            <w:shd w:val="clear" w:color="auto" w:fill="auto"/>
            <w:vAlign w:val="center"/>
          </w:tcPr>
          <w:p w14:paraId="79242F90" w14:textId="0CC056CD"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7C41A3E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39320AC8" w14:textId="77777777" w:rsidTr="000A5C77">
        <w:trPr>
          <w:jc w:val="center"/>
        </w:trPr>
        <w:tc>
          <w:tcPr>
            <w:tcW w:w="619" w:type="pct"/>
            <w:vMerge w:val="restart"/>
            <w:shd w:val="clear" w:color="auto" w:fill="auto"/>
            <w:vAlign w:val="center"/>
          </w:tcPr>
          <w:p w14:paraId="0936C7B4" w14:textId="0182A2CA" w:rsidR="00095209" w:rsidRPr="009F1C15" w:rsidRDefault="00095209" w:rsidP="000A5C77">
            <w:pPr>
              <w:autoSpaceDE w:val="0"/>
              <w:autoSpaceDN w:val="0"/>
              <w:adjustRightInd w:val="0"/>
              <w:snapToGrid w:val="0"/>
              <w:spacing w:line="240" w:lineRule="auto"/>
              <w:jc w:val="center"/>
              <w:rPr>
                <w:szCs w:val="21"/>
              </w:rPr>
            </w:pPr>
            <w:r w:rsidRPr="009F1C15">
              <w:rPr>
                <w:bCs/>
                <w:szCs w:val="21"/>
              </w:rPr>
              <w:t>RIPCORD-2</w:t>
            </w:r>
            <w:r w:rsidR="00A8707F" w:rsidRPr="009F1C15">
              <w:rPr>
                <w:bCs/>
                <w:szCs w:val="21"/>
              </w:rPr>
              <w:t xml:space="preserve"> </w:t>
            </w:r>
            <w:r w:rsidR="00A8707F" w:rsidRPr="009F1C15">
              <w:rPr>
                <w:szCs w:val="21"/>
              </w:rPr>
              <w:t>[</w:t>
            </w:r>
            <w:r w:rsidRPr="009F1C15">
              <w:rPr>
                <w:szCs w:val="21"/>
              </w:rPr>
              <w:t>4</w:t>
            </w:r>
            <w:r w:rsidR="00A8707F" w:rsidRPr="009F1C15">
              <w:rPr>
                <w:szCs w:val="21"/>
              </w:rPr>
              <w:t>]</w:t>
            </w:r>
          </w:p>
          <w:p w14:paraId="1597EE21" w14:textId="77777777"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(NCT02892903)</w:t>
            </w:r>
          </w:p>
        </w:tc>
        <w:tc>
          <w:tcPr>
            <w:tcW w:w="601" w:type="pct"/>
            <w:shd w:val="clear" w:color="auto" w:fill="auto"/>
            <w:vAlign w:val="center"/>
          </w:tcPr>
          <w:p w14:paraId="00972223" w14:textId="0F670C55"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552)</w:t>
            </w:r>
          </w:p>
        </w:tc>
        <w:tc>
          <w:tcPr>
            <w:tcW w:w="417" w:type="pct"/>
            <w:shd w:val="clear" w:color="auto" w:fill="auto"/>
            <w:vAlign w:val="center"/>
          </w:tcPr>
          <w:p w14:paraId="41054A64" w14:textId="4508B9C2" w:rsidR="00095209" w:rsidRPr="009F1C15" w:rsidRDefault="00095209" w:rsidP="00AC1E78">
            <w:pPr>
              <w:autoSpaceDE w:val="0"/>
              <w:autoSpaceDN w:val="0"/>
              <w:adjustRightInd w:val="0"/>
              <w:snapToGrid w:val="0"/>
              <w:spacing w:line="240" w:lineRule="auto"/>
              <w:jc w:val="center"/>
              <w:rPr>
                <w:szCs w:val="21"/>
              </w:rPr>
            </w:pPr>
            <w:r w:rsidRPr="009F1C15">
              <w:rPr>
                <w:szCs w:val="21"/>
              </w:rPr>
              <w:t>64.3</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10.2</w:t>
            </w:r>
          </w:p>
        </w:tc>
        <w:tc>
          <w:tcPr>
            <w:tcW w:w="223" w:type="pct"/>
            <w:shd w:val="clear" w:color="auto" w:fill="auto"/>
            <w:vAlign w:val="center"/>
          </w:tcPr>
          <w:p w14:paraId="0303C895"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77.2</w:t>
            </w:r>
          </w:p>
        </w:tc>
        <w:tc>
          <w:tcPr>
            <w:tcW w:w="355" w:type="pct"/>
            <w:shd w:val="clear" w:color="auto" w:fill="auto"/>
            <w:vAlign w:val="center"/>
          </w:tcPr>
          <w:p w14:paraId="4332AA6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17.6</w:t>
            </w:r>
          </w:p>
        </w:tc>
        <w:tc>
          <w:tcPr>
            <w:tcW w:w="311" w:type="pct"/>
            <w:shd w:val="clear" w:color="auto" w:fill="auto"/>
            <w:vAlign w:val="center"/>
          </w:tcPr>
          <w:p w14:paraId="09C147E9"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65.0</w:t>
            </w:r>
          </w:p>
        </w:tc>
        <w:tc>
          <w:tcPr>
            <w:tcW w:w="442" w:type="pct"/>
            <w:shd w:val="clear" w:color="auto" w:fill="auto"/>
            <w:vAlign w:val="center"/>
          </w:tcPr>
          <w:p w14:paraId="56F0691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53.1</w:t>
            </w:r>
          </w:p>
        </w:tc>
        <w:tc>
          <w:tcPr>
            <w:tcW w:w="443" w:type="pct"/>
            <w:shd w:val="clear" w:color="auto" w:fill="auto"/>
            <w:vAlign w:val="center"/>
          </w:tcPr>
          <w:p w14:paraId="5FFD9BE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9.2</w:t>
            </w:r>
          </w:p>
        </w:tc>
        <w:tc>
          <w:tcPr>
            <w:tcW w:w="750" w:type="pct"/>
            <w:shd w:val="clear" w:color="auto" w:fill="auto"/>
            <w:vAlign w:val="center"/>
          </w:tcPr>
          <w:p w14:paraId="1F53F937" w14:textId="68791AD4" w:rsidR="00095209" w:rsidRPr="009F1C15" w:rsidRDefault="00095209" w:rsidP="00AC1E78">
            <w:pPr>
              <w:autoSpaceDE w:val="0"/>
              <w:autoSpaceDN w:val="0"/>
              <w:adjustRightInd w:val="0"/>
              <w:snapToGrid w:val="0"/>
              <w:spacing w:line="240" w:lineRule="auto"/>
              <w:jc w:val="center"/>
              <w:rPr>
                <w:szCs w:val="21"/>
              </w:rPr>
            </w:pPr>
            <w:r w:rsidRPr="009F1C15">
              <w:rPr>
                <w:szCs w:val="21"/>
              </w:rPr>
              <w:t>42.4</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27.0</w:t>
            </w:r>
          </w:p>
        </w:tc>
        <w:tc>
          <w:tcPr>
            <w:tcW w:w="267" w:type="pct"/>
            <w:shd w:val="clear" w:color="auto" w:fill="auto"/>
            <w:vAlign w:val="center"/>
          </w:tcPr>
          <w:p w14:paraId="738C813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70459A01" w14:textId="7047C5BC"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30</w:t>
            </w:r>
          </w:p>
        </w:tc>
      </w:tr>
      <w:tr w:rsidR="00AC1E78" w:rsidRPr="009F1C15" w14:paraId="1874FBA8" w14:textId="77777777" w:rsidTr="000A5C77">
        <w:trPr>
          <w:jc w:val="center"/>
        </w:trPr>
        <w:tc>
          <w:tcPr>
            <w:tcW w:w="619" w:type="pct"/>
            <w:vMerge/>
            <w:shd w:val="clear" w:color="auto" w:fill="auto"/>
            <w:vAlign w:val="center"/>
          </w:tcPr>
          <w:p w14:paraId="4FD45C38"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20E2A7B6" w14:textId="58BFA79D"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548)</w:t>
            </w:r>
          </w:p>
        </w:tc>
        <w:tc>
          <w:tcPr>
            <w:tcW w:w="417" w:type="pct"/>
            <w:shd w:val="clear" w:color="auto" w:fill="auto"/>
            <w:vAlign w:val="center"/>
          </w:tcPr>
          <w:p w14:paraId="3248C304" w14:textId="470BF492" w:rsidR="00095209" w:rsidRPr="009F1C15" w:rsidRDefault="00095209" w:rsidP="00AC1E78">
            <w:pPr>
              <w:autoSpaceDE w:val="0"/>
              <w:autoSpaceDN w:val="0"/>
              <w:adjustRightInd w:val="0"/>
              <w:snapToGrid w:val="0"/>
              <w:spacing w:line="240" w:lineRule="auto"/>
              <w:jc w:val="center"/>
              <w:rPr>
                <w:szCs w:val="21"/>
              </w:rPr>
            </w:pPr>
            <w:r w:rsidRPr="009F1C15">
              <w:rPr>
                <w:szCs w:val="21"/>
              </w:rPr>
              <w:t>64.3</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10.0</w:t>
            </w:r>
          </w:p>
        </w:tc>
        <w:tc>
          <w:tcPr>
            <w:tcW w:w="223" w:type="pct"/>
            <w:shd w:val="clear" w:color="auto" w:fill="auto"/>
            <w:vAlign w:val="center"/>
          </w:tcPr>
          <w:p w14:paraId="2C6E386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73.5</w:t>
            </w:r>
          </w:p>
        </w:tc>
        <w:tc>
          <w:tcPr>
            <w:tcW w:w="355" w:type="pct"/>
            <w:shd w:val="clear" w:color="auto" w:fill="auto"/>
            <w:vAlign w:val="center"/>
          </w:tcPr>
          <w:p w14:paraId="1B75EFD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20.6</w:t>
            </w:r>
          </w:p>
        </w:tc>
        <w:tc>
          <w:tcPr>
            <w:tcW w:w="311" w:type="pct"/>
            <w:shd w:val="clear" w:color="auto" w:fill="auto"/>
            <w:vAlign w:val="center"/>
          </w:tcPr>
          <w:p w14:paraId="167E64E5"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58.5</w:t>
            </w:r>
          </w:p>
        </w:tc>
        <w:tc>
          <w:tcPr>
            <w:tcW w:w="442" w:type="pct"/>
            <w:shd w:val="clear" w:color="auto" w:fill="auto"/>
            <w:vAlign w:val="center"/>
          </w:tcPr>
          <w:p w14:paraId="09F1669C"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50.4</w:t>
            </w:r>
          </w:p>
        </w:tc>
        <w:tc>
          <w:tcPr>
            <w:tcW w:w="443" w:type="pct"/>
            <w:shd w:val="clear" w:color="auto" w:fill="auto"/>
            <w:vAlign w:val="center"/>
          </w:tcPr>
          <w:p w14:paraId="0CFA11B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11.9</w:t>
            </w:r>
          </w:p>
        </w:tc>
        <w:tc>
          <w:tcPr>
            <w:tcW w:w="750" w:type="pct"/>
            <w:shd w:val="clear" w:color="auto" w:fill="auto"/>
            <w:vAlign w:val="center"/>
          </w:tcPr>
          <w:p w14:paraId="708759CC" w14:textId="732944AC" w:rsidR="00095209" w:rsidRPr="009F1C15" w:rsidRDefault="00095209" w:rsidP="00AC1E78">
            <w:pPr>
              <w:autoSpaceDE w:val="0"/>
              <w:autoSpaceDN w:val="0"/>
              <w:adjustRightInd w:val="0"/>
              <w:snapToGrid w:val="0"/>
              <w:spacing w:line="240" w:lineRule="auto"/>
              <w:jc w:val="center"/>
              <w:rPr>
                <w:szCs w:val="21"/>
              </w:rPr>
            </w:pPr>
            <w:r w:rsidRPr="009F1C15">
              <w:rPr>
                <w:szCs w:val="21"/>
              </w:rPr>
              <w:t>69.0</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27.0</w:t>
            </w:r>
          </w:p>
        </w:tc>
        <w:tc>
          <w:tcPr>
            <w:tcW w:w="267" w:type="pct"/>
            <w:shd w:val="clear" w:color="auto" w:fill="auto"/>
            <w:vAlign w:val="center"/>
          </w:tcPr>
          <w:p w14:paraId="138CD4A8" w14:textId="1B995B94"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1CC6FA1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4BC2900F" w14:textId="77777777" w:rsidTr="000A5C77">
        <w:trPr>
          <w:jc w:val="center"/>
        </w:trPr>
        <w:tc>
          <w:tcPr>
            <w:tcW w:w="619" w:type="pct"/>
            <w:vMerge w:val="restart"/>
            <w:shd w:val="clear" w:color="auto" w:fill="auto"/>
            <w:vAlign w:val="center"/>
          </w:tcPr>
          <w:p w14:paraId="5AE71174" w14:textId="57206810" w:rsidR="00095209" w:rsidRPr="009F1C15" w:rsidRDefault="00095209" w:rsidP="000A5C77">
            <w:pPr>
              <w:autoSpaceDE w:val="0"/>
              <w:autoSpaceDN w:val="0"/>
              <w:adjustRightInd w:val="0"/>
              <w:snapToGrid w:val="0"/>
              <w:spacing w:line="240" w:lineRule="auto"/>
              <w:jc w:val="center"/>
              <w:rPr>
                <w:bCs/>
                <w:szCs w:val="21"/>
              </w:rPr>
            </w:pPr>
            <w:r w:rsidRPr="009F1C15">
              <w:rPr>
                <w:bCs/>
                <w:szCs w:val="21"/>
              </w:rPr>
              <w:t>FAME 5 year</w:t>
            </w:r>
            <w:r w:rsidR="00A8707F" w:rsidRPr="009F1C15">
              <w:rPr>
                <w:bCs/>
                <w:szCs w:val="21"/>
              </w:rPr>
              <w:t xml:space="preserve"> </w:t>
            </w:r>
            <w:r w:rsidR="00A8707F" w:rsidRPr="009F1C15">
              <w:rPr>
                <w:szCs w:val="21"/>
              </w:rPr>
              <w:t>[</w:t>
            </w:r>
            <w:r w:rsidRPr="009F1C15">
              <w:rPr>
                <w:szCs w:val="21"/>
              </w:rPr>
              <w:t>2</w:t>
            </w:r>
            <w:r w:rsidR="00A8707F" w:rsidRPr="009F1C15">
              <w:rPr>
                <w:szCs w:val="21"/>
              </w:rPr>
              <w:t>]</w:t>
            </w:r>
          </w:p>
          <w:p w14:paraId="6D957C89" w14:textId="77777777"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(NCT00267774)</w:t>
            </w:r>
          </w:p>
        </w:tc>
        <w:tc>
          <w:tcPr>
            <w:tcW w:w="601" w:type="pct"/>
            <w:shd w:val="clear" w:color="auto" w:fill="auto"/>
            <w:vAlign w:val="center"/>
          </w:tcPr>
          <w:p w14:paraId="1AD7751B" w14:textId="2267ADB0"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496)</w:t>
            </w:r>
          </w:p>
        </w:tc>
        <w:tc>
          <w:tcPr>
            <w:tcW w:w="417" w:type="pct"/>
            <w:shd w:val="clear" w:color="auto" w:fill="auto"/>
            <w:vAlign w:val="center"/>
          </w:tcPr>
          <w:p w14:paraId="56B43E7C" w14:textId="22068CC6" w:rsidR="00095209" w:rsidRPr="009F1C15" w:rsidRDefault="00095209" w:rsidP="00AC1E78">
            <w:pPr>
              <w:autoSpaceDE w:val="0"/>
              <w:autoSpaceDN w:val="0"/>
              <w:adjustRightInd w:val="0"/>
              <w:snapToGrid w:val="0"/>
              <w:spacing w:line="240" w:lineRule="auto"/>
              <w:jc w:val="center"/>
              <w:rPr>
                <w:szCs w:val="21"/>
              </w:rPr>
            </w:pPr>
            <w:r w:rsidRPr="009F1C15">
              <w:rPr>
                <w:szCs w:val="21"/>
              </w:rPr>
              <w:t>63.9</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10.0</w:t>
            </w:r>
          </w:p>
        </w:tc>
        <w:tc>
          <w:tcPr>
            <w:tcW w:w="223" w:type="pct"/>
            <w:shd w:val="clear" w:color="auto" w:fill="auto"/>
            <w:vAlign w:val="center"/>
          </w:tcPr>
          <w:p w14:paraId="5BCE054B"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74.0</w:t>
            </w:r>
          </w:p>
        </w:tc>
        <w:tc>
          <w:tcPr>
            <w:tcW w:w="355" w:type="pct"/>
            <w:shd w:val="clear" w:color="auto" w:fill="auto"/>
            <w:vAlign w:val="center"/>
          </w:tcPr>
          <w:p w14:paraId="09ADFDD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25.0</w:t>
            </w:r>
          </w:p>
        </w:tc>
        <w:tc>
          <w:tcPr>
            <w:tcW w:w="311" w:type="pct"/>
            <w:shd w:val="clear" w:color="auto" w:fill="auto"/>
            <w:vAlign w:val="center"/>
          </w:tcPr>
          <w:p w14:paraId="72EF0028"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30.0</w:t>
            </w:r>
          </w:p>
        </w:tc>
        <w:tc>
          <w:tcPr>
            <w:tcW w:w="442" w:type="pct"/>
            <w:shd w:val="clear" w:color="auto" w:fill="auto"/>
            <w:vAlign w:val="center"/>
          </w:tcPr>
          <w:p w14:paraId="55E5F87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31.3</w:t>
            </w:r>
          </w:p>
        </w:tc>
        <w:tc>
          <w:tcPr>
            <w:tcW w:w="443" w:type="pct"/>
            <w:shd w:val="clear" w:color="auto" w:fill="auto"/>
            <w:vAlign w:val="center"/>
          </w:tcPr>
          <w:p w14:paraId="7278CEE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0</w:t>
            </w:r>
          </w:p>
        </w:tc>
        <w:tc>
          <w:tcPr>
            <w:tcW w:w="750" w:type="pct"/>
            <w:shd w:val="clear" w:color="auto" w:fill="auto"/>
            <w:vAlign w:val="center"/>
          </w:tcPr>
          <w:p w14:paraId="1FA67B8A" w14:textId="544D70F3" w:rsidR="00095209" w:rsidRPr="009F1C15" w:rsidRDefault="00095209" w:rsidP="00AC1E78">
            <w:pPr>
              <w:autoSpaceDE w:val="0"/>
              <w:autoSpaceDN w:val="0"/>
              <w:adjustRightInd w:val="0"/>
              <w:snapToGrid w:val="0"/>
              <w:spacing w:line="240" w:lineRule="auto"/>
              <w:jc w:val="center"/>
              <w:rPr>
                <w:szCs w:val="21"/>
              </w:rPr>
            </w:pPr>
            <w:r w:rsidRPr="009F1C15">
              <w:rPr>
                <w:szCs w:val="21"/>
              </w:rPr>
              <w:t>70.0</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44</w:t>
            </w:r>
          </w:p>
        </w:tc>
        <w:tc>
          <w:tcPr>
            <w:tcW w:w="267" w:type="pct"/>
            <w:shd w:val="clear" w:color="auto" w:fill="auto"/>
            <w:vAlign w:val="center"/>
          </w:tcPr>
          <w:p w14:paraId="50DE2E48"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76A24F2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&gt;50</w:t>
            </w:r>
          </w:p>
        </w:tc>
      </w:tr>
      <w:tr w:rsidR="00AC1E78" w:rsidRPr="009F1C15" w14:paraId="0A375DE6" w14:textId="77777777" w:rsidTr="000A5C77">
        <w:trPr>
          <w:jc w:val="center"/>
        </w:trPr>
        <w:tc>
          <w:tcPr>
            <w:tcW w:w="619" w:type="pct"/>
            <w:vMerge/>
            <w:shd w:val="clear" w:color="auto" w:fill="auto"/>
            <w:vAlign w:val="center"/>
          </w:tcPr>
          <w:p w14:paraId="021D7F06"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409EA80D" w14:textId="6A0644B9"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509)</w:t>
            </w:r>
          </w:p>
        </w:tc>
        <w:tc>
          <w:tcPr>
            <w:tcW w:w="417" w:type="pct"/>
            <w:shd w:val="clear" w:color="auto" w:fill="auto"/>
            <w:vAlign w:val="center"/>
          </w:tcPr>
          <w:p w14:paraId="21A1CE46" w14:textId="3D90EF5F" w:rsidR="00095209" w:rsidRPr="009F1C15" w:rsidRDefault="00095209" w:rsidP="00AC1E78">
            <w:pPr>
              <w:autoSpaceDE w:val="0"/>
              <w:autoSpaceDN w:val="0"/>
              <w:adjustRightInd w:val="0"/>
              <w:snapToGrid w:val="0"/>
              <w:spacing w:line="240" w:lineRule="auto"/>
              <w:jc w:val="center"/>
              <w:rPr>
                <w:szCs w:val="21"/>
              </w:rPr>
            </w:pPr>
            <w:r w:rsidRPr="009F1C15">
              <w:rPr>
                <w:szCs w:val="21"/>
              </w:rPr>
              <w:t>64.5</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10.4</w:t>
            </w:r>
          </w:p>
        </w:tc>
        <w:tc>
          <w:tcPr>
            <w:tcW w:w="223" w:type="pct"/>
            <w:shd w:val="clear" w:color="auto" w:fill="auto"/>
            <w:vAlign w:val="center"/>
          </w:tcPr>
          <w:p w14:paraId="57730BD9"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75.0</w:t>
            </w:r>
          </w:p>
        </w:tc>
        <w:tc>
          <w:tcPr>
            <w:tcW w:w="355" w:type="pct"/>
            <w:shd w:val="clear" w:color="auto" w:fill="auto"/>
            <w:vAlign w:val="center"/>
          </w:tcPr>
          <w:p w14:paraId="739A7B6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22.0</w:t>
            </w:r>
          </w:p>
        </w:tc>
        <w:tc>
          <w:tcPr>
            <w:tcW w:w="311" w:type="pct"/>
            <w:shd w:val="clear" w:color="auto" w:fill="auto"/>
            <w:vAlign w:val="center"/>
          </w:tcPr>
          <w:p w14:paraId="087D8DD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25.0</w:t>
            </w:r>
          </w:p>
        </w:tc>
        <w:tc>
          <w:tcPr>
            <w:tcW w:w="442" w:type="pct"/>
            <w:shd w:val="clear" w:color="auto" w:fill="auto"/>
            <w:vAlign w:val="center"/>
          </w:tcPr>
          <w:p w14:paraId="53B64B9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25.1</w:t>
            </w:r>
          </w:p>
        </w:tc>
        <w:tc>
          <w:tcPr>
            <w:tcW w:w="443" w:type="pct"/>
            <w:shd w:val="clear" w:color="auto" w:fill="auto"/>
            <w:vAlign w:val="center"/>
          </w:tcPr>
          <w:p w14:paraId="137EB055"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0</w:t>
            </w:r>
          </w:p>
        </w:tc>
        <w:tc>
          <w:tcPr>
            <w:tcW w:w="750" w:type="pct"/>
            <w:shd w:val="clear" w:color="auto" w:fill="auto"/>
            <w:vAlign w:val="center"/>
          </w:tcPr>
          <w:p w14:paraId="7E3F6380" w14:textId="3735E3F6" w:rsidR="00095209" w:rsidRPr="009F1C15" w:rsidRDefault="00095209" w:rsidP="00AC1E78">
            <w:pPr>
              <w:autoSpaceDE w:val="0"/>
              <w:autoSpaceDN w:val="0"/>
              <w:adjustRightInd w:val="0"/>
              <w:snapToGrid w:val="0"/>
              <w:spacing w:line="240" w:lineRule="auto"/>
              <w:jc w:val="center"/>
              <w:rPr>
                <w:szCs w:val="21"/>
              </w:rPr>
            </w:pPr>
            <w:r w:rsidRPr="009F1C15">
              <w:rPr>
                <w:szCs w:val="21"/>
              </w:rPr>
              <w:t>71.0</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43</w:t>
            </w:r>
          </w:p>
        </w:tc>
        <w:tc>
          <w:tcPr>
            <w:tcW w:w="267" w:type="pct"/>
            <w:shd w:val="clear" w:color="auto" w:fill="auto"/>
            <w:vAlign w:val="center"/>
          </w:tcPr>
          <w:p w14:paraId="60D90F4C" w14:textId="6C6BEFF1"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022CC2BC"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4AEE6174" w14:textId="77777777" w:rsidTr="000A5C77">
        <w:trPr>
          <w:jc w:val="center"/>
        </w:trPr>
        <w:tc>
          <w:tcPr>
            <w:tcW w:w="619" w:type="pct"/>
            <w:vMerge w:val="restart"/>
            <w:shd w:val="clear" w:color="auto" w:fill="auto"/>
            <w:vAlign w:val="center"/>
          </w:tcPr>
          <w:p w14:paraId="5EF1C31E" w14:textId="7BD73940" w:rsidR="00A8707F" w:rsidRPr="009F1C15" w:rsidRDefault="00095209" w:rsidP="000A5C77">
            <w:pPr>
              <w:autoSpaceDE w:val="0"/>
              <w:autoSpaceDN w:val="0"/>
              <w:adjustRightInd w:val="0"/>
              <w:snapToGrid w:val="0"/>
              <w:spacing w:line="240" w:lineRule="auto"/>
              <w:jc w:val="center"/>
              <w:rPr>
                <w:bCs/>
                <w:szCs w:val="21"/>
              </w:rPr>
            </w:pPr>
            <w:r w:rsidRPr="009F1C15">
              <w:rPr>
                <w:bCs/>
                <w:szCs w:val="21"/>
              </w:rPr>
              <w:t>FARGO</w:t>
            </w:r>
          </w:p>
          <w:p w14:paraId="0919EB7F" w14:textId="0E86A843" w:rsidR="00095209" w:rsidRPr="009F1C15" w:rsidRDefault="00A8707F" w:rsidP="000A5C77">
            <w:pPr>
              <w:autoSpaceDE w:val="0"/>
              <w:autoSpaceDN w:val="0"/>
              <w:adjustRightInd w:val="0"/>
              <w:snapToGrid w:val="0"/>
              <w:spacing w:line="240" w:lineRule="auto"/>
              <w:jc w:val="center"/>
              <w:rPr>
                <w:szCs w:val="21"/>
              </w:rPr>
            </w:pPr>
            <w:r w:rsidRPr="009F1C15">
              <w:rPr>
                <w:szCs w:val="21"/>
              </w:rPr>
              <w:t>[</w:t>
            </w:r>
            <w:r w:rsidR="00095209" w:rsidRPr="009F1C15">
              <w:rPr>
                <w:szCs w:val="21"/>
              </w:rPr>
              <w:t>5</w:t>
            </w:r>
            <w:r w:rsidRPr="009F1C15">
              <w:rPr>
                <w:szCs w:val="21"/>
              </w:rPr>
              <w:t>]</w:t>
            </w:r>
          </w:p>
          <w:p w14:paraId="426C0E51" w14:textId="77777777"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(NCT02477371)</w:t>
            </w:r>
          </w:p>
        </w:tc>
        <w:tc>
          <w:tcPr>
            <w:tcW w:w="601" w:type="pct"/>
            <w:shd w:val="clear" w:color="auto" w:fill="auto"/>
            <w:vAlign w:val="center"/>
          </w:tcPr>
          <w:p w14:paraId="466E03EF" w14:textId="02B09071"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48)</w:t>
            </w:r>
          </w:p>
        </w:tc>
        <w:tc>
          <w:tcPr>
            <w:tcW w:w="417" w:type="pct"/>
            <w:shd w:val="clear" w:color="auto" w:fill="auto"/>
            <w:vAlign w:val="center"/>
          </w:tcPr>
          <w:p w14:paraId="0599B7DA" w14:textId="0CD9772C" w:rsidR="00095209" w:rsidRPr="009F1C15" w:rsidRDefault="00095209" w:rsidP="00AC1E78">
            <w:pPr>
              <w:autoSpaceDE w:val="0"/>
              <w:autoSpaceDN w:val="0"/>
              <w:adjustRightInd w:val="0"/>
              <w:snapToGrid w:val="0"/>
              <w:spacing w:line="240" w:lineRule="auto"/>
              <w:jc w:val="center"/>
              <w:rPr>
                <w:szCs w:val="21"/>
              </w:rPr>
            </w:pPr>
            <w:r w:rsidRPr="009F1C15">
              <w:rPr>
                <w:szCs w:val="21"/>
              </w:rPr>
              <w:t>65.3</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8.8</w:t>
            </w:r>
          </w:p>
        </w:tc>
        <w:tc>
          <w:tcPr>
            <w:tcW w:w="223" w:type="pct"/>
            <w:shd w:val="clear" w:color="auto" w:fill="auto"/>
            <w:vAlign w:val="center"/>
          </w:tcPr>
          <w:p w14:paraId="752ED95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89.0</w:t>
            </w:r>
          </w:p>
        </w:tc>
        <w:tc>
          <w:tcPr>
            <w:tcW w:w="355" w:type="pct"/>
            <w:shd w:val="clear" w:color="auto" w:fill="auto"/>
            <w:vAlign w:val="center"/>
          </w:tcPr>
          <w:p w14:paraId="2155EDA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23.0</w:t>
            </w:r>
          </w:p>
        </w:tc>
        <w:tc>
          <w:tcPr>
            <w:tcW w:w="311" w:type="pct"/>
            <w:shd w:val="clear" w:color="auto" w:fill="auto"/>
            <w:vAlign w:val="center"/>
          </w:tcPr>
          <w:p w14:paraId="788BC98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17.0</w:t>
            </w:r>
          </w:p>
        </w:tc>
        <w:tc>
          <w:tcPr>
            <w:tcW w:w="442" w:type="pct"/>
            <w:shd w:val="clear" w:color="auto" w:fill="auto"/>
            <w:vAlign w:val="center"/>
          </w:tcPr>
          <w:p w14:paraId="25BE5AE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14.0</w:t>
            </w:r>
          </w:p>
        </w:tc>
        <w:tc>
          <w:tcPr>
            <w:tcW w:w="443" w:type="pct"/>
            <w:shd w:val="clear" w:color="auto" w:fill="auto"/>
            <w:vAlign w:val="center"/>
          </w:tcPr>
          <w:p w14:paraId="12B1AE9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100.0</w:t>
            </w:r>
          </w:p>
        </w:tc>
        <w:tc>
          <w:tcPr>
            <w:tcW w:w="750" w:type="pct"/>
            <w:shd w:val="clear" w:color="auto" w:fill="auto"/>
            <w:vAlign w:val="center"/>
          </w:tcPr>
          <w:p w14:paraId="45831DC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267" w:type="pct"/>
            <w:shd w:val="clear" w:color="auto" w:fill="auto"/>
            <w:vAlign w:val="center"/>
          </w:tcPr>
          <w:p w14:paraId="52198BF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391A8F0B" w14:textId="353C8B1D"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50</w:t>
            </w:r>
          </w:p>
        </w:tc>
      </w:tr>
      <w:tr w:rsidR="00AC1E78" w:rsidRPr="009F1C15" w14:paraId="23BFBE5A" w14:textId="77777777" w:rsidTr="000A5C77">
        <w:trPr>
          <w:jc w:val="center"/>
        </w:trPr>
        <w:tc>
          <w:tcPr>
            <w:tcW w:w="619" w:type="pct"/>
            <w:vMerge/>
            <w:shd w:val="clear" w:color="auto" w:fill="auto"/>
            <w:vAlign w:val="center"/>
          </w:tcPr>
          <w:p w14:paraId="361D6B6B"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21AEBE44" w14:textId="426910A4"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49)</w:t>
            </w:r>
          </w:p>
        </w:tc>
        <w:tc>
          <w:tcPr>
            <w:tcW w:w="417" w:type="pct"/>
            <w:shd w:val="clear" w:color="auto" w:fill="auto"/>
            <w:vAlign w:val="center"/>
          </w:tcPr>
          <w:p w14:paraId="47C5FABD" w14:textId="5BECB458" w:rsidR="00095209" w:rsidRPr="009F1C15" w:rsidRDefault="00095209" w:rsidP="00AC1E78">
            <w:pPr>
              <w:autoSpaceDE w:val="0"/>
              <w:autoSpaceDN w:val="0"/>
              <w:adjustRightInd w:val="0"/>
              <w:snapToGrid w:val="0"/>
              <w:spacing w:line="240" w:lineRule="auto"/>
              <w:jc w:val="center"/>
              <w:rPr>
                <w:szCs w:val="21"/>
              </w:rPr>
            </w:pPr>
            <w:r w:rsidRPr="009F1C15">
              <w:rPr>
                <w:szCs w:val="21"/>
              </w:rPr>
              <w:t>66.4</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6.4</w:t>
            </w:r>
          </w:p>
        </w:tc>
        <w:tc>
          <w:tcPr>
            <w:tcW w:w="223" w:type="pct"/>
            <w:shd w:val="clear" w:color="auto" w:fill="auto"/>
            <w:vAlign w:val="center"/>
          </w:tcPr>
          <w:p w14:paraId="1130FBC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88.0</w:t>
            </w:r>
          </w:p>
        </w:tc>
        <w:tc>
          <w:tcPr>
            <w:tcW w:w="355" w:type="pct"/>
            <w:shd w:val="clear" w:color="auto" w:fill="auto"/>
            <w:vAlign w:val="center"/>
          </w:tcPr>
          <w:p w14:paraId="1F38CAD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22.0</w:t>
            </w:r>
          </w:p>
        </w:tc>
        <w:tc>
          <w:tcPr>
            <w:tcW w:w="311" w:type="pct"/>
            <w:shd w:val="clear" w:color="auto" w:fill="auto"/>
            <w:vAlign w:val="center"/>
          </w:tcPr>
          <w:p w14:paraId="60C9FB4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27.0</w:t>
            </w:r>
          </w:p>
        </w:tc>
        <w:tc>
          <w:tcPr>
            <w:tcW w:w="442" w:type="pct"/>
            <w:shd w:val="clear" w:color="auto" w:fill="auto"/>
            <w:vAlign w:val="center"/>
          </w:tcPr>
          <w:p w14:paraId="3FBAECC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31.0</w:t>
            </w:r>
          </w:p>
        </w:tc>
        <w:tc>
          <w:tcPr>
            <w:tcW w:w="443" w:type="pct"/>
            <w:shd w:val="clear" w:color="auto" w:fill="auto"/>
            <w:vAlign w:val="center"/>
          </w:tcPr>
          <w:p w14:paraId="011B4BEB"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100.0</w:t>
            </w:r>
          </w:p>
        </w:tc>
        <w:tc>
          <w:tcPr>
            <w:tcW w:w="750" w:type="pct"/>
            <w:shd w:val="clear" w:color="auto" w:fill="auto"/>
            <w:vAlign w:val="center"/>
          </w:tcPr>
          <w:p w14:paraId="0F3C28E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267" w:type="pct"/>
            <w:shd w:val="clear" w:color="auto" w:fill="auto"/>
            <w:vAlign w:val="center"/>
          </w:tcPr>
          <w:p w14:paraId="11F8DD30" w14:textId="681946EE"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134A482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04F4245A" w14:textId="77777777" w:rsidTr="000A5C77">
        <w:trPr>
          <w:jc w:val="center"/>
        </w:trPr>
        <w:tc>
          <w:tcPr>
            <w:tcW w:w="619" w:type="pct"/>
            <w:vMerge w:val="restart"/>
            <w:shd w:val="clear" w:color="auto" w:fill="auto"/>
            <w:vAlign w:val="center"/>
          </w:tcPr>
          <w:p w14:paraId="19BD6CB1" w14:textId="714538E5" w:rsidR="00A8707F" w:rsidRPr="009F1C15" w:rsidRDefault="00095209" w:rsidP="000A5C77">
            <w:pPr>
              <w:autoSpaceDE w:val="0"/>
              <w:autoSpaceDN w:val="0"/>
              <w:adjustRightInd w:val="0"/>
              <w:snapToGrid w:val="0"/>
              <w:spacing w:line="240" w:lineRule="auto"/>
              <w:jc w:val="center"/>
              <w:rPr>
                <w:bCs/>
                <w:szCs w:val="21"/>
              </w:rPr>
            </w:pPr>
            <w:r w:rsidRPr="009F1C15">
              <w:rPr>
                <w:bCs/>
                <w:szCs w:val="21"/>
              </w:rPr>
              <w:t>GRAFFITI</w:t>
            </w:r>
          </w:p>
          <w:p w14:paraId="0DF65648" w14:textId="681F744C" w:rsidR="00095209" w:rsidRPr="009F1C15" w:rsidRDefault="00A8707F" w:rsidP="000A5C77">
            <w:pPr>
              <w:autoSpaceDE w:val="0"/>
              <w:autoSpaceDN w:val="0"/>
              <w:adjustRightInd w:val="0"/>
              <w:snapToGrid w:val="0"/>
              <w:spacing w:line="240" w:lineRule="auto"/>
              <w:jc w:val="center"/>
              <w:rPr>
                <w:szCs w:val="21"/>
              </w:rPr>
            </w:pPr>
            <w:r w:rsidRPr="009F1C15">
              <w:rPr>
                <w:szCs w:val="21"/>
              </w:rPr>
              <w:t>[</w:t>
            </w:r>
            <w:r w:rsidR="00095209" w:rsidRPr="009F1C15">
              <w:rPr>
                <w:szCs w:val="21"/>
              </w:rPr>
              <w:t>6</w:t>
            </w:r>
            <w:r w:rsidRPr="009F1C15">
              <w:rPr>
                <w:szCs w:val="21"/>
              </w:rPr>
              <w:t>]</w:t>
            </w:r>
          </w:p>
          <w:p w14:paraId="6DD3CF91" w14:textId="18DDD165"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(NCT01810224)</w:t>
            </w:r>
          </w:p>
        </w:tc>
        <w:tc>
          <w:tcPr>
            <w:tcW w:w="601" w:type="pct"/>
            <w:shd w:val="clear" w:color="auto" w:fill="auto"/>
            <w:vAlign w:val="center"/>
          </w:tcPr>
          <w:p w14:paraId="71CEE94E" w14:textId="288AA211"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84)</w:t>
            </w:r>
          </w:p>
        </w:tc>
        <w:tc>
          <w:tcPr>
            <w:tcW w:w="417" w:type="pct"/>
            <w:shd w:val="clear" w:color="auto" w:fill="auto"/>
            <w:vAlign w:val="center"/>
          </w:tcPr>
          <w:p w14:paraId="29D94A73" w14:textId="7AB838A1" w:rsidR="00095209" w:rsidRPr="009F1C15" w:rsidRDefault="00095209" w:rsidP="00AC1E78">
            <w:pPr>
              <w:autoSpaceDE w:val="0"/>
              <w:autoSpaceDN w:val="0"/>
              <w:adjustRightInd w:val="0"/>
              <w:snapToGrid w:val="0"/>
              <w:spacing w:line="240" w:lineRule="auto"/>
              <w:jc w:val="center"/>
              <w:rPr>
                <w:szCs w:val="21"/>
              </w:rPr>
            </w:pPr>
            <w:r w:rsidRPr="009F1C15">
              <w:rPr>
                <w:szCs w:val="21"/>
              </w:rPr>
              <w:t xml:space="preserve">67 </w:t>
            </w:r>
            <w:r w:rsidR="000A5C77" w:rsidRPr="009F1C15">
              <w:rPr>
                <w:szCs w:val="21"/>
              </w:rPr>
              <w:t>(</w:t>
            </w:r>
            <w:r w:rsidR="00D12817" w:rsidRPr="009F1C15">
              <w:rPr>
                <w:szCs w:val="21"/>
              </w:rPr>
              <w:t>63,</w:t>
            </w:r>
            <w:r w:rsidR="00A61020" w:rsidRPr="009F1C15">
              <w:rPr>
                <w:szCs w:val="21"/>
              </w:rPr>
              <w:t xml:space="preserve"> </w:t>
            </w:r>
            <w:r w:rsidR="00D12817" w:rsidRPr="009F1C15">
              <w:rPr>
                <w:szCs w:val="21"/>
              </w:rPr>
              <w:t>72</w:t>
            </w:r>
            <w:r w:rsidR="000A5C77" w:rsidRPr="009F1C15">
              <w:rPr>
                <w:szCs w:val="21"/>
              </w:rPr>
              <w:t>)</w:t>
            </w:r>
          </w:p>
        </w:tc>
        <w:tc>
          <w:tcPr>
            <w:tcW w:w="223" w:type="pct"/>
            <w:shd w:val="clear" w:color="auto" w:fill="auto"/>
            <w:vAlign w:val="center"/>
          </w:tcPr>
          <w:p w14:paraId="1009F406"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79.00</w:t>
            </w:r>
          </w:p>
        </w:tc>
        <w:tc>
          <w:tcPr>
            <w:tcW w:w="355" w:type="pct"/>
            <w:shd w:val="clear" w:color="auto" w:fill="auto"/>
            <w:vAlign w:val="center"/>
          </w:tcPr>
          <w:p w14:paraId="68E3404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40.0</w:t>
            </w:r>
          </w:p>
        </w:tc>
        <w:tc>
          <w:tcPr>
            <w:tcW w:w="311" w:type="pct"/>
            <w:shd w:val="clear" w:color="auto" w:fill="auto"/>
            <w:vAlign w:val="center"/>
          </w:tcPr>
          <w:p w14:paraId="7125C32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42.0</w:t>
            </w:r>
          </w:p>
        </w:tc>
        <w:tc>
          <w:tcPr>
            <w:tcW w:w="442" w:type="pct"/>
            <w:vMerge w:val="restart"/>
            <w:shd w:val="clear" w:color="auto" w:fill="auto"/>
            <w:vAlign w:val="center"/>
          </w:tcPr>
          <w:p w14:paraId="50BD77F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11.0</w:t>
            </w:r>
          </w:p>
          <w:p w14:paraId="0FAFA6FB"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(for entire</w:t>
            </w:r>
          </w:p>
          <w:p w14:paraId="60A5AEC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population)</w:t>
            </w:r>
          </w:p>
        </w:tc>
        <w:tc>
          <w:tcPr>
            <w:tcW w:w="443" w:type="pct"/>
            <w:shd w:val="clear" w:color="auto" w:fill="auto"/>
            <w:vAlign w:val="center"/>
          </w:tcPr>
          <w:p w14:paraId="4F2E8F4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100.0</w:t>
            </w:r>
          </w:p>
        </w:tc>
        <w:tc>
          <w:tcPr>
            <w:tcW w:w="750" w:type="pct"/>
            <w:shd w:val="clear" w:color="auto" w:fill="auto"/>
            <w:vAlign w:val="center"/>
          </w:tcPr>
          <w:p w14:paraId="483AD30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267" w:type="pct"/>
            <w:shd w:val="clear" w:color="auto" w:fill="auto"/>
            <w:vAlign w:val="center"/>
          </w:tcPr>
          <w:p w14:paraId="13BFB88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3D15B601" w14:textId="2FA13C0F"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30</w:t>
            </w:r>
          </w:p>
        </w:tc>
      </w:tr>
      <w:tr w:rsidR="00AC1E78" w:rsidRPr="009F1C15" w14:paraId="14E4AB00" w14:textId="77777777" w:rsidTr="000A5C77">
        <w:trPr>
          <w:jc w:val="center"/>
        </w:trPr>
        <w:tc>
          <w:tcPr>
            <w:tcW w:w="619" w:type="pct"/>
            <w:vMerge/>
            <w:shd w:val="clear" w:color="auto" w:fill="auto"/>
            <w:vAlign w:val="center"/>
          </w:tcPr>
          <w:p w14:paraId="252337F6"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532692BC" w14:textId="417116D6"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88)</w:t>
            </w:r>
          </w:p>
        </w:tc>
        <w:tc>
          <w:tcPr>
            <w:tcW w:w="417" w:type="pct"/>
            <w:shd w:val="clear" w:color="auto" w:fill="auto"/>
            <w:vAlign w:val="center"/>
          </w:tcPr>
          <w:p w14:paraId="09D8233F" w14:textId="1ED8AA9E" w:rsidR="00095209" w:rsidRPr="009F1C15" w:rsidRDefault="00095209" w:rsidP="00AC1E78">
            <w:pPr>
              <w:autoSpaceDE w:val="0"/>
              <w:autoSpaceDN w:val="0"/>
              <w:adjustRightInd w:val="0"/>
              <w:snapToGrid w:val="0"/>
              <w:spacing w:line="240" w:lineRule="auto"/>
              <w:jc w:val="center"/>
              <w:rPr>
                <w:szCs w:val="21"/>
              </w:rPr>
            </w:pPr>
            <w:r w:rsidRPr="009F1C15">
              <w:rPr>
                <w:szCs w:val="21"/>
              </w:rPr>
              <w:t xml:space="preserve">67 </w:t>
            </w:r>
            <w:bookmarkStart w:id="2" w:name="OLE_LINK3"/>
            <w:bookmarkStart w:id="3" w:name="OLE_LINK4"/>
            <w:r w:rsidR="000A5C77" w:rsidRPr="009F1C15">
              <w:rPr>
                <w:szCs w:val="21"/>
              </w:rPr>
              <w:t>(</w:t>
            </w:r>
            <w:r w:rsidR="00D12817" w:rsidRPr="009F1C15">
              <w:rPr>
                <w:szCs w:val="21"/>
              </w:rPr>
              <w:t>62,</w:t>
            </w:r>
            <w:r w:rsidR="00A61020" w:rsidRPr="009F1C15">
              <w:rPr>
                <w:szCs w:val="21"/>
              </w:rPr>
              <w:t xml:space="preserve"> </w:t>
            </w:r>
            <w:r w:rsidR="00D12817" w:rsidRPr="009F1C15">
              <w:rPr>
                <w:szCs w:val="21"/>
              </w:rPr>
              <w:t>72</w:t>
            </w:r>
            <w:bookmarkEnd w:id="2"/>
            <w:bookmarkEnd w:id="3"/>
            <w:r w:rsidR="000A5C77" w:rsidRPr="009F1C15">
              <w:rPr>
                <w:szCs w:val="21"/>
              </w:rPr>
              <w:t>)</w:t>
            </w:r>
          </w:p>
        </w:tc>
        <w:tc>
          <w:tcPr>
            <w:tcW w:w="223" w:type="pct"/>
            <w:shd w:val="clear" w:color="auto" w:fill="auto"/>
            <w:vAlign w:val="center"/>
          </w:tcPr>
          <w:p w14:paraId="43CCDF69"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83.0</w:t>
            </w:r>
          </w:p>
        </w:tc>
        <w:tc>
          <w:tcPr>
            <w:tcW w:w="355" w:type="pct"/>
            <w:shd w:val="clear" w:color="auto" w:fill="auto"/>
            <w:vAlign w:val="center"/>
          </w:tcPr>
          <w:p w14:paraId="25A3897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35.0</w:t>
            </w:r>
          </w:p>
        </w:tc>
        <w:tc>
          <w:tcPr>
            <w:tcW w:w="311" w:type="pct"/>
            <w:shd w:val="clear" w:color="auto" w:fill="auto"/>
            <w:vAlign w:val="center"/>
          </w:tcPr>
          <w:p w14:paraId="0DDDC7F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53.0</w:t>
            </w:r>
          </w:p>
        </w:tc>
        <w:tc>
          <w:tcPr>
            <w:tcW w:w="442" w:type="pct"/>
            <w:vMerge/>
            <w:shd w:val="clear" w:color="auto" w:fill="auto"/>
            <w:vAlign w:val="center"/>
          </w:tcPr>
          <w:p w14:paraId="104E175F" w14:textId="77777777" w:rsidR="00095209" w:rsidRPr="009F1C15" w:rsidRDefault="00095209" w:rsidP="00AC1E78">
            <w:pPr>
              <w:autoSpaceDE w:val="0"/>
              <w:autoSpaceDN w:val="0"/>
              <w:adjustRightInd w:val="0"/>
              <w:snapToGrid w:val="0"/>
              <w:spacing w:line="240" w:lineRule="auto"/>
              <w:jc w:val="center"/>
              <w:rPr>
                <w:szCs w:val="21"/>
              </w:rPr>
            </w:pPr>
          </w:p>
        </w:tc>
        <w:tc>
          <w:tcPr>
            <w:tcW w:w="443" w:type="pct"/>
            <w:shd w:val="clear" w:color="auto" w:fill="auto"/>
            <w:vAlign w:val="center"/>
          </w:tcPr>
          <w:p w14:paraId="1EE33E8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100.0</w:t>
            </w:r>
          </w:p>
        </w:tc>
        <w:tc>
          <w:tcPr>
            <w:tcW w:w="750" w:type="pct"/>
            <w:shd w:val="clear" w:color="auto" w:fill="auto"/>
            <w:vAlign w:val="center"/>
          </w:tcPr>
          <w:p w14:paraId="0EE3730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267" w:type="pct"/>
            <w:shd w:val="clear" w:color="auto" w:fill="auto"/>
            <w:vAlign w:val="center"/>
          </w:tcPr>
          <w:p w14:paraId="46C18CAB" w14:textId="4F88521E"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0A3E58E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5177AC4E" w14:textId="77777777" w:rsidTr="000A5C77">
        <w:trPr>
          <w:jc w:val="center"/>
        </w:trPr>
        <w:tc>
          <w:tcPr>
            <w:tcW w:w="619" w:type="pct"/>
            <w:vMerge w:val="restart"/>
            <w:shd w:val="clear" w:color="auto" w:fill="auto"/>
            <w:vAlign w:val="center"/>
          </w:tcPr>
          <w:p w14:paraId="2380CAC3" w14:textId="77777777" w:rsidR="00095209" w:rsidRPr="009F1C15" w:rsidRDefault="00095209" w:rsidP="000A5C77">
            <w:pPr>
              <w:autoSpaceDE w:val="0"/>
              <w:autoSpaceDN w:val="0"/>
              <w:adjustRightInd w:val="0"/>
              <w:snapToGrid w:val="0"/>
              <w:spacing w:line="240" w:lineRule="auto"/>
              <w:jc w:val="center"/>
              <w:rPr>
                <w:bCs/>
                <w:szCs w:val="21"/>
              </w:rPr>
            </w:pPr>
            <w:r w:rsidRPr="009F1C15">
              <w:rPr>
                <w:bCs/>
                <w:szCs w:val="21"/>
              </w:rPr>
              <w:t>FAMOUS-</w:t>
            </w:r>
          </w:p>
          <w:p w14:paraId="6A6E5B49" w14:textId="07A494CB" w:rsidR="00A8707F" w:rsidRPr="009F1C15" w:rsidRDefault="00095209" w:rsidP="000A5C77">
            <w:pPr>
              <w:autoSpaceDE w:val="0"/>
              <w:autoSpaceDN w:val="0"/>
              <w:adjustRightInd w:val="0"/>
              <w:snapToGrid w:val="0"/>
              <w:spacing w:line="240" w:lineRule="auto"/>
              <w:jc w:val="center"/>
              <w:rPr>
                <w:bCs/>
                <w:szCs w:val="21"/>
              </w:rPr>
            </w:pPr>
            <w:r w:rsidRPr="009F1C15">
              <w:rPr>
                <w:bCs/>
                <w:szCs w:val="21"/>
              </w:rPr>
              <w:t>NSTEMI</w:t>
            </w:r>
          </w:p>
          <w:p w14:paraId="1EEF5151" w14:textId="20B56848" w:rsidR="00095209" w:rsidRPr="009F1C15" w:rsidRDefault="00A8707F" w:rsidP="000A5C77">
            <w:pPr>
              <w:autoSpaceDE w:val="0"/>
              <w:autoSpaceDN w:val="0"/>
              <w:adjustRightInd w:val="0"/>
              <w:snapToGrid w:val="0"/>
              <w:spacing w:line="240" w:lineRule="auto"/>
              <w:jc w:val="center"/>
              <w:rPr>
                <w:szCs w:val="21"/>
              </w:rPr>
            </w:pPr>
            <w:r w:rsidRPr="009F1C15">
              <w:rPr>
                <w:szCs w:val="21"/>
              </w:rPr>
              <w:t>[</w:t>
            </w:r>
            <w:r w:rsidR="00095209" w:rsidRPr="009F1C15">
              <w:rPr>
                <w:szCs w:val="21"/>
              </w:rPr>
              <w:t>2</w:t>
            </w:r>
            <w:r w:rsidRPr="009F1C15">
              <w:rPr>
                <w:szCs w:val="21"/>
              </w:rPr>
              <w:t>]</w:t>
            </w:r>
          </w:p>
          <w:p w14:paraId="5E0F45EC" w14:textId="77777777"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(NCT01764334)</w:t>
            </w:r>
          </w:p>
        </w:tc>
        <w:tc>
          <w:tcPr>
            <w:tcW w:w="601" w:type="pct"/>
            <w:shd w:val="clear" w:color="auto" w:fill="auto"/>
            <w:vAlign w:val="center"/>
          </w:tcPr>
          <w:p w14:paraId="0AFA631A" w14:textId="7013B724"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174)</w:t>
            </w:r>
          </w:p>
        </w:tc>
        <w:tc>
          <w:tcPr>
            <w:tcW w:w="417" w:type="pct"/>
            <w:shd w:val="clear" w:color="auto" w:fill="auto"/>
            <w:vAlign w:val="center"/>
          </w:tcPr>
          <w:p w14:paraId="42B8934B" w14:textId="668A7985" w:rsidR="00095209" w:rsidRPr="009F1C15" w:rsidRDefault="00095209" w:rsidP="00AC1E78">
            <w:pPr>
              <w:autoSpaceDE w:val="0"/>
              <w:autoSpaceDN w:val="0"/>
              <w:adjustRightInd w:val="0"/>
              <w:snapToGrid w:val="0"/>
              <w:spacing w:line="240" w:lineRule="auto"/>
              <w:jc w:val="center"/>
              <w:rPr>
                <w:szCs w:val="21"/>
              </w:rPr>
            </w:pPr>
            <w:r w:rsidRPr="009F1C15">
              <w:rPr>
                <w:szCs w:val="21"/>
              </w:rPr>
              <w:t>61.6</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11.1</w:t>
            </w:r>
          </w:p>
        </w:tc>
        <w:tc>
          <w:tcPr>
            <w:tcW w:w="223" w:type="pct"/>
            <w:shd w:val="clear" w:color="auto" w:fill="auto"/>
            <w:vAlign w:val="center"/>
          </w:tcPr>
          <w:p w14:paraId="3DF77C96"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73.0</w:t>
            </w:r>
          </w:p>
        </w:tc>
        <w:tc>
          <w:tcPr>
            <w:tcW w:w="355" w:type="pct"/>
            <w:shd w:val="clear" w:color="auto" w:fill="auto"/>
            <w:vAlign w:val="center"/>
          </w:tcPr>
          <w:p w14:paraId="5A73664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14.9</w:t>
            </w:r>
          </w:p>
        </w:tc>
        <w:tc>
          <w:tcPr>
            <w:tcW w:w="311" w:type="pct"/>
            <w:shd w:val="clear" w:color="auto" w:fill="auto"/>
            <w:vAlign w:val="center"/>
          </w:tcPr>
          <w:p w14:paraId="18268456"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40.8</w:t>
            </w:r>
          </w:p>
        </w:tc>
        <w:tc>
          <w:tcPr>
            <w:tcW w:w="442" w:type="pct"/>
            <w:shd w:val="clear" w:color="auto" w:fill="auto"/>
            <w:vAlign w:val="center"/>
          </w:tcPr>
          <w:p w14:paraId="18AF9DF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w:t>
            </w:r>
          </w:p>
        </w:tc>
        <w:tc>
          <w:tcPr>
            <w:tcW w:w="443" w:type="pct"/>
            <w:shd w:val="clear" w:color="auto" w:fill="auto"/>
            <w:vAlign w:val="center"/>
          </w:tcPr>
          <w:p w14:paraId="244C4548"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6.9</w:t>
            </w:r>
          </w:p>
        </w:tc>
        <w:tc>
          <w:tcPr>
            <w:tcW w:w="750" w:type="pct"/>
            <w:shd w:val="clear" w:color="auto" w:fill="auto"/>
            <w:vAlign w:val="center"/>
          </w:tcPr>
          <w:p w14:paraId="1D0A9D3F" w14:textId="5AE4280E" w:rsidR="00095209" w:rsidRPr="009F1C15" w:rsidRDefault="00095209" w:rsidP="00AC1E78">
            <w:pPr>
              <w:autoSpaceDE w:val="0"/>
              <w:autoSpaceDN w:val="0"/>
              <w:adjustRightInd w:val="0"/>
              <w:snapToGrid w:val="0"/>
              <w:spacing w:line="240" w:lineRule="auto"/>
              <w:jc w:val="center"/>
              <w:rPr>
                <w:szCs w:val="21"/>
              </w:rPr>
            </w:pPr>
            <w:r w:rsidRPr="009F1C15">
              <w:rPr>
                <w:szCs w:val="21"/>
              </w:rPr>
              <w:t>70.5</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33.5</w:t>
            </w:r>
          </w:p>
        </w:tc>
        <w:tc>
          <w:tcPr>
            <w:tcW w:w="267" w:type="pct"/>
            <w:shd w:val="clear" w:color="auto" w:fill="auto"/>
            <w:vAlign w:val="center"/>
          </w:tcPr>
          <w:p w14:paraId="3B3F354E"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02ECCCC1" w14:textId="603F58C7"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30</w:t>
            </w:r>
          </w:p>
        </w:tc>
      </w:tr>
      <w:tr w:rsidR="00AC1E78" w:rsidRPr="009F1C15" w14:paraId="1433D7AF" w14:textId="77777777" w:rsidTr="000A5C77">
        <w:trPr>
          <w:jc w:val="center"/>
        </w:trPr>
        <w:tc>
          <w:tcPr>
            <w:tcW w:w="619" w:type="pct"/>
            <w:vMerge/>
            <w:shd w:val="clear" w:color="auto" w:fill="auto"/>
            <w:vAlign w:val="center"/>
          </w:tcPr>
          <w:p w14:paraId="7719FBE9"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3AE206BE" w14:textId="4065D268"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176)</w:t>
            </w:r>
          </w:p>
        </w:tc>
        <w:tc>
          <w:tcPr>
            <w:tcW w:w="417" w:type="pct"/>
            <w:shd w:val="clear" w:color="auto" w:fill="auto"/>
            <w:vAlign w:val="center"/>
          </w:tcPr>
          <w:p w14:paraId="0C296C7C" w14:textId="53021935" w:rsidR="00095209" w:rsidRPr="009F1C15" w:rsidRDefault="00095209" w:rsidP="00AC1E78">
            <w:pPr>
              <w:autoSpaceDE w:val="0"/>
              <w:autoSpaceDN w:val="0"/>
              <w:adjustRightInd w:val="0"/>
              <w:snapToGrid w:val="0"/>
              <w:spacing w:line="240" w:lineRule="auto"/>
              <w:jc w:val="center"/>
              <w:rPr>
                <w:szCs w:val="21"/>
              </w:rPr>
            </w:pPr>
            <w:r w:rsidRPr="009F1C15">
              <w:rPr>
                <w:szCs w:val="21"/>
              </w:rPr>
              <w:t>62.3</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11.0</w:t>
            </w:r>
          </w:p>
        </w:tc>
        <w:tc>
          <w:tcPr>
            <w:tcW w:w="223" w:type="pct"/>
            <w:shd w:val="clear" w:color="auto" w:fill="auto"/>
            <w:vAlign w:val="center"/>
          </w:tcPr>
          <w:p w14:paraId="2C33932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75.6</w:t>
            </w:r>
          </w:p>
        </w:tc>
        <w:tc>
          <w:tcPr>
            <w:tcW w:w="355" w:type="pct"/>
            <w:shd w:val="clear" w:color="auto" w:fill="auto"/>
            <w:vAlign w:val="center"/>
          </w:tcPr>
          <w:p w14:paraId="51A06122"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14.8</w:t>
            </w:r>
          </w:p>
        </w:tc>
        <w:tc>
          <w:tcPr>
            <w:tcW w:w="311" w:type="pct"/>
            <w:shd w:val="clear" w:color="auto" w:fill="auto"/>
            <w:vAlign w:val="center"/>
          </w:tcPr>
          <w:p w14:paraId="10BB30C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40.9</w:t>
            </w:r>
          </w:p>
        </w:tc>
        <w:tc>
          <w:tcPr>
            <w:tcW w:w="442" w:type="pct"/>
            <w:shd w:val="clear" w:color="auto" w:fill="auto"/>
            <w:vAlign w:val="center"/>
          </w:tcPr>
          <w:p w14:paraId="784A99C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w:t>
            </w:r>
          </w:p>
        </w:tc>
        <w:tc>
          <w:tcPr>
            <w:tcW w:w="443" w:type="pct"/>
            <w:shd w:val="clear" w:color="auto" w:fill="auto"/>
            <w:vAlign w:val="center"/>
          </w:tcPr>
          <w:p w14:paraId="60F9770C"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6.2</w:t>
            </w:r>
          </w:p>
        </w:tc>
        <w:tc>
          <w:tcPr>
            <w:tcW w:w="750" w:type="pct"/>
            <w:shd w:val="clear" w:color="auto" w:fill="auto"/>
            <w:vAlign w:val="center"/>
          </w:tcPr>
          <w:p w14:paraId="5D5903F7" w14:textId="5168E2E9" w:rsidR="00095209" w:rsidRPr="009F1C15" w:rsidRDefault="00095209" w:rsidP="00AC1E78">
            <w:pPr>
              <w:autoSpaceDE w:val="0"/>
              <w:autoSpaceDN w:val="0"/>
              <w:adjustRightInd w:val="0"/>
              <w:snapToGrid w:val="0"/>
              <w:spacing w:line="240" w:lineRule="auto"/>
              <w:jc w:val="center"/>
              <w:rPr>
                <w:szCs w:val="21"/>
              </w:rPr>
            </w:pPr>
            <w:r w:rsidRPr="009F1C15">
              <w:rPr>
                <w:szCs w:val="21"/>
              </w:rPr>
              <w:t>66.5</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23.4</w:t>
            </w:r>
          </w:p>
        </w:tc>
        <w:tc>
          <w:tcPr>
            <w:tcW w:w="267" w:type="pct"/>
            <w:shd w:val="clear" w:color="auto" w:fill="auto"/>
            <w:vAlign w:val="center"/>
          </w:tcPr>
          <w:p w14:paraId="3AF9F731" w14:textId="46C26DB9"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228CF23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6A09F157" w14:textId="77777777" w:rsidTr="000A5C77">
        <w:trPr>
          <w:jc w:val="center"/>
        </w:trPr>
        <w:tc>
          <w:tcPr>
            <w:tcW w:w="619" w:type="pct"/>
            <w:vMerge w:val="restart"/>
            <w:shd w:val="clear" w:color="auto" w:fill="auto"/>
            <w:vAlign w:val="center"/>
          </w:tcPr>
          <w:p w14:paraId="23E6098D" w14:textId="7EFB818F" w:rsidR="00095209" w:rsidRPr="009F1C15" w:rsidRDefault="00095209" w:rsidP="000A5C77">
            <w:pPr>
              <w:autoSpaceDE w:val="0"/>
              <w:autoSpaceDN w:val="0"/>
              <w:adjustRightInd w:val="0"/>
              <w:snapToGrid w:val="0"/>
              <w:spacing w:line="240" w:lineRule="auto"/>
              <w:jc w:val="center"/>
              <w:rPr>
                <w:szCs w:val="21"/>
              </w:rPr>
            </w:pPr>
            <w:r w:rsidRPr="009F1C15">
              <w:rPr>
                <w:bCs/>
                <w:szCs w:val="21"/>
              </w:rPr>
              <w:t>FLOWER-MI</w:t>
            </w:r>
            <w:r w:rsidR="00A8707F" w:rsidRPr="009F1C15">
              <w:rPr>
                <w:bCs/>
                <w:szCs w:val="21"/>
              </w:rPr>
              <w:t xml:space="preserve"> </w:t>
            </w:r>
            <w:r w:rsidR="00A8707F" w:rsidRPr="009F1C15">
              <w:rPr>
                <w:szCs w:val="21"/>
              </w:rPr>
              <w:t>[</w:t>
            </w:r>
            <w:r w:rsidRPr="009F1C15">
              <w:rPr>
                <w:szCs w:val="21"/>
              </w:rPr>
              <w:t>7</w:t>
            </w:r>
            <w:r w:rsidR="00A8707F" w:rsidRPr="009F1C15">
              <w:rPr>
                <w:szCs w:val="21"/>
              </w:rPr>
              <w:t>]</w:t>
            </w:r>
          </w:p>
          <w:p w14:paraId="4B0929CF" w14:textId="77777777" w:rsidR="00095209" w:rsidRPr="009F1C15" w:rsidRDefault="00095209" w:rsidP="000A5C77">
            <w:pPr>
              <w:autoSpaceDE w:val="0"/>
              <w:autoSpaceDN w:val="0"/>
              <w:adjustRightInd w:val="0"/>
              <w:snapToGrid w:val="0"/>
              <w:spacing w:line="240" w:lineRule="auto"/>
              <w:jc w:val="center"/>
              <w:rPr>
                <w:szCs w:val="21"/>
              </w:rPr>
            </w:pPr>
            <w:r w:rsidRPr="009F1C15">
              <w:rPr>
                <w:szCs w:val="21"/>
              </w:rPr>
              <w:t>(NCT02943954)</w:t>
            </w:r>
          </w:p>
        </w:tc>
        <w:tc>
          <w:tcPr>
            <w:tcW w:w="601" w:type="pct"/>
            <w:shd w:val="clear" w:color="auto" w:fill="auto"/>
            <w:vAlign w:val="center"/>
          </w:tcPr>
          <w:p w14:paraId="3995BDE5" w14:textId="1622C39E"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577)</w:t>
            </w:r>
          </w:p>
        </w:tc>
        <w:tc>
          <w:tcPr>
            <w:tcW w:w="417" w:type="pct"/>
            <w:shd w:val="clear" w:color="auto" w:fill="auto"/>
            <w:vAlign w:val="center"/>
          </w:tcPr>
          <w:p w14:paraId="40A2CFE9" w14:textId="1A4EAFBA" w:rsidR="00095209" w:rsidRPr="009F1C15" w:rsidRDefault="00095209" w:rsidP="00AC1E78">
            <w:pPr>
              <w:autoSpaceDE w:val="0"/>
              <w:autoSpaceDN w:val="0"/>
              <w:adjustRightInd w:val="0"/>
              <w:snapToGrid w:val="0"/>
              <w:spacing w:line="240" w:lineRule="auto"/>
              <w:jc w:val="center"/>
              <w:rPr>
                <w:szCs w:val="21"/>
              </w:rPr>
            </w:pPr>
            <w:r w:rsidRPr="009F1C15">
              <w:rPr>
                <w:szCs w:val="21"/>
              </w:rPr>
              <w:t>61.9</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11.4</w:t>
            </w:r>
          </w:p>
        </w:tc>
        <w:tc>
          <w:tcPr>
            <w:tcW w:w="223" w:type="pct"/>
            <w:shd w:val="clear" w:color="auto" w:fill="auto"/>
            <w:vAlign w:val="center"/>
          </w:tcPr>
          <w:p w14:paraId="410EEFB1"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81.1</w:t>
            </w:r>
          </w:p>
        </w:tc>
        <w:tc>
          <w:tcPr>
            <w:tcW w:w="355" w:type="pct"/>
            <w:shd w:val="clear" w:color="auto" w:fill="auto"/>
            <w:vAlign w:val="center"/>
          </w:tcPr>
          <w:p w14:paraId="750E2F2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14.2</w:t>
            </w:r>
          </w:p>
        </w:tc>
        <w:tc>
          <w:tcPr>
            <w:tcW w:w="311" w:type="pct"/>
            <w:shd w:val="clear" w:color="auto" w:fill="auto"/>
            <w:vAlign w:val="center"/>
          </w:tcPr>
          <w:p w14:paraId="3C34649B"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36.4</w:t>
            </w:r>
          </w:p>
        </w:tc>
        <w:tc>
          <w:tcPr>
            <w:tcW w:w="442" w:type="pct"/>
            <w:shd w:val="clear" w:color="auto" w:fill="auto"/>
            <w:vAlign w:val="center"/>
          </w:tcPr>
          <w:p w14:paraId="41045C02"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w:t>
            </w:r>
          </w:p>
        </w:tc>
        <w:tc>
          <w:tcPr>
            <w:tcW w:w="443" w:type="pct"/>
            <w:shd w:val="clear" w:color="auto" w:fill="auto"/>
            <w:vAlign w:val="center"/>
          </w:tcPr>
          <w:p w14:paraId="5F4AA06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0</w:t>
            </w:r>
          </w:p>
        </w:tc>
        <w:tc>
          <w:tcPr>
            <w:tcW w:w="750" w:type="pct"/>
            <w:shd w:val="clear" w:color="auto" w:fill="auto"/>
            <w:vAlign w:val="center"/>
          </w:tcPr>
          <w:p w14:paraId="4CF95E6C" w14:textId="14F35E2E" w:rsidR="00095209" w:rsidRPr="009F1C15" w:rsidRDefault="00095209" w:rsidP="00AC1E78">
            <w:pPr>
              <w:autoSpaceDE w:val="0"/>
              <w:autoSpaceDN w:val="0"/>
              <w:adjustRightInd w:val="0"/>
              <w:snapToGrid w:val="0"/>
              <w:spacing w:line="240" w:lineRule="auto"/>
              <w:jc w:val="center"/>
              <w:rPr>
                <w:szCs w:val="21"/>
              </w:rPr>
            </w:pPr>
            <w:r w:rsidRPr="009F1C15">
              <w:rPr>
                <w:szCs w:val="21"/>
              </w:rPr>
              <w:t xml:space="preserve">32.0 </w:t>
            </w:r>
            <w:r w:rsidR="000A5C77" w:rsidRPr="009F1C15">
              <w:rPr>
                <w:szCs w:val="21"/>
              </w:rPr>
              <w:t>(</w:t>
            </w:r>
            <w:r w:rsidRPr="009F1C15">
              <w:rPr>
                <w:szCs w:val="21"/>
              </w:rPr>
              <w:t>20.0, 24.0</w:t>
            </w:r>
            <w:r w:rsidR="000A5C77" w:rsidRPr="009F1C15">
              <w:rPr>
                <w:szCs w:val="21"/>
              </w:rPr>
              <w:t>)</w:t>
            </w:r>
          </w:p>
        </w:tc>
        <w:tc>
          <w:tcPr>
            <w:tcW w:w="267" w:type="pct"/>
            <w:shd w:val="clear" w:color="auto" w:fill="auto"/>
            <w:vAlign w:val="center"/>
          </w:tcPr>
          <w:p w14:paraId="15A8337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70CC55F1" w14:textId="4EC86743"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50</w:t>
            </w:r>
          </w:p>
        </w:tc>
      </w:tr>
      <w:tr w:rsidR="00AC1E78" w:rsidRPr="009F1C15" w14:paraId="1B7E4C23" w14:textId="77777777" w:rsidTr="000A5C77">
        <w:trPr>
          <w:jc w:val="center"/>
        </w:trPr>
        <w:tc>
          <w:tcPr>
            <w:tcW w:w="619" w:type="pct"/>
            <w:vMerge/>
            <w:shd w:val="clear" w:color="auto" w:fill="auto"/>
            <w:vAlign w:val="center"/>
          </w:tcPr>
          <w:p w14:paraId="1A7C7AF0" w14:textId="77777777" w:rsidR="00095209" w:rsidRPr="009F1C15" w:rsidRDefault="00095209" w:rsidP="000A5C77">
            <w:pPr>
              <w:autoSpaceDE w:val="0"/>
              <w:autoSpaceDN w:val="0"/>
              <w:adjustRightInd w:val="0"/>
              <w:snapToGrid w:val="0"/>
              <w:spacing w:line="240" w:lineRule="auto"/>
              <w:jc w:val="center"/>
              <w:rPr>
                <w:bCs/>
                <w:szCs w:val="21"/>
              </w:rPr>
            </w:pPr>
          </w:p>
        </w:tc>
        <w:tc>
          <w:tcPr>
            <w:tcW w:w="601" w:type="pct"/>
            <w:shd w:val="clear" w:color="auto" w:fill="auto"/>
            <w:vAlign w:val="center"/>
          </w:tcPr>
          <w:p w14:paraId="348504FB" w14:textId="6970D54F"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586)</w:t>
            </w:r>
          </w:p>
        </w:tc>
        <w:tc>
          <w:tcPr>
            <w:tcW w:w="417" w:type="pct"/>
            <w:shd w:val="clear" w:color="auto" w:fill="auto"/>
            <w:vAlign w:val="center"/>
          </w:tcPr>
          <w:p w14:paraId="6E1CE912" w14:textId="63FF55AA" w:rsidR="00095209" w:rsidRPr="009F1C15" w:rsidRDefault="00095209" w:rsidP="00AC1E78">
            <w:pPr>
              <w:autoSpaceDE w:val="0"/>
              <w:autoSpaceDN w:val="0"/>
              <w:adjustRightInd w:val="0"/>
              <w:snapToGrid w:val="0"/>
              <w:spacing w:line="240" w:lineRule="auto"/>
              <w:jc w:val="center"/>
              <w:rPr>
                <w:szCs w:val="21"/>
              </w:rPr>
            </w:pPr>
            <w:r w:rsidRPr="009F1C15">
              <w:rPr>
                <w:szCs w:val="21"/>
              </w:rPr>
              <w:t>62.5</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11.0</w:t>
            </w:r>
          </w:p>
        </w:tc>
        <w:tc>
          <w:tcPr>
            <w:tcW w:w="223" w:type="pct"/>
            <w:shd w:val="clear" w:color="auto" w:fill="auto"/>
            <w:vAlign w:val="center"/>
          </w:tcPr>
          <w:p w14:paraId="66265A36"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85.0</w:t>
            </w:r>
          </w:p>
        </w:tc>
        <w:tc>
          <w:tcPr>
            <w:tcW w:w="355" w:type="pct"/>
            <w:shd w:val="clear" w:color="auto" w:fill="auto"/>
            <w:vAlign w:val="center"/>
          </w:tcPr>
          <w:p w14:paraId="685FC16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18.3</w:t>
            </w:r>
          </w:p>
        </w:tc>
        <w:tc>
          <w:tcPr>
            <w:tcW w:w="311" w:type="pct"/>
            <w:shd w:val="clear" w:color="auto" w:fill="auto"/>
            <w:vAlign w:val="center"/>
          </w:tcPr>
          <w:p w14:paraId="3C8C5D72"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40.1</w:t>
            </w:r>
          </w:p>
        </w:tc>
        <w:tc>
          <w:tcPr>
            <w:tcW w:w="442" w:type="pct"/>
            <w:shd w:val="clear" w:color="auto" w:fill="auto"/>
            <w:vAlign w:val="center"/>
          </w:tcPr>
          <w:p w14:paraId="6FE9B90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100</w:t>
            </w:r>
          </w:p>
        </w:tc>
        <w:tc>
          <w:tcPr>
            <w:tcW w:w="443" w:type="pct"/>
            <w:shd w:val="clear" w:color="auto" w:fill="auto"/>
            <w:vAlign w:val="center"/>
          </w:tcPr>
          <w:p w14:paraId="746B25F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0</w:t>
            </w:r>
          </w:p>
        </w:tc>
        <w:tc>
          <w:tcPr>
            <w:tcW w:w="750" w:type="pct"/>
            <w:shd w:val="clear" w:color="auto" w:fill="auto"/>
            <w:vAlign w:val="center"/>
          </w:tcPr>
          <w:p w14:paraId="4D9D57D1" w14:textId="058D0FC7" w:rsidR="00095209" w:rsidRPr="009F1C15" w:rsidRDefault="00095209" w:rsidP="00AC1E78">
            <w:pPr>
              <w:autoSpaceDE w:val="0"/>
              <w:autoSpaceDN w:val="0"/>
              <w:adjustRightInd w:val="0"/>
              <w:snapToGrid w:val="0"/>
              <w:spacing w:line="240" w:lineRule="auto"/>
              <w:jc w:val="center"/>
              <w:rPr>
                <w:szCs w:val="21"/>
              </w:rPr>
            </w:pPr>
            <w:r w:rsidRPr="009F1C15">
              <w:rPr>
                <w:szCs w:val="21"/>
              </w:rPr>
              <w:t xml:space="preserve">31.0 </w:t>
            </w:r>
            <w:r w:rsidR="000A5C77" w:rsidRPr="009F1C15">
              <w:rPr>
                <w:szCs w:val="21"/>
              </w:rPr>
              <w:t>(</w:t>
            </w:r>
            <w:r w:rsidR="00D12817" w:rsidRPr="009F1C15">
              <w:rPr>
                <w:szCs w:val="21"/>
              </w:rPr>
              <w:t>21,</w:t>
            </w:r>
            <w:r w:rsidR="00A61020" w:rsidRPr="009F1C15">
              <w:rPr>
                <w:szCs w:val="21"/>
              </w:rPr>
              <w:t xml:space="preserve"> </w:t>
            </w:r>
            <w:r w:rsidR="00D12817" w:rsidRPr="009F1C15">
              <w:rPr>
                <w:szCs w:val="21"/>
              </w:rPr>
              <w:t>45</w:t>
            </w:r>
            <w:r w:rsidR="000A5C77" w:rsidRPr="009F1C15">
              <w:rPr>
                <w:szCs w:val="21"/>
              </w:rPr>
              <w:t>)</w:t>
            </w:r>
          </w:p>
        </w:tc>
        <w:tc>
          <w:tcPr>
            <w:tcW w:w="267" w:type="pct"/>
            <w:shd w:val="clear" w:color="auto" w:fill="auto"/>
            <w:vAlign w:val="center"/>
          </w:tcPr>
          <w:p w14:paraId="283EBEF9" w14:textId="696E4929"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0A312C54"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r w:rsidR="00AC1E78" w:rsidRPr="009F1C15" w14:paraId="3A6C6A04" w14:textId="77777777" w:rsidTr="000A5C77">
        <w:trPr>
          <w:jc w:val="center"/>
        </w:trPr>
        <w:tc>
          <w:tcPr>
            <w:tcW w:w="619" w:type="pct"/>
            <w:vMerge w:val="restart"/>
            <w:shd w:val="clear" w:color="auto" w:fill="auto"/>
            <w:vAlign w:val="center"/>
          </w:tcPr>
          <w:p w14:paraId="573BA857" w14:textId="7F23FA85" w:rsidR="00095209" w:rsidRPr="009F1C15" w:rsidRDefault="00095209" w:rsidP="000A5C77">
            <w:pPr>
              <w:autoSpaceDE w:val="0"/>
              <w:autoSpaceDN w:val="0"/>
              <w:adjustRightInd w:val="0"/>
              <w:snapToGrid w:val="0"/>
              <w:spacing w:line="240" w:lineRule="auto"/>
              <w:jc w:val="center"/>
              <w:rPr>
                <w:szCs w:val="21"/>
              </w:rPr>
            </w:pPr>
            <w:r w:rsidRPr="009F1C15">
              <w:rPr>
                <w:bCs/>
                <w:szCs w:val="21"/>
              </w:rPr>
              <w:t>FUTURE</w:t>
            </w:r>
            <w:r w:rsidR="00A8707F" w:rsidRPr="009F1C15">
              <w:rPr>
                <w:bCs/>
                <w:szCs w:val="21"/>
              </w:rPr>
              <w:t xml:space="preserve"> </w:t>
            </w:r>
            <w:r w:rsidR="00A8707F" w:rsidRPr="009F1C15">
              <w:rPr>
                <w:szCs w:val="21"/>
              </w:rPr>
              <w:t>[</w:t>
            </w:r>
            <w:r w:rsidRPr="009F1C15">
              <w:rPr>
                <w:szCs w:val="21"/>
              </w:rPr>
              <w:t>8</w:t>
            </w:r>
            <w:r w:rsidR="00A8707F" w:rsidRPr="009F1C15">
              <w:rPr>
                <w:szCs w:val="21"/>
              </w:rPr>
              <w:t>]</w:t>
            </w:r>
          </w:p>
          <w:p w14:paraId="26B5F257" w14:textId="77777777" w:rsidR="00095209" w:rsidRPr="009F1C15" w:rsidRDefault="00095209" w:rsidP="000A5C77">
            <w:pPr>
              <w:autoSpaceDE w:val="0"/>
              <w:autoSpaceDN w:val="0"/>
              <w:adjustRightInd w:val="0"/>
              <w:snapToGrid w:val="0"/>
              <w:spacing w:line="240" w:lineRule="auto"/>
              <w:jc w:val="center"/>
              <w:rPr>
                <w:bCs/>
                <w:szCs w:val="21"/>
              </w:rPr>
            </w:pPr>
            <w:r w:rsidRPr="009F1C15">
              <w:rPr>
                <w:szCs w:val="21"/>
              </w:rPr>
              <w:t>(NCT01881555)</w:t>
            </w:r>
          </w:p>
        </w:tc>
        <w:tc>
          <w:tcPr>
            <w:tcW w:w="601" w:type="pct"/>
            <w:shd w:val="clear" w:color="auto" w:fill="auto"/>
            <w:vAlign w:val="center"/>
          </w:tcPr>
          <w:p w14:paraId="2D1EBA30" w14:textId="1FEF02D9" w:rsidR="00095209" w:rsidRPr="009F1C15" w:rsidRDefault="00095209" w:rsidP="00AC1E78">
            <w:pPr>
              <w:autoSpaceDE w:val="0"/>
              <w:autoSpaceDN w:val="0"/>
              <w:adjustRightInd w:val="0"/>
              <w:snapToGrid w:val="0"/>
              <w:spacing w:line="240" w:lineRule="auto"/>
              <w:jc w:val="center"/>
              <w:rPr>
                <w:szCs w:val="21"/>
              </w:rPr>
            </w:pPr>
            <w:r w:rsidRPr="009F1C15">
              <w:rPr>
                <w:szCs w:val="21"/>
              </w:rPr>
              <w:t>Angio (n</w:t>
            </w:r>
            <w:r w:rsidR="00A8707F" w:rsidRPr="009F1C15">
              <w:rPr>
                <w:szCs w:val="21"/>
              </w:rPr>
              <w:t xml:space="preserve"> </w:t>
            </w:r>
            <w:r w:rsidRPr="009F1C15">
              <w:rPr>
                <w:szCs w:val="21"/>
              </w:rPr>
              <w:t>=</w:t>
            </w:r>
            <w:r w:rsidR="00A8707F" w:rsidRPr="009F1C15">
              <w:rPr>
                <w:szCs w:val="21"/>
              </w:rPr>
              <w:t xml:space="preserve"> </w:t>
            </w:r>
            <w:r w:rsidRPr="009F1C15">
              <w:rPr>
                <w:szCs w:val="21"/>
              </w:rPr>
              <w:t>467)</w:t>
            </w:r>
          </w:p>
        </w:tc>
        <w:tc>
          <w:tcPr>
            <w:tcW w:w="417" w:type="pct"/>
            <w:shd w:val="clear" w:color="auto" w:fill="auto"/>
            <w:vAlign w:val="center"/>
          </w:tcPr>
          <w:p w14:paraId="0ED9A153" w14:textId="34D636CE" w:rsidR="00095209" w:rsidRPr="009F1C15" w:rsidRDefault="00095209" w:rsidP="00AC1E78">
            <w:pPr>
              <w:autoSpaceDE w:val="0"/>
              <w:autoSpaceDN w:val="0"/>
              <w:adjustRightInd w:val="0"/>
              <w:snapToGrid w:val="0"/>
              <w:spacing w:line="240" w:lineRule="auto"/>
              <w:jc w:val="center"/>
              <w:rPr>
                <w:szCs w:val="21"/>
              </w:rPr>
            </w:pPr>
            <w:r w:rsidRPr="009F1C15">
              <w:rPr>
                <w:szCs w:val="21"/>
              </w:rPr>
              <w:t>66.0</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11.0</w:t>
            </w:r>
          </w:p>
        </w:tc>
        <w:tc>
          <w:tcPr>
            <w:tcW w:w="223" w:type="pct"/>
            <w:shd w:val="clear" w:color="auto" w:fill="auto"/>
            <w:vAlign w:val="center"/>
          </w:tcPr>
          <w:p w14:paraId="4E0EB77B"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82.0</w:t>
            </w:r>
          </w:p>
        </w:tc>
        <w:tc>
          <w:tcPr>
            <w:tcW w:w="355" w:type="pct"/>
            <w:shd w:val="clear" w:color="auto" w:fill="auto"/>
            <w:vAlign w:val="center"/>
          </w:tcPr>
          <w:p w14:paraId="25A1CAB8"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32.0</w:t>
            </w:r>
          </w:p>
        </w:tc>
        <w:tc>
          <w:tcPr>
            <w:tcW w:w="311" w:type="pct"/>
            <w:shd w:val="clear" w:color="auto" w:fill="auto"/>
            <w:vAlign w:val="center"/>
          </w:tcPr>
          <w:p w14:paraId="4AEAB0F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26.0</w:t>
            </w:r>
          </w:p>
        </w:tc>
        <w:tc>
          <w:tcPr>
            <w:tcW w:w="442" w:type="pct"/>
            <w:shd w:val="clear" w:color="auto" w:fill="auto"/>
            <w:vAlign w:val="center"/>
          </w:tcPr>
          <w:p w14:paraId="2892B497"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46.0</w:t>
            </w:r>
          </w:p>
        </w:tc>
        <w:tc>
          <w:tcPr>
            <w:tcW w:w="443" w:type="pct"/>
            <w:shd w:val="clear" w:color="auto" w:fill="auto"/>
            <w:vAlign w:val="center"/>
          </w:tcPr>
          <w:p w14:paraId="1F26D0AF"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12.0</w:t>
            </w:r>
          </w:p>
        </w:tc>
        <w:tc>
          <w:tcPr>
            <w:tcW w:w="750" w:type="pct"/>
            <w:shd w:val="clear" w:color="auto" w:fill="auto"/>
            <w:vAlign w:val="center"/>
          </w:tcPr>
          <w:p w14:paraId="2F209C85"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Not reported</w:t>
            </w:r>
          </w:p>
        </w:tc>
        <w:tc>
          <w:tcPr>
            <w:tcW w:w="267" w:type="pct"/>
            <w:shd w:val="clear" w:color="auto" w:fill="auto"/>
            <w:vAlign w:val="center"/>
          </w:tcPr>
          <w:p w14:paraId="11217715"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c>
          <w:tcPr>
            <w:tcW w:w="573" w:type="pct"/>
            <w:shd w:val="clear" w:color="auto" w:fill="auto"/>
            <w:vAlign w:val="center"/>
          </w:tcPr>
          <w:p w14:paraId="4BE20F29" w14:textId="011EE3B2"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50</w:t>
            </w:r>
          </w:p>
        </w:tc>
      </w:tr>
      <w:tr w:rsidR="00AC1E78" w:rsidRPr="009F1C15" w14:paraId="3EB5A894" w14:textId="77777777" w:rsidTr="000A5C77">
        <w:trPr>
          <w:jc w:val="center"/>
        </w:trPr>
        <w:tc>
          <w:tcPr>
            <w:tcW w:w="619" w:type="pct"/>
            <w:vMerge/>
            <w:shd w:val="clear" w:color="auto" w:fill="auto"/>
            <w:vAlign w:val="center"/>
          </w:tcPr>
          <w:p w14:paraId="6C2BF849" w14:textId="77777777" w:rsidR="00095209" w:rsidRPr="009F1C15" w:rsidRDefault="00095209" w:rsidP="000A5C77">
            <w:pPr>
              <w:autoSpaceDE w:val="0"/>
              <w:autoSpaceDN w:val="0"/>
              <w:adjustRightInd w:val="0"/>
              <w:snapToGrid w:val="0"/>
              <w:spacing w:line="240" w:lineRule="auto"/>
              <w:jc w:val="center"/>
              <w:rPr>
                <w:b/>
                <w:bCs/>
                <w:szCs w:val="21"/>
              </w:rPr>
            </w:pPr>
          </w:p>
        </w:tc>
        <w:tc>
          <w:tcPr>
            <w:tcW w:w="601" w:type="pct"/>
            <w:shd w:val="clear" w:color="auto" w:fill="auto"/>
            <w:vAlign w:val="center"/>
          </w:tcPr>
          <w:p w14:paraId="6DE10ABE" w14:textId="3A1782E9" w:rsidR="00095209" w:rsidRPr="009F1C15" w:rsidRDefault="00095209" w:rsidP="00AC1E78">
            <w:pPr>
              <w:autoSpaceDE w:val="0"/>
              <w:autoSpaceDN w:val="0"/>
              <w:adjustRightInd w:val="0"/>
              <w:snapToGrid w:val="0"/>
              <w:spacing w:line="240" w:lineRule="auto"/>
              <w:jc w:val="center"/>
              <w:rPr>
                <w:szCs w:val="21"/>
              </w:rPr>
            </w:pPr>
            <w:r w:rsidRPr="009F1C15">
              <w:rPr>
                <w:szCs w:val="21"/>
              </w:rPr>
              <w:t>FFR (n</w:t>
            </w:r>
            <w:r w:rsidR="00A8707F" w:rsidRPr="009F1C15">
              <w:rPr>
                <w:szCs w:val="21"/>
              </w:rPr>
              <w:t xml:space="preserve"> </w:t>
            </w:r>
            <w:r w:rsidRPr="009F1C15">
              <w:rPr>
                <w:szCs w:val="21"/>
              </w:rPr>
              <w:t>=</w:t>
            </w:r>
            <w:r w:rsidR="00A8707F" w:rsidRPr="009F1C15">
              <w:rPr>
                <w:szCs w:val="21"/>
              </w:rPr>
              <w:t xml:space="preserve"> </w:t>
            </w:r>
            <w:r w:rsidRPr="009F1C15">
              <w:rPr>
                <w:szCs w:val="21"/>
              </w:rPr>
              <w:t>460)</w:t>
            </w:r>
          </w:p>
        </w:tc>
        <w:tc>
          <w:tcPr>
            <w:tcW w:w="417" w:type="pct"/>
            <w:shd w:val="clear" w:color="auto" w:fill="auto"/>
            <w:vAlign w:val="center"/>
          </w:tcPr>
          <w:p w14:paraId="6D660F89" w14:textId="057FA990" w:rsidR="00095209" w:rsidRPr="009F1C15" w:rsidRDefault="00095209" w:rsidP="00AC1E78">
            <w:pPr>
              <w:autoSpaceDE w:val="0"/>
              <w:autoSpaceDN w:val="0"/>
              <w:adjustRightInd w:val="0"/>
              <w:snapToGrid w:val="0"/>
              <w:spacing w:line="240" w:lineRule="auto"/>
              <w:jc w:val="center"/>
              <w:rPr>
                <w:szCs w:val="21"/>
              </w:rPr>
            </w:pPr>
            <w:r w:rsidRPr="009F1C15">
              <w:rPr>
                <w:szCs w:val="21"/>
              </w:rPr>
              <w:t>65.0</w:t>
            </w:r>
            <w:r w:rsidR="00A8707F" w:rsidRPr="009F1C15">
              <w:rPr>
                <w:szCs w:val="21"/>
              </w:rPr>
              <w:t xml:space="preserve"> </w:t>
            </w:r>
            <w:r w:rsidR="009268BA" w:rsidRPr="009F1C15">
              <w:rPr>
                <w:szCs w:val="21"/>
              </w:rPr>
              <w:t>±</w:t>
            </w:r>
            <w:r w:rsidR="00A8707F" w:rsidRPr="009F1C15">
              <w:rPr>
                <w:szCs w:val="21"/>
              </w:rPr>
              <w:t xml:space="preserve"> </w:t>
            </w:r>
            <w:r w:rsidRPr="009F1C15">
              <w:rPr>
                <w:szCs w:val="21"/>
              </w:rPr>
              <w:t>10.0</w:t>
            </w:r>
          </w:p>
        </w:tc>
        <w:tc>
          <w:tcPr>
            <w:tcW w:w="223" w:type="pct"/>
            <w:shd w:val="clear" w:color="auto" w:fill="auto"/>
            <w:vAlign w:val="center"/>
          </w:tcPr>
          <w:p w14:paraId="7F6EE5FD"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85.0</w:t>
            </w:r>
          </w:p>
        </w:tc>
        <w:tc>
          <w:tcPr>
            <w:tcW w:w="355" w:type="pct"/>
            <w:shd w:val="clear" w:color="auto" w:fill="auto"/>
            <w:vAlign w:val="center"/>
          </w:tcPr>
          <w:p w14:paraId="5C7A186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31.0</w:t>
            </w:r>
          </w:p>
        </w:tc>
        <w:tc>
          <w:tcPr>
            <w:tcW w:w="311" w:type="pct"/>
            <w:shd w:val="clear" w:color="auto" w:fill="auto"/>
            <w:vAlign w:val="center"/>
          </w:tcPr>
          <w:p w14:paraId="53077DF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24.0</w:t>
            </w:r>
          </w:p>
        </w:tc>
        <w:tc>
          <w:tcPr>
            <w:tcW w:w="442" w:type="pct"/>
            <w:shd w:val="clear" w:color="auto" w:fill="auto"/>
            <w:vAlign w:val="center"/>
          </w:tcPr>
          <w:p w14:paraId="61773B73"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47.0</w:t>
            </w:r>
          </w:p>
        </w:tc>
        <w:tc>
          <w:tcPr>
            <w:tcW w:w="443" w:type="pct"/>
            <w:shd w:val="clear" w:color="auto" w:fill="auto"/>
            <w:vAlign w:val="center"/>
          </w:tcPr>
          <w:p w14:paraId="36308DC2"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12.0</w:t>
            </w:r>
          </w:p>
        </w:tc>
        <w:tc>
          <w:tcPr>
            <w:tcW w:w="750" w:type="pct"/>
            <w:shd w:val="clear" w:color="auto" w:fill="auto"/>
            <w:vAlign w:val="center"/>
          </w:tcPr>
          <w:p w14:paraId="7FBB234A"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Not reported</w:t>
            </w:r>
          </w:p>
        </w:tc>
        <w:tc>
          <w:tcPr>
            <w:tcW w:w="267" w:type="pct"/>
            <w:shd w:val="clear" w:color="auto" w:fill="auto"/>
            <w:vAlign w:val="center"/>
          </w:tcPr>
          <w:p w14:paraId="4945C997" w14:textId="5DFE4029" w:rsidR="00095209" w:rsidRPr="009F1C15" w:rsidRDefault="009268BA" w:rsidP="00AC1E78">
            <w:pPr>
              <w:autoSpaceDE w:val="0"/>
              <w:autoSpaceDN w:val="0"/>
              <w:adjustRightInd w:val="0"/>
              <w:snapToGrid w:val="0"/>
              <w:spacing w:line="240" w:lineRule="auto"/>
              <w:jc w:val="center"/>
              <w:rPr>
                <w:szCs w:val="21"/>
              </w:rPr>
            </w:pPr>
            <w:r w:rsidRPr="009F1C15">
              <w:rPr>
                <w:szCs w:val="21"/>
              </w:rPr>
              <w:t>≤</w:t>
            </w:r>
            <w:r w:rsidR="00095209" w:rsidRPr="009F1C15">
              <w:rPr>
                <w:szCs w:val="21"/>
              </w:rPr>
              <w:t>0.8</w:t>
            </w:r>
          </w:p>
        </w:tc>
        <w:tc>
          <w:tcPr>
            <w:tcW w:w="573" w:type="pct"/>
            <w:shd w:val="clear" w:color="auto" w:fill="auto"/>
            <w:vAlign w:val="center"/>
          </w:tcPr>
          <w:p w14:paraId="15537B80" w14:textId="77777777" w:rsidR="00095209" w:rsidRPr="009F1C15" w:rsidRDefault="00095209" w:rsidP="00AC1E78">
            <w:pPr>
              <w:autoSpaceDE w:val="0"/>
              <w:autoSpaceDN w:val="0"/>
              <w:adjustRightInd w:val="0"/>
              <w:snapToGrid w:val="0"/>
              <w:spacing w:line="240" w:lineRule="auto"/>
              <w:jc w:val="center"/>
              <w:rPr>
                <w:szCs w:val="21"/>
              </w:rPr>
            </w:pPr>
            <w:r w:rsidRPr="009F1C15">
              <w:rPr>
                <w:szCs w:val="21"/>
              </w:rPr>
              <w:t>NA</w:t>
            </w:r>
          </w:p>
        </w:tc>
      </w:tr>
    </w:tbl>
    <w:p w14:paraId="2CF6A4AC" w14:textId="585B7867" w:rsidR="00AC1E78" w:rsidRPr="009F1C15" w:rsidRDefault="00095209" w:rsidP="00AC1E78">
      <w:pPr>
        <w:pStyle w:val="MDPI43tablefooter"/>
      </w:pPr>
      <w:r w:rsidRPr="009F1C15">
        <w:t>Abbreviations: ACS = acute coronary syndrome; CABG = coronary artery bypass graft surgery; FFR = fractional flow reserve; IVUS = intravascular ultrasound; IQR = interquartile range; NA = not applicable; OCT = optical coherence tomography; PCI = percutaneous coronary intervention; SD = standard dev</w:t>
      </w:r>
      <w:r w:rsidR="00AC1E78" w:rsidRPr="009F1C15">
        <w:t>.</w:t>
      </w:r>
    </w:p>
    <w:p w14:paraId="1AD821E5" w14:textId="77777777" w:rsidR="00B55A4A" w:rsidRPr="009F1C15" w:rsidRDefault="00B55A4A" w:rsidP="00B55A4A">
      <w:pPr>
        <w:pStyle w:val="MDPI31text"/>
        <w:sectPr w:rsidR="00B55A4A" w:rsidRPr="009F1C15" w:rsidSect="00C30505">
          <w:pgSz w:w="16838" w:h="11906" w:orient="landscape" w:code="9"/>
          <w:pgMar w:top="1418" w:right="720" w:bottom="1077" w:left="720" w:header="1021" w:footer="340" w:gutter="0"/>
          <w:cols w:space="425"/>
          <w:bidi/>
          <w:docGrid w:type="linesAndChars" w:linePitch="326"/>
        </w:sectPr>
      </w:pPr>
    </w:p>
    <w:p w14:paraId="77564623" w14:textId="32D1F0DD" w:rsidR="00593259" w:rsidRPr="009F1C15" w:rsidRDefault="00423104" w:rsidP="00423104">
      <w:pPr>
        <w:pStyle w:val="MDPI22heading2"/>
        <w:spacing w:before="240"/>
      </w:pPr>
      <w:r w:rsidRPr="009F1C15">
        <w:lastRenderedPageBreak/>
        <w:t xml:space="preserve">3.2. </w:t>
      </w:r>
      <w:r w:rsidR="00593259" w:rsidRPr="009F1C15">
        <w:t xml:space="preserve">Baseline </w:t>
      </w:r>
      <w:r w:rsidRPr="009F1C15">
        <w:t xml:space="preserve">Characteristics </w:t>
      </w:r>
      <w:r w:rsidR="00593259" w:rsidRPr="009F1C15">
        <w:t xml:space="preserve">of the </w:t>
      </w:r>
      <w:r w:rsidRPr="009F1C15">
        <w:t>Population</w:t>
      </w:r>
    </w:p>
    <w:p w14:paraId="439ACEB0" w14:textId="5EF4B914" w:rsidR="00593259" w:rsidRPr="009F1C15" w:rsidRDefault="00593259" w:rsidP="00423104">
      <w:pPr>
        <w:pStyle w:val="MDPI31text"/>
      </w:pPr>
      <w:r w:rsidRPr="009F1C15">
        <w:t xml:space="preserve">Trial characteristics are displayed in Table 1. Population and procedural characteristics are displayed in Table 2. The mean age of the entire population was 64 years and 81% were men. Overall, 39% of patients presented with stable CAD, whereas 61% presented with ACS. Twenty five percent of the population had diabetes mellitus. </w:t>
      </w:r>
    </w:p>
    <w:p w14:paraId="24F81459" w14:textId="6EC42BC9" w:rsidR="00593259" w:rsidRPr="009F1C15" w:rsidRDefault="00423104" w:rsidP="00423104">
      <w:pPr>
        <w:pStyle w:val="MDPI22heading2"/>
        <w:spacing w:before="240"/>
      </w:pPr>
      <w:r w:rsidRPr="009F1C15">
        <w:t xml:space="preserve">3.3. </w:t>
      </w:r>
      <w:r w:rsidR="00593259" w:rsidRPr="009F1C15">
        <w:t xml:space="preserve">Clinical </w:t>
      </w:r>
      <w:r w:rsidR="00AC1E78" w:rsidRPr="009F1C15">
        <w:t>Endpoints</w:t>
      </w:r>
    </w:p>
    <w:p w14:paraId="5C316F13" w14:textId="1D34DE0E" w:rsidR="00593259" w:rsidRPr="009F1C15" w:rsidRDefault="00593259" w:rsidP="00423104">
      <w:pPr>
        <w:pStyle w:val="MDPI31text"/>
      </w:pPr>
      <w:r w:rsidRPr="009F1C15">
        <w:t xml:space="preserve">There was no difference in the trial-defined composite endpoint, when stratified according to either stable CAD [32% vs. 35%, RR: 0.95 (95%CI 0.83 to 1.09), </w:t>
      </w:r>
      <w:r w:rsidRPr="009F1C15">
        <w:rPr>
          <w:i/>
          <w:iCs/>
        </w:rPr>
        <w:t>p</w:t>
      </w:r>
      <w:r w:rsidR="009E55DE" w:rsidRPr="009F1C15">
        <w:t xml:space="preserve"> </w:t>
      </w:r>
      <w:r w:rsidRPr="009F1C15">
        <w:t>=</w:t>
      </w:r>
      <w:r w:rsidR="009E55DE" w:rsidRPr="009F1C15">
        <w:t xml:space="preserve"> </w:t>
      </w:r>
      <w:r w:rsidRPr="009F1C15">
        <w:t xml:space="preserve">0.47, </w:t>
      </w:r>
      <w:r w:rsidR="00B62654" w:rsidRPr="009F1C15">
        <w:t>I</w:t>
      </w:r>
      <w:r w:rsidR="00B62654" w:rsidRPr="009F1C15">
        <w:rPr>
          <w:vertAlign w:val="superscript"/>
        </w:rPr>
        <w:t>2</w:t>
      </w:r>
      <w:r w:rsidR="00B62654" w:rsidRPr="009F1C15">
        <w:t>,</w:t>
      </w:r>
      <w:r w:rsidRPr="009F1C15">
        <w:t xml:space="preserve"> 0%</w:t>
      </w:r>
      <w:r w:rsidR="009E55DE" w:rsidRPr="009F1C15">
        <w:t xml:space="preserve"> </w:t>
      </w:r>
      <w:r w:rsidRPr="009F1C15">
        <w:t xml:space="preserve">or ACS 15% vs. 16%, RR: 0.89 (95%CI 0.67 to 1.19), </w:t>
      </w:r>
      <w:r w:rsidRPr="009F1C15">
        <w:rPr>
          <w:i/>
          <w:iCs/>
        </w:rPr>
        <w:t>p</w:t>
      </w:r>
      <w:r w:rsidR="00BC2F37" w:rsidRPr="009F1C15">
        <w:t xml:space="preserve"> </w:t>
      </w:r>
      <w:r w:rsidRPr="009F1C15">
        <w:t>=</w:t>
      </w:r>
      <w:r w:rsidR="00BC2F37" w:rsidRPr="009F1C15">
        <w:t xml:space="preserve"> </w:t>
      </w:r>
      <w:r w:rsidRPr="009F1C15">
        <w:t xml:space="preserve">0.44, </w:t>
      </w:r>
      <w:r w:rsidR="00B62654" w:rsidRPr="009F1C15">
        <w:t>I</w:t>
      </w:r>
      <w:r w:rsidR="00B62654" w:rsidRPr="009F1C15">
        <w:rPr>
          <w:vertAlign w:val="superscript"/>
        </w:rPr>
        <w:t>2</w:t>
      </w:r>
      <w:r w:rsidR="00B62654" w:rsidRPr="009F1C15">
        <w:t xml:space="preserve"> </w:t>
      </w:r>
      <w:r w:rsidRPr="009F1C15">
        <w:t>61%, between an FFR-guided group and the angiography-guided group (Figure 3).</w:t>
      </w:r>
    </w:p>
    <w:p w14:paraId="658E234D" w14:textId="17C46FA5" w:rsidR="00F53286" w:rsidRPr="009F1C15" w:rsidRDefault="00E64375" w:rsidP="00423104">
      <w:pPr>
        <w:pStyle w:val="MDPI52figure"/>
      </w:pPr>
      <w:r>
        <w:rPr>
          <w:noProof/>
          <w:snapToGrid/>
        </w:rPr>
        <w:drawing>
          <wp:inline distT="0" distB="0" distL="0" distR="0" wp14:anchorId="65FBC9B5" wp14:editId="418ECBA8">
            <wp:extent cx="6054015" cy="3405116"/>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f"/>
                    <pic:cNvPicPr/>
                  </pic:nvPicPr>
                  <pic:blipFill>
                    <a:blip r:embed="rId24">
                      <a:extLst>
                        <a:ext uri="{28A0092B-C50C-407E-A947-70E740481C1C}">
                          <a14:useLocalDpi xmlns:a14="http://schemas.microsoft.com/office/drawing/2010/main" val="0"/>
                        </a:ext>
                      </a:extLst>
                    </a:blip>
                    <a:stretch>
                      <a:fillRect/>
                    </a:stretch>
                  </pic:blipFill>
                  <pic:spPr>
                    <a:xfrm>
                      <a:off x="0" y="0"/>
                      <a:ext cx="6103006" cy="3432671"/>
                    </a:xfrm>
                    <a:prstGeom prst="rect">
                      <a:avLst/>
                    </a:prstGeom>
                  </pic:spPr>
                </pic:pic>
              </a:graphicData>
            </a:graphic>
          </wp:inline>
        </w:drawing>
      </w:r>
    </w:p>
    <w:p w14:paraId="47359E07" w14:textId="067B25D2" w:rsidR="00F53286" w:rsidRPr="009F1C15" w:rsidRDefault="00423104" w:rsidP="00423104">
      <w:pPr>
        <w:pStyle w:val="MDPI51figurecaption"/>
      </w:pPr>
      <w:r w:rsidRPr="009F1C15">
        <w:rPr>
          <w:b/>
          <w:bCs/>
        </w:rPr>
        <w:t xml:space="preserve">Figure 3. </w:t>
      </w:r>
      <w:r w:rsidR="00F53286" w:rsidRPr="009F1C15">
        <w:t>Forest plot of the trial-defined composite endpoint stratified by stable CAD and ACS</w:t>
      </w:r>
      <w:r w:rsidR="00EB4676" w:rsidRPr="009F1C15">
        <w:t>.</w:t>
      </w:r>
    </w:p>
    <w:p w14:paraId="6F7F1673" w14:textId="3FD76ACE" w:rsidR="00593259" w:rsidRPr="009F1C15" w:rsidRDefault="00593259" w:rsidP="00423104">
      <w:pPr>
        <w:pStyle w:val="MDPI31text"/>
      </w:pPr>
      <w:r w:rsidRPr="009F1C15">
        <w:t xml:space="preserve">There was no difference in all-cause mortality between the FFR-guided group and the angiography-guided group [3.5% vs. 3.7%, RR: 0.99 (95% confidence interval (CI) 0.62 to 1.60), </w:t>
      </w:r>
      <w:r w:rsidRPr="009F1C15">
        <w:rPr>
          <w:i/>
          <w:iCs/>
        </w:rPr>
        <w:t>p</w:t>
      </w:r>
      <w:r w:rsidR="003A57A5" w:rsidRPr="009F1C15">
        <w:t xml:space="preserve"> </w:t>
      </w:r>
      <w:r w:rsidRPr="009F1C15">
        <w:t>=</w:t>
      </w:r>
      <w:r w:rsidR="003A57A5" w:rsidRPr="009F1C15">
        <w:t xml:space="preserve"> </w:t>
      </w:r>
      <w:r w:rsidRPr="009F1C15">
        <w:t xml:space="preserve">0.98, </w:t>
      </w:r>
      <w:r w:rsidR="00B62654" w:rsidRPr="009F1C15">
        <w:t>I</w:t>
      </w:r>
      <w:r w:rsidR="00B62654" w:rsidRPr="009F1C15">
        <w:rPr>
          <w:vertAlign w:val="superscript"/>
        </w:rPr>
        <w:t>2</w:t>
      </w:r>
      <w:r w:rsidR="00B62654" w:rsidRPr="009F1C15">
        <w:t xml:space="preserve"> </w:t>
      </w:r>
      <w:r w:rsidRPr="009F1C15">
        <w:t>43%, Figure 4a.</w:t>
      </w:r>
    </w:p>
    <w:p w14:paraId="798D1EDA" w14:textId="61D915B5" w:rsidR="00593259" w:rsidRPr="009F1C15" w:rsidRDefault="00593259" w:rsidP="00423104">
      <w:pPr>
        <w:pStyle w:val="MDPI31text"/>
      </w:pPr>
      <w:r w:rsidRPr="009F1C15">
        <w:t xml:space="preserve">There was also no difference in non-fatal MI [5.3% vs. 5.9%, RR: 0.93 (95%CI 0.66 to 1.32), </w:t>
      </w:r>
      <w:r w:rsidRPr="009F1C15">
        <w:rPr>
          <w:i/>
          <w:iCs/>
        </w:rPr>
        <w:t>p</w:t>
      </w:r>
      <w:r w:rsidR="00B62654" w:rsidRPr="009F1C15">
        <w:t xml:space="preserve"> </w:t>
      </w:r>
      <w:r w:rsidRPr="009F1C15">
        <w:t>=</w:t>
      </w:r>
      <w:r w:rsidR="00B62654" w:rsidRPr="009F1C15">
        <w:t xml:space="preserve"> </w:t>
      </w:r>
      <w:r w:rsidRPr="009F1C15">
        <w:t>0.69, I</w:t>
      </w:r>
      <w:r w:rsidRPr="009F1C15">
        <w:rPr>
          <w:vertAlign w:val="superscript"/>
        </w:rPr>
        <w:t>2</w:t>
      </w:r>
      <w:r w:rsidRPr="009F1C15">
        <w:t xml:space="preserve"> 42%,</w:t>
      </w:r>
      <w:r w:rsidRPr="009F1C15">
        <w:rPr>
          <w:i/>
          <w:iCs/>
        </w:rPr>
        <w:t xml:space="preserve"> </w:t>
      </w:r>
      <w:r w:rsidRPr="009F1C15">
        <w:t xml:space="preserve">Figure 4b] or unplanned </w:t>
      </w:r>
      <w:proofErr w:type="spellStart"/>
      <w:r w:rsidRPr="009F1C15">
        <w:t>revascularisation</w:t>
      </w:r>
      <w:proofErr w:type="spellEnd"/>
      <w:r w:rsidRPr="009F1C15">
        <w:t xml:space="preserve"> [7.4% vs. 7.9%, RR: 0.92 (95%CI 0.76 to 1.11), </w:t>
      </w:r>
      <w:r w:rsidRPr="009F1C15">
        <w:rPr>
          <w:i/>
          <w:iCs/>
        </w:rPr>
        <w:t>p</w:t>
      </w:r>
      <w:r w:rsidR="00B62654" w:rsidRPr="009F1C15">
        <w:t xml:space="preserve"> </w:t>
      </w:r>
      <w:r w:rsidRPr="009F1C15">
        <w:t>=</w:t>
      </w:r>
      <w:r w:rsidR="00B62654" w:rsidRPr="009F1C15">
        <w:t xml:space="preserve"> </w:t>
      </w:r>
      <w:r w:rsidRPr="009F1C15">
        <w:t>0.37, I</w:t>
      </w:r>
      <w:r w:rsidRPr="009F1C15">
        <w:rPr>
          <w:vertAlign w:val="superscript"/>
        </w:rPr>
        <w:t>2</w:t>
      </w:r>
      <w:r w:rsidRPr="009F1C15">
        <w:t xml:space="preserve"> 0%, Figure 4c] between the FFR- versus angiography-guided groups. </w:t>
      </w:r>
    </w:p>
    <w:p w14:paraId="433B8579" w14:textId="0354086A" w:rsidR="00593259" w:rsidRPr="009F1C15" w:rsidRDefault="00593259" w:rsidP="00423104">
      <w:pPr>
        <w:pStyle w:val="MDPI31text"/>
      </w:pPr>
      <w:r w:rsidRPr="009F1C15">
        <w:t>Sensitivity analyses conducted via a leave-one-out meta-analysis did not change the statistical significance of the results.</w:t>
      </w:r>
    </w:p>
    <w:p w14:paraId="49D388C6" w14:textId="4A6E9E89" w:rsidR="00EB4676" w:rsidRPr="009F1C15" w:rsidRDefault="00E64375" w:rsidP="00423104">
      <w:pPr>
        <w:pStyle w:val="MDPI52figure"/>
      </w:pPr>
      <w:r>
        <w:rPr>
          <w:noProof/>
          <w:snapToGrid/>
        </w:rPr>
        <w:lastRenderedPageBreak/>
        <w:drawing>
          <wp:inline distT="0" distB="0" distL="0" distR="0" wp14:anchorId="10C4B8C7" wp14:editId="231832B4">
            <wp:extent cx="6575706" cy="3698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f"/>
                    <pic:cNvPicPr/>
                  </pic:nvPicPr>
                  <pic:blipFill>
                    <a:blip r:embed="rId25">
                      <a:extLst>
                        <a:ext uri="{28A0092B-C50C-407E-A947-70E740481C1C}">
                          <a14:useLocalDpi xmlns:a14="http://schemas.microsoft.com/office/drawing/2010/main" val="0"/>
                        </a:ext>
                      </a:extLst>
                    </a:blip>
                    <a:stretch>
                      <a:fillRect/>
                    </a:stretch>
                  </pic:blipFill>
                  <pic:spPr>
                    <a:xfrm>
                      <a:off x="0" y="0"/>
                      <a:ext cx="6631016" cy="3729654"/>
                    </a:xfrm>
                    <a:prstGeom prst="rect">
                      <a:avLst/>
                    </a:prstGeom>
                  </pic:spPr>
                </pic:pic>
              </a:graphicData>
            </a:graphic>
          </wp:inline>
        </w:drawing>
      </w:r>
    </w:p>
    <w:p w14:paraId="1AE1D017" w14:textId="25BB2FD1" w:rsidR="00EB4676" w:rsidRPr="009F1C15" w:rsidRDefault="00423104" w:rsidP="00423104">
      <w:pPr>
        <w:pStyle w:val="MDPI51figurecaption"/>
        <w:jc w:val="both"/>
      </w:pPr>
      <w:r w:rsidRPr="009F1C15">
        <w:rPr>
          <w:b/>
          <w:bCs/>
        </w:rPr>
        <w:t xml:space="preserve">Figure 4. </w:t>
      </w:r>
      <w:r w:rsidR="00EB4676" w:rsidRPr="009F1C15">
        <w:t>Forest plots of (</w:t>
      </w:r>
      <w:r w:rsidR="00EB4676" w:rsidRPr="009F1C15">
        <w:rPr>
          <w:b/>
          <w:bCs/>
        </w:rPr>
        <w:t>a</w:t>
      </w:r>
      <w:r w:rsidR="00EB4676" w:rsidRPr="009F1C15">
        <w:t>) all-cause mortality; (</w:t>
      </w:r>
      <w:r w:rsidR="00EB4676" w:rsidRPr="009F1C15">
        <w:rPr>
          <w:b/>
          <w:bCs/>
        </w:rPr>
        <w:t>b</w:t>
      </w:r>
      <w:r w:rsidR="00EB4676" w:rsidRPr="009F1C15">
        <w:t>) non-fatal myocardial infarction; and (</w:t>
      </w:r>
      <w:r w:rsidR="00EB4676" w:rsidRPr="009F1C15">
        <w:rPr>
          <w:b/>
          <w:bCs/>
        </w:rPr>
        <w:t>c</w:t>
      </w:r>
      <w:r w:rsidR="00EB4676" w:rsidRPr="009F1C15">
        <w:t xml:space="preserve">) unplanned </w:t>
      </w:r>
      <w:proofErr w:type="spellStart"/>
      <w:r w:rsidR="00EB4676" w:rsidRPr="009F1C15">
        <w:t>revascularisation</w:t>
      </w:r>
      <w:proofErr w:type="spellEnd"/>
      <w:r w:rsidR="00EB4676" w:rsidRPr="009F1C15">
        <w:t>.</w:t>
      </w:r>
    </w:p>
    <w:p w14:paraId="5D7C55DC" w14:textId="1FC16EA5" w:rsidR="00593259" w:rsidRPr="009F1C15" w:rsidRDefault="00423104" w:rsidP="00423104">
      <w:pPr>
        <w:pStyle w:val="MDPI22heading2"/>
        <w:spacing w:before="240"/>
      </w:pPr>
      <w:r w:rsidRPr="009F1C15">
        <w:t xml:space="preserve">3.4. </w:t>
      </w:r>
      <w:r w:rsidR="00593259" w:rsidRPr="009F1C15">
        <w:t xml:space="preserve">Revascularisation and </w:t>
      </w:r>
      <w:r w:rsidRPr="009F1C15">
        <w:t xml:space="preserve">Stent Implanted </w:t>
      </w:r>
      <w:r w:rsidR="00593259" w:rsidRPr="009F1C15">
        <w:t xml:space="preserve">per </w:t>
      </w:r>
      <w:r w:rsidRPr="009F1C15">
        <w:t>Allocated Strategy</w:t>
      </w:r>
    </w:p>
    <w:p w14:paraId="05F6D023" w14:textId="3FB81944" w:rsidR="00593259" w:rsidRPr="009F1C15" w:rsidRDefault="00593259" w:rsidP="00423104">
      <w:pPr>
        <w:pStyle w:val="MDPI31text"/>
      </w:pPr>
      <w:r w:rsidRPr="009F1C15">
        <w:t xml:space="preserve">The number patients undergoing planned </w:t>
      </w:r>
      <w:proofErr w:type="spellStart"/>
      <w:r w:rsidRPr="009F1C15">
        <w:t>revascularisation</w:t>
      </w:r>
      <w:proofErr w:type="spellEnd"/>
      <w:r w:rsidRPr="009F1C15">
        <w:t xml:space="preserve"> by either stent or surgery was significantly lower in the FFR-guided group [weighted mean difference: 14 (95% CI: 3 to </w:t>
      </w:r>
      <w:proofErr w:type="gramStart"/>
      <w:r w:rsidRPr="009F1C15">
        <w:t>25)%</w:t>
      </w:r>
      <w:proofErr w:type="gramEnd"/>
      <w:r w:rsidRPr="009F1C15">
        <w:t xml:space="preserve">, </w:t>
      </w:r>
      <w:r w:rsidRPr="009F1C15">
        <w:rPr>
          <w:i/>
          <w:iCs/>
        </w:rPr>
        <w:t>p</w:t>
      </w:r>
      <w:r w:rsidR="00951446" w:rsidRPr="009F1C15">
        <w:t xml:space="preserve"> </w:t>
      </w:r>
      <w:r w:rsidR="00FF453C" w:rsidRPr="009F1C15">
        <w:t>≤</w:t>
      </w:r>
      <w:r w:rsidR="00C30505" w:rsidRPr="009F1C15">
        <w:t xml:space="preserve"> </w:t>
      </w:r>
      <w:r w:rsidRPr="009F1C15">
        <w:t xml:space="preserve">0.001], Figure 5a, when compared to the angiography-guided </w:t>
      </w:r>
      <w:proofErr w:type="spellStart"/>
      <w:r w:rsidRPr="009F1C15">
        <w:t>revascularisation</w:t>
      </w:r>
      <w:proofErr w:type="spellEnd"/>
      <w:r w:rsidRPr="009F1C15">
        <w:t xml:space="preserve"> strategy.</w:t>
      </w:r>
    </w:p>
    <w:p w14:paraId="30D0041F" w14:textId="67628344" w:rsidR="00593259" w:rsidRPr="009F1C15" w:rsidRDefault="00593259" w:rsidP="00423104">
      <w:pPr>
        <w:pStyle w:val="MDPI31text"/>
      </w:pPr>
      <w:r w:rsidRPr="009F1C15">
        <w:t xml:space="preserve">The pooled average number of stents was significantly lower in the FFR-guided group compared to the angiography-guided group [mean difference </w:t>
      </w:r>
      <w:r w:rsidR="00951446" w:rsidRPr="009F1C15">
        <w:t>−</w:t>
      </w:r>
      <w:r w:rsidRPr="009F1C15">
        <w:t xml:space="preserve">0.45 (95%CI </w:t>
      </w:r>
      <w:r w:rsidR="00C30505" w:rsidRPr="009F1C15">
        <w:t>−</w:t>
      </w:r>
      <w:r w:rsidRPr="009F1C15">
        <w:t xml:space="preserve">0.70 to </w:t>
      </w:r>
      <w:r w:rsidR="00951446" w:rsidRPr="009F1C15">
        <w:t>−</w:t>
      </w:r>
      <w:r w:rsidRPr="009F1C15">
        <w:t xml:space="preserve">0.20), </w:t>
      </w:r>
      <w:r w:rsidR="00951446" w:rsidRPr="009F1C15">
        <w:rPr>
          <w:i/>
          <w:iCs/>
        </w:rPr>
        <w:t>p</w:t>
      </w:r>
      <w:r w:rsidR="00951446" w:rsidRPr="009F1C15">
        <w:t xml:space="preserve"> </w:t>
      </w:r>
      <w:r w:rsidRPr="009F1C15">
        <w:t>=</w:t>
      </w:r>
      <w:r w:rsidR="00951446" w:rsidRPr="009F1C15">
        <w:t xml:space="preserve"> </w:t>
      </w:r>
      <w:r w:rsidRPr="009F1C15">
        <w:t>0.004], Figure 5b.</w:t>
      </w:r>
    </w:p>
    <w:p w14:paraId="56FA5D4A" w14:textId="21ABF2CA" w:rsidR="00EB4676" w:rsidRPr="009F1C15" w:rsidRDefault="00E64375" w:rsidP="00423104">
      <w:pPr>
        <w:pStyle w:val="MDPI52figure"/>
      </w:pPr>
      <w:r>
        <w:rPr>
          <w:noProof/>
          <w:snapToGrid/>
        </w:rPr>
        <w:drawing>
          <wp:inline distT="0" distB="0" distL="0" distR="0" wp14:anchorId="5C8DE3FB" wp14:editId="7FECCB42">
            <wp:extent cx="5010637" cy="281826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2888" cy="2836402"/>
                    </a:xfrm>
                    <a:prstGeom prst="rect">
                      <a:avLst/>
                    </a:prstGeom>
                  </pic:spPr>
                </pic:pic>
              </a:graphicData>
            </a:graphic>
          </wp:inline>
        </w:drawing>
      </w:r>
    </w:p>
    <w:p w14:paraId="1B623475" w14:textId="5671609A" w:rsidR="00EB4676" w:rsidRPr="009F1C15" w:rsidRDefault="00423104" w:rsidP="00423104">
      <w:pPr>
        <w:pStyle w:val="MDPI51figurecaption"/>
        <w:jc w:val="both"/>
      </w:pPr>
      <w:r w:rsidRPr="009F1C15">
        <w:rPr>
          <w:b/>
          <w:bCs/>
        </w:rPr>
        <w:lastRenderedPageBreak/>
        <w:t xml:space="preserve">Figure 5. </w:t>
      </w:r>
      <w:r w:rsidR="00EB4676" w:rsidRPr="009F1C15">
        <w:t>Forest plots of (</w:t>
      </w:r>
      <w:r w:rsidR="00EB4676" w:rsidRPr="009F1C15">
        <w:rPr>
          <w:b/>
          <w:bCs/>
        </w:rPr>
        <w:t>a</w:t>
      </w:r>
      <w:r w:rsidR="00EB4676" w:rsidRPr="009F1C15">
        <w:t>) average number of stented implanted; and (</w:t>
      </w:r>
      <w:r w:rsidR="00EB4676" w:rsidRPr="009F1C15">
        <w:rPr>
          <w:b/>
          <w:bCs/>
        </w:rPr>
        <w:t>b</w:t>
      </w:r>
      <w:r w:rsidR="00EB4676" w:rsidRPr="009F1C15">
        <w:t xml:space="preserve">) percentage of patients undergoing planned </w:t>
      </w:r>
      <w:proofErr w:type="spellStart"/>
      <w:r w:rsidR="00EB4676" w:rsidRPr="009F1C15">
        <w:t>revascularisation</w:t>
      </w:r>
      <w:proofErr w:type="spellEnd"/>
      <w:r w:rsidR="00EB4676" w:rsidRPr="009F1C15">
        <w:t xml:space="preserve"> as per their </w:t>
      </w:r>
      <w:proofErr w:type="spellStart"/>
      <w:r w:rsidR="00EB4676" w:rsidRPr="009F1C15">
        <w:t>randomisation</w:t>
      </w:r>
      <w:proofErr w:type="spellEnd"/>
      <w:r w:rsidR="00EB4676" w:rsidRPr="009F1C15">
        <w:t xml:space="preserve"> group.</w:t>
      </w:r>
    </w:p>
    <w:p w14:paraId="373AE0E5" w14:textId="2A4EAB0B" w:rsidR="00593259" w:rsidRPr="009F1C15" w:rsidRDefault="00423104" w:rsidP="00423104">
      <w:pPr>
        <w:pStyle w:val="MDPI21heading1"/>
      </w:pPr>
      <w:r w:rsidRPr="009F1C15">
        <w:t xml:space="preserve">4. </w:t>
      </w:r>
      <w:r w:rsidR="00593259" w:rsidRPr="009F1C15">
        <w:t>Discussion</w:t>
      </w:r>
    </w:p>
    <w:p w14:paraId="68D27D8B" w14:textId="743D8CB8" w:rsidR="00593259" w:rsidRPr="009F1C15" w:rsidRDefault="00593259" w:rsidP="00423104">
      <w:pPr>
        <w:pStyle w:val="MDPI31text"/>
      </w:pPr>
      <w:r w:rsidRPr="009F1C15">
        <w:t xml:space="preserve">In this contemporary meta-analysis of RCTs comparing FFR-guided (using a cut-off of </w:t>
      </w:r>
      <w:r w:rsidR="009268BA" w:rsidRPr="009F1C15">
        <w:rPr>
          <w:sz w:val="21"/>
          <w:szCs w:val="21"/>
        </w:rPr>
        <w:t>≤</w:t>
      </w:r>
      <w:r w:rsidRPr="009F1C15">
        <w:t xml:space="preserve">0.80) to angiography-guided management strategy for obstructive CAD, we found no difference in mortality, MI, or unplanned </w:t>
      </w:r>
      <w:proofErr w:type="spellStart"/>
      <w:r w:rsidRPr="009F1C15">
        <w:t>revascularisation</w:t>
      </w:r>
      <w:proofErr w:type="spellEnd"/>
      <w:r w:rsidRPr="009F1C15">
        <w:t xml:space="preserve">, between the 2 strategies. However, an FFR-guided approach was associated with a lower number of patients who underwent </w:t>
      </w:r>
      <w:proofErr w:type="spellStart"/>
      <w:r w:rsidRPr="009F1C15">
        <w:t>revascularisation</w:t>
      </w:r>
      <w:proofErr w:type="spellEnd"/>
      <w:r w:rsidRPr="009F1C15">
        <w:t xml:space="preserve"> by up to a quarter (upper limit of the 95% CI). The latter finding is of considerable importance, highlighting the benefit to patients and the local health resource of such an approach. In fact, our findings could be </w:t>
      </w:r>
      <w:proofErr w:type="spellStart"/>
      <w:r w:rsidRPr="009F1C15">
        <w:t>summarised</w:t>
      </w:r>
      <w:proofErr w:type="spellEnd"/>
      <w:r w:rsidRPr="009F1C15">
        <w:t xml:space="preserve"> as follows: despite reducing the number of patients requiring </w:t>
      </w:r>
      <w:proofErr w:type="spellStart"/>
      <w:r w:rsidRPr="009F1C15">
        <w:t>revascularisation</w:t>
      </w:r>
      <w:proofErr w:type="spellEnd"/>
      <w:r w:rsidRPr="009F1C15">
        <w:t xml:space="preserve"> by up to 25%, an FFR-guided management strategy has no penalty in terms of the rate of adverse clinical events.</w:t>
      </w:r>
    </w:p>
    <w:p w14:paraId="72C88AC6" w14:textId="4B6BCBA1" w:rsidR="004F51E2" w:rsidRPr="009F1C15" w:rsidRDefault="00593259" w:rsidP="00423104">
      <w:pPr>
        <w:pStyle w:val="MDPI31text"/>
      </w:pPr>
      <w:r w:rsidRPr="009F1C15">
        <w:t>Two previous meta-analyses included 5094 patients from 7 RCTs</w:t>
      </w:r>
      <w:r w:rsidR="003E6A0B" w:rsidRPr="009F1C15">
        <w:t xml:space="preserve"> [</w:t>
      </w:r>
      <w:r w:rsidRPr="009F1C15">
        <w:rPr>
          <w:noProof/>
        </w:rPr>
        <w:t>13</w:t>
      </w:r>
      <w:r w:rsidR="003E6A0B" w:rsidRPr="009F1C15">
        <w:rPr>
          <w:noProof/>
        </w:rPr>
        <w:t>]</w:t>
      </w:r>
      <w:r w:rsidRPr="009F1C15">
        <w:t xml:space="preserve">, and an analysis from 5 RCTs </w:t>
      </w:r>
      <w:proofErr w:type="spellStart"/>
      <w:r w:rsidRPr="009F1C15">
        <w:t>totalling</w:t>
      </w:r>
      <w:proofErr w:type="spellEnd"/>
      <w:r w:rsidRPr="009F1C15">
        <w:t xml:space="preserve"> 2288 patients</w:t>
      </w:r>
      <w:r w:rsidR="003E6A0B" w:rsidRPr="009F1C15">
        <w:t xml:space="preserve"> [</w:t>
      </w:r>
      <w:r w:rsidRPr="009F1C15">
        <w:rPr>
          <w:noProof/>
        </w:rPr>
        <w:t>14</w:t>
      </w:r>
      <w:r w:rsidR="003E6A0B" w:rsidRPr="009F1C15">
        <w:rPr>
          <w:noProof/>
        </w:rPr>
        <w:t>]</w:t>
      </w:r>
      <w:r w:rsidRPr="009F1C15">
        <w:t>. Both of these meta-analyses</w:t>
      </w:r>
      <w:r w:rsidR="003E6A0B" w:rsidRPr="009F1C15">
        <w:t xml:space="preserve"> [</w:t>
      </w:r>
      <w:r w:rsidRPr="009F1C15">
        <w:rPr>
          <w:noProof/>
        </w:rPr>
        <w:t>13,14</w:t>
      </w:r>
      <w:r w:rsidR="003E6A0B" w:rsidRPr="009F1C15">
        <w:rPr>
          <w:noProof/>
        </w:rPr>
        <w:t>]</w:t>
      </w:r>
      <w:r w:rsidRPr="009F1C15">
        <w:t xml:space="preserve"> found no difference in mortality when FFR-guidance was compared to angiography-guidance for complete </w:t>
      </w:r>
      <w:proofErr w:type="spellStart"/>
      <w:r w:rsidRPr="009F1C15">
        <w:t>revascularisation</w:t>
      </w:r>
      <w:proofErr w:type="spellEnd"/>
      <w:r w:rsidRPr="009F1C15">
        <w:t>. However, our study also includes FRAME-AMI</w:t>
      </w:r>
      <w:r w:rsidR="00A520C7" w:rsidRPr="009F1C15">
        <w:t xml:space="preserve"> [</w:t>
      </w:r>
      <w:r w:rsidRPr="009F1C15">
        <w:rPr>
          <w:noProof/>
        </w:rPr>
        <w:t>3</w:t>
      </w:r>
      <w:r w:rsidR="00A520C7" w:rsidRPr="009F1C15">
        <w:rPr>
          <w:noProof/>
        </w:rPr>
        <w:t>]</w:t>
      </w:r>
      <w:r w:rsidRPr="009F1C15">
        <w:t xml:space="preserve">, only recently reported. We also excluded the RCT by </w:t>
      </w:r>
      <w:proofErr w:type="spellStart"/>
      <w:r w:rsidRPr="009F1C15">
        <w:t>Quintella</w:t>
      </w:r>
      <w:proofErr w:type="spellEnd"/>
      <w:r w:rsidRPr="009F1C15">
        <w:t xml:space="preserve"> et al</w:t>
      </w:r>
      <w:r w:rsidR="00620A5A" w:rsidRPr="009F1C15">
        <w:t>.</w:t>
      </w:r>
      <w:r w:rsidR="003E6A0B" w:rsidRPr="009F1C15">
        <w:t xml:space="preserve"> [</w:t>
      </w:r>
      <w:r w:rsidRPr="009F1C15">
        <w:rPr>
          <w:noProof/>
        </w:rPr>
        <w:t>15</w:t>
      </w:r>
      <w:r w:rsidR="003E6A0B" w:rsidRPr="009F1C15">
        <w:rPr>
          <w:noProof/>
        </w:rPr>
        <w:t>]</w:t>
      </w:r>
      <w:r w:rsidRPr="009F1C15">
        <w:t xml:space="preserve"> (n</w:t>
      </w:r>
      <w:r w:rsidR="003E6A0B" w:rsidRPr="009F1C15">
        <w:t xml:space="preserve"> </w:t>
      </w:r>
      <w:r w:rsidRPr="009F1C15">
        <w:t>=</w:t>
      </w:r>
      <w:r w:rsidR="003E6A0B" w:rsidRPr="009F1C15">
        <w:t xml:space="preserve"> </w:t>
      </w:r>
      <w:r w:rsidRPr="009F1C15">
        <w:t>69), which was included in the previous meta-analysis</w:t>
      </w:r>
      <w:r w:rsidR="00A520C7" w:rsidRPr="009F1C15">
        <w:t xml:space="preserve"> [</w:t>
      </w:r>
      <w:r w:rsidRPr="009F1C15">
        <w:rPr>
          <w:noProof/>
        </w:rPr>
        <w:t>14</w:t>
      </w:r>
      <w:r w:rsidR="00A520C7" w:rsidRPr="009F1C15">
        <w:rPr>
          <w:noProof/>
        </w:rPr>
        <w:t>]</w:t>
      </w:r>
      <w:r w:rsidRPr="009F1C15">
        <w:t>, and the DEFER-DES trial</w:t>
      </w:r>
      <w:r w:rsidR="00A520C7" w:rsidRPr="009F1C15">
        <w:t xml:space="preserve"> [</w:t>
      </w:r>
      <w:r w:rsidRPr="009F1C15">
        <w:rPr>
          <w:noProof/>
        </w:rPr>
        <w:t>16</w:t>
      </w:r>
      <w:r w:rsidR="00A520C7" w:rsidRPr="009F1C15">
        <w:rPr>
          <w:noProof/>
        </w:rPr>
        <w:t>]</w:t>
      </w:r>
      <w:r w:rsidRPr="009F1C15">
        <w:t xml:space="preserve"> (Fractional Flow Reserve to Determine the Appropriateness of Angioplasty in Moderate Coronary Stenosis), which was included in the larger prior meta-analysis</w:t>
      </w:r>
      <w:r w:rsidR="00A520C7" w:rsidRPr="009F1C15">
        <w:t xml:space="preserve"> [</w:t>
      </w:r>
      <w:r w:rsidRPr="009F1C15">
        <w:rPr>
          <w:noProof/>
        </w:rPr>
        <w:t>13</w:t>
      </w:r>
      <w:r w:rsidR="00A520C7" w:rsidRPr="009F1C15">
        <w:rPr>
          <w:noProof/>
        </w:rPr>
        <w:t>]</w:t>
      </w:r>
      <w:r w:rsidRPr="009F1C15">
        <w:t>, as they used an FFR threshold of &lt;0.75. Furthermore, we excluded the DK-CRUSH VI trial (Double Kissing Crush Versus Provisional Stenting Technique for Treatment of Coronary Bifurcation Lesions)</w:t>
      </w:r>
      <w:r w:rsidR="00A520C7" w:rsidRPr="009F1C15">
        <w:t xml:space="preserve"> [</w:t>
      </w:r>
      <w:r w:rsidRPr="009F1C15">
        <w:rPr>
          <w:noProof/>
        </w:rPr>
        <w:t>17</w:t>
      </w:r>
      <w:r w:rsidR="00A520C7" w:rsidRPr="009F1C15">
        <w:rPr>
          <w:noProof/>
        </w:rPr>
        <w:t>]</w:t>
      </w:r>
      <w:r w:rsidRPr="009F1C15">
        <w:t>, which was included in the larger prior meta-analysis</w:t>
      </w:r>
      <w:r w:rsidR="00A520C7" w:rsidRPr="009F1C15">
        <w:t xml:space="preserve"> [</w:t>
      </w:r>
      <w:r w:rsidRPr="009F1C15">
        <w:rPr>
          <w:noProof/>
        </w:rPr>
        <w:t>13</w:t>
      </w:r>
      <w:r w:rsidR="00A520C7" w:rsidRPr="009F1C15">
        <w:rPr>
          <w:noProof/>
        </w:rPr>
        <w:t>]</w:t>
      </w:r>
      <w:r w:rsidRPr="009F1C15">
        <w:t xml:space="preserve">, as only the side branch involved in a provisional bifurcation stenting strategy was </w:t>
      </w:r>
      <w:proofErr w:type="spellStart"/>
      <w:r w:rsidRPr="009F1C15">
        <w:t>randomised</w:t>
      </w:r>
      <w:proofErr w:type="spellEnd"/>
      <w:r w:rsidRPr="009F1C15">
        <w:t xml:space="preserve"> to either FFR-guided or angiography-guided </w:t>
      </w:r>
      <w:proofErr w:type="spellStart"/>
      <w:r w:rsidRPr="009F1C15">
        <w:t>revascularisation</w:t>
      </w:r>
      <w:proofErr w:type="spellEnd"/>
      <w:r w:rsidRPr="009F1C15">
        <w:t>, rather than the lesion in the main vessel. Furthermore, we took care to only include patients with obstructive CAD from the RIPCORD-2 trial</w:t>
      </w:r>
      <w:r w:rsidR="00A520C7" w:rsidRPr="009F1C15">
        <w:t xml:space="preserve"> [</w:t>
      </w:r>
      <w:r w:rsidRPr="009F1C15">
        <w:rPr>
          <w:noProof/>
        </w:rPr>
        <w:t>4</w:t>
      </w:r>
      <w:r w:rsidR="00A520C7" w:rsidRPr="009F1C15">
        <w:rPr>
          <w:noProof/>
        </w:rPr>
        <w:t>]</w:t>
      </w:r>
      <w:r w:rsidRPr="009F1C15">
        <w:t>, to better reflect current clinical practice of when FFR use would be considered, which was not the case in the previous meta-analysis</w:t>
      </w:r>
      <w:r w:rsidR="00A520C7" w:rsidRPr="009F1C15">
        <w:t xml:space="preserve"> [</w:t>
      </w:r>
      <w:r w:rsidRPr="009F1C15">
        <w:rPr>
          <w:noProof/>
        </w:rPr>
        <w:t>13</w:t>
      </w:r>
      <w:r w:rsidR="00A520C7" w:rsidRPr="009F1C15">
        <w:rPr>
          <w:noProof/>
        </w:rPr>
        <w:t>]</w:t>
      </w:r>
      <w:r w:rsidRPr="009F1C15">
        <w:t xml:space="preserve">. Lastly, we also included trials with CABG as the </w:t>
      </w:r>
      <w:proofErr w:type="spellStart"/>
      <w:r w:rsidRPr="009F1C15">
        <w:t>revascularisation</w:t>
      </w:r>
      <w:proofErr w:type="spellEnd"/>
      <w:r w:rsidRPr="009F1C15">
        <w:t xml:space="preserve"> strategy, which makes our findings more relevant to everyday clinical practice, and our meta-analysis builds on the previous work by Matthews et al</w:t>
      </w:r>
      <w:r w:rsidR="00620A5A" w:rsidRPr="009F1C15">
        <w:t>.</w:t>
      </w:r>
      <w:r w:rsidR="00A520C7" w:rsidRPr="009F1C15">
        <w:t xml:space="preserve"> [</w:t>
      </w:r>
      <w:r w:rsidRPr="009F1C15">
        <w:rPr>
          <w:noProof/>
        </w:rPr>
        <w:t>18</w:t>
      </w:r>
      <w:r w:rsidR="00A520C7" w:rsidRPr="009F1C15">
        <w:rPr>
          <w:noProof/>
        </w:rPr>
        <w:t>]</w:t>
      </w:r>
      <w:r w:rsidRPr="009F1C15">
        <w:t>, which only included 3 trials</w:t>
      </w:r>
      <w:r w:rsidR="00A520C7" w:rsidRPr="009F1C15">
        <w:t xml:space="preserve"> [</w:t>
      </w:r>
      <w:r w:rsidRPr="009F1C15">
        <w:rPr>
          <w:noProof/>
        </w:rPr>
        <w:t>7,8,19</w:t>
      </w:r>
      <w:r w:rsidR="00A520C7" w:rsidRPr="009F1C15">
        <w:rPr>
          <w:noProof/>
        </w:rPr>
        <w:t>]</w:t>
      </w:r>
      <w:r w:rsidRPr="009F1C15">
        <w:t xml:space="preserve"> of patients undergoing PCI only and clinical outcomes were limited to 1 year.</w:t>
      </w:r>
    </w:p>
    <w:p w14:paraId="2ACF7214" w14:textId="7FF03283" w:rsidR="004F51E2" w:rsidRPr="009F1C15" w:rsidRDefault="004F51E2" w:rsidP="00423104">
      <w:pPr>
        <w:pStyle w:val="MDPI31text"/>
      </w:pPr>
      <w:r w:rsidRPr="009F1C15">
        <w:rPr>
          <w:lang w:val="en-GB"/>
        </w:rPr>
        <w:t xml:space="preserve">The role of FFR in acute MI setting has been a subject of debate. FFR is usually performed in the non-infarct related artery in the setting of STEMI rather that the infarct related artery. Therefore, the impact of acute infarct and </w:t>
      </w:r>
      <w:proofErr w:type="spellStart"/>
      <w:r w:rsidRPr="009F1C15">
        <w:rPr>
          <w:lang w:val="en-GB"/>
        </w:rPr>
        <w:t>edema</w:t>
      </w:r>
      <w:proofErr w:type="spellEnd"/>
      <w:r w:rsidRPr="009F1C15">
        <w:rPr>
          <w:lang w:val="en-GB"/>
        </w:rPr>
        <w:t xml:space="preserve"> is minimal. However, STEMI patients may have caffeine or caffeine-containing product on board, and therefore FFR done during the index procedure would have a high false-negative rate. In NSTEMI, FFR can be done both in the infarct-related artery and the non-infarct related artery as shown in FAMOUS-NSTEMI but was not powered for clinical outcomes. One would expect that if a NSTEMI patient with a large infarct size or area of </w:t>
      </w:r>
      <w:proofErr w:type="spellStart"/>
      <w:r w:rsidRPr="009F1C15">
        <w:rPr>
          <w:lang w:val="en-GB"/>
        </w:rPr>
        <w:t>edema</w:t>
      </w:r>
      <w:proofErr w:type="spellEnd"/>
      <w:r w:rsidRPr="009F1C15">
        <w:rPr>
          <w:lang w:val="en-GB"/>
        </w:rPr>
        <w:t xml:space="preserve">, FFR could be falsely negative in view of the inability of that infarct related territory to reach maximum </w:t>
      </w:r>
      <w:proofErr w:type="spellStart"/>
      <w:r w:rsidRPr="009F1C15">
        <w:rPr>
          <w:lang w:val="en-GB"/>
        </w:rPr>
        <w:t>hyperemia</w:t>
      </w:r>
      <w:proofErr w:type="spellEnd"/>
      <w:r w:rsidRPr="009F1C15">
        <w:rPr>
          <w:lang w:val="en-GB"/>
        </w:rPr>
        <w:t>. We did attempt to stratify the trial-defined MACE by clinical presentation and in view of the inherent limitation of doing FFR in acute MI setting, although there was no difference in MACE between the 2 groups, the heterogeneity was high at 61%.</w:t>
      </w:r>
      <w:r w:rsidRPr="009F1C15">
        <w:rPr>
          <w:bCs/>
          <w:color w:val="000000" w:themeColor="text1"/>
        </w:rPr>
        <w:t xml:space="preserve"> </w:t>
      </w:r>
      <w:r w:rsidRPr="009F1C15">
        <w:t xml:space="preserve">Further studies are required to confirm the role of FFR in acute MI setting. </w:t>
      </w:r>
    </w:p>
    <w:p w14:paraId="6D3E29D5" w14:textId="364FFDFA" w:rsidR="00593259" w:rsidRPr="009F1C15" w:rsidRDefault="00593259" w:rsidP="00423104">
      <w:pPr>
        <w:pStyle w:val="MDPI31text"/>
      </w:pPr>
      <w:r w:rsidRPr="009F1C15">
        <w:t xml:space="preserve">It is well known that discrepancy exists between angiographic visual estimates of stenosis severity, and physiologically significant flow limitation that causes downstream myocardial </w:t>
      </w:r>
      <w:proofErr w:type="spellStart"/>
      <w:r w:rsidRPr="009F1C15">
        <w:t>ischaemia</w:t>
      </w:r>
      <w:proofErr w:type="spellEnd"/>
      <w:r w:rsidR="0084596B" w:rsidRPr="009F1C15">
        <w:t xml:space="preserve"> [</w:t>
      </w:r>
      <w:r w:rsidRPr="009F1C15">
        <w:rPr>
          <w:noProof/>
        </w:rPr>
        <w:t>20</w:t>
      </w:r>
      <w:r w:rsidR="0084596B" w:rsidRPr="009F1C15">
        <w:rPr>
          <w:noProof/>
        </w:rPr>
        <w:t>]</w:t>
      </w:r>
      <w:r w:rsidRPr="009F1C15">
        <w:t>. The prevalence of a discordance between the visual estimate of stenosis significance and FFR measurement is between 20</w:t>
      </w:r>
      <w:r w:rsidR="0001348F" w:rsidRPr="009F1C15">
        <w:t>–</w:t>
      </w:r>
      <w:r w:rsidRPr="009F1C15">
        <w:t>30% of all lesions, and this mismatch involves lesions as little as 30% stenosis by eye and above 90%</w:t>
      </w:r>
      <w:r w:rsidR="0001348F" w:rsidRPr="009F1C15">
        <w:t xml:space="preserve"> [</w:t>
      </w:r>
      <w:r w:rsidRPr="009F1C15">
        <w:rPr>
          <w:noProof/>
        </w:rPr>
        <w:t>4,21</w:t>
      </w:r>
      <w:r w:rsidR="0001348F" w:rsidRPr="009F1C15">
        <w:rPr>
          <w:noProof/>
        </w:rPr>
        <w:t>]</w:t>
      </w:r>
      <w:r w:rsidRPr="009F1C15">
        <w:t xml:space="preserve">. The absence of myocardial </w:t>
      </w:r>
      <w:proofErr w:type="spellStart"/>
      <w:r w:rsidRPr="009F1C15">
        <w:t>ischaemia</w:t>
      </w:r>
      <w:proofErr w:type="spellEnd"/>
      <w:r w:rsidRPr="009F1C15">
        <w:t xml:space="preserve"> is associated with excellent outcomes using optimal medical therapy</w:t>
      </w:r>
      <w:r w:rsidR="00306856" w:rsidRPr="009F1C15">
        <w:t xml:space="preserve"> [</w:t>
      </w:r>
      <w:r w:rsidRPr="009F1C15">
        <w:rPr>
          <w:noProof/>
        </w:rPr>
        <w:t>22</w:t>
      </w:r>
      <w:r w:rsidR="00306856" w:rsidRPr="009F1C15">
        <w:rPr>
          <w:noProof/>
        </w:rPr>
        <w:t>]</w:t>
      </w:r>
      <w:r w:rsidRPr="009F1C15">
        <w:t xml:space="preserve"> and FFR is regarded as the reference standard invasive method to define lesion-specific </w:t>
      </w:r>
      <w:proofErr w:type="spellStart"/>
      <w:r w:rsidRPr="009F1C15">
        <w:t>ischaemia</w:t>
      </w:r>
      <w:proofErr w:type="spellEnd"/>
      <w:r w:rsidR="00306856" w:rsidRPr="009F1C15">
        <w:t xml:space="preserve"> [</w:t>
      </w:r>
      <w:r w:rsidRPr="009F1C15">
        <w:rPr>
          <w:noProof/>
        </w:rPr>
        <w:t>23</w:t>
      </w:r>
      <w:r w:rsidR="00306856" w:rsidRPr="009F1C15">
        <w:rPr>
          <w:noProof/>
        </w:rPr>
        <w:t>]</w:t>
      </w:r>
      <w:r w:rsidRPr="009F1C15">
        <w:t xml:space="preserve">. It has been logically been suggested that judgements based </w:t>
      </w:r>
      <w:r w:rsidRPr="009F1C15">
        <w:lastRenderedPageBreak/>
        <w:t>on angiographic visual estimates of lesion severity are subjective, potentially leading to misdiagnosis and unnecessary stent implantation or even CABG, with the possibility of procedure-related complications, leading to worse outcomes</w:t>
      </w:r>
      <w:r w:rsidR="00306856" w:rsidRPr="009F1C15">
        <w:t xml:space="preserve"> [</w:t>
      </w:r>
      <w:r w:rsidRPr="009F1C15">
        <w:rPr>
          <w:noProof/>
        </w:rPr>
        <w:t>20</w:t>
      </w:r>
      <w:r w:rsidR="00306856" w:rsidRPr="009F1C15">
        <w:rPr>
          <w:noProof/>
        </w:rPr>
        <w:t>]</w:t>
      </w:r>
      <w:r w:rsidRPr="009F1C15">
        <w:t xml:space="preserve">. In contrast, our findings demonstrate that guiding </w:t>
      </w:r>
      <w:proofErr w:type="spellStart"/>
      <w:r w:rsidRPr="009F1C15">
        <w:t>revascularisation</w:t>
      </w:r>
      <w:proofErr w:type="spellEnd"/>
      <w:r w:rsidRPr="009F1C15">
        <w:t xml:space="preserve"> in a range of clinical scenarios encountered in our daily practice based on angiography alone, without FFR, does not adversely impact on major adverse </w:t>
      </w:r>
      <w:proofErr w:type="spellStart"/>
      <w:r w:rsidRPr="009F1C15">
        <w:t>ischaemic</w:t>
      </w:r>
      <w:proofErr w:type="spellEnd"/>
      <w:r w:rsidRPr="009F1C15">
        <w:t xml:space="preserve"> events. One potential explanation for our findings might be the impact of vulnerable plaque characteristics, which have been shown to be associated with adverse outcomes</w:t>
      </w:r>
      <w:r w:rsidR="00306856" w:rsidRPr="009F1C15">
        <w:t xml:space="preserve"> [</w:t>
      </w:r>
      <w:r w:rsidRPr="009F1C15">
        <w:rPr>
          <w:noProof/>
        </w:rPr>
        <w:t>24</w:t>
      </w:r>
      <w:r w:rsidR="00306856" w:rsidRPr="009F1C15">
        <w:rPr>
          <w:noProof/>
        </w:rPr>
        <w:t>]</w:t>
      </w:r>
      <w:r w:rsidRPr="009F1C15">
        <w:t xml:space="preserve"> and could potentially exist in lesions without significant </w:t>
      </w:r>
      <w:proofErr w:type="spellStart"/>
      <w:r w:rsidRPr="009F1C15">
        <w:t>ischaemia</w:t>
      </w:r>
      <w:proofErr w:type="spellEnd"/>
      <w:r w:rsidRPr="009F1C15">
        <w:t xml:space="preserve">. Most recently, this was demonstrated in the COMBINE OCT-FFR trial (Combined Optical Coherence Tomography Morphologic and Fractional Flow reserve </w:t>
      </w:r>
      <w:proofErr w:type="spellStart"/>
      <w:r w:rsidRPr="009F1C15">
        <w:t>Haemodynamic</w:t>
      </w:r>
      <w:proofErr w:type="spellEnd"/>
      <w:r w:rsidRPr="009F1C15">
        <w:t xml:space="preserve"> Assessment of Non-Culprit Lesions to Better Predict Adverse Event outcomes in Diabetes Mellitus patients)</w:t>
      </w:r>
      <w:r w:rsidR="00306856" w:rsidRPr="009F1C15">
        <w:t xml:space="preserve"> [</w:t>
      </w:r>
      <w:r w:rsidRPr="009F1C15">
        <w:rPr>
          <w:noProof/>
        </w:rPr>
        <w:t>25</w:t>
      </w:r>
      <w:r w:rsidR="00306856" w:rsidRPr="009F1C15">
        <w:rPr>
          <w:noProof/>
        </w:rPr>
        <w:t>]</w:t>
      </w:r>
      <w:r w:rsidRPr="009F1C15">
        <w:t xml:space="preserve">. COMBINE OCT-FFR found that, among diabetic patients with </w:t>
      </w:r>
      <w:r w:rsidR="009268BA" w:rsidRPr="009F1C15">
        <w:t>≥</w:t>
      </w:r>
      <w:r w:rsidRPr="009F1C15">
        <w:t xml:space="preserve">1 FFR-negative lesions, thin-cap fibroatheroma detected on optical coherence tomography was associated with a five-fold higher rate of MACE, despite the absence of </w:t>
      </w:r>
      <w:proofErr w:type="spellStart"/>
      <w:r w:rsidRPr="009F1C15">
        <w:t>ischaemia</w:t>
      </w:r>
      <w:proofErr w:type="spellEnd"/>
      <w:r w:rsidR="00306856" w:rsidRPr="009F1C15">
        <w:t xml:space="preserve"> [</w:t>
      </w:r>
      <w:r w:rsidRPr="009F1C15">
        <w:rPr>
          <w:noProof/>
        </w:rPr>
        <w:t>25</w:t>
      </w:r>
      <w:r w:rsidR="00306856" w:rsidRPr="009F1C15">
        <w:rPr>
          <w:noProof/>
        </w:rPr>
        <w:t>]</w:t>
      </w:r>
      <w:r w:rsidRPr="009F1C15">
        <w:t>. Therefore, there has recently been a paradigm shift in our understanding that plaque burden (the higher the plaque burden, the more likely for vulnerable plaques to develop</w:t>
      </w:r>
      <w:r w:rsidR="00C6177C" w:rsidRPr="009F1C15">
        <w:t>), may impact on hard clinical outcomes irrespective of the physiological significance of lesions. Further studies are warranted to improve understanding of whether revascularization decisions could be improved by assessment using the combination of both plaque vulnerability with OCT and physiological lesion significant with FFR</w:t>
      </w:r>
      <w:r w:rsidRPr="009F1C15">
        <w:t xml:space="preserve"> The INTERCLIMA trial (Interventional Strategy for Non-culprit Lesions with Major Vulnerability Criteria at OCT in Patients with ACS) (NCT05027984), PREVENT trial (The Preventive Coronary Intervention on Stenosis With Functionally Insignificant Vulnerable Plaque) (NCT02316886) and COMPARE STEMI ONE trial (Comparison Of Reduced DAPT Followed by P2Y12 Inhibitor Monotherapy With Prasugrel</w:t>
      </w:r>
      <w:r w:rsidR="00B73BC2" w:rsidRPr="009F1C15">
        <w:t xml:space="preserve"> vs. </w:t>
      </w:r>
      <w:r w:rsidRPr="009F1C15">
        <w:t>standard Regimen in STEMI Patients Treated With OCT-guided</w:t>
      </w:r>
      <w:r w:rsidR="00B73BC2" w:rsidRPr="009F1C15">
        <w:t xml:space="preserve"> vs. </w:t>
      </w:r>
      <w:proofErr w:type="spellStart"/>
      <w:r w:rsidRPr="009F1C15">
        <w:t>aNgio</w:t>
      </w:r>
      <w:proofErr w:type="spellEnd"/>
      <w:r w:rsidRPr="009F1C15">
        <w:t xml:space="preserve">-guided complete </w:t>
      </w:r>
      <w:proofErr w:type="spellStart"/>
      <w:r w:rsidRPr="009F1C15">
        <w:t>Revascularisation</w:t>
      </w:r>
      <w:proofErr w:type="spellEnd"/>
      <w:r w:rsidRPr="009F1C15">
        <w:t>) (NCT05491200), are currently ongoing, to assess whether an imaging-guided approach to identify vulnerable plaques, would improve clinical outcomes.</w:t>
      </w:r>
    </w:p>
    <w:p w14:paraId="04D7CE56" w14:textId="7E533C02" w:rsidR="00593259" w:rsidRPr="009F1C15" w:rsidRDefault="00593259" w:rsidP="00423104">
      <w:pPr>
        <w:pStyle w:val="MDPI31text"/>
      </w:pPr>
      <w:r w:rsidRPr="009F1C15">
        <w:t xml:space="preserve">There are a number of limitations to our study. Firstly, it is an aggregate of trial-level data, rather than individual patient-level data. Therefore, we could not perform in-depth sub-group analyses, stratified by diabetes status, clinical presentation, or treatment with CABG. </w:t>
      </w:r>
      <w:r w:rsidR="007711A1" w:rsidRPr="009F1C15">
        <w:t xml:space="preserve">We cannot exclude the possibility that heterogeneity of the populations, for example the prevalence of diabetes, may have influenced the conclusions. </w:t>
      </w:r>
      <w:r w:rsidRPr="009F1C15">
        <w:t>Nonetheless, evidence suggests that robustly performed trial-level meta-analyses often produce similar conclusions to patient-level meta-analyses</w:t>
      </w:r>
      <w:r w:rsidR="000675A4" w:rsidRPr="009F1C15">
        <w:t xml:space="preserve"> [</w:t>
      </w:r>
      <w:r w:rsidRPr="009F1C15">
        <w:rPr>
          <w:noProof/>
        </w:rPr>
        <w:t>26</w:t>
      </w:r>
      <w:r w:rsidR="000675A4" w:rsidRPr="009F1C15">
        <w:rPr>
          <w:noProof/>
        </w:rPr>
        <w:t>]</w:t>
      </w:r>
      <w:r w:rsidRPr="009F1C15">
        <w:t>. We did provide subgroup analysis for the trial-defined composite endpoint for patients presenting with stable CAD or ACS and our findings were similar to those observed for all the RCTs were pooled together. Secondly, there was heterogeneity across the included RCTs, with respect to inclusion criteria, primary endpoints, and follow up duration. Of note, RIPCORD-2</w:t>
      </w:r>
      <w:r w:rsidR="000675A4" w:rsidRPr="009F1C15">
        <w:t xml:space="preserve"> [</w:t>
      </w:r>
      <w:r w:rsidRPr="009F1C15">
        <w:rPr>
          <w:noProof/>
        </w:rPr>
        <w:t>4</w:t>
      </w:r>
      <w:r w:rsidR="000675A4" w:rsidRPr="009F1C15">
        <w:rPr>
          <w:noProof/>
        </w:rPr>
        <w:t>]</w:t>
      </w:r>
      <w:r w:rsidRPr="009F1C15">
        <w:t>, GRAFFITI</w:t>
      </w:r>
      <w:r w:rsidR="000675A4" w:rsidRPr="009F1C15">
        <w:t xml:space="preserve"> [</w:t>
      </w:r>
      <w:r w:rsidRPr="009F1C15">
        <w:rPr>
          <w:noProof/>
        </w:rPr>
        <w:t>6</w:t>
      </w:r>
      <w:r w:rsidR="000675A4" w:rsidRPr="009F1C15">
        <w:rPr>
          <w:noProof/>
        </w:rPr>
        <w:t>]</w:t>
      </w:r>
      <w:r w:rsidRPr="009F1C15">
        <w:t xml:space="preserve"> and FAMOUS-NSTEMI</w:t>
      </w:r>
      <w:r w:rsidR="000675A4" w:rsidRPr="009F1C15">
        <w:t xml:space="preserve"> [</w:t>
      </w:r>
      <w:r w:rsidRPr="009F1C15">
        <w:rPr>
          <w:noProof/>
        </w:rPr>
        <w:t>12</w:t>
      </w:r>
      <w:r w:rsidR="000675A4" w:rsidRPr="009F1C15">
        <w:rPr>
          <w:noProof/>
        </w:rPr>
        <w:t>]</w:t>
      </w:r>
      <w:r w:rsidRPr="009F1C15">
        <w:t xml:space="preserve"> included lesions with 30% angiographic stenosis assessed visually, compared to 50% in the other studies included in our meta-analysis</w:t>
      </w:r>
      <w:r w:rsidR="000675A4" w:rsidRPr="009F1C15">
        <w:t xml:space="preserve"> [</w:t>
      </w:r>
      <w:r w:rsidRPr="009F1C15">
        <w:rPr>
          <w:noProof/>
        </w:rPr>
        <w:t>2,3,5,7,8</w:t>
      </w:r>
      <w:r w:rsidR="000675A4" w:rsidRPr="009F1C15">
        <w:rPr>
          <w:noProof/>
        </w:rPr>
        <w:t>]</w:t>
      </w:r>
      <w:r w:rsidRPr="009F1C15">
        <w:t>. The percentage of patients with ACS was lowest in the GRAFFITI trial</w:t>
      </w:r>
      <w:r w:rsidR="005B7C75" w:rsidRPr="009F1C15">
        <w:t xml:space="preserve"> [</w:t>
      </w:r>
      <w:r w:rsidRPr="009F1C15">
        <w:rPr>
          <w:noProof/>
        </w:rPr>
        <w:t>6</w:t>
      </w:r>
      <w:r w:rsidR="005B7C75" w:rsidRPr="009F1C15">
        <w:rPr>
          <w:noProof/>
        </w:rPr>
        <w:t>]</w:t>
      </w:r>
      <w:r w:rsidRPr="009F1C15">
        <w:t>. In contrast, FLOWER-MI</w:t>
      </w:r>
      <w:r w:rsidR="005B7C75" w:rsidRPr="009F1C15">
        <w:t xml:space="preserve"> [</w:t>
      </w:r>
      <w:r w:rsidRPr="009F1C15">
        <w:rPr>
          <w:noProof/>
        </w:rPr>
        <w:t>7</w:t>
      </w:r>
      <w:r w:rsidR="005B7C75" w:rsidRPr="009F1C15">
        <w:rPr>
          <w:noProof/>
        </w:rPr>
        <w:t>]</w:t>
      </w:r>
      <w:r w:rsidRPr="009F1C15">
        <w:t xml:space="preserve"> exclusively included STEMI patients with bystander disease, and FRAME-AMI</w:t>
      </w:r>
      <w:r w:rsidR="005B7C75" w:rsidRPr="009F1C15">
        <w:t xml:space="preserve"> [</w:t>
      </w:r>
      <w:r w:rsidRPr="009F1C15">
        <w:rPr>
          <w:noProof/>
        </w:rPr>
        <w:t>3</w:t>
      </w:r>
      <w:r w:rsidR="005B7C75" w:rsidRPr="009F1C15">
        <w:rPr>
          <w:noProof/>
        </w:rPr>
        <w:t>]</w:t>
      </w:r>
      <w:r w:rsidRPr="009F1C15">
        <w:t xml:space="preserve"> only included patients with STEMI or NSTEMI. FAMOUS-NSTEMI</w:t>
      </w:r>
      <w:r w:rsidR="005B7C75" w:rsidRPr="009F1C15">
        <w:t xml:space="preserve"> [</w:t>
      </w:r>
      <w:r w:rsidRPr="009F1C15">
        <w:rPr>
          <w:noProof/>
        </w:rPr>
        <w:t>12</w:t>
      </w:r>
      <w:r w:rsidR="005B7C75" w:rsidRPr="009F1C15">
        <w:rPr>
          <w:noProof/>
        </w:rPr>
        <w:t>]</w:t>
      </w:r>
      <w:r w:rsidRPr="009F1C15">
        <w:t xml:space="preserve"> exclusively included patients with NSTEMI. Approximately half of the patients included in RIPCORD-2</w:t>
      </w:r>
      <w:r w:rsidR="005B7C75" w:rsidRPr="009F1C15">
        <w:t xml:space="preserve"> [</w:t>
      </w:r>
      <w:r w:rsidRPr="009F1C15">
        <w:rPr>
          <w:noProof/>
        </w:rPr>
        <w:t>4</w:t>
      </w:r>
      <w:r w:rsidR="005B7C75" w:rsidRPr="009F1C15">
        <w:rPr>
          <w:noProof/>
        </w:rPr>
        <w:t>]</w:t>
      </w:r>
      <w:r w:rsidRPr="009F1C15">
        <w:t xml:space="preserve"> and FUTURE</w:t>
      </w:r>
      <w:r w:rsidR="005B7C75" w:rsidRPr="009F1C15">
        <w:t xml:space="preserve"> [</w:t>
      </w:r>
      <w:r w:rsidRPr="009F1C15">
        <w:rPr>
          <w:noProof/>
        </w:rPr>
        <w:t>8</w:t>
      </w:r>
      <w:r w:rsidR="005B7C75" w:rsidRPr="009F1C15">
        <w:rPr>
          <w:noProof/>
        </w:rPr>
        <w:t>]</w:t>
      </w:r>
      <w:r w:rsidRPr="009F1C15">
        <w:t xml:space="preserve"> presented with ACS. However, these studies reflect the patient population we would encounter in our clinical practice for pressure wire use to guide treatment.</w:t>
      </w:r>
      <w:r w:rsidR="000646F4" w:rsidRPr="009F1C15">
        <w:t xml:space="preserve"> It should also be noted that the indication for FFR use to guide PCI is more widely clinically applicable whereas the aim of FFR use in the 2 RCTs to guide CABG (FARGO and GRAFFITI trials) was to assess graft patency post</w:t>
      </w:r>
      <w:r w:rsidR="0009761C" w:rsidRPr="009F1C15">
        <w:t>-</w:t>
      </w:r>
      <w:r w:rsidR="000646F4" w:rsidRPr="009F1C15">
        <w:t>surgery. Therefore, FFR use in those already planned for CABG is less clinically applicable at present</w:t>
      </w:r>
      <w:r w:rsidR="0009761C" w:rsidRPr="009F1C15">
        <w:t>, pending further adequately powered RCTs for hard clinical outcomes in CABG patients</w:t>
      </w:r>
      <w:r w:rsidR="000646F4" w:rsidRPr="009F1C15">
        <w:t xml:space="preserve"> and is a limitation of our study.</w:t>
      </w:r>
    </w:p>
    <w:p w14:paraId="1432CA04" w14:textId="6434CA45" w:rsidR="00593259" w:rsidRPr="009F1C15" w:rsidRDefault="00593259" w:rsidP="00423104">
      <w:pPr>
        <w:pStyle w:val="MDPI31text"/>
      </w:pPr>
      <w:r w:rsidRPr="009F1C15">
        <w:lastRenderedPageBreak/>
        <w:t xml:space="preserve">In conclusion, this contemporary meta-analysis shows that an FFR-guided management strategy did not impact on all-cause mortality, MI and unplanned </w:t>
      </w:r>
      <w:proofErr w:type="spellStart"/>
      <w:r w:rsidRPr="009F1C15">
        <w:t>revascularisation</w:t>
      </w:r>
      <w:proofErr w:type="spellEnd"/>
      <w:r w:rsidRPr="009F1C15">
        <w:t xml:space="preserve">, when compared to an angiography-guided management strategy, after a weighted mean follow-up of 22 months. However, an FFR-guided approach led to up to 1 in 4 less patients needing </w:t>
      </w:r>
      <w:proofErr w:type="spellStart"/>
      <w:r w:rsidRPr="009F1C15">
        <w:t>revascularisation</w:t>
      </w:r>
      <w:proofErr w:type="spellEnd"/>
      <w:r w:rsidRPr="009F1C15">
        <w:t xml:space="preserve">, which has important benefits to patients and the local provision of health resources. </w:t>
      </w:r>
    </w:p>
    <w:p w14:paraId="1FCD250E" w14:textId="46DCA740" w:rsidR="00AC1E78" w:rsidRPr="009F1C15" w:rsidRDefault="00AC1E78" w:rsidP="00244747">
      <w:pPr>
        <w:pStyle w:val="MDPI62BackMatter"/>
        <w:spacing w:before="240"/>
      </w:pPr>
      <w:r w:rsidRPr="00244747">
        <w:rPr>
          <w:b/>
        </w:rPr>
        <w:t>Funding</w:t>
      </w:r>
      <w:r w:rsidR="002B12CF" w:rsidRPr="00244747">
        <w:rPr>
          <w:b/>
        </w:rPr>
        <w:t xml:space="preserve">: </w:t>
      </w:r>
      <w:r w:rsidR="00FF453C" w:rsidRPr="009F1C15">
        <w:t>This research received no external funding</w:t>
      </w:r>
      <w:r w:rsidRPr="009F1C15">
        <w:t>.</w:t>
      </w:r>
    </w:p>
    <w:p w14:paraId="102FEE24" w14:textId="7F4FB8F5" w:rsidR="00AC1E78" w:rsidRPr="009F1C15" w:rsidRDefault="00AC1E78" w:rsidP="002B12CF">
      <w:pPr>
        <w:pStyle w:val="MDPI62BackMatter"/>
      </w:pPr>
      <w:r w:rsidRPr="009F1C15">
        <w:rPr>
          <w:b/>
        </w:rPr>
        <w:t xml:space="preserve">Institutional Review Board Statement: </w:t>
      </w:r>
      <w:r w:rsidR="000A5C77" w:rsidRPr="009F1C15">
        <w:t>Not applicable.</w:t>
      </w:r>
    </w:p>
    <w:p w14:paraId="1B34543D" w14:textId="3993319A" w:rsidR="00AC1E78" w:rsidRPr="009F1C15" w:rsidRDefault="00AC1E78" w:rsidP="002B12CF">
      <w:pPr>
        <w:pStyle w:val="MDPI62BackMatter"/>
      </w:pPr>
      <w:r w:rsidRPr="009F1C15">
        <w:rPr>
          <w:b/>
        </w:rPr>
        <w:t xml:space="preserve">Informed Consent Statement: </w:t>
      </w:r>
      <w:r w:rsidR="000A5C77" w:rsidRPr="009F1C15">
        <w:t>Not applicable.</w:t>
      </w:r>
    </w:p>
    <w:p w14:paraId="6153AB6C" w14:textId="1F152F38" w:rsidR="00593259" w:rsidRPr="009F1C15" w:rsidRDefault="00593259" w:rsidP="004230CC">
      <w:pPr>
        <w:pStyle w:val="MDPI62BackMatter"/>
      </w:pPr>
      <w:r w:rsidRPr="009F1C15">
        <w:rPr>
          <w:b/>
        </w:rPr>
        <w:t>Data Availability Statement</w:t>
      </w:r>
      <w:r w:rsidR="00086024" w:rsidRPr="009F1C15">
        <w:rPr>
          <w:b/>
        </w:rPr>
        <w:t xml:space="preserve">: </w:t>
      </w:r>
      <w:r w:rsidRPr="009F1C15">
        <w:t>The data underlying this article are available in the article.</w:t>
      </w:r>
    </w:p>
    <w:p w14:paraId="646DF05D" w14:textId="1611405E" w:rsidR="00195618" w:rsidRPr="009F1C15" w:rsidRDefault="004230CC" w:rsidP="004230CC">
      <w:pPr>
        <w:pStyle w:val="MDPI62BackMatter"/>
      </w:pPr>
      <w:r w:rsidRPr="009F1C15">
        <w:rPr>
          <w:b/>
        </w:rPr>
        <w:t>Acknowledgments</w:t>
      </w:r>
      <w:r w:rsidR="00086024" w:rsidRPr="009F1C15">
        <w:rPr>
          <w:b/>
        </w:rPr>
        <w:t>:</w:t>
      </w:r>
      <w:r w:rsidR="00086024" w:rsidRPr="009F1C15">
        <w:t xml:space="preserve"> </w:t>
      </w:r>
      <w:r w:rsidR="00195618" w:rsidRPr="009F1C15">
        <w:t>All contributors have been acknowledged as co-authors.</w:t>
      </w:r>
    </w:p>
    <w:p w14:paraId="2F86B8DA" w14:textId="43EA88E0" w:rsidR="00195618" w:rsidRPr="009F1C15" w:rsidRDefault="00713F16" w:rsidP="00713F16">
      <w:pPr>
        <w:pStyle w:val="MDPI62BackMatter"/>
      </w:pPr>
      <w:r w:rsidRPr="009F1C15">
        <w:rPr>
          <w:b/>
        </w:rPr>
        <w:t xml:space="preserve">Conflicts </w:t>
      </w:r>
      <w:r w:rsidR="00DD1151" w:rsidRPr="009F1C15">
        <w:rPr>
          <w:b/>
        </w:rPr>
        <w:t xml:space="preserve">of </w:t>
      </w:r>
      <w:r w:rsidRPr="009F1C15">
        <w:rPr>
          <w:b/>
        </w:rPr>
        <w:t>Interest</w:t>
      </w:r>
      <w:r w:rsidR="00086024" w:rsidRPr="009F1C15">
        <w:rPr>
          <w:b/>
        </w:rPr>
        <w:t xml:space="preserve">: </w:t>
      </w:r>
      <w:r w:rsidR="00195618" w:rsidRPr="009F1C15">
        <w:t xml:space="preserve">NC reports receiving unrestricted research grants from Boston Scientific (RIPCORD2) and </w:t>
      </w:r>
      <w:proofErr w:type="spellStart"/>
      <w:r w:rsidR="00195618" w:rsidRPr="009F1C15">
        <w:t>HeartFlow</w:t>
      </w:r>
      <w:proofErr w:type="spellEnd"/>
      <w:r w:rsidR="00195618" w:rsidRPr="009F1C15">
        <w:t xml:space="preserve"> (FORECAST).</w:t>
      </w:r>
    </w:p>
    <w:p w14:paraId="4B1F1200" w14:textId="1791CCD9" w:rsidR="00195618" w:rsidRPr="009F1C15" w:rsidRDefault="00195618" w:rsidP="00195618">
      <w:pPr>
        <w:pStyle w:val="MDPI21heading1"/>
        <w:ind w:left="0"/>
      </w:pPr>
      <w:r w:rsidRPr="009F1C15">
        <w:t>Reference</w:t>
      </w:r>
      <w:r w:rsidR="00DD1151" w:rsidRPr="009F1C15">
        <w:t>s</w:t>
      </w:r>
    </w:p>
    <w:p w14:paraId="59031B6A" w14:textId="162F6E35"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18"/>
        </w:rPr>
      </w:pPr>
      <w:r w:rsidRPr="009F1C15">
        <w:rPr>
          <w:rFonts w:eastAsia="Times New Roman"/>
          <w:noProof w:val="0"/>
          <w:color w:val="auto"/>
          <w:sz w:val="18"/>
          <w:szCs w:val="24"/>
        </w:rPr>
        <w:t xml:space="preserve">Lawton, J.S.; Tamis-Holland, J.E.; Bangalore, S.; Bates, E.R.; Beckie, T.M.; Bischoff, J.M.; </w:t>
      </w:r>
      <w:proofErr w:type="spellStart"/>
      <w:r w:rsidRPr="009F1C15">
        <w:rPr>
          <w:rFonts w:eastAsia="Times New Roman"/>
          <w:noProof w:val="0"/>
          <w:color w:val="auto"/>
          <w:sz w:val="18"/>
          <w:szCs w:val="24"/>
        </w:rPr>
        <w:t>Bittl</w:t>
      </w:r>
      <w:proofErr w:type="spellEnd"/>
      <w:r w:rsidRPr="009F1C15">
        <w:rPr>
          <w:rFonts w:eastAsia="Times New Roman"/>
          <w:noProof w:val="0"/>
          <w:color w:val="auto"/>
          <w:sz w:val="18"/>
          <w:szCs w:val="24"/>
        </w:rPr>
        <w:t xml:space="preserve">, J.A.; Cohen, M.G.; </w:t>
      </w:r>
      <w:proofErr w:type="spellStart"/>
      <w:r w:rsidRPr="009F1C15">
        <w:rPr>
          <w:rFonts w:eastAsia="Times New Roman"/>
          <w:noProof w:val="0"/>
          <w:color w:val="auto"/>
          <w:sz w:val="18"/>
          <w:szCs w:val="24"/>
        </w:rPr>
        <w:t>DiMaio</w:t>
      </w:r>
      <w:proofErr w:type="spellEnd"/>
      <w:r w:rsidRPr="009F1C15">
        <w:rPr>
          <w:rFonts w:eastAsia="Times New Roman"/>
          <w:noProof w:val="0"/>
          <w:color w:val="auto"/>
          <w:sz w:val="18"/>
          <w:szCs w:val="24"/>
        </w:rPr>
        <w:t xml:space="preserve">, J.M.; Don, C.W.; et al. 2021 ACC/AHA/SCAI Guideline for Coronary Artery Revascularization: Executive Summary: A Report of the American College of Cardiology/American Heart Association Joint </w:t>
      </w:r>
      <w:r w:rsidRPr="009F1C15">
        <w:rPr>
          <w:rFonts w:eastAsia="Times New Roman"/>
          <w:noProof w:val="0"/>
          <w:color w:val="auto"/>
          <w:sz w:val="18"/>
          <w:szCs w:val="18"/>
        </w:rPr>
        <w:t xml:space="preserve">Committee on Clinical Practice Guidelines. </w:t>
      </w:r>
      <w:r w:rsidRPr="009F1C15">
        <w:rPr>
          <w:rFonts w:eastAsia="Times New Roman"/>
          <w:i/>
          <w:iCs/>
          <w:noProof w:val="0"/>
          <w:color w:val="auto"/>
          <w:sz w:val="18"/>
          <w:szCs w:val="18"/>
        </w:rPr>
        <w:t>Circulation</w:t>
      </w:r>
      <w:r w:rsidRPr="009F1C15">
        <w:rPr>
          <w:rFonts w:eastAsia="Times New Roman"/>
          <w:noProof w:val="0"/>
          <w:color w:val="auto"/>
          <w:sz w:val="18"/>
          <w:szCs w:val="18"/>
        </w:rPr>
        <w:t xml:space="preserve"> </w:t>
      </w:r>
      <w:r w:rsidRPr="009F1C15">
        <w:rPr>
          <w:rFonts w:eastAsia="Times New Roman"/>
          <w:b/>
          <w:bCs/>
          <w:noProof w:val="0"/>
          <w:color w:val="auto"/>
          <w:sz w:val="18"/>
          <w:szCs w:val="18"/>
        </w:rPr>
        <w:t>2022</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145</w:t>
      </w:r>
      <w:r w:rsidRPr="009F1C15">
        <w:rPr>
          <w:rFonts w:eastAsia="Times New Roman"/>
          <w:bCs/>
          <w:noProof w:val="0"/>
          <w:color w:val="auto"/>
          <w:sz w:val="18"/>
          <w:szCs w:val="18"/>
        </w:rPr>
        <w:t>, e4–e17</w:t>
      </w:r>
      <w:r w:rsidRPr="009F1C15">
        <w:rPr>
          <w:rStyle w:val="epub-sectionitem"/>
          <w:sz w:val="18"/>
          <w:szCs w:val="18"/>
        </w:rPr>
        <w:t>.</w:t>
      </w:r>
      <w:r w:rsidRPr="009F1C15">
        <w:rPr>
          <w:rFonts w:eastAsia="Times New Roman"/>
          <w:noProof w:val="0"/>
          <w:color w:val="auto"/>
          <w:sz w:val="18"/>
          <w:szCs w:val="18"/>
        </w:rPr>
        <w:t xml:space="preserve"> https://doi.org/10.1161/cir.0000000000001039</w:t>
      </w:r>
      <w:r w:rsidRPr="009F1C15">
        <w:rPr>
          <w:rStyle w:val="text-del"/>
          <w:sz w:val="18"/>
          <w:szCs w:val="18"/>
        </w:rPr>
        <w:t>.</w:t>
      </w:r>
    </w:p>
    <w:p w14:paraId="673F88D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van </w:t>
      </w:r>
      <w:proofErr w:type="spellStart"/>
      <w:r w:rsidRPr="009F1C15">
        <w:rPr>
          <w:rFonts w:eastAsia="Times New Roman"/>
          <w:noProof w:val="0"/>
          <w:color w:val="auto"/>
          <w:sz w:val="18"/>
          <w:szCs w:val="24"/>
        </w:rPr>
        <w:t>Nunen</w:t>
      </w:r>
      <w:proofErr w:type="spellEnd"/>
      <w:r w:rsidRPr="009F1C15">
        <w:rPr>
          <w:rFonts w:eastAsia="Times New Roman"/>
          <w:noProof w:val="0"/>
          <w:color w:val="auto"/>
          <w:sz w:val="18"/>
          <w:szCs w:val="24"/>
        </w:rPr>
        <w:t xml:space="preserve">, L.X.; Zimmermann, F.M.; </w:t>
      </w:r>
      <w:proofErr w:type="spellStart"/>
      <w:r w:rsidRPr="009F1C15">
        <w:rPr>
          <w:rFonts w:eastAsia="Times New Roman"/>
          <w:noProof w:val="0"/>
          <w:color w:val="auto"/>
          <w:sz w:val="18"/>
          <w:szCs w:val="24"/>
        </w:rPr>
        <w:t>Tonino</w:t>
      </w:r>
      <w:proofErr w:type="spellEnd"/>
      <w:r w:rsidRPr="009F1C15">
        <w:rPr>
          <w:rFonts w:eastAsia="Times New Roman"/>
          <w:noProof w:val="0"/>
          <w:color w:val="auto"/>
          <w:sz w:val="18"/>
          <w:szCs w:val="24"/>
        </w:rPr>
        <w:t xml:space="preserve">, P.A.L.; </w:t>
      </w:r>
      <w:proofErr w:type="spellStart"/>
      <w:r w:rsidRPr="009F1C15">
        <w:rPr>
          <w:rFonts w:eastAsia="Times New Roman"/>
          <w:noProof w:val="0"/>
          <w:color w:val="auto"/>
          <w:sz w:val="18"/>
          <w:szCs w:val="24"/>
        </w:rPr>
        <w:t>Barbato</w:t>
      </w:r>
      <w:proofErr w:type="spellEnd"/>
      <w:r w:rsidRPr="009F1C15">
        <w:rPr>
          <w:rFonts w:eastAsia="Times New Roman"/>
          <w:noProof w:val="0"/>
          <w:color w:val="auto"/>
          <w:sz w:val="18"/>
          <w:szCs w:val="24"/>
        </w:rPr>
        <w:t xml:space="preserve">, E.; Baumbach, A.; </w:t>
      </w:r>
      <w:proofErr w:type="spellStart"/>
      <w:r w:rsidRPr="009F1C15">
        <w:rPr>
          <w:rFonts w:eastAsia="Times New Roman"/>
          <w:noProof w:val="0"/>
          <w:color w:val="auto"/>
          <w:sz w:val="18"/>
          <w:szCs w:val="24"/>
        </w:rPr>
        <w:t>Engstrøm</w:t>
      </w:r>
      <w:proofErr w:type="spellEnd"/>
      <w:r w:rsidRPr="009F1C15">
        <w:rPr>
          <w:rFonts w:eastAsia="Times New Roman"/>
          <w:noProof w:val="0"/>
          <w:color w:val="auto"/>
          <w:sz w:val="18"/>
          <w:szCs w:val="24"/>
        </w:rPr>
        <w:t xml:space="preserve">, T.; </w:t>
      </w:r>
      <w:proofErr w:type="spellStart"/>
      <w:r w:rsidRPr="009F1C15">
        <w:rPr>
          <w:rFonts w:eastAsia="Times New Roman"/>
          <w:noProof w:val="0"/>
          <w:color w:val="auto"/>
          <w:sz w:val="18"/>
          <w:szCs w:val="24"/>
        </w:rPr>
        <w:t>Klauss</w:t>
      </w:r>
      <w:proofErr w:type="spellEnd"/>
      <w:r w:rsidRPr="009F1C15">
        <w:rPr>
          <w:rFonts w:eastAsia="Times New Roman"/>
          <w:noProof w:val="0"/>
          <w:color w:val="auto"/>
          <w:sz w:val="18"/>
          <w:szCs w:val="24"/>
        </w:rPr>
        <w:t xml:space="preserve">, V.; A </w:t>
      </w:r>
      <w:proofErr w:type="spellStart"/>
      <w:r w:rsidRPr="009F1C15">
        <w:rPr>
          <w:rFonts w:eastAsia="Times New Roman"/>
          <w:noProof w:val="0"/>
          <w:color w:val="auto"/>
          <w:sz w:val="18"/>
          <w:szCs w:val="24"/>
        </w:rPr>
        <w:t>MacCarthy</w:t>
      </w:r>
      <w:proofErr w:type="spellEnd"/>
      <w:r w:rsidRPr="009F1C15">
        <w:rPr>
          <w:rFonts w:eastAsia="Times New Roman"/>
          <w:noProof w:val="0"/>
          <w:color w:val="auto"/>
          <w:sz w:val="18"/>
          <w:szCs w:val="24"/>
        </w:rPr>
        <w:t xml:space="preserve">, P.; Manoharan, G.; </w:t>
      </w:r>
      <w:proofErr w:type="spellStart"/>
      <w:r w:rsidRPr="009F1C15">
        <w:rPr>
          <w:rFonts w:eastAsia="Times New Roman"/>
          <w:noProof w:val="0"/>
          <w:color w:val="auto"/>
          <w:sz w:val="18"/>
          <w:szCs w:val="24"/>
        </w:rPr>
        <w:t>Oldroyd</w:t>
      </w:r>
      <w:proofErr w:type="spellEnd"/>
      <w:r w:rsidRPr="009F1C15">
        <w:rPr>
          <w:rFonts w:eastAsia="Times New Roman"/>
          <w:noProof w:val="0"/>
          <w:color w:val="auto"/>
          <w:sz w:val="18"/>
          <w:szCs w:val="24"/>
        </w:rPr>
        <w:t xml:space="preserve">, K.G.; et al. Fractional flow reserve versus angiography for guidance of PCI in patients with multivessel coronary artery disease (FAME): 5-year follow-up of a </w:t>
      </w:r>
      <w:proofErr w:type="spellStart"/>
      <w:r w:rsidRPr="009F1C15">
        <w:rPr>
          <w:rFonts w:eastAsia="Times New Roman"/>
          <w:noProof w:val="0"/>
          <w:color w:val="auto"/>
          <w:sz w:val="18"/>
          <w:szCs w:val="24"/>
        </w:rPr>
        <w:t>randomised</w:t>
      </w:r>
      <w:proofErr w:type="spellEnd"/>
      <w:r w:rsidRPr="009F1C15">
        <w:rPr>
          <w:rFonts w:eastAsia="Times New Roman"/>
          <w:noProof w:val="0"/>
          <w:color w:val="auto"/>
          <w:sz w:val="18"/>
          <w:szCs w:val="24"/>
        </w:rPr>
        <w:t xml:space="preserve"> controlled trial. </w:t>
      </w:r>
      <w:r w:rsidRPr="009F1C15">
        <w:rPr>
          <w:rFonts w:eastAsia="Times New Roman"/>
          <w:i/>
          <w:iCs/>
          <w:noProof w:val="0"/>
          <w:color w:val="auto"/>
          <w:sz w:val="18"/>
          <w:szCs w:val="24"/>
        </w:rPr>
        <w:t>Lancet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2015</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386</w:t>
      </w:r>
      <w:r w:rsidRPr="009F1C15">
        <w:rPr>
          <w:rFonts w:eastAsia="Times New Roman"/>
          <w:bCs/>
          <w:noProof w:val="0"/>
          <w:color w:val="auto"/>
          <w:sz w:val="18"/>
          <w:szCs w:val="24"/>
        </w:rPr>
        <w:t>, 1853–1860</w:t>
      </w:r>
      <w:r w:rsidRPr="009F1C15">
        <w:rPr>
          <w:rFonts w:eastAsia="Times New Roman"/>
          <w:noProof w:val="0"/>
          <w:color w:val="auto"/>
          <w:sz w:val="18"/>
          <w:szCs w:val="24"/>
        </w:rPr>
        <w:t>. https://doi.org/10.1016/s0140-6736(15)00057-4.</w:t>
      </w:r>
    </w:p>
    <w:p w14:paraId="0B72CB46" w14:textId="302320AC"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Hahn, J.Y. FFR vs. Angiography-guided PCI in AMI with multivessel disease—FRAME-AMI trial. In Proceedings of the European Society of Cardiology </w:t>
      </w:r>
      <w:r w:rsidR="00774B90" w:rsidRPr="009F1C15">
        <w:rPr>
          <w:rFonts w:eastAsia="Times New Roman"/>
          <w:noProof w:val="0"/>
          <w:color w:val="auto"/>
          <w:sz w:val="18"/>
          <w:szCs w:val="24"/>
        </w:rPr>
        <w:t>Conference</w:t>
      </w:r>
      <w:r w:rsidRPr="009F1C15">
        <w:rPr>
          <w:rFonts w:eastAsia="Times New Roman"/>
          <w:noProof w:val="0"/>
          <w:color w:val="auto"/>
          <w:sz w:val="18"/>
          <w:szCs w:val="24"/>
        </w:rPr>
        <w:t>, Barcelona, Spain, 27–31 August 2022.</w:t>
      </w:r>
    </w:p>
    <w:p w14:paraId="4DED045C" w14:textId="7E278E16"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Stables, R.H.; Mullen, L.J.; </w:t>
      </w:r>
      <w:proofErr w:type="spellStart"/>
      <w:r w:rsidRPr="009F1C15">
        <w:rPr>
          <w:rFonts w:eastAsia="Times New Roman"/>
          <w:noProof w:val="0"/>
          <w:color w:val="auto"/>
          <w:sz w:val="18"/>
          <w:szCs w:val="24"/>
        </w:rPr>
        <w:t>Elguindy</w:t>
      </w:r>
      <w:proofErr w:type="spellEnd"/>
      <w:r w:rsidRPr="009F1C15">
        <w:rPr>
          <w:rFonts w:eastAsia="Times New Roman"/>
          <w:noProof w:val="0"/>
          <w:color w:val="auto"/>
          <w:sz w:val="18"/>
          <w:szCs w:val="24"/>
        </w:rPr>
        <w:t xml:space="preserve">, M.; Nicholas, Z.; </w:t>
      </w:r>
      <w:proofErr w:type="spellStart"/>
      <w:r w:rsidRPr="009F1C15">
        <w:rPr>
          <w:rFonts w:eastAsia="Times New Roman"/>
          <w:noProof w:val="0"/>
          <w:color w:val="auto"/>
          <w:sz w:val="18"/>
          <w:szCs w:val="24"/>
        </w:rPr>
        <w:t>Aboul-Enien</w:t>
      </w:r>
      <w:proofErr w:type="spellEnd"/>
      <w:r w:rsidRPr="009F1C15">
        <w:rPr>
          <w:rFonts w:eastAsia="Times New Roman"/>
          <w:noProof w:val="0"/>
          <w:color w:val="auto"/>
          <w:sz w:val="18"/>
          <w:szCs w:val="24"/>
        </w:rPr>
        <w:t xml:space="preserve">, Y.H.; Kemp, I.; O’Kane, P.; Hobson, A.; Johnson, T.W.; Khan, S.Q.; et al. Routine Pressure Wire Assessment Versus Conventional Angiography in the Management of Patients </w:t>
      </w:r>
      <w:r w:rsidR="008C3286" w:rsidRPr="009F1C15">
        <w:rPr>
          <w:rFonts w:eastAsia="Times New Roman"/>
          <w:noProof w:val="0"/>
          <w:color w:val="auto"/>
          <w:sz w:val="18"/>
          <w:szCs w:val="24"/>
        </w:rPr>
        <w:t xml:space="preserve">with </w:t>
      </w:r>
      <w:r w:rsidRPr="009F1C15">
        <w:rPr>
          <w:rFonts w:eastAsia="Times New Roman"/>
          <w:noProof w:val="0"/>
          <w:color w:val="auto"/>
          <w:sz w:val="18"/>
          <w:szCs w:val="24"/>
        </w:rPr>
        <w:t xml:space="preserve">Coronary Artery Disease: The RIPCORD 2 Trial. </w:t>
      </w:r>
      <w:r w:rsidRPr="009F1C15">
        <w:rPr>
          <w:rFonts w:eastAsia="Times New Roman"/>
          <w:i/>
          <w:iCs/>
          <w:noProof w:val="0"/>
          <w:color w:val="auto"/>
          <w:sz w:val="18"/>
          <w:szCs w:val="24"/>
        </w:rPr>
        <w:t>Circulation</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2022</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146</w:t>
      </w:r>
      <w:r w:rsidRPr="009F1C15">
        <w:rPr>
          <w:rFonts w:eastAsia="Times New Roman"/>
          <w:bCs/>
          <w:noProof w:val="0"/>
          <w:color w:val="auto"/>
          <w:sz w:val="18"/>
          <w:szCs w:val="24"/>
        </w:rPr>
        <w:t>, 687–698</w:t>
      </w:r>
      <w:r w:rsidRPr="009F1C15">
        <w:rPr>
          <w:rFonts w:eastAsia="Times New Roman"/>
          <w:noProof w:val="0"/>
          <w:color w:val="auto"/>
          <w:sz w:val="18"/>
          <w:szCs w:val="24"/>
        </w:rPr>
        <w:t>. https://doi.org/10.1161/circulationaha.121.057793.</w:t>
      </w:r>
    </w:p>
    <w:p w14:paraId="18CD25A6"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Thuesen, A.L.; </w:t>
      </w:r>
      <w:proofErr w:type="spellStart"/>
      <w:r w:rsidRPr="009F1C15">
        <w:rPr>
          <w:rFonts w:eastAsia="Times New Roman"/>
          <w:noProof w:val="0"/>
          <w:color w:val="auto"/>
          <w:sz w:val="18"/>
          <w:szCs w:val="24"/>
        </w:rPr>
        <w:t>Riber</w:t>
      </w:r>
      <w:proofErr w:type="spellEnd"/>
      <w:r w:rsidRPr="009F1C15">
        <w:rPr>
          <w:rFonts w:eastAsia="Times New Roman"/>
          <w:noProof w:val="0"/>
          <w:color w:val="auto"/>
          <w:sz w:val="18"/>
          <w:szCs w:val="24"/>
        </w:rPr>
        <w:t xml:space="preserve">, L.; </w:t>
      </w:r>
      <w:proofErr w:type="spellStart"/>
      <w:r w:rsidRPr="009F1C15">
        <w:rPr>
          <w:rFonts w:eastAsia="Times New Roman"/>
          <w:noProof w:val="0"/>
          <w:color w:val="auto"/>
          <w:sz w:val="18"/>
          <w:szCs w:val="24"/>
        </w:rPr>
        <w:t>Veien</w:t>
      </w:r>
      <w:proofErr w:type="spellEnd"/>
      <w:r w:rsidRPr="009F1C15">
        <w:rPr>
          <w:rFonts w:eastAsia="Times New Roman"/>
          <w:noProof w:val="0"/>
          <w:color w:val="auto"/>
          <w:sz w:val="18"/>
          <w:szCs w:val="24"/>
        </w:rPr>
        <w:t xml:space="preserve">, K.T.; Christiansen, E.H.; Jensen, S.E.; </w:t>
      </w:r>
      <w:proofErr w:type="spellStart"/>
      <w:r w:rsidRPr="009F1C15">
        <w:rPr>
          <w:rFonts w:eastAsia="Times New Roman"/>
          <w:noProof w:val="0"/>
          <w:color w:val="auto"/>
          <w:sz w:val="18"/>
          <w:szCs w:val="24"/>
        </w:rPr>
        <w:t>Modrau</w:t>
      </w:r>
      <w:proofErr w:type="spellEnd"/>
      <w:r w:rsidRPr="009F1C15">
        <w:rPr>
          <w:rFonts w:eastAsia="Times New Roman"/>
          <w:noProof w:val="0"/>
          <w:color w:val="auto"/>
          <w:sz w:val="18"/>
          <w:szCs w:val="24"/>
        </w:rPr>
        <w:t xml:space="preserve">, I.S.; Andreasen, J.J.; Junker, A.; Mortensen, P.E.; Jensen, L.O. Fractional Flow Reserve Versus Angiographically-Guided Coronary Artery Bypass Grafting. </w:t>
      </w:r>
      <w:r w:rsidRPr="009F1C15">
        <w:rPr>
          <w:rFonts w:eastAsia="Times New Roman"/>
          <w:i/>
          <w:iCs/>
          <w:noProof w:val="0"/>
          <w:color w:val="auto"/>
          <w:sz w:val="18"/>
          <w:szCs w:val="24"/>
        </w:rPr>
        <w:t xml:space="preserve">J. Am. Coll. </w:t>
      </w:r>
      <w:proofErr w:type="spellStart"/>
      <w:r w:rsidRPr="009F1C15">
        <w:rPr>
          <w:rFonts w:eastAsia="Times New Roman"/>
          <w:i/>
          <w:iCs/>
          <w:noProof w:val="0"/>
          <w:color w:val="auto"/>
          <w:sz w:val="18"/>
          <w:szCs w:val="24"/>
        </w:rPr>
        <w:t>Cardiol</w:t>
      </w:r>
      <w:proofErr w:type="spellEnd"/>
      <w:r w:rsidRPr="009F1C15">
        <w:rPr>
          <w:rFonts w:eastAsia="Times New Roman"/>
          <w:i/>
          <w:iCs/>
          <w:noProof w:val="0"/>
          <w:color w:val="auto"/>
          <w:sz w:val="18"/>
          <w:szCs w:val="24"/>
        </w:rPr>
        <w: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2018</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72</w:t>
      </w:r>
      <w:r w:rsidRPr="009F1C15">
        <w:rPr>
          <w:rFonts w:eastAsia="Times New Roman"/>
          <w:bCs/>
          <w:noProof w:val="0"/>
          <w:color w:val="auto"/>
          <w:sz w:val="18"/>
          <w:szCs w:val="24"/>
        </w:rPr>
        <w:t>, 2732–2743</w:t>
      </w:r>
      <w:r w:rsidRPr="009F1C15">
        <w:rPr>
          <w:rFonts w:eastAsia="Times New Roman"/>
          <w:noProof w:val="0"/>
          <w:color w:val="auto"/>
          <w:sz w:val="18"/>
          <w:szCs w:val="24"/>
        </w:rPr>
        <w:t>. https://doi.org/10.1016/j.jacc.2018.09.043.</w:t>
      </w:r>
    </w:p>
    <w:p w14:paraId="112A1E2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Toth, G.G.; De Bruyne, B.; Kala, P.; </w:t>
      </w:r>
      <w:proofErr w:type="spellStart"/>
      <w:r w:rsidRPr="009F1C15">
        <w:rPr>
          <w:rFonts w:eastAsia="Times New Roman"/>
          <w:noProof w:val="0"/>
          <w:color w:val="auto"/>
          <w:sz w:val="18"/>
          <w:szCs w:val="24"/>
        </w:rPr>
        <w:t>Ribichini</w:t>
      </w:r>
      <w:proofErr w:type="spellEnd"/>
      <w:r w:rsidRPr="009F1C15">
        <w:rPr>
          <w:rFonts w:eastAsia="Times New Roman"/>
          <w:noProof w:val="0"/>
          <w:color w:val="auto"/>
          <w:sz w:val="18"/>
          <w:szCs w:val="24"/>
        </w:rPr>
        <w:t xml:space="preserve">, F.L.; Casselman, F.; Ramos, R.; </w:t>
      </w:r>
      <w:proofErr w:type="spellStart"/>
      <w:r w:rsidRPr="009F1C15">
        <w:rPr>
          <w:rFonts w:eastAsia="Times New Roman"/>
          <w:noProof w:val="0"/>
          <w:color w:val="auto"/>
          <w:sz w:val="18"/>
          <w:szCs w:val="24"/>
        </w:rPr>
        <w:t>Piroth</w:t>
      </w:r>
      <w:proofErr w:type="spellEnd"/>
      <w:r w:rsidRPr="009F1C15">
        <w:rPr>
          <w:rFonts w:eastAsia="Times New Roman"/>
          <w:noProof w:val="0"/>
          <w:color w:val="auto"/>
          <w:sz w:val="18"/>
          <w:szCs w:val="24"/>
        </w:rPr>
        <w:t xml:space="preserve">, Z.; Fournier, S.; </w:t>
      </w:r>
      <w:proofErr w:type="spellStart"/>
      <w:r w:rsidRPr="009F1C15">
        <w:rPr>
          <w:rFonts w:eastAsia="Times New Roman"/>
          <w:noProof w:val="0"/>
          <w:color w:val="auto"/>
          <w:sz w:val="18"/>
          <w:szCs w:val="24"/>
        </w:rPr>
        <w:t>Piccoli</w:t>
      </w:r>
      <w:proofErr w:type="spellEnd"/>
      <w:r w:rsidRPr="009F1C15">
        <w:rPr>
          <w:rFonts w:eastAsia="Times New Roman"/>
          <w:noProof w:val="0"/>
          <w:color w:val="auto"/>
          <w:sz w:val="18"/>
          <w:szCs w:val="24"/>
        </w:rPr>
        <w:t xml:space="preserve">, A.; Van </w:t>
      </w:r>
      <w:proofErr w:type="spellStart"/>
      <w:r w:rsidRPr="009F1C15">
        <w:rPr>
          <w:rFonts w:eastAsia="Times New Roman"/>
          <w:noProof w:val="0"/>
          <w:color w:val="auto"/>
          <w:sz w:val="18"/>
          <w:szCs w:val="24"/>
        </w:rPr>
        <w:t>Mieghem</w:t>
      </w:r>
      <w:proofErr w:type="spellEnd"/>
      <w:r w:rsidRPr="009F1C15">
        <w:rPr>
          <w:rFonts w:eastAsia="Times New Roman"/>
          <w:noProof w:val="0"/>
          <w:color w:val="auto"/>
          <w:sz w:val="18"/>
          <w:szCs w:val="24"/>
        </w:rPr>
        <w:t xml:space="preserve">, C.; et al. Graft patency after FFR-guided versus angiography-guided coronary artery bypass grafting: The GRAFFITI trial. </w:t>
      </w:r>
      <w:proofErr w:type="spellStart"/>
      <w:r w:rsidRPr="009F1C15">
        <w:rPr>
          <w:rFonts w:eastAsia="Times New Roman"/>
          <w:i/>
          <w:iCs/>
          <w:noProof w:val="0"/>
          <w:color w:val="auto"/>
          <w:sz w:val="18"/>
          <w:szCs w:val="24"/>
        </w:rPr>
        <w:t>EuroIntervention</w:t>
      </w:r>
      <w:proofErr w:type="spellEnd"/>
      <w:r w:rsidRPr="009F1C15">
        <w:rPr>
          <w:rFonts w:eastAsia="Times New Roman"/>
          <w:noProof w:val="0"/>
          <w:color w:val="auto"/>
          <w:sz w:val="18"/>
          <w:szCs w:val="24"/>
        </w:rPr>
        <w:t xml:space="preserve"> </w:t>
      </w:r>
      <w:r w:rsidRPr="009F1C15">
        <w:rPr>
          <w:rFonts w:eastAsia="Times New Roman"/>
          <w:b/>
          <w:bCs/>
          <w:noProof w:val="0"/>
          <w:color w:val="auto"/>
          <w:sz w:val="18"/>
          <w:szCs w:val="24"/>
        </w:rPr>
        <w:t>2019</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15</w:t>
      </w:r>
      <w:r w:rsidRPr="009F1C15">
        <w:rPr>
          <w:rFonts w:eastAsia="Times New Roman"/>
          <w:bCs/>
          <w:noProof w:val="0"/>
          <w:color w:val="auto"/>
          <w:sz w:val="18"/>
          <w:szCs w:val="24"/>
        </w:rPr>
        <w:t>, e999–e1005</w:t>
      </w:r>
      <w:r w:rsidRPr="009F1C15">
        <w:rPr>
          <w:rFonts w:eastAsia="Times New Roman"/>
          <w:noProof w:val="0"/>
          <w:color w:val="auto"/>
          <w:sz w:val="18"/>
          <w:szCs w:val="24"/>
        </w:rPr>
        <w:t>. https://doi.org/10.4244/eij-d-19-00463.</w:t>
      </w:r>
    </w:p>
    <w:p w14:paraId="17D4B27D"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Puymirat</w:t>
      </w:r>
      <w:proofErr w:type="spellEnd"/>
      <w:r w:rsidRPr="009F1C15">
        <w:rPr>
          <w:rFonts w:eastAsia="Times New Roman"/>
          <w:noProof w:val="0"/>
          <w:color w:val="auto"/>
          <w:sz w:val="18"/>
          <w:szCs w:val="24"/>
        </w:rPr>
        <w:t xml:space="preserve">, E.; Cayla, G.; Simon, T.; Steg, P.G.; </w:t>
      </w:r>
      <w:proofErr w:type="spellStart"/>
      <w:r w:rsidRPr="009F1C15">
        <w:rPr>
          <w:rFonts w:eastAsia="Times New Roman"/>
          <w:noProof w:val="0"/>
          <w:color w:val="auto"/>
          <w:sz w:val="18"/>
          <w:szCs w:val="24"/>
        </w:rPr>
        <w:t>Montalescot</w:t>
      </w:r>
      <w:proofErr w:type="spellEnd"/>
      <w:r w:rsidRPr="009F1C15">
        <w:rPr>
          <w:rFonts w:eastAsia="Times New Roman"/>
          <w:noProof w:val="0"/>
          <w:color w:val="auto"/>
          <w:sz w:val="18"/>
          <w:szCs w:val="24"/>
        </w:rPr>
        <w:t xml:space="preserve">, G.; Durand-Zaleski, I.; le Bras, A.; </w:t>
      </w:r>
      <w:proofErr w:type="spellStart"/>
      <w:r w:rsidRPr="009F1C15">
        <w:rPr>
          <w:rFonts w:eastAsia="Times New Roman"/>
          <w:noProof w:val="0"/>
          <w:color w:val="auto"/>
          <w:sz w:val="18"/>
          <w:szCs w:val="24"/>
        </w:rPr>
        <w:t>Gallet</w:t>
      </w:r>
      <w:proofErr w:type="spellEnd"/>
      <w:r w:rsidRPr="009F1C15">
        <w:rPr>
          <w:rFonts w:eastAsia="Times New Roman"/>
          <w:noProof w:val="0"/>
          <w:color w:val="auto"/>
          <w:sz w:val="18"/>
          <w:szCs w:val="24"/>
        </w:rPr>
        <w:t xml:space="preserve">, R.; </w:t>
      </w:r>
      <w:proofErr w:type="spellStart"/>
      <w:r w:rsidRPr="009F1C15">
        <w:rPr>
          <w:rFonts w:eastAsia="Times New Roman"/>
          <w:noProof w:val="0"/>
          <w:color w:val="auto"/>
          <w:sz w:val="18"/>
          <w:szCs w:val="24"/>
        </w:rPr>
        <w:t>Khalife</w:t>
      </w:r>
      <w:proofErr w:type="spellEnd"/>
      <w:r w:rsidRPr="009F1C15">
        <w:rPr>
          <w:rFonts w:eastAsia="Times New Roman"/>
          <w:noProof w:val="0"/>
          <w:color w:val="auto"/>
          <w:sz w:val="18"/>
          <w:szCs w:val="24"/>
        </w:rPr>
        <w:t xml:space="preserve">, K.; </w:t>
      </w:r>
      <w:proofErr w:type="spellStart"/>
      <w:r w:rsidRPr="009F1C15">
        <w:rPr>
          <w:rFonts w:eastAsia="Times New Roman"/>
          <w:noProof w:val="0"/>
          <w:color w:val="auto"/>
          <w:sz w:val="18"/>
          <w:szCs w:val="24"/>
        </w:rPr>
        <w:t>Morelle</w:t>
      </w:r>
      <w:proofErr w:type="spellEnd"/>
      <w:r w:rsidRPr="009F1C15">
        <w:rPr>
          <w:rFonts w:eastAsia="Times New Roman"/>
          <w:noProof w:val="0"/>
          <w:color w:val="auto"/>
          <w:sz w:val="18"/>
          <w:szCs w:val="24"/>
        </w:rPr>
        <w:t xml:space="preserve">, J.-F.; et al. Multivessel PCI Guided by FFR or Angiography for Myocardial Infarction. </w:t>
      </w:r>
      <w:r w:rsidRPr="009F1C15">
        <w:rPr>
          <w:rFonts w:eastAsia="Times New Roman"/>
          <w:i/>
          <w:iCs/>
          <w:noProof w:val="0"/>
          <w:color w:val="auto"/>
          <w:sz w:val="18"/>
          <w:szCs w:val="24"/>
        </w:rPr>
        <w:t>N. Engl. J. Med.</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2021</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385</w:t>
      </w:r>
      <w:r w:rsidRPr="009F1C15">
        <w:rPr>
          <w:rFonts w:eastAsia="Times New Roman"/>
          <w:bCs/>
          <w:noProof w:val="0"/>
          <w:color w:val="auto"/>
          <w:sz w:val="18"/>
          <w:szCs w:val="24"/>
        </w:rPr>
        <w:t>, 297–308</w:t>
      </w:r>
      <w:r w:rsidRPr="009F1C15">
        <w:rPr>
          <w:rFonts w:eastAsia="Times New Roman"/>
          <w:noProof w:val="0"/>
          <w:color w:val="auto"/>
          <w:sz w:val="18"/>
          <w:szCs w:val="24"/>
        </w:rPr>
        <w:t>. https://doi.org/10.1056/nejmoa2104650.</w:t>
      </w:r>
    </w:p>
    <w:p w14:paraId="55D02ED7" w14:textId="6CD52D2D"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Rioufol</w:t>
      </w:r>
      <w:proofErr w:type="spellEnd"/>
      <w:r w:rsidRPr="009F1C15">
        <w:rPr>
          <w:rFonts w:eastAsia="Times New Roman"/>
          <w:noProof w:val="0"/>
          <w:color w:val="auto"/>
          <w:sz w:val="18"/>
          <w:szCs w:val="24"/>
        </w:rPr>
        <w:t xml:space="preserve">, G.; </w:t>
      </w:r>
      <w:proofErr w:type="spellStart"/>
      <w:r w:rsidRPr="009F1C15">
        <w:rPr>
          <w:rFonts w:eastAsia="Times New Roman"/>
          <w:noProof w:val="0"/>
          <w:color w:val="auto"/>
          <w:sz w:val="18"/>
          <w:szCs w:val="24"/>
        </w:rPr>
        <w:t>Dérimay</w:t>
      </w:r>
      <w:proofErr w:type="spellEnd"/>
      <w:r w:rsidRPr="009F1C15">
        <w:rPr>
          <w:rFonts w:eastAsia="Times New Roman"/>
          <w:noProof w:val="0"/>
          <w:color w:val="auto"/>
          <w:sz w:val="18"/>
          <w:szCs w:val="24"/>
        </w:rPr>
        <w:t xml:space="preserve">, F.; </w:t>
      </w:r>
      <w:proofErr w:type="spellStart"/>
      <w:r w:rsidRPr="009F1C15">
        <w:rPr>
          <w:rFonts w:eastAsia="Times New Roman"/>
          <w:noProof w:val="0"/>
          <w:color w:val="auto"/>
          <w:sz w:val="18"/>
          <w:szCs w:val="24"/>
        </w:rPr>
        <w:t>Roubille</w:t>
      </w:r>
      <w:proofErr w:type="spellEnd"/>
      <w:r w:rsidRPr="009F1C15">
        <w:rPr>
          <w:rFonts w:eastAsia="Times New Roman"/>
          <w:noProof w:val="0"/>
          <w:color w:val="auto"/>
          <w:sz w:val="18"/>
          <w:szCs w:val="24"/>
        </w:rPr>
        <w:t xml:space="preserve">, F.; Perret, T.; </w:t>
      </w:r>
      <w:proofErr w:type="spellStart"/>
      <w:r w:rsidRPr="009F1C15">
        <w:rPr>
          <w:rFonts w:eastAsia="Times New Roman"/>
          <w:noProof w:val="0"/>
          <w:color w:val="auto"/>
          <w:sz w:val="18"/>
          <w:szCs w:val="24"/>
        </w:rPr>
        <w:t>Motreff</w:t>
      </w:r>
      <w:proofErr w:type="spellEnd"/>
      <w:r w:rsidRPr="009F1C15">
        <w:rPr>
          <w:rFonts w:eastAsia="Times New Roman"/>
          <w:noProof w:val="0"/>
          <w:color w:val="auto"/>
          <w:sz w:val="18"/>
          <w:szCs w:val="24"/>
        </w:rPr>
        <w:t xml:space="preserve">, P.; </w:t>
      </w:r>
      <w:proofErr w:type="spellStart"/>
      <w:r w:rsidRPr="009F1C15">
        <w:rPr>
          <w:rFonts w:eastAsia="Times New Roman"/>
          <w:noProof w:val="0"/>
          <w:color w:val="auto"/>
          <w:sz w:val="18"/>
          <w:szCs w:val="24"/>
        </w:rPr>
        <w:t>Angoulvant</w:t>
      </w:r>
      <w:proofErr w:type="spellEnd"/>
      <w:r w:rsidRPr="009F1C15">
        <w:rPr>
          <w:rFonts w:eastAsia="Times New Roman"/>
          <w:noProof w:val="0"/>
          <w:color w:val="auto"/>
          <w:sz w:val="18"/>
          <w:szCs w:val="24"/>
        </w:rPr>
        <w:t xml:space="preserve">, D.; </w:t>
      </w:r>
      <w:proofErr w:type="spellStart"/>
      <w:r w:rsidRPr="009F1C15">
        <w:rPr>
          <w:rFonts w:eastAsia="Times New Roman"/>
          <w:noProof w:val="0"/>
          <w:color w:val="auto"/>
          <w:sz w:val="18"/>
          <w:szCs w:val="24"/>
        </w:rPr>
        <w:t>Cottin</w:t>
      </w:r>
      <w:proofErr w:type="spellEnd"/>
      <w:r w:rsidRPr="009F1C15">
        <w:rPr>
          <w:rFonts w:eastAsia="Times New Roman"/>
          <w:noProof w:val="0"/>
          <w:color w:val="auto"/>
          <w:sz w:val="18"/>
          <w:szCs w:val="24"/>
        </w:rPr>
        <w:t xml:space="preserve">, Y.; Meunier, L.; </w:t>
      </w:r>
      <w:proofErr w:type="spellStart"/>
      <w:r w:rsidRPr="009F1C15">
        <w:rPr>
          <w:rFonts w:eastAsia="Times New Roman"/>
          <w:noProof w:val="0"/>
          <w:color w:val="auto"/>
          <w:sz w:val="18"/>
          <w:szCs w:val="24"/>
        </w:rPr>
        <w:t>Cetran</w:t>
      </w:r>
      <w:proofErr w:type="spellEnd"/>
      <w:r w:rsidRPr="009F1C15">
        <w:rPr>
          <w:rFonts w:eastAsia="Times New Roman"/>
          <w:noProof w:val="0"/>
          <w:color w:val="auto"/>
          <w:sz w:val="18"/>
          <w:szCs w:val="24"/>
        </w:rPr>
        <w:t xml:space="preserve">, L.; Cayla, G.; et al. Fractional Flow Reserve to Guide Treatment of Patients </w:t>
      </w:r>
      <w:r w:rsidR="008C3286" w:rsidRPr="009F1C15">
        <w:rPr>
          <w:rFonts w:eastAsia="Times New Roman"/>
          <w:noProof w:val="0"/>
          <w:color w:val="auto"/>
          <w:sz w:val="18"/>
          <w:szCs w:val="24"/>
        </w:rPr>
        <w:t xml:space="preserve">with </w:t>
      </w:r>
      <w:r w:rsidRPr="009F1C15">
        <w:rPr>
          <w:rFonts w:eastAsia="Times New Roman"/>
          <w:noProof w:val="0"/>
          <w:color w:val="auto"/>
          <w:sz w:val="18"/>
          <w:szCs w:val="24"/>
        </w:rPr>
        <w:t xml:space="preserve">Multivessel Coronary Artery Disease. </w:t>
      </w:r>
      <w:r w:rsidRPr="009F1C15">
        <w:rPr>
          <w:rFonts w:eastAsia="Times New Roman"/>
          <w:i/>
          <w:iCs/>
          <w:noProof w:val="0"/>
          <w:color w:val="auto"/>
          <w:sz w:val="18"/>
          <w:szCs w:val="24"/>
        </w:rPr>
        <w:t xml:space="preserve">J. Am. Coll. </w:t>
      </w:r>
      <w:proofErr w:type="spellStart"/>
      <w:r w:rsidRPr="009F1C15">
        <w:rPr>
          <w:rFonts w:eastAsia="Times New Roman"/>
          <w:i/>
          <w:iCs/>
          <w:noProof w:val="0"/>
          <w:color w:val="auto"/>
          <w:sz w:val="18"/>
          <w:szCs w:val="24"/>
        </w:rPr>
        <w:t>Cardiol</w:t>
      </w:r>
      <w:proofErr w:type="spellEnd"/>
      <w:r w:rsidRPr="009F1C15">
        <w:rPr>
          <w:rFonts w:eastAsia="Times New Roman"/>
          <w:i/>
          <w:iCs/>
          <w:noProof w:val="0"/>
          <w:color w:val="auto"/>
          <w:sz w:val="18"/>
          <w:szCs w:val="24"/>
        </w:rPr>
        <w: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2021</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78</w:t>
      </w:r>
      <w:r w:rsidRPr="009F1C15">
        <w:rPr>
          <w:rFonts w:eastAsia="Times New Roman"/>
          <w:bCs/>
          <w:noProof w:val="0"/>
          <w:color w:val="auto"/>
          <w:sz w:val="18"/>
          <w:szCs w:val="24"/>
        </w:rPr>
        <w:t>, 1875–1885</w:t>
      </w:r>
      <w:r w:rsidRPr="009F1C15">
        <w:rPr>
          <w:rFonts w:eastAsia="Times New Roman"/>
          <w:noProof w:val="0"/>
          <w:color w:val="auto"/>
          <w:sz w:val="18"/>
          <w:szCs w:val="24"/>
        </w:rPr>
        <w:t>. https://doi.org/10.1016/j.jacc.2021.08.061.</w:t>
      </w:r>
    </w:p>
    <w:p w14:paraId="2EA1C83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Moher, D.; </w:t>
      </w:r>
      <w:proofErr w:type="spellStart"/>
      <w:r w:rsidRPr="009F1C15">
        <w:rPr>
          <w:rFonts w:eastAsia="Times New Roman"/>
          <w:noProof w:val="0"/>
          <w:color w:val="auto"/>
          <w:sz w:val="18"/>
          <w:szCs w:val="24"/>
        </w:rPr>
        <w:t>Shamseer</w:t>
      </w:r>
      <w:proofErr w:type="spellEnd"/>
      <w:r w:rsidRPr="009F1C15">
        <w:rPr>
          <w:rFonts w:eastAsia="Times New Roman"/>
          <w:noProof w:val="0"/>
          <w:color w:val="auto"/>
          <w:sz w:val="18"/>
          <w:szCs w:val="24"/>
        </w:rPr>
        <w:t xml:space="preserve">, L.; Clarke, M.; </w:t>
      </w:r>
      <w:proofErr w:type="spellStart"/>
      <w:r w:rsidRPr="009F1C15">
        <w:rPr>
          <w:rFonts w:eastAsia="Times New Roman"/>
          <w:noProof w:val="0"/>
          <w:color w:val="auto"/>
          <w:sz w:val="18"/>
          <w:szCs w:val="24"/>
        </w:rPr>
        <w:t>Ghersi</w:t>
      </w:r>
      <w:proofErr w:type="spellEnd"/>
      <w:r w:rsidRPr="009F1C15">
        <w:rPr>
          <w:rFonts w:eastAsia="Times New Roman"/>
          <w:noProof w:val="0"/>
          <w:color w:val="auto"/>
          <w:sz w:val="18"/>
          <w:szCs w:val="24"/>
        </w:rPr>
        <w:t xml:space="preserve">, D.; </w:t>
      </w:r>
      <w:proofErr w:type="spellStart"/>
      <w:r w:rsidRPr="009F1C15">
        <w:rPr>
          <w:rFonts w:eastAsia="Times New Roman"/>
          <w:noProof w:val="0"/>
          <w:color w:val="auto"/>
          <w:sz w:val="18"/>
          <w:szCs w:val="24"/>
        </w:rPr>
        <w:t>Liberati</w:t>
      </w:r>
      <w:proofErr w:type="spellEnd"/>
      <w:r w:rsidRPr="009F1C15">
        <w:rPr>
          <w:rFonts w:eastAsia="Times New Roman"/>
          <w:noProof w:val="0"/>
          <w:color w:val="auto"/>
          <w:sz w:val="18"/>
          <w:szCs w:val="24"/>
        </w:rPr>
        <w:t xml:space="preserve">, A.; </w:t>
      </w:r>
      <w:proofErr w:type="spellStart"/>
      <w:r w:rsidRPr="009F1C15">
        <w:rPr>
          <w:rFonts w:eastAsia="Times New Roman"/>
          <w:noProof w:val="0"/>
          <w:color w:val="auto"/>
          <w:sz w:val="18"/>
          <w:szCs w:val="24"/>
        </w:rPr>
        <w:t>Petticrew</w:t>
      </w:r>
      <w:proofErr w:type="spellEnd"/>
      <w:r w:rsidRPr="009F1C15">
        <w:rPr>
          <w:rFonts w:eastAsia="Times New Roman"/>
          <w:noProof w:val="0"/>
          <w:color w:val="auto"/>
          <w:sz w:val="18"/>
          <w:szCs w:val="24"/>
        </w:rPr>
        <w:t xml:space="preserve">, M.; </w:t>
      </w:r>
      <w:proofErr w:type="spellStart"/>
      <w:r w:rsidRPr="009F1C15">
        <w:rPr>
          <w:rFonts w:eastAsia="Times New Roman"/>
          <w:noProof w:val="0"/>
          <w:color w:val="auto"/>
          <w:sz w:val="18"/>
          <w:szCs w:val="24"/>
        </w:rPr>
        <w:t>Shekelle</w:t>
      </w:r>
      <w:proofErr w:type="spellEnd"/>
      <w:r w:rsidRPr="009F1C15">
        <w:rPr>
          <w:rFonts w:eastAsia="Times New Roman"/>
          <w:noProof w:val="0"/>
          <w:color w:val="auto"/>
          <w:sz w:val="18"/>
          <w:szCs w:val="24"/>
        </w:rPr>
        <w:t>, P.; Stewart, L.A. Preferred reporting items for systematic review and meta-analysis protocols (</w:t>
      </w:r>
      <w:proofErr w:type="spellStart"/>
      <w:r w:rsidRPr="009F1C15">
        <w:rPr>
          <w:rFonts w:eastAsia="Times New Roman"/>
          <w:noProof w:val="0"/>
          <w:color w:val="auto"/>
          <w:sz w:val="18"/>
          <w:szCs w:val="24"/>
        </w:rPr>
        <w:t>prisma</w:t>
      </w:r>
      <w:proofErr w:type="spellEnd"/>
      <w:r w:rsidRPr="009F1C15">
        <w:rPr>
          <w:rFonts w:eastAsia="Times New Roman"/>
          <w:noProof w:val="0"/>
          <w:color w:val="auto"/>
          <w:sz w:val="18"/>
          <w:szCs w:val="24"/>
        </w:rPr>
        <w:t xml:space="preserve">-p) 2015 statement. </w:t>
      </w:r>
      <w:r w:rsidRPr="009F1C15">
        <w:rPr>
          <w:rFonts w:eastAsia="Times New Roman"/>
          <w:i/>
          <w:iCs/>
          <w:noProof w:val="0"/>
          <w:color w:val="auto"/>
          <w:sz w:val="18"/>
          <w:szCs w:val="24"/>
        </w:rPr>
        <w:t>Syst. Rev.</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2015</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4</w:t>
      </w:r>
      <w:r w:rsidRPr="009F1C15">
        <w:rPr>
          <w:rFonts w:eastAsia="Times New Roman"/>
          <w:bCs/>
          <w:noProof w:val="0"/>
          <w:color w:val="auto"/>
          <w:sz w:val="18"/>
          <w:szCs w:val="24"/>
        </w:rPr>
        <w:t>, 1</w:t>
      </w:r>
      <w:r w:rsidRPr="009F1C15">
        <w:rPr>
          <w:rFonts w:eastAsia="Times New Roman"/>
          <w:noProof w:val="0"/>
          <w:color w:val="auto"/>
          <w:sz w:val="18"/>
          <w:szCs w:val="24"/>
        </w:rPr>
        <w:t>. https://doi.org/10.1186/2046-4053-4-1.</w:t>
      </w:r>
    </w:p>
    <w:p w14:paraId="0F8BE012"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Higgins, J.P.T.; Altman, D.G.; </w:t>
      </w:r>
      <w:proofErr w:type="spellStart"/>
      <w:r w:rsidRPr="009F1C15">
        <w:rPr>
          <w:rFonts w:eastAsia="Times New Roman"/>
          <w:noProof w:val="0"/>
          <w:color w:val="auto"/>
          <w:sz w:val="18"/>
          <w:szCs w:val="24"/>
        </w:rPr>
        <w:t>Gøtzsche</w:t>
      </w:r>
      <w:proofErr w:type="spellEnd"/>
      <w:r w:rsidRPr="009F1C15">
        <w:rPr>
          <w:rFonts w:eastAsia="Times New Roman"/>
          <w:noProof w:val="0"/>
          <w:color w:val="auto"/>
          <w:sz w:val="18"/>
          <w:szCs w:val="24"/>
        </w:rPr>
        <w:t xml:space="preserve">, P.C.; </w:t>
      </w:r>
      <w:proofErr w:type="spellStart"/>
      <w:r w:rsidRPr="009F1C15">
        <w:rPr>
          <w:rFonts w:eastAsia="Times New Roman"/>
          <w:noProof w:val="0"/>
          <w:color w:val="auto"/>
          <w:sz w:val="18"/>
          <w:szCs w:val="24"/>
        </w:rPr>
        <w:t>Jüni</w:t>
      </w:r>
      <w:proofErr w:type="spellEnd"/>
      <w:r w:rsidRPr="009F1C15">
        <w:rPr>
          <w:rFonts w:eastAsia="Times New Roman"/>
          <w:noProof w:val="0"/>
          <w:color w:val="auto"/>
          <w:sz w:val="18"/>
          <w:szCs w:val="24"/>
        </w:rPr>
        <w:t xml:space="preserve">, P.; Moher, D.; </w:t>
      </w:r>
      <w:proofErr w:type="spellStart"/>
      <w:r w:rsidRPr="009F1C15">
        <w:rPr>
          <w:rFonts w:eastAsia="Times New Roman"/>
          <w:noProof w:val="0"/>
          <w:color w:val="auto"/>
          <w:sz w:val="18"/>
          <w:szCs w:val="24"/>
        </w:rPr>
        <w:t>Oxman</w:t>
      </w:r>
      <w:proofErr w:type="spellEnd"/>
      <w:r w:rsidRPr="009F1C15">
        <w:rPr>
          <w:rFonts w:eastAsia="Times New Roman"/>
          <w:noProof w:val="0"/>
          <w:color w:val="auto"/>
          <w:sz w:val="18"/>
          <w:szCs w:val="24"/>
        </w:rPr>
        <w:t xml:space="preserve">, A.D.; </w:t>
      </w:r>
      <w:proofErr w:type="spellStart"/>
      <w:r w:rsidRPr="009F1C15">
        <w:rPr>
          <w:rFonts w:eastAsia="Times New Roman"/>
          <w:noProof w:val="0"/>
          <w:color w:val="auto"/>
          <w:sz w:val="18"/>
          <w:szCs w:val="24"/>
        </w:rPr>
        <w:t>Savović</w:t>
      </w:r>
      <w:proofErr w:type="spellEnd"/>
      <w:r w:rsidRPr="009F1C15">
        <w:rPr>
          <w:rFonts w:eastAsia="Times New Roman"/>
          <w:noProof w:val="0"/>
          <w:color w:val="auto"/>
          <w:sz w:val="18"/>
          <w:szCs w:val="24"/>
        </w:rPr>
        <w:t xml:space="preserve">, J.; Schulz, K.F.; Weeks, L.; Sterne, J.A.C.; et al. The Cochrane Collaboration’s tool for assessing risk of bias in </w:t>
      </w:r>
      <w:proofErr w:type="spellStart"/>
      <w:r w:rsidRPr="009F1C15">
        <w:rPr>
          <w:rFonts w:eastAsia="Times New Roman"/>
          <w:noProof w:val="0"/>
          <w:color w:val="auto"/>
          <w:sz w:val="18"/>
          <w:szCs w:val="24"/>
        </w:rPr>
        <w:t>randomised</w:t>
      </w:r>
      <w:proofErr w:type="spellEnd"/>
      <w:r w:rsidRPr="009F1C15">
        <w:rPr>
          <w:rFonts w:eastAsia="Times New Roman"/>
          <w:noProof w:val="0"/>
          <w:color w:val="auto"/>
          <w:sz w:val="18"/>
          <w:szCs w:val="24"/>
        </w:rPr>
        <w:t xml:space="preserve"> trials. </w:t>
      </w:r>
      <w:r w:rsidRPr="009F1C15">
        <w:rPr>
          <w:rFonts w:eastAsia="Times New Roman"/>
          <w:i/>
          <w:iCs/>
          <w:noProof w:val="0"/>
          <w:color w:val="auto"/>
          <w:sz w:val="18"/>
          <w:szCs w:val="24"/>
        </w:rPr>
        <w:t>BMJ</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2011</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343</w:t>
      </w:r>
      <w:r w:rsidRPr="009F1C15">
        <w:rPr>
          <w:rFonts w:eastAsia="Times New Roman"/>
          <w:bCs/>
          <w:noProof w:val="0"/>
          <w:color w:val="auto"/>
          <w:sz w:val="18"/>
          <w:szCs w:val="24"/>
        </w:rPr>
        <w:t>, d5928</w:t>
      </w:r>
      <w:r w:rsidRPr="009F1C15">
        <w:rPr>
          <w:rFonts w:eastAsia="Times New Roman"/>
          <w:noProof w:val="0"/>
          <w:color w:val="auto"/>
          <w:sz w:val="18"/>
          <w:szCs w:val="24"/>
        </w:rPr>
        <w:t>. https://doi.org/10.1136/bmj.d5928.</w:t>
      </w:r>
    </w:p>
    <w:p w14:paraId="041FDB73"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Higgins, J.P.T.; Thompson, S.G.; </w:t>
      </w:r>
      <w:proofErr w:type="spellStart"/>
      <w:r w:rsidRPr="009F1C15">
        <w:rPr>
          <w:rFonts w:eastAsia="Times New Roman"/>
          <w:noProof w:val="0"/>
          <w:color w:val="auto"/>
          <w:sz w:val="18"/>
          <w:szCs w:val="24"/>
        </w:rPr>
        <w:t>Deeks</w:t>
      </w:r>
      <w:proofErr w:type="spellEnd"/>
      <w:r w:rsidRPr="009F1C15">
        <w:rPr>
          <w:rFonts w:eastAsia="Times New Roman"/>
          <w:noProof w:val="0"/>
          <w:color w:val="auto"/>
          <w:sz w:val="18"/>
          <w:szCs w:val="24"/>
        </w:rPr>
        <w:t xml:space="preserve">, J.J.; Altman, D.G. Measuring inconsistency in meta-analyses. </w:t>
      </w:r>
      <w:r w:rsidRPr="009F1C15">
        <w:rPr>
          <w:rFonts w:eastAsia="Times New Roman"/>
          <w:i/>
          <w:iCs/>
          <w:noProof w:val="0"/>
          <w:color w:val="auto"/>
          <w:sz w:val="18"/>
          <w:szCs w:val="24"/>
        </w:rPr>
        <w:t>BMJ</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2003</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327</w:t>
      </w:r>
      <w:r w:rsidRPr="009F1C15">
        <w:rPr>
          <w:rFonts w:eastAsia="Times New Roman"/>
          <w:bCs/>
          <w:noProof w:val="0"/>
          <w:color w:val="auto"/>
          <w:sz w:val="18"/>
          <w:szCs w:val="24"/>
        </w:rPr>
        <w:t>, 557–560</w:t>
      </w:r>
      <w:r w:rsidRPr="009F1C15">
        <w:rPr>
          <w:rFonts w:eastAsia="Times New Roman"/>
          <w:noProof w:val="0"/>
          <w:color w:val="auto"/>
          <w:sz w:val="18"/>
          <w:szCs w:val="24"/>
        </w:rPr>
        <w:t>. https://doi.org/10.1136/bmj.327.7414.557.</w:t>
      </w:r>
    </w:p>
    <w:p w14:paraId="55327423"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Layland</w:t>
      </w:r>
      <w:proofErr w:type="spellEnd"/>
      <w:r w:rsidRPr="009F1C15">
        <w:rPr>
          <w:rFonts w:eastAsia="Times New Roman"/>
          <w:noProof w:val="0"/>
          <w:color w:val="auto"/>
          <w:sz w:val="18"/>
          <w:szCs w:val="24"/>
        </w:rPr>
        <w:t xml:space="preserve">, J.; </w:t>
      </w:r>
      <w:proofErr w:type="spellStart"/>
      <w:r w:rsidRPr="009F1C15">
        <w:rPr>
          <w:rFonts w:eastAsia="Times New Roman"/>
          <w:noProof w:val="0"/>
          <w:color w:val="auto"/>
          <w:sz w:val="18"/>
          <w:szCs w:val="24"/>
        </w:rPr>
        <w:t>Oldroyd</w:t>
      </w:r>
      <w:proofErr w:type="spellEnd"/>
      <w:r w:rsidRPr="009F1C15">
        <w:rPr>
          <w:rFonts w:eastAsia="Times New Roman"/>
          <w:noProof w:val="0"/>
          <w:color w:val="auto"/>
          <w:sz w:val="18"/>
          <w:szCs w:val="24"/>
        </w:rPr>
        <w:t xml:space="preserve">, K.G.; </w:t>
      </w:r>
      <w:proofErr w:type="spellStart"/>
      <w:r w:rsidRPr="009F1C15">
        <w:rPr>
          <w:rFonts w:eastAsia="Times New Roman"/>
          <w:noProof w:val="0"/>
          <w:color w:val="auto"/>
          <w:sz w:val="18"/>
          <w:szCs w:val="24"/>
        </w:rPr>
        <w:t>Curzen</w:t>
      </w:r>
      <w:proofErr w:type="spellEnd"/>
      <w:r w:rsidRPr="009F1C15">
        <w:rPr>
          <w:rFonts w:eastAsia="Times New Roman"/>
          <w:noProof w:val="0"/>
          <w:color w:val="auto"/>
          <w:sz w:val="18"/>
          <w:szCs w:val="24"/>
        </w:rPr>
        <w:t xml:space="preserve">, N.; </w:t>
      </w:r>
      <w:proofErr w:type="spellStart"/>
      <w:r w:rsidRPr="009F1C15">
        <w:rPr>
          <w:rFonts w:eastAsia="Times New Roman"/>
          <w:noProof w:val="0"/>
          <w:color w:val="auto"/>
          <w:sz w:val="18"/>
          <w:szCs w:val="24"/>
        </w:rPr>
        <w:t>Sood</w:t>
      </w:r>
      <w:proofErr w:type="spellEnd"/>
      <w:r w:rsidRPr="009F1C15">
        <w:rPr>
          <w:rFonts w:eastAsia="Times New Roman"/>
          <w:noProof w:val="0"/>
          <w:color w:val="auto"/>
          <w:sz w:val="18"/>
          <w:szCs w:val="24"/>
        </w:rPr>
        <w:t xml:space="preserve">, A.; Balachandran, K.; Das, R.; </w:t>
      </w:r>
      <w:proofErr w:type="spellStart"/>
      <w:r w:rsidRPr="009F1C15">
        <w:rPr>
          <w:rFonts w:eastAsia="Times New Roman"/>
          <w:noProof w:val="0"/>
          <w:color w:val="auto"/>
          <w:sz w:val="18"/>
          <w:szCs w:val="24"/>
        </w:rPr>
        <w:t>Junejo</w:t>
      </w:r>
      <w:proofErr w:type="spellEnd"/>
      <w:r w:rsidRPr="009F1C15">
        <w:rPr>
          <w:rFonts w:eastAsia="Times New Roman"/>
          <w:noProof w:val="0"/>
          <w:color w:val="auto"/>
          <w:sz w:val="18"/>
          <w:szCs w:val="24"/>
        </w:rPr>
        <w:t xml:space="preserve">, S.; Ahmed, N.; Lee, M.M.; Shaukat, A.; et al. Fractional flow reserve vs. angiography in guiding management to optimize outcomes in non-ST-segment elevation myocardial infarction: The British Heart Foundation FAMOUS-NSTEMI randomized trial. </w:t>
      </w:r>
      <w:r w:rsidRPr="009F1C15">
        <w:rPr>
          <w:rFonts w:eastAsia="Times New Roman"/>
          <w:i/>
          <w:iCs/>
          <w:noProof w:val="0"/>
          <w:color w:val="auto"/>
          <w:sz w:val="18"/>
          <w:szCs w:val="24"/>
        </w:rPr>
        <w:t>Eur. Heart J.</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2014</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36</w:t>
      </w:r>
      <w:r w:rsidRPr="009F1C15">
        <w:rPr>
          <w:rFonts w:eastAsia="Times New Roman"/>
          <w:bCs/>
          <w:noProof w:val="0"/>
          <w:color w:val="auto"/>
          <w:sz w:val="18"/>
          <w:szCs w:val="24"/>
        </w:rPr>
        <w:t>, 100–111</w:t>
      </w:r>
      <w:r w:rsidRPr="009F1C15">
        <w:rPr>
          <w:rFonts w:eastAsia="Times New Roman"/>
          <w:noProof w:val="0"/>
          <w:color w:val="auto"/>
          <w:sz w:val="18"/>
          <w:szCs w:val="24"/>
        </w:rPr>
        <w:t>. https://doi.org/10.1093/eurheartj/ehu338.</w:t>
      </w:r>
    </w:p>
    <w:p w14:paraId="0B9E46B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Elbadawi</w:t>
      </w:r>
      <w:proofErr w:type="spellEnd"/>
      <w:r w:rsidRPr="009F1C15">
        <w:rPr>
          <w:rFonts w:eastAsia="Times New Roman"/>
          <w:noProof w:val="0"/>
          <w:color w:val="auto"/>
          <w:sz w:val="18"/>
          <w:szCs w:val="24"/>
        </w:rPr>
        <w:t xml:space="preserve">, A.; </w:t>
      </w:r>
      <w:proofErr w:type="spellStart"/>
      <w:r w:rsidRPr="009F1C15">
        <w:rPr>
          <w:rFonts w:eastAsia="Times New Roman"/>
          <w:noProof w:val="0"/>
          <w:color w:val="auto"/>
          <w:sz w:val="18"/>
          <w:szCs w:val="24"/>
        </w:rPr>
        <w:t>Sedhom</w:t>
      </w:r>
      <w:proofErr w:type="spellEnd"/>
      <w:r w:rsidRPr="009F1C15">
        <w:rPr>
          <w:rFonts w:eastAsia="Times New Roman"/>
          <w:noProof w:val="0"/>
          <w:color w:val="auto"/>
          <w:sz w:val="18"/>
          <w:szCs w:val="24"/>
        </w:rPr>
        <w:t xml:space="preserve">, R.; Dang, A.T.; Gad, M.M.; Rahman, F.; </w:t>
      </w:r>
      <w:proofErr w:type="spellStart"/>
      <w:r w:rsidRPr="009F1C15">
        <w:rPr>
          <w:rFonts w:eastAsia="Times New Roman"/>
          <w:noProof w:val="0"/>
          <w:color w:val="auto"/>
          <w:sz w:val="18"/>
          <w:szCs w:val="24"/>
        </w:rPr>
        <w:t>Brilakis</w:t>
      </w:r>
      <w:proofErr w:type="spellEnd"/>
      <w:r w:rsidRPr="009F1C15">
        <w:rPr>
          <w:rFonts w:eastAsia="Times New Roman"/>
          <w:noProof w:val="0"/>
          <w:color w:val="auto"/>
          <w:sz w:val="18"/>
          <w:szCs w:val="24"/>
        </w:rPr>
        <w:t xml:space="preserve">, E.S.; </w:t>
      </w:r>
      <w:proofErr w:type="spellStart"/>
      <w:r w:rsidRPr="009F1C15">
        <w:rPr>
          <w:rFonts w:eastAsia="Times New Roman"/>
          <w:noProof w:val="0"/>
          <w:color w:val="auto"/>
          <w:sz w:val="18"/>
          <w:szCs w:val="24"/>
        </w:rPr>
        <w:t>Elgendy</w:t>
      </w:r>
      <w:proofErr w:type="spellEnd"/>
      <w:r w:rsidRPr="009F1C15">
        <w:rPr>
          <w:rFonts w:eastAsia="Times New Roman"/>
          <w:noProof w:val="0"/>
          <w:color w:val="auto"/>
          <w:sz w:val="18"/>
          <w:szCs w:val="24"/>
        </w:rPr>
        <w:t xml:space="preserve">, I.Y.; </w:t>
      </w:r>
      <w:proofErr w:type="spellStart"/>
      <w:r w:rsidRPr="009F1C15">
        <w:rPr>
          <w:rFonts w:eastAsia="Times New Roman"/>
          <w:noProof w:val="0"/>
          <w:color w:val="auto"/>
          <w:sz w:val="18"/>
          <w:szCs w:val="24"/>
        </w:rPr>
        <w:t>Jneid</w:t>
      </w:r>
      <w:proofErr w:type="spellEnd"/>
      <w:r w:rsidRPr="009F1C15">
        <w:rPr>
          <w:rFonts w:eastAsia="Times New Roman"/>
          <w:noProof w:val="0"/>
          <w:color w:val="auto"/>
          <w:sz w:val="18"/>
          <w:szCs w:val="24"/>
        </w:rPr>
        <w:t xml:space="preserve">, H. Fractional flow reserve versus </w:t>
      </w:r>
      <w:r w:rsidRPr="009F1C15">
        <w:rPr>
          <w:rFonts w:eastAsia="Times New Roman"/>
          <w:noProof w:val="0"/>
          <w:color w:val="auto"/>
          <w:sz w:val="18"/>
          <w:szCs w:val="18"/>
        </w:rPr>
        <w:t xml:space="preserve">angiography alone in guiding myocardial </w:t>
      </w:r>
      <w:proofErr w:type="spellStart"/>
      <w:r w:rsidRPr="009F1C15">
        <w:rPr>
          <w:rFonts w:eastAsia="Times New Roman"/>
          <w:noProof w:val="0"/>
          <w:color w:val="auto"/>
          <w:sz w:val="18"/>
          <w:szCs w:val="18"/>
        </w:rPr>
        <w:t>revascularisation</w:t>
      </w:r>
      <w:proofErr w:type="spellEnd"/>
      <w:r w:rsidRPr="009F1C15">
        <w:rPr>
          <w:rFonts w:eastAsia="Times New Roman"/>
          <w:noProof w:val="0"/>
          <w:color w:val="auto"/>
          <w:sz w:val="18"/>
          <w:szCs w:val="18"/>
        </w:rPr>
        <w:t xml:space="preserve">: A systematic review and meta-analysis of </w:t>
      </w:r>
      <w:proofErr w:type="spellStart"/>
      <w:r w:rsidRPr="009F1C15">
        <w:rPr>
          <w:rFonts w:eastAsia="Times New Roman"/>
          <w:noProof w:val="0"/>
          <w:color w:val="auto"/>
          <w:sz w:val="18"/>
          <w:szCs w:val="18"/>
        </w:rPr>
        <w:t>randomised</w:t>
      </w:r>
      <w:proofErr w:type="spellEnd"/>
      <w:r w:rsidRPr="009F1C15">
        <w:rPr>
          <w:rFonts w:eastAsia="Times New Roman"/>
          <w:noProof w:val="0"/>
          <w:color w:val="auto"/>
          <w:sz w:val="18"/>
          <w:szCs w:val="18"/>
        </w:rPr>
        <w:t xml:space="preserve"> trials. </w:t>
      </w:r>
      <w:r w:rsidRPr="009F1C15">
        <w:rPr>
          <w:rFonts w:eastAsia="Times New Roman"/>
          <w:i/>
          <w:iCs/>
          <w:noProof w:val="0"/>
          <w:color w:val="auto"/>
          <w:sz w:val="18"/>
          <w:szCs w:val="18"/>
        </w:rPr>
        <w:t>Heart</w:t>
      </w:r>
      <w:r w:rsidRPr="009F1C15">
        <w:rPr>
          <w:rFonts w:eastAsia="Times New Roman"/>
          <w:noProof w:val="0"/>
          <w:color w:val="auto"/>
          <w:sz w:val="18"/>
          <w:szCs w:val="18"/>
        </w:rPr>
        <w:t xml:space="preserve"> </w:t>
      </w:r>
      <w:r w:rsidRPr="009F1C15">
        <w:rPr>
          <w:rFonts w:eastAsia="Times New Roman"/>
          <w:b/>
          <w:bCs/>
          <w:noProof w:val="0"/>
          <w:color w:val="auto"/>
          <w:sz w:val="18"/>
          <w:szCs w:val="18"/>
        </w:rPr>
        <w:t>2022</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108</w:t>
      </w:r>
      <w:r w:rsidRPr="009F1C15">
        <w:rPr>
          <w:rFonts w:eastAsia="Times New Roman"/>
          <w:bCs/>
          <w:noProof w:val="0"/>
          <w:color w:val="auto"/>
          <w:sz w:val="18"/>
          <w:szCs w:val="18"/>
        </w:rPr>
        <w:t>, 1699–1706</w:t>
      </w:r>
      <w:r w:rsidRPr="009F1C15">
        <w:rPr>
          <w:rStyle w:val="highwire-cite-metadata-pages"/>
          <w:sz w:val="18"/>
          <w:szCs w:val="18"/>
        </w:rPr>
        <w:t>.</w:t>
      </w:r>
      <w:r w:rsidRPr="009F1C15">
        <w:rPr>
          <w:rFonts w:eastAsia="Times New Roman"/>
          <w:noProof w:val="0"/>
          <w:color w:val="auto"/>
          <w:sz w:val="18"/>
          <w:szCs w:val="18"/>
        </w:rPr>
        <w:t xml:space="preserve"> https</w:t>
      </w:r>
      <w:r w:rsidRPr="009F1C15">
        <w:rPr>
          <w:rFonts w:eastAsia="Times New Roman"/>
          <w:noProof w:val="0"/>
          <w:color w:val="auto"/>
          <w:sz w:val="18"/>
          <w:szCs w:val="24"/>
        </w:rPr>
        <w:t>://doi.org/10.1136/heartjnl-2021-320768.</w:t>
      </w:r>
    </w:p>
    <w:p w14:paraId="520CD3AB"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lastRenderedPageBreak/>
        <w:t xml:space="preserve">Prasad, R.M.; Baloch, Z.Q.; </w:t>
      </w:r>
      <w:proofErr w:type="spellStart"/>
      <w:r w:rsidRPr="009F1C15">
        <w:rPr>
          <w:rFonts w:eastAsia="Times New Roman"/>
          <w:noProof w:val="0"/>
          <w:color w:val="auto"/>
          <w:sz w:val="18"/>
          <w:szCs w:val="24"/>
        </w:rPr>
        <w:t>Gumbita</w:t>
      </w:r>
      <w:proofErr w:type="spellEnd"/>
      <w:r w:rsidRPr="009F1C15">
        <w:rPr>
          <w:rFonts w:eastAsia="Times New Roman"/>
          <w:noProof w:val="0"/>
          <w:color w:val="auto"/>
          <w:sz w:val="18"/>
          <w:szCs w:val="24"/>
        </w:rPr>
        <w:t xml:space="preserve">, R. Updated meta-analysis comparing FFR-guided and angiographic-guided intervention in patients with multivessel coronary artery disease. </w:t>
      </w:r>
      <w:r w:rsidRPr="009F1C15">
        <w:rPr>
          <w:rFonts w:eastAsia="Times New Roman"/>
          <w:i/>
          <w:iCs/>
          <w:noProof w:val="0"/>
          <w:color w:val="auto"/>
          <w:sz w:val="18"/>
          <w:szCs w:val="24"/>
        </w:rPr>
        <w:t xml:space="preserve">Int. J. Heart </w:t>
      </w:r>
      <w:proofErr w:type="spellStart"/>
      <w:r w:rsidRPr="009F1C15">
        <w:rPr>
          <w:rFonts w:eastAsia="Times New Roman"/>
          <w:i/>
          <w:iCs/>
          <w:noProof w:val="0"/>
          <w:color w:val="auto"/>
          <w:sz w:val="18"/>
          <w:szCs w:val="24"/>
        </w:rPr>
        <w:t>Vasc</w:t>
      </w:r>
      <w:proofErr w:type="spellEnd"/>
      <w:r w:rsidRPr="009F1C15">
        <w:rPr>
          <w:rFonts w:eastAsia="Times New Roman"/>
          <w:i/>
          <w:iCs/>
          <w:noProof w:val="0"/>
          <w:color w:val="auto"/>
          <w:sz w:val="18"/>
          <w:szCs w:val="24"/>
        </w:rPr>
        <w:t>. Syst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2022</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2</w:t>
      </w:r>
      <w:r w:rsidRPr="009F1C15">
        <w:rPr>
          <w:rFonts w:eastAsia="Times New Roman"/>
          <w:bCs/>
          <w:noProof w:val="0"/>
          <w:color w:val="auto"/>
          <w:sz w:val="18"/>
          <w:szCs w:val="24"/>
        </w:rPr>
        <w:t>, 6–10</w:t>
      </w:r>
      <w:r w:rsidRPr="009F1C15">
        <w:rPr>
          <w:rFonts w:eastAsia="Times New Roman"/>
          <w:noProof w:val="0"/>
          <w:color w:val="auto"/>
          <w:sz w:val="18"/>
          <w:szCs w:val="24"/>
        </w:rPr>
        <w:t>.</w:t>
      </w:r>
    </w:p>
    <w:p w14:paraId="51212F7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Quintella</w:t>
      </w:r>
      <w:proofErr w:type="spellEnd"/>
      <w:r w:rsidRPr="009F1C15">
        <w:rPr>
          <w:rFonts w:eastAsia="Times New Roman"/>
          <w:noProof w:val="0"/>
          <w:color w:val="auto"/>
          <w:sz w:val="18"/>
          <w:szCs w:val="24"/>
        </w:rPr>
        <w:t xml:space="preserve">, E.F.; Ferreira, E.; Azevedo, V.M.P.; Araujo, D.V.; </w:t>
      </w:r>
      <w:proofErr w:type="spellStart"/>
      <w:r w:rsidRPr="009F1C15">
        <w:rPr>
          <w:rFonts w:eastAsia="Times New Roman"/>
          <w:noProof w:val="0"/>
          <w:color w:val="auto"/>
          <w:sz w:val="18"/>
          <w:szCs w:val="24"/>
        </w:rPr>
        <w:t>Sant’anna</w:t>
      </w:r>
      <w:proofErr w:type="spellEnd"/>
      <w:r w:rsidRPr="009F1C15">
        <w:rPr>
          <w:rFonts w:eastAsia="Times New Roman"/>
          <w:noProof w:val="0"/>
          <w:color w:val="auto"/>
          <w:sz w:val="18"/>
          <w:szCs w:val="24"/>
        </w:rPr>
        <w:t xml:space="preserve">, F.M.; Amorim, B.; De Albuquerque, D.C. Clinical Outcomes and Cost-Effectiveness Analysis of FFR Compared with Angiography in Multivessel Disease Patient. </w:t>
      </w:r>
      <w:proofErr w:type="spellStart"/>
      <w:r w:rsidRPr="009F1C15">
        <w:rPr>
          <w:rFonts w:eastAsia="Times New Roman"/>
          <w:i/>
          <w:iCs/>
          <w:noProof w:val="0"/>
          <w:color w:val="auto"/>
          <w:sz w:val="18"/>
          <w:szCs w:val="24"/>
        </w:rPr>
        <w:t>Arq</w:t>
      </w:r>
      <w:proofErr w:type="spellEnd"/>
      <w:r w:rsidRPr="009F1C15">
        <w:rPr>
          <w:rFonts w:eastAsia="Times New Roman"/>
          <w:i/>
          <w:iCs/>
          <w:noProof w:val="0"/>
          <w:color w:val="auto"/>
          <w:sz w:val="18"/>
          <w:szCs w:val="24"/>
        </w:rPr>
        <w:t xml:space="preserve">. Bras. de </w:t>
      </w:r>
      <w:proofErr w:type="spellStart"/>
      <w:r w:rsidRPr="009F1C15">
        <w:rPr>
          <w:rFonts w:eastAsia="Times New Roman"/>
          <w:i/>
          <w:iCs/>
          <w:noProof w:val="0"/>
          <w:color w:val="auto"/>
          <w:sz w:val="18"/>
          <w:szCs w:val="24"/>
        </w:rPr>
        <w:t>Cardiol</w:t>
      </w:r>
      <w:proofErr w:type="spellEnd"/>
      <w:r w:rsidRPr="009F1C15">
        <w:rPr>
          <w:rFonts w:eastAsia="Times New Roman"/>
          <w:i/>
          <w:iCs/>
          <w:noProof w:val="0"/>
          <w:color w:val="auto"/>
          <w:sz w:val="18"/>
          <w:szCs w:val="24"/>
        </w:rPr>
        <w: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2018</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112</w:t>
      </w:r>
      <w:r w:rsidRPr="009F1C15">
        <w:rPr>
          <w:rFonts w:eastAsia="Times New Roman"/>
          <w:bCs/>
          <w:noProof w:val="0"/>
          <w:color w:val="auto"/>
          <w:sz w:val="18"/>
          <w:szCs w:val="24"/>
        </w:rPr>
        <w:t>, 40–47</w:t>
      </w:r>
      <w:r w:rsidRPr="009F1C15">
        <w:rPr>
          <w:rFonts w:eastAsia="Times New Roman"/>
          <w:noProof w:val="0"/>
          <w:color w:val="auto"/>
          <w:sz w:val="18"/>
          <w:szCs w:val="24"/>
        </w:rPr>
        <w:t>. https://doi.org/10.5935/abc.20180262.</w:t>
      </w:r>
    </w:p>
    <w:p w14:paraId="0127F5F4" w14:textId="30A8C1D1"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18"/>
        </w:rPr>
      </w:pPr>
      <w:r w:rsidRPr="009F1C15">
        <w:rPr>
          <w:rFonts w:eastAsia="Times New Roman"/>
          <w:noProof w:val="0"/>
          <w:color w:val="auto"/>
          <w:sz w:val="18"/>
          <w:szCs w:val="24"/>
        </w:rPr>
        <w:t xml:space="preserve">Park, S.H.; Jeon, K.-H.; Lee, J.M.; Nam, C.-W.; Doh, J.-H.; Lee, B.-K.; </w:t>
      </w:r>
      <w:proofErr w:type="spellStart"/>
      <w:r w:rsidRPr="009F1C15">
        <w:rPr>
          <w:rFonts w:eastAsia="Times New Roman"/>
          <w:noProof w:val="0"/>
          <w:color w:val="auto"/>
          <w:sz w:val="18"/>
          <w:szCs w:val="24"/>
        </w:rPr>
        <w:t>Rha</w:t>
      </w:r>
      <w:proofErr w:type="spellEnd"/>
      <w:r w:rsidRPr="009F1C15">
        <w:rPr>
          <w:rFonts w:eastAsia="Times New Roman"/>
          <w:noProof w:val="0"/>
          <w:color w:val="auto"/>
          <w:sz w:val="18"/>
          <w:szCs w:val="24"/>
        </w:rPr>
        <w:t xml:space="preserve">, S.-W.; </w:t>
      </w:r>
      <w:proofErr w:type="spellStart"/>
      <w:r w:rsidRPr="009F1C15">
        <w:rPr>
          <w:rFonts w:eastAsia="Times New Roman"/>
          <w:noProof w:val="0"/>
          <w:color w:val="auto"/>
          <w:sz w:val="18"/>
          <w:szCs w:val="24"/>
        </w:rPr>
        <w:t>Yoo</w:t>
      </w:r>
      <w:proofErr w:type="spellEnd"/>
      <w:r w:rsidRPr="009F1C15">
        <w:rPr>
          <w:rFonts w:eastAsia="Times New Roman"/>
          <w:noProof w:val="0"/>
          <w:color w:val="auto"/>
          <w:sz w:val="18"/>
          <w:szCs w:val="24"/>
        </w:rPr>
        <w:t>, K.-D.; Jung, K.T.; Cho, Y.-S.; et al. Long-Term Clinical Outcomes of Fractional Flow Reserve–</w:t>
      </w:r>
      <w:r w:rsidRPr="009F1C15">
        <w:rPr>
          <w:rFonts w:eastAsia="Times New Roman"/>
          <w:noProof w:val="0"/>
          <w:color w:val="auto"/>
          <w:sz w:val="18"/>
          <w:szCs w:val="18"/>
        </w:rPr>
        <w:t xml:space="preserve">Guided Versus Routine Drug-Eluting Stent Implantation in Patients </w:t>
      </w:r>
      <w:r w:rsidR="008C3286" w:rsidRPr="009F1C15">
        <w:rPr>
          <w:rFonts w:eastAsia="Times New Roman"/>
          <w:noProof w:val="0"/>
          <w:color w:val="auto"/>
          <w:sz w:val="18"/>
          <w:szCs w:val="18"/>
        </w:rPr>
        <w:t xml:space="preserve">with </w:t>
      </w:r>
      <w:r w:rsidRPr="009F1C15">
        <w:rPr>
          <w:rFonts w:eastAsia="Times New Roman"/>
          <w:noProof w:val="0"/>
          <w:color w:val="auto"/>
          <w:sz w:val="18"/>
          <w:szCs w:val="18"/>
        </w:rPr>
        <w:t>Intermediate Coronary Stenosis</w:t>
      </w:r>
      <w:r w:rsidRPr="009F1C15">
        <w:rPr>
          <w:rStyle w:val="text-del"/>
          <w:sz w:val="18"/>
          <w:szCs w:val="18"/>
        </w:rPr>
        <w:t>: Five-Year Clinical Outcomes of DEFER-DES Trial</w:t>
      </w:r>
      <w:r w:rsidRPr="009F1C15">
        <w:rPr>
          <w:sz w:val="18"/>
          <w:szCs w:val="18"/>
        </w:rPr>
        <w:t>.</w:t>
      </w:r>
      <w:r w:rsidRPr="009F1C15">
        <w:rPr>
          <w:rFonts w:eastAsia="Times New Roman"/>
          <w:noProof w:val="0"/>
          <w:color w:val="auto"/>
          <w:sz w:val="18"/>
          <w:szCs w:val="18"/>
        </w:rPr>
        <w:t xml:space="preserve"> </w:t>
      </w:r>
      <w:r w:rsidRPr="009F1C15">
        <w:rPr>
          <w:rFonts w:eastAsia="Times New Roman"/>
          <w:i/>
          <w:iCs/>
          <w:noProof w:val="0"/>
          <w:color w:val="auto"/>
          <w:sz w:val="18"/>
          <w:szCs w:val="18"/>
        </w:rPr>
        <w:t xml:space="preserve">Circ. Cardiovasc. </w:t>
      </w:r>
      <w:proofErr w:type="spellStart"/>
      <w:r w:rsidRPr="009F1C15">
        <w:rPr>
          <w:rFonts w:eastAsia="Times New Roman"/>
          <w:i/>
          <w:iCs/>
          <w:noProof w:val="0"/>
          <w:color w:val="auto"/>
          <w:sz w:val="18"/>
          <w:szCs w:val="18"/>
        </w:rPr>
        <w:t>Interv</w:t>
      </w:r>
      <w:proofErr w:type="spellEnd"/>
      <w:r w:rsidRPr="009F1C15">
        <w:rPr>
          <w:rFonts w:eastAsia="Times New Roman"/>
          <w:i/>
          <w:iCs/>
          <w:noProof w:val="0"/>
          <w:color w:val="auto"/>
          <w:sz w:val="18"/>
          <w:szCs w:val="18"/>
        </w:rPr>
        <w:t>.</w:t>
      </w:r>
      <w:r w:rsidRPr="009F1C15">
        <w:rPr>
          <w:rFonts w:eastAsia="Times New Roman"/>
          <w:noProof w:val="0"/>
          <w:color w:val="auto"/>
          <w:sz w:val="18"/>
          <w:szCs w:val="18"/>
        </w:rPr>
        <w:t xml:space="preserve"> </w:t>
      </w:r>
      <w:r w:rsidRPr="009F1C15">
        <w:rPr>
          <w:rFonts w:eastAsia="Times New Roman"/>
          <w:b/>
          <w:bCs/>
          <w:noProof w:val="0"/>
          <w:color w:val="auto"/>
          <w:sz w:val="18"/>
          <w:szCs w:val="18"/>
        </w:rPr>
        <w:t>2015</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8</w:t>
      </w:r>
      <w:r w:rsidRPr="009F1C15">
        <w:rPr>
          <w:rFonts w:eastAsia="Times New Roman"/>
          <w:bCs/>
          <w:noProof w:val="0"/>
          <w:color w:val="auto"/>
          <w:sz w:val="18"/>
          <w:szCs w:val="18"/>
        </w:rPr>
        <w:t>, e002442</w:t>
      </w:r>
      <w:r w:rsidRPr="009F1C15">
        <w:rPr>
          <w:rFonts w:eastAsia="Times New Roman"/>
          <w:noProof w:val="0"/>
          <w:color w:val="auto"/>
          <w:sz w:val="18"/>
          <w:szCs w:val="18"/>
        </w:rPr>
        <w:t>. https://doi.org/10.1161/circinterventions.115.002442.</w:t>
      </w:r>
    </w:p>
    <w:p w14:paraId="75134AC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18"/>
        </w:rPr>
      </w:pPr>
      <w:r w:rsidRPr="009F1C15">
        <w:rPr>
          <w:rFonts w:eastAsia="Times New Roman"/>
          <w:noProof w:val="0"/>
          <w:color w:val="auto"/>
          <w:sz w:val="18"/>
          <w:szCs w:val="24"/>
        </w:rPr>
        <w:t xml:space="preserve">Chen, S.-L.; Ye, F.; Zhang, J.-J.; Xu, T.; Tian, N.-L.; Liu, Z.-Z.; Lin, S.; Shan, S.-J.; Ge, Z.; You, W.; et al. Randomized Comparison of FFR-Guided and Angiography-Guided Provisional Stenting of True Coronary </w:t>
      </w:r>
      <w:r w:rsidRPr="009F1C15">
        <w:rPr>
          <w:rFonts w:eastAsia="Times New Roman"/>
          <w:noProof w:val="0"/>
          <w:color w:val="auto"/>
          <w:sz w:val="18"/>
          <w:szCs w:val="18"/>
        </w:rPr>
        <w:t>Bifurcation Lesions</w:t>
      </w:r>
      <w:r w:rsidRPr="009F1C15">
        <w:rPr>
          <w:rStyle w:val="text-del"/>
          <w:sz w:val="18"/>
          <w:szCs w:val="18"/>
        </w:rPr>
        <w:t>: The DKCRUSH-VI Trial (Double Kissing Crush Versus Provisional Stenting Technique for Treatment of Coronary Bifurcation Lesions VI).</w:t>
      </w:r>
      <w:r w:rsidRPr="009F1C15">
        <w:rPr>
          <w:rFonts w:eastAsia="Times New Roman"/>
          <w:noProof w:val="0"/>
          <w:color w:val="auto"/>
          <w:sz w:val="18"/>
          <w:szCs w:val="18"/>
        </w:rPr>
        <w:t xml:space="preserve"> </w:t>
      </w:r>
      <w:r w:rsidRPr="009F1C15">
        <w:rPr>
          <w:rFonts w:eastAsia="Times New Roman"/>
          <w:i/>
          <w:iCs/>
          <w:noProof w:val="0"/>
          <w:color w:val="auto"/>
          <w:sz w:val="18"/>
          <w:szCs w:val="18"/>
        </w:rPr>
        <w:t xml:space="preserve">JACC Cardiovasc. </w:t>
      </w:r>
      <w:proofErr w:type="spellStart"/>
      <w:r w:rsidRPr="009F1C15">
        <w:rPr>
          <w:rFonts w:eastAsia="Times New Roman"/>
          <w:i/>
          <w:iCs/>
          <w:noProof w:val="0"/>
          <w:color w:val="auto"/>
          <w:sz w:val="18"/>
          <w:szCs w:val="18"/>
        </w:rPr>
        <w:t>Interv</w:t>
      </w:r>
      <w:proofErr w:type="spellEnd"/>
      <w:r w:rsidRPr="009F1C15">
        <w:rPr>
          <w:rFonts w:eastAsia="Times New Roman"/>
          <w:i/>
          <w:iCs/>
          <w:noProof w:val="0"/>
          <w:color w:val="auto"/>
          <w:sz w:val="18"/>
          <w:szCs w:val="18"/>
        </w:rPr>
        <w:t>.</w:t>
      </w:r>
      <w:r w:rsidRPr="009F1C15">
        <w:rPr>
          <w:rFonts w:eastAsia="Times New Roman"/>
          <w:noProof w:val="0"/>
          <w:color w:val="auto"/>
          <w:sz w:val="18"/>
          <w:szCs w:val="18"/>
        </w:rPr>
        <w:t xml:space="preserve"> </w:t>
      </w:r>
      <w:r w:rsidRPr="009F1C15">
        <w:rPr>
          <w:rFonts w:eastAsia="Times New Roman"/>
          <w:b/>
          <w:bCs/>
          <w:noProof w:val="0"/>
          <w:color w:val="auto"/>
          <w:sz w:val="18"/>
          <w:szCs w:val="18"/>
        </w:rPr>
        <w:t>2015</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8</w:t>
      </w:r>
      <w:r w:rsidRPr="009F1C15">
        <w:rPr>
          <w:rFonts w:eastAsia="Times New Roman"/>
          <w:bCs/>
          <w:noProof w:val="0"/>
          <w:color w:val="auto"/>
          <w:sz w:val="18"/>
          <w:szCs w:val="18"/>
        </w:rPr>
        <w:t>, 536–546</w:t>
      </w:r>
      <w:r w:rsidRPr="009F1C15">
        <w:rPr>
          <w:rFonts w:eastAsia="Times New Roman"/>
          <w:noProof w:val="0"/>
          <w:color w:val="auto"/>
          <w:sz w:val="18"/>
          <w:szCs w:val="18"/>
        </w:rPr>
        <w:t>. https://doi.org/10.1016/j.jcin.2014.12.221.</w:t>
      </w:r>
    </w:p>
    <w:p w14:paraId="0029D7B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Matthews, C.J.; Naylor, K.; </w:t>
      </w:r>
      <w:proofErr w:type="spellStart"/>
      <w:r w:rsidRPr="009F1C15">
        <w:rPr>
          <w:rFonts w:eastAsia="Times New Roman"/>
          <w:noProof w:val="0"/>
          <w:color w:val="auto"/>
          <w:sz w:val="18"/>
          <w:szCs w:val="24"/>
        </w:rPr>
        <w:t>Blaxill</w:t>
      </w:r>
      <w:proofErr w:type="spellEnd"/>
      <w:r w:rsidRPr="009F1C15">
        <w:rPr>
          <w:rFonts w:eastAsia="Times New Roman"/>
          <w:noProof w:val="0"/>
          <w:color w:val="auto"/>
          <w:sz w:val="18"/>
          <w:szCs w:val="24"/>
        </w:rPr>
        <w:t xml:space="preserve">, J.M.; Greenwood, J.P.; </w:t>
      </w:r>
      <w:proofErr w:type="spellStart"/>
      <w:r w:rsidRPr="009F1C15">
        <w:rPr>
          <w:rFonts w:eastAsia="Times New Roman"/>
          <w:noProof w:val="0"/>
          <w:color w:val="auto"/>
          <w:sz w:val="18"/>
          <w:szCs w:val="24"/>
        </w:rPr>
        <w:t>Mozid</w:t>
      </w:r>
      <w:proofErr w:type="spellEnd"/>
      <w:r w:rsidRPr="009F1C15">
        <w:rPr>
          <w:rFonts w:eastAsia="Times New Roman"/>
          <w:noProof w:val="0"/>
          <w:color w:val="auto"/>
          <w:sz w:val="18"/>
          <w:szCs w:val="24"/>
        </w:rPr>
        <w:t xml:space="preserve">, A.M.; Rossington, J.A.; </w:t>
      </w:r>
      <w:proofErr w:type="spellStart"/>
      <w:r w:rsidRPr="009F1C15">
        <w:rPr>
          <w:rFonts w:eastAsia="Times New Roman"/>
          <w:noProof w:val="0"/>
          <w:color w:val="auto"/>
          <w:sz w:val="18"/>
          <w:szCs w:val="24"/>
        </w:rPr>
        <w:t>Veerasamy</w:t>
      </w:r>
      <w:proofErr w:type="spellEnd"/>
      <w:r w:rsidRPr="009F1C15">
        <w:rPr>
          <w:rFonts w:eastAsia="Times New Roman"/>
          <w:noProof w:val="0"/>
          <w:color w:val="auto"/>
          <w:sz w:val="18"/>
          <w:szCs w:val="24"/>
        </w:rPr>
        <w:t xml:space="preserve">, M.; Wheatcroft, S.B.; </w:t>
      </w:r>
      <w:proofErr w:type="spellStart"/>
      <w:r w:rsidRPr="009F1C15">
        <w:rPr>
          <w:rFonts w:eastAsia="Times New Roman"/>
          <w:noProof w:val="0"/>
          <w:color w:val="auto"/>
          <w:sz w:val="18"/>
          <w:szCs w:val="24"/>
        </w:rPr>
        <w:t>Bulluck</w:t>
      </w:r>
      <w:proofErr w:type="spellEnd"/>
      <w:r w:rsidRPr="009F1C15">
        <w:rPr>
          <w:rFonts w:eastAsia="Times New Roman"/>
          <w:noProof w:val="0"/>
          <w:color w:val="auto"/>
          <w:sz w:val="18"/>
          <w:szCs w:val="24"/>
        </w:rPr>
        <w:t xml:space="preserve">, H. Meta-Analysis Comparing Clinical Outcomes of Fractional-Flow-Reserve- and Angiography-Guided Multivessel Percutaneous Coronary Intervention. </w:t>
      </w:r>
      <w:r w:rsidRPr="009F1C15">
        <w:rPr>
          <w:rFonts w:eastAsia="Times New Roman"/>
          <w:i/>
          <w:iCs/>
          <w:noProof w:val="0"/>
          <w:color w:val="auto"/>
          <w:sz w:val="18"/>
          <w:szCs w:val="24"/>
        </w:rPr>
        <w:t xml:space="preserve">Am. J. </w:t>
      </w:r>
      <w:proofErr w:type="spellStart"/>
      <w:r w:rsidRPr="009F1C15">
        <w:rPr>
          <w:rFonts w:eastAsia="Times New Roman"/>
          <w:i/>
          <w:iCs/>
          <w:noProof w:val="0"/>
          <w:color w:val="auto"/>
          <w:sz w:val="18"/>
          <w:szCs w:val="24"/>
        </w:rPr>
        <w:t>Cardiol</w:t>
      </w:r>
      <w:proofErr w:type="spellEnd"/>
      <w:r w:rsidRPr="009F1C15">
        <w:rPr>
          <w:rFonts w:eastAsia="Times New Roman"/>
          <w:i/>
          <w:iCs/>
          <w:noProof w:val="0"/>
          <w:color w:val="auto"/>
          <w:sz w:val="18"/>
          <w:szCs w:val="24"/>
        </w:rPr>
        <w: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2022</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184</w:t>
      </w:r>
      <w:r w:rsidRPr="009F1C15">
        <w:rPr>
          <w:rFonts w:eastAsia="Times New Roman"/>
          <w:bCs/>
          <w:noProof w:val="0"/>
          <w:color w:val="auto"/>
          <w:sz w:val="18"/>
          <w:szCs w:val="24"/>
        </w:rPr>
        <w:t>, 160−162</w:t>
      </w:r>
      <w:r w:rsidRPr="009F1C15">
        <w:rPr>
          <w:rFonts w:eastAsia="Times New Roman"/>
          <w:noProof w:val="0"/>
          <w:color w:val="auto"/>
          <w:sz w:val="18"/>
          <w:szCs w:val="24"/>
        </w:rPr>
        <w:t>. https://doi.org/10.1016/j.amjcard.2022.08.041.</w:t>
      </w:r>
    </w:p>
    <w:p w14:paraId="604672A8"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Tonino</w:t>
      </w:r>
      <w:proofErr w:type="spellEnd"/>
      <w:r w:rsidRPr="009F1C15">
        <w:rPr>
          <w:rFonts w:eastAsia="Times New Roman"/>
          <w:noProof w:val="0"/>
          <w:color w:val="auto"/>
          <w:sz w:val="18"/>
          <w:szCs w:val="24"/>
        </w:rPr>
        <w:t xml:space="preserve">, P.A.L.; De Bruyne, B.; </w:t>
      </w:r>
      <w:proofErr w:type="spellStart"/>
      <w:r w:rsidRPr="009F1C15">
        <w:rPr>
          <w:rFonts w:eastAsia="Times New Roman"/>
          <w:noProof w:val="0"/>
          <w:color w:val="auto"/>
          <w:sz w:val="18"/>
          <w:szCs w:val="24"/>
        </w:rPr>
        <w:t>Pijls</w:t>
      </w:r>
      <w:proofErr w:type="spellEnd"/>
      <w:r w:rsidRPr="009F1C15">
        <w:rPr>
          <w:rFonts w:eastAsia="Times New Roman"/>
          <w:noProof w:val="0"/>
          <w:color w:val="auto"/>
          <w:sz w:val="18"/>
          <w:szCs w:val="24"/>
        </w:rPr>
        <w:t xml:space="preserve">, N.H.J.; Siebert, U.; </w:t>
      </w:r>
      <w:proofErr w:type="spellStart"/>
      <w:r w:rsidRPr="009F1C15">
        <w:rPr>
          <w:rFonts w:eastAsia="Times New Roman"/>
          <w:noProof w:val="0"/>
          <w:color w:val="auto"/>
          <w:sz w:val="18"/>
          <w:szCs w:val="24"/>
        </w:rPr>
        <w:t>Ikeno</w:t>
      </w:r>
      <w:proofErr w:type="spellEnd"/>
      <w:r w:rsidRPr="009F1C15">
        <w:rPr>
          <w:rFonts w:eastAsia="Times New Roman"/>
          <w:noProof w:val="0"/>
          <w:color w:val="auto"/>
          <w:sz w:val="18"/>
          <w:szCs w:val="24"/>
        </w:rPr>
        <w:t xml:space="preserve">, F.; </w:t>
      </w:r>
      <w:proofErr w:type="spellStart"/>
      <w:r w:rsidRPr="009F1C15">
        <w:rPr>
          <w:rFonts w:eastAsia="Times New Roman"/>
          <w:noProof w:val="0"/>
          <w:color w:val="auto"/>
          <w:sz w:val="18"/>
          <w:szCs w:val="24"/>
        </w:rPr>
        <w:t>van’t</w:t>
      </w:r>
      <w:proofErr w:type="spellEnd"/>
      <w:r w:rsidRPr="009F1C15">
        <w:rPr>
          <w:rFonts w:eastAsia="Times New Roman"/>
          <w:noProof w:val="0"/>
          <w:color w:val="auto"/>
          <w:sz w:val="18"/>
          <w:szCs w:val="24"/>
        </w:rPr>
        <w:t xml:space="preserve"> Veer, M.; </w:t>
      </w:r>
      <w:proofErr w:type="spellStart"/>
      <w:r w:rsidRPr="009F1C15">
        <w:rPr>
          <w:rFonts w:eastAsia="Times New Roman"/>
          <w:noProof w:val="0"/>
          <w:color w:val="auto"/>
          <w:sz w:val="18"/>
          <w:szCs w:val="24"/>
        </w:rPr>
        <w:t>Klauss</w:t>
      </w:r>
      <w:proofErr w:type="spellEnd"/>
      <w:r w:rsidRPr="009F1C15">
        <w:rPr>
          <w:rFonts w:eastAsia="Times New Roman"/>
          <w:noProof w:val="0"/>
          <w:color w:val="auto"/>
          <w:sz w:val="18"/>
          <w:szCs w:val="24"/>
        </w:rPr>
        <w:t xml:space="preserve">, V.; Manoharan, G.; </w:t>
      </w:r>
      <w:proofErr w:type="spellStart"/>
      <w:r w:rsidRPr="009F1C15">
        <w:rPr>
          <w:rFonts w:eastAsia="Times New Roman"/>
          <w:noProof w:val="0"/>
          <w:color w:val="auto"/>
          <w:sz w:val="18"/>
          <w:szCs w:val="24"/>
        </w:rPr>
        <w:t>Engstrøm</w:t>
      </w:r>
      <w:proofErr w:type="spellEnd"/>
      <w:r w:rsidRPr="009F1C15">
        <w:rPr>
          <w:rFonts w:eastAsia="Times New Roman"/>
          <w:noProof w:val="0"/>
          <w:color w:val="auto"/>
          <w:sz w:val="18"/>
          <w:szCs w:val="24"/>
        </w:rPr>
        <w:t xml:space="preserve">, T.; </w:t>
      </w:r>
      <w:proofErr w:type="spellStart"/>
      <w:r w:rsidRPr="009F1C15">
        <w:rPr>
          <w:rFonts w:eastAsia="Times New Roman"/>
          <w:noProof w:val="0"/>
          <w:color w:val="auto"/>
          <w:sz w:val="18"/>
          <w:szCs w:val="24"/>
        </w:rPr>
        <w:t>Oldroyd</w:t>
      </w:r>
      <w:proofErr w:type="spellEnd"/>
      <w:r w:rsidRPr="009F1C15">
        <w:rPr>
          <w:rFonts w:eastAsia="Times New Roman"/>
          <w:noProof w:val="0"/>
          <w:color w:val="auto"/>
          <w:sz w:val="18"/>
          <w:szCs w:val="24"/>
        </w:rPr>
        <w:t xml:space="preserve">, K.G.; et al. Fractional flow reserve versus angiography for guiding percutaneous coronary intervention. </w:t>
      </w:r>
      <w:r w:rsidRPr="009F1C15">
        <w:rPr>
          <w:rFonts w:eastAsia="Times New Roman"/>
          <w:i/>
          <w:iCs/>
          <w:noProof w:val="0"/>
          <w:color w:val="auto"/>
          <w:sz w:val="18"/>
          <w:szCs w:val="24"/>
        </w:rPr>
        <w:t>N. Engl. J. Med.</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2009</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360</w:t>
      </w:r>
      <w:r w:rsidRPr="009F1C15">
        <w:rPr>
          <w:rFonts w:eastAsia="Times New Roman"/>
          <w:bCs/>
          <w:noProof w:val="0"/>
          <w:color w:val="auto"/>
          <w:sz w:val="18"/>
          <w:szCs w:val="24"/>
        </w:rPr>
        <w:t>, 213–224</w:t>
      </w:r>
      <w:r w:rsidRPr="009F1C15">
        <w:rPr>
          <w:rFonts w:eastAsia="Times New Roman"/>
          <w:noProof w:val="0"/>
          <w:color w:val="auto"/>
          <w:sz w:val="18"/>
          <w:szCs w:val="24"/>
        </w:rPr>
        <w:t>.</w:t>
      </w:r>
    </w:p>
    <w:p w14:paraId="09A980AF" w14:textId="4A5B2CC3"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18"/>
        </w:rPr>
      </w:pPr>
      <w:r w:rsidRPr="009F1C15">
        <w:rPr>
          <w:rFonts w:eastAsia="Times New Roman"/>
          <w:noProof w:val="0"/>
          <w:color w:val="auto"/>
          <w:sz w:val="18"/>
          <w:szCs w:val="24"/>
        </w:rPr>
        <w:t xml:space="preserve">White, C.W.; Wright, C.B.; Doty, D.B.; </w:t>
      </w:r>
      <w:proofErr w:type="spellStart"/>
      <w:r w:rsidRPr="009F1C15">
        <w:rPr>
          <w:rFonts w:eastAsia="Times New Roman"/>
          <w:noProof w:val="0"/>
          <w:color w:val="auto"/>
          <w:sz w:val="18"/>
          <w:szCs w:val="24"/>
        </w:rPr>
        <w:t>Hiratza</w:t>
      </w:r>
      <w:proofErr w:type="spellEnd"/>
      <w:r w:rsidRPr="009F1C15">
        <w:rPr>
          <w:rFonts w:eastAsia="Times New Roman"/>
          <w:noProof w:val="0"/>
          <w:color w:val="auto"/>
          <w:sz w:val="18"/>
          <w:szCs w:val="24"/>
        </w:rPr>
        <w:t xml:space="preserve">, L.F.; Eastham, C.L.; Harrison, D.G.; Marcus, M.L. Does Visual Interpretation of the Coronary Arteriogram Predict the </w:t>
      </w:r>
      <w:r w:rsidRPr="009F1C15">
        <w:rPr>
          <w:rFonts w:eastAsia="Times New Roman"/>
          <w:noProof w:val="0"/>
          <w:color w:val="auto"/>
          <w:sz w:val="18"/>
          <w:szCs w:val="18"/>
        </w:rPr>
        <w:t xml:space="preserve">Physiologic Importance of a Coronary Stenosis? </w:t>
      </w:r>
      <w:r w:rsidRPr="009F1C15">
        <w:rPr>
          <w:rFonts w:eastAsia="Times New Roman"/>
          <w:i/>
          <w:iCs/>
          <w:noProof w:val="0"/>
          <w:color w:val="auto"/>
          <w:sz w:val="18"/>
          <w:szCs w:val="18"/>
        </w:rPr>
        <w:t>N. Engl. J. Med.</w:t>
      </w:r>
      <w:r w:rsidRPr="009F1C15">
        <w:rPr>
          <w:rFonts w:eastAsia="Times New Roman"/>
          <w:noProof w:val="0"/>
          <w:color w:val="auto"/>
          <w:sz w:val="18"/>
          <w:szCs w:val="18"/>
        </w:rPr>
        <w:t xml:space="preserve"> </w:t>
      </w:r>
      <w:r w:rsidRPr="009F1C15">
        <w:rPr>
          <w:rFonts w:eastAsia="Times New Roman"/>
          <w:b/>
          <w:bCs/>
          <w:noProof w:val="0"/>
          <w:color w:val="auto"/>
          <w:sz w:val="18"/>
          <w:szCs w:val="18"/>
        </w:rPr>
        <w:t>1984</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310</w:t>
      </w:r>
      <w:r w:rsidRPr="009F1C15">
        <w:rPr>
          <w:rFonts w:eastAsia="Times New Roman"/>
          <w:bCs/>
          <w:noProof w:val="0"/>
          <w:color w:val="auto"/>
          <w:sz w:val="18"/>
          <w:szCs w:val="18"/>
        </w:rPr>
        <w:t>, 819–824</w:t>
      </w:r>
      <w:r w:rsidRPr="009F1C15">
        <w:rPr>
          <w:rFonts w:eastAsia="Times New Roman"/>
          <w:noProof w:val="0"/>
          <w:color w:val="auto"/>
          <w:sz w:val="18"/>
          <w:szCs w:val="18"/>
        </w:rPr>
        <w:t xml:space="preserve">. https://doi.org/10.1056/nejm198403293101304. </w:t>
      </w:r>
    </w:p>
    <w:p w14:paraId="46BA7FC8"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Curzen</w:t>
      </w:r>
      <w:proofErr w:type="spellEnd"/>
      <w:r w:rsidRPr="009F1C15">
        <w:rPr>
          <w:rFonts w:eastAsia="Times New Roman"/>
          <w:noProof w:val="0"/>
          <w:color w:val="auto"/>
          <w:sz w:val="18"/>
          <w:szCs w:val="24"/>
        </w:rPr>
        <w:t xml:space="preserve">, N.; Rana, O.; Nicholas, Z.; </w:t>
      </w:r>
      <w:proofErr w:type="spellStart"/>
      <w:r w:rsidRPr="009F1C15">
        <w:rPr>
          <w:rFonts w:eastAsia="Times New Roman"/>
          <w:noProof w:val="0"/>
          <w:color w:val="auto"/>
          <w:sz w:val="18"/>
          <w:szCs w:val="24"/>
        </w:rPr>
        <w:t>Golledge</w:t>
      </w:r>
      <w:proofErr w:type="spellEnd"/>
      <w:r w:rsidRPr="009F1C15">
        <w:rPr>
          <w:rFonts w:eastAsia="Times New Roman"/>
          <w:noProof w:val="0"/>
          <w:color w:val="auto"/>
          <w:sz w:val="18"/>
          <w:szCs w:val="24"/>
        </w:rPr>
        <w:t xml:space="preserve">, P.; Zaman, A.; </w:t>
      </w:r>
      <w:proofErr w:type="spellStart"/>
      <w:r w:rsidRPr="009F1C15">
        <w:rPr>
          <w:rFonts w:eastAsia="Times New Roman"/>
          <w:noProof w:val="0"/>
          <w:color w:val="auto"/>
          <w:sz w:val="18"/>
          <w:szCs w:val="24"/>
        </w:rPr>
        <w:t>Oldroyd</w:t>
      </w:r>
      <w:proofErr w:type="spellEnd"/>
      <w:r w:rsidRPr="009F1C15">
        <w:rPr>
          <w:rFonts w:eastAsia="Times New Roman"/>
          <w:noProof w:val="0"/>
          <w:color w:val="auto"/>
          <w:sz w:val="18"/>
          <w:szCs w:val="24"/>
        </w:rPr>
        <w:t xml:space="preserve">, K.; Hanratty, C.; Banning, A.; Wheatcroft, S.; Hobson, A.; et al. Does Routine Pressure Wire Assessment Influence Management Strategy at Coronary Angiography for Diagnosis of Chest Pain? </w:t>
      </w:r>
      <w:r w:rsidRPr="009F1C15">
        <w:rPr>
          <w:rFonts w:eastAsia="Times New Roman"/>
          <w:i/>
          <w:iCs/>
          <w:noProof w:val="0"/>
          <w:color w:val="auto"/>
          <w:sz w:val="18"/>
          <w:szCs w:val="24"/>
        </w:rPr>
        <w:t xml:space="preserve">Circ. Cardiovasc. </w:t>
      </w:r>
      <w:proofErr w:type="spellStart"/>
      <w:r w:rsidRPr="009F1C15">
        <w:rPr>
          <w:rFonts w:eastAsia="Times New Roman"/>
          <w:i/>
          <w:iCs/>
          <w:noProof w:val="0"/>
          <w:color w:val="auto"/>
          <w:sz w:val="18"/>
          <w:szCs w:val="24"/>
        </w:rPr>
        <w:t>Interv</w:t>
      </w:r>
      <w:proofErr w:type="spellEnd"/>
      <w:r w:rsidRPr="009F1C15">
        <w:rPr>
          <w:rFonts w:eastAsia="Times New Roman"/>
          <w:i/>
          <w:iCs/>
          <w:noProof w:val="0"/>
          <w:color w:val="auto"/>
          <w:sz w:val="18"/>
          <w:szCs w:val="24"/>
        </w:rPr>
        <w:t>.</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2014</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7</w:t>
      </w:r>
      <w:r w:rsidRPr="009F1C15">
        <w:rPr>
          <w:rFonts w:eastAsia="Times New Roman"/>
          <w:bCs/>
          <w:noProof w:val="0"/>
          <w:color w:val="auto"/>
          <w:sz w:val="18"/>
          <w:szCs w:val="24"/>
        </w:rPr>
        <w:t>, 248–255</w:t>
      </w:r>
      <w:r w:rsidRPr="009F1C15">
        <w:rPr>
          <w:rFonts w:eastAsia="Times New Roman"/>
          <w:noProof w:val="0"/>
          <w:color w:val="auto"/>
          <w:sz w:val="18"/>
          <w:szCs w:val="24"/>
        </w:rPr>
        <w:t>. https://doi.org/10.1161/circinterventions.113.000978.</w:t>
      </w:r>
    </w:p>
    <w:p w14:paraId="7BC4FD0F" w14:textId="1DC0FB3E"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Shaw, L.J.; Berman, D.S.; Maron, D.J.; Mancini, G.B.J.; Hayes, S.W.; Hartigan, P.M.; Weintraub, W.S.; O’Rourke, R.A.; Dada, M.; </w:t>
      </w:r>
      <w:proofErr w:type="spellStart"/>
      <w:r w:rsidRPr="009F1C15">
        <w:rPr>
          <w:rFonts w:eastAsia="Times New Roman"/>
          <w:noProof w:val="0"/>
          <w:color w:val="auto"/>
          <w:sz w:val="18"/>
          <w:szCs w:val="24"/>
        </w:rPr>
        <w:t>Spertus</w:t>
      </w:r>
      <w:proofErr w:type="spellEnd"/>
      <w:r w:rsidRPr="009F1C15">
        <w:rPr>
          <w:rFonts w:eastAsia="Times New Roman"/>
          <w:noProof w:val="0"/>
          <w:color w:val="auto"/>
          <w:sz w:val="18"/>
          <w:szCs w:val="24"/>
        </w:rPr>
        <w:t xml:space="preserve">, J.A.; et al. Optimal </w:t>
      </w:r>
      <w:r w:rsidRPr="009F1C15">
        <w:rPr>
          <w:rFonts w:eastAsia="Times New Roman"/>
          <w:noProof w:val="0"/>
          <w:color w:val="auto"/>
          <w:sz w:val="18"/>
          <w:szCs w:val="18"/>
        </w:rPr>
        <w:t xml:space="preserve">Medical Therapy </w:t>
      </w:r>
      <w:r w:rsidR="00860B73" w:rsidRPr="009F1C15">
        <w:rPr>
          <w:rFonts w:eastAsia="Times New Roman"/>
          <w:noProof w:val="0"/>
          <w:color w:val="auto"/>
          <w:sz w:val="18"/>
          <w:szCs w:val="18"/>
        </w:rPr>
        <w:t xml:space="preserve">with </w:t>
      </w:r>
      <w:r w:rsidRPr="009F1C15">
        <w:rPr>
          <w:rFonts w:eastAsia="Times New Roman"/>
          <w:noProof w:val="0"/>
          <w:color w:val="auto"/>
          <w:sz w:val="18"/>
          <w:szCs w:val="18"/>
        </w:rPr>
        <w:t>or Without Percutaneous Coronary Intervention to Reduce Ischemic Burden</w:t>
      </w:r>
      <w:r w:rsidRPr="009F1C15">
        <w:rPr>
          <w:rStyle w:val="text-del"/>
          <w:sz w:val="18"/>
          <w:szCs w:val="18"/>
        </w:rPr>
        <w:t>: Results from the Clinical Outcomes Utilizing Revascularization and Aggressive Drug Evaluation (COURAGE) trial nuclear substudy</w:t>
      </w:r>
      <w:r w:rsidRPr="009F1C15">
        <w:rPr>
          <w:sz w:val="18"/>
          <w:szCs w:val="18"/>
        </w:rPr>
        <w:t>.</w:t>
      </w:r>
      <w:r w:rsidRPr="009F1C15">
        <w:rPr>
          <w:rFonts w:eastAsia="Times New Roman"/>
          <w:noProof w:val="0"/>
          <w:color w:val="auto"/>
          <w:sz w:val="18"/>
          <w:szCs w:val="18"/>
        </w:rPr>
        <w:t xml:space="preserve"> </w:t>
      </w:r>
      <w:r w:rsidRPr="009F1C15">
        <w:rPr>
          <w:rFonts w:eastAsia="Times New Roman"/>
          <w:i/>
          <w:iCs/>
          <w:noProof w:val="0"/>
          <w:color w:val="auto"/>
          <w:sz w:val="18"/>
          <w:szCs w:val="18"/>
        </w:rPr>
        <w:t>Circulation</w:t>
      </w:r>
      <w:r w:rsidRPr="009F1C15">
        <w:rPr>
          <w:rFonts w:eastAsia="Times New Roman"/>
          <w:noProof w:val="0"/>
          <w:color w:val="auto"/>
          <w:sz w:val="18"/>
          <w:szCs w:val="18"/>
        </w:rPr>
        <w:t xml:space="preserve"> </w:t>
      </w:r>
      <w:r w:rsidRPr="009F1C15">
        <w:rPr>
          <w:rFonts w:eastAsia="Times New Roman"/>
          <w:b/>
          <w:bCs/>
          <w:noProof w:val="0"/>
          <w:color w:val="auto"/>
          <w:sz w:val="18"/>
          <w:szCs w:val="18"/>
        </w:rPr>
        <w:t>2008</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117</w:t>
      </w:r>
      <w:r w:rsidRPr="009F1C15">
        <w:rPr>
          <w:rFonts w:eastAsia="Times New Roman"/>
          <w:bCs/>
          <w:noProof w:val="0"/>
          <w:color w:val="auto"/>
          <w:sz w:val="18"/>
          <w:szCs w:val="18"/>
        </w:rPr>
        <w:t>,</w:t>
      </w:r>
      <w:r w:rsidRPr="009F1C15">
        <w:rPr>
          <w:rFonts w:eastAsia="Times New Roman"/>
          <w:bCs/>
          <w:noProof w:val="0"/>
          <w:color w:val="auto"/>
          <w:sz w:val="18"/>
          <w:szCs w:val="24"/>
        </w:rPr>
        <w:t xml:space="preserve"> 1283–1291</w:t>
      </w:r>
      <w:r w:rsidRPr="009F1C15">
        <w:rPr>
          <w:rFonts w:eastAsia="Times New Roman"/>
          <w:noProof w:val="0"/>
          <w:color w:val="auto"/>
          <w:sz w:val="18"/>
          <w:szCs w:val="24"/>
        </w:rPr>
        <w:t>. https://doi.org/10.1161/circulationaha.107.743963.</w:t>
      </w:r>
    </w:p>
    <w:p w14:paraId="4F2D2DBF"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Pijls</w:t>
      </w:r>
      <w:proofErr w:type="spellEnd"/>
      <w:r w:rsidRPr="009F1C15">
        <w:rPr>
          <w:rFonts w:eastAsia="Times New Roman"/>
          <w:noProof w:val="0"/>
          <w:color w:val="auto"/>
          <w:sz w:val="18"/>
          <w:szCs w:val="24"/>
        </w:rPr>
        <w:t xml:space="preserve">, N.H.; A van Son, J.; </w:t>
      </w:r>
      <w:proofErr w:type="spellStart"/>
      <w:r w:rsidRPr="009F1C15">
        <w:rPr>
          <w:rFonts w:eastAsia="Times New Roman"/>
          <w:noProof w:val="0"/>
          <w:color w:val="auto"/>
          <w:sz w:val="18"/>
          <w:szCs w:val="24"/>
        </w:rPr>
        <w:t>Kirkeeide</w:t>
      </w:r>
      <w:proofErr w:type="spellEnd"/>
      <w:r w:rsidRPr="009F1C15">
        <w:rPr>
          <w:rFonts w:eastAsia="Times New Roman"/>
          <w:noProof w:val="0"/>
          <w:color w:val="auto"/>
          <w:sz w:val="18"/>
          <w:szCs w:val="24"/>
        </w:rPr>
        <w:t xml:space="preserve">, R.L.; De Bruyne, B.; Gould, K.L. Experimental basis of determining maximum coronary, myocardial, and collateral blood flow by pressure measurements for assessing functional stenosis severity before and after percutaneous transluminal coronary angioplasty. </w:t>
      </w:r>
      <w:r w:rsidRPr="009F1C15">
        <w:rPr>
          <w:rFonts w:eastAsia="Times New Roman"/>
          <w:i/>
          <w:iCs/>
          <w:noProof w:val="0"/>
          <w:color w:val="auto"/>
          <w:sz w:val="18"/>
          <w:szCs w:val="24"/>
        </w:rPr>
        <w:t>Circulation</w:t>
      </w:r>
      <w:r w:rsidRPr="009F1C15">
        <w:rPr>
          <w:rFonts w:eastAsia="Times New Roman"/>
          <w:noProof w:val="0"/>
          <w:color w:val="auto"/>
          <w:sz w:val="18"/>
          <w:szCs w:val="24"/>
        </w:rPr>
        <w:t xml:space="preserve"> </w:t>
      </w:r>
      <w:r w:rsidRPr="009F1C15">
        <w:rPr>
          <w:rFonts w:eastAsia="Times New Roman"/>
          <w:b/>
          <w:bCs/>
          <w:noProof w:val="0"/>
          <w:color w:val="auto"/>
          <w:sz w:val="18"/>
          <w:szCs w:val="24"/>
        </w:rPr>
        <w:t>1993</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87</w:t>
      </w:r>
      <w:r w:rsidRPr="009F1C15">
        <w:rPr>
          <w:rFonts w:eastAsia="Times New Roman"/>
          <w:bCs/>
          <w:noProof w:val="0"/>
          <w:color w:val="auto"/>
          <w:sz w:val="18"/>
          <w:szCs w:val="24"/>
        </w:rPr>
        <w:t>, 1354–1367</w:t>
      </w:r>
      <w:r w:rsidRPr="009F1C15">
        <w:rPr>
          <w:rFonts w:eastAsia="Times New Roman"/>
          <w:noProof w:val="0"/>
          <w:color w:val="auto"/>
          <w:sz w:val="18"/>
          <w:szCs w:val="24"/>
        </w:rPr>
        <w:t>. https://doi.org/10.1161/01.cir.87.4.1354.</w:t>
      </w:r>
    </w:p>
    <w:p w14:paraId="1340D7A0" w14:textId="54ABE8F4"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18"/>
        </w:rPr>
      </w:pPr>
      <w:r w:rsidRPr="009F1C15">
        <w:rPr>
          <w:rFonts w:eastAsia="Times New Roman"/>
          <w:noProof w:val="0"/>
          <w:color w:val="auto"/>
          <w:sz w:val="18"/>
          <w:szCs w:val="24"/>
        </w:rPr>
        <w:t xml:space="preserve">Stone, G.W.; Maehara, A.; Lansky, A.J.; de Bruyne, B.; Cristea, E.; </w:t>
      </w:r>
      <w:proofErr w:type="spellStart"/>
      <w:r w:rsidRPr="009F1C15">
        <w:rPr>
          <w:rFonts w:eastAsia="Times New Roman"/>
          <w:noProof w:val="0"/>
          <w:color w:val="auto"/>
          <w:sz w:val="18"/>
          <w:szCs w:val="24"/>
        </w:rPr>
        <w:t>Mintz</w:t>
      </w:r>
      <w:proofErr w:type="spellEnd"/>
      <w:r w:rsidRPr="009F1C15">
        <w:rPr>
          <w:rFonts w:eastAsia="Times New Roman"/>
          <w:noProof w:val="0"/>
          <w:color w:val="auto"/>
          <w:sz w:val="18"/>
          <w:szCs w:val="24"/>
        </w:rPr>
        <w:t xml:space="preserve">, G.S.; Mehran, R.; McPherson, J.; Farhat, N.; </w:t>
      </w:r>
      <w:proofErr w:type="spellStart"/>
      <w:r w:rsidRPr="009F1C15">
        <w:rPr>
          <w:rFonts w:eastAsia="Times New Roman"/>
          <w:noProof w:val="0"/>
          <w:color w:val="auto"/>
          <w:sz w:val="18"/>
          <w:szCs w:val="24"/>
        </w:rPr>
        <w:t>Marso</w:t>
      </w:r>
      <w:proofErr w:type="spellEnd"/>
      <w:r w:rsidRPr="009F1C15">
        <w:rPr>
          <w:rFonts w:eastAsia="Times New Roman"/>
          <w:noProof w:val="0"/>
          <w:color w:val="auto"/>
          <w:sz w:val="18"/>
          <w:szCs w:val="24"/>
        </w:rPr>
        <w:t xml:space="preserve">, S.P.; et al. A Prospective Natural-History Study of </w:t>
      </w:r>
      <w:r w:rsidRPr="009F1C15">
        <w:rPr>
          <w:rFonts w:eastAsia="Times New Roman"/>
          <w:noProof w:val="0"/>
          <w:color w:val="auto"/>
          <w:sz w:val="18"/>
          <w:szCs w:val="18"/>
        </w:rPr>
        <w:t xml:space="preserve">Coronary Atherosclerosis. </w:t>
      </w:r>
      <w:r w:rsidRPr="009F1C15">
        <w:rPr>
          <w:rFonts w:eastAsia="Times New Roman"/>
          <w:i/>
          <w:iCs/>
          <w:noProof w:val="0"/>
          <w:color w:val="auto"/>
          <w:sz w:val="18"/>
          <w:szCs w:val="18"/>
        </w:rPr>
        <w:t>N. Engl. J. Med.</w:t>
      </w:r>
      <w:r w:rsidRPr="009F1C15">
        <w:rPr>
          <w:rFonts w:eastAsia="Times New Roman"/>
          <w:noProof w:val="0"/>
          <w:color w:val="auto"/>
          <w:sz w:val="18"/>
          <w:szCs w:val="18"/>
        </w:rPr>
        <w:t xml:space="preserve"> </w:t>
      </w:r>
      <w:r w:rsidRPr="009F1C15">
        <w:rPr>
          <w:rFonts w:eastAsia="Times New Roman"/>
          <w:b/>
          <w:bCs/>
          <w:noProof w:val="0"/>
          <w:color w:val="auto"/>
          <w:sz w:val="18"/>
          <w:szCs w:val="18"/>
        </w:rPr>
        <w:t>2011</w:t>
      </w:r>
      <w:r w:rsidRPr="009F1C15">
        <w:rPr>
          <w:rFonts w:eastAsia="Times New Roman"/>
          <w:bCs/>
          <w:noProof w:val="0"/>
          <w:color w:val="auto"/>
          <w:sz w:val="18"/>
          <w:szCs w:val="18"/>
        </w:rPr>
        <w:t xml:space="preserve">, </w:t>
      </w:r>
      <w:r w:rsidRPr="009F1C15">
        <w:rPr>
          <w:rFonts w:eastAsia="Times New Roman"/>
          <w:bCs/>
          <w:i/>
          <w:noProof w:val="0"/>
          <w:color w:val="auto"/>
          <w:sz w:val="18"/>
          <w:szCs w:val="18"/>
        </w:rPr>
        <w:t>364</w:t>
      </w:r>
      <w:r w:rsidRPr="009F1C15">
        <w:rPr>
          <w:rFonts w:eastAsia="Times New Roman"/>
          <w:bCs/>
          <w:noProof w:val="0"/>
          <w:color w:val="auto"/>
          <w:sz w:val="18"/>
          <w:szCs w:val="18"/>
        </w:rPr>
        <w:t>, 226–235</w:t>
      </w:r>
      <w:r w:rsidRPr="009F1C15">
        <w:rPr>
          <w:rFonts w:eastAsia="Times New Roman"/>
          <w:noProof w:val="0"/>
          <w:color w:val="auto"/>
          <w:sz w:val="18"/>
          <w:szCs w:val="18"/>
        </w:rPr>
        <w:t>. https://doi.org/10.1056/nejmoa1002358</w:t>
      </w:r>
      <w:r w:rsidRPr="009F1C15">
        <w:rPr>
          <w:rStyle w:val="text-del"/>
          <w:sz w:val="18"/>
          <w:szCs w:val="18"/>
        </w:rPr>
        <w:t>.</w:t>
      </w:r>
    </w:p>
    <w:p w14:paraId="399CC36E"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proofErr w:type="spellStart"/>
      <w:r w:rsidRPr="009F1C15">
        <w:rPr>
          <w:rFonts w:eastAsia="Times New Roman"/>
          <w:noProof w:val="0"/>
          <w:color w:val="auto"/>
          <w:sz w:val="18"/>
          <w:szCs w:val="24"/>
        </w:rPr>
        <w:t>Kedhi</w:t>
      </w:r>
      <w:proofErr w:type="spellEnd"/>
      <w:r w:rsidRPr="009F1C15">
        <w:rPr>
          <w:rFonts w:eastAsia="Times New Roman"/>
          <w:noProof w:val="0"/>
          <w:color w:val="auto"/>
          <w:sz w:val="18"/>
          <w:szCs w:val="24"/>
        </w:rPr>
        <w:t xml:space="preserve">, E.; Berta, B.; </w:t>
      </w:r>
      <w:proofErr w:type="spellStart"/>
      <w:r w:rsidRPr="009F1C15">
        <w:rPr>
          <w:rFonts w:eastAsia="Times New Roman"/>
          <w:noProof w:val="0"/>
          <w:color w:val="auto"/>
          <w:sz w:val="18"/>
          <w:szCs w:val="24"/>
        </w:rPr>
        <w:t>Roleder</w:t>
      </w:r>
      <w:proofErr w:type="spellEnd"/>
      <w:r w:rsidRPr="009F1C15">
        <w:rPr>
          <w:rFonts w:eastAsia="Times New Roman"/>
          <w:noProof w:val="0"/>
          <w:color w:val="auto"/>
          <w:sz w:val="18"/>
          <w:szCs w:val="24"/>
        </w:rPr>
        <w:t xml:space="preserve">, T.; </w:t>
      </w:r>
      <w:proofErr w:type="spellStart"/>
      <w:r w:rsidRPr="009F1C15">
        <w:rPr>
          <w:rFonts w:eastAsia="Times New Roman"/>
          <w:noProof w:val="0"/>
          <w:color w:val="auto"/>
          <w:sz w:val="18"/>
          <w:szCs w:val="24"/>
        </w:rPr>
        <w:t>Hermanides</w:t>
      </w:r>
      <w:proofErr w:type="spellEnd"/>
      <w:r w:rsidRPr="009F1C15">
        <w:rPr>
          <w:rFonts w:eastAsia="Times New Roman"/>
          <w:noProof w:val="0"/>
          <w:color w:val="auto"/>
          <w:sz w:val="18"/>
          <w:szCs w:val="24"/>
        </w:rPr>
        <w:t xml:space="preserve">, R.S.; </w:t>
      </w:r>
      <w:proofErr w:type="spellStart"/>
      <w:r w:rsidRPr="009F1C15">
        <w:rPr>
          <w:rFonts w:eastAsia="Times New Roman"/>
          <w:noProof w:val="0"/>
          <w:color w:val="auto"/>
          <w:sz w:val="18"/>
          <w:szCs w:val="24"/>
        </w:rPr>
        <w:t>Fabris</w:t>
      </w:r>
      <w:proofErr w:type="spellEnd"/>
      <w:r w:rsidRPr="009F1C15">
        <w:rPr>
          <w:rFonts w:eastAsia="Times New Roman"/>
          <w:noProof w:val="0"/>
          <w:color w:val="auto"/>
          <w:sz w:val="18"/>
          <w:szCs w:val="24"/>
        </w:rPr>
        <w:t xml:space="preserve">, E.; </w:t>
      </w:r>
      <w:proofErr w:type="spellStart"/>
      <w:r w:rsidRPr="009F1C15">
        <w:rPr>
          <w:rFonts w:eastAsia="Times New Roman"/>
          <w:noProof w:val="0"/>
          <w:color w:val="auto"/>
          <w:sz w:val="18"/>
          <w:szCs w:val="24"/>
        </w:rPr>
        <w:t>Ijsselmuiden</w:t>
      </w:r>
      <w:proofErr w:type="spellEnd"/>
      <w:r w:rsidRPr="009F1C15">
        <w:rPr>
          <w:rFonts w:eastAsia="Times New Roman"/>
          <w:noProof w:val="0"/>
          <w:color w:val="auto"/>
          <w:sz w:val="18"/>
          <w:szCs w:val="24"/>
        </w:rPr>
        <w:t xml:space="preserve">, A.J.J.; </w:t>
      </w:r>
      <w:proofErr w:type="spellStart"/>
      <w:r w:rsidRPr="009F1C15">
        <w:rPr>
          <w:rFonts w:eastAsia="Times New Roman"/>
          <w:noProof w:val="0"/>
          <w:color w:val="auto"/>
          <w:sz w:val="18"/>
          <w:szCs w:val="24"/>
        </w:rPr>
        <w:t>Kauer</w:t>
      </w:r>
      <w:proofErr w:type="spellEnd"/>
      <w:r w:rsidRPr="009F1C15">
        <w:rPr>
          <w:rFonts w:eastAsia="Times New Roman"/>
          <w:noProof w:val="0"/>
          <w:color w:val="auto"/>
          <w:sz w:val="18"/>
          <w:szCs w:val="24"/>
        </w:rPr>
        <w:t xml:space="preserve">, F.; Alfonso, F.; von </w:t>
      </w:r>
      <w:proofErr w:type="spellStart"/>
      <w:r w:rsidRPr="009F1C15">
        <w:rPr>
          <w:rFonts w:eastAsia="Times New Roman"/>
          <w:noProof w:val="0"/>
          <w:color w:val="auto"/>
          <w:sz w:val="18"/>
          <w:szCs w:val="24"/>
        </w:rPr>
        <w:t>Birgelen</w:t>
      </w:r>
      <w:proofErr w:type="spellEnd"/>
      <w:r w:rsidRPr="009F1C15">
        <w:rPr>
          <w:rFonts w:eastAsia="Times New Roman"/>
          <w:noProof w:val="0"/>
          <w:color w:val="auto"/>
          <w:sz w:val="18"/>
          <w:szCs w:val="24"/>
        </w:rPr>
        <w:t xml:space="preserve">, C.; </w:t>
      </w:r>
      <w:proofErr w:type="spellStart"/>
      <w:r w:rsidRPr="009F1C15">
        <w:rPr>
          <w:rFonts w:eastAsia="Times New Roman"/>
          <w:noProof w:val="0"/>
          <w:color w:val="auto"/>
          <w:sz w:val="18"/>
          <w:szCs w:val="24"/>
        </w:rPr>
        <w:t>Escaned</w:t>
      </w:r>
      <w:proofErr w:type="spellEnd"/>
      <w:r w:rsidRPr="009F1C15">
        <w:rPr>
          <w:rFonts w:eastAsia="Times New Roman"/>
          <w:noProof w:val="0"/>
          <w:color w:val="auto"/>
          <w:sz w:val="18"/>
          <w:szCs w:val="24"/>
        </w:rPr>
        <w:t xml:space="preserve">, J.; et al. Thin-cap fibroatheroma predicts clinical events in diabetic patients with normal fractional flow reserve: The COMBINE OCT–FFR trial. </w:t>
      </w:r>
      <w:r w:rsidRPr="009F1C15">
        <w:rPr>
          <w:rFonts w:eastAsia="Times New Roman"/>
          <w:i/>
          <w:iCs/>
          <w:noProof w:val="0"/>
          <w:color w:val="auto"/>
          <w:sz w:val="18"/>
          <w:szCs w:val="24"/>
        </w:rPr>
        <w:t>Eur. Heart J.</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2021</w:t>
      </w:r>
      <w:r w:rsidRPr="009F1C15">
        <w:rPr>
          <w:rFonts w:eastAsia="Times New Roman"/>
          <w:bCs/>
          <w:noProof w:val="0"/>
          <w:color w:val="auto"/>
          <w:sz w:val="18"/>
          <w:szCs w:val="24"/>
        </w:rPr>
        <w:t xml:space="preserve">, </w:t>
      </w:r>
      <w:r w:rsidRPr="009F1C15">
        <w:rPr>
          <w:rFonts w:eastAsia="Times New Roman"/>
          <w:bCs/>
          <w:i/>
          <w:noProof w:val="0"/>
          <w:color w:val="auto"/>
          <w:sz w:val="18"/>
          <w:szCs w:val="24"/>
        </w:rPr>
        <w:t>42</w:t>
      </w:r>
      <w:r w:rsidRPr="009F1C15">
        <w:rPr>
          <w:rFonts w:eastAsia="Times New Roman"/>
          <w:bCs/>
          <w:noProof w:val="0"/>
          <w:color w:val="auto"/>
          <w:sz w:val="18"/>
          <w:szCs w:val="24"/>
        </w:rPr>
        <w:t>, 4671–4679</w:t>
      </w:r>
      <w:r w:rsidRPr="009F1C15">
        <w:rPr>
          <w:rFonts w:eastAsia="Times New Roman"/>
          <w:noProof w:val="0"/>
          <w:color w:val="auto"/>
          <w:sz w:val="18"/>
          <w:szCs w:val="24"/>
        </w:rPr>
        <w:t>. https://doi.org/10.1093/eurheartj/ehab433.</w:t>
      </w:r>
    </w:p>
    <w:p w14:paraId="4E02368A" w14:textId="77777777" w:rsidR="00FF453C" w:rsidRPr="009F1C15" w:rsidRDefault="00FF453C" w:rsidP="00FF453C">
      <w:pPr>
        <w:pStyle w:val="ListParagraph"/>
        <w:numPr>
          <w:ilvl w:val="0"/>
          <w:numId w:val="25"/>
        </w:numPr>
        <w:adjustRightInd w:val="0"/>
        <w:snapToGrid w:val="0"/>
        <w:spacing w:line="228" w:lineRule="auto"/>
        <w:ind w:left="425" w:hanging="425"/>
        <w:rPr>
          <w:rFonts w:eastAsia="Times New Roman"/>
          <w:noProof w:val="0"/>
          <w:color w:val="auto"/>
          <w:sz w:val="18"/>
          <w:szCs w:val="24"/>
        </w:rPr>
      </w:pPr>
      <w:r w:rsidRPr="009F1C15">
        <w:rPr>
          <w:rFonts w:eastAsia="Times New Roman"/>
          <w:noProof w:val="0"/>
          <w:color w:val="auto"/>
          <w:sz w:val="18"/>
          <w:szCs w:val="24"/>
        </w:rPr>
        <w:t xml:space="preserve">Smith, C.T.; </w:t>
      </w:r>
      <w:proofErr w:type="spellStart"/>
      <w:r w:rsidRPr="009F1C15">
        <w:rPr>
          <w:rFonts w:eastAsia="Times New Roman"/>
          <w:noProof w:val="0"/>
          <w:color w:val="auto"/>
          <w:sz w:val="18"/>
          <w:szCs w:val="24"/>
        </w:rPr>
        <w:t>Marcucci</w:t>
      </w:r>
      <w:proofErr w:type="spellEnd"/>
      <w:r w:rsidRPr="009F1C15">
        <w:rPr>
          <w:rFonts w:eastAsia="Times New Roman"/>
          <w:noProof w:val="0"/>
          <w:color w:val="auto"/>
          <w:sz w:val="18"/>
          <w:szCs w:val="24"/>
        </w:rPr>
        <w:t xml:space="preserve">, M.; Nolan, S.J.; </w:t>
      </w:r>
      <w:proofErr w:type="spellStart"/>
      <w:r w:rsidRPr="009F1C15">
        <w:rPr>
          <w:rFonts w:eastAsia="Times New Roman"/>
          <w:noProof w:val="0"/>
          <w:color w:val="auto"/>
          <w:sz w:val="18"/>
          <w:szCs w:val="24"/>
        </w:rPr>
        <w:t>Iorio</w:t>
      </w:r>
      <w:proofErr w:type="spellEnd"/>
      <w:r w:rsidRPr="009F1C15">
        <w:rPr>
          <w:rFonts w:eastAsia="Times New Roman"/>
          <w:noProof w:val="0"/>
          <w:color w:val="auto"/>
          <w:sz w:val="18"/>
          <w:szCs w:val="24"/>
        </w:rPr>
        <w:t xml:space="preserve">, A.; </w:t>
      </w:r>
      <w:proofErr w:type="spellStart"/>
      <w:r w:rsidRPr="009F1C15">
        <w:rPr>
          <w:rFonts w:eastAsia="Times New Roman"/>
          <w:noProof w:val="0"/>
          <w:color w:val="auto"/>
          <w:sz w:val="18"/>
          <w:szCs w:val="24"/>
        </w:rPr>
        <w:t>Sudell</w:t>
      </w:r>
      <w:proofErr w:type="spellEnd"/>
      <w:r w:rsidRPr="009F1C15">
        <w:rPr>
          <w:rFonts w:eastAsia="Times New Roman"/>
          <w:noProof w:val="0"/>
          <w:color w:val="auto"/>
          <w:sz w:val="18"/>
          <w:szCs w:val="24"/>
        </w:rPr>
        <w:t xml:space="preserve">, M.; Riley, R.; Rovers, M.M.; Williamson, P.R. Individual participant data meta-analyses compared with meta-analyses based on aggregate data. </w:t>
      </w:r>
      <w:r w:rsidRPr="009F1C15">
        <w:rPr>
          <w:rFonts w:eastAsia="Times New Roman"/>
          <w:i/>
          <w:iCs/>
          <w:noProof w:val="0"/>
          <w:color w:val="auto"/>
          <w:sz w:val="18"/>
          <w:szCs w:val="24"/>
        </w:rPr>
        <w:t>Cochrane Database Syst. Rev.</w:t>
      </w:r>
      <w:r w:rsidRPr="009F1C15">
        <w:rPr>
          <w:rFonts w:eastAsia="Times New Roman"/>
          <w:noProof w:val="0"/>
          <w:color w:val="auto"/>
          <w:sz w:val="18"/>
          <w:szCs w:val="24"/>
        </w:rPr>
        <w:t xml:space="preserve"> </w:t>
      </w:r>
      <w:r w:rsidRPr="009F1C15">
        <w:rPr>
          <w:rFonts w:eastAsia="Times New Roman"/>
          <w:b/>
          <w:bCs/>
          <w:noProof w:val="0"/>
          <w:color w:val="auto"/>
          <w:sz w:val="18"/>
          <w:szCs w:val="24"/>
        </w:rPr>
        <w:t>2016</w:t>
      </w:r>
      <w:r w:rsidRPr="009F1C15">
        <w:rPr>
          <w:rFonts w:eastAsia="Times New Roman"/>
          <w:noProof w:val="0"/>
          <w:color w:val="auto"/>
          <w:sz w:val="18"/>
          <w:szCs w:val="24"/>
        </w:rPr>
        <w:t xml:space="preserve">, </w:t>
      </w:r>
      <w:r w:rsidRPr="009F1C15">
        <w:rPr>
          <w:rFonts w:eastAsia="Times New Roman"/>
          <w:i/>
          <w:iCs/>
          <w:noProof w:val="0"/>
          <w:color w:val="auto"/>
          <w:sz w:val="18"/>
          <w:szCs w:val="24"/>
        </w:rPr>
        <w:t>2016</w:t>
      </w:r>
      <w:r w:rsidRPr="009F1C15">
        <w:rPr>
          <w:rFonts w:eastAsia="Times New Roman"/>
          <w:noProof w:val="0"/>
          <w:color w:val="auto"/>
          <w:sz w:val="18"/>
          <w:szCs w:val="24"/>
        </w:rPr>
        <w:t>, MR000007. https://doi.org/10.1002/14651858.mr000007.pub3.</w:t>
      </w:r>
    </w:p>
    <w:p w14:paraId="5DBF944B" w14:textId="1EEF2FA2" w:rsidR="00593259" w:rsidRPr="00EC2DA9" w:rsidRDefault="00593259" w:rsidP="00860B73">
      <w:pPr>
        <w:pStyle w:val="MDPI71References"/>
        <w:numPr>
          <w:ilvl w:val="0"/>
          <w:numId w:val="0"/>
        </w:numPr>
        <w:ind w:left="425"/>
        <w:rPr>
          <w:noProof/>
        </w:rPr>
      </w:pPr>
    </w:p>
    <w:sectPr w:rsidR="00593259" w:rsidRPr="00EC2DA9" w:rsidSect="00C30505">
      <w:pgSz w:w="11906" w:h="16838" w:code="9"/>
      <w:pgMar w:top="1418" w:right="720" w:bottom="1077" w:left="720" w:header="1021" w:footer="340" w:gutter="0"/>
      <w:cols w:space="425"/>
      <w:bidi/>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EE23B" w14:textId="77777777" w:rsidR="00BB34F3" w:rsidRDefault="00BB34F3">
      <w:pPr>
        <w:spacing w:line="240" w:lineRule="auto"/>
      </w:pPr>
      <w:r>
        <w:separator/>
      </w:r>
    </w:p>
  </w:endnote>
  <w:endnote w:type="continuationSeparator" w:id="0">
    <w:p w14:paraId="56991BBD" w14:textId="77777777" w:rsidR="00BB34F3" w:rsidRDefault="00BB3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5ADF" w14:textId="77777777" w:rsidR="000A5C77" w:rsidRPr="00032917" w:rsidRDefault="000A5C77"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7CA4" w14:textId="77777777" w:rsidR="000A5C77" w:rsidRDefault="000A5C77" w:rsidP="00065CFE">
    <w:pPr>
      <w:pStyle w:val="MDPIfooterfirstpage"/>
      <w:pBdr>
        <w:top w:val="single" w:sz="4" w:space="0" w:color="000000"/>
      </w:pBdr>
      <w:adjustRightInd w:val="0"/>
      <w:snapToGrid w:val="0"/>
      <w:spacing w:before="480" w:line="100" w:lineRule="exact"/>
      <w:rPr>
        <w:i/>
        <w:szCs w:val="16"/>
      </w:rPr>
    </w:pPr>
  </w:p>
  <w:p w14:paraId="303E984A" w14:textId="3D31F523" w:rsidR="000A5C77" w:rsidRPr="008B308E" w:rsidRDefault="000A5C77" w:rsidP="00770821">
    <w:pPr>
      <w:pStyle w:val="MDPIfooterfirstpage"/>
      <w:tabs>
        <w:tab w:val="clear" w:pos="8845"/>
        <w:tab w:val="right" w:pos="10466"/>
      </w:tabs>
      <w:spacing w:line="240" w:lineRule="auto"/>
      <w:jc w:val="both"/>
      <w:rPr>
        <w:lang w:val="fr-CH"/>
      </w:rPr>
    </w:pPr>
    <w:r w:rsidRPr="00BB0268">
      <w:rPr>
        <w:i/>
        <w:szCs w:val="16"/>
      </w:rPr>
      <w:t>J. Clin. Med.</w:t>
    </w:r>
    <w:r w:rsidRPr="00BB0268">
      <w:rPr>
        <w:szCs w:val="16"/>
      </w:rPr>
      <w:t xml:space="preserve"> </w:t>
    </w:r>
    <w:r w:rsidRPr="00E9417E">
      <w:rPr>
        <w:b/>
        <w:szCs w:val="16"/>
      </w:rPr>
      <w:t>202</w:t>
    </w:r>
    <w:r>
      <w:rPr>
        <w:b/>
        <w:szCs w:val="16"/>
      </w:rPr>
      <w:t>2</w:t>
    </w:r>
    <w:r w:rsidRPr="00853B85">
      <w:rPr>
        <w:szCs w:val="16"/>
      </w:rPr>
      <w:t xml:space="preserve">, </w:t>
    </w:r>
    <w:r w:rsidRPr="00E9417E">
      <w:rPr>
        <w:i/>
        <w:szCs w:val="16"/>
      </w:rPr>
      <w:t>10</w:t>
    </w:r>
    <w:r w:rsidRPr="00853B85">
      <w:rPr>
        <w:szCs w:val="16"/>
      </w:rPr>
      <w:t xml:space="preserve">, </w:t>
    </w:r>
    <w:r>
      <w:rPr>
        <w:szCs w:val="16"/>
      </w:rPr>
      <w:t>x. https://doi.org/10.3390/xxxxx</w:t>
    </w:r>
    <w:r w:rsidRPr="008B308E">
      <w:rPr>
        <w:lang w:val="fr-CH"/>
      </w:rPr>
      <w:tab/>
      <w:t>www.mdpi.com/journal/</w:t>
    </w:r>
    <w:proofErr w:type="spellStart"/>
    <w:r>
      <w:t>jcm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DD768" w14:textId="77777777" w:rsidR="00BB34F3" w:rsidRDefault="00BB34F3">
      <w:pPr>
        <w:spacing w:line="240" w:lineRule="auto"/>
      </w:pPr>
      <w:r>
        <w:separator/>
      </w:r>
    </w:p>
  </w:footnote>
  <w:footnote w:type="continuationSeparator" w:id="0">
    <w:p w14:paraId="42CF65E6" w14:textId="77777777" w:rsidR="00BB34F3" w:rsidRDefault="00BB3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FB3D" w14:textId="77777777" w:rsidR="000A5C77" w:rsidRDefault="000A5C77"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5219" w14:textId="7D2F56B4" w:rsidR="000A5C77" w:rsidRDefault="000A5C77" w:rsidP="00770821">
    <w:pPr>
      <w:tabs>
        <w:tab w:val="right" w:pos="10466"/>
      </w:tabs>
      <w:adjustRightInd w:val="0"/>
      <w:snapToGrid w:val="0"/>
      <w:spacing w:line="240" w:lineRule="auto"/>
      <w:rPr>
        <w:sz w:val="16"/>
      </w:rPr>
    </w:pPr>
    <w:r>
      <w:rPr>
        <w:i/>
        <w:sz w:val="16"/>
      </w:rPr>
      <w:t xml:space="preserve">J. Clin. Med. </w:t>
    </w:r>
    <w:r w:rsidRPr="00085770">
      <w:rPr>
        <w:b/>
        <w:sz w:val="16"/>
      </w:rPr>
      <w:t>202</w:t>
    </w:r>
    <w:r>
      <w:rPr>
        <w:b/>
        <w:sz w:val="16"/>
      </w:rPr>
      <w:t>2</w:t>
    </w:r>
    <w:r w:rsidRPr="00853B85">
      <w:rPr>
        <w:sz w:val="16"/>
      </w:rPr>
      <w:t xml:space="preserve">, </w:t>
    </w:r>
    <w:r w:rsidRPr="00085770">
      <w:rPr>
        <w:i/>
        <w:sz w:val="16"/>
      </w:rPr>
      <w:t>10</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160D791A" w14:textId="77777777" w:rsidR="000A5C77" w:rsidRPr="007A5CE1" w:rsidRDefault="000A5C77" w:rsidP="00065C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0A5C77" w:rsidRPr="00770821" w14:paraId="3CE1CFA2" w14:textId="77777777" w:rsidTr="00770821">
      <w:trPr>
        <w:trHeight w:val="686"/>
      </w:trPr>
      <w:tc>
        <w:tcPr>
          <w:tcW w:w="3679" w:type="dxa"/>
          <w:shd w:val="clear" w:color="auto" w:fill="auto"/>
          <w:vAlign w:val="center"/>
        </w:tcPr>
        <w:p w14:paraId="2EC84BCF" w14:textId="4ABB3417" w:rsidR="000A5C77" w:rsidRPr="00904B95" w:rsidRDefault="000A5C77" w:rsidP="00770821">
          <w:pPr>
            <w:pStyle w:val="Header"/>
            <w:pBdr>
              <w:bottom w:val="none" w:sz="0" w:space="0" w:color="auto"/>
            </w:pBdr>
            <w:jc w:val="left"/>
            <w:rPr>
              <w:rFonts w:eastAsia="DengXian"/>
              <w:b/>
              <w:bCs/>
            </w:rPr>
          </w:pPr>
        </w:p>
      </w:tc>
      <w:tc>
        <w:tcPr>
          <w:tcW w:w="4535" w:type="dxa"/>
          <w:shd w:val="clear" w:color="auto" w:fill="auto"/>
          <w:vAlign w:val="center"/>
        </w:tcPr>
        <w:p w14:paraId="5511205D" w14:textId="77777777" w:rsidR="000A5C77" w:rsidRPr="00904B95" w:rsidRDefault="000A5C77" w:rsidP="00770821">
          <w:pPr>
            <w:pStyle w:val="Header"/>
            <w:pBdr>
              <w:bottom w:val="none" w:sz="0" w:space="0" w:color="auto"/>
            </w:pBdr>
            <w:rPr>
              <w:rFonts w:eastAsia="DengXian"/>
              <w:b/>
              <w:bCs/>
            </w:rPr>
          </w:pPr>
        </w:p>
      </w:tc>
      <w:tc>
        <w:tcPr>
          <w:tcW w:w="2273" w:type="dxa"/>
          <w:shd w:val="clear" w:color="auto" w:fill="auto"/>
          <w:vAlign w:val="center"/>
        </w:tcPr>
        <w:p w14:paraId="0D136A4D" w14:textId="0ACA3B5D" w:rsidR="000A5C77" w:rsidRPr="00904B95" w:rsidRDefault="000A5C77" w:rsidP="00770821">
          <w:pPr>
            <w:pStyle w:val="Header"/>
            <w:pBdr>
              <w:bottom w:val="none" w:sz="0" w:space="0" w:color="auto"/>
            </w:pBdr>
            <w:jc w:val="right"/>
            <w:rPr>
              <w:rFonts w:eastAsia="DengXian"/>
              <w:b/>
              <w:bCs/>
            </w:rPr>
          </w:pPr>
        </w:p>
      </w:tc>
    </w:tr>
  </w:tbl>
  <w:p w14:paraId="3DE75484" w14:textId="77777777" w:rsidR="000A5C77" w:rsidRPr="003A2C19" w:rsidRDefault="000A5C77" w:rsidP="00065C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A47CF"/>
    <w:multiLevelType w:val="hybridMultilevel"/>
    <w:tmpl w:val="3FAE7EC6"/>
    <w:lvl w:ilvl="0" w:tplc="DC6A5F0C">
      <w:start w:val="1"/>
      <w:numFmt w:val="bullet"/>
      <w:lvlText w:val="•"/>
      <w:lvlJc w:val="left"/>
      <w:pPr>
        <w:tabs>
          <w:tab w:val="num" w:pos="720"/>
        </w:tabs>
        <w:ind w:left="720" w:hanging="360"/>
      </w:pPr>
      <w:rPr>
        <w:rFonts w:ascii="Arial" w:hAnsi="Arial" w:hint="default"/>
      </w:rPr>
    </w:lvl>
    <w:lvl w:ilvl="1" w:tplc="AE1A9A90" w:tentative="1">
      <w:start w:val="1"/>
      <w:numFmt w:val="bullet"/>
      <w:lvlText w:val="•"/>
      <w:lvlJc w:val="left"/>
      <w:pPr>
        <w:tabs>
          <w:tab w:val="num" w:pos="1440"/>
        </w:tabs>
        <w:ind w:left="1440" w:hanging="360"/>
      </w:pPr>
      <w:rPr>
        <w:rFonts w:ascii="Arial" w:hAnsi="Arial" w:hint="default"/>
      </w:rPr>
    </w:lvl>
    <w:lvl w:ilvl="2" w:tplc="FD0E8EFC" w:tentative="1">
      <w:start w:val="1"/>
      <w:numFmt w:val="bullet"/>
      <w:lvlText w:val="•"/>
      <w:lvlJc w:val="left"/>
      <w:pPr>
        <w:tabs>
          <w:tab w:val="num" w:pos="2160"/>
        </w:tabs>
        <w:ind w:left="2160" w:hanging="360"/>
      </w:pPr>
      <w:rPr>
        <w:rFonts w:ascii="Arial" w:hAnsi="Arial" w:hint="default"/>
      </w:rPr>
    </w:lvl>
    <w:lvl w:ilvl="3" w:tplc="DE48EC22" w:tentative="1">
      <w:start w:val="1"/>
      <w:numFmt w:val="bullet"/>
      <w:lvlText w:val="•"/>
      <w:lvlJc w:val="left"/>
      <w:pPr>
        <w:tabs>
          <w:tab w:val="num" w:pos="2880"/>
        </w:tabs>
        <w:ind w:left="2880" w:hanging="360"/>
      </w:pPr>
      <w:rPr>
        <w:rFonts w:ascii="Arial" w:hAnsi="Arial" w:hint="default"/>
      </w:rPr>
    </w:lvl>
    <w:lvl w:ilvl="4" w:tplc="9C107A9A" w:tentative="1">
      <w:start w:val="1"/>
      <w:numFmt w:val="bullet"/>
      <w:lvlText w:val="•"/>
      <w:lvlJc w:val="left"/>
      <w:pPr>
        <w:tabs>
          <w:tab w:val="num" w:pos="3600"/>
        </w:tabs>
        <w:ind w:left="3600" w:hanging="360"/>
      </w:pPr>
      <w:rPr>
        <w:rFonts w:ascii="Arial" w:hAnsi="Arial" w:hint="default"/>
      </w:rPr>
    </w:lvl>
    <w:lvl w:ilvl="5" w:tplc="DEF2ADF4" w:tentative="1">
      <w:start w:val="1"/>
      <w:numFmt w:val="bullet"/>
      <w:lvlText w:val="•"/>
      <w:lvlJc w:val="left"/>
      <w:pPr>
        <w:tabs>
          <w:tab w:val="num" w:pos="4320"/>
        </w:tabs>
        <w:ind w:left="4320" w:hanging="360"/>
      </w:pPr>
      <w:rPr>
        <w:rFonts w:ascii="Arial" w:hAnsi="Arial" w:hint="default"/>
      </w:rPr>
    </w:lvl>
    <w:lvl w:ilvl="6" w:tplc="0714CC4E" w:tentative="1">
      <w:start w:val="1"/>
      <w:numFmt w:val="bullet"/>
      <w:lvlText w:val="•"/>
      <w:lvlJc w:val="left"/>
      <w:pPr>
        <w:tabs>
          <w:tab w:val="num" w:pos="5040"/>
        </w:tabs>
        <w:ind w:left="5040" w:hanging="360"/>
      </w:pPr>
      <w:rPr>
        <w:rFonts w:ascii="Arial" w:hAnsi="Arial" w:hint="default"/>
      </w:rPr>
    </w:lvl>
    <w:lvl w:ilvl="7" w:tplc="43F8EC56" w:tentative="1">
      <w:start w:val="1"/>
      <w:numFmt w:val="bullet"/>
      <w:lvlText w:val="•"/>
      <w:lvlJc w:val="left"/>
      <w:pPr>
        <w:tabs>
          <w:tab w:val="num" w:pos="5760"/>
        </w:tabs>
        <w:ind w:left="5760" w:hanging="360"/>
      </w:pPr>
      <w:rPr>
        <w:rFonts w:ascii="Arial" w:hAnsi="Arial" w:hint="default"/>
      </w:rPr>
    </w:lvl>
    <w:lvl w:ilvl="8" w:tplc="5D062F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B468F5"/>
    <w:multiLevelType w:val="hybridMultilevel"/>
    <w:tmpl w:val="86F27C30"/>
    <w:lvl w:ilvl="0" w:tplc="EDCAF1E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0AB672F"/>
    <w:multiLevelType w:val="hybridMultilevel"/>
    <w:tmpl w:val="B1488F3A"/>
    <w:lvl w:ilvl="0" w:tplc="4B6038C6">
      <w:start w:val="1"/>
      <w:numFmt w:val="decimal"/>
      <w:lvlText w:val="%1."/>
      <w:lvlJc w:val="left"/>
      <w:pPr>
        <w:ind w:left="720" w:hanging="360"/>
      </w:pPr>
      <w:rPr>
        <w:b w:val="0"/>
        <w:i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51D09EE"/>
    <w:multiLevelType w:val="hybridMultilevel"/>
    <w:tmpl w:val="20C0BB12"/>
    <w:lvl w:ilvl="0" w:tplc="2976FF46">
      <w:start w:val="1"/>
      <w:numFmt w:val="bullet"/>
      <w:lvlText w:val="•"/>
      <w:lvlJc w:val="left"/>
      <w:pPr>
        <w:tabs>
          <w:tab w:val="num" w:pos="720"/>
        </w:tabs>
        <w:ind w:left="720" w:hanging="360"/>
      </w:pPr>
      <w:rPr>
        <w:rFonts w:ascii="Arial" w:hAnsi="Arial" w:hint="default"/>
      </w:rPr>
    </w:lvl>
    <w:lvl w:ilvl="1" w:tplc="D828F7DE" w:tentative="1">
      <w:start w:val="1"/>
      <w:numFmt w:val="bullet"/>
      <w:lvlText w:val="•"/>
      <w:lvlJc w:val="left"/>
      <w:pPr>
        <w:tabs>
          <w:tab w:val="num" w:pos="1440"/>
        </w:tabs>
        <w:ind w:left="1440" w:hanging="360"/>
      </w:pPr>
      <w:rPr>
        <w:rFonts w:ascii="Arial" w:hAnsi="Arial" w:hint="default"/>
      </w:rPr>
    </w:lvl>
    <w:lvl w:ilvl="2" w:tplc="AF0A9944" w:tentative="1">
      <w:start w:val="1"/>
      <w:numFmt w:val="bullet"/>
      <w:lvlText w:val="•"/>
      <w:lvlJc w:val="left"/>
      <w:pPr>
        <w:tabs>
          <w:tab w:val="num" w:pos="2160"/>
        </w:tabs>
        <w:ind w:left="2160" w:hanging="360"/>
      </w:pPr>
      <w:rPr>
        <w:rFonts w:ascii="Arial" w:hAnsi="Arial" w:hint="default"/>
      </w:rPr>
    </w:lvl>
    <w:lvl w:ilvl="3" w:tplc="335EEA82" w:tentative="1">
      <w:start w:val="1"/>
      <w:numFmt w:val="bullet"/>
      <w:lvlText w:val="•"/>
      <w:lvlJc w:val="left"/>
      <w:pPr>
        <w:tabs>
          <w:tab w:val="num" w:pos="2880"/>
        </w:tabs>
        <w:ind w:left="2880" w:hanging="360"/>
      </w:pPr>
      <w:rPr>
        <w:rFonts w:ascii="Arial" w:hAnsi="Arial" w:hint="default"/>
      </w:rPr>
    </w:lvl>
    <w:lvl w:ilvl="4" w:tplc="FB1E7A58" w:tentative="1">
      <w:start w:val="1"/>
      <w:numFmt w:val="bullet"/>
      <w:lvlText w:val="•"/>
      <w:lvlJc w:val="left"/>
      <w:pPr>
        <w:tabs>
          <w:tab w:val="num" w:pos="3600"/>
        </w:tabs>
        <w:ind w:left="3600" w:hanging="360"/>
      </w:pPr>
      <w:rPr>
        <w:rFonts w:ascii="Arial" w:hAnsi="Arial" w:hint="default"/>
      </w:rPr>
    </w:lvl>
    <w:lvl w:ilvl="5" w:tplc="FFC61A56" w:tentative="1">
      <w:start w:val="1"/>
      <w:numFmt w:val="bullet"/>
      <w:lvlText w:val="•"/>
      <w:lvlJc w:val="left"/>
      <w:pPr>
        <w:tabs>
          <w:tab w:val="num" w:pos="4320"/>
        </w:tabs>
        <w:ind w:left="4320" w:hanging="360"/>
      </w:pPr>
      <w:rPr>
        <w:rFonts w:ascii="Arial" w:hAnsi="Arial" w:hint="default"/>
      </w:rPr>
    </w:lvl>
    <w:lvl w:ilvl="6" w:tplc="B70011C0" w:tentative="1">
      <w:start w:val="1"/>
      <w:numFmt w:val="bullet"/>
      <w:lvlText w:val="•"/>
      <w:lvlJc w:val="left"/>
      <w:pPr>
        <w:tabs>
          <w:tab w:val="num" w:pos="5040"/>
        </w:tabs>
        <w:ind w:left="5040" w:hanging="360"/>
      </w:pPr>
      <w:rPr>
        <w:rFonts w:ascii="Arial" w:hAnsi="Arial" w:hint="default"/>
      </w:rPr>
    </w:lvl>
    <w:lvl w:ilvl="7" w:tplc="551A45C2" w:tentative="1">
      <w:start w:val="1"/>
      <w:numFmt w:val="bullet"/>
      <w:lvlText w:val="•"/>
      <w:lvlJc w:val="left"/>
      <w:pPr>
        <w:tabs>
          <w:tab w:val="num" w:pos="5760"/>
        </w:tabs>
        <w:ind w:left="5760" w:hanging="360"/>
      </w:pPr>
      <w:rPr>
        <w:rFonts w:ascii="Arial" w:hAnsi="Arial" w:hint="default"/>
      </w:rPr>
    </w:lvl>
    <w:lvl w:ilvl="8" w:tplc="8D9E90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4C423E"/>
    <w:multiLevelType w:val="hybridMultilevel"/>
    <w:tmpl w:val="26A863DE"/>
    <w:lvl w:ilvl="0" w:tplc="DBF60ACC">
      <w:start w:val="1"/>
      <w:numFmt w:val="bullet"/>
      <w:lvlText w:val="•"/>
      <w:lvlJc w:val="left"/>
      <w:pPr>
        <w:tabs>
          <w:tab w:val="num" w:pos="720"/>
        </w:tabs>
        <w:ind w:left="720" w:hanging="360"/>
      </w:pPr>
      <w:rPr>
        <w:rFonts w:ascii="Arial" w:hAnsi="Arial" w:hint="default"/>
      </w:rPr>
    </w:lvl>
    <w:lvl w:ilvl="1" w:tplc="A290E9C2" w:tentative="1">
      <w:start w:val="1"/>
      <w:numFmt w:val="bullet"/>
      <w:lvlText w:val="•"/>
      <w:lvlJc w:val="left"/>
      <w:pPr>
        <w:tabs>
          <w:tab w:val="num" w:pos="1440"/>
        </w:tabs>
        <w:ind w:left="1440" w:hanging="360"/>
      </w:pPr>
      <w:rPr>
        <w:rFonts w:ascii="Arial" w:hAnsi="Arial" w:hint="default"/>
      </w:rPr>
    </w:lvl>
    <w:lvl w:ilvl="2" w:tplc="5CB625DA" w:tentative="1">
      <w:start w:val="1"/>
      <w:numFmt w:val="bullet"/>
      <w:lvlText w:val="•"/>
      <w:lvlJc w:val="left"/>
      <w:pPr>
        <w:tabs>
          <w:tab w:val="num" w:pos="2160"/>
        </w:tabs>
        <w:ind w:left="2160" w:hanging="360"/>
      </w:pPr>
      <w:rPr>
        <w:rFonts w:ascii="Arial" w:hAnsi="Arial" w:hint="default"/>
      </w:rPr>
    </w:lvl>
    <w:lvl w:ilvl="3" w:tplc="877AEC56" w:tentative="1">
      <w:start w:val="1"/>
      <w:numFmt w:val="bullet"/>
      <w:lvlText w:val="•"/>
      <w:lvlJc w:val="left"/>
      <w:pPr>
        <w:tabs>
          <w:tab w:val="num" w:pos="2880"/>
        </w:tabs>
        <w:ind w:left="2880" w:hanging="360"/>
      </w:pPr>
      <w:rPr>
        <w:rFonts w:ascii="Arial" w:hAnsi="Arial" w:hint="default"/>
      </w:rPr>
    </w:lvl>
    <w:lvl w:ilvl="4" w:tplc="41B633F2" w:tentative="1">
      <w:start w:val="1"/>
      <w:numFmt w:val="bullet"/>
      <w:lvlText w:val="•"/>
      <w:lvlJc w:val="left"/>
      <w:pPr>
        <w:tabs>
          <w:tab w:val="num" w:pos="3600"/>
        </w:tabs>
        <w:ind w:left="3600" w:hanging="360"/>
      </w:pPr>
      <w:rPr>
        <w:rFonts w:ascii="Arial" w:hAnsi="Arial" w:hint="default"/>
      </w:rPr>
    </w:lvl>
    <w:lvl w:ilvl="5" w:tplc="1C5687F2" w:tentative="1">
      <w:start w:val="1"/>
      <w:numFmt w:val="bullet"/>
      <w:lvlText w:val="•"/>
      <w:lvlJc w:val="left"/>
      <w:pPr>
        <w:tabs>
          <w:tab w:val="num" w:pos="4320"/>
        </w:tabs>
        <w:ind w:left="4320" w:hanging="360"/>
      </w:pPr>
      <w:rPr>
        <w:rFonts w:ascii="Arial" w:hAnsi="Arial" w:hint="default"/>
      </w:rPr>
    </w:lvl>
    <w:lvl w:ilvl="6" w:tplc="F304789C" w:tentative="1">
      <w:start w:val="1"/>
      <w:numFmt w:val="bullet"/>
      <w:lvlText w:val="•"/>
      <w:lvlJc w:val="left"/>
      <w:pPr>
        <w:tabs>
          <w:tab w:val="num" w:pos="5040"/>
        </w:tabs>
        <w:ind w:left="5040" w:hanging="360"/>
      </w:pPr>
      <w:rPr>
        <w:rFonts w:ascii="Arial" w:hAnsi="Arial" w:hint="default"/>
      </w:rPr>
    </w:lvl>
    <w:lvl w:ilvl="7" w:tplc="900A7592" w:tentative="1">
      <w:start w:val="1"/>
      <w:numFmt w:val="bullet"/>
      <w:lvlText w:val="•"/>
      <w:lvlJc w:val="left"/>
      <w:pPr>
        <w:tabs>
          <w:tab w:val="num" w:pos="5760"/>
        </w:tabs>
        <w:ind w:left="5760" w:hanging="360"/>
      </w:pPr>
      <w:rPr>
        <w:rFonts w:ascii="Arial" w:hAnsi="Arial" w:hint="default"/>
      </w:rPr>
    </w:lvl>
    <w:lvl w:ilvl="8" w:tplc="E16C92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0D34DC1"/>
    <w:multiLevelType w:val="hybridMultilevel"/>
    <w:tmpl w:val="6B40F9A0"/>
    <w:lvl w:ilvl="0" w:tplc="F40E549A">
      <w:start w:val="1"/>
      <w:numFmt w:val="bullet"/>
      <w:lvlText w:val="•"/>
      <w:lvlJc w:val="left"/>
      <w:pPr>
        <w:tabs>
          <w:tab w:val="num" w:pos="720"/>
        </w:tabs>
        <w:ind w:left="720" w:hanging="360"/>
      </w:pPr>
      <w:rPr>
        <w:rFonts w:ascii="Arial" w:hAnsi="Arial" w:hint="default"/>
      </w:rPr>
    </w:lvl>
    <w:lvl w:ilvl="1" w:tplc="1B0CF39E" w:tentative="1">
      <w:start w:val="1"/>
      <w:numFmt w:val="bullet"/>
      <w:lvlText w:val="•"/>
      <w:lvlJc w:val="left"/>
      <w:pPr>
        <w:tabs>
          <w:tab w:val="num" w:pos="1440"/>
        </w:tabs>
        <w:ind w:left="1440" w:hanging="360"/>
      </w:pPr>
      <w:rPr>
        <w:rFonts w:ascii="Arial" w:hAnsi="Arial" w:hint="default"/>
      </w:rPr>
    </w:lvl>
    <w:lvl w:ilvl="2" w:tplc="BEE867C8" w:tentative="1">
      <w:start w:val="1"/>
      <w:numFmt w:val="bullet"/>
      <w:lvlText w:val="•"/>
      <w:lvlJc w:val="left"/>
      <w:pPr>
        <w:tabs>
          <w:tab w:val="num" w:pos="2160"/>
        </w:tabs>
        <w:ind w:left="2160" w:hanging="360"/>
      </w:pPr>
      <w:rPr>
        <w:rFonts w:ascii="Arial" w:hAnsi="Arial" w:hint="default"/>
      </w:rPr>
    </w:lvl>
    <w:lvl w:ilvl="3" w:tplc="C26C2462" w:tentative="1">
      <w:start w:val="1"/>
      <w:numFmt w:val="bullet"/>
      <w:lvlText w:val="•"/>
      <w:lvlJc w:val="left"/>
      <w:pPr>
        <w:tabs>
          <w:tab w:val="num" w:pos="2880"/>
        </w:tabs>
        <w:ind w:left="2880" w:hanging="360"/>
      </w:pPr>
      <w:rPr>
        <w:rFonts w:ascii="Arial" w:hAnsi="Arial" w:hint="default"/>
      </w:rPr>
    </w:lvl>
    <w:lvl w:ilvl="4" w:tplc="29F4DFF6" w:tentative="1">
      <w:start w:val="1"/>
      <w:numFmt w:val="bullet"/>
      <w:lvlText w:val="•"/>
      <w:lvlJc w:val="left"/>
      <w:pPr>
        <w:tabs>
          <w:tab w:val="num" w:pos="3600"/>
        </w:tabs>
        <w:ind w:left="3600" w:hanging="360"/>
      </w:pPr>
      <w:rPr>
        <w:rFonts w:ascii="Arial" w:hAnsi="Arial" w:hint="default"/>
      </w:rPr>
    </w:lvl>
    <w:lvl w:ilvl="5" w:tplc="A1C805FE" w:tentative="1">
      <w:start w:val="1"/>
      <w:numFmt w:val="bullet"/>
      <w:lvlText w:val="•"/>
      <w:lvlJc w:val="left"/>
      <w:pPr>
        <w:tabs>
          <w:tab w:val="num" w:pos="4320"/>
        </w:tabs>
        <w:ind w:left="4320" w:hanging="360"/>
      </w:pPr>
      <w:rPr>
        <w:rFonts w:ascii="Arial" w:hAnsi="Arial" w:hint="default"/>
      </w:rPr>
    </w:lvl>
    <w:lvl w:ilvl="6" w:tplc="3E769060" w:tentative="1">
      <w:start w:val="1"/>
      <w:numFmt w:val="bullet"/>
      <w:lvlText w:val="•"/>
      <w:lvlJc w:val="left"/>
      <w:pPr>
        <w:tabs>
          <w:tab w:val="num" w:pos="5040"/>
        </w:tabs>
        <w:ind w:left="5040" w:hanging="360"/>
      </w:pPr>
      <w:rPr>
        <w:rFonts w:ascii="Arial" w:hAnsi="Arial" w:hint="default"/>
      </w:rPr>
    </w:lvl>
    <w:lvl w:ilvl="7" w:tplc="483CBB58" w:tentative="1">
      <w:start w:val="1"/>
      <w:numFmt w:val="bullet"/>
      <w:lvlText w:val="•"/>
      <w:lvlJc w:val="left"/>
      <w:pPr>
        <w:tabs>
          <w:tab w:val="num" w:pos="5760"/>
        </w:tabs>
        <w:ind w:left="5760" w:hanging="360"/>
      </w:pPr>
      <w:rPr>
        <w:rFonts w:ascii="Arial" w:hAnsi="Arial" w:hint="default"/>
      </w:rPr>
    </w:lvl>
    <w:lvl w:ilvl="8" w:tplc="C0D66D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277834550">
    <w:abstractNumId w:val="4"/>
  </w:num>
  <w:num w:numId="2" w16cid:durableId="1879853896">
    <w:abstractNumId w:val="6"/>
  </w:num>
  <w:num w:numId="3" w16cid:durableId="1299143443">
    <w:abstractNumId w:val="3"/>
  </w:num>
  <w:num w:numId="4" w16cid:durableId="18709509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0366837">
    <w:abstractNumId w:val="5"/>
  </w:num>
  <w:num w:numId="6" w16cid:durableId="2090274567">
    <w:abstractNumId w:val="9"/>
  </w:num>
  <w:num w:numId="7" w16cid:durableId="1261137356">
    <w:abstractNumId w:val="2"/>
  </w:num>
  <w:num w:numId="8" w16cid:durableId="1044334824">
    <w:abstractNumId w:val="9"/>
  </w:num>
  <w:num w:numId="9" w16cid:durableId="1686594443">
    <w:abstractNumId w:val="2"/>
  </w:num>
  <w:num w:numId="10" w16cid:durableId="1128930686">
    <w:abstractNumId w:val="9"/>
  </w:num>
  <w:num w:numId="11" w16cid:durableId="37441779">
    <w:abstractNumId w:val="2"/>
  </w:num>
  <w:num w:numId="12" w16cid:durableId="1270621702">
    <w:abstractNumId w:val="13"/>
  </w:num>
  <w:num w:numId="13" w16cid:durableId="527529178">
    <w:abstractNumId w:val="9"/>
  </w:num>
  <w:num w:numId="14" w16cid:durableId="121116875">
    <w:abstractNumId w:val="2"/>
  </w:num>
  <w:num w:numId="15" w16cid:durableId="107089991">
    <w:abstractNumId w:val="1"/>
  </w:num>
  <w:num w:numId="16" w16cid:durableId="820542000">
    <w:abstractNumId w:val="8"/>
  </w:num>
  <w:num w:numId="17" w16cid:durableId="363486408">
    <w:abstractNumId w:val="12"/>
  </w:num>
  <w:num w:numId="18" w16cid:durableId="184949414">
    <w:abstractNumId w:val="10"/>
  </w:num>
  <w:num w:numId="19" w16cid:durableId="1932153613">
    <w:abstractNumId w:val="0"/>
  </w:num>
  <w:num w:numId="20" w16cid:durableId="1573082268">
    <w:abstractNumId w:val="11"/>
  </w:num>
  <w:num w:numId="21" w16cid:durableId="2115325097">
    <w:abstractNumId w:val="9"/>
  </w:num>
  <w:num w:numId="22" w16cid:durableId="1760055647">
    <w:abstractNumId w:val="2"/>
  </w:num>
  <w:num w:numId="23" w16cid:durableId="1879657498">
    <w:abstractNumId w:val="8"/>
  </w:num>
  <w:num w:numId="24" w16cid:durableId="429744212">
    <w:abstractNumId w:val="1"/>
  </w:num>
  <w:num w:numId="25" w16cid:durableId="9474683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MjYyNzcxsDQyNrRU0lEKTi0uzszPAykwrAUAKj8PoSwAAAA="/>
  </w:docVars>
  <w:rsids>
    <w:rsidRoot w:val="00593259"/>
    <w:rsid w:val="000004BA"/>
    <w:rsid w:val="00001166"/>
    <w:rsid w:val="000019D8"/>
    <w:rsid w:val="00006F9A"/>
    <w:rsid w:val="0001348F"/>
    <w:rsid w:val="00020DD3"/>
    <w:rsid w:val="00027CD1"/>
    <w:rsid w:val="000302D9"/>
    <w:rsid w:val="00036EB8"/>
    <w:rsid w:val="00041D95"/>
    <w:rsid w:val="00056855"/>
    <w:rsid w:val="000646F4"/>
    <w:rsid w:val="00065CFE"/>
    <w:rsid w:val="000675A4"/>
    <w:rsid w:val="000808E2"/>
    <w:rsid w:val="00085770"/>
    <w:rsid w:val="00086024"/>
    <w:rsid w:val="000863BF"/>
    <w:rsid w:val="00087CC0"/>
    <w:rsid w:val="00092836"/>
    <w:rsid w:val="00092B70"/>
    <w:rsid w:val="00095209"/>
    <w:rsid w:val="00095761"/>
    <w:rsid w:val="0009761C"/>
    <w:rsid w:val="000A5C77"/>
    <w:rsid w:val="000A7316"/>
    <w:rsid w:val="000B7CBD"/>
    <w:rsid w:val="000C0FC2"/>
    <w:rsid w:val="000C6424"/>
    <w:rsid w:val="000E2866"/>
    <w:rsid w:val="001517B8"/>
    <w:rsid w:val="00152995"/>
    <w:rsid w:val="00152F6D"/>
    <w:rsid w:val="00164861"/>
    <w:rsid w:val="001710B7"/>
    <w:rsid w:val="00172385"/>
    <w:rsid w:val="00195618"/>
    <w:rsid w:val="001C4EF2"/>
    <w:rsid w:val="001D1C27"/>
    <w:rsid w:val="001D25D3"/>
    <w:rsid w:val="001D2D4B"/>
    <w:rsid w:val="001D4C54"/>
    <w:rsid w:val="001E2AEB"/>
    <w:rsid w:val="001E2C48"/>
    <w:rsid w:val="001E6B6B"/>
    <w:rsid w:val="001F462D"/>
    <w:rsid w:val="002266DB"/>
    <w:rsid w:val="00244747"/>
    <w:rsid w:val="002510D8"/>
    <w:rsid w:val="00254A4F"/>
    <w:rsid w:val="00274D95"/>
    <w:rsid w:val="00280F25"/>
    <w:rsid w:val="00280FC4"/>
    <w:rsid w:val="00287919"/>
    <w:rsid w:val="00287BE6"/>
    <w:rsid w:val="0029124E"/>
    <w:rsid w:val="0029303F"/>
    <w:rsid w:val="002B12CF"/>
    <w:rsid w:val="002C5B08"/>
    <w:rsid w:val="002C74FC"/>
    <w:rsid w:val="002E235C"/>
    <w:rsid w:val="002E7FF9"/>
    <w:rsid w:val="00306856"/>
    <w:rsid w:val="00314B6E"/>
    <w:rsid w:val="003207B3"/>
    <w:rsid w:val="00325CF8"/>
    <w:rsid w:val="00326141"/>
    <w:rsid w:val="0034278A"/>
    <w:rsid w:val="0034365E"/>
    <w:rsid w:val="00343DF4"/>
    <w:rsid w:val="00347E56"/>
    <w:rsid w:val="00354AAD"/>
    <w:rsid w:val="00357C8D"/>
    <w:rsid w:val="00362F34"/>
    <w:rsid w:val="00363148"/>
    <w:rsid w:val="00387918"/>
    <w:rsid w:val="003924C0"/>
    <w:rsid w:val="00393736"/>
    <w:rsid w:val="0039491D"/>
    <w:rsid w:val="003977A3"/>
    <w:rsid w:val="003A2C19"/>
    <w:rsid w:val="003A57A5"/>
    <w:rsid w:val="003D37C7"/>
    <w:rsid w:val="003D4857"/>
    <w:rsid w:val="003D55AB"/>
    <w:rsid w:val="003E597E"/>
    <w:rsid w:val="003E6A0B"/>
    <w:rsid w:val="003F2DA1"/>
    <w:rsid w:val="003F4ECB"/>
    <w:rsid w:val="00401D30"/>
    <w:rsid w:val="00412261"/>
    <w:rsid w:val="004142C7"/>
    <w:rsid w:val="00414990"/>
    <w:rsid w:val="00415BBF"/>
    <w:rsid w:val="004225B0"/>
    <w:rsid w:val="004230CC"/>
    <w:rsid w:val="00423104"/>
    <w:rsid w:val="0044718E"/>
    <w:rsid w:val="0045182C"/>
    <w:rsid w:val="00460722"/>
    <w:rsid w:val="0046295C"/>
    <w:rsid w:val="00476F15"/>
    <w:rsid w:val="00482126"/>
    <w:rsid w:val="00490F54"/>
    <w:rsid w:val="004965B3"/>
    <w:rsid w:val="004B1358"/>
    <w:rsid w:val="004B3DBD"/>
    <w:rsid w:val="004B3FAA"/>
    <w:rsid w:val="004B7429"/>
    <w:rsid w:val="004D54CC"/>
    <w:rsid w:val="004D5F4D"/>
    <w:rsid w:val="004E056B"/>
    <w:rsid w:val="004F0C8B"/>
    <w:rsid w:val="004F49B5"/>
    <w:rsid w:val="004F51E2"/>
    <w:rsid w:val="004F5B4C"/>
    <w:rsid w:val="005123DF"/>
    <w:rsid w:val="00543360"/>
    <w:rsid w:val="005433E8"/>
    <w:rsid w:val="00545B1A"/>
    <w:rsid w:val="00547A54"/>
    <w:rsid w:val="005577F2"/>
    <w:rsid w:val="005766EE"/>
    <w:rsid w:val="00593259"/>
    <w:rsid w:val="005963C5"/>
    <w:rsid w:val="005B4630"/>
    <w:rsid w:val="005B7C75"/>
    <w:rsid w:val="005D6FEC"/>
    <w:rsid w:val="005E293F"/>
    <w:rsid w:val="005F1043"/>
    <w:rsid w:val="00616F82"/>
    <w:rsid w:val="00620A5A"/>
    <w:rsid w:val="00622838"/>
    <w:rsid w:val="006300CB"/>
    <w:rsid w:val="00637CD2"/>
    <w:rsid w:val="00652F06"/>
    <w:rsid w:val="00667913"/>
    <w:rsid w:val="00685F96"/>
    <w:rsid w:val="00691DEB"/>
    <w:rsid w:val="00692393"/>
    <w:rsid w:val="0069328F"/>
    <w:rsid w:val="00694025"/>
    <w:rsid w:val="006A11B0"/>
    <w:rsid w:val="006A5D76"/>
    <w:rsid w:val="006C03A9"/>
    <w:rsid w:val="006C3990"/>
    <w:rsid w:val="006D3297"/>
    <w:rsid w:val="006D45FD"/>
    <w:rsid w:val="006E1776"/>
    <w:rsid w:val="006F6E38"/>
    <w:rsid w:val="007018DC"/>
    <w:rsid w:val="00705D61"/>
    <w:rsid w:val="00706D77"/>
    <w:rsid w:val="00713F16"/>
    <w:rsid w:val="007239F9"/>
    <w:rsid w:val="00734A44"/>
    <w:rsid w:val="00737614"/>
    <w:rsid w:val="00751744"/>
    <w:rsid w:val="00751894"/>
    <w:rsid w:val="00764D99"/>
    <w:rsid w:val="00770821"/>
    <w:rsid w:val="007711A1"/>
    <w:rsid w:val="00774B90"/>
    <w:rsid w:val="0079312A"/>
    <w:rsid w:val="00794547"/>
    <w:rsid w:val="007A6734"/>
    <w:rsid w:val="007B2862"/>
    <w:rsid w:val="007E0C40"/>
    <w:rsid w:val="007E1802"/>
    <w:rsid w:val="008008F9"/>
    <w:rsid w:val="00816BBE"/>
    <w:rsid w:val="0081729F"/>
    <w:rsid w:val="00821EF1"/>
    <w:rsid w:val="008457D6"/>
    <w:rsid w:val="0084596B"/>
    <w:rsid w:val="0084657C"/>
    <w:rsid w:val="00851192"/>
    <w:rsid w:val="00853B85"/>
    <w:rsid w:val="00860B73"/>
    <w:rsid w:val="00865A31"/>
    <w:rsid w:val="00872ADA"/>
    <w:rsid w:val="008A22DC"/>
    <w:rsid w:val="008C3286"/>
    <w:rsid w:val="008D0B41"/>
    <w:rsid w:val="008E1FF1"/>
    <w:rsid w:val="008E63F1"/>
    <w:rsid w:val="008F1228"/>
    <w:rsid w:val="008F3CDC"/>
    <w:rsid w:val="008F6E8C"/>
    <w:rsid w:val="009035B8"/>
    <w:rsid w:val="00904B95"/>
    <w:rsid w:val="009141F8"/>
    <w:rsid w:val="00914275"/>
    <w:rsid w:val="00915454"/>
    <w:rsid w:val="00915CAE"/>
    <w:rsid w:val="0092527D"/>
    <w:rsid w:val="009268BA"/>
    <w:rsid w:val="00943EE6"/>
    <w:rsid w:val="00945A8C"/>
    <w:rsid w:val="00947B44"/>
    <w:rsid w:val="00951446"/>
    <w:rsid w:val="00970559"/>
    <w:rsid w:val="00970888"/>
    <w:rsid w:val="009709FF"/>
    <w:rsid w:val="00973CA6"/>
    <w:rsid w:val="00974C4A"/>
    <w:rsid w:val="00984BFA"/>
    <w:rsid w:val="00995F53"/>
    <w:rsid w:val="00996419"/>
    <w:rsid w:val="009B6711"/>
    <w:rsid w:val="009B79AC"/>
    <w:rsid w:val="009C0BF1"/>
    <w:rsid w:val="009C5893"/>
    <w:rsid w:val="009D493D"/>
    <w:rsid w:val="009E55DE"/>
    <w:rsid w:val="009F1C15"/>
    <w:rsid w:val="009F70E6"/>
    <w:rsid w:val="00A33D69"/>
    <w:rsid w:val="00A520C7"/>
    <w:rsid w:val="00A6020F"/>
    <w:rsid w:val="00A61020"/>
    <w:rsid w:val="00A73B50"/>
    <w:rsid w:val="00A8707F"/>
    <w:rsid w:val="00AB2F7D"/>
    <w:rsid w:val="00AB3594"/>
    <w:rsid w:val="00AC1E78"/>
    <w:rsid w:val="00AC3FDF"/>
    <w:rsid w:val="00AC72F8"/>
    <w:rsid w:val="00AD3640"/>
    <w:rsid w:val="00AD4E9B"/>
    <w:rsid w:val="00AD73D9"/>
    <w:rsid w:val="00AE0F2C"/>
    <w:rsid w:val="00AE2DE1"/>
    <w:rsid w:val="00AF63F6"/>
    <w:rsid w:val="00AF66CF"/>
    <w:rsid w:val="00B24D42"/>
    <w:rsid w:val="00B27BDC"/>
    <w:rsid w:val="00B54CCF"/>
    <w:rsid w:val="00B55A4A"/>
    <w:rsid w:val="00B62654"/>
    <w:rsid w:val="00B73BC2"/>
    <w:rsid w:val="00B81AEF"/>
    <w:rsid w:val="00B84BC1"/>
    <w:rsid w:val="00BB2253"/>
    <w:rsid w:val="00BB34F3"/>
    <w:rsid w:val="00BB7AA1"/>
    <w:rsid w:val="00BC1577"/>
    <w:rsid w:val="00BC29E2"/>
    <w:rsid w:val="00BC2D10"/>
    <w:rsid w:val="00BC2F37"/>
    <w:rsid w:val="00BD5379"/>
    <w:rsid w:val="00BE4E1F"/>
    <w:rsid w:val="00BE6936"/>
    <w:rsid w:val="00BF5D96"/>
    <w:rsid w:val="00BF6F8B"/>
    <w:rsid w:val="00C0359B"/>
    <w:rsid w:val="00C06920"/>
    <w:rsid w:val="00C07A74"/>
    <w:rsid w:val="00C1439D"/>
    <w:rsid w:val="00C144B6"/>
    <w:rsid w:val="00C17D2C"/>
    <w:rsid w:val="00C24EA1"/>
    <w:rsid w:val="00C30505"/>
    <w:rsid w:val="00C6177C"/>
    <w:rsid w:val="00C76749"/>
    <w:rsid w:val="00CA6FBF"/>
    <w:rsid w:val="00CB5986"/>
    <w:rsid w:val="00CC4494"/>
    <w:rsid w:val="00CC4C33"/>
    <w:rsid w:val="00CF4769"/>
    <w:rsid w:val="00D03F63"/>
    <w:rsid w:val="00D0452F"/>
    <w:rsid w:val="00D06DB4"/>
    <w:rsid w:val="00D12817"/>
    <w:rsid w:val="00D15FBD"/>
    <w:rsid w:val="00D178B1"/>
    <w:rsid w:val="00D23E2C"/>
    <w:rsid w:val="00D537C4"/>
    <w:rsid w:val="00D70C63"/>
    <w:rsid w:val="00D72E82"/>
    <w:rsid w:val="00D76EFE"/>
    <w:rsid w:val="00DA40EB"/>
    <w:rsid w:val="00DB5D84"/>
    <w:rsid w:val="00DB65CB"/>
    <w:rsid w:val="00DC5308"/>
    <w:rsid w:val="00DD1151"/>
    <w:rsid w:val="00DD4291"/>
    <w:rsid w:val="00DD5BD0"/>
    <w:rsid w:val="00DE3962"/>
    <w:rsid w:val="00DF59FB"/>
    <w:rsid w:val="00E0547F"/>
    <w:rsid w:val="00E510AC"/>
    <w:rsid w:val="00E548E8"/>
    <w:rsid w:val="00E62446"/>
    <w:rsid w:val="00E6298A"/>
    <w:rsid w:val="00E640C8"/>
    <w:rsid w:val="00E64375"/>
    <w:rsid w:val="00E66D70"/>
    <w:rsid w:val="00E74491"/>
    <w:rsid w:val="00E83626"/>
    <w:rsid w:val="00E9417E"/>
    <w:rsid w:val="00EA0B46"/>
    <w:rsid w:val="00EA792D"/>
    <w:rsid w:val="00EB4676"/>
    <w:rsid w:val="00EB730D"/>
    <w:rsid w:val="00EC00EA"/>
    <w:rsid w:val="00EC0E96"/>
    <w:rsid w:val="00EC2CB7"/>
    <w:rsid w:val="00EC2DA9"/>
    <w:rsid w:val="00EE02BF"/>
    <w:rsid w:val="00EE3D95"/>
    <w:rsid w:val="00EF53E9"/>
    <w:rsid w:val="00F159D6"/>
    <w:rsid w:val="00F20DC0"/>
    <w:rsid w:val="00F41D77"/>
    <w:rsid w:val="00F53286"/>
    <w:rsid w:val="00F5336F"/>
    <w:rsid w:val="00F61547"/>
    <w:rsid w:val="00F6205E"/>
    <w:rsid w:val="00F733DC"/>
    <w:rsid w:val="00F84EC5"/>
    <w:rsid w:val="00F9261E"/>
    <w:rsid w:val="00F94100"/>
    <w:rsid w:val="00FA2DB6"/>
    <w:rsid w:val="00FA4695"/>
    <w:rsid w:val="00FA4C2A"/>
    <w:rsid w:val="00FA5A97"/>
    <w:rsid w:val="00FB134B"/>
    <w:rsid w:val="00FB46A7"/>
    <w:rsid w:val="00FC70BF"/>
    <w:rsid w:val="00FD3837"/>
    <w:rsid w:val="00FD4789"/>
    <w:rsid w:val="00FD6850"/>
    <w:rsid w:val="00FE6943"/>
    <w:rsid w:val="00FF1581"/>
    <w:rsid w:val="00FF22F0"/>
    <w:rsid w:val="00FF453C"/>
    <w:rsid w:val="00FF7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FA7E7"/>
  <w15:chartTrackingRefBased/>
  <w15:docId w15:val="{361B3149-2155-45E1-91BD-337C7E970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943"/>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593259"/>
    <w:pPr>
      <w:keepNext/>
      <w:keepLines/>
      <w:spacing w:before="240" w:line="240" w:lineRule="auto"/>
      <w:jc w:val="left"/>
      <w:outlineLvl w:val="0"/>
    </w:pPr>
    <w:rPr>
      <w:rFonts w:asciiTheme="majorHAnsi" w:eastAsiaTheme="majorEastAsia" w:hAnsiTheme="majorHAnsi" w:cstheme="majorBidi"/>
      <w:noProof w:val="0"/>
      <w:color w:val="2F5496" w:themeColor="accent1" w:themeShade="BF"/>
      <w:sz w:val="32"/>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73BC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B73BC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B73BC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B73BC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73BC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B73BC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B73BC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B73BC2"/>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FE6943"/>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E6943"/>
    <w:rPr>
      <w:rFonts w:ascii="Palatino Linotype" w:hAnsi="Palatino Linotype"/>
      <w:noProof/>
      <w:color w:val="000000"/>
      <w:szCs w:val="18"/>
    </w:rPr>
  </w:style>
  <w:style w:type="paragraph" w:styleId="Header">
    <w:name w:val="header"/>
    <w:basedOn w:val="Normal"/>
    <w:link w:val="HeaderChar"/>
    <w:uiPriority w:val="99"/>
    <w:rsid w:val="00FE6943"/>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E6943"/>
    <w:rPr>
      <w:rFonts w:ascii="Palatino Linotype" w:hAnsi="Palatino Linotype"/>
      <w:noProof/>
      <w:color w:val="000000"/>
      <w:szCs w:val="18"/>
    </w:rPr>
  </w:style>
  <w:style w:type="paragraph" w:customStyle="1" w:styleId="MDPIheaderjournallogo">
    <w:name w:val="MDPI_header_journal_logo"/>
    <w:qFormat/>
    <w:rsid w:val="00B73BC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73BC2"/>
    <w:pPr>
      <w:ind w:firstLine="0"/>
    </w:pPr>
  </w:style>
  <w:style w:type="paragraph" w:customStyle="1" w:styleId="MDPI31text">
    <w:name w:val="MDPI_3.1_text"/>
    <w:qFormat/>
    <w:rsid w:val="00B73BC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73BC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73BC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73BC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73BC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73BC2"/>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73BC2"/>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73BC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73BC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73BC2"/>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B73BC2"/>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73BC2"/>
    <w:pPr>
      <w:adjustRightInd w:val="0"/>
      <w:snapToGrid w:val="0"/>
      <w:spacing w:after="24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73BC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B73BC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B73BC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73BC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B73BC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B73BC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73BC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73BC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95618"/>
    <w:pPr>
      <w:numPr>
        <w:numId w:val="24"/>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FE6943"/>
    <w:rPr>
      <w:rFonts w:cs="Tahoma"/>
      <w:szCs w:val="18"/>
    </w:rPr>
  </w:style>
  <w:style w:type="character" w:customStyle="1" w:styleId="BalloonTextChar">
    <w:name w:val="Balloon Text Char"/>
    <w:link w:val="BalloonText"/>
    <w:uiPriority w:val="99"/>
    <w:rsid w:val="00FE6943"/>
    <w:rPr>
      <w:rFonts w:ascii="Palatino Linotype" w:hAnsi="Palatino Linotype" w:cs="Tahoma"/>
      <w:noProof/>
      <w:color w:val="000000"/>
      <w:szCs w:val="18"/>
    </w:rPr>
  </w:style>
  <w:style w:type="character" w:styleId="LineNumber">
    <w:name w:val="line number"/>
    <w:uiPriority w:val="99"/>
    <w:rsid w:val="00F20DC0"/>
    <w:rPr>
      <w:rFonts w:ascii="Palatino Linotype" w:hAnsi="Palatino Linotype"/>
      <w:sz w:val="16"/>
    </w:rPr>
  </w:style>
  <w:style w:type="table" w:customStyle="1" w:styleId="MDPI41threelinetable">
    <w:name w:val="MDPI_4.1_three_line_table"/>
    <w:basedOn w:val="TableNormal"/>
    <w:uiPriority w:val="99"/>
    <w:rsid w:val="00B73BC2"/>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E6943"/>
    <w:rPr>
      <w:color w:val="0000FF"/>
      <w:u w:val="single"/>
    </w:rPr>
  </w:style>
  <w:style w:type="character" w:styleId="UnresolvedMention">
    <w:name w:val="Unresolved Mention"/>
    <w:uiPriority w:val="99"/>
    <w:semiHidden/>
    <w:unhideWhenUsed/>
    <w:rsid w:val="0034278A"/>
    <w:rPr>
      <w:color w:val="605E5C"/>
      <w:shd w:val="clear" w:color="auto" w:fill="E1DFDD"/>
    </w:rPr>
  </w:style>
  <w:style w:type="table" w:styleId="TableGrid">
    <w:name w:val="Table Grid"/>
    <w:basedOn w:val="TableNormal"/>
    <w:uiPriority w:val="39"/>
    <w:rsid w:val="00FE6943"/>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73BC2"/>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B73BC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73BC2"/>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B73BC2"/>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73BC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73BC2"/>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B73BC2"/>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B73BC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73BC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73BC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73BC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B73BC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73BC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73BC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B73BC2"/>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B73BC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73BC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E6943"/>
  </w:style>
  <w:style w:type="paragraph" w:styleId="Bibliography">
    <w:name w:val="Bibliography"/>
    <w:basedOn w:val="Normal"/>
    <w:next w:val="Normal"/>
    <w:uiPriority w:val="37"/>
    <w:semiHidden/>
    <w:unhideWhenUsed/>
    <w:rsid w:val="00FE6943"/>
  </w:style>
  <w:style w:type="paragraph" w:styleId="BodyText">
    <w:name w:val="Body Text"/>
    <w:link w:val="BodyTextChar"/>
    <w:rsid w:val="00FE6943"/>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E6943"/>
    <w:rPr>
      <w:rFonts w:ascii="Palatino Linotype" w:hAnsi="Palatino Linotype"/>
      <w:color w:val="000000"/>
      <w:sz w:val="24"/>
      <w:lang w:eastAsia="de-DE"/>
    </w:rPr>
  </w:style>
  <w:style w:type="character" w:styleId="CommentReference">
    <w:name w:val="annotation reference"/>
    <w:uiPriority w:val="99"/>
    <w:rsid w:val="00FE6943"/>
    <w:rPr>
      <w:sz w:val="21"/>
      <w:szCs w:val="21"/>
    </w:rPr>
  </w:style>
  <w:style w:type="paragraph" w:styleId="CommentText">
    <w:name w:val="annotation text"/>
    <w:basedOn w:val="Normal"/>
    <w:link w:val="CommentTextChar"/>
    <w:uiPriority w:val="99"/>
    <w:rsid w:val="00FE6943"/>
  </w:style>
  <w:style w:type="character" w:customStyle="1" w:styleId="CommentTextChar">
    <w:name w:val="Comment Text Char"/>
    <w:link w:val="CommentText"/>
    <w:uiPriority w:val="99"/>
    <w:rsid w:val="00FE6943"/>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FE6943"/>
    <w:rPr>
      <w:b/>
      <w:bCs/>
    </w:rPr>
  </w:style>
  <w:style w:type="character" w:customStyle="1" w:styleId="CommentSubjectChar">
    <w:name w:val="Comment Subject Char"/>
    <w:link w:val="CommentSubject"/>
    <w:uiPriority w:val="99"/>
    <w:rsid w:val="00FE6943"/>
    <w:rPr>
      <w:rFonts w:ascii="Palatino Linotype" w:hAnsi="Palatino Linotype"/>
      <w:b/>
      <w:bCs/>
      <w:noProof/>
      <w:color w:val="000000"/>
    </w:rPr>
  </w:style>
  <w:style w:type="character" w:styleId="EndnoteReference">
    <w:name w:val="endnote reference"/>
    <w:rsid w:val="00FE6943"/>
    <w:rPr>
      <w:vertAlign w:val="superscript"/>
    </w:rPr>
  </w:style>
  <w:style w:type="paragraph" w:styleId="EndnoteText">
    <w:name w:val="endnote text"/>
    <w:basedOn w:val="Normal"/>
    <w:link w:val="EndnoteTextChar"/>
    <w:semiHidden/>
    <w:unhideWhenUsed/>
    <w:rsid w:val="00FE6943"/>
    <w:pPr>
      <w:spacing w:line="240" w:lineRule="auto"/>
    </w:pPr>
  </w:style>
  <w:style w:type="character" w:customStyle="1" w:styleId="EndnoteTextChar">
    <w:name w:val="Endnote Text Char"/>
    <w:link w:val="EndnoteText"/>
    <w:semiHidden/>
    <w:rsid w:val="00FE6943"/>
    <w:rPr>
      <w:rFonts w:ascii="Palatino Linotype" w:hAnsi="Palatino Linotype"/>
      <w:noProof/>
      <w:color w:val="000000"/>
    </w:rPr>
  </w:style>
  <w:style w:type="character" w:styleId="FollowedHyperlink">
    <w:name w:val="FollowedHyperlink"/>
    <w:rsid w:val="00FE6943"/>
    <w:rPr>
      <w:color w:val="954F72"/>
      <w:u w:val="single"/>
    </w:rPr>
  </w:style>
  <w:style w:type="paragraph" w:styleId="FootnoteText">
    <w:name w:val="footnote text"/>
    <w:basedOn w:val="Normal"/>
    <w:link w:val="FootnoteTextChar"/>
    <w:semiHidden/>
    <w:unhideWhenUsed/>
    <w:rsid w:val="00FE6943"/>
    <w:pPr>
      <w:spacing w:line="240" w:lineRule="auto"/>
    </w:pPr>
  </w:style>
  <w:style w:type="character" w:customStyle="1" w:styleId="FootnoteTextChar">
    <w:name w:val="Footnote Text Char"/>
    <w:link w:val="FootnoteText"/>
    <w:semiHidden/>
    <w:rsid w:val="00FE6943"/>
    <w:rPr>
      <w:rFonts w:ascii="Palatino Linotype" w:hAnsi="Palatino Linotype"/>
      <w:noProof/>
      <w:color w:val="000000"/>
    </w:rPr>
  </w:style>
  <w:style w:type="paragraph" w:styleId="NormalWeb">
    <w:name w:val="Normal (Web)"/>
    <w:basedOn w:val="Normal"/>
    <w:uiPriority w:val="99"/>
    <w:rsid w:val="00FE6943"/>
    <w:rPr>
      <w:szCs w:val="24"/>
    </w:rPr>
  </w:style>
  <w:style w:type="paragraph" w:customStyle="1" w:styleId="MsoFootnoteText0">
    <w:name w:val="MsoFootnoteText"/>
    <w:basedOn w:val="NormalWeb"/>
    <w:qFormat/>
    <w:rsid w:val="00FE6943"/>
    <w:rPr>
      <w:rFonts w:ascii="Times New Roman" w:hAnsi="Times New Roman"/>
    </w:rPr>
  </w:style>
  <w:style w:type="character" w:styleId="PageNumber">
    <w:name w:val="page number"/>
    <w:uiPriority w:val="99"/>
    <w:rsid w:val="00FE6943"/>
  </w:style>
  <w:style w:type="character" w:styleId="PlaceholderText">
    <w:name w:val="Placeholder Text"/>
    <w:uiPriority w:val="99"/>
    <w:semiHidden/>
    <w:rsid w:val="00FE6943"/>
    <w:rPr>
      <w:color w:val="808080"/>
    </w:rPr>
  </w:style>
  <w:style w:type="paragraph" w:customStyle="1" w:styleId="MDPI71FootNotes">
    <w:name w:val="MDPI_7.1_FootNotes"/>
    <w:qFormat/>
    <w:rsid w:val="00B73BC2"/>
    <w:pPr>
      <w:numPr>
        <w:numId w:val="23"/>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Heading1Char">
    <w:name w:val="Heading 1 Char"/>
    <w:basedOn w:val="DefaultParagraphFont"/>
    <w:link w:val="Heading1"/>
    <w:uiPriority w:val="9"/>
    <w:rsid w:val="00593259"/>
    <w:rPr>
      <w:rFonts w:asciiTheme="majorHAnsi" w:eastAsiaTheme="majorEastAsia" w:hAnsiTheme="majorHAnsi" w:cstheme="majorBidi"/>
      <w:color w:val="2F5496" w:themeColor="accent1" w:themeShade="BF"/>
      <w:sz w:val="32"/>
      <w:szCs w:val="32"/>
      <w:lang w:val="en-GB" w:eastAsia="en-US"/>
    </w:rPr>
  </w:style>
  <w:style w:type="paragraph" w:styleId="Revision">
    <w:name w:val="Revision"/>
    <w:hidden/>
    <w:uiPriority w:val="99"/>
    <w:semiHidden/>
    <w:rsid w:val="00593259"/>
    <w:rPr>
      <w:rFonts w:asciiTheme="minorHAnsi" w:eastAsiaTheme="minorHAnsi" w:hAnsiTheme="minorHAnsi" w:cstheme="minorBidi"/>
      <w:sz w:val="24"/>
      <w:szCs w:val="24"/>
      <w:lang w:val="en-GB" w:eastAsia="en-US"/>
    </w:rPr>
  </w:style>
  <w:style w:type="paragraph" w:customStyle="1" w:styleId="EndNoteBibliographyTitle">
    <w:name w:val="EndNote Bibliography Title"/>
    <w:basedOn w:val="Normal"/>
    <w:link w:val="EndNoteBibliographyTitleChar"/>
    <w:rsid w:val="00593259"/>
    <w:pPr>
      <w:spacing w:line="240" w:lineRule="auto"/>
      <w:jc w:val="center"/>
    </w:pPr>
    <w:rPr>
      <w:rFonts w:ascii="Calibri" w:eastAsiaTheme="minorHAnsi" w:hAnsi="Calibri" w:cs="Calibri"/>
      <w:noProof w:val="0"/>
      <w:color w:val="auto"/>
      <w:sz w:val="24"/>
      <w:szCs w:val="24"/>
      <w:lang w:eastAsia="en-US"/>
    </w:rPr>
  </w:style>
  <w:style w:type="character" w:customStyle="1" w:styleId="EndNoteBibliographyTitleChar">
    <w:name w:val="EndNote Bibliography Title Char"/>
    <w:basedOn w:val="DefaultParagraphFont"/>
    <w:link w:val="EndNoteBibliographyTitle"/>
    <w:rsid w:val="00593259"/>
    <w:rPr>
      <w:rFonts w:eastAsiaTheme="minorHAnsi" w:cs="Calibri"/>
      <w:sz w:val="24"/>
      <w:szCs w:val="24"/>
      <w:lang w:eastAsia="en-US"/>
    </w:rPr>
  </w:style>
  <w:style w:type="paragraph" w:customStyle="1" w:styleId="EndNoteBibliography">
    <w:name w:val="EndNote Bibliography"/>
    <w:basedOn w:val="Normal"/>
    <w:link w:val="EndNoteBibliographyChar"/>
    <w:rsid w:val="00593259"/>
    <w:pPr>
      <w:spacing w:line="240" w:lineRule="auto"/>
      <w:jc w:val="left"/>
    </w:pPr>
    <w:rPr>
      <w:rFonts w:ascii="Calibri" w:eastAsiaTheme="minorHAnsi" w:hAnsi="Calibri" w:cs="Calibri"/>
      <w:noProof w:val="0"/>
      <w:color w:val="auto"/>
      <w:sz w:val="24"/>
      <w:szCs w:val="24"/>
      <w:lang w:eastAsia="en-US"/>
    </w:rPr>
  </w:style>
  <w:style w:type="character" w:customStyle="1" w:styleId="EndNoteBibliographyChar">
    <w:name w:val="EndNote Bibliography Char"/>
    <w:basedOn w:val="DefaultParagraphFont"/>
    <w:link w:val="EndNoteBibliography"/>
    <w:rsid w:val="00593259"/>
    <w:rPr>
      <w:rFonts w:eastAsiaTheme="minorHAnsi" w:cs="Calibri"/>
      <w:sz w:val="24"/>
      <w:szCs w:val="24"/>
      <w:lang w:eastAsia="en-US"/>
    </w:rPr>
  </w:style>
  <w:style w:type="paragraph" w:styleId="ListParagraph">
    <w:name w:val="List Paragraph"/>
    <w:basedOn w:val="Normal"/>
    <w:uiPriority w:val="34"/>
    <w:qFormat/>
    <w:rsid w:val="00FF453C"/>
    <w:pPr>
      <w:ind w:left="720"/>
      <w:contextualSpacing/>
    </w:pPr>
  </w:style>
  <w:style w:type="character" w:customStyle="1" w:styleId="epub-sectionitem">
    <w:name w:val="epub-section__item"/>
    <w:basedOn w:val="DefaultParagraphFont"/>
    <w:rsid w:val="00FF453C"/>
  </w:style>
  <w:style w:type="character" w:customStyle="1" w:styleId="highwire-cite-metadata-pages">
    <w:name w:val="highwire-cite-metadata-pages"/>
    <w:basedOn w:val="DefaultParagraphFont"/>
    <w:rsid w:val="00FF453C"/>
  </w:style>
  <w:style w:type="character" w:customStyle="1" w:styleId="text-del">
    <w:name w:val="text-del"/>
    <w:basedOn w:val="DefaultParagraphFont"/>
    <w:rsid w:val="00FF4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207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or.matthews@nhs.net" TargetMode="External"/><Relationship Id="rId13" Type="http://schemas.openxmlformats.org/officeDocument/2006/relationships/hyperlink" Target="mailto:mveerasamy@nhs.net" TargetMode="External"/><Relationship Id="rId18" Type="http://schemas.openxmlformats.org/officeDocument/2006/relationships/image" Target="media/image3.tiff"/><Relationship Id="rId26"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maznyczka@nhs.net" TargetMode="External"/><Relationship Id="rId12" Type="http://schemas.openxmlformats.org/officeDocument/2006/relationships/hyperlink" Target="mailto:jennifer.rossington@nhs.net" TargetMode="External"/><Relationship Id="rId17" Type="http://schemas.openxmlformats.org/officeDocument/2006/relationships/image" Target="media/image2.jpeg"/><Relationship Id="rId25"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dul.mozid@nhs.net" TargetMode="External"/><Relationship Id="rId24"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mailto:nick.curzen@uhs.nhs.u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j.greenwood@leeds.ac.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onathan.blaxill@nhs.net" TargetMode="External"/><Relationship Id="rId14" Type="http://schemas.openxmlformats.org/officeDocument/2006/relationships/hyperlink" Target="mailto:s.b.wheatcroft@leeds.ac.uk" TargetMode="External"/><Relationship Id="rId22" Type="http://schemas.openxmlformats.org/officeDocument/2006/relationships/header" Target="head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jcm-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C:\Users\MDPI\Desktop\Word templates\jcm-template.dot</Template>
  <TotalTime>1</TotalTime>
  <Pages>14</Pages>
  <Words>5981</Words>
  <Characters>34096</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39998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Heerajnarain Bulluck</cp:lastModifiedBy>
  <cp:revision>3</cp:revision>
  <cp:lastPrinted>2022-11-30T02:40:00Z</cp:lastPrinted>
  <dcterms:created xsi:type="dcterms:W3CDTF">2022-11-30T09:55:00Z</dcterms:created>
  <dcterms:modified xsi:type="dcterms:W3CDTF">2022-11-30T09:55:00Z</dcterms:modified>
</cp:coreProperties>
</file>