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4730" w14:textId="58A41099" w:rsidR="00E9272B" w:rsidRPr="00424424" w:rsidRDefault="00C26685" w:rsidP="00C26685">
      <w:pPr>
        <w:spacing w:after="0"/>
        <w:rPr>
          <w:rFonts w:ascii="Arial" w:eastAsia="Calibri" w:hAnsi="Arial" w:cs="Arial"/>
          <w:b/>
        </w:rPr>
      </w:pPr>
      <w:bookmarkStart w:id="0" w:name="_Hlk93925436"/>
      <w:r w:rsidRPr="00424424">
        <w:rPr>
          <w:rFonts w:ascii="Arial" w:eastAsia="Calibri" w:hAnsi="Arial" w:cs="Arial"/>
          <w:b/>
        </w:rPr>
        <w:t xml:space="preserve">Recent sarcopenia definitions - prevalence, agreement and </w:t>
      </w:r>
      <w:r w:rsidR="00523708">
        <w:rPr>
          <w:rFonts w:ascii="Arial" w:eastAsia="Calibri" w:hAnsi="Arial" w:cs="Arial"/>
          <w:b/>
        </w:rPr>
        <w:t>mortality associations among men</w:t>
      </w:r>
      <w:r w:rsidR="00E903FB" w:rsidRPr="00424424">
        <w:rPr>
          <w:rFonts w:ascii="Arial" w:eastAsia="Calibri" w:hAnsi="Arial" w:cs="Arial"/>
          <w:b/>
        </w:rPr>
        <w:t>:</w:t>
      </w:r>
      <w:r w:rsidRPr="00424424">
        <w:rPr>
          <w:rFonts w:ascii="Arial" w:eastAsia="Calibri" w:hAnsi="Arial" w:cs="Arial"/>
          <w:b/>
        </w:rPr>
        <w:t xml:space="preserve"> findings from population-based cohorts</w:t>
      </w:r>
      <w:bookmarkEnd w:id="0"/>
    </w:p>
    <w:p w14:paraId="1BC67995" w14:textId="77777777" w:rsidR="008E2C72" w:rsidRPr="00424424" w:rsidRDefault="008E2C72" w:rsidP="00C26685">
      <w:pPr>
        <w:spacing w:after="0"/>
        <w:rPr>
          <w:rFonts w:ascii="Arial" w:eastAsia="Calibri" w:hAnsi="Arial" w:cs="Arial"/>
          <w:b/>
        </w:rPr>
      </w:pPr>
    </w:p>
    <w:p w14:paraId="57E23F35" w14:textId="2C7C9DD0" w:rsidR="00C26685" w:rsidRPr="00424424" w:rsidRDefault="00C26685" w:rsidP="00C26685">
      <w:pPr>
        <w:spacing w:after="160" w:line="360" w:lineRule="auto"/>
        <w:rPr>
          <w:rFonts w:ascii="Arial" w:eastAsia="Calibri" w:hAnsi="Arial" w:cs="Arial"/>
          <w:sz w:val="20"/>
          <w:szCs w:val="20"/>
        </w:rPr>
      </w:pPr>
      <w:bookmarkStart w:id="1" w:name="_Hlk93931833"/>
      <w:r w:rsidRPr="00424424">
        <w:rPr>
          <w:rFonts w:ascii="Arial" w:eastAsia="Calibri" w:hAnsi="Arial" w:cs="Arial"/>
          <w:sz w:val="20"/>
          <w:szCs w:val="20"/>
        </w:rPr>
        <w:t>Leo D Westbury</w:t>
      </w:r>
      <w:r w:rsidRPr="00424424">
        <w:rPr>
          <w:rFonts w:ascii="Arial" w:eastAsia="Calibri" w:hAnsi="Arial" w:cs="Arial"/>
          <w:sz w:val="20"/>
          <w:szCs w:val="20"/>
          <w:vertAlign w:val="superscript"/>
        </w:rPr>
        <w:t>1</w:t>
      </w:r>
      <w:r w:rsidRPr="00424424">
        <w:rPr>
          <w:rFonts w:ascii="Arial" w:eastAsia="Calibri" w:hAnsi="Arial" w:cs="Arial"/>
          <w:sz w:val="20"/>
          <w:szCs w:val="20"/>
        </w:rPr>
        <w:t xml:space="preserve">, </w:t>
      </w:r>
      <w:r w:rsidR="007442BD" w:rsidRPr="00424424">
        <w:rPr>
          <w:rFonts w:ascii="Arial" w:eastAsia="Calibri" w:hAnsi="Arial" w:cs="Arial"/>
          <w:sz w:val="20"/>
          <w:szCs w:val="20"/>
        </w:rPr>
        <w:t>Charlotte Beaudart</w:t>
      </w:r>
      <w:r w:rsidR="007442BD" w:rsidRPr="00424424">
        <w:rPr>
          <w:rFonts w:ascii="Arial" w:eastAsia="Calibri" w:hAnsi="Arial" w:cs="Arial"/>
          <w:sz w:val="20"/>
          <w:szCs w:val="20"/>
          <w:vertAlign w:val="superscript"/>
        </w:rPr>
        <w:t>2</w:t>
      </w:r>
      <w:r w:rsidR="007442BD" w:rsidRPr="00424424">
        <w:rPr>
          <w:rFonts w:ascii="Arial" w:eastAsia="Calibri" w:hAnsi="Arial" w:cs="Arial"/>
          <w:sz w:val="20"/>
          <w:szCs w:val="20"/>
        </w:rPr>
        <w:t>, Olivier Bruyère</w:t>
      </w:r>
      <w:r w:rsidR="007442BD" w:rsidRPr="00424424">
        <w:rPr>
          <w:rFonts w:ascii="Arial" w:eastAsia="Calibri" w:hAnsi="Arial" w:cs="Arial"/>
          <w:sz w:val="20"/>
          <w:szCs w:val="20"/>
          <w:vertAlign w:val="superscript"/>
        </w:rPr>
        <w:t>2</w:t>
      </w:r>
      <w:r w:rsidR="007442BD" w:rsidRPr="00424424">
        <w:rPr>
          <w:rFonts w:ascii="Arial" w:eastAsia="Calibri" w:hAnsi="Arial" w:cs="Arial"/>
          <w:sz w:val="20"/>
          <w:szCs w:val="20"/>
        </w:rPr>
        <w:t xml:space="preserve">, </w:t>
      </w:r>
      <w:r w:rsidRPr="00424424">
        <w:rPr>
          <w:rFonts w:ascii="Arial" w:eastAsia="Calibri" w:hAnsi="Arial" w:cs="Arial"/>
          <w:sz w:val="20"/>
          <w:szCs w:val="20"/>
        </w:rPr>
        <w:t>Jane A Cauley</w:t>
      </w:r>
      <w:r w:rsidR="007442BD" w:rsidRPr="00424424">
        <w:rPr>
          <w:rFonts w:ascii="Arial" w:eastAsia="Calibri" w:hAnsi="Arial" w:cs="Arial"/>
          <w:sz w:val="20"/>
          <w:szCs w:val="20"/>
          <w:vertAlign w:val="superscript"/>
        </w:rPr>
        <w:t>3</w:t>
      </w:r>
      <w:r w:rsidRPr="00424424">
        <w:rPr>
          <w:rFonts w:ascii="Arial" w:eastAsia="Calibri" w:hAnsi="Arial" w:cs="Arial"/>
          <w:sz w:val="20"/>
          <w:szCs w:val="20"/>
        </w:rPr>
        <w:t>, Peggy Cawthon</w:t>
      </w:r>
      <w:r w:rsidR="007442BD" w:rsidRPr="00424424">
        <w:rPr>
          <w:rFonts w:ascii="Arial" w:eastAsia="Calibri" w:hAnsi="Arial" w:cs="Arial"/>
          <w:sz w:val="20"/>
          <w:szCs w:val="20"/>
          <w:vertAlign w:val="superscript"/>
        </w:rPr>
        <w:t>4</w:t>
      </w:r>
      <w:r w:rsidRPr="00424424">
        <w:rPr>
          <w:rFonts w:ascii="Arial" w:eastAsia="Calibri" w:hAnsi="Arial" w:cs="Arial"/>
          <w:sz w:val="20"/>
          <w:szCs w:val="20"/>
          <w:vertAlign w:val="superscript"/>
        </w:rPr>
        <w:t>,</w:t>
      </w:r>
      <w:r w:rsidR="007442BD" w:rsidRPr="00424424">
        <w:rPr>
          <w:rFonts w:ascii="Arial" w:eastAsia="Calibri" w:hAnsi="Arial" w:cs="Arial"/>
          <w:sz w:val="20"/>
          <w:szCs w:val="20"/>
          <w:vertAlign w:val="superscript"/>
        </w:rPr>
        <w:t>5</w:t>
      </w:r>
      <w:r w:rsidRPr="00424424">
        <w:rPr>
          <w:rFonts w:ascii="Arial" w:eastAsia="Calibri" w:hAnsi="Arial" w:cs="Arial"/>
          <w:sz w:val="20"/>
          <w:szCs w:val="20"/>
        </w:rPr>
        <w:t>,</w:t>
      </w:r>
      <w:r w:rsidR="00722BC1" w:rsidRPr="00424424">
        <w:rPr>
          <w:rFonts w:ascii="Arial" w:eastAsia="Calibri" w:hAnsi="Arial" w:cs="Arial"/>
          <w:sz w:val="20"/>
          <w:szCs w:val="20"/>
        </w:rPr>
        <w:t xml:space="preserve"> </w:t>
      </w:r>
      <w:bookmarkStart w:id="2" w:name="_Hlk104968751"/>
      <w:r w:rsidR="00722BC1" w:rsidRPr="00424424">
        <w:rPr>
          <w:rFonts w:ascii="Arial" w:eastAsia="Calibri" w:hAnsi="Arial" w:cs="Arial"/>
          <w:sz w:val="20"/>
          <w:szCs w:val="20"/>
        </w:rPr>
        <w:t>Alfonso J Cruz-Jentoft</w:t>
      </w:r>
      <w:bookmarkEnd w:id="2"/>
      <w:r w:rsidR="00722BC1" w:rsidRPr="00424424">
        <w:rPr>
          <w:rFonts w:ascii="Arial" w:eastAsia="Calibri" w:hAnsi="Arial" w:cs="Arial"/>
          <w:sz w:val="20"/>
          <w:szCs w:val="20"/>
          <w:vertAlign w:val="superscript"/>
        </w:rPr>
        <w:t>6</w:t>
      </w:r>
      <w:r w:rsidR="00722BC1" w:rsidRPr="00424424">
        <w:rPr>
          <w:rFonts w:ascii="Arial" w:eastAsia="Calibri" w:hAnsi="Arial" w:cs="Arial"/>
          <w:sz w:val="20"/>
          <w:szCs w:val="20"/>
        </w:rPr>
        <w:t xml:space="preserve">, </w:t>
      </w:r>
      <w:r w:rsidRPr="00424424">
        <w:rPr>
          <w:rFonts w:ascii="Arial" w:eastAsia="Calibri" w:hAnsi="Arial" w:cs="Arial"/>
          <w:sz w:val="20"/>
          <w:szCs w:val="20"/>
        </w:rPr>
        <w:t xml:space="preserve">Elizabeth </w:t>
      </w:r>
      <w:r w:rsidR="003D4C54" w:rsidRPr="00424424">
        <w:rPr>
          <w:rFonts w:ascii="Arial" w:eastAsia="Calibri" w:hAnsi="Arial" w:cs="Arial"/>
          <w:sz w:val="20"/>
          <w:szCs w:val="20"/>
        </w:rPr>
        <w:t xml:space="preserve">M </w:t>
      </w:r>
      <w:r w:rsidRPr="00424424">
        <w:rPr>
          <w:rFonts w:ascii="Arial" w:eastAsia="Calibri" w:hAnsi="Arial" w:cs="Arial"/>
          <w:sz w:val="20"/>
          <w:szCs w:val="20"/>
        </w:rPr>
        <w:t>Curtis</w:t>
      </w:r>
      <w:r w:rsidRPr="00424424">
        <w:rPr>
          <w:rFonts w:ascii="Arial" w:eastAsia="Calibri" w:hAnsi="Arial" w:cs="Arial"/>
          <w:sz w:val="20"/>
          <w:szCs w:val="20"/>
          <w:vertAlign w:val="superscript"/>
        </w:rPr>
        <w:t>1</w:t>
      </w:r>
      <w:r w:rsidRPr="00424424">
        <w:rPr>
          <w:rFonts w:ascii="Arial" w:eastAsia="Calibri" w:hAnsi="Arial" w:cs="Arial"/>
          <w:sz w:val="20"/>
          <w:szCs w:val="20"/>
        </w:rPr>
        <w:t>, Kris</w:t>
      </w:r>
      <w:r w:rsidR="00523893" w:rsidRPr="00424424">
        <w:rPr>
          <w:rFonts w:ascii="Arial" w:eastAsia="Calibri" w:hAnsi="Arial" w:cs="Arial"/>
          <w:sz w:val="20"/>
          <w:szCs w:val="20"/>
        </w:rPr>
        <w:t>tine</w:t>
      </w:r>
      <w:r w:rsidRPr="00424424">
        <w:rPr>
          <w:rFonts w:ascii="Arial" w:eastAsia="Calibri" w:hAnsi="Arial" w:cs="Arial"/>
          <w:sz w:val="20"/>
          <w:szCs w:val="20"/>
        </w:rPr>
        <w:t xml:space="preserve"> Ensrud</w:t>
      </w:r>
      <w:r w:rsidR="00D40F1A" w:rsidRPr="00424424">
        <w:rPr>
          <w:rFonts w:ascii="Arial" w:eastAsia="Calibri" w:hAnsi="Arial" w:cs="Arial"/>
          <w:sz w:val="20"/>
          <w:szCs w:val="20"/>
          <w:vertAlign w:val="superscript"/>
        </w:rPr>
        <w:t>7</w:t>
      </w:r>
      <w:r w:rsidR="007D49D0" w:rsidRPr="00424424">
        <w:rPr>
          <w:rFonts w:ascii="Arial" w:eastAsia="Calibri" w:hAnsi="Arial" w:cs="Arial"/>
          <w:sz w:val="20"/>
          <w:szCs w:val="20"/>
          <w:vertAlign w:val="superscript"/>
        </w:rPr>
        <w:t>,8</w:t>
      </w:r>
      <w:r w:rsidRPr="00424424">
        <w:rPr>
          <w:rFonts w:ascii="Arial" w:eastAsia="Calibri" w:hAnsi="Arial" w:cs="Arial"/>
          <w:sz w:val="20"/>
          <w:szCs w:val="20"/>
        </w:rPr>
        <w:t>, Roger A Fielding</w:t>
      </w:r>
      <w:r w:rsidR="007D49D0" w:rsidRPr="00424424">
        <w:rPr>
          <w:rFonts w:ascii="Arial" w:eastAsia="Calibri" w:hAnsi="Arial" w:cs="Arial"/>
          <w:sz w:val="20"/>
          <w:szCs w:val="20"/>
          <w:vertAlign w:val="superscript"/>
        </w:rPr>
        <w:t>9</w:t>
      </w:r>
      <w:r w:rsidRPr="00424424">
        <w:rPr>
          <w:rFonts w:ascii="Arial" w:eastAsia="Calibri" w:hAnsi="Arial" w:cs="Arial"/>
          <w:sz w:val="20"/>
          <w:szCs w:val="20"/>
        </w:rPr>
        <w:t xml:space="preserve">, </w:t>
      </w:r>
      <w:bookmarkStart w:id="3" w:name="_Hlk106258745"/>
      <w:r w:rsidR="009F3859" w:rsidRPr="00424424">
        <w:rPr>
          <w:rFonts w:ascii="Arial" w:hAnsi="Arial" w:cs="Arial"/>
          <w:sz w:val="20"/>
          <w:szCs w:val="20"/>
        </w:rPr>
        <w:t>Helena Johansson</w:t>
      </w:r>
      <w:bookmarkEnd w:id="3"/>
      <w:r w:rsidR="007D49D0" w:rsidRPr="00424424">
        <w:rPr>
          <w:rFonts w:ascii="Arial" w:hAnsi="Arial" w:cs="Arial"/>
          <w:sz w:val="20"/>
          <w:szCs w:val="20"/>
          <w:vertAlign w:val="superscript"/>
        </w:rPr>
        <w:t>10</w:t>
      </w:r>
      <w:r w:rsidR="009F3859" w:rsidRPr="00424424">
        <w:rPr>
          <w:rFonts w:ascii="Arial" w:hAnsi="Arial" w:cs="Arial"/>
          <w:sz w:val="20"/>
          <w:szCs w:val="20"/>
          <w:vertAlign w:val="superscript"/>
        </w:rPr>
        <w:t>,</w:t>
      </w:r>
      <w:r w:rsidR="007D49D0" w:rsidRPr="00424424">
        <w:rPr>
          <w:rFonts w:ascii="Arial" w:hAnsi="Arial" w:cs="Arial"/>
          <w:sz w:val="20"/>
          <w:szCs w:val="20"/>
          <w:vertAlign w:val="superscript"/>
        </w:rPr>
        <w:t>11</w:t>
      </w:r>
      <w:r w:rsidR="009F3859" w:rsidRPr="00424424">
        <w:rPr>
          <w:rFonts w:ascii="Arial" w:hAnsi="Arial" w:cs="Arial"/>
          <w:sz w:val="20"/>
          <w:szCs w:val="20"/>
        </w:rPr>
        <w:t xml:space="preserve">, </w:t>
      </w:r>
      <w:r w:rsidRPr="00424424">
        <w:rPr>
          <w:rFonts w:ascii="Arial" w:eastAsia="Calibri" w:hAnsi="Arial" w:cs="Arial"/>
          <w:sz w:val="20"/>
          <w:szCs w:val="20"/>
        </w:rPr>
        <w:t xml:space="preserve">John </w:t>
      </w:r>
      <w:r w:rsidR="003D4C54" w:rsidRPr="00424424">
        <w:rPr>
          <w:rFonts w:ascii="Arial" w:eastAsia="Calibri" w:hAnsi="Arial" w:cs="Arial"/>
          <w:sz w:val="20"/>
          <w:szCs w:val="20"/>
        </w:rPr>
        <w:t xml:space="preserve">A </w:t>
      </w:r>
      <w:r w:rsidRPr="00424424">
        <w:rPr>
          <w:rFonts w:ascii="Arial" w:eastAsia="Calibri" w:hAnsi="Arial" w:cs="Arial"/>
          <w:sz w:val="20"/>
          <w:szCs w:val="20"/>
        </w:rPr>
        <w:t>Kanis</w:t>
      </w:r>
      <w:r w:rsidR="007D49D0" w:rsidRPr="00424424">
        <w:rPr>
          <w:rFonts w:ascii="Arial" w:eastAsia="Calibri" w:hAnsi="Arial" w:cs="Arial"/>
          <w:sz w:val="20"/>
          <w:szCs w:val="20"/>
          <w:vertAlign w:val="superscript"/>
        </w:rPr>
        <w:t>10</w:t>
      </w:r>
      <w:r w:rsidRPr="00424424">
        <w:rPr>
          <w:rFonts w:ascii="Arial" w:eastAsia="Calibri" w:hAnsi="Arial" w:cs="Arial"/>
          <w:sz w:val="20"/>
          <w:szCs w:val="20"/>
          <w:vertAlign w:val="superscript"/>
        </w:rPr>
        <w:t>,</w:t>
      </w:r>
      <w:r w:rsidR="00D40F1A" w:rsidRPr="00424424">
        <w:rPr>
          <w:rFonts w:ascii="Arial" w:eastAsia="Calibri" w:hAnsi="Arial" w:cs="Arial"/>
          <w:sz w:val="20"/>
          <w:szCs w:val="20"/>
          <w:vertAlign w:val="superscript"/>
        </w:rPr>
        <w:t>1</w:t>
      </w:r>
      <w:r w:rsidR="007D49D0" w:rsidRPr="00424424">
        <w:rPr>
          <w:rFonts w:ascii="Arial" w:eastAsia="Calibri" w:hAnsi="Arial" w:cs="Arial"/>
          <w:sz w:val="20"/>
          <w:szCs w:val="20"/>
          <w:vertAlign w:val="superscript"/>
        </w:rPr>
        <w:t>2</w:t>
      </w:r>
      <w:r w:rsidRPr="00424424">
        <w:rPr>
          <w:rFonts w:ascii="Arial" w:eastAsia="Calibri" w:hAnsi="Arial" w:cs="Arial"/>
          <w:sz w:val="20"/>
          <w:szCs w:val="20"/>
        </w:rPr>
        <w:t>, Magnus K Karlsson</w:t>
      </w:r>
      <w:r w:rsidR="007D49D0" w:rsidRPr="00424424">
        <w:rPr>
          <w:rFonts w:ascii="Arial" w:eastAsia="Calibri" w:hAnsi="Arial" w:cs="Arial"/>
          <w:sz w:val="20"/>
          <w:szCs w:val="20"/>
          <w:vertAlign w:val="superscript"/>
        </w:rPr>
        <w:t>13</w:t>
      </w:r>
      <w:r w:rsidRPr="00424424">
        <w:rPr>
          <w:rFonts w:ascii="Arial" w:eastAsia="Calibri" w:hAnsi="Arial" w:cs="Arial"/>
          <w:sz w:val="20"/>
          <w:szCs w:val="20"/>
        </w:rPr>
        <w:t xml:space="preserve">, Nancy </w:t>
      </w:r>
      <w:r w:rsidR="00274EFC" w:rsidRPr="00424424">
        <w:rPr>
          <w:rFonts w:ascii="Arial" w:eastAsia="Calibri" w:hAnsi="Arial" w:cs="Arial"/>
          <w:sz w:val="20"/>
          <w:szCs w:val="20"/>
        </w:rPr>
        <w:t xml:space="preserve">E </w:t>
      </w:r>
      <w:r w:rsidRPr="00424424">
        <w:rPr>
          <w:rFonts w:ascii="Arial" w:eastAsia="Calibri" w:hAnsi="Arial" w:cs="Arial"/>
          <w:sz w:val="20"/>
          <w:szCs w:val="20"/>
        </w:rPr>
        <w:t>Lane</w:t>
      </w:r>
      <w:r w:rsidR="007D49D0"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4</w:t>
      </w:r>
      <w:r w:rsidRPr="00424424">
        <w:rPr>
          <w:rFonts w:ascii="Arial" w:eastAsia="Calibri" w:hAnsi="Arial" w:cs="Arial"/>
          <w:sz w:val="20"/>
          <w:szCs w:val="20"/>
        </w:rPr>
        <w:t xml:space="preserve">, </w:t>
      </w:r>
      <w:r w:rsidR="007442BD" w:rsidRPr="00424424">
        <w:rPr>
          <w:rFonts w:ascii="Arial" w:eastAsia="Calibri" w:hAnsi="Arial" w:cs="Arial"/>
          <w:sz w:val="20"/>
          <w:szCs w:val="20"/>
        </w:rPr>
        <w:t>Laetitia Lengelé</w:t>
      </w:r>
      <w:r w:rsidR="007442BD" w:rsidRPr="00424424">
        <w:rPr>
          <w:rFonts w:ascii="Arial" w:eastAsia="Calibri" w:hAnsi="Arial" w:cs="Arial"/>
          <w:sz w:val="20"/>
          <w:szCs w:val="20"/>
          <w:vertAlign w:val="superscript"/>
        </w:rPr>
        <w:t>2</w:t>
      </w:r>
      <w:r w:rsidR="007442BD" w:rsidRPr="00424424">
        <w:rPr>
          <w:rFonts w:ascii="Arial" w:eastAsia="Calibri" w:hAnsi="Arial" w:cs="Arial"/>
          <w:sz w:val="20"/>
          <w:szCs w:val="20"/>
        </w:rPr>
        <w:t xml:space="preserve">, </w:t>
      </w:r>
      <w:r w:rsidR="007F535A" w:rsidRPr="007F535A">
        <w:rPr>
          <w:rFonts w:ascii="Arial" w:eastAsia="Calibri" w:hAnsi="Arial" w:cs="Arial"/>
          <w:sz w:val="20"/>
          <w:szCs w:val="20"/>
        </w:rPr>
        <w:t xml:space="preserve">Mattias </w:t>
      </w:r>
      <w:r w:rsidRPr="00424424">
        <w:rPr>
          <w:rFonts w:ascii="Arial" w:eastAsia="Calibri" w:hAnsi="Arial" w:cs="Arial"/>
          <w:sz w:val="20"/>
          <w:szCs w:val="20"/>
        </w:rPr>
        <w:t>Lorentzon</w:t>
      </w:r>
      <w:r w:rsidR="007D49D0" w:rsidRPr="00424424">
        <w:rPr>
          <w:rFonts w:ascii="Arial" w:eastAsia="Calibri" w:hAnsi="Arial" w:cs="Arial"/>
          <w:sz w:val="20"/>
          <w:szCs w:val="20"/>
          <w:vertAlign w:val="superscript"/>
        </w:rPr>
        <w:t>10</w:t>
      </w:r>
      <w:r w:rsidRPr="00424424">
        <w:rPr>
          <w:rFonts w:ascii="Arial" w:eastAsia="Calibri" w:hAnsi="Arial" w:cs="Arial"/>
          <w:sz w:val="20"/>
          <w:szCs w:val="20"/>
          <w:vertAlign w:val="superscript"/>
        </w:rPr>
        <w:t>,</w:t>
      </w:r>
      <w:r w:rsidR="00D40F1A"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5</w:t>
      </w:r>
      <w:r w:rsidRPr="00424424">
        <w:rPr>
          <w:rFonts w:ascii="Arial" w:eastAsia="Calibri" w:hAnsi="Arial" w:cs="Arial"/>
          <w:sz w:val="20"/>
          <w:szCs w:val="20"/>
        </w:rPr>
        <w:t>, Eugene McCloskey</w:t>
      </w:r>
      <w:r w:rsidR="007D49D0" w:rsidRPr="00424424">
        <w:rPr>
          <w:rFonts w:ascii="Arial" w:eastAsia="Calibri" w:hAnsi="Arial" w:cs="Arial"/>
          <w:sz w:val="20"/>
          <w:szCs w:val="20"/>
          <w:vertAlign w:val="superscript"/>
        </w:rPr>
        <w:t>10</w:t>
      </w: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6</w:t>
      </w:r>
      <w:r w:rsidRPr="00424424">
        <w:rPr>
          <w:rFonts w:ascii="Arial" w:eastAsia="Calibri" w:hAnsi="Arial" w:cs="Arial"/>
          <w:sz w:val="20"/>
          <w:szCs w:val="20"/>
        </w:rPr>
        <w:t>, Dan Mellström</w:t>
      </w: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7</w:t>
      </w:r>
      <w:r w:rsidRPr="00424424">
        <w:rPr>
          <w:rFonts w:ascii="Arial" w:eastAsia="Calibri" w:hAnsi="Arial" w:cs="Arial"/>
          <w:sz w:val="20"/>
          <w:szCs w:val="20"/>
        </w:rPr>
        <w:t>, Anne B Newman</w:t>
      </w:r>
      <w:r w:rsidR="007442BD" w:rsidRPr="00424424">
        <w:rPr>
          <w:rFonts w:ascii="Arial" w:eastAsia="Calibri" w:hAnsi="Arial" w:cs="Arial"/>
          <w:sz w:val="20"/>
          <w:szCs w:val="20"/>
          <w:vertAlign w:val="superscript"/>
        </w:rPr>
        <w:t>3</w:t>
      </w:r>
      <w:r w:rsidRPr="00424424">
        <w:rPr>
          <w:rFonts w:ascii="Arial" w:eastAsia="Calibri" w:hAnsi="Arial" w:cs="Arial"/>
          <w:sz w:val="20"/>
          <w:szCs w:val="20"/>
        </w:rPr>
        <w:t>, Claes Ohlsson</w:t>
      </w: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8</w:t>
      </w:r>
      <w:r w:rsidR="00C4032D" w:rsidRPr="00424424">
        <w:rPr>
          <w:rFonts w:ascii="Arial" w:eastAsia="Calibri" w:hAnsi="Arial" w:cs="Arial"/>
          <w:sz w:val="20"/>
          <w:szCs w:val="20"/>
          <w:vertAlign w:val="superscript"/>
        </w:rPr>
        <w:t>,</w:t>
      </w:r>
      <w:r w:rsidR="00424424">
        <w:rPr>
          <w:rFonts w:ascii="Arial" w:eastAsia="Calibri" w:hAnsi="Arial" w:cs="Arial"/>
          <w:sz w:val="20"/>
          <w:szCs w:val="20"/>
          <w:vertAlign w:val="superscript"/>
        </w:rPr>
        <w:t>19</w:t>
      </w:r>
      <w:r w:rsidRPr="00424424">
        <w:rPr>
          <w:rFonts w:ascii="Arial" w:eastAsia="Calibri" w:hAnsi="Arial" w:cs="Arial"/>
          <w:sz w:val="20"/>
          <w:szCs w:val="20"/>
        </w:rPr>
        <w:t>, Eric Orwoll</w:t>
      </w:r>
      <w:r w:rsidR="00C4032D"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0</w:t>
      </w:r>
      <w:r w:rsidRPr="00424424">
        <w:rPr>
          <w:rFonts w:ascii="Arial" w:eastAsia="Calibri" w:hAnsi="Arial" w:cs="Arial"/>
          <w:sz w:val="20"/>
          <w:szCs w:val="20"/>
        </w:rPr>
        <w:t xml:space="preserve">, </w:t>
      </w:r>
      <w:r w:rsidR="007442BD" w:rsidRPr="00424424">
        <w:rPr>
          <w:rFonts w:ascii="Arial" w:eastAsia="Calibri" w:hAnsi="Arial" w:cs="Arial"/>
          <w:sz w:val="20"/>
          <w:szCs w:val="20"/>
        </w:rPr>
        <w:t>Jean-Yves Reginster</w:t>
      </w:r>
      <w:r w:rsidR="007442BD" w:rsidRPr="00424424">
        <w:rPr>
          <w:rFonts w:ascii="Arial" w:eastAsia="Calibri" w:hAnsi="Arial" w:cs="Arial"/>
          <w:sz w:val="20"/>
          <w:szCs w:val="20"/>
          <w:vertAlign w:val="superscript"/>
        </w:rPr>
        <w:t>2</w:t>
      </w:r>
      <w:r w:rsidR="007442BD" w:rsidRPr="00424424">
        <w:rPr>
          <w:rFonts w:ascii="Arial" w:eastAsia="Calibri" w:hAnsi="Arial" w:cs="Arial"/>
          <w:sz w:val="20"/>
          <w:szCs w:val="20"/>
        </w:rPr>
        <w:t xml:space="preserve">, </w:t>
      </w:r>
      <w:r w:rsidRPr="00424424">
        <w:rPr>
          <w:rFonts w:ascii="Arial" w:eastAsia="Calibri" w:hAnsi="Arial" w:cs="Arial"/>
          <w:sz w:val="20"/>
          <w:szCs w:val="20"/>
        </w:rPr>
        <w:t>Eva Ribom</w:t>
      </w:r>
      <w:r w:rsidR="00C4032D"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1</w:t>
      </w:r>
      <w:r w:rsidRPr="00424424">
        <w:rPr>
          <w:rFonts w:ascii="Arial" w:eastAsia="Calibri" w:hAnsi="Arial" w:cs="Arial"/>
          <w:sz w:val="20"/>
          <w:szCs w:val="20"/>
        </w:rPr>
        <w:t>, Björn E Rosengren</w:t>
      </w:r>
      <w:r w:rsidR="007442BD" w:rsidRPr="00424424">
        <w:rPr>
          <w:rFonts w:ascii="Arial" w:eastAsia="Calibri" w:hAnsi="Arial" w:cs="Arial"/>
          <w:sz w:val="20"/>
          <w:szCs w:val="20"/>
          <w:vertAlign w:val="superscript"/>
        </w:rPr>
        <w:t>1</w:t>
      </w:r>
      <w:r w:rsidR="007D49D0" w:rsidRPr="00424424">
        <w:rPr>
          <w:rFonts w:ascii="Arial" w:eastAsia="Calibri" w:hAnsi="Arial" w:cs="Arial"/>
          <w:sz w:val="20"/>
          <w:szCs w:val="20"/>
          <w:vertAlign w:val="superscript"/>
        </w:rPr>
        <w:t>3</w:t>
      </w:r>
      <w:r w:rsidRPr="00424424">
        <w:rPr>
          <w:rFonts w:ascii="Arial" w:eastAsia="Calibri" w:hAnsi="Arial" w:cs="Arial"/>
          <w:sz w:val="20"/>
          <w:szCs w:val="20"/>
        </w:rPr>
        <w:t>, John T. Schousboe</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2</w:t>
      </w:r>
      <w:r w:rsidRPr="00424424">
        <w:rPr>
          <w:rFonts w:ascii="Arial" w:eastAsia="Calibri" w:hAnsi="Arial" w:cs="Arial"/>
          <w:sz w:val="20"/>
          <w:szCs w:val="20"/>
          <w:vertAlign w:val="superscript"/>
        </w:rPr>
        <w:t>,</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3</w:t>
      </w:r>
      <w:r w:rsidRPr="00424424">
        <w:rPr>
          <w:rFonts w:ascii="Arial" w:eastAsia="Calibri" w:hAnsi="Arial" w:cs="Arial"/>
          <w:sz w:val="20"/>
          <w:szCs w:val="20"/>
        </w:rPr>
        <w:t>, Eric J Shiroma</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4</w:t>
      </w:r>
      <w:r w:rsidRPr="00424424">
        <w:rPr>
          <w:rFonts w:ascii="Arial" w:eastAsia="Calibri" w:hAnsi="Arial" w:cs="Arial"/>
          <w:sz w:val="20"/>
          <w:szCs w:val="20"/>
        </w:rPr>
        <w:t>,</w:t>
      </w:r>
      <w:r w:rsidR="007442BD" w:rsidRPr="00424424">
        <w:rPr>
          <w:rFonts w:ascii="Arial" w:eastAsia="Calibri" w:hAnsi="Arial" w:cs="Arial"/>
          <w:sz w:val="20"/>
          <w:szCs w:val="20"/>
        </w:rPr>
        <w:t xml:space="preserve"> </w:t>
      </w:r>
      <w:r w:rsidRPr="00424424">
        <w:rPr>
          <w:rFonts w:ascii="Arial" w:eastAsia="Calibri" w:hAnsi="Arial" w:cs="Arial"/>
          <w:sz w:val="20"/>
          <w:szCs w:val="20"/>
        </w:rPr>
        <w:t>Nicholas C Harvey</w:t>
      </w:r>
      <w:r w:rsidRPr="00424424">
        <w:rPr>
          <w:rFonts w:ascii="Arial" w:eastAsia="Calibri" w:hAnsi="Arial" w:cs="Arial"/>
          <w:sz w:val="20"/>
          <w:szCs w:val="20"/>
          <w:vertAlign w:val="superscript"/>
        </w:rPr>
        <w:t>1,</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5</w:t>
      </w:r>
      <w:r w:rsidRPr="00424424">
        <w:rPr>
          <w:rFonts w:ascii="Arial" w:eastAsia="Calibri" w:hAnsi="Arial" w:cs="Arial"/>
          <w:sz w:val="20"/>
          <w:szCs w:val="20"/>
        </w:rPr>
        <w:t>, Elaine M Dennison</w:t>
      </w:r>
      <w:r w:rsidRPr="00424424">
        <w:rPr>
          <w:rFonts w:ascii="Arial" w:eastAsia="Calibri" w:hAnsi="Arial" w:cs="Arial"/>
          <w:sz w:val="20"/>
          <w:szCs w:val="20"/>
          <w:vertAlign w:val="superscript"/>
        </w:rPr>
        <w:t>1,</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5</w:t>
      </w:r>
      <w:r w:rsidRPr="00424424">
        <w:rPr>
          <w:rFonts w:ascii="Arial" w:eastAsia="Calibri" w:hAnsi="Arial" w:cs="Arial"/>
          <w:sz w:val="20"/>
          <w:szCs w:val="20"/>
          <w:vertAlign w:val="superscript"/>
        </w:rPr>
        <w:t>,</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6</w:t>
      </w:r>
      <w:r w:rsidRPr="00424424">
        <w:rPr>
          <w:rFonts w:ascii="Arial" w:eastAsia="Calibri" w:hAnsi="Arial" w:cs="Arial"/>
          <w:sz w:val="20"/>
          <w:szCs w:val="20"/>
        </w:rPr>
        <w:t>, Cyrus Cooper</w:t>
      </w:r>
      <w:r w:rsidRPr="00424424">
        <w:rPr>
          <w:rFonts w:ascii="Arial" w:eastAsia="Calibri" w:hAnsi="Arial" w:cs="Arial"/>
          <w:sz w:val="20"/>
          <w:szCs w:val="20"/>
          <w:vertAlign w:val="superscript"/>
        </w:rPr>
        <w:t>1,</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5</w:t>
      </w:r>
      <w:r w:rsidRPr="00424424">
        <w:rPr>
          <w:rFonts w:ascii="Arial" w:eastAsia="Calibri" w:hAnsi="Arial" w:cs="Arial"/>
          <w:sz w:val="20"/>
          <w:szCs w:val="20"/>
          <w:vertAlign w:val="superscript"/>
        </w:rPr>
        <w:t>,</w:t>
      </w:r>
      <w:r w:rsidR="00A43A13" w:rsidRPr="00424424">
        <w:rPr>
          <w:rFonts w:ascii="Arial" w:eastAsia="Calibri" w:hAnsi="Arial" w:cs="Arial"/>
          <w:sz w:val="20"/>
          <w:szCs w:val="20"/>
          <w:vertAlign w:val="superscript"/>
        </w:rPr>
        <w:t>2</w:t>
      </w:r>
      <w:r w:rsidR="00424424">
        <w:rPr>
          <w:rFonts w:ascii="Arial" w:eastAsia="Calibri" w:hAnsi="Arial" w:cs="Arial"/>
          <w:sz w:val="20"/>
          <w:szCs w:val="20"/>
          <w:vertAlign w:val="superscript"/>
        </w:rPr>
        <w:t>7</w:t>
      </w:r>
      <w:r w:rsidR="008C441F" w:rsidRPr="00424424">
        <w:rPr>
          <w:rFonts w:ascii="Arial" w:eastAsia="Calibri" w:hAnsi="Arial" w:cs="Arial"/>
          <w:sz w:val="20"/>
          <w:szCs w:val="20"/>
        </w:rPr>
        <w:t xml:space="preserve"> and the International Musculoskeletal Ageing Network</w:t>
      </w:r>
    </w:p>
    <w:bookmarkEnd w:id="1"/>
    <w:p w14:paraId="1D9FACAC" w14:textId="0905F451" w:rsidR="00C26685" w:rsidRPr="00424424" w:rsidRDefault="00C26685" w:rsidP="00C26685">
      <w:pPr>
        <w:spacing w:after="160"/>
        <w:rPr>
          <w:rFonts w:ascii="Arial" w:eastAsia="Calibri" w:hAnsi="Arial" w:cs="Arial"/>
          <w:sz w:val="20"/>
          <w:szCs w:val="20"/>
        </w:rPr>
      </w:pPr>
      <w:r w:rsidRPr="00424424">
        <w:rPr>
          <w:rFonts w:ascii="Arial" w:eastAsia="Calibri" w:hAnsi="Arial" w:cs="Arial"/>
          <w:sz w:val="20"/>
          <w:szCs w:val="20"/>
          <w:vertAlign w:val="superscript"/>
        </w:rPr>
        <w:t>1</w:t>
      </w:r>
      <w:r w:rsidRPr="00424424">
        <w:rPr>
          <w:rFonts w:ascii="Arial" w:eastAsia="Calibri" w:hAnsi="Arial" w:cs="Arial"/>
          <w:sz w:val="20"/>
          <w:szCs w:val="20"/>
        </w:rPr>
        <w:t>MRC Lifecourse Epidemiology Centre, University of Southampton, Southampton, UK</w:t>
      </w:r>
    </w:p>
    <w:p w14:paraId="0A96BB86" w14:textId="53A4C085" w:rsidR="00E9272B" w:rsidRPr="00424424" w:rsidRDefault="00E9272B" w:rsidP="00C26685">
      <w:pPr>
        <w:spacing w:after="160"/>
        <w:rPr>
          <w:rFonts w:ascii="Arial" w:eastAsia="Calibri" w:hAnsi="Arial" w:cs="Arial"/>
          <w:sz w:val="20"/>
          <w:szCs w:val="20"/>
        </w:rPr>
      </w:pPr>
      <w:r w:rsidRPr="00424424">
        <w:rPr>
          <w:rFonts w:ascii="Arial" w:eastAsia="Calibri" w:hAnsi="Arial" w:cs="Arial"/>
          <w:sz w:val="20"/>
          <w:szCs w:val="20"/>
          <w:vertAlign w:val="superscript"/>
        </w:rPr>
        <w:t>2</w:t>
      </w:r>
      <w:r w:rsidRPr="00424424">
        <w:rPr>
          <w:rFonts w:ascii="Arial" w:eastAsia="Calibri" w:hAnsi="Arial" w:cs="Arial"/>
          <w:sz w:val="20"/>
          <w:szCs w:val="20"/>
        </w:rPr>
        <w:t>WHO Collaborating Centre for Public Health Aspects of Musculoskeletal Health and Aging, Division of Public Health, Epidemiology and Health Economics, University of Liège, Liège, Belgium</w:t>
      </w:r>
    </w:p>
    <w:p w14:paraId="11B002DA" w14:textId="5687F09D" w:rsidR="00C26685" w:rsidRPr="00424424" w:rsidRDefault="00E9272B" w:rsidP="00C26685">
      <w:pPr>
        <w:spacing w:after="160"/>
        <w:rPr>
          <w:rFonts w:ascii="Arial" w:eastAsia="Calibri" w:hAnsi="Arial" w:cs="Arial"/>
          <w:sz w:val="20"/>
          <w:szCs w:val="20"/>
        </w:rPr>
      </w:pPr>
      <w:r w:rsidRPr="00424424">
        <w:rPr>
          <w:rFonts w:ascii="Arial" w:eastAsia="Calibri" w:hAnsi="Arial" w:cs="Arial"/>
          <w:sz w:val="20"/>
          <w:szCs w:val="20"/>
          <w:vertAlign w:val="superscript"/>
        </w:rPr>
        <w:t>3</w:t>
      </w:r>
      <w:r w:rsidR="00C26685" w:rsidRPr="00424424">
        <w:rPr>
          <w:rFonts w:ascii="Arial" w:eastAsia="Calibri" w:hAnsi="Arial" w:cs="Arial"/>
          <w:sz w:val="20"/>
          <w:szCs w:val="20"/>
        </w:rPr>
        <w:t>Department of Epidemiology, School of Public Health, University of Pittsburgh, Pittsburgh, USA</w:t>
      </w:r>
    </w:p>
    <w:p w14:paraId="286A19CC" w14:textId="250DD739" w:rsidR="00C26685" w:rsidRPr="00424424" w:rsidRDefault="00E9272B" w:rsidP="00C26685">
      <w:pPr>
        <w:spacing w:after="160"/>
        <w:rPr>
          <w:rFonts w:ascii="Arial" w:eastAsia="Calibri" w:hAnsi="Arial" w:cs="Arial"/>
          <w:sz w:val="20"/>
          <w:szCs w:val="20"/>
        </w:rPr>
      </w:pPr>
      <w:r w:rsidRPr="00424424">
        <w:rPr>
          <w:rFonts w:ascii="Arial" w:eastAsia="Calibri" w:hAnsi="Arial" w:cs="Arial"/>
          <w:sz w:val="20"/>
          <w:szCs w:val="20"/>
          <w:vertAlign w:val="superscript"/>
        </w:rPr>
        <w:t>4</w:t>
      </w:r>
      <w:r w:rsidR="00C26685" w:rsidRPr="00424424">
        <w:rPr>
          <w:rFonts w:ascii="Arial" w:eastAsia="Calibri" w:hAnsi="Arial" w:cs="Arial"/>
          <w:sz w:val="20"/>
          <w:szCs w:val="20"/>
        </w:rPr>
        <w:t>Research Institute, California Pacific Medical Center, San Francisco, California, USA</w:t>
      </w:r>
    </w:p>
    <w:p w14:paraId="096C6E38" w14:textId="1135F66F" w:rsidR="00C26685" w:rsidRPr="00424424" w:rsidRDefault="00E9272B" w:rsidP="00C26685">
      <w:pPr>
        <w:spacing w:after="160"/>
        <w:rPr>
          <w:rFonts w:ascii="Arial" w:eastAsia="Calibri" w:hAnsi="Arial" w:cs="Arial"/>
          <w:sz w:val="20"/>
          <w:szCs w:val="20"/>
        </w:rPr>
      </w:pPr>
      <w:r w:rsidRPr="00424424">
        <w:rPr>
          <w:rFonts w:ascii="Arial" w:eastAsia="Calibri" w:hAnsi="Arial" w:cs="Arial"/>
          <w:sz w:val="20"/>
          <w:szCs w:val="20"/>
          <w:vertAlign w:val="superscript"/>
        </w:rPr>
        <w:t>5</w:t>
      </w:r>
      <w:r w:rsidR="00C26685" w:rsidRPr="00424424">
        <w:rPr>
          <w:rFonts w:ascii="Arial" w:eastAsia="Calibri" w:hAnsi="Arial" w:cs="Arial"/>
          <w:sz w:val="20"/>
          <w:szCs w:val="20"/>
        </w:rPr>
        <w:t>Department of Epidemiology and Biostatistics, University of California, San Francisco, California, USA</w:t>
      </w:r>
    </w:p>
    <w:p w14:paraId="5E3BC448" w14:textId="5DCCD7DF" w:rsidR="00722BC1" w:rsidRPr="00424424" w:rsidRDefault="00722BC1" w:rsidP="00C26685">
      <w:pPr>
        <w:spacing w:after="160"/>
        <w:rPr>
          <w:rFonts w:ascii="Arial" w:eastAsia="Calibri" w:hAnsi="Arial" w:cs="Arial"/>
          <w:sz w:val="20"/>
          <w:szCs w:val="20"/>
        </w:rPr>
      </w:pPr>
      <w:r w:rsidRPr="00424424">
        <w:rPr>
          <w:rFonts w:ascii="Arial" w:eastAsia="Calibri" w:hAnsi="Arial" w:cs="Arial"/>
          <w:sz w:val="20"/>
          <w:szCs w:val="20"/>
          <w:vertAlign w:val="superscript"/>
        </w:rPr>
        <w:t>6</w:t>
      </w:r>
      <w:r w:rsidRPr="00424424">
        <w:rPr>
          <w:rFonts w:ascii="Arial" w:eastAsia="Calibri" w:hAnsi="Arial" w:cs="Arial"/>
          <w:sz w:val="20"/>
          <w:szCs w:val="20"/>
        </w:rPr>
        <w:t>Servicio de Geriatría, Hospital Universitario Ramón y Cajal (IRYCIS), Madrid, Spain</w:t>
      </w:r>
    </w:p>
    <w:p w14:paraId="1FCD1C48" w14:textId="4BF590A9" w:rsidR="00C26685" w:rsidRPr="00424424" w:rsidRDefault="00D40F1A" w:rsidP="00C26685">
      <w:pPr>
        <w:spacing w:after="160"/>
        <w:rPr>
          <w:rFonts w:ascii="Arial" w:eastAsia="Calibri" w:hAnsi="Arial" w:cs="Arial"/>
          <w:sz w:val="20"/>
          <w:szCs w:val="20"/>
        </w:rPr>
      </w:pPr>
      <w:r w:rsidRPr="00424424">
        <w:rPr>
          <w:rFonts w:ascii="Arial" w:eastAsia="Calibri" w:hAnsi="Arial" w:cs="Arial"/>
          <w:sz w:val="20"/>
          <w:szCs w:val="20"/>
          <w:vertAlign w:val="superscript"/>
        </w:rPr>
        <w:t>7</w:t>
      </w:r>
      <w:r w:rsidR="00C26685" w:rsidRPr="00424424">
        <w:rPr>
          <w:rFonts w:ascii="Arial" w:eastAsia="Calibri" w:hAnsi="Arial" w:cs="Arial"/>
          <w:sz w:val="20"/>
          <w:szCs w:val="20"/>
        </w:rPr>
        <w:t>Medicine and Epidemiology &amp; Community Health, University of Minnesota, Minnesota, USA</w:t>
      </w:r>
    </w:p>
    <w:p w14:paraId="26BB7E5C" w14:textId="22C3F21E" w:rsidR="007D49D0" w:rsidRPr="00424424" w:rsidRDefault="007D49D0" w:rsidP="007D49D0">
      <w:pPr>
        <w:spacing w:after="160"/>
        <w:rPr>
          <w:rFonts w:ascii="Arial" w:eastAsia="Calibri" w:hAnsi="Arial" w:cs="Arial"/>
          <w:sz w:val="20"/>
          <w:szCs w:val="20"/>
        </w:rPr>
      </w:pPr>
      <w:r w:rsidRPr="00424424">
        <w:rPr>
          <w:rFonts w:ascii="Arial" w:eastAsia="Calibri" w:hAnsi="Arial" w:cs="Arial"/>
          <w:sz w:val="20"/>
          <w:szCs w:val="20"/>
          <w:vertAlign w:val="superscript"/>
        </w:rPr>
        <w:t>8</w:t>
      </w:r>
      <w:r w:rsidRPr="00424424">
        <w:rPr>
          <w:rFonts w:ascii="Arial" w:eastAsia="Calibri" w:hAnsi="Arial" w:cs="Arial"/>
          <w:sz w:val="20"/>
          <w:szCs w:val="20"/>
        </w:rPr>
        <w:t>Center for Care Delivery and Outcomes Research, Minneapolis VA Health Care System, Minneapolis MN, USA</w:t>
      </w:r>
    </w:p>
    <w:p w14:paraId="1AC2CA01" w14:textId="32E878CF" w:rsidR="00C26685" w:rsidRPr="00424424" w:rsidRDefault="00160521" w:rsidP="00C26685">
      <w:pPr>
        <w:spacing w:after="160"/>
        <w:rPr>
          <w:rFonts w:ascii="Arial" w:eastAsia="Calibri" w:hAnsi="Arial" w:cs="Arial"/>
          <w:sz w:val="20"/>
          <w:szCs w:val="20"/>
        </w:rPr>
      </w:pPr>
      <w:r w:rsidRPr="00424424">
        <w:rPr>
          <w:rFonts w:ascii="Arial" w:eastAsia="Calibri" w:hAnsi="Arial" w:cs="Arial"/>
          <w:sz w:val="20"/>
          <w:szCs w:val="20"/>
          <w:vertAlign w:val="superscript"/>
        </w:rPr>
        <w:t>9</w:t>
      </w:r>
      <w:r w:rsidR="00C26685" w:rsidRPr="00424424">
        <w:rPr>
          <w:rFonts w:ascii="Arial" w:eastAsia="Calibri" w:hAnsi="Arial" w:cs="Arial"/>
          <w:sz w:val="20"/>
          <w:szCs w:val="20"/>
        </w:rPr>
        <w:t>Nutrition, Exercise Physiology, and Sarcopenia Laboratory, Jean Mayer USDA Human Nutrition Research Center on Aging, Tufts University, Boston, USA</w:t>
      </w:r>
    </w:p>
    <w:p w14:paraId="242F5A63" w14:textId="7D2C3745" w:rsidR="009F3859" w:rsidRPr="00424424" w:rsidRDefault="00160521" w:rsidP="009F3859">
      <w:pPr>
        <w:rPr>
          <w:rFonts w:ascii="Arial" w:hAnsi="Arial" w:cs="Arial"/>
          <w:sz w:val="20"/>
          <w:szCs w:val="20"/>
        </w:rPr>
      </w:pPr>
      <w:r w:rsidRPr="00424424">
        <w:rPr>
          <w:rFonts w:ascii="Arial" w:hAnsi="Arial" w:cs="Arial"/>
          <w:sz w:val="20"/>
          <w:szCs w:val="20"/>
          <w:vertAlign w:val="superscript"/>
        </w:rPr>
        <w:t>10</w:t>
      </w:r>
      <w:r w:rsidR="009F3859" w:rsidRPr="00424424">
        <w:rPr>
          <w:rFonts w:ascii="Arial" w:hAnsi="Arial" w:cs="Arial"/>
          <w:sz w:val="20"/>
          <w:szCs w:val="20"/>
        </w:rPr>
        <w:t>Mary MacKillop Institute for Health Research, Australian Catholic University, Melbourne, Australia</w:t>
      </w:r>
    </w:p>
    <w:p w14:paraId="18EF0213" w14:textId="5EB9D3A4" w:rsidR="009F3859" w:rsidRPr="00424424" w:rsidRDefault="009F3859" w:rsidP="009F3859">
      <w:pPr>
        <w:rPr>
          <w:rFonts w:ascii="Arial" w:hAnsi="Arial" w:cs="Arial"/>
          <w:sz w:val="20"/>
          <w:szCs w:val="20"/>
          <w:vertAlign w:val="superscript"/>
        </w:rPr>
      </w:pPr>
      <w:r w:rsidRPr="00424424">
        <w:rPr>
          <w:rFonts w:ascii="Arial" w:hAnsi="Arial" w:cs="Arial"/>
          <w:sz w:val="20"/>
          <w:szCs w:val="20"/>
          <w:vertAlign w:val="superscript"/>
        </w:rPr>
        <w:t>1</w:t>
      </w:r>
      <w:r w:rsidR="00160521" w:rsidRPr="00424424">
        <w:rPr>
          <w:rFonts w:ascii="Arial" w:hAnsi="Arial" w:cs="Arial"/>
          <w:sz w:val="20"/>
          <w:szCs w:val="20"/>
          <w:vertAlign w:val="superscript"/>
        </w:rPr>
        <w:t>1</w:t>
      </w:r>
      <w:r w:rsidRPr="00424424">
        <w:rPr>
          <w:rFonts w:ascii="Arial" w:hAnsi="Arial" w:cs="Arial"/>
          <w:sz w:val="20"/>
          <w:szCs w:val="20"/>
        </w:rPr>
        <w:t>Sahlgrenska Osteoporosis Centre, Institute of Medicine, University of Gothenburg, Sweden</w:t>
      </w:r>
      <w:r w:rsidRPr="00424424">
        <w:rPr>
          <w:rFonts w:ascii="Arial" w:hAnsi="Arial" w:cs="Arial"/>
          <w:sz w:val="20"/>
          <w:szCs w:val="20"/>
          <w:vertAlign w:val="superscript"/>
        </w:rPr>
        <w:t xml:space="preserve">  </w:t>
      </w:r>
    </w:p>
    <w:p w14:paraId="609907D5" w14:textId="07D28D88" w:rsidR="00C26685" w:rsidRPr="00424424" w:rsidRDefault="00D40F1A" w:rsidP="00C26685">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160521" w:rsidRPr="00424424">
        <w:rPr>
          <w:rFonts w:ascii="Arial" w:eastAsia="Calibri" w:hAnsi="Arial" w:cs="Arial"/>
          <w:sz w:val="20"/>
          <w:szCs w:val="20"/>
          <w:vertAlign w:val="superscript"/>
        </w:rPr>
        <w:t>2</w:t>
      </w:r>
      <w:r w:rsidR="00C26685" w:rsidRPr="00424424">
        <w:rPr>
          <w:rFonts w:ascii="Arial" w:eastAsia="Calibri" w:hAnsi="Arial" w:cs="Arial"/>
          <w:sz w:val="20"/>
          <w:szCs w:val="20"/>
        </w:rPr>
        <w:t>Centre for Metabolic Bone Diseases, University of Sheffield, Sheffield, UK</w:t>
      </w:r>
    </w:p>
    <w:p w14:paraId="69CE735B" w14:textId="2A29F68A" w:rsidR="00C26685" w:rsidRPr="00424424" w:rsidRDefault="00E9272B" w:rsidP="00C26685">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160521" w:rsidRPr="00424424">
        <w:rPr>
          <w:rFonts w:ascii="Arial" w:eastAsia="Calibri" w:hAnsi="Arial" w:cs="Arial"/>
          <w:sz w:val="20"/>
          <w:szCs w:val="20"/>
          <w:vertAlign w:val="superscript"/>
        </w:rPr>
        <w:t>3</w:t>
      </w:r>
      <w:r w:rsidR="00C26685" w:rsidRPr="00424424">
        <w:rPr>
          <w:rFonts w:ascii="Arial" w:eastAsia="Calibri" w:hAnsi="Arial" w:cs="Arial"/>
          <w:sz w:val="20"/>
          <w:szCs w:val="20"/>
        </w:rPr>
        <w:t>Clinical and Molecular Osteoporosis Research Unit, Department of Clinical Sciences Malmo, Lund University and Department of Orthopedics, Skane University Hospital, Malmo, Sweden</w:t>
      </w:r>
    </w:p>
    <w:p w14:paraId="32D2DF91" w14:textId="027478CF" w:rsidR="00C26685" w:rsidRPr="00424424" w:rsidRDefault="00C26685" w:rsidP="00C26685">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4</w:t>
      </w:r>
      <w:r w:rsidRPr="00424424">
        <w:rPr>
          <w:rFonts w:ascii="Arial" w:eastAsia="Calibri" w:hAnsi="Arial" w:cs="Arial"/>
          <w:sz w:val="20"/>
          <w:szCs w:val="20"/>
        </w:rPr>
        <w:t>Division of Rheumatology, Department of Internal Medicine, UC Davis Health, 4625 Second Avenue, Sacramento, CA 95917, USA</w:t>
      </w:r>
    </w:p>
    <w:p w14:paraId="5ED77BCA" w14:textId="676BC527" w:rsidR="00C26685" w:rsidRPr="00424424" w:rsidRDefault="00C26685" w:rsidP="00C26685">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5</w:t>
      </w:r>
      <w:r w:rsidRPr="00424424">
        <w:rPr>
          <w:rFonts w:ascii="Arial" w:eastAsia="Calibri" w:hAnsi="Arial" w:cs="Arial"/>
          <w:sz w:val="20"/>
          <w:szCs w:val="20"/>
        </w:rPr>
        <w:t>Geriatric Medicine, Institute of Medicine, Sahlgrenska Academy, Sahlgrenska University Hospital, Mölndal, Sweden</w:t>
      </w:r>
    </w:p>
    <w:p w14:paraId="0BB4E47B" w14:textId="788B9BCA" w:rsidR="00C26685" w:rsidRPr="00424424" w:rsidRDefault="00C26685" w:rsidP="00C26685">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6</w:t>
      </w:r>
      <w:r w:rsidRPr="00424424">
        <w:rPr>
          <w:rFonts w:ascii="Arial" w:eastAsia="Calibri" w:hAnsi="Arial" w:cs="Arial"/>
          <w:sz w:val="20"/>
          <w:szCs w:val="20"/>
        </w:rPr>
        <w:t>Centre for Integrated Research in Musculoskeletal Ageing (CIMA), Mellanby Centre for Bone Research, University of Sheffield, Sheffield, UK</w:t>
      </w:r>
    </w:p>
    <w:p w14:paraId="61ABEC32" w14:textId="408722DD" w:rsidR="00331588" w:rsidRPr="00424424" w:rsidRDefault="00C26685" w:rsidP="00331588">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7</w:t>
      </w:r>
      <w:r w:rsidRPr="00424424">
        <w:rPr>
          <w:rFonts w:ascii="Arial" w:eastAsia="Calibri" w:hAnsi="Arial" w:cs="Arial"/>
          <w:sz w:val="20"/>
          <w:szCs w:val="20"/>
        </w:rPr>
        <w:t>Centre for Bone and Arthritis Research (CBAR), Sahlgrenska Academy, University of Gothenburg, Gothenburg, Sweden</w:t>
      </w:r>
    </w:p>
    <w:p w14:paraId="5D0BBE9D" w14:textId="17B49F3A" w:rsidR="00331588" w:rsidRPr="00424424" w:rsidRDefault="00331588" w:rsidP="00331588">
      <w:pPr>
        <w:spacing w:after="160"/>
        <w:rPr>
          <w:rFonts w:ascii="Arial" w:eastAsia="Calibri" w:hAnsi="Arial" w:cs="Arial"/>
          <w:sz w:val="20"/>
          <w:szCs w:val="20"/>
        </w:rPr>
      </w:pPr>
      <w:r w:rsidRPr="00424424">
        <w:rPr>
          <w:rFonts w:ascii="Arial" w:eastAsia="Calibri" w:hAnsi="Arial" w:cs="Arial"/>
          <w:sz w:val="20"/>
          <w:szCs w:val="20"/>
          <w:vertAlign w:val="superscript"/>
        </w:rPr>
        <w:t>1</w:t>
      </w:r>
      <w:r w:rsidR="00424424">
        <w:rPr>
          <w:rFonts w:ascii="Arial" w:eastAsia="Calibri" w:hAnsi="Arial" w:cs="Arial"/>
          <w:sz w:val="20"/>
          <w:szCs w:val="20"/>
          <w:vertAlign w:val="superscript"/>
        </w:rPr>
        <w:t>8</w:t>
      </w:r>
      <w:r w:rsidRPr="00424424">
        <w:rPr>
          <w:rFonts w:ascii="Arial" w:eastAsia="Calibri" w:hAnsi="Arial" w:cs="Arial"/>
          <w:sz w:val="20"/>
          <w:szCs w:val="20"/>
        </w:rPr>
        <w:t>Department of Internal Medicine and Clinical Nutrition, Institute of Medicine, Sahlgrenska Osteoporosis Centre, Centre for Bone and Arthritis Research at the Sahlgrenska Academy, University of Gothenburg, Gothenburg, Sweden</w:t>
      </w:r>
    </w:p>
    <w:p w14:paraId="6BFBD022" w14:textId="2F87978F" w:rsidR="00331588" w:rsidRPr="00424424" w:rsidRDefault="00424424" w:rsidP="00331588">
      <w:pPr>
        <w:spacing w:after="160"/>
        <w:rPr>
          <w:rFonts w:ascii="Arial" w:eastAsia="Calibri" w:hAnsi="Arial" w:cs="Arial"/>
          <w:sz w:val="20"/>
          <w:szCs w:val="20"/>
        </w:rPr>
      </w:pPr>
      <w:r>
        <w:rPr>
          <w:rFonts w:ascii="Arial" w:eastAsia="Calibri" w:hAnsi="Arial" w:cs="Arial"/>
          <w:sz w:val="20"/>
          <w:szCs w:val="20"/>
          <w:vertAlign w:val="superscript"/>
        </w:rPr>
        <w:lastRenderedPageBreak/>
        <w:t>19</w:t>
      </w:r>
      <w:r w:rsidR="00331588" w:rsidRPr="00424424">
        <w:rPr>
          <w:rFonts w:ascii="Arial" w:eastAsia="Calibri" w:hAnsi="Arial" w:cs="Arial"/>
          <w:sz w:val="20"/>
          <w:szCs w:val="20"/>
        </w:rPr>
        <w:t>Region Västra Götaland, Sahlgrenska University Hospital, Department of Drug Treatment, Gothenburg, Sweden</w:t>
      </w:r>
    </w:p>
    <w:p w14:paraId="6C426627" w14:textId="219FD342"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20</w:t>
      </w:r>
      <w:r w:rsidR="00C26685" w:rsidRPr="00424424">
        <w:rPr>
          <w:rFonts w:ascii="Arial" w:eastAsia="Calibri" w:hAnsi="Arial" w:cs="Arial"/>
          <w:sz w:val="20"/>
          <w:szCs w:val="20"/>
        </w:rPr>
        <w:t>Oregon Health &amp; Science University, Portland, Oregon, USA</w:t>
      </w:r>
    </w:p>
    <w:p w14:paraId="4A55D6EF" w14:textId="10D707D4"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21</w:t>
      </w:r>
      <w:r w:rsidR="00C26685" w:rsidRPr="00424424">
        <w:rPr>
          <w:rFonts w:ascii="Arial" w:eastAsia="Calibri" w:hAnsi="Arial" w:cs="Arial"/>
          <w:sz w:val="20"/>
          <w:szCs w:val="20"/>
        </w:rPr>
        <w:t>Department of Surgical Sciences, University of Uppsala, Uppsala, Sweden</w:t>
      </w:r>
    </w:p>
    <w:p w14:paraId="5A2376E6" w14:textId="7AFCE10E"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22</w:t>
      </w:r>
      <w:r w:rsidR="00C26685" w:rsidRPr="00424424">
        <w:rPr>
          <w:rFonts w:ascii="Arial" w:eastAsia="Calibri" w:hAnsi="Arial" w:cs="Arial"/>
          <w:sz w:val="20"/>
          <w:szCs w:val="20"/>
        </w:rPr>
        <w:t>Park Nicollet Clinic and HealthPartners Institute, Bloomington, Minnesota, USA</w:t>
      </w:r>
    </w:p>
    <w:p w14:paraId="1D953ADC" w14:textId="48DD5B2E"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23</w:t>
      </w:r>
      <w:r w:rsidR="00C26685" w:rsidRPr="00424424">
        <w:rPr>
          <w:rFonts w:ascii="Arial" w:eastAsia="Calibri" w:hAnsi="Arial" w:cs="Arial"/>
          <w:sz w:val="20"/>
          <w:szCs w:val="20"/>
        </w:rPr>
        <w:t>University of Minnesota, Minneapolis, Minnesota, USA</w:t>
      </w:r>
    </w:p>
    <w:p w14:paraId="00FFD395" w14:textId="56E2898D"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24</w:t>
      </w:r>
      <w:r w:rsidR="00C26685" w:rsidRPr="00424424">
        <w:rPr>
          <w:rFonts w:ascii="Arial" w:eastAsia="Calibri" w:hAnsi="Arial" w:cs="Arial"/>
          <w:sz w:val="20"/>
          <w:szCs w:val="20"/>
        </w:rPr>
        <w:t>Laboratory of Epidemiology and Population Sciences, Intramural Research Program, National Institute on Aging, Baltimore, USA</w:t>
      </w:r>
    </w:p>
    <w:p w14:paraId="71649D72" w14:textId="19E78C40"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25</w:t>
      </w:r>
      <w:r w:rsidR="00C26685" w:rsidRPr="00424424">
        <w:rPr>
          <w:rFonts w:ascii="Arial" w:eastAsia="Calibri" w:hAnsi="Arial" w:cs="Arial"/>
          <w:sz w:val="20"/>
          <w:szCs w:val="20"/>
        </w:rPr>
        <w:t>NIHR Southampton Biomedical Research Centre, University of Southampton and University Hospital Southampton NHS Foundation Trust, Southampton, UK</w:t>
      </w:r>
    </w:p>
    <w:p w14:paraId="3BF8FF99" w14:textId="1349BFDD"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26</w:t>
      </w:r>
      <w:r w:rsidR="00C26685" w:rsidRPr="00424424">
        <w:rPr>
          <w:rFonts w:ascii="Arial" w:eastAsia="Calibri" w:hAnsi="Arial" w:cs="Arial"/>
          <w:sz w:val="20"/>
          <w:szCs w:val="20"/>
        </w:rPr>
        <w:t>Victoria University of Wellington, Wellington, New Zealand</w:t>
      </w:r>
    </w:p>
    <w:p w14:paraId="2F8DC428" w14:textId="0CD3DCC8" w:rsidR="00C26685" w:rsidRPr="00424424" w:rsidRDefault="00424424" w:rsidP="00C26685">
      <w:pPr>
        <w:spacing w:after="160"/>
        <w:rPr>
          <w:rFonts w:ascii="Arial" w:eastAsia="Calibri" w:hAnsi="Arial" w:cs="Arial"/>
          <w:sz w:val="20"/>
          <w:szCs w:val="20"/>
        </w:rPr>
      </w:pPr>
      <w:r>
        <w:rPr>
          <w:rFonts w:ascii="Arial" w:eastAsia="Calibri" w:hAnsi="Arial" w:cs="Arial"/>
          <w:sz w:val="20"/>
          <w:szCs w:val="20"/>
          <w:vertAlign w:val="superscript"/>
        </w:rPr>
        <w:t>27</w:t>
      </w:r>
      <w:r w:rsidR="00C26685" w:rsidRPr="00424424">
        <w:rPr>
          <w:rFonts w:ascii="Arial" w:eastAsia="Calibri" w:hAnsi="Arial" w:cs="Arial"/>
          <w:sz w:val="20"/>
          <w:szCs w:val="20"/>
        </w:rPr>
        <w:t>NIHR Oxford Biomedical Research Centre, University of Oxford, Oxford, UK</w:t>
      </w:r>
    </w:p>
    <w:p w14:paraId="77E94502" w14:textId="77777777" w:rsidR="009F1CE5" w:rsidRPr="00424424" w:rsidRDefault="009F1CE5" w:rsidP="00C26685">
      <w:pPr>
        <w:spacing w:after="160"/>
        <w:rPr>
          <w:rFonts w:ascii="Arial" w:eastAsia="Calibri" w:hAnsi="Arial" w:cs="Arial"/>
          <w:sz w:val="20"/>
          <w:szCs w:val="20"/>
        </w:rPr>
      </w:pPr>
    </w:p>
    <w:p w14:paraId="3568ADCB" w14:textId="77777777" w:rsidR="00C26685" w:rsidRPr="00424424" w:rsidRDefault="00C26685" w:rsidP="00C26685">
      <w:pPr>
        <w:spacing w:after="0"/>
        <w:rPr>
          <w:rFonts w:ascii="Arial" w:eastAsia="Calibri" w:hAnsi="Arial" w:cs="Arial"/>
          <w:sz w:val="20"/>
          <w:szCs w:val="20"/>
        </w:rPr>
      </w:pPr>
      <w:r w:rsidRPr="00424424">
        <w:rPr>
          <w:rFonts w:ascii="Arial" w:eastAsia="Calibri" w:hAnsi="Arial" w:cs="Arial"/>
          <w:sz w:val="20"/>
          <w:szCs w:val="20"/>
        </w:rPr>
        <w:t>Correspondence and reprint requests to:</w:t>
      </w:r>
    </w:p>
    <w:p w14:paraId="0BE0246F" w14:textId="77777777" w:rsidR="00C26685" w:rsidRPr="00424424" w:rsidRDefault="00C26685" w:rsidP="00C26685">
      <w:pPr>
        <w:spacing w:after="0"/>
        <w:rPr>
          <w:rFonts w:ascii="Arial" w:eastAsia="Calibri" w:hAnsi="Arial" w:cs="Arial"/>
          <w:sz w:val="20"/>
          <w:szCs w:val="20"/>
        </w:rPr>
      </w:pPr>
      <w:bookmarkStart w:id="4" w:name="_Hlk93932486"/>
      <w:r w:rsidRPr="00424424">
        <w:rPr>
          <w:rFonts w:ascii="Arial" w:eastAsia="Calibri" w:hAnsi="Arial" w:cs="Arial"/>
          <w:sz w:val="20"/>
          <w:szCs w:val="20"/>
        </w:rPr>
        <w:t>Prof Cyrus Cooper</w:t>
      </w:r>
    </w:p>
    <w:p w14:paraId="30E26814" w14:textId="77777777" w:rsidR="00C26685" w:rsidRPr="00424424" w:rsidRDefault="00C26685" w:rsidP="00C26685">
      <w:pPr>
        <w:spacing w:after="0"/>
        <w:rPr>
          <w:rFonts w:ascii="Arial" w:eastAsia="Calibri" w:hAnsi="Arial" w:cs="Arial"/>
          <w:sz w:val="20"/>
          <w:szCs w:val="20"/>
        </w:rPr>
      </w:pPr>
      <w:r w:rsidRPr="00424424">
        <w:rPr>
          <w:rFonts w:ascii="Arial" w:eastAsia="Calibri" w:hAnsi="Arial" w:cs="Arial"/>
          <w:sz w:val="20"/>
          <w:szCs w:val="20"/>
        </w:rPr>
        <w:t>MRC Lifecourse Epidemiology Centre</w:t>
      </w:r>
    </w:p>
    <w:p w14:paraId="78BF921E" w14:textId="77777777" w:rsidR="00C26685" w:rsidRPr="00424424" w:rsidRDefault="00C26685" w:rsidP="00C26685">
      <w:pPr>
        <w:spacing w:after="0"/>
        <w:rPr>
          <w:rFonts w:ascii="Arial" w:eastAsia="Calibri" w:hAnsi="Arial" w:cs="Arial"/>
          <w:sz w:val="20"/>
          <w:szCs w:val="20"/>
        </w:rPr>
      </w:pPr>
      <w:r w:rsidRPr="00424424">
        <w:rPr>
          <w:rFonts w:ascii="Arial" w:eastAsia="Calibri" w:hAnsi="Arial" w:cs="Arial"/>
          <w:sz w:val="20"/>
          <w:szCs w:val="20"/>
        </w:rPr>
        <w:t>University of Southampton</w:t>
      </w:r>
    </w:p>
    <w:p w14:paraId="68557458" w14:textId="77777777" w:rsidR="00C26685" w:rsidRPr="00424424" w:rsidRDefault="00C26685" w:rsidP="00C26685">
      <w:pPr>
        <w:spacing w:after="0"/>
        <w:rPr>
          <w:rFonts w:ascii="Arial" w:eastAsia="Calibri" w:hAnsi="Arial" w:cs="Arial"/>
          <w:sz w:val="20"/>
          <w:szCs w:val="20"/>
        </w:rPr>
      </w:pPr>
      <w:r w:rsidRPr="00424424">
        <w:rPr>
          <w:rFonts w:ascii="Arial" w:eastAsia="Calibri" w:hAnsi="Arial" w:cs="Arial"/>
          <w:sz w:val="20"/>
          <w:szCs w:val="20"/>
        </w:rPr>
        <w:t>Southampton</w:t>
      </w:r>
    </w:p>
    <w:p w14:paraId="315D4017" w14:textId="77777777" w:rsidR="00C26685" w:rsidRPr="00424424" w:rsidRDefault="00C26685" w:rsidP="00C26685">
      <w:pPr>
        <w:spacing w:after="0"/>
        <w:rPr>
          <w:rFonts w:ascii="Arial" w:eastAsia="Calibri" w:hAnsi="Arial" w:cs="Arial"/>
          <w:sz w:val="20"/>
          <w:szCs w:val="20"/>
        </w:rPr>
      </w:pPr>
      <w:r w:rsidRPr="00424424">
        <w:rPr>
          <w:rFonts w:ascii="Arial" w:eastAsia="Calibri" w:hAnsi="Arial" w:cs="Arial"/>
          <w:sz w:val="20"/>
          <w:szCs w:val="20"/>
        </w:rPr>
        <w:t>UK</w:t>
      </w:r>
    </w:p>
    <w:p w14:paraId="365D44B9" w14:textId="76EA027E" w:rsidR="00C26685" w:rsidRPr="00424424" w:rsidRDefault="00C26685" w:rsidP="00C26685">
      <w:pPr>
        <w:spacing w:after="160"/>
        <w:rPr>
          <w:rFonts w:ascii="Arial" w:eastAsia="Calibri" w:hAnsi="Arial" w:cs="Arial"/>
          <w:color w:val="0563C1" w:themeColor="hyperlink"/>
          <w:sz w:val="20"/>
          <w:szCs w:val="20"/>
          <w:u w:val="single"/>
        </w:rPr>
      </w:pPr>
      <w:r w:rsidRPr="00424424">
        <w:rPr>
          <w:rFonts w:ascii="Arial" w:eastAsia="Calibri" w:hAnsi="Arial" w:cs="Arial"/>
          <w:sz w:val="20"/>
          <w:szCs w:val="20"/>
        </w:rPr>
        <w:t xml:space="preserve">Tel: 02380 777624;   Fax: +44 (023) 8070 4021;   Email: </w:t>
      </w:r>
      <w:hyperlink r:id="rId8" w:history="1">
        <w:r w:rsidRPr="00424424">
          <w:rPr>
            <w:rFonts w:ascii="Arial" w:eastAsia="Calibri" w:hAnsi="Arial" w:cs="Arial"/>
            <w:color w:val="0563C1" w:themeColor="hyperlink"/>
            <w:sz w:val="20"/>
            <w:szCs w:val="20"/>
            <w:u w:val="single"/>
          </w:rPr>
          <w:t>cc@mrc.soton.ac.uk</w:t>
        </w:r>
      </w:hyperlink>
    </w:p>
    <w:bookmarkEnd w:id="4"/>
    <w:p w14:paraId="0A6EA32C" w14:textId="77777777" w:rsidR="00C26685" w:rsidRPr="00424424" w:rsidRDefault="00C26685" w:rsidP="00C26685">
      <w:pPr>
        <w:spacing w:after="160"/>
        <w:rPr>
          <w:rFonts w:ascii="Arial" w:eastAsia="Calibri" w:hAnsi="Arial" w:cs="Arial"/>
          <w:color w:val="0563C1" w:themeColor="hyperlink"/>
          <w:u w:val="single"/>
        </w:rPr>
      </w:pPr>
    </w:p>
    <w:p w14:paraId="100E9D66" w14:textId="77777777" w:rsidR="002F3212" w:rsidRPr="00424424" w:rsidRDefault="002F3212" w:rsidP="001741BA">
      <w:pPr>
        <w:spacing w:line="360" w:lineRule="auto"/>
        <w:rPr>
          <w:rFonts w:ascii="Times New Roman" w:eastAsia="Times New Roman" w:hAnsi="Times New Roman" w:cs="Times New Roman"/>
          <w:sz w:val="24"/>
          <w:szCs w:val="24"/>
          <w:lang w:eastAsia="en-GB"/>
        </w:rPr>
      </w:pPr>
    </w:p>
    <w:p w14:paraId="66A0FC67" w14:textId="2B08EA3B" w:rsidR="001741BA" w:rsidRPr="00424424" w:rsidRDefault="00C26685" w:rsidP="001741BA">
      <w:pPr>
        <w:spacing w:line="360" w:lineRule="auto"/>
        <w:rPr>
          <w:rFonts w:ascii="Arial" w:eastAsia="Calibri" w:hAnsi="Arial" w:cs="Arial"/>
          <w:bCs/>
          <w:color w:val="FF0000"/>
        </w:rPr>
      </w:pPr>
      <w:r w:rsidRPr="00424424">
        <w:rPr>
          <w:rFonts w:ascii="Arial" w:eastAsia="Calibri" w:hAnsi="Arial" w:cs="Arial"/>
          <w:b/>
        </w:rPr>
        <w:t>Abstract</w:t>
      </w:r>
      <w:r w:rsidR="00FC1DE1" w:rsidRPr="00424424">
        <w:rPr>
          <w:rFonts w:ascii="Arial" w:eastAsia="Calibri" w:hAnsi="Arial" w:cs="Arial"/>
          <w:b/>
          <w:color w:val="FF0000"/>
        </w:rPr>
        <w:t xml:space="preserve"> </w:t>
      </w:r>
    </w:p>
    <w:p w14:paraId="1B1723FA" w14:textId="77777777" w:rsidR="009C78AE" w:rsidRPr="00424424" w:rsidRDefault="009C78AE" w:rsidP="009C78AE">
      <w:pPr>
        <w:spacing w:after="0" w:line="360" w:lineRule="auto"/>
        <w:rPr>
          <w:rFonts w:ascii="Arial" w:eastAsia="Calibri" w:hAnsi="Arial" w:cs="Arial"/>
          <w:b/>
        </w:rPr>
      </w:pPr>
      <w:r w:rsidRPr="00424424">
        <w:rPr>
          <w:rFonts w:ascii="Arial" w:eastAsia="Calibri" w:hAnsi="Arial" w:cs="Arial"/>
          <w:b/>
        </w:rPr>
        <w:t>Background</w:t>
      </w:r>
    </w:p>
    <w:p w14:paraId="5733C573" w14:textId="22F8E815" w:rsidR="004B52D4" w:rsidRPr="00424424" w:rsidRDefault="009C78AE" w:rsidP="009C78AE">
      <w:pPr>
        <w:spacing w:line="360" w:lineRule="auto"/>
        <w:rPr>
          <w:rFonts w:ascii="Arial" w:eastAsia="Calibri" w:hAnsi="Arial" w:cs="Arial"/>
          <w:bCs/>
        </w:rPr>
      </w:pPr>
      <w:r w:rsidRPr="00424424">
        <w:rPr>
          <w:rFonts w:ascii="Arial" w:eastAsia="Calibri" w:hAnsi="Arial" w:cs="Arial"/>
          <w:bCs/>
        </w:rPr>
        <w:t xml:space="preserve">The </w:t>
      </w:r>
      <w:r w:rsidR="00BD4F6B" w:rsidRPr="00424424">
        <w:rPr>
          <w:rFonts w:ascii="Arial" w:eastAsia="Calibri" w:hAnsi="Arial" w:cs="Arial"/>
          <w:bCs/>
        </w:rPr>
        <w:t>2019</w:t>
      </w:r>
      <w:r w:rsidRPr="00424424">
        <w:rPr>
          <w:rFonts w:ascii="Arial" w:eastAsia="Calibri" w:hAnsi="Arial" w:cs="Arial"/>
          <w:bCs/>
        </w:rPr>
        <w:t xml:space="preserve"> European Working Group on Sarcopenia in Older People (EWGSOP2) and the Sarcopenia Definitions and Outcomes Consortium (SDOC) have recently proposed sarcopenia definitions. However, comparisons of </w:t>
      </w:r>
      <w:r w:rsidR="004B52D4" w:rsidRPr="00424424">
        <w:rPr>
          <w:rFonts w:ascii="Arial" w:eastAsia="Calibri" w:hAnsi="Arial" w:cs="Arial"/>
          <w:bCs/>
        </w:rPr>
        <w:t>the performance of these approaches in terms of thresholds</w:t>
      </w:r>
      <w:r w:rsidR="003D4C54" w:rsidRPr="00424424">
        <w:rPr>
          <w:rFonts w:ascii="Arial" w:eastAsia="Calibri" w:hAnsi="Arial" w:cs="Arial"/>
          <w:bCs/>
        </w:rPr>
        <w:t xml:space="preserve"> employed</w:t>
      </w:r>
      <w:r w:rsidR="009229FC" w:rsidRPr="00424424">
        <w:rPr>
          <w:rFonts w:ascii="Arial" w:eastAsia="Calibri" w:hAnsi="Arial" w:cs="Arial"/>
          <w:bCs/>
        </w:rPr>
        <w:t xml:space="preserve">, </w:t>
      </w:r>
      <w:r w:rsidR="004B52D4" w:rsidRPr="00424424">
        <w:rPr>
          <w:rFonts w:ascii="Arial" w:eastAsia="Calibri" w:hAnsi="Arial" w:cs="Arial"/>
          <w:bCs/>
        </w:rPr>
        <w:t>concordance in individuals</w:t>
      </w:r>
      <w:r w:rsidR="009229FC" w:rsidRPr="00424424">
        <w:rPr>
          <w:rFonts w:ascii="Arial" w:eastAsia="Calibri" w:hAnsi="Arial" w:cs="Arial"/>
          <w:bCs/>
        </w:rPr>
        <w:t xml:space="preserve">, </w:t>
      </w:r>
      <w:r w:rsidR="004B52D4" w:rsidRPr="00424424">
        <w:rPr>
          <w:rFonts w:ascii="Arial" w:eastAsia="Calibri" w:hAnsi="Arial" w:cs="Arial"/>
          <w:bCs/>
        </w:rPr>
        <w:t xml:space="preserve">and prediction of important health-related outcomes such as death are limited. We </w:t>
      </w:r>
      <w:r w:rsidR="00E903FB" w:rsidRPr="00424424">
        <w:rPr>
          <w:rFonts w:ascii="Arial" w:eastAsia="Calibri" w:hAnsi="Arial" w:cs="Arial"/>
          <w:bCs/>
        </w:rPr>
        <w:t>addressed</w:t>
      </w:r>
      <w:r w:rsidR="004B52D4" w:rsidRPr="00424424">
        <w:rPr>
          <w:rFonts w:ascii="Arial" w:eastAsia="Calibri" w:hAnsi="Arial" w:cs="Arial"/>
          <w:bCs/>
        </w:rPr>
        <w:t xml:space="preserve"> this in a large multinational assembly of cohort studies</w:t>
      </w:r>
      <w:r w:rsidR="001D0B3E" w:rsidRPr="00424424">
        <w:rPr>
          <w:rFonts w:ascii="Arial" w:eastAsia="Calibri" w:hAnsi="Arial" w:cs="Arial"/>
          <w:bCs/>
        </w:rPr>
        <w:t xml:space="preserve"> that </w:t>
      </w:r>
      <w:r w:rsidR="004B52D4" w:rsidRPr="00424424">
        <w:rPr>
          <w:rFonts w:ascii="Arial" w:eastAsia="Calibri" w:hAnsi="Arial" w:cs="Arial"/>
          <w:bCs/>
        </w:rPr>
        <w:t>included information on lean mass, muscle strength, physical performance and health outcomes.</w:t>
      </w:r>
    </w:p>
    <w:p w14:paraId="101507AB" w14:textId="77777777" w:rsidR="009C78AE" w:rsidRPr="00424424" w:rsidRDefault="009C78AE" w:rsidP="009C78AE">
      <w:pPr>
        <w:spacing w:after="0" w:line="360" w:lineRule="auto"/>
        <w:rPr>
          <w:rFonts w:ascii="Arial" w:eastAsia="Calibri" w:hAnsi="Arial" w:cs="Arial"/>
          <w:b/>
        </w:rPr>
      </w:pPr>
      <w:r w:rsidRPr="00424424">
        <w:rPr>
          <w:rFonts w:ascii="Arial" w:eastAsia="Calibri" w:hAnsi="Arial" w:cs="Arial"/>
          <w:b/>
        </w:rPr>
        <w:t>Methods</w:t>
      </w:r>
    </w:p>
    <w:p w14:paraId="092358D8" w14:textId="770A86B3" w:rsidR="009C78AE" w:rsidRPr="00424424" w:rsidRDefault="009C78AE" w:rsidP="009C78AE">
      <w:pPr>
        <w:spacing w:line="360" w:lineRule="auto"/>
        <w:rPr>
          <w:rFonts w:ascii="Arial" w:eastAsia="Calibri" w:hAnsi="Arial" w:cs="Arial"/>
          <w:bCs/>
        </w:rPr>
      </w:pPr>
      <w:r w:rsidRPr="00424424">
        <w:rPr>
          <w:rFonts w:ascii="Arial" w:eastAsia="Calibri" w:hAnsi="Arial" w:cs="Arial"/>
          <w:bCs/>
        </w:rPr>
        <w:t>White men from the Health Aging and Body Composition (Health ABC) Study, Osteoporotic Fractures in Men (MrOS) Study cohorts (Sweden, United States), the Hertfordshire Cohort Study (HCS) and the Sarcopenia and Physical impairment with advancing Age (SarcoPhAge) Study were analysed.</w:t>
      </w:r>
      <w:r w:rsidR="00523893" w:rsidRPr="00424424">
        <w:rPr>
          <w:rFonts w:ascii="Arial" w:eastAsia="Calibri" w:hAnsi="Arial" w:cs="Arial"/>
          <w:bCs/>
        </w:rPr>
        <w:t xml:space="preserve"> </w:t>
      </w:r>
      <w:r w:rsidRPr="00424424">
        <w:rPr>
          <w:rFonts w:ascii="Arial" w:eastAsia="Calibri" w:hAnsi="Arial" w:cs="Arial"/>
          <w:bCs/>
        </w:rPr>
        <w:t xml:space="preserve">Appendicular lean mass (ALM) was ascertained using </w:t>
      </w:r>
      <w:r w:rsidRPr="00424424">
        <w:rPr>
          <w:rFonts w:ascii="Arial" w:eastAsia="Calibri" w:hAnsi="Arial" w:cs="Arial"/>
          <w:bCs/>
        </w:rPr>
        <w:lastRenderedPageBreak/>
        <w:t xml:space="preserve">DXA; muscle strength by grip dynamometry; and usual gait speed </w:t>
      </w:r>
      <w:r w:rsidR="007D7B60" w:rsidRPr="00424424">
        <w:rPr>
          <w:rFonts w:ascii="Arial" w:eastAsia="Calibri" w:hAnsi="Arial" w:cs="Arial"/>
          <w:bCs/>
        </w:rPr>
        <w:t>over courses of 2.4 – 6m</w:t>
      </w:r>
      <w:r w:rsidRPr="00424424">
        <w:rPr>
          <w:rFonts w:ascii="Arial" w:eastAsia="Calibri" w:hAnsi="Arial" w:cs="Arial"/>
          <w:bCs/>
        </w:rPr>
        <w:t xml:space="preserve">. </w:t>
      </w:r>
      <w:r w:rsidR="00E36F4A" w:rsidRPr="00424424">
        <w:rPr>
          <w:rFonts w:ascii="Arial" w:eastAsia="Calibri" w:hAnsi="Arial" w:cs="Arial"/>
          <w:bCs/>
        </w:rPr>
        <w:t>Deaths were recorded and verified</w:t>
      </w:r>
      <w:r w:rsidRPr="00424424">
        <w:rPr>
          <w:rFonts w:ascii="Arial" w:eastAsia="Calibri" w:hAnsi="Arial" w:cs="Arial"/>
          <w:bCs/>
        </w:rPr>
        <w:t xml:space="preserve">. </w:t>
      </w:r>
      <w:r w:rsidR="009F1CE5" w:rsidRPr="00424424">
        <w:rPr>
          <w:rFonts w:ascii="Arial" w:eastAsia="Calibri" w:hAnsi="Arial" w:cs="Arial"/>
          <w:bCs/>
        </w:rPr>
        <w:t>Definitions of sarcopenia were as follows</w:t>
      </w:r>
      <w:r w:rsidRPr="00424424">
        <w:rPr>
          <w:rFonts w:ascii="Arial" w:eastAsia="Calibri" w:hAnsi="Arial" w:cs="Arial"/>
          <w:bCs/>
        </w:rPr>
        <w:t>: EWGSOP2 (grip strength &lt;27 kg and ALM index &lt;7.0 kg/m</w:t>
      </w:r>
      <w:r w:rsidRPr="00424424">
        <w:rPr>
          <w:rFonts w:ascii="Arial" w:eastAsia="Calibri" w:hAnsi="Arial" w:cs="Arial"/>
          <w:bCs/>
          <w:vertAlign w:val="superscript"/>
        </w:rPr>
        <w:t>2</w:t>
      </w:r>
      <w:r w:rsidRPr="00424424">
        <w:rPr>
          <w:rFonts w:ascii="Arial" w:eastAsia="Calibri" w:hAnsi="Arial" w:cs="Arial"/>
          <w:bCs/>
        </w:rPr>
        <w:t xml:space="preserve">); SDOC (grip strength &lt;35.5 kg and gait speed &lt;0.8 m/s); and </w:t>
      </w:r>
      <w:r w:rsidR="00523893" w:rsidRPr="00424424">
        <w:rPr>
          <w:rFonts w:ascii="Arial" w:eastAsia="Calibri" w:hAnsi="Arial" w:cs="Arial"/>
          <w:bCs/>
        </w:rPr>
        <w:t>M</w:t>
      </w:r>
      <w:r w:rsidR="004A4368" w:rsidRPr="00424424">
        <w:rPr>
          <w:rFonts w:ascii="Arial" w:eastAsia="Calibri" w:hAnsi="Arial" w:cs="Arial"/>
          <w:bCs/>
        </w:rPr>
        <w:t xml:space="preserve">odified </w:t>
      </w:r>
      <w:r w:rsidRPr="00424424">
        <w:rPr>
          <w:rFonts w:ascii="Arial" w:eastAsia="Calibri" w:hAnsi="Arial" w:cs="Arial"/>
          <w:bCs/>
        </w:rPr>
        <w:t xml:space="preserve">SDOC (grip strength &lt;35.5 kg and gait speed &lt;1.0 m/s). Cohen’s kappa statistic was used to assess agreement </w:t>
      </w:r>
      <w:r w:rsidR="008968EE" w:rsidRPr="00424424">
        <w:rPr>
          <w:rFonts w:ascii="Arial" w:eastAsia="Calibri" w:hAnsi="Arial" w:cs="Arial"/>
          <w:bCs/>
        </w:rPr>
        <w:t>between original definitions (EWGSOP2 and SDOC)</w:t>
      </w:r>
      <w:r w:rsidRPr="00424424">
        <w:rPr>
          <w:rFonts w:ascii="Arial" w:eastAsia="Calibri" w:hAnsi="Arial" w:cs="Arial"/>
          <w:bCs/>
        </w:rPr>
        <w:t xml:space="preserve">. Presence versus absence </w:t>
      </w:r>
      <w:r w:rsidR="009F1CE5" w:rsidRPr="00424424">
        <w:rPr>
          <w:rFonts w:ascii="Arial" w:eastAsia="Calibri" w:hAnsi="Arial" w:cs="Arial"/>
          <w:bCs/>
        </w:rPr>
        <w:t>of sarcopenia according to each definition</w:t>
      </w:r>
      <w:r w:rsidRPr="00424424">
        <w:rPr>
          <w:rFonts w:ascii="Arial" w:eastAsia="Calibri" w:hAnsi="Arial" w:cs="Arial"/>
          <w:bCs/>
        </w:rPr>
        <w:t xml:space="preserve"> in relation to mortality </w:t>
      </w:r>
      <w:r w:rsidR="009F1CE5" w:rsidRPr="00424424">
        <w:rPr>
          <w:rFonts w:ascii="Arial" w:eastAsia="Calibri" w:hAnsi="Arial" w:cs="Arial"/>
          <w:bCs/>
        </w:rPr>
        <w:t xml:space="preserve">risk </w:t>
      </w:r>
      <w:r w:rsidRPr="00424424">
        <w:rPr>
          <w:rFonts w:ascii="Arial" w:eastAsia="Calibri" w:hAnsi="Arial" w:cs="Arial"/>
          <w:bCs/>
        </w:rPr>
        <w:t>was examined using Cox regression</w:t>
      </w:r>
      <w:r w:rsidR="009C136C" w:rsidRPr="00424424">
        <w:rPr>
          <w:rFonts w:ascii="Arial" w:eastAsia="Calibri" w:hAnsi="Arial" w:cs="Arial"/>
          <w:bCs/>
        </w:rPr>
        <w:t xml:space="preserve"> with adjustment for age and weight</w:t>
      </w:r>
      <w:r w:rsidRPr="00424424">
        <w:rPr>
          <w:rFonts w:ascii="Arial" w:eastAsia="Calibri" w:hAnsi="Arial" w:cs="Arial"/>
          <w:bCs/>
        </w:rPr>
        <w:t xml:space="preserve">; estimates were combined across cohorts using </w:t>
      </w:r>
      <w:r w:rsidR="00E47E15" w:rsidRPr="00424424">
        <w:rPr>
          <w:rFonts w:ascii="Arial" w:eastAsia="Calibri" w:hAnsi="Arial" w:cs="Arial"/>
          <w:bCs/>
        </w:rPr>
        <w:t xml:space="preserve">random-effects </w:t>
      </w:r>
      <w:r w:rsidRPr="00424424">
        <w:rPr>
          <w:rFonts w:ascii="Arial" w:eastAsia="Calibri" w:hAnsi="Arial" w:cs="Arial"/>
          <w:bCs/>
        </w:rPr>
        <w:t>meta-analysis.</w:t>
      </w:r>
    </w:p>
    <w:p w14:paraId="2C13FD82" w14:textId="77777777" w:rsidR="009C78AE" w:rsidRPr="00424424" w:rsidRDefault="009C78AE" w:rsidP="009C78AE">
      <w:pPr>
        <w:spacing w:after="0" w:line="360" w:lineRule="auto"/>
        <w:rPr>
          <w:rFonts w:ascii="Arial" w:eastAsia="Calibri" w:hAnsi="Arial" w:cs="Arial"/>
          <w:b/>
        </w:rPr>
      </w:pPr>
      <w:r w:rsidRPr="00424424">
        <w:rPr>
          <w:rFonts w:ascii="Arial" w:eastAsia="Calibri" w:hAnsi="Arial" w:cs="Arial"/>
          <w:b/>
        </w:rPr>
        <w:t xml:space="preserve">Results </w:t>
      </w:r>
    </w:p>
    <w:p w14:paraId="60CD5C08" w14:textId="66BB76DA" w:rsidR="009C78AE" w:rsidRPr="00424424" w:rsidRDefault="009C78AE" w:rsidP="009C78AE">
      <w:pPr>
        <w:spacing w:line="360" w:lineRule="auto"/>
        <w:rPr>
          <w:rFonts w:ascii="Arial" w:eastAsia="Calibri" w:hAnsi="Arial" w:cs="Arial"/>
          <w:bCs/>
        </w:rPr>
      </w:pPr>
      <w:r w:rsidRPr="00424424">
        <w:rPr>
          <w:rFonts w:ascii="Arial" w:eastAsia="Calibri" w:hAnsi="Arial" w:cs="Arial"/>
          <w:bCs/>
        </w:rPr>
        <w:t>Mean (SD) age of participants (n=</w:t>
      </w:r>
      <w:r w:rsidR="009C136C" w:rsidRPr="00424424">
        <w:rPr>
          <w:rFonts w:ascii="Arial" w:eastAsia="Calibri" w:hAnsi="Arial" w:cs="Arial"/>
          <w:bCs/>
        </w:rPr>
        <w:t>9170</w:t>
      </w:r>
      <w:r w:rsidRPr="00424424">
        <w:rPr>
          <w:rFonts w:ascii="Arial" w:eastAsia="Calibri" w:hAnsi="Arial" w:cs="Arial"/>
          <w:bCs/>
        </w:rPr>
        <w:t xml:space="preserve">) was </w:t>
      </w:r>
      <w:r w:rsidR="009E2D6E" w:rsidRPr="00424424">
        <w:rPr>
          <w:rFonts w:ascii="Arial" w:eastAsia="Calibri" w:hAnsi="Arial" w:cs="Arial"/>
          <w:bCs/>
        </w:rPr>
        <w:t>74.3 (4.9)</w:t>
      </w:r>
      <w:r w:rsidRPr="00424424">
        <w:rPr>
          <w:rFonts w:ascii="Arial" w:eastAsia="Calibri" w:hAnsi="Arial" w:cs="Arial"/>
          <w:bCs/>
        </w:rPr>
        <w:t xml:space="preserve"> years; 5929 participants died during </w:t>
      </w:r>
      <w:r w:rsidR="00FF1B3E" w:rsidRPr="00424424">
        <w:rPr>
          <w:rFonts w:ascii="Arial" w:eastAsia="Calibri" w:hAnsi="Arial" w:cs="Arial"/>
          <w:bCs/>
        </w:rPr>
        <w:t xml:space="preserve">a mean (SD) </w:t>
      </w:r>
      <w:r w:rsidRPr="00424424">
        <w:rPr>
          <w:rFonts w:ascii="Arial" w:eastAsia="Calibri" w:hAnsi="Arial" w:cs="Arial"/>
          <w:bCs/>
        </w:rPr>
        <w:t>follow-up</w:t>
      </w:r>
      <w:r w:rsidR="00FF1B3E" w:rsidRPr="00424424">
        <w:rPr>
          <w:rFonts w:ascii="Arial" w:eastAsia="Calibri" w:hAnsi="Arial" w:cs="Arial"/>
          <w:bCs/>
        </w:rPr>
        <w:t xml:space="preserve"> of </w:t>
      </w:r>
      <w:r w:rsidR="00FF1B3E" w:rsidRPr="00424424">
        <w:rPr>
          <w:rFonts w:ascii="Arial" w:hAnsi="Arial" w:cs="Arial"/>
          <w:bCs/>
        </w:rPr>
        <w:t>12.1 (5.5) years</w:t>
      </w:r>
      <w:r w:rsidRPr="00424424">
        <w:rPr>
          <w:rFonts w:ascii="Arial" w:eastAsia="Calibri" w:hAnsi="Arial" w:cs="Arial"/>
          <w:bCs/>
        </w:rPr>
        <w:t>. The proportion with sarcopenia according to each definition was: EWGSOP</w:t>
      </w:r>
      <w:r w:rsidR="00C26EAA" w:rsidRPr="00424424">
        <w:rPr>
          <w:rFonts w:ascii="Arial" w:eastAsia="Calibri" w:hAnsi="Arial" w:cs="Arial"/>
          <w:bCs/>
        </w:rPr>
        <w:t>2</w:t>
      </w:r>
      <w:r w:rsidRPr="00424424">
        <w:rPr>
          <w:rFonts w:ascii="Arial" w:eastAsia="Calibri" w:hAnsi="Arial" w:cs="Arial"/>
          <w:bCs/>
        </w:rPr>
        <w:t xml:space="preserve"> (1.1%); SDOC (1.7%); and </w:t>
      </w:r>
      <w:r w:rsidR="00523893" w:rsidRPr="00424424">
        <w:rPr>
          <w:rFonts w:ascii="Arial" w:eastAsia="Calibri" w:hAnsi="Arial" w:cs="Arial"/>
          <w:bCs/>
        </w:rPr>
        <w:t>M</w:t>
      </w:r>
      <w:r w:rsidR="00D20346" w:rsidRPr="00424424">
        <w:rPr>
          <w:rFonts w:ascii="Arial" w:eastAsia="Calibri" w:hAnsi="Arial" w:cs="Arial"/>
          <w:bCs/>
        </w:rPr>
        <w:t xml:space="preserve">odified </w:t>
      </w:r>
      <w:r w:rsidRPr="00424424">
        <w:rPr>
          <w:rFonts w:ascii="Arial" w:eastAsia="Calibri" w:hAnsi="Arial" w:cs="Arial"/>
          <w:bCs/>
        </w:rPr>
        <w:t xml:space="preserve">SDOC </w:t>
      </w:r>
      <w:bookmarkStart w:id="5" w:name="_Hlk94605646"/>
      <w:r w:rsidRPr="00424424">
        <w:rPr>
          <w:rFonts w:ascii="Arial" w:eastAsia="Calibri" w:hAnsi="Arial" w:cs="Arial"/>
          <w:bCs/>
        </w:rPr>
        <w:t xml:space="preserve">(5.3%). Agreement </w:t>
      </w:r>
      <w:r w:rsidR="004A4368" w:rsidRPr="00424424">
        <w:rPr>
          <w:rFonts w:ascii="Arial" w:eastAsia="Calibri" w:hAnsi="Arial" w:cs="Arial"/>
          <w:bCs/>
        </w:rPr>
        <w:t xml:space="preserve">was weak </w:t>
      </w:r>
      <w:r w:rsidRPr="00424424">
        <w:rPr>
          <w:rFonts w:ascii="Arial" w:eastAsia="Calibri" w:hAnsi="Arial" w:cs="Arial"/>
          <w:bCs/>
        </w:rPr>
        <w:t xml:space="preserve">between EWGSOP2 and SDOC (κ=0.17). </w:t>
      </w:r>
      <w:r w:rsidR="00E47E15" w:rsidRPr="00424424">
        <w:rPr>
          <w:rFonts w:ascii="Arial" w:eastAsia="Calibri" w:hAnsi="Arial" w:cs="Arial"/>
          <w:bCs/>
        </w:rPr>
        <w:t>Pooled h</w:t>
      </w:r>
      <w:r w:rsidRPr="00424424">
        <w:rPr>
          <w:rFonts w:ascii="Arial" w:eastAsia="Calibri" w:hAnsi="Arial" w:cs="Arial"/>
          <w:bCs/>
        </w:rPr>
        <w:t xml:space="preserve">azard ratios (95% CI) for mortality </w:t>
      </w:r>
      <w:r w:rsidR="006D6574" w:rsidRPr="00424424">
        <w:rPr>
          <w:rFonts w:ascii="Arial" w:eastAsia="Calibri" w:hAnsi="Arial" w:cs="Arial"/>
          <w:bCs/>
        </w:rPr>
        <w:t xml:space="preserve">for presence versus absence of each definition </w:t>
      </w:r>
      <w:r w:rsidRPr="00424424">
        <w:rPr>
          <w:rFonts w:ascii="Arial" w:eastAsia="Calibri" w:hAnsi="Arial" w:cs="Arial"/>
          <w:bCs/>
        </w:rPr>
        <w:t>were: EWGSOP</w:t>
      </w:r>
      <w:r w:rsidR="008B437C" w:rsidRPr="00424424">
        <w:rPr>
          <w:rFonts w:ascii="Arial" w:eastAsia="Calibri" w:hAnsi="Arial" w:cs="Arial"/>
          <w:bCs/>
        </w:rPr>
        <w:t>2</w:t>
      </w:r>
      <w:r w:rsidRPr="00424424">
        <w:rPr>
          <w:rFonts w:ascii="Arial" w:eastAsia="Calibri" w:hAnsi="Arial" w:cs="Arial"/>
          <w:bCs/>
        </w:rPr>
        <w:t xml:space="preserve"> (</w:t>
      </w:r>
      <w:r w:rsidR="009E2D6E" w:rsidRPr="00424424">
        <w:rPr>
          <w:rFonts w:ascii="Arial" w:eastAsia="Calibri" w:hAnsi="Arial" w:cs="Arial"/>
          <w:bCs/>
        </w:rPr>
        <w:t>1.76 (1.42, 2.18)</w:t>
      </w:r>
      <w:r w:rsidR="00E47E15" w:rsidRPr="00424424">
        <w:rPr>
          <w:rFonts w:ascii="Arial" w:eastAsia="Calibri" w:hAnsi="Arial" w:cs="Arial"/>
          <w:bCs/>
        </w:rPr>
        <w:t>, I</w:t>
      </w:r>
      <w:r w:rsidR="00E47E15" w:rsidRPr="00424424">
        <w:rPr>
          <w:rFonts w:ascii="Arial" w:eastAsia="Calibri" w:hAnsi="Arial" w:cs="Arial"/>
          <w:bCs/>
          <w:vertAlign w:val="superscript"/>
        </w:rPr>
        <w:t>2</w:t>
      </w:r>
      <w:r w:rsidR="00E47E15" w:rsidRPr="00424424">
        <w:rPr>
          <w:rFonts w:ascii="Arial" w:eastAsia="Calibri" w:hAnsi="Arial" w:cs="Arial"/>
          <w:bCs/>
        </w:rPr>
        <w:t>: 0.0%</w:t>
      </w:r>
      <w:r w:rsidRPr="00424424">
        <w:rPr>
          <w:rFonts w:ascii="Arial" w:eastAsia="Calibri" w:hAnsi="Arial" w:cs="Arial"/>
          <w:bCs/>
        </w:rPr>
        <w:t>); SDOC (</w:t>
      </w:r>
      <w:r w:rsidR="009E2D6E" w:rsidRPr="00424424">
        <w:rPr>
          <w:rFonts w:ascii="Arial" w:eastAsia="Calibri" w:hAnsi="Arial" w:cs="Arial"/>
          <w:bCs/>
        </w:rPr>
        <w:t>2.75 (2.28, 3.31)</w:t>
      </w:r>
      <w:r w:rsidR="00E47E15" w:rsidRPr="00424424">
        <w:rPr>
          <w:rFonts w:ascii="Arial" w:eastAsia="Calibri" w:hAnsi="Arial" w:cs="Arial"/>
          <w:bCs/>
        </w:rPr>
        <w:t>, I</w:t>
      </w:r>
      <w:r w:rsidR="00E47E15" w:rsidRPr="00424424">
        <w:rPr>
          <w:rFonts w:ascii="Arial" w:eastAsia="Calibri" w:hAnsi="Arial" w:cs="Arial"/>
          <w:bCs/>
          <w:vertAlign w:val="superscript"/>
        </w:rPr>
        <w:t>2</w:t>
      </w:r>
      <w:r w:rsidR="00E47E15" w:rsidRPr="00424424">
        <w:rPr>
          <w:rFonts w:ascii="Arial" w:eastAsia="Calibri" w:hAnsi="Arial" w:cs="Arial"/>
          <w:bCs/>
        </w:rPr>
        <w:t xml:space="preserve">: </w:t>
      </w:r>
      <w:r w:rsidR="006D0626" w:rsidRPr="00424424">
        <w:rPr>
          <w:rFonts w:ascii="Arial" w:eastAsia="Calibri" w:hAnsi="Arial" w:cs="Arial"/>
          <w:bCs/>
        </w:rPr>
        <w:t>0.0%</w:t>
      </w:r>
      <w:r w:rsidRPr="00424424">
        <w:rPr>
          <w:rFonts w:ascii="Arial" w:eastAsia="Calibri" w:hAnsi="Arial" w:cs="Arial"/>
          <w:bCs/>
        </w:rPr>
        <w:t xml:space="preserve">); and </w:t>
      </w:r>
      <w:r w:rsidR="00BE4320" w:rsidRPr="00424424">
        <w:rPr>
          <w:rFonts w:ascii="Arial" w:eastAsia="Calibri" w:hAnsi="Arial" w:cs="Arial"/>
          <w:bCs/>
        </w:rPr>
        <w:t>M</w:t>
      </w:r>
      <w:r w:rsidR="004A4368" w:rsidRPr="00424424">
        <w:rPr>
          <w:rFonts w:ascii="Arial" w:eastAsia="Calibri" w:hAnsi="Arial" w:cs="Arial"/>
          <w:bCs/>
        </w:rPr>
        <w:t xml:space="preserve">odified </w:t>
      </w:r>
      <w:r w:rsidRPr="00424424">
        <w:rPr>
          <w:rFonts w:ascii="Arial" w:eastAsia="Calibri" w:hAnsi="Arial" w:cs="Arial"/>
          <w:bCs/>
        </w:rPr>
        <w:t>SDOC (</w:t>
      </w:r>
      <w:r w:rsidR="006D0626" w:rsidRPr="00424424">
        <w:rPr>
          <w:rFonts w:ascii="Arial" w:eastAsia="Calibri" w:hAnsi="Arial" w:cs="Arial"/>
          <w:bCs/>
        </w:rPr>
        <w:t>1.93 (1.54, 2.41)</w:t>
      </w:r>
      <w:r w:rsidR="00E47E15" w:rsidRPr="00424424">
        <w:rPr>
          <w:rFonts w:ascii="Arial" w:eastAsia="Calibri" w:hAnsi="Arial" w:cs="Arial"/>
          <w:bCs/>
        </w:rPr>
        <w:t>, I</w:t>
      </w:r>
      <w:r w:rsidR="00E47E15" w:rsidRPr="00424424">
        <w:rPr>
          <w:rFonts w:ascii="Arial" w:eastAsia="Calibri" w:hAnsi="Arial" w:cs="Arial"/>
          <w:bCs/>
          <w:vertAlign w:val="superscript"/>
        </w:rPr>
        <w:t>2</w:t>
      </w:r>
      <w:r w:rsidR="00E47E15" w:rsidRPr="00424424">
        <w:rPr>
          <w:rFonts w:ascii="Arial" w:eastAsia="Calibri" w:hAnsi="Arial" w:cs="Arial"/>
          <w:bCs/>
        </w:rPr>
        <w:t xml:space="preserve">: </w:t>
      </w:r>
      <w:r w:rsidR="006D0626" w:rsidRPr="00424424">
        <w:rPr>
          <w:rFonts w:ascii="Arial" w:eastAsia="Calibri" w:hAnsi="Arial" w:cs="Arial"/>
          <w:bCs/>
        </w:rPr>
        <w:t>58.3%</w:t>
      </w:r>
      <w:r w:rsidRPr="00424424">
        <w:rPr>
          <w:rFonts w:ascii="Arial" w:eastAsia="Calibri" w:hAnsi="Arial" w:cs="Arial"/>
          <w:bCs/>
        </w:rPr>
        <w:t xml:space="preserve">). </w:t>
      </w:r>
      <w:bookmarkEnd w:id="5"/>
    </w:p>
    <w:p w14:paraId="41507BAB" w14:textId="77777777" w:rsidR="009C78AE" w:rsidRPr="00424424" w:rsidRDefault="009C78AE" w:rsidP="009C78AE">
      <w:pPr>
        <w:spacing w:after="0" w:line="360" w:lineRule="auto"/>
        <w:rPr>
          <w:rFonts w:ascii="Arial" w:eastAsia="Calibri" w:hAnsi="Arial" w:cs="Arial"/>
          <w:b/>
        </w:rPr>
      </w:pPr>
      <w:r w:rsidRPr="00424424">
        <w:rPr>
          <w:rFonts w:ascii="Arial" w:eastAsia="Calibri" w:hAnsi="Arial" w:cs="Arial"/>
          <w:b/>
        </w:rPr>
        <w:t>Conclusions</w:t>
      </w:r>
    </w:p>
    <w:p w14:paraId="3F2E337F" w14:textId="05056796" w:rsidR="00FC1DE1" w:rsidRPr="00424424" w:rsidRDefault="009C78AE" w:rsidP="009C78AE">
      <w:pPr>
        <w:spacing w:after="0" w:line="360" w:lineRule="auto"/>
        <w:rPr>
          <w:rFonts w:ascii="Arial" w:eastAsia="Calibri" w:hAnsi="Arial" w:cs="Arial"/>
          <w:bCs/>
        </w:rPr>
      </w:pPr>
      <w:r w:rsidRPr="00424424">
        <w:rPr>
          <w:rFonts w:ascii="Arial" w:eastAsia="Calibri" w:hAnsi="Arial" w:cs="Arial"/>
          <w:bCs/>
        </w:rPr>
        <w:t xml:space="preserve">There </w:t>
      </w:r>
      <w:r w:rsidR="0033623F" w:rsidRPr="00424424">
        <w:rPr>
          <w:rFonts w:ascii="Arial" w:eastAsia="Calibri" w:hAnsi="Arial" w:cs="Arial"/>
          <w:bCs/>
        </w:rPr>
        <w:t>was</w:t>
      </w:r>
      <w:r w:rsidRPr="00424424">
        <w:rPr>
          <w:rFonts w:ascii="Arial" w:eastAsia="Calibri" w:hAnsi="Arial" w:cs="Arial"/>
          <w:bCs/>
        </w:rPr>
        <w:t xml:space="preserve"> low prevalence and poor agreement among recent sarcopenia definitions in community-dwelling cohorts of older white men. </w:t>
      </w:r>
      <w:r w:rsidR="006D6574" w:rsidRPr="00424424">
        <w:rPr>
          <w:rFonts w:ascii="Arial" w:eastAsia="Calibri" w:hAnsi="Arial" w:cs="Arial"/>
          <w:bCs/>
        </w:rPr>
        <w:t>All indices of sarcopenia were associated with mortality</w:t>
      </w:r>
      <w:r w:rsidR="00FF1B3E" w:rsidRPr="00424424">
        <w:rPr>
          <w:rFonts w:ascii="Arial" w:eastAsia="Calibri" w:hAnsi="Arial" w:cs="Arial"/>
          <w:bCs/>
        </w:rPr>
        <w:t xml:space="preserve">. The strong relationship between sarcopenia and mortality, regardless of the definition, illustrates </w:t>
      </w:r>
      <w:r w:rsidR="008209C7" w:rsidRPr="00424424">
        <w:rPr>
          <w:rFonts w:ascii="Arial" w:eastAsia="Calibri" w:hAnsi="Arial" w:cs="Arial"/>
          <w:bCs/>
        </w:rPr>
        <w:t xml:space="preserve">that </w:t>
      </w:r>
      <w:r w:rsidR="006D6574" w:rsidRPr="00424424">
        <w:rPr>
          <w:rFonts w:ascii="Arial" w:eastAsia="Calibri" w:hAnsi="Arial" w:cs="Arial"/>
          <w:bCs/>
        </w:rPr>
        <w:t xml:space="preserve">identification of </w:t>
      </w:r>
      <w:r w:rsidR="008209C7" w:rsidRPr="00424424">
        <w:rPr>
          <w:rFonts w:ascii="Arial" w:eastAsia="Calibri" w:hAnsi="Arial" w:cs="Arial"/>
          <w:bCs/>
        </w:rPr>
        <w:t xml:space="preserve">appropriate management and lifecourse intervention strategies for this condition </w:t>
      </w:r>
      <w:r w:rsidR="006D6574" w:rsidRPr="00424424">
        <w:rPr>
          <w:rFonts w:ascii="Arial" w:eastAsia="Calibri" w:hAnsi="Arial" w:cs="Arial"/>
          <w:bCs/>
        </w:rPr>
        <w:t xml:space="preserve">is </w:t>
      </w:r>
      <w:r w:rsidR="008209C7" w:rsidRPr="00424424">
        <w:rPr>
          <w:rFonts w:ascii="Arial" w:eastAsia="Calibri" w:hAnsi="Arial" w:cs="Arial"/>
          <w:bCs/>
        </w:rPr>
        <w:t>of paramount importance.</w:t>
      </w:r>
    </w:p>
    <w:p w14:paraId="14925D32" w14:textId="77777777" w:rsidR="0090687A" w:rsidRPr="00424424" w:rsidRDefault="0090687A" w:rsidP="009C78AE">
      <w:pPr>
        <w:spacing w:line="360" w:lineRule="auto"/>
        <w:rPr>
          <w:rFonts w:ascii="Arial" w:eastAsia="Calibri" w:hAnsi="Arial" w:cs="Arial"/>
          <w:b/>
        </w:rPr>
      </w:pPr>
    </w:p>
    <w:p w14:paraId="54584100" w14:textId="6FE73969" w:rsidR="00E903FB" w:rsidRPr="00424424" w:rsidRDefault="00E903FB" w:rsidP="009C78AE">
      <w:pPr>
        <w:spacing w:line="360" w:lineRule="auto"/>
        <w:rPr>
          <w:rFonts w:ascii="Arial" w:eastAsia="Calibri" w:hAnsi="Arial" w:cs="Arial"/>
          <w:sz w:val="20"/>
          <w:szCs w:val="20"/>
        </w:rPr>
      </w:pPr>
      <w:r w:rsidRPr="00424424">
        <w:rPr>
          <w:rFonts w:ascii="Arial" w:eastAsia="Calibri" w:hAnsi="Arial" w:cs="Arial"/>
          <w:b/>
        </w:rPr>
        <w:t>Keywords</w:t>
      </w:r>
      <w:r w:rsidRPr="00424424">
        <w:rPr>
          <w:rFonts w:ascii="Arial" w:eastAsia="Calibri" w:hAnsi="Arial" w:cs="Arial"/>
        </w:rPr>
        <w:t>: Epidemiology, Sarcopenia, Ageing, Mortality, Prevalence</w:t>
      </w:r>
    </w:p>
    <w:p w14:paraId="545CB58F" w14:textId="77777777" w:rsidR="00E903FB" w:rsidRPr="00424424" w:rsidRDefault="00E903FB" w:rsidP="009C78AE">
      <w:pPr>
        <w:spacing w:line="360" w:lineRule="auto"/>
        <w:rPr>
          <w:rFonts w:ascii="Arial" w:eastAsia="Calibri" w:hAnsi="Arial" w:cs="Arial"/>
          <w:sz w:val="20"/>
          <w:szCs w:val="20"/>
        </w:rPr>
      </w:pPr>
    </w:p>
    <w:p w14:paraId="256D7FCE" w14:textId="24F5A19F" w:rsidR="002A568E" w:rsidRPr="00424424" w:rsidRDefault="002A568E" w:rsidP="009C78AE">
      <w:pPr>
        <w:spacing w:line="360" w:lineRule="auto"/>
        <w:rPr>
          <w:rFonts w:ascii="Arial" w:eastAsia="Calibri" w:hAnsi="Arial" w:cs="Arial"/>
          <w:sz w:val="20"/>
          <w:szCs w:val="20"/>
        </w:rPr>
      </w:pPr>
      <w:r w:rsidRPr="00424424">
        <w:rPr>
          <w:rFonts w:ascii="Arial" w:hAnsi="Arial" w:cs="Arial"/>
          <w:b/>
        </w:rPr>
        <w:t>Introduction</w:t>
      </w:r>
    </w:p>
    <w:p w14:paraId="458B5107" w14:textId="6CBB00F8" w:rsidR="007A034A" w:rsidRPr="00424424" w:rsidRDefault="007A034A" w:rsidP="007A034A">
      <w:pPr>
        <w:spacing w:line="360" w:lineRule="auto"/>
        <w:rPr>
          <w:rFonts w:ascii="Arial" w:hAnsi="Arial" w:cs="Arial"/>
          <w:lang w:eastAsia="en-GB"/>
        </w:rPr>
      </w:pPr>
      <w:r w:rsidRPr="00424424">
        <w:rPr>
          <w:rFonts w:ascii="Arial" w:hAnsi="Arial" w:cs="Arial"/>
          <w:lang w:eastAsia="en-GB"/>
        </w:rPr>
        <w:t>Sarcopenia is a condition characterized by the</w:t>
      </w:r>
      <w:r w:rsidR="003D4C54" w:rsidRPr="00424424">
        <w:rPr>
          <w:rFonts w:ascii="Arial" w:hAnsi="Arial" w:cs="Arial"/>
          <w:lang w:eastAsia="en-GB"/>
        </w:rPr>
        <w:t xml:space="preserve"> excessive </w:t>
      </w:r>
      <w:r w:rsidRPr="00424424">
        <w:rPr>
          <w:rFonts w:ascii="Arial" w:hAnsi="Arial" w:cs="Arial"/>
          <w:lang w:eastAsia="en-GB"/>
        </w:rPr>
        <w:t>loss of muscle mass and strength with age; it is associated with physical disability, mortality</w:t>
      </w:r>
      <w:r w:rsidR="00515B9C" w:rsidRPr="00424424">
        <w:rPr>
          <w:rFonts w:ascii="Arial" w:hAnsi="Arial" w:cs="Arial"/>
          <w:lang w:eastAsia="en-GB"/>
        </w:rPr>
        <w:t>,</w:t>
      </w:r>
      <w:r w:rsidRPr="00424424">
        <w:rPr>
          <w:rFonts w:ascii="Arial" w:hAnsi="Arial" w:cs="Arial"/>
          <w:lang w:eastAsia="en-GB"/>
        </w:rPr>
        <w:t xml:space="preserve"> </w:t>
      </w:r>
      <w:r w:rsidR="00515B9C" w:rsidRPr="00424424">
        <w:rPr>
          <w:rFonts w:ascii="Arial" w:hAnsi="Arial" w:cs="Arial"/>
          <w:lang w:eastAsia="en-GB"/>
        </w:rPr>
        <w:t xml:space="preserve">considerable </w:t>
      </w:r>
      <w:r w:rsidRPr="00424424">
        <w:rPr>
          <w:rFonts w:ascii="Arial" w:hAnsi="Arial" w:cs="Arial"/>
          <w:lang w:eastAsia="en-GB"/>
        </w:rPr>
        <w:t>healthcare costs</w:t>
      </w:r>
      <w:r w:rsidR="00515B9C" w:rsidRPr="00424424">
        <w:rPr>
          <w:rFonts w:ascii="Arial" w:hAnsi="Arial" w:cs="Arial"/>
          <w:lang w:eastAsia="en-GB"/>
        </w:rPr>
        <w:t xml:space="preserve"> and significant loss of quality of life</w:t>
      </w:r>
      <w:r w:rsidRPr="00424424">
        <w:rPr>
          <w:rFonts w:ascii="Arial" w:hAnsi="Arial" w:cs="Arial"/>
          <w:lang w:eastAsia="en-GB"/>
        </w:rPr>
        <w:t xml:space="preserve"> </w:t>
      </w:r>
      <w:r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&lt;EndNote&gt;&lt;Cite&gt;&lt;Author&gt;Shaw&lt;/Author&gt;&lt;Year&gt;2017&lt;/Year&gt;&lt;RecNum&gt;1093&lt;/RecNum&gt;&lt;DisplayText&gt;[1, 2]&lt;/DisplayText&gt;&lt;record&gt;&lt;rec-number&gt;1093&lt;/rec-number&gt;&lt;foreign-keys&gt;&lt;key app="EN" db-id="pzdf5rvs9wzts6erav6v0rpowttawpd0ztaa" timestamp="1512206408"&gt;1093&lt;/key&gt;&lt;/foreign-keys&gt;&lt;ref-type name="Journal Article"&gt;17&lt;/ref-type&gt;&lt;contributors&gt;&lt;authors&gt;&lt;author&gt;Shaw, SC&lt;/author&gt;&lt;author&gt;Dennison, EM&lt;/author&gt;&lt;author&gt;Cooper, Cyrus&lt;/author&gt;&lt;/authors&gt;&lt;/contributors&gt;&lt;titles&gt;&lt;title&gt;Epidemiology of Sarcopenia: Determinants Throughout the Lifecourse&lt;/title&gt;&lt;secondary-title&gt;Calcif Tissue Int.&lt;/secondary-title&gt;&lt;/titles&gt;&lt;periodical&gt;&lt;full-title&gt;Calcif Tissue Int.&lt;/full-title&gt;&lt;/periodical&gt;&lt;pages&gt;229-247&lt;/pages&gt;&lt;volume&gt;101&lt;/volume&gt;&lt;number&gt;3&lt;/number&gt;&lt;dates&gt;&lt;year&gt;2017&lt;/year&gt;&lt;/dates&gt;&lt;urls&gt;&lt;/urls&gt;&lt;/record&gt;&lt;/Cite&gt;&lt;Cite&gt;&lt;Author&gt;Beaudart&lt;/Author&gt;&lt;Year&gt;2015&lt;/Year&gt;&lt;RecNum&gt;1477&lt;/RecNum&gt;&lt;record&gt;&lt;rec-number&gt;1477&lt;/rec-number&gt;&lt;foreign-keys&gt;&lt;key app="EN" db-id="pzdf5rvs9wzts6erav6v0rpowttawpd0ztaa" timestamp="1655361826"&gt;1477&lt;/key&gt;&lt;/foreign-keys&gt;&lt;ref-type name="Journal Article"&gt;17&lt;/ref-type&gt;&lt;contributors&gt;&lt;authors&gt;&lt;author&gt;Beaudart, Charlotte&lt;/author&gt;&lt;author&gt;Biver, Emmanuel&lt;/author&gt;&lt;author&gt;Reginster, Jean-Yves&lt;/author&gt;&lt;author&gt;Rizzoli, René&lt;/author&gt;&lt;author&gt;Rolland, Yves&lt;/author&gt;&lt;author&gt;Bautmans, Ivan&lt;/author&gt;&lt;author&gt;Petermans, Jean&lt;/author&gt;&lt;author&gt;Gillain, Sophie&lt;/author&gt;&lt;author&gt;Buckinx, Fanny&lt;/author&gt;&lt;author&gt;Van Beveren, Julien&lt;/author&gt;&lt;/authors&gt;&lt;/contributors&gt;&lt;titles&gt;&lt;title&gt;Development of a self-administrated quality of life questionnaire for sarcopenia in elderly subjects: the SarQoL&lt;/title&gt;&lt;secondary-title&gt;Age Ageing.&lt;/secondary-title&gt;&lt;/titles&gt;&lt;periodical&gt;&lt;full-title&gt;Age Ageing.&lt;/full-title&gt;&lt;/periodical&gt;&lt;pages&gt;960-966&lt;/pages&gt;&lt;volume&gt;44&lt;/volume&gt;&lt;number&gt;6&lt;/number&gt;&lt;dates&gt;&lt;year&gt;2015&lt;/year&gt;&lt;/dates&gt;&lt;isbn&gt;1468-2834&lt;/isbn&gt;&lt;urls&gt;&lt;/urls&gt;&lt;/record&gt;&lt;/Cite&gt;&lt;/EndNote&gt;</w:instrText>
      </w:r>
      <w:r w:rsidRPr="00424424">
        <w:rPr>
          <w:rFonts w:ascii="Arial" w:hAnsi="Arial" w:cs="Arial"/>
          <w:lang w:eastAsia="en-GB"/>
        </w:rPr>
        <w:fldChar w:fldCharType="separate"/>
      </w:r>
      <w:r w:rsidR="0063698B" w:rsidRPr="00424424">
        <w:rPr>
          <w:rFonts w:ascii="Arial" w:hAnsi="Arial" w:cs="Arial"/>
          <w:noProof/>
          <w:lang w:eastAsia="en-GB"/>
        </w:rPr>
        <w:t>[1, 2]</w:t>
      </w:r>
      <w:r w:rsidRPr="00424424">
        <w:rPr>
          <w:rFonts w:ascii="Arial" w:hAnsi="Arial" w:cs="Arial"/>
          <w:lang w:eastAsia="en-GB"/>
        </w:rPr>
        <w:fldChar w:fldCharType="end"/>
      </w:r>
      <w:r w:rsidRPr="00424424">
        <w:rPr>
          <w:rFonts w:ascii="Arial" w:hAnsi="Arial" w:cs="Arial"/>
          <w:lang w:eastAsia="en-GB"/>
        </w:rPr>
        <w:t>. Since 2016, sarcopenia has been recognised as</w:t>
      </w:r>
      <w:r w:rsidR="003D4C54" w:rsidRPr="00424424">
        <w:rPr>
          <w:rFonts w:ascii="Arial" w:hAnsi="Arial" w:cs="Arial"/>
          <w:lang w:eastAsia="en-GB"/>
        </w:rPr>
        <w:t xml:space="preserve"> a defined </w:t>
      </w:r>
      <w:r w:rsidRPr="00424424">
        <w:rPr>
          <w:rFonts w:ascii="Arial" w:hAnsi="Arial" w:cs="Arial"/>
          <w:lang w:eastAsia="en-GB"/>
        </w:rPr>
        <w:t>condition according to the International Classification of Diseases</w:t>
      </w:r>
      <w:r w:rsidR="008209C7" w:rsidRPr="00424424">
        <w:rPr>
          <w:rFonts w:ascii="Arial" w:hAnsi="Arial" w:cs="Arial"/>
          <w:lang w:eastAsia="en-GB"/>
        </w:rPr>
        <w:t>, Clinical Modification</w:t>
      </w:r>
      <w:r w:rsidRPr="00424424">
        <w:rPr>
          <w:rFonts w:ascii="Arial" w:hAnsi="Arial" w:cs="Arial"/>
          <w:lang w:eastAsia="en-GB"/>
        </w:rPr>
        <w:t xml:space="preserve"> </w:t>
      </w:r>
      <w:r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&lt;EndNote&gt;&lt;Cite&gt;&lt;Author&gt;Cao&lt;/Author&gt;&lt;Year&gt;2016&lt;/Year&gt;&lt;RecNum&gt;1090&lt;/RecNum&gt;&lt;DisplayText&gt;[3]&lt;/DisplayText&gt;&lt;record&gt;&lt;rec-number&gt;1090&lt;/rec-number&gt;&lt;foreign-keys&gt;&lt;key app="EN" db-id="pzdf5rvs9wzts6erav6v0rpowttawpd0ztaa" timestamp="1512202452"&gt;1090&lt;/key&gt;&lt;/foreign-keys&gt;&lt;ref-type name="Journal Article"&gt;17&lt;/ref-type&gt;&lt;contributors&gt;&lt;authors&gt;&lt;author&gt;Cao, Li&lt;/author&gt;&lt;author&gt;Morley, John E&lt;/author&gt;&lt;/authors&gt;&lt;/contributors&gt;&lt;titles&gt;&lt;title&gt;Sarcopenia is recognized as an independent condition by an international classification of disease, tenth revision, clinical modification (ICD-10-CM) code&lt;/title&gt;&lt;secondary-title&gt;J Am Med Dir Assoc&lt;/secondary-title&gt;&lt;/titles&gt;&lt;periodical&gt;&lt;full-title&gt;J Am Med Dir Assoc&lt;/full-title&gt;&lt;/periodical&gt;&lt;pages&gt;675-677&lt;/pages&gt;&lt;volume&gt;17&lt;/volume&gt;&lt;number&gt;8&lt;/number&gt;&lt;dates&gt;&lt;year&gt;2016&lt;/year&gt;&lt;/dates&gt;&lt;urls&gt;&lt;related-urls&gt;&lt;url&gt;https://www.sciencedirect.com/science/article/abs/pii/S1525861016301815?via%3Dihub&lt;/url&gt;&lt;/related-urls&gt;&lt;/urls&gt;&lt;/record&gt;&lt;/Cite&gt;&lt;/EndNote&gt;</w:instrText>
      </w:r>
      <w:r w:rsidRPr="00424424">
        <w:rPr>
          <w:rFonts w:ascii="Arial" w:hAnsi="Arial" w:cs="Arial"/>
          <w:lang w:eastAsia="en-GB"/>
        </w:rPr>
        <w:fldChar w:fldCharType="separate"/>
      </w:r>
      <w:r w:rsidR="0063698B" w:rsidRPr="00424424">
        <w:rPr>
          <w:rFonts w:ascii="Arial" w:hAnsi="Arial" w:cs="Arial"/>
          <w:noProof/>
          <w:lang w:eastAsia="en-GB"/>
        </w:rPr>
        <w:t>[3]</w:t>
      </w:r>
      <w:r w:rsidRPr="00424424">
        <w:rPr>
          <w:rFonts w:ascii="Arial" w:hAnsi="Arial" w:cs="Arial"/>
          <w:lang w:eastAsia="en-GB"/>
        </w:rPr>
        <w:fldChar w:fldCharType="end"/>
      </w:r>
      <w:r w:rsidRPr="00424424">
        <w:rPr>
          <w:rFonts w:ascii="Arial" w:hAnsi="Arial" w:cs="Arial"/>
          <w:lang w:eastAsia="en-GB"/>
        </w:rPr>
        <w:t xml:space="preserve">. However, there is currently no consensus </w:t>
      </w:r>
      <w:r w:rsidR="006D6574" w:rsidRPr="00424424">
        <w:rPr>
          <w:rFonts w:ascii="Arial" w:hAnsi="Arial" w:cs="Arial"/>
          <w:lang w:eastAsia="en-GB"/>
        </w:rPr>
        <w:t xml:space="preserve">definition </w:t>
      </w:r>
      <w:r w:rsidRPr="00424424">
        <w:rPr>
          <w:rFonts w:ascii="Arial" w:hAnsi="Arial" w:cs="Arial"/>
          <w:lang w:eastAsia="en-GB"/>
        </w:rPr>
        <w:t xml:space="preserve">for </w:t>
      </w:r>
      <w:r w:rsidR="006D6574" w:rsidRPr="00424424">
        <w:rPr>
          <w:rFonts w:ascii="Arial" w:hAnsi="Arial" w:cs="Arial"/>
          <w:lang w:eastAsia="en-GB"/>
        </w:rPr>
        <w:t>making the diagnosis of</w:t>
      </w:r>
      <w:r w:rsidRPr="00424424">
        <w:rPr>
          <w:rFonts w:ascii="Arial" w:hAnsi="Arial" w:cs="Arial"/>
          <w:lang w:eastAsia="en-GB"/>
        </w:rPr>
        <w:t xml:space="preserve"> sarcopenia. </w:t>
      </w:r>
    </w:p>
    <w:p w14:paraId="0CB0509D" w14:textId="0F731877" w:rsidR="007A034A" w:rsidRPr="00424424" w:rsidRDefault="007A034A" w:rsidP="007A034A">
      <w:pPr>
        <w:spacing w:line="360" w:lineRule="auto"/>
        <w:rPr>
          <w:rFonts w:ascii="Arial" w:hAnsi="Arial" w:cs="Arial"/>
          <w:lang w:eastAsia="en-GB"/>
        </w:rPr>
      </w:pPr>
      <w:r w:rsidRPr="00424424">
        <w:rPr>
          <w:rFonts w:ascii="Arial" w:hAnsi="Arial" w:cs="Arial"/>
          <w:lang w:eastAsia="en-GB"/>
        </w:rPr>
        <w:lastRenderedPageBreak/>
        <w:t>Various algorithms for defining sarcopenia have been proposed. In 2010, The European Working Group on Sarcopenia in Older People (</w:t>
      </w:r>
      <w:r w:rsidR="00640F8D" w:rsidRPr="00424424">
        <w:rPr>
          <w:rFonts w:ascii="Arial" w:hAnsi="Arial" w:cs="Arial"/>
          <w:lang w:eastAsia="en-GB"/>
        </w:rPr>
        <w:t>EWGSOP</w:t>
      </w:r>
      <w:r w:rsidRPr="00424424">
        <w:rPr>
          <w:rFonts w:ascii="Arial" w:hAnsi="Arial" w:cs="Arial"/>
          <w:lang w:eastAsia="en-GB"/>
        </w:rPr>
        <w:t xml:space="preserve">) defined sarcopenia as low lean mass and either low strength (grip strength) or function (gait speed) </w:t>
      </w:r>
      <w:r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&lt;EndNote&gt;&lt;Cite&gt;&lt;Author&gt;Cruz-Jentoft&lt;/Author&gt;&lt;Year&gt;2010&lt;/Year&gt;&lt;RecNum&gt;1096&lt;/RecNum&gt;&lt;DisplayText&gt;[4]&lt;/DisplayText&gt;&lt;record&gt;&lt;rec-number&gt;1096&lt;/rec-number&gt;&lt;foreign-keys&gt;&lt;key app="EN" db-id="pzdf5rvs9wzts6erav6v0rpowttawpd0ztaa" timestamp="1516440143"&gt;1096&lt;/key&gt;&lt;/foreign-keys&gt;&lt;ref-type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M&lt;/author&gt;&lt;/authors&gt;&lt;/contributors&gt;&lt;titles&gt;&lt;title&gt;Sarcopenia: European consensus on definition and diagnosis: Report of the European Working Group on Sarcopenia in Older People&lt;/title&gt;&lt;secondary-title&gt;Age Ageing.&lt;/secondary-title&gt;&lt;/titles&gt;&lt;periodical&gt;&lt;full-title&gt;Age Ageing.&lt;/full-title&gt;&lt;/periodical&gt;&lt;pages&gt;412-423&lt;/pages&gt;&lt;volume&gt;39&lt;/volume&gt;&lt;number&gt;4&lt;/number&gt;&lt;dates&gt;&lt;year&gt;2010&lt;/year&gt;&lt;/dates&gt;&lt;isbn&gt;0002-0729&lt;/isbn&gt;&lt;urls&gt;&lt;related-urls&gt;&lt;url&gt;https://www.ncbi.nlm.nih.gov/pmc/articles/PMC2886201/pdf/afq034.pdf&lt;/url&gt;&lt;/related-urls&gt;&lt;/urls&gt;&lt;/record&gt;&lt;/Cite&gt;&lt;/EndNote&gt;</w:instrText>
      </w:r>
      <w:r w:rsidRPr="00424424">
        <w:rPr>
          <w:rFonts w:ascii="Arial" w:hAnsi="Arial" w:cs="Arial"/>
          <w:lang w:eastAsia="en-GB"/>
        </w:rPr>
        <w:fldChar w:fldCharType="separate"/>
      </w:r>
      <w:r w:rsidR="0063698B" w:rsidRPr="00424424">
        <w:rPr>
          <w:rFonts w:ascii="Arial" w:hAnsi="Arial" w:cs="Arial"/>
          <w:noProof/>
          <w:lang w:eastAsia="en-GB"/>
        </w:rPr>
        <w:t>[4]</w:t>
      </w:r>
      <w:r w:rsidRPr="00424424">
        <w:rPr>
          <w:rFonts w:ascii="Arial" w:hAnsi="Arial" w:cs="Arial"/>
          <w:lang w:eastAsia="en-GB"/>
        </w:rPr>
        <w:fldChar w:fldCharType="end"/>
      </w:r>
      <w:r w:rsidR="00F65D9A" w:rsidRPr="00424424">
        <w:rPr>
          <w:rFonts w:ascii="Arial" w:hAnsi="Arial" w:cs="Arial"/>
          <w:lang w:eastAsia="en-GB"/>
        </w:rPr>
        <w:t>.</w:t>
      </w:r>
      <w:r w:rsidR="00AA5776" w:rsidRPr="00424424">
        <w:rPr>
          <w:rFonts w:ascii="Arial" w:hAnsi="Arial" w:cs="Arial"/>
          <w:lang w:eastAsia="en-GB"/>
        </w:rPr>
        <w:t xml:space="preserve"> The revised definition in </w:t>
      </w:r>
      <w:r w:rsidR="00BD4F6B" w:rsidRPr="00424424">
        <w:rPr>
          <w:rFonts w:ascii="Arial" w:hAnsi="Arial" w:cs="Arial"/>
          <w:lang w:eastAsia="en-GB"/>
        </w:rPr>
        <w:t>2019</w:t>
      </w:r>
      <w:r w:rsidR="00AA5776" w:rsidRPr="00424424">
        <w:rPr>
          <w:rFonts w:ascii="Arial" w:hAnsi="Arial" w:cs="Arial"/>
          <w:lang w:eastAsia="en-GB"/>
        </w:rPr>
        <w:t xml:space="preserve"> (EWGSOP2) regards strength, rather than lean mass, as the primary sarcopenia component and defines probable sarcopenia as having low strength; confirmed sarcopenia as having low strength and lean mass; and severe sarcopenia as having low strength, lean mass and </w:t>
      </w:r>
      <w:r w:rsidR="003D4C54" w:rsidRPr="00424424">
        <w:rPr>
          <w:rFonts w:ascii="Arial" w:hAnsi="Arial" w:cs="Arial"/>
          <w:lang w:eastAsia="en-GB"/>
        </w:rPr>
        <w:t xml:space="preserve">impaired </w:t>
      </w:r>
      <w:r w:rsidR="00AA5776" w:rsidRPr="00424424">
        <w:rPr>
          <w:rFonts w:ascii="Arial" w:hAnsi="Arial" w:cs="Arial"/>
          <w:lang w:eastAsia="en-GB"/>
        </w:rPr>
        <w:t xml:space="preserve">function </w:t>
      </w:r>
      <w:r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&lt;EndNote&gt;&lt;Cite&gt;&lt;Author&gt;Cruz-Jentoft&lt;/Author&gt;&lt;Year&gt;2019&lt;/Year&gt;&lt;RecNum&gt;1341&lt;/RecNum&gt;&lt;DisplayText&gt;[5]&lt;/DisplayText&gt;&lt;record&gt;&lt;rec-number&gt;1341&lt;/rec-number&gt;&lt;foreign-keys&gt;&lt;key app="EN" db-id="pzdf5rvs9wzts6erav6v0rpowttawpd0ztaa" timestamp="1550482166"&gt;1341&lt;/key&gt;&lt;/foreign-keys&gt;&lt;ref-type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Aihie&lt;/author&gt;&lt;/authors&gt;&lt;/contributors&gt;&lt;titles&gt;&lt;title&gt;Sarcopenia: revised European consensus on definition and diagnosis&lt;/title&gt;&lt;secondary-title&gt;Age Ageing&lt;/secondary-title&gt;&lt;/titles&gt;&lt;periodical&gt;&lt;full-title&gt;Age Ageing&lt;/full-title&gt;&lt;/periodical&gt;&lt;pages&gt;16-31&lt;/pages&gt;&lt;volume&gt;48&lt;/volume&gt;&lt;number&gt;1&lt;/number&gt;&lt;dates&gt;&lt;year&gt;2019&lt;/year&gt;&lt;/dates&gt;&lt;urls&gt;&lt;/urls&gt;&lt;/record&gt;&lt;/Cite&gt;&lt;/EndNote&gt;</w:instrText>
      </w:r>
      <w:r w:rsidRPr="00424424">
        <w:rPr>
          <w:rFonts w:ascii="Arial" w:hAnsi="Arial" w:cs="Arial"/>
          <w:lang w:eastAsia="en-GB"/>
        </w:rPr>
        <w:fldChar w:fldCharType="separate"/>
      </w:r>
      <w:r w:rsidR="0063698B" w:rsidRPr="00424424">
        <w:rPr>
          <w:rFonts w:ascii="Arial" w:hAnsi="Arial" w:cs="Arial"/>
          <w:noProof/>
          <w:lang w:eastAsia="en-GB"/>
        </w:rPr>
        <w:t>[5]</w:t>
      </w:r>
      <w:r w:rsidRPr="00424424">
        <w:rPr>
          <w:rFonts w:ascii="Arial" w:hAnsi="Arial" w:cs="Arial"/>
          <w:lang w:eastAsia="en-GB"/>
        </w:rPr>
        <w:fldChar w:fldCharType="end"/>
      </w:r>
      <w:r w:rsidRPr="00424424">
        <w:rPr>
          <w:rFonts w:ascii="Arial" w:hAnsi="Arial" w:cs="Arial"/>
          <w:lang w:eastAsia="en-GB"/>
        </w:rPr>
        <w:t>. The Foundation for the National Institutes of Health (FNIH) Sarcopenia Project</w:t>
      </w:r>
      <w:r w:rsidR="006D6574" w:rsidRPr="00424424">
        <w:rPr>
          <w:rFonts w:ascii="Arial" w:hAnsi="Arial" w:cs="Arial"/>
          <w:lang w:eastAsia="en-GB"/>
        </w:rPr>
        <w:t>,</w:t>
      </w:r>
      <w:r w:rsidRPr="00424424">
        <w:rPr>
          <w:rFonts w:ascii="Arial" w:hAnsi="Arial" w:cs="Arial"/>
          <w:lang w:eastAsia="en-GB"/>
        </w:rPr>
        <w:t xml:space="preserve"> </w:t>
      </w:r>
      <w:r w:rsidR="006D6574" w:rsidRPr="00424424">
        <w:rPr>
          <w:rFonts w:ascii="Arial" w:hAnsi="Arial" w:cs="Arial"/>
          <w:lang w:eastAsia="en-GB"/>
        </w:rPr>
        <w:t xml:space="preserve">which was data driven, </w:t>
      </w:r>
      <w:r w:rsidRPr="00424424">
        <w:rPr>
          <w:rFonts w:ascii="Arial" w:hAnsi="Arial" w:cs="Arial"/>
          <w:lang w:eastAsia="en-GB"/>
        </w:rPr>
        <w:t>defined sarcopenia in 2014 as having weak grip strength and low appendicular lean mass</w:t>
      </w:r>
      <w:r w:rsidR="00FC3914" w:rsidRPr="00424424">
        <w:rPr>
          <w:rFonts w:ascii="Arial" w:hAnsi="Arial" w:cs="Arial"/>
          <w:lang w:eastAsia="en-GB"/>
        </w:rPr>
        <w:t xml:space="preserve"> (ALM)</w:t>
      </w:r>
      <w:r w:rsidRPr="00424424">
        <w:rPr>
          <w:rFonts w:ascii="Arial" w:hAnsi="Arial" w:cs="Arial"/>
          <w:lang w:eastAsia="en-GB"/>
        </w:rPr>
        <w:t xml:space="preserve"> adjusted for body mass index </w:t>
      </w:r>
      <w:r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&lt;EndNote&gt;&lt;Cite&gt;&lt;Author&gt;Studenski&lt;/Author&gt;&lt;Year&gt;2014&lt;/Year&gt;&lt;RecNum&gt;1097&lt;/RecNum&gt;&lt;DisplayText&gt;[6]&lt;/DisplayText&gt;&lt;record&gt;&lt;rec-number&gt;1097&lt;/rec-number&gt;&lt;foreign-keys&gt;&lt;key app="EN" db-id="pzdf5rvs9wzts6erav6v0rpowttawpd0ztaa" timestamp="1516440280"&gt;1097&lt;/key&gt;&lt;/foreign-keys&gt;&lt;ref-type name="Journal Article"&gt;17&lt;/ref-type&gt;&lt;contributors&gt;&lt;authors&gt;&lt;author&gt;Studenski, Stephanie A&lt;/author&gt;&lt;author&gt;Peters, Katherine W&lt;/author&gt;&lt;author&gt;Alley, Dawn E&lt;/author&gt;&lt;author&gt;Cawthon, Peggy M&lt;/author&gt;&lt;author&gt;McLean, Robert R&lt;/author&gt;&lt;author&gt;Harris, Tamara B&lt;/author&gt;&lt;author&gt;Ferrucci, Luigi&lt;/author&gt;&lt;author&gt;Guralnik, Jack M&lt;/author&gt;&lt;author&gt;Fragala, Maren S&lt;/author&gt;&lt;author&gt;Kenny, Anne M&lt;/author&gt;&lt;/authors&gt;&lt;/contributors&gt;&lt;titles&gt;&lt;title&gt;The FNIH sarcopenia project: rationale, study description, conference recommendations, and final estimates&lt;/title&gt;&lt;secondary-title&gt;J Gerontol A Biol Sci Med Sci.&lt;/secondary-title&gt;&lt;/titles&gt;&lt;periodical&gt;&lt;full-title&gt;J Gerontol A Biol Sci Med Sci.&lt;/full-title&gt;&lt;/periodical&gt;&lt;pages&gt;547-558&lt;/pages&gt;&lt;volume&gt;69&lt;/volume&gt;&lt;number&gt;5&lt;/number&gt;&lt;dates&gt;&lt;year&gt;2014&lt;/year&gt;&lt;/dates&gt;&lt;isbn&gt;1758-535X&lt;/isbn&gt;&lt;urls&gt;&lt;related-urls&gt;&lt;url&gt;https://www.ncbi.nlm.nih.gov/pmc/articles/PMC3991146/pdf/glu010.pdf&lt;/url&gt;&lt;/related-urls&gt;&lt;/urls&gt;&lt;/record&gt;&lt;/Cite&gt;&lt;/EndNote&gt;</w:instrText>
      </w:r>
      <w:r w:rsidRPr="00424424">
        <w:rPr>
          <w:rFonts w:ascii="Arial" w:hAnsi="Arial" w:cs="Arial"/>
          <w:lang w:eastAsia="en-GB"/>
        </w:rPr>
        <w:fldChar w:fldCharType="separate"/>
      </w:r>
      <w:r w:rsidR="0063698B" w:rsidRPr="00424424">
        <w:rPr>
          <w:rFonts w:ascii="Arial" w:hAnsi="Arial" w:cs="Arial"/>
          <w:noProof/>
          <w:lang w:eastAsia="en-GB"/>
        </w:rPr>
        <w:t>[6]</w:t>
      </w:r>
      <w:r w:rsidRPr="00424424">
        <w:rPr>
          <w:rFonts w:ascii="Arial" w:hAnsi="Arial" w:cs="Arial"/>
          <w:lang w:eastAsia="en-GB"/>
        </w:rPr>
        <w:fldChar w:fldCharType="end"/>
      </w:r>
      <w:r w:rsidRPr="00424424">
        <w:rPr>
          <w:rFonts w:ascii="Arial" w:hAnsi="Arial" w:cs="Arial"/>
          <w:lang w:eastAsia="en-GB"/>
        </w:rPr>
        <w:t>. An updated version of this definition was proposed in 2020 by the Sarcopenia Definition</w:t>
      </w:r>
      <w:r w:rsidR="00894E89" w:rsidRPr="00424424">
        <w:rPr>
          <w:rFonts w:ascii="Arial" w:hAnsi="Arial" w:cs="Arial"/>
          <w:lang w:eastAsia="en-GB"/>
        </w:rPr>
        <w:t>s</w:t>
      </w:r>
      <w:r w:rsidRPr="00424424">
        <w:rPr>
          <w:rFonts w:ascii="Arial" w:hAnsi="Arial" w:cs="Arial"/>
          <w:lang w:eastAsia="en-GB"/>
        </w:rPr>
        <w:t xml:space="preserve"> and Outcomes Consortium (SDOC) which define</w:t>
      </w:r>
      <w:r w:rsidR="003D4C54" w:rsidRPr="00424424">
        <w:rPr>
          <w:rFonts w:ascii="Arial" w:hAnsi="Arial" w:cs="Arial"/>
          <w:lang w:eastAsia="en-GB"/>
        </w:rPr>
        <w:t>s</w:t>
      </w:r>
      <w:r w:rsidRPr="00424424">
        <w:rPr>
          <w:rFonts w:ascii="Arial" w:hAnsi="Arial" w:cs="Arial"/>
          <w:lang w:eastAsia="en-GB"/>
        </w:rPr>
        <w:t xml:space="preserve"> sarcopenia</w:t>
      </w:r>
      <w:r w:rsidR="003D4C54" w:rsidRPr="00424424">
        <w:rPr>
          <w:rFonts w:ascii="Arial" w:hAnsi="Arial" w:cs="Arial"/>
          <w:lang w:eastAsia="en-GB"/>
        </w:rPr>
        <w:t xml:space="preserve"> in terms of </w:t>
      </w:r>
      <w:r w:rsidRPr="00424424">
        <w:rPr>
          <w:rFonts w:ascii="Arial" w:hAnsi="Arial" w:cs="Arial"/>
          <w:lang w:eastAsia="en-GB"/>
        </w:rPr>
        <w:t xml:space="preserve">weak grip strength and slow gait speed </w:t>
      </w:r>
      <w:r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&lt;EndNote&gt;&lt;Cite&gt;&lt;Author&gt;Bhasin&lt;/Author&gt;&lt;Year&gt;2020&lt;/Year&gt;&lt;RecNum&gt;1410&lt;/RecNum&gt;&lt;DisplayText&gt;[7]&lt;/DisplayText&gt;&lt;record&gt;&lt;rec-number&gt;1410&lt;/rec-number&gt;&lt;foreign-keys&gt;&lt;key app="EN" db-id="pzdf5rvs9wzts6erav6v0rpowttawpd0ztaa" timestamp="1585735076"&gt;1410&lt;/key&gt;&lt;/foreign-keys&gt;&lt;ref-type name="Journal Article"&gt;17&lt;/ref-type&gt;&lt;contributors&gt;&lt;authors&gt;&lt;author&gt;Bhasin, Shalender&lt;/author&gt;&lt;author&gt;Travison, Thomas G&lt;/author&gt;&lt;author&gt;Manini, Todd M&lt;/author&gt;&lt;author&gt;Patel, Sheena&lt;/author&gt;&lt;author&gt;Pencina, Karol M&lt;/author&gt;&lt;author&gt;Fielding, Roger A&lt;/author&gt;&lt;author&gt;Magaziner, Jay M&lt;/author&gt;&lt;author&gt;Newman, Anne B&lt;/author&gt;&lt;author&gt;Kiel, Douglas P&lt;/author&gt;&lt;author&gt;Cooper, Cyrus&lt;/author&gt;&lt;/authors&gt;&lt;/contributors&gt;&lt;titles&gt;&lt;title&gt;Sarcopenia Definition: The Position Statements of the Sarcopenia Definition and Outcomes Consortium&lt;/title&gt;&lt;secondary-title&gt; J Am Geriatr Soc&lt;/secondary-title&gt;&lt;/titles&gt;&lt;pages&gt;1410-1418&lt;/pages&gt;&lt;volume&gt;68&lt;/volume&gt;&lt;number&gt;7&lt;/number&gt;&lt;dates&gt;&lt;year&gt;2020&lt;/year&gt;&lt;/dates&gt;&lt;isbn&gt;0002-8614&lt;/isbn&gt;&lt;urls&gt;&lt;/urls&gt;&lt;/record&gt;&lt;/Cite&gt;&lt;/EndNote&gt;</w:instrText>
      </w:r>
      <w:r w:rsidRPr="00424424">
        <w:rPr>
          <w:rFonts w:ascii="Arial" w:hAnsi="Arial" w:cs="Arial"/>
          <w:lang w:eastAsia="en-GB"/>
        </w:rPr>
        <w:fldChar w:fldCharType="separate"/>
      </w:r>
      <w:r w:rsidR="0063698B" w:rsidRPr="00424424">
        <w:rPr>
          <w:rFonts w:ascii="Arial" w:hAnsi="Arial" w:cs="Arial"/>
          <w:noProof/>
          <w:lang w:eastAsia="en-GB"/>
        </w:rPr>
        <w:t>[7]</w:t>
      </w:r>
      <w:r w:rsidRPr="00424424">
        <w:rPr>
          <w:rFonts w:ascii="Arial" w:hAnsi="Arial" w:cs="Arial"/>
          <w:lang w:eastAsia="en-GB"/>
        </w:rPr>
        <w:fldChar w:fldCharType="end"/>
      </w:r>
      <w:r w:rsidRPr="00424424">
        <w:rPr>
          <w:rFonts w:ascii="Arial" w:hAnsi="Arial" w:cs="Arial"/>
          <w:lang w:eastAsia="en-GB"/>
        </w:rPr>
        <w:t xml:space="preserve">. Both SDOC and EWGSOP2 reflect research over the previous decade showing the greater capacity of muscle strength and function </w:t>
      </w:r>
      <w:r w:rsidR="00963922" w:rsidRPr="00424424">
        <w:rPr>
          <w:rFonts w:ascii="Arial" w:hAnsi="Arial" w:cs="Arial"/>
          <w:lang w:eastAsia="en-GB"/>
        </w:rPr>
        <w:t xml:space="preserve">in comparison with lean mass in predicting risk of </w:t>
      </w:r>
      <w:r w:rsidRPr="00424424">
        <w:rPr>
          <w:rFonts w:ascii="Arial" w:hAnsi="Arial" w:cs="Arial"/>
          <w:lang w:eastAsia="en-GB"/>
        </w:rPr>
        <w:t xml:space="preserve">adverse health outcomes </w:t>
      </w:r>
      <w:r w:rsidR="0067322A" w:rsidRPr="00424424">
        <w:rPr>
          <w:rFonts w:ascii="Arial" w:hAnsi="Arial" w:cs="Arial"/>
          <w:lang w:eastAsia="en-GB"/>
        </w:rPr>
        <w:fldChar w:fldCharType="begin">
          <w:fldData xml:space="preserve">PEVuZE5vdGU+PENpdGU+PEF1dGhvcj5CaGFzaW48L0F1dGhvcj48WWVhcj4yMDIwPC9ZZWFyPjxS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ZnVsbC10aXRsZT48L3BlcmlvZGljYWw+PHBhZ2VzPjIxNTAtMjE1NzwvcGFnZXM+PHZvbHVtZT4z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</w:fldData>
        </w:fldChar>
      </w:r>
      <w:r w:rsidR="0063698B" w:rsidRPr="00424424">
        <w:rPr>
          <w:rFonts w:ascii="Arial" w:hAnsi="Arial" w:cs="Arial"/>
          <w:lang w:eastAsia="en-GB"/>
        </w:rPr>
        <w:instrText xml:space="preserve"> ADDIN EN.CITE </w:instrText>
      </w:r>
      <w:r w:rsidR="0063698B" w:rsidRPr="00424424">
        <w:rPr>
          <w:rFonts w:ascii="Arial" w:hAnsi="Arial" w:cs="Arial"/>
          <w:lang w:eastAsia="en-GB"/>
        </w:rPr>
        <w:fldChar w:fldCharType="begin">
          <w:fldData xml:space="preserve">PEVuZE5vdGU+PENpdGU+PEF1dGhvcj5CaGFzaW48L0F1dGhvcj48WWVhcj4yMDIwPC9ZZWFyPjxS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</w:fldData>
        </w:fldChar>
      </w:r>
      <w:r w:rsidR="0063698B" w:rsidRPr="00424424">
        <w:rPr>
          <w:rFonts w:ascii="Arial" w:hAnsi="Arial" w:cs="Arial"/>
          <w:lang w:eastAsia="en-GB"/>
        </w:rPr>
        <w:instrText xml:space="preserve"> ADDIN EN.CITE.DATA </w:instrText>
      </w:r>
      <w:r w:rsidR="0063698B" w:rsidRPr="00424424">
        <w:rPr>
          <w:rFonts w:ascii="Arial" w:hAnsi="Arial" w:cs="Arial"/>
          <w:lang w:eastAsia="en-GB"/>
        </w:rPr>
      </w:r>
      <w:r w:rsidR="0063698B" w:rsidRPr="00424424">
        <w:rPr>
          <w:rFonts w:ascii="Arial" w:hAnsi="Arial" w:cs="Arial"/>
          <w:lang w:eastAsia="en-GB"/>
        </w:rPr>
        <w:fldChar w:fldCharType="end"/>
      </w:r>
      <w:r w:rsidR="0067322A" w:rsidRPr="00424424">
        <w:rPr>
          <w:rFonts w:ascii="Arial" w:hAnsi="Arial" w:cs="Arial"/>
          <w:lang w:eastAsia="en-GB"/>
        </w:rPr>
      </w:r>
      <w:r w:rsidR="0067322A" w:rsidRPr="00424424">
        <w:rPr>
          <w:rFonts w:ascii="Arial" w:hAnsi="Arial" w:cs="Arial"/>
          <w:lang w:eastAsia="en-GB"/>
        </w:rPr>
        <w:fldChar w:fldCharType="separate"/>
      </w:r>
      <w:r w:rsidR="0063698B" w:rsidRPr="00424424">
        <w:rPr>
          <w:rFonts w:ascii="Arial" w:hAnsi="Arial" w:cs="Arial"/>
          <w:noProof/>
          <w:lang w:eastAsia="en-GB"/>
        </w:rPr>
        <w:t>[7-9]</w:t>
      </w:r>
      <w:r w:rsidR="0067322A" w:rsidRPr="00424424">
        <w:rPr>
          <w:rFonts w:ascii="Arial" w:hAnsi="Arial" w:cs="Arial"/>
          <w:lang w:eastAsia="en-GB"/>
        </w:rPr>
        <w:fldChar w:fldCharType="end"/>
      </w:r>
      <w:r w:rsidR="0067322A" w:rsidRPr="00424424">
        <w:rPr>
          <w:rFonts w:ascii="Arial" w:hAnsi="Arial" w:cs="Arial"/>
          <w:lang w:eastAsia="en-GB"/>
        </w:rPr>
        <w:t>.</w:t>
      </w:r>
    </w:p>
    <w:p w14:paraId="509F9EEB" w14:textId="75EACCD4" w:rsidR="00817D9F" w:rsidRPr="00424424" w:rsidRDefault="00DF4358" w:rsidP="007A034A">
      <w:pPr>
        <w:spacing w:line="360" w:lineRule="auto"/>
        <w:rPr>
          <w:rFonts w:ascii="Arial" w:hAnsi="Arial" w:cs="Arial"/>
          <w:lang w:eastAsia="en-GB"/>
        </w:rPr>
      </w:pPr>
      <w:r w:rsidRPr="00424424">
        <w:rPr>
          <w:rFonts w:ascii="Arial" w:hAnsi="Arial" w:cs="Arial"/>
          <w:lang w:eastAsia="en-GB"/>
        </w:rPr>
        <w:t xml:space="preserve">It is well established that the </w:t>
      </w:r>
      <w:r w:rsidR="00C26685" w:rsidRPr="00424424">
        <w:rPr>
          <w:rFonts w:ascii="Arial" w:hAnsi="Arial" w:cs="Arial"/>
          <w:lang w:eastAsia="en-GB"/>
        </w:rPr>
        <w:t xml:space="preserve">prevalence of sarcopenia varies depending on geographical region and the age, ethnicity and setting of the population sampled as well as the definition used </w:t>
      </w:r>
      <w:r w:rsidR="003F5B80"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&lt;EndNote&gt;&lt;Cite&gt;&lt;Author&gt;Papadopoulou&lt;/Author&gt;&lt;Year&gt;2020&lt;/Year&gt;&lt;RecNum&gt;1444&lt;/RecNum&gt;&lt;DisplayText&gt;[10]&lt;/DisplayText&gt;&lt;record&gt;&lt;rec-number&gt;1444&lt;/rec-number&gt;&lt;foreign-keys&gt;&lt;key app="EN" db-id="pzdf5rvs9wzts6erav6v0rpowttawpd0ztaa" timestamp="1615451241"&gt;1444&lt;/key&gt;&lt;/foreign-keys&gt;&lt;ref-type name="Journal Article"&gt;17&lt;/ref-type&gt;&lt;contributors&gt;&lt;authors&gt;&lt;author&gt;Papadopoulou, Sousana K&lt;/author&gt;&lt;/authors&gt;&lt;/contributors&gt;&lt;titles&gt;&lt;title&gt;Sarcopenia: A contemporary health problem among older adult populations&lt;/title&gt;&lt;secondary-title&gt;Nutrients&lt;/secondary-title&gt;&lt;/titles&gt;&lt;periodical&gt;&lt;full-title&gt;Nutrients&lt;/full-title&gt;&lt;/periodical&gt;&lt;pages&gt;1293&lt;/pages&gt;&lt;volume&gt;12&lt;/volume&gt;&lt;number&gt;5&lt;/number&gt;&lt;dates&gt;&lt;year&gt;2020&lt;/year&gt;&lt;/dates&gt;&lt;urls&gt;&lt;/urls&gt;&lt;/record&gt;&lt;/Cite&gt;&lt;/EndNote&gt;</w:instrText>
      </w:r>
      <w:r w:rsidR="003F5B80" w:rsidRPr="00424424">
        <w:rPr>
          <w:rFonts w:ascii="Arial" w:hAnsi="Arial" w:cs="Arial"/>
          <w:lang w:eastAsia="en-GB"/>
        </w:rPr>
        <w:fldChar w:fldCharType="separate"/>
      </w:r>
      <w:r w:rsidR="0063698B" w:rsidRPr="00424424">
        <w:rPr>
          <w:rFonts w:ascii="Arial" w:hAnsi="Arial" w:cs="Arial"/>
          <w:noProof/>
          <w:lang w:eastAsia="en-GB"/>
        </w:rPr>
        <w:t>[10]</w:t>
      </w:r>
      <w:r w:rsidR="003F5B80" w:rsidRPr="00424424">
        <w:rPr>
          <w:rFonts w:ascii="Arial" w:hAnsi="Arial" w:cs="Arial"/>
          <w:lang w:eastAsia="en-GB"/>
        </w:rPr>
        <w:fldChar w:fldCharType="end"/>
      </w:r>
      <w:r w:rsidR="007A034A" w:rsidRPr="00424424">
        <w:rPr>
          <w:rFonts w:ascii="Arial" w:hAnsi="Arial" w:cs="Arial"/>
          <w:lang w:eastAsia="en-GB"/>
        </w:rPr>
        <w:t xml:space="preserve">. </w:t>
      </w:r>
      <w:r w:rsidRPr="00424424">
        <w:rPr>
          <w:rFonts w:ascii="Arial" w:hAnsi="Arial" w:cs="Arial"/>
          <w:lang w:eastAsia="en-GB"/>
        </w:rPr>
        <w:t>However, comparisons of recent definitions (</w:t>
      </w:r>
      <w:r w:rsidRPr="00424424">
        <w:rPr>
          <w:rFonts w:ascii="Arial" w:eastAsia="Calibri" w:hAnsi="Arial" w:cs="Arial"/>
          <w:bCs/>
        </w:rPr>
        <w:t xml:space="preserve">EWGSOP2 and SDOC) </w:t>
      </w:r>
      <w:r w:rsidRPr="00424424">
        <w:rPr>
          <w:rFonts w:ascii="Arial" w:hAnsi="Arial" w:cs="Arial"/>
          <w:lang w:eastAsia="en-GB"/>
        </w:rPr>
        <w:t xml:space="preserve">in terms of thresholds </w:t>
      </w:r>
      <w:r w:rsidR="006803A5" w:rsidRPr="00424424">
        <w:rPr>
          <w:rFonts w:ascii="Arial" w:hAnsi="Arial" w:cs="Arial"/>
          <w:lang w:eastAsia="en-GB"/>
        </w:rPr>
        <w:t>employed</w:t>
      </w:r>
      <w:r w:rsidRPr="00424424">
        <w:rPr>
          <w:rFonts w:ascii="Arial" w:hAnsi="Arial" w:cs="Arial"/>
          <w:lang w:eastAsia="en-GB"/>
        </w:rPr>
        <w:t xml:space="preserve">; concordance in individuals; </w:t>
      </w:r>
      <w:r w:rsidR="006803A5" w:rsidRPr="00424424">
        <w:rPr>
          <w:rFonts w:ascii="Arial" w:hAnsi="Arial" w:cs="Arial"/>
          <w:lang w:eastAsia="en-GB"/>
        </w:rPr>
        <w:t xml:space="preserve">and </w:t>
      </w:r>
      <w:r w:rsidRPr="00424424">
        <w:rPr>
          <w:rFonts w:ascii="Arial" w:hAnsi="Arial" w:cs="Arial"/>
          <w:lang w:eastAsia="en-GB"/>
        </w:rPr>
        <w:t xml:space="preserve">prediction of important health-related outcomes such as death; are limited. </w:t>
      </w:r>
      <w:r w:rsidR="008969A2" w:rsidRPr="00424424">
        <w:rPr>
          <w:rFonts w:ascii="Arial" w:hAnsi="Arial" w:cs="Arial"/>
          <w:lang w:eastAsia="en-GB"/>
        </w:rPr>
        <w:t xml:space="preserve">Furthermore, to our knowledge, no studies have examined these definitions in terms of their prevalence or relationship with mortality when the original thresholds were modified. Such knowledge </w:t>
      </w:r>
      <w:r w:rsidR="00C14459" w:rsidRPr="00424424">
        <w:rPr>
          <w:rFonts w:ascii="Arial" w:hAnsi="Arial" w:cs="Arial"/>
          <w:lang w:eastAsia="en-GB"/>
        </w:rPr>
        <w:t>may enhance these definitions by providing more clinically relevant thresholds</w:t>
      </w:r>
      <w:r w:rsidR="00C14459" w:rsidRPr="00D65BDB">
        <w:rPr>
          <w:rFonts w:ascii="Arial" w:hAnsi="Arial" w:cs="Arial"/>
          <w:lang w:eastAsia="en-GB"/>
        </w:rPr>
        <w:t>.</w:t>
      </w:r>
      <w:r w:rsidR="008969A2" w:rsidRPr="00424424">
        <w:rPr>
          <w:rFonts w:ascii="Arial" w:hAnsi="Arial" w:cs="Arial"/>
          <w:lang w:eastAsia="en-GB"/>
        </w:rPr>
        <w:t xml:space="preserve"> </w:t>
      </w:r>
      <w:r w:rsidRPr="00424424">
        <w:rPr>
          <w:rFonts w:ascii="Arial" w:hAnsi="Arial" w:cs="Arial"/>
          <w:lang w:eastAsia="en-GB"/>
        </w:rPr>
        <w:t>We address</w:t>
      </w:r>
      <w:r w:rsidR="00E903FB" w:rsidRPr="00424424">
        <w:rPr>
          <w:rFonts w:ascii="Arial" w:hAnsi="Arial" w:cs="Arial"/>
          <w:lang w:eastAsia="en-GB"/>
        </w:rPr>
        <w:t>ed</w:t>
      </w:r>
      <w:r w:rsidRPr="00424424">
        <w:rPr>
          <w:rFonts w:ascii="Arial" w:hAnsi="Arial" w:cs="Arial"/>
          <w:lang w:eastAsia="en-GB"/>
        </w:rPr>
        <w:t xml:space="preserve"> </w:t>
      </w:r>
      <w:r w:rsidR="008969A2" w:rsidRPr="00424424">
        <w:rPr>
          <w:rFonts w:ascii="Arial" w:hAnsi="Arial" w:cs="Arial"/>
          <w:lang w:eastAsia="en-GB"/>
        </w:rPr>
        <w:t xml:space="preserve">these </w:t>
      </w:r>
      <w:r w:rsidR="00BE4320" w:rsidRPr="00424424">
        <w:rPr>
          <w:rFonts w:ascii="Arial" w:hAnsi="Arial" w:cs="Arial"/>
          <w:lang w:eastAsia="en-GB"/>
        </w:rPr>
        <w:t xml:space="preserve">research </w:t>
      </w:r>
      <w:r w:rsidR="008969A2" w:rsidRPr="00424424">
        <w:rPr>
          <w:rFonts w:ascii="Arial" w:hAnsi="Arial" w:cs="Arial"/>
          <w:lang w:eastAsia="en-GB"/>
        </w:rPr>
        <w:t xml:space="preserve">areas </w:t>
      </w:r>
      <w:r w:rsidRPr="00424424">
        <w:rPr>
          <w:rFonts w:ascii="Arial" w:hAnsi="Arial" w:cs="Arial"/>
          <w:lang w:eastAsia="en-GB"/>
        </w:rPr>
        <w:t xml:space="preserve">in a large multinational assembly of cohort studies comprising: </w:t>
      </w:r>
      <w:r w:rsidR="00C26685" w:rsidRPr="00424424">
        <w:rPr>
          <w:rFonts w:ascii="Arial" w:hAnsi="Arial" w:cs="Arial"/>
          <w:lang w:eastAsia="en-GB"/>
        </w:rPr>
        <w:t>the Health Aging and Body Composition (Health ABC) Study</w:t>
      </w:r>
      <w:r w:rsidR="00007B6F" w:rsidRPr="00424424">
        <w:rPr>
          <w:rFonts w:ascii="Arial" w:hAnsi="Arial" w:cs="Arial"/>
          <w:lang w:eastAsia="en-GB"/>
        </w:rPr>
        <w:t xml:space="preserve"> (US)</w:t>
      </w:r>
      <w:r w:rsidRPr="00424424">
        <w:rPr>
          <w:rFonts w:ascii="Arial" w:hAnsi="Arial" w:cs="Arial"/>
          <w:lang w:eastAsia="en-GB"/>
        </w:rPr>
        <w:t>;</w:t>
      </w:r>
      <w:r w:rsidR="00C26685" w:rsidRPr="00424424">
        <w:rPr>
          <w:rFonts w:ascii="Arial" w:hAnsi="Arial" w:cs="Arial"/>
          <w:lang w:eastAsia="en-GB"/>
        </w:rPr>
        <w:t xml:space="preserve"> Osteoporotic Fractures in Men (MrOS) Study cohorts (Sweden, United States)</w:t>
      </w:r>
      <w:r w:rsidRPr="00424424">
        <w:rPr>
          <w:rFonts w:ascii="Arial" w:hAnsi="Arial" w:cs="Arial"/>
          <w:lang w:eastAsia="en-GB"/>
        </w:rPr>
        <w:t>;</w:t>
      </w:r>
      <w:r w:rsidR="005403CB" w:rsidRPr="00424424">
        <w:rPr>
          <w:rFonts w:ascii="Arial" w:hAnsi="Arial" w:cs="Arial"/>
          <w:lang w:eastAsia="en-GB"/>
        </w:rPr>
        <w:t xml:space="preserve"> </w:t>
      </w:r>
      <w:r w:rsidR="00C26685" w:rsidRPr="00424424">
        <w:rPr>
          <w:rFonts w:ascii="Arial" w:hAnsi="Arial" w:cs="Arial"/>
          <w:lang w:eastAsia="en-GB"/>
        </w:rPr>
        <w:t>the Hertfordshire Cohort Study (HCS)</w:t>
      </w:r>
      <w:r w:rsidR="00007B6F" w:rsidRPr="00424424">
        <w:rPr>
          <w:rFonts w:ascii="Arial" w:hAnsi="Arial" w:cs="Arial"/>
          <w:lang w:eastAsia="en-GB"/>
        </w:rPr>
        <w:t xml:space="preserve"> (UK)</w:t>
      </w:r>
      <w:r w:rsidRPr="00424424">
        <w:rPr>
          <w:rFonts w:ascii="Arial" w:hAnsi="Arial" w:cs="Arial"/>
          <w:lang w:eastAsia="en-GB"/>
        </w:rPr>
        <w:t>;</w:t>
      </w:r>
      <w:r w:rsidR="005403CB" w:rsidRPr="00424424">
        <w:rPr>
          <w:rFonts w:ascii="Arial" w:hAnsi="Arial" w:cs="Arial"/>
          <w:lang w:eastAsia="en-GB"/>
        </w:rPr>
        <w:t xml:space="preserve"> and the</w:t>
      </w:r>
      <w:r w:rsidR="005403CB" w:rsidRPr="00424424">
        <w:t xml:space="preserve"> </w:t>
      </w:r>
      <w:r w:rsidR="005403CB" w:rsidRPr="00424424">
        <w:rPr>
          <w:rFonts w:ascii="Arial" w:hAnsi="Arial" w:cs="Arial"/>
          <w:lang w:eastAsia="en-GB"/>
        </w:rPr>
        <w:t>Sarcopenia and Physical impairment with advancing Age (SarcoPhAge) Study</w:t>
      </w:r>
      <w:r w:rsidR="00007B6F" w:rsidRPr="00424424">
        <w:rPr>
          <w:rFonts w:ascii="Arial" w:hAnsi="Arial" w:cs="Arial"/>
          <w:lang w:eastAsia="en-GB"/>
        </w:rPr>
        <w:t xml:space="preserve"> (Belgium)</w:t>
      </w:r>
      <w:r w:rsidR="00C26685" w:rsidRPr="00424424">
        <w:rPr>
          <w:rFonts w:ascii="Arial" w:hAnsi="Arial" w:cs="Arial"/>
          <w:lang w:eastAsia="en-GB"/>
        </w:rPr>
        <w:t>.</w:t>
      </w:r>
      <w:r w:rsidR="00F00ECC" w:rsidRPr="00424424">
        <w:rPr>
          <w:rFonts w:ascii="Arial" w:hAnsi="Arial" w:cs="Arial"/>
          <w:lang w:eastAsia="en-GB"/>
        </w:rPr>
        <w:t xml:space="preserve"> </w:t>
      </w:r>
      <w:r w:rsidR="000206E6">
        <w:rPr>
          <w:rFonts w:ascii="Arial" w:hAnsi="Arial" w:cs="Arial"/>
          <w:lang w:eastAsia="en-GB"/>
        </w:rPr>
        <w:t>Interpretation of the a</w:t>
      </w:r>
      <w:r w:rsidR="00007B6F" w:rsidRPr="00424424">
        <w:rPr>
          <w:rFonts w:ascii="Arial" w:hAnsi="Arial" w:cs="Arial"/>
          <w:lang w:eastAsia="en-GB"/>
        </w:rPr>
        <w:t xml:space="preserve">nalyses </w:t>
      </w:r>
      <w:r w:rsidR="00E57FB8">
        <w:rPr>
          <w:rFonts w:ascii="Arial" w:hAnsi="Arial" w:cs="Arial"/>
          <w:lang w:eastAsia="en-GB"/>
        </w:rPr>
        <w:t>was</w:t>
      </w:r>
      <w:r w:rsidR="00007B6F" w:rsidRPr="00424424">
        <w:rPr>
          <w:rFonts w:ascii="Arial" w:hAnsi="Arial" w:cs="Arial"/>
          <w:lang w:eastAsia="en-GB"/>
        </w:rPr>
        <w:t xml:space="preserve"> restricted to white men as these participants formed the vast majority of those in this assembly of cohort studies.</w:t>
      </w:r>
    </w:p>
    <w:p w14:paraId="4CB5071A" w14:textId="77777777" w:rsidR="007A034A" w:rsidRPr="00424424" w:rsidRDefault="007A034A" w:rsidP="007A034A">
      <w:pPr>
        <w:spacing w:line="360" w:lineRule="auto"/>
        <w:rPr>
          <w:rFonts w:ascii="Arial" w:hAnsi="Arial" w:cs="Arial"/>
          <w:lang w:eastAsia="en-GB"/>
        </w:rPr>
      </w:pPr>
    </w:p>
    <w:p w14:paraId="1C1334F8" w14:textId="7FCD3C72" w:rsidR="00C13AB9" w:rsidRPr="00424424" w:rsidRDefault="00C13AB9" w:rsidP="005E59B4">
      <w:pPr>
        <w:spacing w:line="360" w:lineRule="auto"/>
        <w:rPr>
          <w:rFonts w:ascii="Arial" w:hAnsi="Arial" w:cs="Arial"/>
          <w:b/>
          <w:lang w:eastAsia="en-GB"/>
        </w:rPr>
      </w:pPr>
      <w:r w:rsidRPr="00424424">
        <w:rPr>
          <w:rFonts w:ascii="Arial" w:hAnsi="Arial" w:cs="Arial"/>
          <w:b/>
          <w:lang w:eastAsia="en-GB"/>
        </w:rPr>
        <w:t>Methods</w:t>
      </w:r>
      <w:r w:rsidR="00AA76F6" w:rsidRPr="00424424">
        <w:rPr>
          <w:rFonts w:ascii="Arial" w:hAnsi="Arial" w:cs="Arial"/>
          <w:b/>
          <w:lang w:eastAsia="en-GB"/>
        </w:rPr>
        <w:t xml:space="preserve"> </w:t>
      </w:r>
    </w:p>
    <w:p w14:paraId="0B53EFA6" w14:textId="1053499C" w:rsidR="002D749B" w:rsidRPr="00424424" w:rsidRDefault="002D749B" w:rsidP="005E59B4">
      <w:pPr>
        <w:spacing w:line="360" w:lineRule="auto"/>
        <w:rPr>
          <w:rFonts w:ascii="Arial" w:hAnsi="Arial" w:cs="Arial"/>
          <w:i/>
        </w:rPr>
      </w:pPr>
      <w:bookmarkStart w:id="6" w:name="_Hlk93308103"/>
      <w:r w:rsidRPr="00424424">
        <w:rPr>
          <w:rFonts w:ascii="Arial" w:hAnsi="Arial" w:cs="Arial"/>
          <w:i/>
        </w:rPr>
        <w:t>Cohort studies</w:t>
      </w:r>
      <w:r w:rsidR="009B3679" w:rsidRPr="00424424">
        <w:rPr>
          <w:rFonts w:ascii="Arial" w:hAnsi="Arial" w:cs="Arial"/>
          <w:i/>
        </w:rPr>
        <w:t xml:space="preserve"> used for analysis</w:t>
      </w:r>
    </w:p>
    <w:p w14:paraId="0906F67A" w14:textId="4F8E8F0E" w:rsidR="000C5DA3" w:rsidRPr="00424424" w:rsidRDefault="000C5DA3" w:rsidP="005E59B4">
      <w:pPr>
        <w:spacing w:line="360" w:lineRule="auto"/>
        <w:rPr>
          <w:rFonts w:ascii="Arial" w:hAnsi="Arial" w:cs="Arial"/>
        </w:rPr>
      </w:pPr>
      <w:r w:rsidRPr="00424424">
        <w:rPr>
          <w:rFonts w:ascii="Arial" w:hAnsi="Arial" w:cs="Arial"/>
        </w:rPr>
        <w:t xml:space="preserve">The Health ABC Study comprises 3075 US men and women, aged 70-79 years, who were recruited in 1997-1998 </w:t>
      </w:r>
      <w:r w:rsidRPr="00424424">
        <w:rPr>
          <w:rFonts w:ascii="Arial" w:hAnsi="Arial" w:cs="Arial"/>
        </w:rPr>
        <w:fldChar w:fldCharType="begin">
          <w:fldData xml:space="preserve">PEVuZE5vdGU+PENpdGU+PEF1dGhvcj5Ib3VzdG9uPC9BdXRob3I+PFllYXI+MjAwODwvWWVhcj48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</w:fldData>
        </w:fldChar>
      </w:r>
      <w:r w:rsidR="0063698B" w:rsidRPr="00424424">
        <w:rPr>
          <w:rFonts w:ascii="Arial" w:hAnsi="Arial" w:cs="Arial"/>
        </w:rPr>
        <w:instrText xml:space="preserve"> ADDIN EN.CITE </w:instrText>
      </w:r>
      <w:r w:rsidR="0063698B" w:rsidRPr="00424424">
        <w:rPr>
          <w:rFonts w:ascii="Arial" w:hAnsi="Arial" w:cs="Arial"/>
        </w:rPr>
        <w:fldChar w:fldCharType="begin">
          <w:fldData xml:space="preserve">PEVuZE5vdGU+PENpdGU+PEF1dGhvcj5Ib3VzdG9uPC9BdXRob3I+PFllYXI+MjAwODwvWWVhcj48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</w:fldData>
        </w:fldChar>
      </w:r>
      <w:r w:rsidR="0063698B" w:rsidRPr="00424424">
        <w:rPr>
          <w:rFonts w:ascii="Arial" w:hAnsi="Arial" w:cs="Arial"/>
        </w:rPr>
        <w:instrText xml:space="preserve"> ADDIN EN.CITE.DATA </w:instrText>
      </w:r>
      <w:r w:rsidR="0063698B" w:rsidRPr="00424424">
        <w:rPr>
          <w:rFonts w:ascii="Arial" w:hAnsi="Arial" w:cs="Arial"/>
        </w:rPr>
      </w:r>
      <w:r w:rsidR="0063698B" w:rsidRPr="00424424">
        <w:rPr>
          <w:rFonts w:ascii="Arial" w:hAnsi="Arial" w:cs="Arial"/>
        </w:rPr>
        <w:fldChar w:fldCharType="end"/>
      </w:r>
      <w:r w:rsidRPr="00424424">
        <w:rPr>
          <w:rFonts w:ascii="Arial" w:hAnsi="Arial" w:cs="Arial"/>
        </w:rPr>
      </w:r>
      <w:r w:rsidRPr="00424424">
        <w:rPr>
          <w:rFonts w:ascii="Arial" w:hAnsi="Arial" w:cs="Arial"/>
        </w:rPr>
        <w:fldChar w:fldCharType="separate"/>
      </w:r>
      <w:r w:rsidR="0063698B" w:rsidRPr="00424424">
        <w:rPr>
          <w:rFonts w:ascii="Arial" w:hAnsi="Arial" w:cs="Arial"/>
          <w:noProof/>
        </w:rPr>
        <w:t>[11]</w:t>
      </w:r>
      <w:r w:rsidRPr="00424424">
        <w:rPr>
          <w:rFonts w:ascii="Arial" w:hAnsi="Arial" w:cs="Arial"/>
        </w:rPr>
        <w:fldChar w:fldCharType="end"/>
      </w:r>
      <w:r w:rsidRPr="00424424">
        <w:rPr>
          <w:rFonts w:ascii="Arial" w:hAnsi="Arial" w:cs="Arial"/>
        </w:rPr>
        <w:t xml:space="preserve">. A random sample of white and all black Medicare beneficiaries from around Memphis and Pittsburgh was obtained. Sampled participants received a mailing </w:t>
      </w:r>
      <w:r w:rsidRPr="00424424">
        <w:rPr>
          <w:rFonts w:ascii="Arial" w:hAnsi="Arial" w:cs="Arial"/>
        </w:rPr>
        <w:lastRenderedPageBreak/>
        <w:t>followed by a telephone eligibility screen. Eligible participants were those reporting no difficulty in walking one quarter of a mile or climbing 10 stairs. Individuals with the following characteristics were excluded: clear cognitive impairment; inability to communicate with the interviewer; having a life-threatening illness or difficulties with activities of daily living; requiring a walking aid; currently enrolled in a lifestyle intervention trial; or having an intention of moving outside the area within three years. Written informed consent was provided by all participants and the study was approved by the institutional review boards at the University of Tennessee and the University of Pittsburgh.</w:t>
      </w:r>
    </w:p>
    <w:p w14:paraId="0CABA9AF" w14:textId="4899A6CD" w:rsidR="002D749B" w:rsidRPr="00424424" w:rsidRDefault="002D749B" w:rsidP="005E59B4">
      <w:pPr>
        <w:spacing w:line="360" w:lineRule="auto"/>
        <w:rPr>
          <w:rFonts w:ascii="Arial" w:hAnsi="Arial" w:cs="Arial"/>
        </w:rPr>
      </w:pPr>
      <w:r w:rsidRPr="00424424">
        <w:rPr>
          <w:rFonts w:ascii="Arial" w:hAnsi="Arial" w:cs="Arial"/>
        </w:rPr>
        <w:t>MrOS U</w:t>
      </w:r>
      <w:r w:rsidR="003C3D3D" w:rsidRPr="00424424">
        <w:rPr>
          <w:rFonts w:ascii="Arial" w:hAnsi="Arial" w:cs="Arial"/>
        </w:rPr>
        <w:t xml:space="preserve">S comprises </w:t>
      </w:r>
      <w:r w:rsidRPr="00424424">
        <w:rPr>
          <w:rFonts w:ascii="Arial" w:hAnsi="Arial" w:cs="Arial"/>
        </w:rPr>
        <w:t>5994 men, aged 65</w:t>
      </w:r>
      <w:r w:rsidR="003C3D3D" w:rsidRPr="00424424">
        <w:rPr>
          <w:rFonts w:ascii="Arial" w:hAnsi="Arial" w:cs="Arial"/>
        </w:rPr>
        <w:t>-</w:t>
      </w:r>
      <w:r w:rsidRPr="00424424">
        <w:rPr>
          <w:rFonts w:ascii="Arial" w:hAnsi="Arial" w:cs="Arial"/>
        </w:rPr>
        <w:t>100 years</w:t>
      </w:r>
      <w:r w:rsidR="003C3D3D" w:rsidRPr="00424424">
        <w:rPr>
          <w:rFonts w:ascii="Arial" w:hAnsi="Arial" w:cs="Arial"/>
        </w:rPr>
        <w:t xml:space="preserve"> who were</w:t>
      </w:r>
      <w:r w:rsidRPr="00424424">
        <w:rPr>
          <w:rFonts w:ascii="Arial" w:hAnsi="Arial" w:cs="Arial"/>
        </w:rPr>
        <w:t xml:space="preserve"> enrolled at six sites between March 2000 and April 2002</w:t>
      </w:r>
      <w:r w:rsidR="008A3383" w:rsidRPr="00424424">
        <w:rPr>
          <w:rFonts w:ascii="Arial" w:hAnsi="Arial" w:cs="Arial"/>
        </w:rPr>
        <w:t xml:space="preserve"> </w:t>
      </w:r>
      <w:r w:rsidR="008A3383" w:rsidRPr="00424424">
        <w:rPr>
          <w:rFonts w:ascii="Arial" w:hAnsi="Arial" w:cs="Arial"/>
        </w:rPr>
        <w:fldChar w:fldCharType="begin"/>
      </w:r>
      <w:r w:rsidR="0063698B" w:rsidRPr="00424424">
        <w:rPr>
          <w:rFonts w:ascii="Arial" w:hAnsi="Arial" w:cs="Arial"/>
        </w:rPr>
        <w:instrText xml:space="preserve"> ADDIN EN.CITE &lt;EndNote&gt;&lt;Cite&gt;&lt;Author&gt;Orwoll&lt;/Author&gt;&lt;Year&gt;2005&lt;/Year&gt;&lt;RecNum&gt;1447&lt;/RecNum&gt;&lt;DisplayText&gt;[12]&lt;/DisplayText&gt;&lt;record&gt;&lt;rec-number&gt;1447&lt;/rec-number&gt;&lt;foreign-keys&gt;&lt;key app="EN" db-id="pzdf5rvs9wzts6erav6v0rpowttawpd0ztaa" timestamp="1615538138"&gt;1447&lt;/key&gt;&lt;/foreign-keys&gt;&lt;ref-type name="Journal Article"&gt;17&lt;/ref-type&gt;&lt;contributors&gt;&lt;authors&gt;&lt;author&gt;Orwoll, Eric&lt;/author&gt;&lt;author&gt;Blank, Janet Babich&lt;/author&gt;&lt;author&gt;Barrett-Connor, Elizabeth&lt;/author&gt;&lt;author&gt;Cauley, Jane&lt;/author&gt;&lt;author&gt;Cummings, Steven&lt;/author&gt;&lt;author&gt;Ensrud, Kristine&lt;/author&gt;&lt;author&gt;Lewis, Cora&lt;/author&gt;&lt;author&gt;Cawthon, Peggy M&lt;/author&gt;&lt;author&gt;Marcus, Robert&lt;/author&gt;&lt;author&gt;Marshall, Lynn M&lt;/author&gt;&lt;/authors&gt;&lt;/contributors&gt;&lt;titles&gt;&lt;title&gt;Design and baseline characteristics of the osteoporotic fractures in men (MrOS) study—a large observational study of the determinants of fracture in older men&lt;/title&gt;&lt;secondary-title&gt;Contemp Clin Trials.&lt;/secondary-title&gt;&lt;/titles&gt;&lt;periodical&gt;&lt;full-title&gt;Contemp Clin Trials.&lt;/full-title&gt;&lt;/periodical&gt;&lt;pages&gt;569-585&lt;/pages&gt;&lt;volume&gt;26&lt;/volume&gt;&lt;number&gt;5&lt;/number&gt;&lt;dates&gt;&lt;year&gt;2005&lt;/year&gt;&lt;/dates&gt;&lt;isbn&gt;1551-7144&lt;/isbn&gt;&lt;urls&gt;&lt;/urls&gt;&lt;/record&gt;&lt;/Cite&gt;&lt;/EndNote&gt;</w:instrText>
      </w:r>
      <w:r w:rsidR="008A3383" w:rsidRPr="00424424">
        <w:rPr>
          <w:rFonts w:ascii="Arial" w:hAnsi="Arial" w:cs="Arial"/>
        </w:rPr>
        <w:fldChar w:fldCharType="separate"/>
      </w:r>
      <w:r w:rsidR="0063698B" w:rsidRPr="00424424">
        <w:rPr>
          <w:rFonts w:ascii="Arial" w:hAnsi="Arial" w:cs="Arial"/>
          <w:noProof/>
        </w:rPr>
        <w:t>[12]</w:t>
      </w:r>
      <w:r w:rsidR="008A3383" w:rsidRPr="00424424">
        <w:rPr>
          <w:rFonts w:ascii="Arial" w:hAnsi="Arial" w:cs="Arial"/>
        </w:rPr>
        <w:fldChar w:fldCharType="end"/>
      </w:r>
      <w:r w:rsidR="00B30C2A" w:rsidRPr="00424424">
        <w:rPr>
          <w:rFonts w:ascii="Arial" w:hAnsi="Arial" w:cs="Arial"/>
        </w:rPr>
        <w:t xml:space="preserve"> </w:t>
      </w:r>
      <w:r w:rsidR="003C3D3D" w:rsidRPr="00424424">
        <w:rPr>
          <w:rFonts w:ascii="Arial" w:hAnsi="Arial" w:cs="Arial"/>
        </w:rPr>
        <w:t xml:space="preserve">using a variety of recruitment strategies. </w:t>
      </w:r>
      <w:r w:rsidRPr="00424424">
        <w:rPr>
          <w:rFonts w:ascii="Arial" w:hAnsi="Arial" w:cs="Arial"/>
        </w:rPr>
        <w:t>Common strategies included</w:t>
      </w:r>
      <w:r w:rsidR="00B30C2A" w:rsidRPr="00424424">
        <w:rPr>
          <w:rFonts w:ascii="Arial" w:hAnsi="Arial" w:cs="Arial"/>
        </w:rPr>
        <w:t>:</w:t>
      </w:r>
      <w:r w:rsidRPr="00424424">
        <w:rPr>
          <w:rFonts w:ascii="Arial" w:hAnsi="Arial" w:cs="Arial"/>
        </w:rPr>
        <w:t xml:space="preserve"> </w:t>
      </w:r>
      <w:r w:rsidR="00E7551B" w:rsidRPr="00424424">
        <w:rPr>
          <w:rFonts w:ascii="Arial" w:hAnsi="Arial" w:cs="Arial"/>
        </w:rPr>
        <w:t xml:space="preserve">use of </w:t>
      </w:r>
      <w:r w:rsidRPr="00424424">
        <w:rPr>
          <w:rFonts w:ascii="Arial" w:hAnsi="Arial" w:cs="Arial"/>
        </w:rPr>
        <w:t>voter registration and participant databases</w:t>
      </w:r>
      <w:r w:rsidR="00B30C2A" w:rsidRPr="00424424">
        <w:rPr>
          <w:rFonts w:ascii="Arial" w:hAnsi="Arial" w:cs="Arial"/>
        </w:rPr>
        <w:t>;</w:t>
      </w:r>
      <w:r w:rsidRPr="00424424">
        <w:rPr>
          <w:rFonts w:ascii="Arial" w:hAnsi="Arial" w:cs="Arial"/>
        </w:rPr>
        <w:t xml:space="preserve"> </w:t>
      </w:r>
      <w:r w:rsidR="003C3D3D" w:rsidRPr="00424424">
        <w:rPr>
          <w:rFonts w:ascii="Arial" w:hAnsi="Arial" w:cs="Arial"/>
        </w:rPr>
        <w:t>mailings from the Department of Motor Vehicles</w:t>
      </w:r>
      <w:r w:rsidR="00B30C2A" w:rsidRPr="00424424">
        <w:rPr>
          <w:rFonts w:ascii="Arial" w:hAnsi="Arial" w:cs="Arial"/>
        </w:rPr>
        <w:t>;</w:t>
      </w:r>
      <w:r w:rsidR="003C3D3D" w:rsidRPr="00424424">
        <w:rPr>
          <w:rFonts w:ascii="Arial" w:hAnsi="Arial" w:cs="Arial"/>
        </w:rPr>
        <w:t xml:space="preserve"> </w:t>
      </w:r>
      <w:r w:rsidRPr="00424424">
        <w:rPr>
          <w:rFonts w:ascii="Arial" w:hAnsi="Arial" w:cs="Arial"/>
        </w:rPr>
        <w:t>common seniors’ newspaper features and advertisements</w:t>
      </w:r>
      <w:r w:rsidR="00B30C2A" w:rsidRPr="00424424">
        <w:rPr>
          <w:rFonts w:ascii="Arial" w:hAnsi="Arial" w:cs="Arial"/>
        </w:rPr>
        <w:t>;</w:t>
      </w:r>
      <w:r w:rsidRPr="00424424">
        <w:rPr>
          <w:rFonts w:ascii="Arial" w:hAnsi="Arial" w:cs="Arial"/>
        </w:rPr>
        <w:t xml:space="preserve"> and targeted presentations</w:t>
      </w:r>
      <w:r w:rsidR="003C3D3D" w:rsidRPr="00424424">
        <w:rPr>
          <w:rFonts w:ascii="Arial" w:hAnsi="Arial" w:cs="Arial"/>
        </w:rPr>
        <w:t xml:space="preserve">. </w:t>
      </w:r>
      <w:r w:rsidR="000C5DA3" w:rsidRPr="00424424">
        <w:rPr>
          <w:rFonts w:ascii="Arial" w:hAnsi="Arial" w:cs="Arial"/>
        </w:rPr>
        <w:t xml:space="preserve">MrOS Sweden comprises 3014 men, aged 69-81 years who were recruited from Gothenburg, Malmö and Uppsala using national population registers between October 2001 and December 2004 </w:t>
      </w:r>
      <w:r w:rsidR="000C5DA3" w:rsidRPr="00424424">
        <w:rPr>
          <w:rFonts w:ascii="Arial" w:hAnsi="Arial" w:cs="Arial"/>
        </w:rPr>
        <w:fldChar w:fldCharType="begin"/>
      </w:r>
      <w:r w:rsidR="0063698B" w:rsidRPr="00424424">
        <w:rPr>
          <w:rFonts w:ascii="Arial" w:hAnsi="Arial" w:cs="Arial"/>
        </w:rPr>
        <w:instrText xml:space="preserve"> ADDIN EN.CITE &lt;EndNote&gt;&lt;Cite&gt;&lt;Author&gt;Mellström&lt;/Author&gt;&lt;Year&gt;2006&lt;/Year&gt;&lt;RecNum&gt;1446&lt;/RecNum&gt;&lt;DisplayText&gt;[13]&lt;/DisplayText&gt;&lt;record&gt;&lt;rec-number&gt;1446&lt;/rec-number&gt;&lt;foreign-keys&gt;&lt;key app="EN" db-id="pzdf5rvs9wzts6erav6v0rpowttawpd0ztaa" timestamp="1615537880"&gt;1446&lt;/key&gt;&lt;/foreign-keys&gt;&lt;ref-type name="Journal Article"&gt;17&lt;/ref-type&gt;&lt;contributors&gt;&lt;authors&gt;&lt;author&gt;Mellström, Dan&lt;/author&gt;&lt;author&gt;Johnell, Olof&lt;/author&gt;&lt;author&gt;Ljunggren, Östen&lt;/author&gt;&lt;author&gt;Eriksson, Anna</w:instrText>
      </w:r>
      <w:r w:rsidR="0063698B" w:rsidRPr="00424424">
        <w:rPr>
          <w:rFonts w:ascii="Cambria Math" w:hAnsi="Cambria Math" w:cs="Cambria Math"/>
        </w:rPr>
        <w:instrText>‐</w:instrText>
      </w:r>
      <w:r w:rsidR="0063698B" w:rsidRPr="00424424">
        <w:rPr>
          <w:rFonts w:ascii="Arial" w:hAnsi="Arial" w:cs="Arial"/>
        </w:rPr>
        <w:instrText>Lena&lt;/author&gt;&lt;author&gt;Lorentzon, Mattias&lt;/author&gt;&lt;author&gt;Mallmin, Hans&lt;/author&gt;&lt;author&gt;Holmberg, Anna&lt;/author&gt;&lt;author&gt;Redlund</w:instrText>
      </w:r>
      <w:r w:rsidR="0063698B" w:rsidRPr="00424424">
        <w:rPr>
          <w:rFonts w:ascii="Cambria Math" w:hAnsi="Cambria Math" w:cs="Cambria Math"/>
        </w:rPr>
        <w:instrText>‐</w:instrText>
      </w:r>
      <w:r w:rsidR="0063698B" w:rsidRPr="00424424">
        <w:rPr>
          <w:rFonts w:ascii="Arial" w:hAnsi="Arial" w:cs="Arial"/>
        </w:rPr>
        <w:instrText>Johnell, Inga&lt;/author&gt;&lt;author&gt;Orwoll, Eric&lt;/author&gt;&lt;author&gt;Ohlsson, Claes&lt;/author&gt;&lt;/authors&gt;&lt;/contributors&gt;&lt;titles&gt;&lt;title&gt;Free testosterone is an independent predictor of BMD and prevalent fractures in elderly men: MrOS Sweden&lt;/title&gt;&lt;secondary-title&gt;J Bone Miner Res.&lt;/secondary-title&gt;&lt;/titles&gt;&lt;periodical&gt;&lt;full-title&gt;J Bone Miner Res.&lt;/full-title&gt;&lt;/periodical&gt;&lt;pages&gt;529-535&lt;/pages&gt;&lt;volume&gt;21&lt;/volume&gt;&lt;number&gt;4&lt;/number&gt;&lt;dates&gt;&lt;year&gt;2006&lt;/year&gt;&lt;/dates&gt;&lt;isbn&gt;0884-0431&lt;/isbn&gt;&lt;urls&gt;&lt;/urls&gt;&lt;/record&gt;&lt;/Cite&gt;&lt;/EndNote&gt;</w:instrText>
      </w:r>
      <w:r w:rsidR="000C5DA3" w:rsidRPr="00424424">
        <w:rPr>
          <w:rFonts w:ascii="Arial" w:hAnsi="Arial" w:cs="Arial"/>
        </w:rPr>
        <w:fldChar w:fldCharType="separate"/>
      </w:r>
      <w:r w:rsidR="0063698B" w:rsidRPr="00424424">
        <w:rPr>
          <w:rFonts w:ascii="Arial" w:hAnsi="Arial" w:cs="Arial"/>
          <w:noProof/>
        </w:rPr>
        <w:t>[13]</w:t>
      </w:r>
      <w:r w:rsidR="000C5DA3" w:rsidRPr="00424424">
        <w:rPr>
          <w:rFonts w:ascii="Arial" w:hAnsi="Arial" w:cs="Arial"/>
        </w:rPr>
        <w:fldChar w:fldCharType="end"/>
      </w:r>
      <w:r w:rsidR="000C5DA3" w:rsidRPr="00424424">
        <w:rPr>
          <w:rFonts w:ascii="Arial" w:hAnsi="Arial" w:cs="Arial"/>
        </w:rPr>
        <w:t xml:space="preserve">. </w:t>
      </w:r>
      <w:r w:rsidR="00400E56" w:rsidRPr="00424424">
        <w:rPr>
          <w:rFonts w:ascii="Arial" w:hAnsi="Arial" w:cs="Arial"/>
        </w:rPr>
        <w:t xml:space="preserve">Participants needed to be able to walk without help and be without bilateral hip replacements to be eligible for MrOS Sweden or MrOS US. Self-defined </w:t>
      </w:r>
      <w:r w:rsidR="007D7B60" w:rsidRPr="00424424">
        <w:rPr>
          <w:rFonts w:ascii="Arial" w:hAnsi="Arial" w:cs="Arial"/>
        </w:rPr>
        <w:t xml:space="preserve">race and </w:t>
      </w:r>
      <w:r w:rsidR="00400E56" w:rsidRPr="00424424">
        <w:rPr>
          <w:rFonts w:ascii="Arial" w:hAnsi="Arial" w:cs="Arial"/>
        </w:rPr>
        <w:t>ethnicity was recorded.</w:t>
      </w:r>
      <w:r w:rsidR="00E7551B" w:rsidRPr="00424424">
        <w:rPr>
          <w:rFonts w:ascii="Arial" w:hAnsi="Arial" w:cs="Arial"/>
        </w:rPr>
        <w:t xml:space="preserve"> </w:t>
      </w:r>
      <w:r w:rsidR="00400E56" w:rsidRPr="00424424">
        <w:rPr>
          <w:rFonts w:ascii="Arial" w:hAnsi="Arial" w:cs="Arial"/>
        </w:rPr>
        <w:t>All participants gave written informed consent and ethics committees and institutional review boards at each centre approved the study</w:t>
      </w:r>
      <w:r w:rsidR="008A3383" w:rsidRPr="00424424">
        <w:rPr>
          <w:rFonts w:ascii="Arial" w:hAnsi="Arial" w:cs="Arial"/>
        </w:rPr>
        <w:t>.</w:t>
      </w:r>
    </w:p>
    <w:p w14:paraId="30994B3C" w14:textId="15DEAAD3" w:rsidR="002D749B" w:rsidRPr="00424424" w:rsidRDefault="008B584B" w:rsidP="005E59B4">
      <w:pPr>
        <w:spacing w:line="360" w:lineRule="auto"/>
        <w:rPr>
          <w:rFonts w:ascii="Arial" w:hAnsi="Arial" w:cs="Arial"/>
        </w:rPr>
      </w:pPr>
      <w:bookmarkStart w:id="7" w:name="_Hlk106531556"/>
      <w:r w:rsidRPr="00424424">
        <w:rPr>
          <w:rFonts w:ascii="Arial" w:hAnsi="Arial" w:cs="Arial"/>
        </w:rPr>
        <w:t xml:space="preserve">The HCS comprises </w:t>
      </w:r>
      <w:r w:rsidR="008A3383" w:rsidRPr="00424424">
        <w:rPr>
          <w:rFonts w:ascii="Arial" w:hAnsi="Arial" w:cs="Arial"/>
        </w:rPr>
        <w:t>2997 men and</w:t>
      </w:r>
      <w:r w:rsidRPr="00424424">
        <w:rPr>
          <w:rFonts w:ascii="Arial" w:hAnsi="Arial" w:cs="Arial"/>
        </w:rPr>
        <w:t xml:space="preserve"> women born in Hertfordshire </w:t>
      </w:r>
      <w:r w:rsidR="008A3383" w:rsidRPr="00424424">
        <w:rPr>
          <w:rFonts w:ascii="Arial" w:hAnsi="Arial" w:cs="Arial"/>
        </w:rPr>
        <w:t xml:space="preserve">from </w:t>
      </w:r>
      <w:r w:rsidRPr="00424424">
        <w:rPr>
          <w:rFonts w:ascii="Arial" w:hAnsi="Arial" w:cs="Arial"/>
        </w:rPr>
        <w:t>1931</w:t>
      </w:r>
      <w:r w:rsidR="008A3383" w:rsidRPr="00424424">
        <w:rPr>
          <w:rFonts w:ascii="Arial" w:hAnsi="Arial" w:cs="Arial"/>
        </w:rPr>
        <w:t>-</w:t>
      </w:r>
      <w:r w:rsidRPr="00424424">
        <w:rPr>
          <w:rFonts w:ascii="Arial" w:hAnsi="Arial" w:cs="Arial"/>
        </w:rPr>
        <w:t>1939 an</w:t>
      </w:r>
      <w:r w:rsidR="008A3383" w:rsidRPr="00424424">
        <w:rPr>
          <w:rFonts w:ascii="Arial" w:hAnsi="Arial" w:cs="Arial"/>
        </w:rPr>
        <w:t>d who still lived there in 1998-</w:t>
      </w:r>
      <w:r w:rsidRPr="00424424">
        <w:rPr>
          <w:rFonts w:ascii="Arial" w:hAnsi="Arial" w:cs="Arial"/>
        </w:rPr>
        <w:t xml:space="preserve">2004 when they </w:t>
      </w:r>
      <w:r w:rsidR="008A3383" w:rsidRPr="00424424">
        <w:rPr>
          <w:rFonts w:ascii="Arial" w:hAnsi="Arial" w:cs="Arial"/>
        </w:rPr>
        <w:t>attended a baseline home interview and research clinic for a detailed characterisation of their health</w:t>
      </w:r>
      <w:r w:rsidR="00963922" w:rsidRPr="00424424">
        <w:rPr>
          <w:rFonts w:ascii="Arial" w:hAnsi="Arial" w:cs="Arial"/>
        </w:rPr>
        <w:t xml:space="preserve"> status</w:t>
      </w:r>
      <w:r w:rsidRPr="00424424">
        <w:rPr>
          <w:rFonts w:ascii="Arial" w:hAnsi="Arial" w:cs="Arial"/>
        </w:rPr>
        <w:t>; the study has been described in detail previously</w:t>
      </w:r>
      <w:r w:rsidR="008A3383" w:rsidRPr="00424424">
        <w:rPr>
          <w:rFonts w:ascii="Arial" w:hAnsi="Arial" w:cs="Arial"/>
        </w:rPr>
        <w:t xml:space="preserve"> </w:t>
      </w:r>
      <w:r w:rsidR="008A3383" w:rsidRPr="00424424">
        <w:rPr>
          <w:rFonts w:ascii="Arial" w:hAnsi="Arial" w:cs="Arial"/>
        </w:rPr>
        <w:fldChar w:fldCharType="begin">
          <w:fldData xml:space="preserve">PEVuZE5vdGU+PENpdGU+PEF1dGhvcj5TeWRkYWxsPC9BdXRob3I+PFllYXI+MjAwNTwvWWVhcj48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=
</w:fldData>
        </w:fldChar>
      </w:r>
      <w:r w:rsidR="0063698B" w:rsidRPr="00424424">
        <w:rPr>
          <w:rFonts w:ascii="Arial" w:hAnsi="Arial" w:cs="Arial"/>
        </w:rPr>
        <w:instrText xml:space="preserve"> ADDIN EN.CITE </w:instrText>
      </w:r>
      <w:r w:rsidR="0063698B" w:rsidRPr="00424424">
        <w:rPr>
          <w:rFonts w:ascii="Arial" w:hAnsi="Arial" w:cs="Arial"/>
        </w:rPr>
        <w:fldChar w:fldCharType="begin">
          <w:fldData xml:space="preserve">PEVuZE5vdGU+PENpdGU+PEF1dGhvcj5TeWRkYWxsPC9BdXRob3I+PFllYXI+MjAwNTwvWWVhcj48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=
</w:fldData>
        </w:fldChar>
      </w:r>
      <w:r w:rsidR="0063698B" w:rsidRPr="00424424">
        <w:rPr>
          <w:rFonts w:ascii="Arial" w:hAnsi="Arial" w:cs="Arial"/>
        </w:rPr>
        <w:instrText xml:space="preserve"> ADDIN EN.CITE.DATA </w:instrText>
      </w:r>
      <w:r w:rsidR="0063698B" w:rsidRPr="00424424">
        <w:rPr>
          <w:rFonts w:ascii="Arial" w:hAnsi="Arial" w:cs="Arial"/>
        </w:rPr>
      </w:r>
      <w:r w:rsidR="0063698B" w:rsidRPr="00424424">
        <w:rPr>
          <w:rFonts w:ascii="Arial" w:hAnsi="Arial" w:cs="Arial"/>
        </w:rPr>
        <w:fldChar w:fldCharType="end"/>
      </w:r>
      <w:r w:rsidR="008A3383" w:rsidRPr="00424424">
        <w:rPr>
          <w:rFonts w:ascii="Arial" w:hAnsi="Arial" w:cs="Arial"/>
        </w:rPr>
      </w:r>
      <w:r w:rsidR="008A3383" w:rsidRPr="00424424">
        <w:rPr>
          <w:rFonts w:ascii="Arial" w:hAnsi="Arial" w:cs="Arial"/>
        </w:rPr>
        <w:fldChar w:fldCharType="separate"/>
      </w:r>
      <w:r w:rsidR="0063698B" w:rsidRPr="00424424">
        <w:rPr>
          <w:rFonts w:ascii="Arial" w:hAnsi="Arial" w:cs="Arial"/>
          <w:noProof/>
        </w:rPr>
        <w:t>[14, 15]</w:t>
      </w:r>
      <w:r w:rsidR="008A3383" w:rsidRPr="00424424">
        <w:rPr>
          <w:rFonts w:ascii="Arial" w:hAnsi="Arial" w:cs="Arial"/>
        </w:rPr>
        <w:fldChar w:fldCharType="end"/>
      </w:r>
      <w:r w:rsidRPr="00424424">
        <w:rPr>
          <w:rFonts w:ascii="Arial" w:hAnsi="Arial" w:cs="Arial"/>
        </w:rPr>
        <w:t xml:space="preserve">. </w:t>
      </w:r>
      <w:r w:rsidR="00CA51E0" w:rsidRPr="00424424">
        <w:rPr>
          <w:rFonts w:ascii="Arial" w:hAnsi="Arial" w:cs="Arial"/>
        </w:rPr>
        <w:t>A subset of HCS participants</w:t>
      </w:r>
      <w:r w:rsidR="0052168C" w:rsidRPr="00424424">
        <w:rPr>
          <w:rFonts w:ascii="Arial" w:hAnsi="Arial" w:cs="Arial"/>
        </w:rPr>
        <w:t xml:space="preserve"> </w:t>
      </w:r>
      <w:r w:rsidR="00CA51E0" w:rsidRPr="00424424">
        <w:rPr>
          <w:rFonts w:ascii="Arial" w:hAnsi="Arial" w:cs="Arial"/>
        </w:rPr>
        <w:t xml:space="preserve">who underwent whole body DXA in 2011-2012 </w:t>
      </w:r>
      <w:r w:rsidR="006D0626" w:rsidRPr="00424424">
        <w:rPr>
          <w:rFonts w:ascii="Arial" w:hAnsi="Arial" w:cs="Arial"/>
        </w:rPr>
        <w:t xml:space="preserve">(n=346) </w:t>
      </w:r>
      <w:r w:rsidR="00CA51E0" w:rsidRPr="00424424">
        <w:rPr>
          <w:rFonts w:ascii="Arial" w:hAnsi="Arial" w:cs="Arial"/>
        </w:rPr>
        <w:t>were analysed in this manuscript.</w:t>
      </w:r>
      <w:r w:rsidR="00011AAC" w:rsidRPr="00424424">
        <w:rPr>
          <w:rFonts w:ascii="Arial" w:hAnsi="Arial" w:cs="Arial"/>
        </w:rPr>
        <w:t xml:space="preserve"> </w:t>
      </w:r>
      <w:bookmarkEnd w:id="7"/>
      <w:r w:rsidR="00011AAC" w:rsidRPr="00424424">
        <w:rPr>
          <w:rFonts w:ascii="Arial" w:hAnsi="Arial" w:cs="Arial"/>
        </w:rPr>
        <w:t xml:space="preserve">The HCS baseline investigations had ethical approval from the Hertfordshire and Bedfordshire Local Research Ethics Committee and all participants gave written informed consent; </w:t>
      </w:r>
      <w:r w:rsidR="00E36F4A" w:rsidRPr="00424424">
        <w:rPr>
          <w:rFonts w:ascii="Arial" w:hAnsi="Arial" w:cs="Arial"/>
        </w:rPr>
        <w:t>ethical</w:t>
      </w:r>
      <w:r w:rsidR="00011AAC" w:rsidRPr="00424424">
        <w:rPr>
          <w:rFonts w:ascii="Arial" w:hAnsi="Arial" w:cs="Arial"/>
        </w:rPr>
        <w:t xml:space="preserve"> approval was obtained for all HCS follow-up studies.</w:t>
      </w:r>
    </w:p>
    <w:bookmarkEnd w:id="6"/>
    <w:p w14:paraId="4EAA74F9" w14:textId="4EDB3A4E" w:rsidR="00C671B8" w:rsidRPr="00424424" w:rsidRDefault="00DD4519" w:rsidP="005E59B4">
      <w:pPr>
        <w:spacing w:line="360" w:lineRule="auto"/>
        <w:rPr>
          <w:rFonts w:ascii="Arial" w:hAnsi="Arial" w:cs="Arial"/>
        </w:rPr>
      </w:pPr>
      <w:r w:rsidRPr="00424424">
        <w:rPr>
          <w:rFonts w:ascii="Arial" w:hAnsi="Arial" w:cs="Arial"/>
        </w:rPr>
        <w:t>The Sarcopenia and Physical impairment with advancing Age (SarcoPhAge) Study comprises 534 participants, aged 65 years or older, who were recruited from an outpatient clinic in Liège, Belgium and by press advertisement between June 2013 and June 2014. Participants with an amputated limb or a BMI&gt;50 kg/m</w:t>
      </w:r>
      <w:r w:rsidRPr="00424424">
        <w:rPr>
          <w:rFonts w:ascii="Arial" w:hAnsi="Arial" w:cs="Arial"/>
          <w:vertAlign w:val="superscript"/>
        </w:rPr>
        <w:t>2</w:t>
      </w:r>
      <w:r w:rsidRPr="00424424">
        <w:rPr>
          <w:rFonts w:ascii="Arial" w:hAnsi="Arial" w:cs="Arial"/>
        </w:rPr>
        <w:t xml:space="preserve"> were excluded. All participants provided written informed consent and the study was approved by the ethics committee of the University Teaching Hospital of Liège. Further details of this study have been published previously</w:t>
      </w:r>
      <w:r w:rsidR="00152299" w:rsidRPr="00424424">
        <w:rPr>
          <w:rFonts w:ascii="Arial" w:hAnsi="Arial" w:cs="Arial"/>
        </w:rPr>
        <w:t xml:space="preserve"> </w:t>
      </w:r>
      <w:r w:rsidR="00152299" w:rsidRPr="00424424">
        <w:rPr>
          <w:rFonts w:ascii="Arial" w:hAnsi="Arial" w:cs="Arial"/>
        </w:rPr>
        <w:fldChar w:fldCharType="begin"/>
      </w:r>
      <w:r w:rsidR="007D7E81" w:rsidRPr="00424424">
        <w:rPr>
          <w:rFonts w:ascii="Arial" w:hAnsi="Arial" w:cs="Arial"/>
        </w:rPr>
        <w:instrText xml:space="preserve"> ADDIN EN.CITE &lt;EndNote&gt;&lt;Cite&gt;&lt;Author&gt;Beaudart&lt;/Author&gt;&lt;Year&gt;2015&lt;/Year&gt;&lt;RecNum&gt;1468&lt;/RecNum&gt;&lt;DisplayText&gt;[16]&lt;/DisplayText&gt;&lt;record&gt;&lt;rec-number&gt;1468&lt;/rec-number&gt;&lt;foreign-keys&gt;&lt;key app="EN" db-id="pzdf5rvs9wzts6erav6v0rpowttawpd0ztaa" timestamp="1642416812"&gt;1468&lt;/key&gt;&lt;/foreign-keys&gt;&lt;ref-type name="Journal Article"&gt;17&lt;/ref-type&gt;&lt;contributors&gt;&lt;authors&gt;&lt;author&gt;Beaudart, Charlotte&lt;/author&gt;&lt;author&gt;Reginster, Jean-Yves&lt;/author&gt;&lt;author&gt;Petermans, Jean&lt;/author&gt;&lt;author&gt;Gillain, Sophie&lt;/author&gt;&lt;author&gt;Quabron, Adrien&lt;/author&gt;&lt;author&gt;Locquet, Médéa&lt;/author&gt;&lt;author&gt;Slomian, Justine&lt;/author&gt;&lt;author&gt;Buckinx, Fanny&lt;/author&gt;&lt;author&gt;Bruyère, Olivier&lt;/author&gt;&lt;/authors&gt;&lt;/contributors&gt;&lt;titles&gt;&lt;title&gt;Quality of life and physical components linked to sarcopenia: The SarcoPhAge study&lt;/title&gt;&lt;secondary-title&gt; Exp Gerontol.&lt;/secondary-title&gt;&lt;/titles&gt;&lt;pages&gt;103-110&lt;/pages&gt;&lt;volume&gt;69&lt;/volume&gt;&lt;dates&gt;&lt;year&gt;2015&lt;/year&gt;&lt;/dates&gt;&lt;isbn&gt;0531-5565&lt;/isbn&gt;&lt;urls&gt;&lt;related-urls&gt;&lt;url&gt;https://www.sciencedirect.com/science/article/abs/pii/S0531556515001424?via%3Dihub&lt;/url&gt;&lt;/related-urls&gt;&lt;/urls&gt;&lt;/record&gt;&lt;/Cite&gt;&lt;/EndNote&gt;</w:instrText>
      </w:r>
      <w:r w:rsidR="00152299" w:rsidRPr="00424424">
        <w:rPr>
          <w:rFonts w:ascii="Arial" w:hAnsi="Arial" w:cs="Arial"/>
        </w:rPr>
        <w:fldChar w:fldCharType="separate"/>
      </w:r>
      <w:r w:rsidR="007D7E81" w:rsidRPr="00424424">
        <w:rPr>
          <w:rFonts w:ascii="Arial" w:hAnsi="Arial" w:cs="Arial"/>
          <w:noProof/>
        </w:rPr>
        <w:t>[16]</w:t>
      </w:r>
      <w:r w:rsidR="00152299" w:rsidRPr="00424424">
        <w:rPr>
          <w:rFonts w:ascii="Arial" w:hAnsi="Arial" w:cs="Arial"/>
        </w:rPr>
        <w:fldChar w:fldCharType="end"/>
      </w:r>
      <w:r w:rsidRPr="00424424">
        <w:rPr>
          <w:rFonts w:ascii="Arial" w:hAnsi="Arial" w:cs="Arial"/>
        </w:rPr>
        <w:t>.</w:t>
      </w:r>
    </w:p>
    <w:p w14:paraId="59618D42" w14:textId="77777777" w:rsidR="004156FC" w:rsidRPr="00424424" w:rsidRDefault="004156FC" w:rsidP="005E59B4">
      <w:pPr>
        <w:spacing w:line="360" w:lineRule="auto"/>
        <w:rPr>
          <w:rFonts w:ascii="Arial" w:hAnsi="Arial" w:cs="Arial"/>
          <w:i/>
        </w:rPr>
      </w:pPr>
    </w:p>
    <w:p w14:paraId="3B0D607E" w14:textId="583EC946" w:rsidR="004156FC" w:rsidRPr="00424424" w:rsidRDefault="009B3679" w:rsidP="005E59B4">
      <w:pPr>
        <w:spacing w:line="360" w:lineRule="auto"/>
        <w:rPr>
          <w:rFonts w:ascii="Arial" w:hAnsi="Arial" w:cs="Arial"/>
          <w:i/>
        </w:rPr>
      </w:pPr>
      <w:r w:rsidRPr="00424424">
        <w:rPr>
          <w:rFonts w:ascii="Arial" w:hAnsi="Arial" w:cs="Arial"/>
          <w:i/>
        </w:rPr>
        <w:lastRenderedPageBreak/>
        <w:t xml:space="preserve">Ascertainment of </w:t>
      </w:r>
      <w:r w:rsidR="00FC3914" w:rsidRPr="00424424">
        <w:rPr>
          <w:rFonts w:ascii="Arial" w:hAnsi="Arial" w:cs="Arial"/>
          <w:i/>
        </w:rPr>
        <w:t>participant characteristics</w:t>
      </w:r>
    </w:p>
    <w:p w14:paraId="4AA58671" w14:textId="6937D22F" w:rsidR="00B30C2A" w:rsidRPr="00424424" w:rsidRDefault="00FC3914" w:rsidP="005E59B4">
      <w:pPr>
        <w:spacing w:line="360" w:lineRule="auto"/>
        <w:rPr>
          <w:rFonts w:ascii="Arial" w:hAnsi="Arial" w:cs="Arial"/>
        </w:rPr>
      </w:pPr>
      <w:r w:rsidRPr="00424424">
        <w:rPr>
          <w:rFonts w:ascii="Arial" w:hAnsi="Arial" w:cs="Arial"/>
        </w:rPr>
        <w:t>Height and weight were measured and used to derive body mass index (BMI). ALM</w:t>
      </w:r>
      <w:r w:rsidR="004156FC" w:rsidRPr="00424424">
        <w:rPr>
          <w:rFonts w:ascii="Arial" w:hAnsi="Arial" w:cs="Arial"/>
        </w:rPr>
        <w:t xml:space="preserve"> was ascertained using </w:t>
      </w:r>
      <w:r w:rsidR="00807A64" w:rsidRPr="00424424">
        <w:rPr>
          <w:rFonts w:ascii="Arial" w:hAnsi="Arial" w:cs="Arial"/>
        </w:rPr>
        <w:t>DXA</w:t>
      </w:r>
      <w:r w:rsidR="004156FC" w:rsidRPr="00424424">
        <w:rPr>
          <w:rFonts w:ascii="Arial" w:hAnsi="Arial" w:cs="Arial"/>
        </w:rPr>
        <w:t xml:space="preserve">; muscle strength by grip dynamometry; and customary gait speed was measured as a marker of </w:t>
      </w:r>
      <w:r w:rsidR="00E36F4A" w:rsidRPr="00424424">
        <w:rPr>
          <w:rFonts w:ascii="Arial" w:hAnsi="Arial" w:cs="Arial"/>
        </w:rPr>
        <w:t>mobility</w:t>
      </w:r>
      <w:r w:rsidR="004156FC" w:rsidRPr="00424424">
        <w:rPr>
          <w:rFonts w:ascii="Arial" w:hAnsi="Arial" w:cs="Arial"/>
        </w:rPr>
        <w:t xml:space="preserve">. </w:t>
      </w:r>
      <w:r w:rsidRPr="00424424">
        <w:rPr>
          <w:rFonts w:ascii="Arial" w:hAnsi="Arial" w:cs="Arial"/>
        </w:rPr>
        <w:t>ALM index was calculated by dividing ALM (kg) by height</w:t>
      </w:r>
      <w:r w:rsidRPr="00424424">
        <w:rPr>
          <w:rFonts w:ascii="Arial" w:hAnsi="Arial" w:cs="Arial"/>
          <w:vertAlign w:val="superscript"/>
        </w:rPr>
        <w:t>2</w:t>
      </w:r>
      <w:r w:rsidR="00E36F4A" w:rsidRPr="00424424">
        <w:rPr>
          <w:rFonts w:ascii="Arial" w:hAnsi="Arial" w:cs="Arial"/>
        </w:rPr>
        <w:t xml:space="preserve"> </w:t>
      </w:r>
      <w:r w:rsidRPr="00424424">
        <w:rPr>
          <w:rFonts w:ascii="Arial" w:hAnsi="Arial" w:cs="Arial"/>
        </w:rPr>
        <w:t>(m).</w:t>
      </w:r>
      <w:r w:rsidR="00E36F4A" w:rsidRPr="00424424">
        <w:rPr>
          <w:rFonts w:ascii="Arial" w:hAnsi="Arial" w:cs="Arial"/>
        </w:rPr>
        <w:t xml:space="preserve"> Deaths were recorded and verified</w:t>
      </w:r>
      <w:r w:rsidR="00BD4F6B" w:rsidRPr="00424424">
        <w:rPr>
          <w:rFonts w:ascii="Arial" w:hAnsi="Arial" w:cs="Arial"/>
        </w:rPr>
        <w:t>; mean (SD) follow-up times (years) were as follows: Health ABC 11.6 (4.9), MrOS US 13.0 (5.7), MrOS Sweden 11.4 (4.8), HCS 6.4 (1.2), SarcoPhAge 4.4 (1.1)</w:t>
      </w:r>
      <w:r w:rsidR="00E36F4A" w:rsidRPr="00424424">
        <w:rPr>
          <w:rFonts w:ascii="Arial" w:hAnsi="Arial" w:cs="Arial"/>
        </w:rPr>
        <w:t xml:space="preserve">. </w:t>
      </w:r>
      <w:r w:rsidR="00684A3D" w:rsidRPr="00424424">
        <w:rPr>
          <w:rFonts w:ascii="Arial" w:hAnsi="Arial" w:cs="Arial"/>
        </w:rPr>
        <w:t xml:space="preserve">Further details on the ascertainment of </w:t>
      </w:r>
      <w:r w:rsidR="00E36F4A" w:rsidRPr="00424424">
        <w:rPr>
          <w:rFonts w:ascii="Arial" w:hAnsi="Arial" w:cs="Arial"/>
        </w:rPr>
        <w:t>this information</w:t>
      </w:r>
      <w:r w:rsidR="00684A3D" w:rsidRPr="00424424">
        <w:rPr>
          <w:rFonts w:ascii="Arial" w:hAnsi="Arial" w:cs="Arial"/>
        </w:rPr>
        <w:t xml:space="preserve"> in each cohort</w:t>
      </w:r>
      <w:r w:rsidR="00CA51E0" w:rsidRPr="00424424">
        <w:rPr>
          <w:rFonts w:ascii="Arial" w:hAnsi="Arial" w:cs="Arial"/>
        </w:rPr>
        <w:t xml:space="preserve">, including the </w:t>
      </w:r>
      <w:r w:rsidR="00E54626" w:rsidRPr="00424424">
        <w:rPr>
          <w:rFonts w:ascii="Arial" w:hAnsi="Arial" w:cs="Arial"/>
        </w:rPr>
        <w:t xml:space="preserve">procedures and </w:t>
      </w:r>
      <w:r w:rsidR="00CA51E0" w:rsidRPr="00424424">
        <w:rPr>
          <w:rFonts w:ascii="Arial" w:hAnsi="Arial" w:cs="Arial"/>
        </w:rPr>
        <w:t>measurement devices used,</w:t>
      </w:r>
      <w:r w:rsidR="00684A3D" w:rsidRPr="00424424">
        <w:rPr>
          <w:rFonts w:ascii="Arial" w:hAnsi="Arial" w:cs="Arial"/>
        </w:rPr>
        <w:t xml:space="preserve"> is provided </w:t>
      </w:r>
      <w:r w:rsidR="00B30C2A" w:rsidRPr="00424424">
        <w:rPr>
          <w:rFonts w:ascii="Arial" w:hAnsi="Arial" w:cs="Arial"/>
        </w:rPr>
        <w:t>in</w:t>
      </w:r>
      <w:r w:rsidR="00684A3D" w:rsidRPr="00424424">
        <w:rPr>
          <w:rFonts w:ascii="Arial" w:hAnsi="Arial" w:cs="Arial"/>
        </w:rPr>
        <w:t xml:space="preserve"> </w:t>
      </w:r>
      <w:r w:rsidR="000D1E72" w:rsidRPr="00424424">
        <w:rPr>
          <w:rFonts w:ascii="Arial" w:hAnsi="Arial" w:cs="Arial"/>
        </w:rPr>
        <w:t>Supporting Information Table S1</w:t>
      </w:r>
      <w:r w:rsidR="00684A3D" w:rsidRPr="00424424">
        <w:rPr>
          <w:rFonts w:ascii="Arial" w:hAnsi="Arial" w:cs="Arial"/>
        </w:rPr>
        <w:t>.</w:t>
      </w:r>
    </w:p>
    <w:p w14:paraId="28DA2E6B" w14:textId="77777777" w:rsidR="00B30C2A" w:rsidRPr="00424424" w:rsidRDefault="00B30C2A" w:rsidP="005E59B4">
      <w:pPr>
        <w:spacing w:line="360" w:lineRule="auto"/>
        <w:rPr>
          <w:rFonts w:ascii="Arial" w:hAnsi="Arial" w:cs="Arial"/>
        </w:rPr>
      </w:pPr>
    </w:p>
    <w:p w14:paraId="17079D23" w14:textId="4B236B5A" w:rsidR="009B3679" w:rsidRPr="00424424" w:rsidRDefault="00684A3D" w:rsidP="005E59B4">
      <w:pPr>
        <w:spacing w:line="360" w:lineRule="auto"/>
        <w:rPr>
          <w:rFonts w:ascii="Arial" w:hAnsi="Arial" w:cs="Arial"/>
        </w:rPr>
      </w:pPr>
      <w:r w:rsidRPr="00424424">
        <w:rPr>
          <w:rFonts w:ascii="Arial" w:hAnsi="Arial" w:cs="Arial"/>
          <w:i/>
        </w:rPr>
        <w:t>Definitions of sarcopenia</w:t>
      </w:r>
    </w:p>
    <w:p w14:paraId="0DADAB96" w14:textId="7132EF93" w:rsidR="00684A3D" w:rsidRPr="00424424" w:rsidRDefault="00684A3D" w:rsidP="005E59B4">
      <w:pPr>
        <w:spacing w:line="360" w:lineRule="auto"/>
        <w:rPr>
          <w:rFonts w:ascii="Arial" w:hAnsi="Arial" w:cs="Arial"/>
        </w:rPr>
      </w:pPr>
      <w:r w:rsidRPr="00424424">
        <w:rPr>
          <w:rFonts w:ascii="Arial" w:hAnsi="Arial" w:cs="Arial"/>
        </w:rPr>
        <w:t xml:space="preserve">Sarcopenia was defined according to </w:t>
      </w:r>
      <w:r w:rsidR="004239AF" w:rsidRPr="00424424">
        <w:rPr>
          <w:rFonts w:ascii="Arial" w:hAnsi="Arial" w:cs="Arial"/>
        </w:rPr>
        <w:t xml:space="preserve">EWGSOP2 </w:t>
      </w:r>
      <w:r w:rsidR="004239AF" w:rsidRPr="00424424">
        <w:rPr>
          <w:rFonts w:ascii="Arial" w:hAnsi="Arial" w:cs="Arial"/>
        </w:rPr>
        <w:fldChar w:fldCharType="begin"/>
      </w:r>
      <w:r w:rsidR="0063698B" w:rsidRPr="00424424">
        <w:rPr>
          <w:rFonts w:ascii="Arial" w:hAnsi="Arial" w:cs="Arial"/>
        </w:rPr>
        <w:instrText xml:space="preserve"> ADDIN EN.CITE &lt;EndNote&gt;&lt;Cite&gt;&lt;Author&gt;Cruz-Jentoft&lt;/Author&gt;&lt;Year&gt;2019&lt;/Year&gt;&lt;RecNum&gt;1341&lt;/RecNum&gt;&lt;DisplayText&gt;[5]&lt;/DisplayText&gt;&lt;record&gt;&lt;rec-number&gt;1341&lt;/rec-number&gt;&lt;foreign-keys&gt;&lt;key app="EN" db-id="pzdf5rvs9wzts6erav6v0rpowttawpd0ztaa" timestamp="1550482166"&gt;1341&lt;/key&gt;&lt;/foreign-keys&gt;&lt;ref-type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Aihie&lt;/author&gt;&lt;/authors&gt;&lt;/contributors&gt;&lt;titles&gt;&lt;title&gt;Sarcopenia: revised European consensus on definition and diagnosis&lt;/title&gt;&lt;secondary-title&gt;Age Ageing&lt;/secondary-title&gt;&lt;/titles&gt;&lt;periodical&gt;&lt;full-title&gt;Age Ageing&lt;/full-title&gt;&lt;/periodical&gt;&lt;pages&gt;16-31&lt;/pages&gt;&lt;volume&gt;48&lt;/volume&gt;&lt;number&gt;1&lt;/number&gt;&lt;dates&gt;&lt;year&gt;2019&lt;/year&gt;&lt;/dates&gt;&lt;urls&gt;&lt;/urls&gt;&lt;/record&gt;&lt;/Cite&gt;&lt;/EndNote&gt;</w:instrText>
      </w:r>
      <w:r w:rsidR="004239AF" w:rsidRPr="00424424">
        <w:rPr>
          <w:rFonts w:ascii="Arial" w:hAnsi="Arial" w:cs="Arial"/>
        </w:rPr>
        <w:fldChar w:fldCharType="separate"/>
      </w:r>
      <w:r w:rsidR="0063698B" w:rsidRPr="00424424">
        <w:rPr>
          <w:rFonts w:ascii="Arial" w:hAnsi="Arial" w:cs="Arial"/>
          <w:noProof/>
        </w:rPr>
        <w:t>[5]</w:t>
      </w:r>
      <w:r w:rsidR="004239AF" w:rsidRPr="00424424">
        <w:rPr>
          <w:rFonts w:ascii="Arial" w:hAnsi="Arial" w:cs="Arial"/>
        </w:rPr>
        <w:fldChar w:fldCharType="end"/>
      </w:r>
      <w:r w:rsidR="004239AF" w:rsidRPr="00424424">
        <w:rPr>
          <w:rFonts w:ascii="Arial" w:hAnsi="Arial" w:cs="Arial"/>
        </w:rPr>
        <w:t xml:space="preserve"> and SDOC </w:t>
      </w:r>
      <w:r w:rsidR="004239AF" w:rsidRPr="00424424">
        <w:rPr>
          <w:rFonts w:ascii="Arial" w:hAnsi="Arial" w:cs="Arial"/>
          <w:lang w:eastAsia="en-GB"/>
        </w:rPr>
        <w:fldChar w:fldCharType="begin"/>
      </w:r>
      <w:r w:rsidR="0063698B" w:rsidRPr="00424424">
        <w:rPr>
          <w:rFonts w:ascii="Arial" w:hAnsi="Arial" w:cs="Arial"/>
          <w:lang w:eastAsia="en-GB"/>
        </w:rPr>
        <w:instrText xml:space="preserve"> ADDIN EN.CITE &lt;EndNote&gt;&lt;Cite&gt;&lt;Author&gt;Bhasin&lt;/Author&gt;&lt;Year&gt;2020&lt;/Year&gt;&lt;RecNum&gt;1410&lt;/RecNum&gt;&lt;DisplayText&gt;[7]&lt;/DisplayText&gt;&lt;record&gt;&lt;rec-number&gt;1410&lt;/rec-number&gt;&lt;foreign-keys&gt;&lt;key app="EN" db-id="pzdf5rvs9wzts6erav6v0rpowttawpd0ztaa" timestamp="1585735076"&gt;1410&lt;/key&gt;&lt;/foreign-keys&gt;&lt;ref-type name="Journal Article"&gt;17&lt;/ref-type&gt;&lt;contributors&gt;&lt;authors&gt;&lt;author&gt;Bhasin, Shalender&lt;/author&gt;&lt;author&gt;Travison, Thomas G&lt;/author&gt;&lt;author&gt;Manini, Todd M&lt;/author&gt;&lt;author&gt;Patel, Sheena&lt;/author&gt;&lt;author&gt;Pencina, Karol M&lt;/author&gt;&lt;author&gt;Fielding, Roger A&lt;/author&gt;&lt;author&gt;Magaziner, Jay M&lt;/author&gt;&lt;author&gt;Newman, Anne B&lt;/author&gt;&lt;author&gt;Kiel, Douglas P&lt;/author&gt;&lt;author&gt;Cooper, Cyrus&lt;/author&gt;&lt;/authors&gt;&lt;/contributors&gt;&lt;titles&gt;&lt;title&gt;Sarcopenia Definition: The Position Statements of the Sarcopenia Definition and Outcomes Consortium&lt;/title&gt;&lt;secondary-title&gt; J Am Geriatr Soc&lt;/secondary-title&gt;&lt;/titles&gt;&lt;pages&gt;1410-1418&lt;/pages&gt;&lt;volume&gt;68&lt;/volume&gt;&lt;number&gt;7&lt;/number&gt;&lt;dates&gt;&lt;year&gt;2020&lt;/year&gt;&lt;/dates&gt;&lt;isbn&gt;0002-8614&lt;/isbn&gt;&lt;urls&gt;&lt;/urls&gt;&lt;/record&gt;&lt;/Cite&gt;&lt;/EndNote&gt;</w:instrText>
      </w:r>
      <w:r w:rsidR="004239AF" w:rsidRPr="00424424">
        <w:rPr>
          <w:rFonts w:ascii="Arial" w:hAnsi="Arial" w:cs="Arial"/>
          <w:lang w:eastAsia="en-GB"/>
        </w:rPr>
        <w:fldChar w:fldCharType="separate"/>
      </w:r>
      <w:r w:rsidR="0063698B" w:rsidRPr="00424424">
        <w:rPr>
          <w:rFonts w:ascii="Arial" w:hAnsi="Arial" w:cs="Arial"/>
          <w:noProof/>
          <w:lang w:eastAsia="en-GB"/>
        </w:rPr>
        <w:t>[7]</w:t>
      </w:r>
      <w:r w:rsidR="004239AF" w:rsidRPr="00424424">
        <w:rPr>
          <w:rFonts w:ascii="Arial" w:hAnsi="Arial" w:cs="Arial"/>
          <w:lang w:eastAsia="en-GB"/>
        </w:rPr>
        <w:fldChar w:fldCharType="end"/>
      </w:r>
      <w:r w:rsidR="004239AF" w:rsidRPr="00424424">
        <w:rPr>
          <w:rFonts w:ascii="Arial" w:hAnsi="Arial" w:cs="Arial"/>
          <w:lang w:eastAsia="en-GB"/>
        </w:rPr>
        <w:t xml:space="preserve">. </w:t>
      </w:r>
      <w:r w:rsidR="00B30C2A" w:rsidRPr="00424424">
        <w:rPr>
          <w:rFonts w:ascii="Arial" w:hAnsi="Arial" w:cs="Arial"/>
          <w:lang w:eastAsia="en-GB"/>
        </w:rPr>
        <w:t>Modified thresholds for grip strength (</w:t>
      </w:r>
      <w:r w:rsidR="00792204" w:rsidRPr="00424424">
        <w:rPr>
          <w:rFonts w:ascii="Arial" w:hAnsi="Arial" w:cs="Arial"/>
          <w:lang w:eastAsia="en-GB"/>
        </w:rPr>
        <w:t xml:space="preserve">use of the SDOC grip strength threshold of </w:t>
      </w:r>
      <w:r w:rsidR="00B30C2A" w:rsidRPr="00424424">
        <w:rPr>
          <w:rFonts w:ascii="Arial" w:hAnsi="Arial" w:cs="Arial"/>
          <w:lang w:eastAsia="en-GB"/>
        </w:rPr>
        <w:t xml:space="preserve">&lt;35.5 kg in </w:t>
      </w:r>
      <w:r w:rsidR="00792204" w:rsidRPr="00424424">
        <w:rPr>
          <w:rFonts w:ascii="Arial" w:hAnsi="Arial" w:cs="Arial"/>
          <w:lang w:eastAsia="en-GB"/>
        </w:rPr>
        <w:t xml:space="preserve">the </w:t>
      </w:r>
      <w:bookmarkStart w:id="8" w:name="_Hlk109651978"/>
      <w:r w:rsidR="00B30C2A" w:rsidRPr="00424424">
        <w:rPr>
          <w:rFonts w:ascii="Arial" w:hAnsi="Arial" w:cs="Arial"/>
          <w:lang w:eastAsia="en-GB"/>
        </w:rPr>
        <w:t xml:space="preserve">EWGSOP2 </w:t>
      </w:r>
      <w:bookmarkEnd w:id="8"/>
      <w:r w:rsidR="00792204" w:rsidRPr="00424424">
        <w:rPr>
          <w:rFonts w:ascii="Arial" w:hAnsi="Arial" w:cs="Arial"/>
          <w:lang w:eastAsia="en-GB"/>
        </w:rPr>
        <w:t xml:space="preserve">definition </w:t>
      </w:r>
      <w:r w:rsidR="00B30C2A" w:rsidRPr="00424424">
        <w:rPr>
          <w:rFonts w:ascii="Arial" w:hAnsi="Arial" w:cs="Arial"/>
          <w:lang w:eastAsia="en-GB"/>
        </w:rPr>
        <w:t xml:space="preserve">as opposed to &lt;27 kg) and gait speed (&lt;1.0 m/s in </w:t>
      </w:r>
      <w:r w:rsidR="00805C7E" w:rsidRPr="00424424">
        <w:rPr>
          <w:rFonts w:ascii="Arial" w:hAnsi="Arial" w:cs="Arial"/>
          <w:lang w:eastAsia="en-GB"/>
        </w:rPr>
        <w:t xml:space="preserve">the </w:t>
      </w:r>
      <w:r w:rsidR="00B30C2A" w:rsidRPr="00424424">
        <w:rPr>
          <w:rFonts w:ascii="Arial" w:hAnsi="Arial" w:cs="Arial"/>
          <w:lang w:eastAsia="en-GB"/>
        </w:rPr>
        <w:t xml:space="preserve">SDOC </w:t>
      </w:r>
      <w:r w:rsidR="007E4609" w:rsidRPr="00424424">
        <w:rPr>
          <w:rFonts w:ascii="Arial" w:hAnsi="Arial" w:cs="Arial"/>
          <w:lang w:eastAsia="en-GB"/>
        </w:rPr>
        <w:t xml:space="preserve">definition </w:t>
      </w:r>
      <w:r w:rsidR="00B30C2A" w:rsidRPr="00424424">
        <w:rPr>
          <w:rFonts w:ascii="Arial" w:hAnsi="Arial" w:cs="Arial"/>
          <w:lang w:eastAsia="en-GB"/>
        </w:rPr>
        <w:t xml:space="preserve">as opposed to &lt;0.8 m/s) were also </w:t>
      </w:r>
      <w:r w:rsidR="007E4609" w:rsidRPr="00424424">
        <w:rPr>
          <w:rFonts w:ascii="Arial" w:hAnsi="Arial" w:cs="Arial"/>
          <w:lang w:eastAsia="en-GB"/>
        </w:rPr>
        <w:t>used in analyses.</w:t>
      </w:r>
      <w:r w:rsidR="004A4908" w:rsidRPr="00424424">
        <w:rPr>
          <w:rFonts w:ascii="Arial" w:hAnsi="Arial" w:cs="Arial"/>
          <w:lang w:eastAsia="en-GB"/>
        </w:rPr>
        <w:t xml:space="preserve"> </w:t>
      </w:r>
      <w:r w:rsidR="004D04C4" w:rsidRPr="00424424">
        <w:rPr>
          <w:rFonts w:ascii="Arial" w:hAnsi="Arial" w:cs="Arial"/>
          <w:lang w:eastAsia="en-GB"/>
        </w:rPr>
        <w:t xml:space="preserve">These </w:t>
      </w:r>
      <w:r w:rsidR="00222582" w:rsidRPr="00424424">
        <w:rPr>
          <w:rFonts w:ascii="Arial" w:hAnsi="Arial" w:cs="Arial"/>
          <w:lang w:eastAsia="en-GB"/>
        </w:rPr>
        <w:t xml:space="preserve">sarcopenia definitions, along with the original and modified thresholds for the sarcopenia components, </w:t>
      </w:r>
      <w:r w:rsidR="004D04C4" w:rsidRPr="00424424">
        <w:rPr>
          <w:rFonts w:ascii="Arial" w:hAnsi="Arial" w:cs="Arial"/>
          <w:lang w:eastAsia="en-GB"/>
        </w:rPr>
        <w:t>are presented in Table 1.</w:t>
      </w:r>
      <w:r w:rsidR="004D04C4" w:rsidRPr="00424424">
        <w:t xml:space="preserve"> </w:t>
      </w:r>
    </w:p>
    <w:p w14:paraId="550B8D1D" w14:textId="77777777" w:rsidR="00845F6A" w:rsidRPr="00424424" w:rsidRDefault="00845F6A" w:rsidP="005E59B4">
      <w:pPr>
        <w:spacing w:line="360" w:lineRule="auto"/>
        <w:rPr>
          <w:rFonts w:ascii="Arial" w:hAnsi="Arial" w:cs="Arial"/>
          <w:i/>
        </w:rPr>
      </w:pPr>
    </w:p>
    <w:p w14:paraId="538A31A7" w14:textId="70F52862" w:rsidR="004239AF" w:rsidRPr="00424424" w:rsidRDefault="00845F6A" w:rsidP="005E59B4">
      <w:pPr>
        <w:spacing w:line="360" w:lineRule="auto"/>
        <w:rPr>
          <w:rFonts w:ascii="Arial" w:hAnsi="Arial" w:cs="Arial"/>
          <w:i/>
        </w:rPr>
      </w:pPr>
      <w:r w:rsidRPr="00424424">
        <w:rPr>
          <w:rFonts w:ascii="Arial" w:hAnsi="Arial" w:cs="Arial"/>
          <w:i/>
        </w:rPr>
        <w:t xml:space="preserve">Analytical </w:t>
      </w:r>
      <w:r w:rsidR="00AF7ABE" w:rsidRPr="00424424">
        <w:rPr>
          <w:rFonts w:ascii="Arial" w:hAnsi="Arial" w:cs="Arial"/>
          <w:i/>
        </w:rPr>
        <w:t>c</w:t>
      </w:r>
      <w:r w:rsidRPr="00424424">
        <w:rPr>
          <w:rFonts w:ascii="Arial" w:hAnsi="Arial" w:cs="Arial"/>
          <w:i/>
        </w:rPr>
        <w:t>ohort</w:t>
      </w:r>
    </w:p>
    <w:p w14:paraId="5075AF87" w14:textId="733D19D4" w:rsidR="00845F6A" w:rsidRPr="00424424" w:rsidRDefault="00845F6A" w:rsidP="005E59B4">
      <w:pPr>
        <w:spacing w:line="360" w:lineRule="auto"/>
        <w:rPr>
          <w:rFonts w:ascii="Arial" w:hAnsi="Arial" w:cs="Arial"/>
        </w:rPr>
      </w:pPr>
      <w:r w:rsidRPr="00424424">
        <w:rPr>
          <w:rFonts w:ascii="Arial" w:hAnsi="Arial" w:cs="Arial"/>
        </w:rPr>
        <w:t xml:space="preserve">There is evidence that components of sarcopenia and overall prevalence of sarcopenia vary according to ethnicity </w:t>
      </w:r>
      <w:r w:rsidRPr="00424424">
        <w:rPr>
          <w:rFonts w:ascii="Arial" w:hAnsi="Arial" w:cs="Arial"/>
        </w:rPr>
        <w:fldChar w:fldCharType="begin"/>
      </w:r>
      <w:r w:rsidR="007D7E81" w:rsidRPr="00424424">
        <w:rPr>
          <w:rFonts w:ascii="Arial" w:hAnsi="Arial" w:cs="Arial"/>
        </w:rPr>
        <w:instrText xml:space="preserve"> ADDIN EN.CITE &lt;EndNote&gt;&lt;Cite&gt;&lt;Author&gt;Jeng&lt;/Author&gt;&lt;Year&gt;2018&lt;/Year&gt;&lt;RecNum&gt;1467&lt;/RecNum&gt;&lt;DisplayText&gt;[17, 18]&lt;/DisplayText&gt;&lt;record&gt;&lt;rec-number&gt;1467&lt;/rec-number&gt;&lt;foreign-keys&gt;&lt;key app="EN" db-id="pzdf5rvs9wzts6erav6v0rpowttawpd0ztaa" timestamp="1642414131"&gt;1467&lt;/key&gt;&lt;/foreign-keys&gt;&lt;ref-type name="Journal Article"&gt;17&lt;/ref-type&gt;&lt;contributors&gt;&lt;authors&gt;&lt;author&gt;Jeng, Cassie&lt;/author&gt;&lt;author&gt;Zhao, Lan</w:instrText>
      </w:r>
      <w:r w:rsidR="007D7E81" w:rsidRPr="00424424">
        <w:rPr>
          <w:rFonts w:ascii="Cambria Math" w:hAnsi="Cambria Math" w:cs="Cambria Math"/>
        </w:rPr>
        <w:instrText>‐</w:instrText>
      </w:r>
      <w:r w:rsidR="007D7E81" w:rsidRPr="00424424">
        <w:rPr>
          <w:rFonts w:ascii="Arial" w:hAnsi="Arial" w:cs="Arial"/>
        </w:rPr>
        <w:instrText>Juan&lt;/author&gt;&lt;author&gt;Wu, Kehao&lt;/author&gt;&lt;author&gt;Zhou, Yu&lt;/author&gt;&lt;author&gt;Chen, Ted&lt;/author&gt;&lt;author&gt;Deng, Hong</w:instrText>
      </w:r>
      <w:r w:rsidR="007D7E81" w:rsidRPr="00424424">
        <w:rPr>
          <w:rFonts w:ascii="Cambria Math" w:hAnsi="Cambria Math" w:cs="Cambria Math"/>
        </w:rPr>
        <w:instrText>‐</w:instrText>
      </w:r>
      <w:r w:rsidR="007D7E81" w:rsidRPr="00424424">
        <w:rPr>
          <w:rFonts w:ascii="Arial" w:hAnsi="Arial" w:cs="Arial"/>
        </w:rPr>
        <w:instrText>Wen&lt;/author&gt;&lt;/authors&gt;&lt;/contributors&gt;&lt;titles&gt;&lt;title&gt;Race and socioeconomic effect on sarcopenia and sarcopenic obesity in the Louisiana Osteoporosis Study (LOS)&lt;/title&gt;&lt;secondary-title&gt;JCSM Clin Rep.&lt;/secondary-title&gt;&lt;/titles&gt;&lt;periodical&gt;&lt;full-title&gt;JCSM Clin Rep.&lt;/full-title&gt;&lt;/periodical&gt;&lt;pages&gt;1-8&lt;/pages&gt;&lt;volume&gt;3&lt;/volume&gt;&lt;number&gt;2&lt;/number&gt;&lt;dates&gt;&lt;year&gt;2018&lt;/year&gt;&lt;/dates&gt;&lt;isbn&gt;2521-3555&lt;/isbn&gt;&lt;urls&gt;&lt;/urls&gt;&lt;/record&gt;&lt;/Cite&gt;&lt;Cite&gt;&lt;Author&gt;Westbury&lt;/Author&gt;&lt;Year&gt;2020&lt;/Year&gt;&lt;RecNum&gt;1416&lt;/RecNum&gt;&lt;record&gt;&lt;rec-number&gt;1416&lt;/rec-number&gt;&lt;foreign-keys&gt;&lt;key app="EN" db-id="pzdf5rvs9wzts6erav6v0rpowttawpd0ztaa" timestamp="1589010806"&gt;1416&lt;/key&gt;&lt;/foreign-keys&gt;&lt;ref-type name="Journal Article"&gt;17&lt;/ref-type&gt;&lt;contributors&gt;&lt;authors&gt;&lt;author&gt;Westbury, Leo D&lt;/author&gt;&lt;author&gt;Syddall, Holly E&lt;/author&gt;&lt;author&gt;Fuggle, Nicholas R&lt;/author&gt;&lt;author&gt;Dennison, Elaine M&lt;/author&gt;&lt;author&gt;Cauley, Jane A&lt;/author&gt;&lt;author&gt;Shiroma, Eric J&lt;/author&gt;&lt;author&gt;Fielding, Roger A&lt;/author&gt;&lt;author&gt;Newman, Anne B&lt;/author&gt;&lt;author&gt;Cooper, Cyrus&lt;/author&gt;&lt;/authors&gt;&lt;/contributors&gt;&lt;titles&gt;&lt;title&gt;Long-term rates of change in musculoskeletal aging and body composition: findings from the Health, Aging and Body Composition Study&lt;/title&gt;&lt;secondary-title&gt;Calcif Tissue Int&lt;/secondary-title&gt;&lt;/titles&gt;&lt;periodical&gt;&lt;full-title&gt;Calcif Tissue Int&lt;/full-title&gt;&lt;/periodical&gt;&lt;pages&gt;616-624&lt;/pages&gt;&lt;volume&gt;106&lt;/volume&gt;&lt;number&gt;6&lt;/number&gt;&lt;dates&gt;&lt;year&gt;2020&lt;/year&gt;&lt;/dates&gt;&lt;isbn&gt;1432-0827&lt;/isbn&gt;&lt;urls&gt;&lt;/urls&gt;&lt;/record&gt;&lt;/Cite&gt;&lt;/EndNote&gt;</w:instrText>
      </w:r>
      <w:r w:rsidRPr="00424424">
        <w:rPr>
          <w:rFonts w:ascii="Arial" w:hAnsi="Arial" w:cs="Arial"/>
        </w:rPr>
        <w:fldChar w:fldCharType="separate"/>
      </w:r>
      <w:r w:rsidR="007D7E81" w:rsidRPr="00424424">
        <w:rPr>
          <w:rFonts w:ascii="Arial" w:hAnsi="Arial" w:cs="Arial"/>
          <w:noProof/>
        </w:rPr>
        <w:t>[17, 18]</w:t>
      </w:r>
      <w:r w:rsidRPr="00424424">
        <w:rPr>
          <w:rFonts w:ascii="Arial" w:hAnsi="Arial" w:cs="Arial"/>
        </w:rPr>
        <w:fldChar w:fldCharType="end"/>
      </w:r>
      <w:r w:rsidRPr="00424424">
        <w:rPr>
          <w:rFonts w:ascii="Arial" w:hAnsi="Arial" w:cs="Arial"/>
        </w:rPr>
        <w:t>; to ensure comparability between cohorts, analyses were restricted to white participants in MrOS US and Health ABC (over 95% of participants were of white ethnicity in HCS, MrOS Sweden and</w:t>
      </w:r>
      <w:r w:rsidRPr="00424424">
        <w:t xml:space="preserve"> </w:t>
      </w:r>
      <w:r w:rsidRPr="00424424">
        <w:rPr>
          <w:rFonts w:ascii="Arial" w:hAnsi="Arial" w:cs="Arial"/>
        </w:rPr>
        <w:t xml:space="preserve">SarcoPhAge). As 88% of the remaining participants were men, the </w:t>
      </w:r>
      <w:r w:rsidR="00E57FB8">
        <w:rPr>
          <w:rFonts w:ascii="Arial" w:hAnsi="Arial" w:cs="Arial"/>
        </w:rPr>
        <w:t>sample for the main analysis</w:t>
      </w:r>
      <w:r w:rsidRPr="00424424">
        <w:rPr>
          <w:rFonts w:ascii="Arial" w:hAnsi="Arial" w:cs="Arial"/>
        </w:rPr>
        <w:t xml:space="preserve"> was then additionally restricted to men with complete data regarding all </w:t>
      </w:r>
      <w:r w:rsidR="00D65BDB">
        <w:rPr>
          <w:rFonts w:ascii="Arial" w:hAnsi="Arial" w:cs="Arial"/>
        </w:rPr>
        <w:t>variables used in analysis</w:t>
      </w:r>
      <w:r w:rsidRPr="00424424">
        <w:rPr>
          <w:rFonts w:ascii="Arial" w:hAnsi="Arial" w:cs="Arial"/>
        </w:rPr>
        <w:t xml:space="preserve"> (n=</w:t>
      </w:r>
      <w:r w:rsidR="00832067" w:rsidRPr="00424424">
        <w:rPr>
          <w:rFonts w:ascii="Arial" w:hAnsi="Arial" w:cs="Arial"/>
        </w:rPr>
        <w:t>9170</w:t>
      </w:r>
      <w:r w:rsidRPr="00424424">
        <w:rPr>
          <w:rFonts w:ascii="Arial" w:hAnsi="Arial" w:cs="Arial"/>
        </w:rPr>
        <w:t>)</w:t>
      </w:r>
      <w:r w:rsidR="00D65BDB">
        <w:rPr>
          <w:rFonts w:ascii="Arial" w:hAnsi="Arial" w:cs="Arial"/>
        </w:rPr>
        <w:t>. A flow diagram for the analysis sample regarding each cohort is presented in Supporting Information Figure S1.</w:t>
      </w:r>
      <w:r w:rsidR="00E57FB8">
        <w:rPr>
          <w:rFonts w:ascii="Arial" w:hAnsi="Arial" w:cs="Arial"/>
        </w:rPr>
        <w:t xml:space="preserve"> </w:t>
      </w:r>
      <w:r w:rsidR="00D65BDB">
        <w:rPr>
          <w:rFonts w:ascii="Arial" w:hAnsi="Arial" w:cs="Arial"/>
        </w:rPr>
        <w:t>S</w:t>
      </w:r>
      <w:r w:rsidR="00E57FB8">
        <w:rPr>
          <w:rFonts w:ascii="Arial" w:hAnsi="Arial" w:cs="Arial"/>
        </w:rPr>
        <w:t>ex-stratified sensitivity analyses were performed among all ethnicities as described below.</w:t>
      </w:r>
      <w:r w:rsidRPr="00424424">
        <w:rPr>
          <w:rFonts w:ascii="Arial" w:hAnsi="Arial" w:cs="Arial"/>
        </w:rPr>
        <w:t xml:space="preserve"> Analyses were conducted using Stata, release 17.0.</w:t>
      </w:r>
    </w:p>
    <w:p w14:paraId="534ADA9B" w14:textId="77777777" w:rsidR="00845F6A" w:rsidRPr="00424424" w:rsidRDefault="00845F6A" w:rsidP="005E59B4">
      <w:pPr>
        <w:spacing w:line="360" w:lineRule="auto"/>
        <w:rPr>
          <w:rFonts w:ascii="Arial" w:hAnsi="Arial" w:cs="Arial"/>
          <w:i/>
        </w:rPr>
      </w:pPr>
    </w:p>
    <w:p w14:paraId="36E2D429" w14:textId="63ACA7C6" w:rsidR="00FC3914" w:rsidRPr="00424424" w:rsidRDefault="004239AF" w:rsidP="005E59B4">
      <w:pPr>
        <w:spacing w:line="360" w:lineRule="auto"/>
        <w:rPr>
          <w:rFonts w:ascii="Arial" w:hAnsi="Arial" w:cs="Arial"/>
          <w:i/>
        </w:rPr>
      </w:pPr>
      <w:r w:rsidRPr="00424424">
        <w:rPr>
          <w:rFonts w:ascii="Arial" w:hAnsi="Arial" w:cs="Arial"/>
          <w:i/>
        </w:rPr>
        <w:t>Statistical methods</w:t>
      </w:r>
    </w:p>
    <w:p w14:paraId="329B1469" w14:textId="54A9181E" w:rsidR="005C56CA" w:rsidRPr="00424424" w:rsidRDefault="000208BB" w:rsidP="005E59B4">
      <w:pPr>
        <w:spacing w:line="360" w:lineRule="auto"/>
        <w:rPr>
          <w:rFonts w:ascii="Arial" w:hAnsi="Arial" w:cs="Arial"/>
        </w:rPr>
      </w:pPr>
      <w:r w:rsidRPr="00424424">
        <w:rPr>
          <w:rFonts w:ascii="Arial" w:hAnsi="Arial" w:cs="Arial"/>
        </w:rPr>
        <w:lastRenderedPageBreak/>
        <w:t>Participant characteristics</w:t>
      </w:r>
      <w:r w:rsidR="00AA76F6" w:rsidRPr="00424424">
        <w:rPr>
          <w:rFonts w:ascii="Arial" w:hAnsi="Arial" w:cs="Arial"/>
        </w:rPr>
        <w:t>, including the proportion with sarcopenia according to each definition,</w:t>
      </w:r>
      <w:r w:rsidRPr="00424424">
        <w:rPr>
          <w:rFonts w:ascii="Arial" w:hAnsi="Arial" w:cs="Arial"/>
        </w:rPr>
        <w:t xml:space="preserve"> were described using summary statistics</w:t>
      </w:r>
      <w:r w:rsidR="00E737E2" w:rsidRPr="00424424">
        <w:rPr>
          <w:rFonts w:ascii="Arial" w:hAnsi="Arial" w:cs="Arial"/>
        </w:rPr>
        <w:t xml:space="preserve"> among the entire sample and within each cohort</w:t>
      </w:r>
      <w:r w:rsidRPr="00424424">
        <w:rPr>
          <w:rFonts w:ascii="Arial" w:hAnsi="Arial" w:cs="Arial"/>
        </w:rPr>
        <w:t>.</w:t>
      </w:r>
      <w:r w:rsidR="00AA76F6" w:rsidRPr="00424424">
        <w:rPr>
          <w:rFonts w:ascii="Arial" w:hAnsi="Arial" w:cs="Arial"/>
        </w:rPr>
        <w:t xml:space="preserve"> Cohen’s kappa</w:t>
      </w:r>
      <w:r w:rsidRPr="00424424">
        <w:rPr>
          <w:rFonts w:ascii="Arial" w:hAnsi="Arial" w:cs="Arial"/>
        </w:rPr>
        <w:t xml:space="preserve"> </w:t>
      </w:r>
      <w:r w:rsidR="00AA76F6" w:rsidRPr="00424424">
        <w:rPr>
          <w:rFonts w:ascii="Arial" w:hAnsi="Arial" w:cs="Arial"/>
        </w:rPr>
        <w:t xml:space="preserve">statistic was used to assess agreement between the </w:t>
      </w:r>
      <w:r w:rsidR="00F140F1" w:rsidRPr="00424424">
        <w:rPr>
          <w:rFonts w:ascii="Arial" w:hAnsi="Arial" w:cs="Arial"/>
        </w:rPr>
        <w:t xml:space="preserve">original </w:t>
      </w:r>
      <w:r w:rsidR="004A4908" w:rsidRPr="00424424">
        <w:rPr>
          <w:rFonts w:ascii="Arial" w:hAnsi="Arial" w:cs="Arial"/>
        </w:rPr>
        <w:t>sarcopenia definitions (</w:t>
      </w:r>
      <w:r w:rsidR="00AA76F6" w:rsidRPr="00424424">
        <w:rPr>
          <w:rFonts w:ascii="Arial" w:hAnsi="Arial" w:cs="Arial"/>
        </w:rPr>
        <w:t>EWGSOP2</w:t>
      </w:r>
      <w:r w:rsidR="00BE6EB0" w:rsidRPr="00424424">
        <w:rPr>
          <w:rFonts w:ascii="Arial" w:hAnsi="Arial" w:cs="Arial"/>
        </w:rPr>
        <w:t xml:space="preserve"> </w:t>
      </w:r>
      <w:r w:rsidR="00F140F1" w:rsidRPr="00424424">
        <w:rPr>
          <w:rFonts w:ascii="Arial" w:hAnsi="Arial" w:cs="Arial"/>
        </w:rPr>
        <w:t xml:space="preserve">and </w:t>
      </w:r>
      <w:r w:rsidR="00AA76F6" w:rsidRPr="00424424">
        <w:rPr>
          <w:rFonts w:ascii="Arial" w:hAnsi="Arial" w:cs="Arial"/>
        </w:rPr>
        <w:t>SDOC</w:t>
      </w:r>
      <w:r w:rsidR="00F140F1" w:rsidRPr="00424424">
        <w:rPr>
          <w:rFonts w:ascii="Arial" w:hAnsi="Arial" w:cs="Arial"/>
        </w:rPr>
        <w:t>)</w:t>
      </w:r>
      <w:r w:rsidR="00AA76F6" w:rsidRPr="00424424">
        <w:rPr>
          <w:rFonts w:ascii="Arial" w:hAnsi="Arial" w:cs="Arial"/>
        </w:rPr>
        <w:t xml:space="preserve">. </w:t>
      </w:r>
      <w:r w:rsidR="007E4609" w:rsidRPr="00424424">
        <w:rPr>
          <w:rFonts w:ascii="Arial" w:hAnsi="Arial" w:cs="Arial"/>
        </w:rPr>
        <w:t>O</w:t>
      </w:r>
      <w:r w:rsidR="00AA76F6" w:rsidRPr="00424424">
        <w:rPr>
          <w:rFonts w:ascii="Arial" w:hAnsi="Arial" w:cs="Arial"/>
        </w:rPr>
        <w:t>riginal and modified thresholds for EWGSOP2 and SDOC components</w:t>
      </w:r>
      <w:r w:rsidR="005C56CA" w:rsidRPr="00424424">
        <w:rPr>
          <w:rFonts w:ascii="Arial" w:hAnsi="Arial" w:cs="Arial"/>
        </w:rPr>
        <w:t xml:space="preserve"> (low grip strength and gait speed)</w:t>
      </w:r>
      <w:r w:rsidR="00AA76F6" w:rsidRPr="00424424">
        <w:rPr>
          <w:rFonts w:ascii="Arial" w:hAnsi="Arial" w:cs="Arial"/>
        </w:rPr>
        <w:t xml:space="preserve"> in relation to their distributions were examined using histograms.</w:t>
      </w:r>
      <w:r w:rsidR="005C56CA" w:rsidRPr="00424424">
        <w:rPr>
          <w:rFonts w:ascii="Arial" w:hAnsi="Arial" w:cs="Arial"/>
        </w:rPr>
        <w:t xml:space="preserve"> </w:t>
      </w:r>
      <w:r w:rsidR="00AA76F6" w:rsidRPr="00424424">
        <w:rPr>
          <w:rFonts w:ascii="Arial" w:hAnsi="Arial" w:cs="Arial"/>
        </w:rPr>
        <w:t>The</w:t>
      </w:r>
      <w:r w:rsidR="00792204" w:rsidRPr="00424424">
        <w:rPr>
          <w:rFonts w:ascii="Arial" w:hAnsi="Arial" w:cs="Arial"/>
        </w:rPr>
        <w:t xml:space="preserve"> </w:t>
      </w:r>
      <w:r w:rsidR="00AA76F6" w:rsidRPr="00424424">
        <w:rPr>
          <w:rFonts w:ascii="Arial" w:hAnsi="Arial" w:cs="Arial"/>
        </w:rPr>
        <w:t xml:space="preserve">prevalence of </w:t>
      </w:r>
      <w:r w:rsidR="00C4526A" w:rsidRPr="00424424">
        <w:rPr>
          <w:rFonts w:ascii="Arial" w:hAnsi="Arial" w:cs="Arial"/>
        </w:rPr>
        <w:t>EWGSOP2 and SDOC components and definitions according to age bands was examined using original and modified thresholds</w:t>
      </w:r>
      <w:r w:rsidR="00C24164" w:rsidRPr="00424424">
        <w:rPr>
          <w:rFonts w:ascii="Arial" w:hAnsi="Arial" w:cs="Arial"/>
        </w:rPr>
        <w:t xml:space="preserve">. Finally, </w:t>
      </w:r>
      <w:r w:rsidR="005C56CA" w:rsidRPr="00424424">
        <w:rPr>
          <w:rFonts w:ascii="Arial" w:hAnsi="Arial" w:cs="Arial"/>
        </w:rPr>
        <w:t xml:space="preserve">components and definitions (based on original and modified thresholds) were examined in relation to mortality risk in each cohort </w:t>
      </w:r>
      <w:r w:rsidR="00C24164" w:rsidRPr="00424424">
        <w:rPr>
          <w:rFonts w:ascii="Arial" w:hAnsi="Arial" w:cs="Arial"/>
        </w:rPr>
        <w:t>using Cox regression</w:t>
      </w:r>
      <w:r w:rsidR="00832067" w:rsidRPr="00424424">
        <w:rPr>
          <w:rFonts w:ascii="Arial" w:hAnsi="Arial" w:cs="Arial"/>
        </w:rPr>
        <w:t xml:space="preserve"> with adjustment for age and weight</w:t>
      </w:r>
      <w:r w:rsidR="00C24164" w:rsidRPr="00424424">
        <w:rPr>
          <w:rFonts w:ascii="Arial" w:hAnsi="Arial" w:cs="Arial"/>
        </w:rPr>
        <w:t xml:space="preserve">; estimates </w:t>
      </w:r>
      <w:r w:rsidR="00A73E34" w:rsidRPr="00424424">
        <w:rPr>
          <w:rFonts w:ascii="Arial" w:hAnsi="Arial" w:cs="Arial"/>
        </w:rPr>
        <w:t xml:space="preserve">from each cohort </w:t>
      </w:r>
      <w:r w:rsidR="00C24164" w:rsidRPr="00424424">
        <w:rPr>
          <w:rFonts w:ascii="Arial" w:hAnsi="Arial" w:cs="Arial"/>
        </w:rPr>
        <w:t>were combined using random-effects meta-analysis to address the heterogeneity observed between cohorts</w:t>
      </w:r>
      <w:r w:rsidR="00A73E34" w:rsidRPr="00424424">
        <w:rPr>
          <w:rFonts w:ascii="Arial" w:hAnsi="Arial" w:cs="Arial"/>
        </w:rPr>
        <w:t>, as reflected by high I</w:t>
      </w:r>
      <w:r w:rsidR="00A73E34" w:rsidRPr="00424424">
        <w:rPr>
          <w:rFonts w:ascii="Arial" w:hAnsi="Arial" w:cs="Arial"/>
          <w:vertAlign w:val="superscript"/>
        </w:rPr>
        <w:t>2</w:t>
      </w:r>
      <w:r w:rsidR="00A73E34" w:rsidRPr="00424424">
        <w:rPr>
          <w:rFonts w:ascii="Arial" w:hAnsi="Arial" w:cs="Arial"/>
        </w:rPr>
        <w:t xml:space="preserve"> </w:t>
      </w:r>
      <w:r w:rsidR="004431C4" w:rsidRPr="00424424">
        <w:rPr>
          <w:rFonts w:ascii="Arial" w:hAnsi="Arial" w:cs="Arial"/>
        </w:rPr>
        <w:t xml:space="preserve">values </w:t>
      </w:r>
      <w:r w:rsidR="00A73E34" w:rsidRPr="00424424">
        <w:rPr>
          <w:rFonts w:ascii="Arial" w:hAnsi="Arial" w:cs="Arial"/>
        </w:rPr>
        <w:t xml:space="preserve">for </w:t>
      </w:r>
      <w:r w:rsidR="00832067" w:rsidRPr="00424424">
        <w:rPr>
          <w:rFonts w:ascii="Arial" w:hAnsi="Arial" w:cs="Arial"/>
        </w:rPr>
        <w:t>some</w:t>
      </w:r>
      <w:r w:rsidR="00A73E34" w:rsidRPr="00424424">
        <w:rPr>
          <w:rFonts w:ascii="Arial" w:hAnsi="Arial" w:cs="Arial"/>
        </w:rPr>
        <w:t xml:space="preserve"> exposures</w:t>
      </w:r>
      <w:r w:rsidR="00C24164" w:rsidRPr="00424424">
        <w:rPr>
          <w:rFonts w:ascii="Arial" w:hAnsi="Arial" w:cs="Arial"/>
        </w:rPr>
        <w:t>.</w:t>
      </w:r>
      <w:r w:rsidR="00EE0DC9" w:rsidRPr="00424424">
        <w:rPr>
          <w:rFonts w:ascii="Arial" w:hAnsi="Arial" w:cs="Arial"/>
        </w:rPr>
        <w:t xml:space="preserve"> These mortality associations were also compared </w:t>
      </w:r>
      <w:r w:rsidR="00BC1426" w:rsidRPr="00424424">
        <w:rPr>
          <w:rFonts w:ascii="Arial" w:hAnsi="Arial" w:cs="Arial"/>
        </w:rPr>
        <w:t xml:space="preserve">between the </w:t>
      </w:r>
      <w:r w:rsidR="00F140F1" w:rsidRPr="00424424">
        <w:rPr>
          <w:rFonts w:ascii="Arial" w:hAnsi="Arial" w:cs="Arial"/>
        </w:rPr>
        <w:t xml:space="preserve">following </w:t>
      </w:r>
      <w:r w:rsidR="00BC1426" w:rsidRPr="00424424">
        <w:rPr>
          <w:rFonts w:ascii="Arial" w:hAnsi="Arial" w:cs="Arial"/>
        </w:rPr>
        <w:t xml:space="preserve">EWGSOP2 </w:t>
      </w:r>
      <w:r w:rsidR="00F140F1" w:rsidRPr="00424424">
        <w:rPr>
          <w:rFonts w:ascii="Arial" w:hAnsi="Arial" w:cs="Arial"/>
        </w:rPr>
        <w:t>categories: P</w:t>
      </w:r>
      <w:r w:rsidR="00BC1426" w:rsidRPr="00424424">
        <w:rPr>
          <w:rFonts w:ascii="Arial" w:hAnsi="Arial" w:cs="Arial"/>
        </w:rPr>
        <w:t>robable</w:t>
      </w:r>
      <w:r w:rsidR="00F140F1" w:rsidRPr="00424424">
        <w:rPr>
          <w:rFonts w:ascii="Arial" w:hAnsi="Arial" w:cs="Arial"/>
        </w:rPr>
        <w:t xml:space="preserve"> (grip strength &lt;27 kg)</w:t>
      </w:r>
      <w:r w:rsidR="00BC1426" w:rsidRPr="00424424">
        <w:rPr>
          <w:rFonts w:ascii="Arial" w:hAnsi="Arial" w:cs="Arial"/>
        </w:rPr>
        <w:t xml:space="preserve">, </w:t>
      </w:r>
      <w:r w:rsidR="00F140F1" w:rsidRPr="00424424">
        <w:rPr>
          <w:rFonts w:ascii="Arial" w:hAnsi="Arial" w:cs="Arial"/>
        </w:rPr>
        <w:t>C</w:t>
      </w:r>
      <w:r w:rsidR="00BC1426" w:rsidRPr="00424424">
        <w:rPr>
          <w:rFonts w:ascii="Arial" w:hAnsi="Arial" w:cs="Arial"/>
        </w:rPr>
        <w:t>onfirmed</w:t>
      </w:r>
      <w:r w:rsidR="00F140F1" w:rsidRPr="00424424">
        <w:rPr>
          <w:rFonts w:ascii="Arial" w:hAnsi="Arial" w:cs="Arial"/>
        </w:rPr>
        <w:t xml:space="preserve"> (grip strength &lt;27 kg and ALM index &lt;7.0 kg/m</w:t>
      </w:r>
      <w:r w:rsidR="00F140F1" w:rsidRPr="00424424">
        <w:rPr>
          <w:rFonts w:ascii="Arial" w:hAnsi="Arial" w:cs="Arial"/>
          <w:vertAlign w:val="superscript"/>
        </w:rPr>
        <w:t>2</w:t>
      </w:r>
      <w:r w:rsidR="00F140F1" w:rsidRPr="00424424">
        <w:rPr>
          <w:rFonts w:ascii="Arial" w:hAnsi="Arial" w:cs="Arial"/>
        </w:rPr>
        <w:t>)</w:t>
      </w:r>
      <w:r w:rsidR="00BC1426" w:rsidRPr="00424424">
        <w:rPr>
          <w:rFonts w:ascii="Arial" w:hAnsi="Arial" w:cs="Arial"/>
        </w:rPr>
        <w:t xml:space="preserve"> and </w:t>
      </w:r>
      <w:r w:rsidR="00F140F1" w:rsidRPr="00424424">
        <w:rPr>
          <w:rFonts w:ascii="Arial" w:hAnsi="Arial" w:cs="Arial"/>
        </w:rPr>
        <w:t>S</w:t>
      </w:r>
      <w:r w:rsidR="00BC1426" w:rsidRPr="00424424">
        <w:rPr>
          <w:rFonts w:ascii="Arial" w:hAnsi="Arial" w:cs="Arial"/>
        </w:rPr>
        <w:t>evere</w:t>
      </w:r>
      <w:r w:rsidR="00F140F1" w:rsidRPr="00424424">
        <w:rPr>
          <w:rFonts w:ascii="Arial" w:hAnsi="Arial" w:cs="Arial"/>
        </w:rPr>
        <w:t xml:space="preserve"> (grip strength &lt;27 kg, ALM index &lt;7.0 kg/m</w:t>
      </w:r>
      <w:r w:rsidR="00F140F1" w:rsidRPr="00424424">
        <w:rPr>
          <w:rFonts w:ascii="Arial" w:hAnsi="Arial" w:cs="Arial"/>
          <w:vertAlign w:val="superscript"/>
        </w:rPr>
        <w:t>2</w:t>
      </w:r>
      <w:r w:rsidR="00F140F1" w:rsidRPr="00424424">
        <w:rPr>
          <w:rFonts w:ascii="Arial" w:hAnsi="Arial" w:cs="Arial"/>
        </w:rPr>
        <w:t xml:space="preserve"> and gait speed &lt;0.8 m/s).</w:t>
      </w:r>
    </w:p>
    <w:p w14:paraId="429C5F9B" w14:textId="77777777" w:rsidR="00F314D9" w:rsidRPr="00424424" w:rsidRDefault="00F314D9" w:rsidP="00F314D9">
      <w:pPr>
        <w:spacing w:line="360" w:lineRule="auto"/>
        <w:rPr>
          <w:rFonts w:ascii="Arial" w:hAnsi="Arial" w:cs="Arial"/>
          <w:i/>
          <w:iCs/>
        </w:rPr>
      </w:pPr>
    </w:p>
    <w:p w14:paraId="007343B4" w14:textId="195DA27D" w:rsidR="00F314D9" w:rsidRPr="00424424" w:rsidRDefault="00F314D9" w:rsidP="00F314D9">
      <w:pPr>
        <w:spacing w:line="360" w:lineRule="auto"/>
        <w:rPr>
          <w:rFonts w:ascii="Arial" w:hAnsi="Arial" w:cs="Arial"/>
          <w:i/>
          <w:iCs/>
        </w:rPr>
      </w:pPr>
      <w:r w:rsidRPr="00424424">
        <w:rPr>
          <w:rFonts w:ascii="Arial" w:hAnsi="Arial" w:cs="Arial"/>
          <w:i/>
          <w:iCs/>
        </w:rPr>
        <w:t xml:space="preserve">Sensitivity </w:t>
      </w:r>
      <w:r w:rsidR="000C42EB" w:rsidRPr="00424424">
        <w:rPr>
          <w:rFonts w:ascii="Arial" w:hAnsi="Arial" w:cs="Arial"/>
          <w:i/>
          <w:iCs/>
        </w:rPr>
        <w:t>analys</w:t>
      </w:r>
      <w:r w:rsidR="00C6238E" w:rsidRPr="00424424">
        <w:rPr>
          <w:rFonts w:ascii="Arial" w:hAnsi="Arial" w:cs="Arial"/>
          <w:i/>
          <w:iCs/>
        </w:rPr>
        <w:t>e</w:t>
      </w:r>
      <w:r w:rsidR="000C42EB" w:rsidRPr="00424424">
        <w:rPr>
          <w:rFonts w:ascii="Arial" w:hAnsi="Arial" w:cs="Arial"/>
          <w:i/>
          <w:iCs/>
        </w:rPr>
        <w:t>s</w:t>
      </w:r>
    </w:p>
    <w:p w14:paraId="5563ADF0" w14:textId="5BDABDBF" w:rsidR="0010239B" w:rsidRPr="00424424" w:rsidRDefault="0010239B" w:rsidP="005E59B4">
      <w:pPr>
        <w:spacing w:line="360" w:lineRule="auto"/>
        <w:rPr>
          <w:rFonts w:ascii="Arial" w:hAnsi="Arial" w:cs="Arial"/>
        </w:rPr>
      </w:pPr>
      <w:r w:rsidRPr="00424424">
        <w:rPr>
          <w:rFonts w:ascii="Arial" w:hAnsi="Arial" w:cs="Arial"/>
        </w:rPr>
        <w:t xml:space="preserve">The following analyses were repeated among men and women separately (all ethnicities included): construction of histograms to illustrate thresholds of sarcopenia components in relation to their distributions; </w:t>
      </w:r>
      <w:r w:rsidR="00682DA6">
        <w:rPr>
          <w:rFonts w:ascii="Arial" w:hAnsi="Arial" w:cs="Arial"/>
        </w:rPr>
        <w:t xml:space="preserve">and </w:t>
      </w:r>
      <w:r w:rsidRPr="00424424">
        <w:rPr>
          <w:rFonts w:ascii="Arial" w:hAnsi="Arial" w:cs="Arial"/>
        </w:rPr>
        <w:t>examination of components and definitions (based on original and modified thresholds) in relation to mortality risk after adjustment for age and weight.</w:t>
      </w:r>
      <w:r w:rsidR="001F2DED" w:rsidRPr="00424424">
        <w:rPr>
          <w:rFonts w:ascii="Arial" w:hAnsi="Arial" w:cs="Arial"/>
        </w:rPr>
        <w:t xml:space="preserve"> Some thresholds for components differed between men and women as illustrated in Table 1.</w:t>
      </w:r>
    </w:p>
    <w:p w14:paraId="47C6F5B3" w14:textId="30F004FC" w:rsidR="0054780B" w:rsidRPr="00424424" w:rsidRDefault="00F314D9" w:rsidP="00953858">
      <w:pPr>
        <w:spacing w:line="360" w:lineRule="auto"/>
        <w:rPr>
          <w:rFonts w:ascii="Arial" w:hAnsi="Arial" w:cs="Arial"/>
          <w:b/>
        </w:rPr>
      </w:pPr>
      <w:r w:rsidRPr="00424424">
        <w:rPr>
          <w:rFonts w:ascii="Arial" w:hAnsi="Arial" w:cs="Arial"/>
        </w:rPr>
        <w:t xml:space="preserve">For participants who did not have their gait speed assessed over 6m </w:t>
      </w:r>
      <w:r w:rsidRPr="00424424">
        <w:rPr>
          <w:rFonts w:ascii="Arial" w:hAnsi="Arial" w:cs="Arial"/>
          <w:bCs/>
        </w:rPr>
        <w:t xml:space="preserve">(8ft in HCS and 4m in SarcoPhAge), prevalences of sarcopenia were re-calculated when gait speeds in these two cohorts were converted to those expected over 6m using previously published equations  </w:t>
      </w:r>
      <w:r w:rsidRPr="00424424">
        <w:rPr>
          <w:rFonts w:ascii="Arial" w:hAnsi="Arial" w:cs="Arial"/>
          <w:bCs/>
        </w:rPr>
        <w:fldChar w:fldCharType="begin">
          <w:fldData xml:space="preserve">PEVuZE5vdGU+PENpdGU+PEF1dGhvcj5HdXJhbG5pazwvQXV0aG9yPjxZZWFyPjIwMDA8L1llYXI+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=
</w:fldData>
        </w:fldChar>
      </w:r>
      <w:r w:rsidR="007D7E81" w:rsidRPr="00424424">
        <w:rPr>
          <w:rFonts w:ascii="Arial" w:hAnsi="Arial" w:cs="Arial"/>
          <w:bCs/>
        </w:rPr>
        <w:instrText xml:space="preserve"> ADDIN EN.CITE </w:instrText>
      </w:r>
      <w:r w:rsidR="007D7E81" w:rsidRPr="00424424">
        <w:rPr>
          <w:rFonts w:ascii="Arial" w:hAnsi="Arial" w:cs="Arial"/>
          <w:bCs/>
        </w:rPr>
        <w:fldChar w:fldCharType="begin">
          <w:fldData xml:space="preserve">PEVuZE5vdGU+PENpdGU+PEF1dGhvcj5HdXJhbG5pazwvQXV0aG9yPjxZZWFyPjIwMDA8L1llYXI+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=
</w:fldData>
        </w:fldChar>
      </w:r>
      <w:r w:rsidR="007D7E81" w:rsidRPr="00424424">
        <w:rPr>
          <w:rFonts w:ascii="Arial" w:hAnsi="Arial" w:cs="Arial"/>
          <w:bCs/>
        </w:rPr>
        <w:instrText xml:space="preserve"> ADDIN EN.CITE.DATA </w:instrText>
      </w:r>
      <w:r w:rsidR="007D7E81" w:rsidRPr="00424424">
        <w:rPr>
          <w:rFonts w:ascii="Arial" w:hAnsi="Arial" w:cs="Arial"/>
          <w:bCs/>
        </w:rPr>
      </w:r>
      <w:r w:rsidR="007D7E81" w:rsidRPr="00424424">
        <w:rPr>
          <w:rFonts w:ascii="Arial" w:hAnsi="Arial" w:cs="Arial"/>
          <w:bCs/>
        </w:rPr>
        <w:fldChar w:fldCharType="end"/>
      </w:r>
      <w:r w:rsidRPr="00424424">
        <w:rPr>
          <w:rFonts w:ascii="Arial" w:hAnsi="Arial" w:cs="Arial"/>
          <w:bCs/>
        </w:rPr>
      </w:r>
      <w:r w:rsidRPr="00424424">
        <w:rPr>
          <w:rFonts w:ascii="Arial" w:hAnsi="Arial" w:cs="Arial"/>
          <w:bCs/>
        </w:rPr>
        <w:fldChar w:fldCharType="separate"/>
      </w:r>
      <w:r w:rsidR="007D7E81" w:rsidRPr="00424424">
        <w:rPr>
          <w:rFonts w:ascii="Arial" w:hAnsi="Arial" w:cs="Arial"/>
          <w:bCs/>
          <w:noProof/>
        </w:rPr>
        <w:t>[19, 20]</w:t>
      </w:r>
      <w:r w:rsidRPr="00424424">
        <w:rPr>
          <w:rFonts w:ascii="Arial" w:hAnsi="Arial" w:cs="Arial"/>
          <w:bCs/>
        </w:rPr>
        <w:fldChar w:fldCharType="end"/>
      </w:r>
      <w:r w:rsidRPr="00424424">
        <w:rPr>
          <w:rFonts w:ascii="Arial" w:hAnsi="Arial" w:cs="Arial"/>
          <w:bCs/>
        </w:rPr>
        <w:t>.</w:t>
      </w:r>
      <w:r w:rsidR="00512EBE" w:rsidRPr="00424424">
        <w:rPr>
          <w:rFonts w:ascii="Arial" w:hAnsi="Arial" w:cs="Arial"/>
          <w:bCs/>
        </w:rPr>
        <w:t xml:space="preserve"> The results presented below are based on the raw gait speed values.</w:t>
      </w:r>
    </w:p>
    <w:p w14:paraId="4D3691FD" w14:textId="77777777" w:rsidR="00F314D9" w:rsidRPr="00424424" w:rsidRDefault="00F314D9" w:rsidP="00953858">
      <w:pPr>
        <w:spacing w:line="360" w:lineRule="auto"/>
        <w:rPr>
          <w:rFonts w:ascii="Arial" w:hAnsi="Arial" w:cs="Arial"/>
          <w:b/>
        </w:rPr>
      </w:pPr>
    </w:p>
    <w:p w14:paraId="7A9279F7" w14:textId="4178865A" w:rsidR="008B1F95" w:rsidRPr="00424424" w:rsidRDefault="005B0E68" w:rsidP="00953858">
      <w:pPr>
        <w:spacing w:line="360" w:lineRule="auto"/>
        <w:rPr>
          <w:rFonts w:ascii="Arial" w:hAnsi="Arial" w:cs="Arial"/>
          <w:b/>
        </w:rPr>
      </w:pPr>
      <w:r w:rsidRPr="00424424">
        <w:rPr>
          <w:rFonts w:ascii="Arial" w:hAnsi="Arial" w:cs="Arial"/>
          <w:b/>
        </w:rPr>
        <w:t>Results</w:t>
      </w:r>
    </w:p>
    <w:p w14:paraId="48D15606" w14:textId="0F1C2D05" w:rsidR="00E737E2" w:rsidRPr="00424424" w:rsidRDefault="00E737E2" w:rsidP="00953858">
      <w:pPr>
        <w:spacing w:line="360" w:lineRule="auto"/>
        <w:rPr>
          <w:rFonts w:ascii="Arial" w:hAnsi="Arial" w:cs="Arial"/>
          <w:bCs/>
        </w:rPr>
      </w:pPr>
      <w:r w:rsidRPr="00424424">
        <w:rPr>
          <w:rFonts w:ascii="Arial" w:hAnsi="Arial" w:cs="Arial"/>
          <w:bCs/>
        </w:rPr>
        <w:t xml:space="preserve">Participant characteristics of the whole sample of white men and within each cohort are presented in Table </w:t>
      </w:r>
      <w:r w:rsidR="00AD7ED0" w:rsidRPr="00424424">
        <w:rPr>
          <w:rFonts w:ascii="Arial" w:hAnsi="Arial" w:cs="Arial"/>
          <w:bCs/>
        </w:rPr>
        <w:t>2</w:t>
      </w:r>
      <w:r w:rsidRPr="00424424">
        <w:rPr>
          <w:rFonts w:ascii="Arial" w:hAnsi="Arial" w:cs="Arial"/>
          <w:bCs/>
        </w:rPr>
        <w:t>. Mean (SD) age of the analysis sample (n=</w:t>
      </w:r>
      <w:r w:rsidR="00F140F1" w:rsidRPr="00424424">
        <w:rPr>
          <w:rFonts w:ascii="Arial" w:hAnsi="Arial" w:cs="Arial"/>
          <w:bCs/>
        </w:rPr>
        <w:t>9170</w:t>
      </w:r>
      <w:r w:rsidRPr="00424424">
        <w:rPr>
          <w:rFonts w:ascii="Arial" w:hAnsi="Arial" w:cs="Arial"/>
          <w:bCs/>
        </w:rPr>
        <w:t xml:space="preserve">) was </w:t>
      </w:r>
      <w:r w:rsidR="00F140F1" w:rsidRPr="00424424">
        <w:rPr>
          <w:rFonts w:ascii="Arial" w:hAnsi="Arial" w:cs="Arial"/>
          <w:bCs/>
        </w:rPr>
        <w:t>74.3 (4.9)</w:t>
      </w:r>
      <w:r w:rsidRPr="00424424">
        <w:rPr>
          <w:rFonts w:ascii="Arial" w:hAnsi="Arial" w:cs="Arial"/>
          <w:bCs/>
        </w:rPr>
        <w:t xml:space="preserve"> years. The proportion of participants with sarcopenia </w:t>
      </w:r>
      <w:r w:rsidR="00963922" w:rsidRPr="00424424">
        <w:rPr>
          <w:rFonts w:ascii="Arial" w:hAnsi="Arial" w:cs="Arial"/>
          <w:bCs/>
        </w:rPr>
        <w:t xml:space="preserve">in the overall cohort </w:t>
      </w:r>
      <w:r w:rsidRPr="00424424">
        <w:rPr>
          <w:rFonts w:ascii="Arial" w:hAnsi="Arial" w:cs="Arial"/>
          <w:bCs/>
        </w:rPr>
        <w:t xml:space="preserve">according to each </w:t>
      </w:r>
      <w:r w:rsidR="00052C93" w:rsidRPr="00424424">
        <w:rPr>
          <w:rFonts w:ascii="Arial" w:hAnsi="Arial" w:cs="Arial"/>
          <w:bCs/>
        </w:rPr>
        <w:t xml:space="preserve">definition </w:t>
      </w:r>
      <w:r w:rsidR="00427286" w:rsidRPr="00424424">
        <w:rPr>
          <w:rFonts w:ascii="Arial" w:hAnsi="Arial" w:cs="Arial"/>
          <w:bCs/>
        </w:rPr>
        <w:t xml:space="preserve">was </w:t>
      </w:r>
      <w:r w:rsidRPr="00424424">
        <w:rPr>
          <w:rFonts w:ascii="Arial" w:hAnsi="Arial" w:cs="Arial"/>
          <w:bCs/>
        </w:rPr>
        <w:t>as follows: EWGSOP2 (</w:t>
      </w:r>
      <w:r w:rsidR="008968EE" w:rsidRPr="00424424">
        <w:rPr>
          <w:rFonts w:ascii="Arial" w:hAnsi="Arial" w:cs="Arial"/>
          <w:bCs/>
        </w:rPr>
        <w:t>1.1</w:t>
      </w:r>
      <w:r w:rsidRPr="00424424">
        <w:rPr>
          <w:rFonts w:ascii="Arial" w:hAnsi="Arial" w:cs="Arial"/>
          <w:bCs/>
        </w:rPr>
        <w:t>%); SDOC (</w:t>
      </w:r>
      <w:r w:rsidR="004C75F0" w:rsidRPr="00424424">
        <w:rPr>
          <w:rFonts w:ascii="Arial" w:hAnsi="Arial" w:cs="Arial"/>
          <w:bCs/>
        </w:rPr>
        <w:t>1.7</w:t>
      </w:r>
      <w:r w:rsidRPr="00424424">
        <w:rPr>
          <w:rFonts w:ascii="Arial" w:hAnsi="Arial" w:cs="Arial"/>
          <w:bCs/>
        </w:rPr>
        <w:t>%)</w:t>
      </w:r>
      <w:r w:rsidR="002E52BC" w:rsidRPr="00424424">
        <w:rPr>
          <w:rFonts w:ascii="Arial" w:hAnsi="Arial" w:cs="Arial"/>
          <w:bCs/>
        </w:rPr>
        <w:t xml:space="preserve">; </w:t>
      </w:r>
      <w:r w:rsidR="00F140F1" w:rsidRPr="00424424">
        <w:rPr>
          <w:rFonts w:ascii="Arial" w:hAnsi="Arial" w:cs="Arial"/>
          <w:bCs/>
        </w:rPr>
        <w:t>Modified EWGSOP2 (</w:t>
      </w:r>
      <w:r w:rsidR="008968EE" w:rsidRPr="00424424">
        <w:rPr>
          <w:rFonts w:ascii="Arial" w:hAnsi="Arial" w:cs="Arial"/>
          <w:bCs/>
        </w:rPr>
        <w:t>5.5</w:t>
      </w:r>
      <w:r w:rsidR="00F140F1" w:rsidRPr="00424424">
        <w:rPr>
          <w:rFonts w:ascii="Arial" w:hAnsi="Arial" w:cs="Arial"/>
          <w:bCs/>
        </w:rPr>
        <w:t xml:space="preserve">%); </w:t>
      </w:r>
      <w:r w:rsidR="002E52BC" w:rsidRPr="00424424">
        <w:rPr>
          <w:rFonts w:ascii="Arial" w:hAnsi="Arial" w:cs="Arial"/>
          <w:bCs/>
        </w:rPr>
        <w:lastRenderedPageBreak/>
        <w:t>and Modified SDOC (5.3%)</w:t>
      </w:r>
      <w:r w:rsidRPr="00424424">
        <w:rPr>
          <w:rFonts w:ascii="Arial" w:hAnsi="Arial" w:cs="Arial"/>
          <w:bCs/>
        </w:rPr>
        <w:t xml:space="preserve">. </w:t>
      </w:r>
      <w:r w:rsidR="00BE6EB0" w:rsidRPr="00424424">
        <w:rPr>
          <w:rFonts w:ascii="Arial" w:hAnsi="Arial" w:cs="Arial"/>
          <w:bCs/>
        </w:rPr>
        <w:t xml:space="preserve">Within each cohort, agreement </w:t>
      </w:r>
      <w:r w:rsidR="00CB3D79" w:rsidRPr="00424424">
        <w:rPr>
          <w:rFonts w:ascii="Arial" w:hAnsi="Arial" w:cs="Arial"/>
          <w:bCs/>
        </w:rPr>
        <w:t xml:space="preserve">was weak (data not shown) </w:t>
      </w:r>
      <w:r w:rsidR="00BE6EB0" w:rsidRPr="00424424">
        <w:rPr>
          <w:rFonts w:ascii="Arial" w:hAnsi="Arial" w:cs="Arial"/>
          <w:bCs/>
        </w:rPr>
        <w:t xml:space="preserve">between EWGSOP2 and SDOC </w:t>
      </w:r>
      <w:r w:rsidR="00CB3D79" w:rsidRPr="00424424">
        <w:rPr>
          <w:rFonts w:ascii="Arial" w:hAnsi="Arial" w:cs="Arial"/>
          <w:bCs/>
        </w:rPr>
        <w:t>(</w:t>
      </w:r>
      <w:r w:rsidR="00CB3D79" w:rsidRPr="00424424">
        <w:rPr>
          <w:rFonts w:ascii="Arial" w:eastAsia="Calibri" w:hAnsi="Arial" w:cs="Arial"/>
          <w:bCs/>
        </w:rPr>
        <w:t>κ=</w:t>
      </w:r>
      <w:r w:rsidR="00CB3D79" w:rsidRPr="00424424">
        <w:rPr>
          <w:rFonts w:ascii="Arial" w:hAnsi="Arial" w:cs="Arial"/>
          <w:bCs/>
        </w:rPr>
        <w:t xml:space="preserve">0.0-0.4 depending on cohort and </w:t>
      </w:r>
      <w:r w:rsidR="00CB3D79" w:rsidRPr="00424424">
        <w:rPr>
          <w:rFonts w:ascii="Arial" w:eastAsia="Calibri" w:hAnsi="Arial" w:cs="Arial"/>
          <w:bCs/>
        </w:rPr>
        <w:t>κ</w:t>
      </w:r>
      <w:r w:rsidR="00CB3D79" w:rsidRPr="00424424">
        <w:rPr>
          <w:rFonts w:ascii="Arial" w:hAnsi="Arial" w:cs="Arial"/>
          <w:bCs/>
        </w:rPr>
        <w:t>=0.17 when cohorts were pooled)</w:t>
      </w:r>
      <w:r w:rsidR="00BE6EB0" w:rsidRPr="00424424">
        <w:rPr>
          <w:rFonts w:ascii="Arial" w:hAnsi="Arial" w:cs="Arial"/>
          <w:bCs/>
        </w:rPr>
        <w:t xml:space="preserve">. </w:t>
      </w:r>
      <w:r w:rsidRPr="00424424">
        <w:rPr>
          <w:rFonts w:ascii="Arial" w:hAnsi="Arial" w:cs="Arial"/>
          <w:bCs/>
        </w:rPr>
        <w:t xml:space="preserve">Overall, </w:t>
      </w:r>
      <w:r w:rsidR="004C75F0" w:rsidRPr="00424424">
        <w:rPr>
          <w:rFonts w:ascii="Arial" w:hAnsi="Arial" w:cs="Arial"/>
          <w:bCs/>
        </w:rPr>
        <w:t>64.7</w:t>
      </w:r>
      <w:r w:rsidRPr="00424424">
        <w:rPr>
          <w:rFonts w:ascii="Arial" w:hAnsi="Arial" w:cs="Arial"/>
          <w:bCs/>
        </w:rPr>
        <w:t>% of participants died during follow-up (</w:t>
      </w:r>
      <w:r w:rsidR="00514260" w:rsidRPr="00424424">
        <w:rPr>
          <w:rFonts w:ascii="Arial" w:hAnsi="Arial" w:cs="Arial"/>
          <w:bCs/>
        </w:rPr>
        <w:t>m</w:t>
      </w:r>
      <w:r w:rsidRPr="00424424">
        <w:rPr>
          <w:rFonts w:ascii="Arial" w:hAnsi="Arial" w:cs="Arial"/>
          <w:bCs/>
        </w:rPr>
        <w:t>ean (SD) follow-up time to death or until participants were censored</w:t>
      </w:r>
      <w:r w:rsidR="00560B89" w:rsidRPr="00424424">
        <w:rPr>
          <w:rFonts w:ascii="Arial" w:hAnsi="Arial" w:cs="Arial"/>
          <w:bCs/>
        </w:rPr>
        <w:t xml:space="preserve"> was</w:t>
      </w:r>
      <w:r w:rsidRPr="00424424">
        <w:rPr>
          <w:rFonts w:ascii="Arial" w:hAnsi="Arial" w:cs="Arial"/>
          <w:bCs/>
        </w:rPr>
        <w:t xml:space="preserve"> </w:t>
      </w:r>
      <w:r w:rsidR="00560B89" w:rsidRPr="00424424">
        <w:rPr>
          <w:rFonts w:ascii="Arial" w:hAnsi="Arial" w:cs="Arial"/>
          <w:bCs/>
        </w:rPr>
        <w:t>12.1 (5.5)</w:t>
      </w:r>
      <w:r w:rsidRPr="00424424">
        <w:rPr>
          <w:rFonts w:ascii="Arial" w:hAnsi="Arial" w:cs="Arial"/>
          <w:bCs/>
        </w:rPr>
        <w:t xml:space="preserve"> years)</w:t>
      </w:r>
      <w:r w:rsidR="005B7D6D" w:rsidRPr="00424424">
        <w:rPr>
          <w:rFonts w:ascii="Arial" w:hAnsi="Arial" w:cs="Arial"/>
          <w:bCs/>
        </w:rPr>
        <w:t>.</w:t>
      </w:r>
      <w:r w:rsidR="00C6238E" w:rsidRPr="00424424">
        <w:rPr>
          <w:rFonts w:ascii="Arial" w:hAnsi="Arial" w:cs="Arial"/>
          <w:bCs/>
        </w:rPr>
        <w:t xml:space="preserve"> Participant characteristics of each cohort, stratified by sex, are presented in </w:t>
      </w:r>
      <w:r w:rsidR="000275C8" w:rsidRPr="000275C8">
        <w:rPr>
          <w:rFonts w:ascii="Arial" w:hAnsi="Arial" w:cs="Arial"/>
          <w:bCs/>
        </w:rPr>
        <w:t xml:space="preserve">Supporting Information </w:t>
      </w:r>
      <w:r w:rsidR="00C6238E" w:rsidRPr="00424424">
        <w:rPr>
          <w:rFonts w:ascii="Arial" w:hAnsi="Arial" w:cs="Arial"/>
          <w:bCs/>
        </w:rPr>
        <w:t>Table S2.</w:t>
      </w:r>
    </w:p>
    <w:p w14:paraId="42A052A8" w14:textId="6A8E0CCA" w:rsidR="00B41503" w:rsidRPr="00424424" w:rsidRDefault="00B41503" w:rsidP="00953858">
      <w:pPr>
        <w:spacing w:line="360" w:lineRule="auto"/>
        <w:rPr>
          <w:rFonts w:ascii="Arial" w:hAnsi="Arial" w:cs="Arial"/>
          <w:bCs/>
        </w:rPr>
      </w:pPr>
      <w:r w:rsidRPr="00424424">
        <w:rPr>
          <w:rFonts w:ascii="Arial" w:hAnsi="Arial" w:cs="Arial"/>
          <w:bCs/>
        </w:rPr>
        <w:t>Histograms for grip strength, gait speed and ALM index are presented in Figure 1, with shading to indicate the proportion of values which were below various thresholds. A much higher proportion had low grip strength according to the SDOC threshold of &lt;35.5 kg (20.</w:t>
      </w:r>
      <w:r w:rsidR="004C75F0" w:rsidRPr="00424424">
        <w:rPr>
          <w:rFonts w:ascii="Arial" w:hAnsi="Arial" w:cs="Arial"/>
          <w:bCs/>
        </w:rPr>
        <w:t>7</w:t>
      </w:r>
      <w:r w:rsidRPr="00424424">
        <w:rPr>
          <w:rFonts w:ascii="Arial" w:hAnsi="Arial" w:cs="Arial"/>
          <w:bCs/>
        </w:rPr>
        <w:t>%) compared to the EWGSOP2 threshold of &lt;27 kg (3.</w:t>
      </w:r>
      <w:r w:rsidR="004C75F0" w:rsidRPr="00424424">
        <w:rPr>
          <w:rFonts w:ascii="Arial" w:hAnsi="Arial" w:cs="Arial"/>
          <w:bCs/>
        </w:rPr>
        <w:t>5</w:t>
      </w:r>
      <w:r w:rsidRPr="00424424">
        <w:rPr>
          <w:rFonts w:ascii="Arial" w:hAnsi="Arial" w:cs="Arial"/>
          <w:bCs/>
        </w:rPr>
        <w:t xml:space="preserve">%). When the SDOC gait speed threshold was increased from &lt;0.8 m/s to &lt;1.0 m/s, the proportion with low gait speed increased </w:t>
      </w:r>
      <w:r w:rsidR="00654916" w:rsidRPr="00424424">
        <w:rPr>
          <w:rFonts w:ascii="Arial" w:hAnsi="Arial" w:cs="Arial"/>
          <w:bCs/>
        </w:rPr>
        <w:t xml:space="preserve">considerably </w:t>
      </w:r>
      <w:r w:rsidRPr="00424424">
        <w:rPr>
          <w:rFonts w:ascii="Arial" w:hAnsi="Arial" w:cs="Arial"/>
          <w:bCs/>
        </w:rPr>
        <w:t>from 3.</w:t>
      </w:r>
      <w:r w:rsidR="004C75F0" w:rsidRPr="00424424">
        <w:rPr>
          <w:rFonts w:ascii="Arial" w:hAnsi="Arial" w:cs="Arial"/>
          <w:bCs/>
        </w:rPr>
        <w:t>3</w:t>
      </w:r>
      <w:r w:rsidRPr="00424424">
        <w:rPr>
          <w:rFonts w:ascii="Arial" w:hAnsi="Arial" w:cs="Arial"/>
          <w:bCs/>
        </w:rPr>
        <w:t>% to 12.</w:t>
      </w:r>
      <w:r w:rsidR="004C75F0" w:rsidRPr="00424424">
        <w:rPr>
          <w:rFonts w:ascii="Arial" w:hAnsi="Arial" w:cs="Arial"/>
          <w:bCs/>
        </w:rPr>
        <w:t>9</w:t>
      </w:r>
      <w:r w:rsidRPr="00424424">
        <w:rPr>
          <w:rFonts w:ascii="Arial" w:hAnsi="Arial" w:cs="Arial"/>
          <w:bCs/>
        </w:rPr>
        <w:t>%.</w:t>
      </w:r>
    </w:p>
    <w:p w14:paraId="71392266" w14:textId="40E04221" w:rsidR="00631D8B" w:rsidRPr="00424424" w:rsidRDefault="00631D8B" w:rsidP="00953858">
      <w:pPr>
        <w:spacing w:line="360" w:lineRule="auto"/>
        <w:rPr>
          <w:rFonts w:ascii="Arial" w:hAnsi="Arial" w:cs="Arial"/>
          <w:bCs/>
        </w:rPr>
      </w:pPr>
      <w:r w:rsidRPr="00424424">
        <w:rPr>
          <w:rFonts w:ascii="Arial" w:hAnsi="Arial" w:cs="Arial"/>
          <w:bCs/>
        </w:rPr>
        <w:t>The prevalence of sarcopenia components</w:t>
      </w:r>
      <w:r w:rsidR="005C56CA" w:rsidRPr="00424424">
        <w:rPr>
          <w:rFonts w:ascii="Arial" w:hAnsi="Arial" w:cs="Arial"/>
          <w:bCs/>
        </w:rPr>
        <w:t xml:space="preserve"> </w:t>
      </w:r>
      <w:r w:rsidRPr="00424424">
        <w:rPr>
          <w:rFonts w:ascii="Arial" w:hAnsi="Arial" w:cs="Arial"/>
          <w:bCs/>
        </w:rPr>
        <w:t xml:space="preserve">and definitions according to age bands is presented in Figure 2. For components and definitions using the SDOC grip strength threshold (&lt;35.5 kg) and the </w:t>
      </w:r>
      <w:r w:rsidR="009B50BB" w:rsidRPr="00424424">
        <w:rPr>
          <w:rFonts w:ascii="Arial" w:hAnsi="Arial" w:cs="Arial"/>
          <w:bCs/>
        </w:rPr>
        <w:t>M</w:t>
      </w:r>
      <w:r w:rsidRPr="00424424">
        <w:rPr>
          <w:rFonts w:ascii="Arial" w:hAnsi="Arial" w:cs="Arial"/>
          <w:bCs/>
        </w:rPr>
        <w:t xml:space="preserve">odified SDOC gait speed threshold (&lt;1.0 m/s), generally a </w:t>
      </w:r>
      <w:r w:rsidR="002E52BC" w:rsidRPr="00424424">
        <w:rPr>
          <w:rFonts w:ascii="Arial" w:hAnsi="Arial" w:cs="Arial"/>
          <w:bCs/>
        </w:rPr>
        <w:t>steeper gradient</w:t>
      </w:r>
      <w:r w:rsidRPr="00424424">
        <w:rPr>
          <w:rFonts w:ascii="Arial" w:hAnsi="Arial" w:cs="Arial"/>
          <w:bCs/>
        </w:rPr>
        <w:t xml:space="preserve"> of increased prevalence with </w:t>
      </w:r>
      <w:r w:rsidR="002E52BC" w:rsidRPr="00424424">
        <w:rPr>
          <w:rFonts w:ascii="Arial" w:hAnsi="Arial" w:cs="Arial"/>
          <w:bCs/>
        </w:rPr>
        <w:t xml:space="preserve">advancing </w:t>
      </w:r>
      <w:r w:rsidRPr="00424424">
        <w:rPr>
          <w:rFonts w:ascii="Arial" w:hAnsi="Arial" w:cs="Arial"/>
          <w:bCs/>
        </w:rPr>
        <w:t xml:space="preserve">age was observed compared to </w:t>
      </w:r>
      <w:r w:rsidR="002E52BC" w:rsidRPr="00424424">
        <w:rPr>
          <w:rFonts w:ascii="Arial" w:hAnsi="Arial" w:cs="Arial"/>
          <w:bCs/>
        </w:rPr>
        <w:t xml:space="preserve">other definitions </w:t>
      </w:r>
      <w:r w:rsidRPr="00424424">
        <w:rPr>
          <w:rFonts w:ascii="Arial" w:hAnsi="Arial" w:cs="Arial"/>
          <w:bCs/>
        </w:rPr>
        <w:t>using the EWGSOP2 grip strength threshold (&lt;27 kg) and the original SDOC gait speed threshold (&lt;0.8 m/s).</w:t>
      </w:r>
    </w:p>
    <w:p w14:paraId="35C0DF2D" w14:textId="0B67BD9D" w:rsidR="00FA0FD9" w:rsidRPr="00424424" w:rsidRDefault="00C24164" w:rsidP="00D37A8E">
      <w:pPr>
        <w:spacing w:line="360" w:lineRule="auto"/>
        <w:rPr>
          <w:rFonts w:ascii="Arial" w:hAnsi="Arial" w:cs="Arial"/>
          <w:bCs/>
        </w:rPr>
      </w:pPr>
      <w:r w:rsidRPr="00424424">
        <w:rPr>
          <w:rFonts w:ascii="Arial" w:hAnsi="Arial" w:cs="Arial"/>
          <w:bCs/>
        </w:rPr>
        <w:t xml:space="preserve">Hazard ratios for the presence versus absence of EWGSOP2 and SDOC components and definitions </w:t>
      </w:r>
      <w:r w:rsidR="00654916" w:rsidRPr="00424424">
        <w:rPr>
          <w:rFonts w:ascii="Arial" w:hAnsi="Arial" w:cs="Arial"/>
          <w:bCs/>
        </w:rPr>
        <w:t xml:space="preserve">(original and modified) </w:t>
      </w:r>
      <w:r w:rsidRPr="00424424">
        <w:rPr>
          <w:rFonts w:ascii="Arial" w:hAnsi="Arial" w:cs="Arial"/>
          <w:bCs/>
        </w:rPr>
        <w:t xml:space="preserve">in relation to mortality </w:t>
      </w:r>
      <w:r w:rsidR="00D37A8E" w:rsidRPr="00424424">
        <w:rPr>
          <w:rFonts w:ascii="Arial" w:hAnsi="Arial" w:cs="Arial"/>
          <w:bCs/>
        </w:rPr>
        <w:t>risk</w:t>
      </w:r>
      <w:r w:rsidR="001511F3" w:rsidRPr="00424424">
        <w:rPr>
          <w:rFonts w:ascii="Arial" w:hAnsi="Arial" w:cs="Arial"/>
          <w:bCs/>
        </w:rPr>
        <w:t>,</w:t>
      </w:r>
      <w:r w:rsidR="00D37A8E" w:rsidRPr="00424424">
        <w:rPr>
          <w:rFonts w:ascii="Arial" w:hAnsi="Arial" w:cs="Arial"/>
          <w:bCs/>
        </w:rPr>
        <w:t xml:space="preserve"> </w:t>
      </w:r>
      <w:r w:rsidR="001511F3" w:rsidRPr="00424424">
        <w:rPr>
          <w:rFonts w:ascii="Arial" w:hAnsi="Arial" w:cs="Arial"/>
          <w:bCs/>
        </w:rPr>
        <w:t xml:space="preserve">after adjustment for age and weight, </w:t>
      </w:r>
      <w:r w:rsidRPr="00424424">
        <w:rPr>
          <w:rFonts w:ascii="Arial" w:hAnsi="Arial" w:cs="Arial"/>
          <w:bCs/>
        </w:rPr>
        <w:t xml:space="preserve">are presented in Figure </w:t>
      </w:r>
      <w:r w:rsidR="00654916" w:rsidRPr="00424424">
        <w:rPr>
          <w:rFonts w:ascii="Arial" w:hAnsi="Arial" w:cs="Arial"/>
          <w:bCs/>
        </w:rPr>
        <w:t>3</w:t>
      </w:r>
      <w:r w:rsidRPr="00424424">
        <w:rPr>
          <w:rFonts w:ascii="Arial" w:hAnsi="Arial" w:cs="Arial"/>
          <w:bCs/>
        </w:rPr>
        <w:t xml:space="preserve">. </w:t>
      </w:r>
      <w:r w:rsidR="00AF3E70" w:rsidRPr="00424424">
        <w:rPr>
          <w:rFonts w:ascii="Arial" w:hAnsi="Arial" w:cs="Arial"/>
          <w:bCs/>
        </w:rPr>
        <w:t>Higher</w:t>
      </w:r>
      <w:r w:rsidRPr="00424424">
        <w:rPr>
          <w:rFonts w:ascii="Arial" w:hAnsi="Arial" w:cs="Arial"/>
          <w:bCs/>
        </w:rPr>
        <w:t xml:space="preserve"> hazard ratios were observed for </w:t>
      </w:r>
      <w:r w:rsidR="001229D3" w:rsidRPr="00424424">
        <w:rPr>
          <w:rFonts w:ascii="Arial" w:hAnsi="Arial" w:cs="Arial"/>
          <w:bCs/>
        </w:rPr>
        <w:t>low grip strength and gait speed according to the original thresholds as these lower thresholds reflect</w:t>
      </w:r>
      <w:r w:rsidRPr="00424424">
        <w:rPr>
          <w:rFonts w:ascii="Arial" w:hAnsi="Arial" w:cs="Arial"/>
          <w:bCs/>
        </w:rPr>
        <w:t xml:space="preserve"> poorer muscle strength and function. However, </w:t>
      </w:r>
      <w:r w:rsidR="00D37A8E" w:rsidRPr="00424424">
        <w:rPr>
          <w:rFonts w:ascii="Arial" w:hAnsi="Arial" w:cs="Arial"/>
          <w:bCs/>
        </w:rPr>
        <w:t xml:space="preserve">low grip strength and gait speed and the overall sarcopenia definitions were </w:t>
      </w:r>
      <w:r w:rsidR="00BB11D7" w:rsidRPr="00424424">
        <w:rPr>
          <w:rFonts w:ascii="Arial" w:hAnsi="Arial" w:cs="Arial"/>
          <w:bCs/>
        </w:rPr>
        <w:t>significantly associated with mortality risk</w:t>
      </w:r>
      <w:r w:rsidR="00D37A8E" w:rsidRPr="00424424">
        <w:rPr>
          <w:rFonts w:ascii="Arial" w:hAnsi="Arial" w:cs="Arial"/>
          <w:bCs/>
        </w:rPr>
        <w:t xml:space="preserve"> regardless of whether the original or modified</w:t>
      </w:r>
      <w:r w:rsidR="00F774C8" w:rsidRPr="00424424">
        <w:rPr>
          <w:rFonts w:ascii="Arial" w:hAnsi="Arial" w:cs="Arial"/>
          <w:bCs/>
        </w:rPr>
        <w:t xml:space="preserve"> (less stringent)</w:t>
      </w:r>
      <w:r w:rsidR="00D37A8E" w:rsidRPr="00424424">
        <w:rPr>
          <w:rFonts w:ascii="Arial" w:hAnsi="Arial" w:cs="Arial"/>
          <w:bCs/>
        </w:rPr>
        <w:t xml:space="preserve"> thresholds were used</w:t>
      </w:r>
      <w:r w:rsidR="00BB11D7" w:rsidRPr="00424424">
        <w:rPr>
          <w:rFonts w:ascii="Arial" w:hAnsi="Arial" w:cs="Arial"/>
          <w:bCs/>
        </w:rPr>
        <w:t>.</w:t>
      </w:r>
      <w:r w:rsidR="001229D3" w:rsidRPr="00424424">
        <w:rPr>
          <w:rFonts w:ascii="Arial" w:hAnsi="Arial" w:cs="Arial"/>
          <w:bCs/>
        </w:rPr>
        <w:t xml:space="preserve"> For example, </w:t>
      </w:r>
      <w:r w:rsidR="00F774C8" w:rsidRPr="00424424">
        <w:rPr>
          <w:rFonts w:ascii="Arial" w:hAnsi="Arial" w:cs="Arial"/>
          <w:bCs/>
        </w:rPr>
        <w:t xml:space="preserve">men meeting </w:t>
      </w:r>
      <w:r w:rsidR="001229D3" w:rsidRPr="00424424">
        <w:rPr>
          <w:rFonts w:ascii="Arial" w:hAnsi="Arial" w:cs="Arial"/>
          <w:bCs/>
        </w:rPr>
        <w:t xml:space="preserve">the </w:t>
      </w:r>
      <w:r w:rsidR="009B50BB" w:rsidRPr="00424424">
        <w:rPr>
          <w:rFonts w:ascii="Arial" w:hAnsi="Arial" w:cs="Arial"/>
          <w:bCs/>
        </w:rPr>
        <w:t>M</w:t>
      </w:r>
      <w:r w:rsidR="00D20346" w:rsidRPr="00424424">
        <w:rPr>
          <w:rFonts w:ascii="Arial" w:hAnsi="Arial" w:cs="Arial"/>
          <w:bCs/>
        </w:rPr>
        <w:t xml:space="preserve">odified </w:t>
      </w:r>
      <w:r w:rsidR="001229D3" w:rsidRPr="00424424">
        <w:rPr>
          <w:rFonts w:ascii="Arial" w:hAnsi="Arial" w:cs="Arial"/>
          <w:bCs/>
        </w:rPr>
        <w:t>SDOC</w:t>
      </w:r>
      <w:r w:rsidR="00F774C8" w:rsidRPr="00424424">
        <w:rPr>
          <w:rFonts w:ascii="Arial" w:hAnsi="Arial" w:cs="Arial"/>
          <w:bCs/>
        </w:rPr>
        <w:t xml:space="preserve"> criteria for sarcopenia</w:t>
      </w:r>
      <w:r w:rsidR="001229D3" w:rsidRPr="00424424">
        <w:rPr>
          <w:rFonts w:ascii="Arial" w:hAnsi="Arial" w:cs="Arial"/>
          <w:bCs/>
        </w:rPr>
        <w:t xml:space="preserve"> (grip strength &lt;35.5 kg and gait speed &lt;</w:t>
      </w:r>
      <w:r w:rsidR="009E3F4E" w:rsidRPr="00424424">
        <w:rPr>
          <w:rFonts w:ascii="Arial" w:hAnsi="Arial" w:cs="Arial"/>
          <w:bCs/>
        </w:rPr>
        <w:t>1.0</w:t>
      </w:r>
      <w:r w:rsidR="001229D3" w:rsidRPr="00424424">
        <w:rPr>
          <w:rFonts w:ascii="Arial" w:hAnsi="Arial" w:cs="Arial"/>
          <w:bCs/>
        </w:rPr>
        <w:t xml:space="preserve"> m/s) </w:t>
      </w:r>
      <w:r w:rsidR="00F774C8" w:rsidRPr="00424424">
        <w:rPr>
          <w:rFonts w:ascii="Arial" w:hAnsi="Arial" w:cs="Arial"/>
          <w:bCs/>
        </w:rPr>
        <w:t xml:space="preserve">had a </w:t>
      </w:r>
      <w:r w:rsidR="001511F3" w:rsidRPr="00424424">
        <w:rPr>
          <w:rFonts w:ascii="Arial" w:hAnsi="Arial" w:cs="Arial"/>
          <w:bCs/>
        </w:rPr>
        <w:t>1.9</w:t>
      </w:r>
      <w:r w:rsidR="00F774C8" w:rsidRPr="00424424">
        <w:rPr>
          <w:rFonts w:ascii="Arial" w:hAnsi="Arial" w:cs="Arial"/>
          <w:bCs/>
        </w:rPr>
        <w:t xml:space="preserve"> fold increase (hazard ratio [95% CI]: </w:t>
      </w:r>
      <w:r w:rsidR="001511F3" w:rsidRPr="00424424">
        <w:rPr>
          <w:rFonts w:ascii="Arial" w:hAnsi="Arial" w:cs="Arial"/>
          <w:bCs/>
        </w:rPr>
        <w:t>1.93 [1.54, 2.41]</w:t>
      </w:r>
      <w:r w:rsidR="004431C4" w:rsidRPr="00424424">
        <w:rPr>
          <w:rFonts w:ascii="Arial" w:eastAsia="Calibri" w:hAnsi="Arial" w:cs="Arial"/>
          <w:bCs/>
        </w:rPr>
        <w:t>, I</w:t>
      </w:r>
      <w:r w:rsidR="004431C4" w:rsidRPr="00424424">
        <w:rPr>
          <w:rFonts w:ascii="Arial" w:eastAsia="Calibri" w:hAnsi="Arial" w:cs="Arial"/>
          <w:bCs/>
          <w:vertAlign w:val="superscript"/>
        </w:rPr>
        <w:t>2</w:t>
      </w:r>
      <w:r w:rsidR="004431C4" w:rsidRPr="00424424">
        <w:rPr>
          <w:rFonts w:ascii="Arial" w:eastAsia="Calibri" w:hAnsi="Arial" w:cs="Arial"/>
          <w:bCs/>
        </w:rPr>
        <w:t xml:space="preserve">: </w:t>
      </w:r>
      <w:r w:rsidR="001511F3" w:rsidRPr="00424424">
        <w:rPr>
          <w:rFonts w:ascii="Arial" w:eastAsia="Calibri" w:hAnsi="Arial" w:cs="Arial"/>
          <w:bCs/>
        </w:rPr>
        <w:t>58.3%</w:t>
      </w:r>
      <w:r w:rsidR="00F774C8" w:rsidRPr="00424424">
        <w:rPr>
          <w:rFonts w:ascii="Arial" w:hAnsi="Arial" w:cs="Arial"/>
          <w:bCs/>
        </w:rPr>
        <w:t>)</w:t>
      </w:r>
      <w:r w:rsidR="001229D3" w:rsidRPr="00424424">
        <w:rPr>
          <w:rFonts w:ascii="Arial" w:hAnsi="Arial" w:cs="Arial"/>
          <w:bCs/>
        </w:rPr>
        <w:t xml:space="preserve"> </w:t>
      </w:r>
      <w:r w:rsidR="00F774C8" w:rsidRPr="00424424">
        <w:rPr>
          <w:rFonts w:ascii="Arial" w:hAnsi="Arial" w:cs="Arial"/>
          <w:bCs/>
        </w:rPr>
        <w:t>in risk of mortality</w:t>
      </w:r>
      <w:r w:rsidR="00682DA6">
        <w:rPr>
          <w:rFonts w:ascii="Arial" w:hAnsi="Arial" w:cs="Arial"/>
          <w:bCs/>
        </w:rPr>
        <w:t xml:space="preserve"> compared to those without this condition.</w:t>
      </w:r>
    </w:p>
    <w:p w14:paraId="0943FAB6" w14:textId="35C1578F" w:rsidR="00BC1426" w:rsidRPr="00424424" w:rsidRDefault="00514260" w:rsidP="00D37A8E">
      <w:pPr>
        <w:spacing w:line="360" w:lineRule="auto"/>
        <w:rPr>
          <w:rFonts w:ascii="Arial" w:hAnsi="Arial" w:cs="Arial"/>
          <w:bCs/>
        </w:rPr>
      </w:pPr>
      <w:r w:rsidRPr="00424424">
        <w:rPr>
          <w:rFonts w:ascii="Arial" w:hAnsi="Arial" w:cs="Arial"/>
          <w:bCs/>
        </w:rPr>
        <w:t>P</w:t>
      </w:r>
      <w:r w:rsidR="00BC1426" w:rsidRPr="00424424">
        <w:rPr>
          <w:rFonts w:ascii="Arial" w:hAnsi="Arial" w:cs="Arial"/>
          <w:bCs/>
        </w:rPr>
        <w:t>rogressively higher risk</w:t>
      </w:r>
      <w:r w:rsidR="00A62F6E" w:rsidRPr="00424424">
        <w:rPr>
          <w:rFonts w:ascii="Arial" w:hAnsi="Arial" w:cs="Arial"/>
          <w:bCs/>
        </w:rPr>
        <w:t>s</w:t>
      </w:r>
      <w:r w:rsidR="00BC1426" w:rsidRPr="00424424">
        <w:rPr>
          <w:rFonts w:ascii="Arial" w:hAnsi="Arial" w:cs="Arial"/>
          <w:bCs/>
        </w:rPr>
        <w:t xml:space="preserve"> of mortality were observed for probable, confirmed and severe EWGSOP2 </w:t>
      </w:r>
      <w:r w:rsidR="001511F3" w:rsidRPr="00424424">
        <w:rPr>
          <w:rFonts w:ascii="Arial" w:hAnsi="Arial" w:cs="Arial"/>
          <w:bCs/>
        </w:rPr>
        <w:t xml:space="preserve">categories </w:t>
      </w:r>
      <w:r w:rsidR="00BC1426" w:rsidRPr="00424424">
        <w:rPr>
          <w:rFonts w:ascii="Arial" w:hAnsi="Arial" w:cs="Arial"/>
          <w:bCs/>
        </w:rPr>
        <w:t xml:space="preserve">(Figure </w:t>
      </w:r>
      <w:r w:rsidR="00356992" w:rsidRPr="00424424">
        <w:rPr>
          <w:rFonts w:ascii="Arial" w:hAnsi="Arial" w:cs="Arial"/>
          <w:bCs/>
        </w:rPr>
        <w:t>4</w:t>
      </w:r>
      <w:r w:rsidR="00BC1426" w:rsidRPr="00424424">
        <w:rPr>
          <w:rFonts w:ascii="Arial" w:hAnsi="Arial" w:cs="Arial"/>
          <w:bCs/>
        </w:rPr>
        <w:t>). This was the case with the original thresholds proposed and also when grip strength and gait speed thresholds were modified in the definitions to &lt;35.5 kg and &lt;1.0 m/s respectively.</w:t>
      </w:r>
    </w:p>
    <w:p w14:paraId="1B81B65D" w14:textId="77777777" w:rsidR="000C42EB" w:rsidRPr="00424424" w:rsidRDefault="000C42EB" w:rsidP="00D37A8E">
      <w:pPr>
        <w:spacing w:line="360" w:lineRule="auto"/>
        <w:rPr>
          <w:rFonts w:ascii="Arial" w:hAnsi="Arial" w:cs="Arial"/>
          <w:bCs/>
        </w:rPr>
      </w:pPr>
    </w:p>
    <w:p w14:paraId="1A7F636C" w14:textId="5A2FCBC3" w:rsidR="00D37A8E" w:rsidRPr="00424424" w:rsidRDefault="000C42EB" w:rsidP="00D37A8E">
      <w:pPr>
        <w:spacing w:line="360" w:lineRule="auto"/>
        <w:rPr>
          <w:rFonts w:ascii="Arial" w:hAnsi="Arial" w:cs="Arial"/>
          <w:bCs/>
          <w:i/>
          <w:iCs/>
        </w:rPr>
      </w:pPr>
      <w:r w:rsidRPr="00424424">
        <w:rPr>
          <w:rFonts w:ascii="Arial" w:hAnsi="Arial" w:cs="Arial"/>
          <w:bCs/>
          <w:i/>
          <w:iCs/>
        </w:rPr>
        <w:t>Results from sensitivity analys</w:t>
      </w:r>
      <w:r w:rsidR="001F2DED" w:rsidRPr="00424424">
        <w:rPr>
          <w:rFonts w:ascii="Arial" w:hAnsi="Arial" w:cs="Arial"/>
          <w:bCs/>
          <w:i/>
          <w:iCs/>
        </w:rPr>
        <w:t>e</w:t>
      </w:r>
      <w:r w:rsidRPr="00424424">
        <w:rPr>
          <w:rFonts w:ascii="Arial" w:hAnsi="Arial" w:cs="Arial"/>
          <w:bCs/>
          <w:i/>
          <w:iCs/>
        </w:rPr>
        <w:t>s</w:t>
      </w:r>
    </w:p>
    <w:p w14:paraId="6F9A58D9" w14:textId="0980F34E" w:rsidR="000D7ACB" w:rsidRPr="00424424" w:rsidRDefault="000D7ACB" w:rsidP="00D37A8E">
      <w:pPr>
        <w:spacing w:line="360" w:lineRule="auto"/>
        <w:rPr>
          <w:rFonts w:ascii="Arial" w:hAnsi="Arial" w:cs="Arial"/>
          <w:bCs/>
        </w:rPr>
      </w:pPr>
      <w:r w:rsidRPr="00424424">
        <w:rPr>
          <w:rFonts w:ascii="Arial" w:hAnsi="Arial" w:cs="Arial"/>
          <w:bCs/>
        </w:rPr>
        <w:lastRenderedPageBreak/>
        <w:t>The proportion with low grip strength and gait speed according to various thresholds was similar when men of all ethnicities were included (</w:t>
      </w:r>
      <w:r w:rsidR="000275C8" w:rsidRPr="00424424">
        <w:rPr>
          <w:rFonts w:ascii="Arial" w:hAnsi="Arial" w:cs="Arial"/>
        </w:rPr>
        <w:t>Supporting Information</w:t>
      </w:r>
      <w:r w:rsidR="000275C8" w:rsidRPr="00424424">
        <w:rPr>
          <w:rFonts w:ascii="Arial" w:hAnsi="Arial" w:cs="Arial"/>
          <w:bCs/>
        </w:rPr>
        <w:t xml:space="preserve"> </w:t>
      </w:r>
      <w:r w:rsidRPr="00424424">
        <w:rPr>
          <w:rFonts w:ascii="Arial" w:hAnsi="Arial" w:cs="Arial"/>
          <w:bCs/>
        </w:rPr>
        <w:t xml:space="preserve">Figure S2); higher prevalences were observed among women for </w:t>
      </w:r>
      <w:r w:rsidR="001F2DED" w:rsidRPr="00424424">
        <w:rPr>
          <w:rFonts w:ascii="Arial" w:hAnsi="Arial" w:cs="Arial"/>
          <w:bCs/>
        </w:rPr>
        <w:t xml:space="preserve">both </w:t>
      </w:r>
      <w:r w:rsidRPr="00424424">
        <w:rPr>
          <w:rFonts w:ascii="Arial" w:hAnsi="Arial" w:cs="Arial"/>
          <w:bCs/>
        </w:rPr>
        <w:t xml:space="preserve">gait speed thresholds and for the </w:t>
      </w:r>
      <w:r w:rsidR="001F2DED" w:rsidRPr="00424424">
        <w:rPr>
          <w:rFonts w:ascii="Arial" w:hAnsi="Arial" w:cs="Arial"/>
          <w:bCs/>
        </w:rPr>
        <w:t xml:space="preserve">EWGSOP2 </w:t>
      </w:r>
      <w:r w:rsidRPr="00424424">
        <w:rPr>
          <w:rFonts w:ascii="Arial" w:hAnsi="Arial" w:cs="Arial"/>
          <w:bCs/>
        </w:rPr>
        <w:t>grip strength threshold (</w:t>
      </w:r>
      <w:r w:rsidR="000275C8" w:rsidRPr="00424424">
        <w:rPr>
          <w:rFonts w:ascii="Arial" w:hAnsi="Arial" w:cs="Arial"/>
        </w:rPr>
        <w:t>Supporting Information</w:t>
      </w:r>
      <w:r w:rsidR="000275C8" w:rsidRPr="00424424">
        <w:rPr>
          <w:rFonts w:ascii="Arial" w:hAnsi="Arial" w:cs="Arial"/>
          <w:bCs/>
        </w:rPr>
        <w:t xml:space="preserve"> </w:t>
      </w:r>
      <w:r w:rsidRPr="00424424">
        <w:rPr>
          <w:rFonts w:ascii="Arial" w:hAnsi="Arial" w:cs="Arial"/>
          <w:bCs/>
        </w:rPr>
        <w:t xml:space="preserve">Figure S3). Similar patterns were observed regarding the mortality associations when participants of all ethnicities were </w:t>
      </w:r>
      <w:bookmarkStart w:id="9" w:name="_Hlk113876908"/>
      <w:r w:rsidRPr="00424424">
        <w:rPr>
          <w:rFonts w:ascii="Arial" w:hAnsi="Arial" w:cs="Arial"/>
          <w:bCs/>
        </w:rPr>
        <w:t xml:space="preserve">included </w:t>
      </w:r>
      <w:r w:rsidR="001E2275">
        <w:rPr>
          <w:rFonts w:ascii="Arial" w:hAnsi="Arial" w:cs="Arial"/>
          <w:bCs/>
        </w:rPr>
        <w:t>in sex-stratified analysis</w:t>
      </w:r>
      <w:r w:rsidRPr="00424424">
        <w:rPr>
          <w:rFonts w:ascii="Arial" w:hAnsi="Arial" w:cs="Arial"/>
          <w:bCs/>
        </w:rPr>
        <w:t xml:space="preserve"> </w:t>
      </w:r>
      <w:bookmarkEnd w:id="9"/>
      <w:r w:rsidRPr="00424424">
        <w:rPr>
          <w:rFonts w:ascii="Arial" w:hAnsi="Arial" w:cs="Arial"/>
          <w:bCs/>
        </w:rPr>
        <w:t>(</w:t>
      </w:r>
      <w:r w:rsidR="000275C8" w:rsidRPr="00424424">
        <w:rPr>
          <w:rFonts w:ascii="Arial" w:hAnsi="Arial" w:cs="Arial"/>
        </w:rPr>
        <w:t>Supporting Information</w:t>
      </w:r>
      <w:r w:rsidR="000275C8" w:rsidRPr="00424424">
        <w:rPr>
          <w:rFonts w:ascii="Arial" w:hAnsi="Arial" w:cs="Arial"/>
          <w:bCs/>
        </w:rPr>
        <w:t xml:space="preserve"> </w:t>
      </w:r>
      <w:r w:rsidRPr="00424424">
        <w:rPr>
          <w:rFonts w:ascii="Arial" w:hAnsi="Arial" w:cs="Arial"/>
          <w:bCs/>
        </w:rPr>
        <w:t xml:space="preserve">Figure S4 and </w:t>
      </w:r>
      <w:r w:rsidR="000275C8" w:rsidRPr="00424424">
        <w:rPr>
          <w:rFonts w:ascii="Arial" w:hAnsi="Arial" w:cs="Arial"/>
        </w:rPr>
        <w:t>Supporting Information</w:t>
      </w:r>
      <w:r w:rsidR="000275C8" w:rsidRPr="00424424">
        <w:rPr>
          <w:rFonts w:ascii="Arial" w:hAnsi="Arial" w:cs="Arial"/>
          <w:bCs/>
        </w:rPr>
        <w:t xml:space="preserve"> </w:t>
      </w:r>
      <w:r w:rsidRPr="00424424">
        <w:rPr>
          <w:rFonts w:ascii="Arial" w:hAnsi="Arial" w:cs="Arial"/>
          <w:bCs/>
        </w:rPr>
        <w:t xml:space="preserve">Figure S5); however, some of the associations among </w:t>
      </w:r>
      <w:r w:rsidR="001F2DED" w:rsidRPr="00424424">
        <w:rPr>
          <w:rFonts w:ascii="Arial" w:hAnsi="Arial" w:cs="Arial"/>
          <w:bCs/>
        </w:rPr>
        <w:t xml:space="preserve">women </w:t>
      </w:r>
      <w:r w:rsidRPr="00424424">
        <w:rPr>
          <w:rFonts w:ascii="Arial" w:hAnsi="Arial" w:cs="Arial"/>
          <w:bCs/>
        </w:rPr>
        <w:t xml:space="preserve">did not reach statistical significance, possibly due to the smaller sample size. </w:t>
      </w:r>
    </w:p>
    <w:p w14:paraId="125948E8" w14:textId="65EFF150" w:rsidR="000C42EB" w:rsidRPr="00424424" w:rsidRDefault="000C42EB" w:rsidP="00D37A8E">
      <w:pPr>
        <w:spacing w:line="360" w:lineRule="auto"/>
        <w:rPr>
          <w:rFonts w:ascii="Arial" w:hAnsi="Arial" w:cs="Arial"/>
          <w:bCs/>
        </w:rPr>
      </w:pPr>
      <w:r w:rsidRPr="00424424">
        <w:rPr>
          <w:rFonts w:ascii="Arial" w:hAnsi="Arial" w:cs="Arial"/>
          <w:bCs/>
        </w:rPr>
        <w:t xml:space="preserve">When gait speed in HCS and SarcoPhAge were converted to 6m, mean gait speed was higher and prevalence of low gait speed and SDOC sarcopenia was lower in these cohorts compared to when the raw gait speed values were used. </w:t>
      </w:r>
      <w:r w:rsidR="001E2275">
        <w:rPr>
          <w:rFonts w:ascii="Arial" w:hAnsi="Arial" w:cs="Arial"/>
          <w:bCs/>
        </w:rPr>
        <w:t xml:space="preserve">However, this resulted in minimal changes to the summary statistics for the overall analysis sample and no changes regarding </w:t>
      </w:r>
      <w:r w:rsidR="00F87BC4">
        <w:rPr>
          <w:rFonts w:ascii="Arial" w:hAnsi="Arial" w:cs="Arial"/>
          <w:bCs/>
        </w:rPr>
        <w:t xml:space="preserve">findings on the association between sarcopenia definitions and risk of mortality </w:t>
      </w:r>
      <w:r w:rsidR="001E2275">
        <w:rPr>
          <w:rFonts w:ascii="Arial" w:hAnsi="Arial" w:cs="Arial"/>
          <w:bCs/>
        </w:rPr>
        <w:t>(data not shown).</w:t>
      </w:r>
    </w:p>
    <w:p w14:paraId="117BE557" w14:textId="77777777" w:rsidR="000C42EB" w:rsidRPr="00424424" w:rsidRDefault="000C42EB" w:rsidP="00D37A8E">
      <w:pPr>
        <w:spacing w:line="360" w:lineRule="auto"/>
        <w:rPr>
          <w:rFonts w:ascii="Arial" w:hAnsi="Arial" w:cs="Arial"/>
          <w:bCs/>
          <w:i/>
          <w:iCs/>
        </w:rPr>
      </w:pPr>
    </w:p>
    <w:p w14:paraId="144885E2" w14:textId="433E91BF" w:rsidR="00603FDB" w:rsidRPr="00424424" w:rsidRDefault="00603FDB" w:rsidP="00E15FB0">
      <w:pPr>
        <w:spacing w:before="240" w:line="360" w:lineRule="auto"/>
        <w:rPr>
          <w:rFonts w:ascii="Arial" w:hAnsi="Arial" w:cs="Arial"/>
          <w:b/>
        </w:rPr>
      </w:pPr>
      <w:r w:rsidRPr="00424424">
        <w:rPr>
          <w:rFonts w:ascii="Arial" w:hAnsi="Arial" w:cs="Arial"/>
          <w:b/>
        </w:rPr>
        <w:t>Discussion</w:t>
      </w:r>
    </w:p>
    <w:p w14:paraId="01723B5A" w14:textId="320CE8A1" w:rsidR="000E46B8" w:rsidRPr="00424424" w:rsidRDefault="00AA5776" w:rsidP="00AA5776">
      <w:pPr>
        <w:spacing w:line="360" w:lineRule="auto"/>
        <w:rPr>
          <w:rFonts w:ascii="Arial" w:hAnsi="Arial" w:cs="Arial"/>
          <w:bCs/>
        </w:rPr>
      </w:pPr>
      <w:r w:rsidRPr="00424424">
        <w:rPr>
          <w:rFonts w:ascii="Arial" w:hAnsi="Arial" w:cs="Arial"/>
          <w:bCs/>
        </w:rPr>
        <w:t xml:space="preserve">This study </w:t>
      </w:r>
      <w:r w:rsidR="00F774C8" w:rsidRPr="00424424">
        <w:rPr>
          <w:rFonts w:ascii="Arial" w:hAnsi="Arial" w:cs="Arial"/>
          <w:bCs/>
        </w:rPr>
        <w:t xml:space="preserve">suggests a low prevalence of sarcopenia in relatively healthy community-dwelling white men irrespective of criteria used to define sarcopenia and </w:t>
      </w:r>
      <w:r w:rsidR="004B52D4" w:rsidRPr="00424424">
        <w:rPr>
          <w:rFonts w:ascii="Arial" w:hAnsi="Arial" w:cs="Arial"/>
          <w:bCs/>
        </w:rPr>
        <w:t>establishes</w:t>
      </w:r>
      <w:r w:rsidRPr="00424424">
        <w:rPr>
          <w:rFonts w:ascii="Arial" w:hAnsi="Arial" w:cs="Arial"/>
          <w:bCs/>
        </w:rPr>
        <w:t xml:space="preserve"> poor agreement between </w:t>
      </w:r>
      <w:r w:rsidR="004D42C7" w:rsidRPr="00424424">
        <w:rPr>
          <w:rFonts w:ascii="Arial" w:hAnsi="Arial" w:cs="Arial"/>
          <w:bCs/>
        </w:rPr>
        <w:t xml:space="preserve">the EWGSOP2 and SDOC </w:t>
      </w:r>
      <w:r w:rsidRPr="00424424">
        <w:rPr>
          <w:rFonts w:ascii="Arial" w:hAnsi="Arial" w:cs="Arial"/>
          <w:bCs/>
        </w:rPr>
        <w:t xml:space="preserve">sarcopenia definitions </w:t>
      </w:r>
      <w:r w:rsidR="004B52D4" w:rsidRPr="00424424">
        <w:rPr>
          <w:rFonts w:ascii="Arial" w:hAnsi="Arial" w:cs="Arial"/>
          <w:bCs/>
        </w:rPr>
        <w:t>as originally described. Further</w:t>
      </w:r>
      <w:r w:rsidR="007F59DA" w:rsidRPr="00424424">
        <w:rPr>
          <w:rFonts w:ascii="Arial" w:hAnsi="Arial" w:cs="Arial"/>
          <w:bCs/>
        </w:rPr>
        <w:t>more</w:t>
      </w:r>
      <w:r w:rsidR="004B52D4" w:rsidRPr="00424424">
        <w:rPr>
          <w:rFonts w:ascii="Arial" w:hAnsi="Arial" w:cs="Arial"/>
          <w:bCs/>
        </w:rPr>
        <w:t>, our analyses demonstrate the substantial differences in</w:t>
      </w:r>
      <w:r w:rsidRPr="00424424">
        <w:rPr>
          <w:rFonts w:ascii="Arial" w:hAnsi="Arial" w:cs="Arial"/>
          <w:bCs/>
        </w:rPr>
        <w:t xml:space="preserve"> prevalence of </w:t>
      </w:r>
      <w:r w:rsidR="00E717B7" w:rsidRPr="00424424">
        <w:rPr>
          <w:rFonts w:ascii="Arial" w:hAnsi="Arial" w:cs="Arial"/>
          <w:bCs/>
        </w:rPr>
        <w:t xml:space="preserve">sarcopenia </w:t>
      </w:r>
      <w:r w:rsidR="004B52D4" w:rsidRPr="00424424">
        <w:rPr>
          <w:rFonts w:ascii="Arial" w:hAnsi="Arial" w:cs="Arial"/>
          <w:bCs/>
        </w:rPr>
        <w:t xml:space="preserve">that arise when different thresholds for grip strength and gait speed are adopted. </w:t>
      </w:r>
      <w:r w:rsidR="00CB359B" w:rsidRPr="00424424">
        <w:rPr>
          <w:rFonts w:ascii="Arial" w:hAnsi="Arial" w:cs="Arial"/>
          <w:bCs/>
        </w:rPr>
        <w:t>Although thresholds can be selected through data driven approaches such as classification and regression tree analysis, t</w:t>
      </w:r>
      <w:r w:rsidR="00907F14" w:rsidRPr="00424424">
        <w:rPr>
          <w:rFonts w:ascii="Arial" w:hAnsi="Arial" w:cs="Arial"/>
          <w:bCs/>
        </w:rPr>
        <w:t xml:space="preserve">he designation of thresholds </w:t>
      </w:r>
      <w:r w:rsidR="00F774C8" w:rsidRPr="00424424">
        <w:rPr>
          <w:rFonts w:ascii="Arial" w:hAnsi="Arial" w:cs="Arial"/>
          <w:bCs/>
        </w:rPr>
        <w:t xml:space="preserve">of grip strength and gait speed used to identify individuals with sarcopenia is </w:t>
      </w:r>
      <w:r w:rsidR="007D7B60" w:rsidRPr="00424424">
        <w:rPr>
          <w:rFonts w:ascii="Arial" w:hAnsi="Arial" w:cs="Arial"/>
          <w:bCs/>
        </w:rPr>
        <w:t>somewhat</w:t>
      </w:r>
      <w:r w:rsidR="00F774C8" w:rsidRPr="00424424">
        <w:rPr>
          <w:rFonts w:ascii="Arial" w:hAnsi="Arial" w:cs="Arial"/>
          <w:bCs/>
        </w:rPr>
        <w:t xml:space="preserve"> arbitrary given </w:t>
      </w:r>
      <w:r w:rsidR="00907F14" w:rsidRPr="00424424">
        <w:rPr>
          <w:rFonts w:ascii="Arial" w:hAnsi="Arial" w:cs="Arial"/>
          <w:bCs/>
        </w:rPr>
        <w:t xml:space="preserve">the continuous distributions of </w:t>
      </w:r>
      <w:r w:rsidR="00F774C8" w:rsidRPr="00424424">
        <w:rPr>
          <w:rFonts w:ascii="Arial" w:hAnsi="Arial" w:cs="Arial"/>
          <w:bCs/>
        </w:rPr>
        <w:t>these measures</w:t>
      </w:r>
      <w:r w:rsidR="00907F14" w:rsidRPr="00424424">
        <w:rPr>
          <w:rFonts w:ascii="Arial" w:hAnsi="Arial" w:cs="Arial"/>
          <w:bCs/>
        </w:rPr>
        <w:t xml:space="preserve">. As the prevalence of abnormality increases by moving the threshold towards the centre of the distribution, there will be a corresponding attenuation of the hazard ratio for clinical outcomes between </w:t>
      </w:r>
      <w:r w:rsidR="00A54928" w:rsidRPr="00424424">
        <w:rPr>
          <w:rFonts w:ascii="Arial" w:hAnsi="Arial" w:cs="Arial"/>
          <w:bCs/>
        </w:rPr>
        <w:t>individuals with and without the condition</w:t>
      </w:r>
      <w:r w:rsidR="00907F14" w:rsidRPr="00424424">
        <w:rPr>
          <w:rFonts w:ascii="Arial" w:hAnsi="Arial" w:cs="Arial"/>
          <w:bCs/>
        </w:rPr>
        <w:t>. Our data suggest that relatively modest alteration of these thresholds</w:t>
      </w:r>
      <w:r w:rsidR="008F79AF" w:rsidRPr="00424424">
        <w:rPr>
          <w:rFonts w:ascii="Arial" w:hAnsi="Arial" w:cs="Arial"/>
          <w:bCs/>
        </w:rPr>
        <w:t>,</w:t>
      </w:r>
      <w:r w:rsidR="00907F14" w:rsidRPr="00424424">
        <w:rPr>
          <w:rFonts w:ascii="Arial" w:hAnsi="Arial" w:cs="Arial"/>
          <w:bCs/>
        </w:rPr>
        <w:t xml:space="preserve"> </w:t>
      </w:r>
      <w:r w:rsidR="005A45E2" w:rsidRPr="00424424">
        <w:rPr>
          <w:rFonts w:ascii="Arial" w:hAnsi="Arial" w:cs="Arial"/>
          <w:bCs/>
        </w:rPr>
        <w:t>such as using the modified versus original SDOC criteria</w:t>
      </w:r>
      <w:r w:rsidR="008F79AF" w:rsidRPr="00424424">
        <w:rPr>
          <w:rFonts w:ascii="Arial" w:hAnsi="Arial" w:cs="Arial"/>
          <w:bCs/>
        </w:rPr>
        <w:t>,</w:t>
      </w:r>
      <w:r w:rsidR="005A45E2" w:rsidRPr="00424424">
        <w:rPr>
          <w:rFonts w:ascii="Arial" w:hAnsi="Arial" w:cs="Arial"/>
          <w:bCs/>
        </w:rPr>
        <w:t xml:space="preserve"> </w:t>
      </w:r>
      <w:r w:rsidR="00907F14" w:rsidRPr="00424424">
        <w:rPr>
          <w:rFonts w:ascii="Arial" w:hAnsi="Arial" w:cs="Arial"/>
          <w:bCs/>
        </w:rPr>
        <w:t xml:space="preserve">can deliver </w:t>
      </w:r>
      <w:r w:rsidR="00004660" w:rsidRPr="00424424">
        <w:rPr>
          <w:rFonts w:ascii="Arial" w:hAnsi="Arial" w:cs="Arial"/>
          <w:bCs/>
        </w:rPr>
        <w:t>higher</w:t>
      </w:r>
      <w:r w:rsidR="00907F14" w:rsidRPr="00424424">
        <w:rPr>
          <w:rFonts w:ascii="Arial" w:hAnsi="Arial" w:cs="Arial"/>
          <w:bCs/>
        </w:rPr>
        <w:t xml:space="preserve"> prevalence rates for sarcopenia in older population samples, while preserving the capacity to predict key health outcomes such as death. </w:t>
      </w:r>
      <w:r w:rsidR="00C6238E" w:rsidRPr="00424424">
        <w:rPr>
          <w:rFonts w:ascii="Arial" w:hAnsi="Arial" w:cs="Arial"/>
          <w:bCs/>
        </w:rPr>
        <w:t xml:space="preserve">Key findings were similar in sensitivity analyses comprising men and women of all ethnicities. </w:t>
      </w:r>
      <w:r w:rsidR="004B52D4" w:rsidRPr="00424424">
        <w:rPr>
          <w:rFonts w:ascii="Arial" w:hAnsi="Arial" w:cs="Arial"/>
          <w:bCs/>
        </w:rPr>
        <w:t>These findings, if replicated</w:t>
      </w:r>
      <w:r w:rsidR="00FB3104" w:rsidRPr="00424424">
        <w:rPr>
          <w:rFonts w:ascii="Arial" w:hAnsi="Arial" w:cs="Arial"/>
          <w:bCs/>
        </w:rPr>
        <w:t xml:space="preserve"> and validated</w:t>
      </w:r>
      <w:r w:rsidR="004B52D4" w:rsidRPr="00424424">
        <w:rPr>
          <w:rFonts w:ascii="Arial" w:hAnsi="Arial" w:cs="Arial"/>
          <w:bCs/>
        </w:rPr>
        <w:t xml:space="preserve">, </w:t>
      </w:r>
      <w:r w:rsidR="002A2FB2" w:rsidRPr="00424424">
        <w:rPr>
          <w:rFonts w:ascii="Arial" w:hAnsi="Arial" w:cs="Arial"/>
          <w:bCs/>
        </w:rPr>
        <w:t xml:space="preserve">may </w:t>
      </w:r>
      <w:r w:rsidR="00FB3104" w:rsidRPr="00424424">
        <w:rPr>
          <w:rFonts w:ascii="Arial" w:hAnsi="Arial" w:cs="Arial"/>
          <w:bCs/>
        </w:rPr>
        <w:t>contribute to the development of</w:t>
      </w:r>
      <w:r w:rsidR="004B52D4" w:rsidRPr="00424424">
        <w:rPr>
          <w:rFonts w:ascii="Arial" w:hAnsi="Arial" w:cs="Arial"/>
          <w:bCs/>
        </w:rPr>
        <w:t xml:space="preserve"> a global consensus on the definition of sarcopenia.</w:t>
      </w:r>
    </w:p>
    <w:p w14:paraId="4B02CF3D" w14:textId="25E1DDE5" w:rsidR="00AA5776" w:rsidRPr="00424424" w:rsidRDefault="000E46B8" w:rsidP="00AA5776">
      <w:pPr>
        <w:spacing w:line="360" w:lineRule="auto"/>
        <w:rPr>
          <w:rFonts w:ascii="Arial" w:hAnsi="Arial" w:cs="Arial"/>
          <w:bCs/>
        </w:rPr>
      </w:pPr>
      <w:r w:rsidRPr="00424424">
        <w:rPr>
          <w:rFonts w:ascii="Arial" w:hAnsi="Arial" w:cs="Arial"/>
          <w:bCs/>
        </w:rPr>
        <w:lastRenderedPageBreak/>
        <w:t xml:space="preserve">Thus, </w:t>
      </w:r>
      <w:r w:rsidR="00AA5776" w:rsidRPr="00424424">
        <w:rPr>
          <w:rFonts w:ascii="Arial" w:hAnsi="Arial" w:cs="Arial"/>
          <w:bCs/>
        </w:rPr>
        <w:t>among these community-dwelling cohorts of older men</w:t>
      </w:r>
      <w:r w:rsidR="00972A39" w:rsidRPr="00424424">
        <w:rPr>
          <w:rFonts w:ascii="Arial" w:hAnsi="Arial" w:cs="Arial"/>
          <w:bCs/>
        </w:rPr>
        <w:t xml:space="preserve">, </w:t>
      </w:r>
      <w:r w:rsidR="00AA5776" w:rsidRPr="00424424">
        <w:rPr>
          <w:rFonts w:ascii="Arial" w:hAnsi="Arial" w:cs="Arial"/>
          <w:bCs/>
        </w:rPr>
        <w:t>the EWGSOP2 grip strength threshold (&lt;27 kg) was at the 3.5th centile on the distribution whereas the SDOC grip strength threshold (&lt;35.5 kg) was at the 20.</w:t>
      </w:r>
      <w:r w:rsidR="00F2321A" w:rsidRPr="00424424">
        <w:rPr>
          <w:rFonts w:ascii="Arial" w:hAnsi="Arial" w:cs="Arial"/>
          <w:bCs/>
        </w:rPr>
        <w:t>7</w:t>
      </w:r>
      <w:r w:rsidR="00AA5776" w:rsidRPr="00424424">
        <w:rPr>
          <w:rFonts w:ascii="Arial" w:hAnsi="Arial" w:cs="Arial"/>
          <w:bCs/>
        </w:rPr>
        <w:t xml:space="preserve">th centile. With little effort, thresholds can be harmonised such that the SDOC grip strength threshold is used in the EWGSOP2 </w:t>
      </w:r>
      <w:r w:rsidR="00FB3104" w:rsidRPr="00424424">
        <w:rPr>
          <w:rFonts w:ascii="Arial" w:hAnsi="Arial" w:cs="Arial"/>
          <w:bCs/>
        </w:rPr>
        <w:t>definition</w:t>
      </w:r>
      <w:r w:rsidR="00AA5776" w:rsidRPr="00424424">
        <w:rPr>
          <w:rFonts w:ascii="Arial" w:hAnsi="Arial" w:cs="Arial"/>
          <w:bCs/>
        </w:rPr>
        <w:t xml:space="preserve"> and the International Working Group on Sarcopenia gait speed threshold (&lt;1.0 m/s) is used in the SDOC definition. </w:t>
      </w:r>
      <w:r w:rsidR="001B62AA" w:rsidRPr="00424424">
        <w:rPr>
          <w:rFonts w:ascii="Arial" w:hAnsi="Arial" w:cs="Arial"/>
          <w:bCs/>
        </w:rPr>
        <w:t>Adoption</w:t>
      </w:r>
      <w:r w:rsidRPr="00424424">
        <w:rPr>
          <w:rFonts w:ascii="Arial" w:hAnsi="Arial" w:cs="Arial"/>
          <w:bCs/>
        </w:rPr>
        <w:t xml:space="preserve"> of </w:t>
      </w:r>
      <w:r w:rsidR="001B62AA" w:rsidRPr="00424424">
        <w:rPr>
          <w:rFonts w:ascii="Arial" w:hAnsi="Arial" w:cs="Arial"/>
          <w:bCs/>
        </w:rPr>
        <w:t>these thresholds in the SDOC definition</w:t>
      </w:r>
      <w:r w:rsidRPr="00424424">
        <w:rPr>
          <w:rFonts w:ascii="Arial" w:hAnsi="Arial" w:cs="Arial"/>
          <w:bCs/>
        </w:rPr>
        <w:t xml:space="preserve"> </w:t>
      </w:r>
      <w:r w:rsidR="00FB3104" w:rsidRPr="00424424">
        <w:rPr>
          <w:rFonts w:ascii="Arial" w:hAnsi="Arial" w:cs="Arial"/>
          <w:bCs/>
        </w:rPr>
        <w:t xml:space="preserve">(grip strength &lt;35.5 kg and gait speed &lt;1.0 m/s) </w:t>
      </w:r>
      <w:r w:rsidR="00972A39" w:rsidRPr="00424424">
        <w:rPr>
          <w:rFonts w:ascii="Arial" w:hAnsi="Arial" w:cs="Arial"/>
          <w:bCs/>
        </w:rPr>
        <w:t xml:space="preserve">among white men </w:t>
      </w:r>
      <w:r w:rsidR="00162C15" w:rsidRPr="00424424">
        <w:rPr>
          <w:rFonts w:ascii="Arial" w:hAnsi="Arial" w:cs="Arial"/>
          <w:bCs/>
        </w:rPr>
        <w:t xml:space="preserve">in our study </w:t>
      </w:r>
      <w:r w:rsidR="00972A39" w:rsidRPr="00424424">
        <w:rPr>
          <w:rFonts w:ascii="Arial" w:hAnsi="Arial" w:cs="Arial"/>
          <w:bCs/>
        </w:rPr>
        <w:t xml:space="preserve">(mean (SD) age: </w:t>
      </w:r>
      <w:r w:rsidR="00F2321A" w:rsidRPr="00424424">
        <w:rPr>
          <w:rFonts w:ascii="Arial" w:hAnsi="Arial" w:cs="Arial"/>
          <w:bCs/>
        </w:rPr>
        <w:t>74.3 (4.9)</w:t>
      </w:r>
      <w:r w:rsidR="00972A39" w:rsidRPr="00424424">
        <w:rPr>
          <w:rFonts w:ascii="Arial" w:hAnsi="Arial" w:cs="Arial"/>
          <w:bCs/>
        </w:rPr>
        <w:t xml:space="preserve"> years) </w:t>
      </w:r>
      <w:r w:rsidR="001B62AA" w:rsidRPr="00424424">
        <w:rPr>
          <w:rFonts w:ascii="Arial" w:hAnsi="Arial" w:cs="Arial"/>
          <w:bCs/>
        </w:rPr>
        <w:t>led</w:t>
      </w:r>
      <w:r w:rsidRPr="00424424">
        <w:rPr>
          <w:rFonts w:ascii="Arial" w:hAnsi="Arial" w:cs="Arial"/>
          <w:bCs/>
        </w:rPr>
        <w:t xml:space="preserve"> to a </w:t>
      </w:r>
      <w:r w:rsidR="001B62AA" w:rsidRPr="00424424">
        <w:rPr>
          <w:rFonts w:ascii="Arial" w:hAnsi="Arial" w:cs="Arial"/>
          <w:bCs/>
        </w:rPr>
        <w:t>prevalence</w:t>
      </w:r>
      <w:r w:rsidRPr="00424424">
        <w:rPr>
          <w:rFonts w:ascii="Arial" w:hAnsi="Arial" w:cs="Arial"/>
          <w:bCs/>
        </w:rPr>
        <w:t xml:space="preserve"> of sarcopenia of </w:t>
      </w:r>
      <w:r w:rsidR="00972A39" w:rsidRPr="00424424">
        <w:rPr>
          <w:rFonts w:ascii="Arial" w:hAnsi="Arial" w:cs="Arial"/>
          <w:bCs/>
        </w:rPr>
        <w:t>5.3%</w:t>
      </w:r>
      <w:r w:rsidR="005A45E2" w:rsidRPr="00424424">
        <w:rPr>
          <w:rFonts w:ascii="Arial" w:hAnsi="Arial" w:cs="Arial"/>
          <w:bCs/>
        </w:rPr>
        <w:t xml:space="preserve"> </w:t>
      </w:r>
      <w:r w:rsidRPr="00424424">
        <w:rPr>
          <w:rFonts w:ascii="Arial" w:hAnsi="Arial" w:cs="Arial"/>
          <w:bCs/>
        </w:rPr>
        <w:t xml:space="preserve">and a hazard ratio </w:t>
      </w:r>
      <w:r w:rsidR="00972A39" w:rsidRPr="00424424">
        <w:rPr>
          <w:rFonts w:ascii="Arial" w:hAnsi="Arial" w:cs="Arial"/>
          <w:bCs/>
        </w:rPr>
        <w:t xml:space="preserve">(95% CI) for mortality </w:t>
      </w:r>
      <w:r w:rsidRPr="00424424">
        <w:rPr>
          <w:rFonts w:ascii="Arial" w:hAnsi="Arial" w:cs="Arial"/>
          <w:bCs/>
        </w:rPr>
        <w:t xml:space="preserve">of </w:t>
      </w:r>
      <w:r w:rsidR="00F2321A" w:rsidRPr="00424424">
        <w:rPr>
          <w:rFonts w:ascii="Arial" w:hAnsi="Arial" w:cs="Arial"/>
          <w:bCs/>
        </w:rPr>
        <w:t>1.93 (1.54, 2.41)</w:t>
      </w:r>
      <w:r w:rsidR="00972A39" w:rsidRPr="00424424">
        <w:rPr>
          <w:rFonts w:ascii="Arial" w:hAnsi="Arial" w:cs="Arial"/>
          <w:bCs/>
        </w:rPr>
        <w:t>.</w:t>
      </w:r>
      <w:r w:rsidR="008E553C" w:rsidRPr="00424424">
        <w:rPr>
          <w:rFonts w:ascii="Arial" w:hAnsi="Arial" w:cs="Arial"/>
          <w:bCs/>
        </w:rPr>
        <w:t xml:space="preserve"> In contrast, only 1.7% had SDOC sarcopenia according to original thresholds (grip strength &lt;35.5 kg and gait speed &lt;0.8 m/s).</w:t>
      </w:r>
    </w:p>
    <w:p w14:paraId="649A2AD4" w14:textId="681F74A2" w:rsidR="00EF42D5" w:rsidRPr="00424424" w:rsidRDefault="004E1228" w:rsidP="00AA5776">
      <w:pPr>
        <w:spacing w:line="360" w:lineRule="auto"/>
        <w:rPr>
          <w:rFonts w:ascii="Arial" w:hAnsi="Arial" w:cs="Arial"/>
          <w:bCs/>
        </w:rPr>
      </w:pPr>
      <w:bookmarkStart w:id="10" w:name="_Hlk98851841"/>
      <w:r w:rsidRPr="00424424">
        <w:rPr>
          <w:rFonts w:ascii="Arial" w:hAnsi="Arial" w:cs="Arial"/>
          <w:bCs/>
        </w:rPr>
        <w:t>It may be helpful to consider the prevalence of other non-communicable disorders, the risk factors for which are continuously distributed in the general population.</w:t>
      </w:r>
      <w:r w:rsidR="00EF42D5" w:rsidRPr="00424424">
        <w:rPr>
          <w:rFonts w:ascii="Arial" w:hAnsi="Arial" w:cs="Arial"/>
          <w:bCs/>
        </w:rPr>
        <w:t xml:space="preserve"> </w:t>
      </w:r>
      <w:r w:rsidRPr="00424424">
        <w:rPr>
          <w:rFonts w:ascii="Arial" w:hAnsi="Arial" w:cs="Arial"/>
          <w:bCs/>
        </w:rPr>
        <w:t xml:space="preserve">Osteoporosis </w:t>
      </w:r>
      <w:r w:rsidR="00E05307" w:rsidRPr="00424424">
        <w:rPr>
          <w:rFonts w:ascii="Arial" w:hAnsi="Arial" w:cs="Arial"/>
          <w:bCs/>
        </w:rPr>
        <w:t>(</w:t>
      </w:r>
      <w:r w:rsidRPr="00424424">
        <w:rPr>
          <w:rFonts w:ascii="Arial" w:hAnsi="Arial" w:cs="Arial"/>
          <w:bCs/>
        </w:rPr>
        <w:t>defined by the World Health Organization as a bone mineral density of at least 2.5 SD</w:t>
      </w:r>
      <w:r w:rsidR="0051059A" w:rsidRPr="00424424">
        <w:rPr>
          <w:rFonts w:ascii="Arial" w:hAnsi="Arial" w:cs="Arial"/>
          <w:bCs/>
        </w:rPr>
        <w:t>s</w:t>
      </w:r>
      <w:r w:rsidRPr="00424424">
        <w:rPr>
          <w:rFonts w:ascii="Arial" w:hAnsi="Arial" w:cs="Arial"/>
          <w:bCs/>
        </w:rPr>
        <w:t xml:space="preserve"> below the young adult mean</w:t>
      </w:r>
      <w:r w:rsidR="00E05307" w:rsidRPr="00424424">
        <w:rPr>
          <w:rFonts w:ascii="Arial" w:hAnsi="Arial" w:cs="Arial"/>
          <w:bCs/>
        </w:rPr>
        <w:t>)</w:t>
      </w:r>
      <w:r w:rsidRPr="00424424">
        <w:rPr>
          <w:rFonts w:ascii="Arial" w:hAnsi="Arial" w:cs="Arial"/>
          <w:bCs/>
        </w:rPr>
        <w:t xml:space="preserve"> ha</w:t>
      </w:r>
      <w:r w:rsidR="003110E6" w:rsidRPr="00424424">
        <w:rPr>
          <w:rFonts w:ascii="Arial" w:hAnsi="Arial" w:cs="Arial"/>
          <w:bCs/>
        </w:rPr>
        <w:t xml:space="preserve">d an average </w:t>
      </w:r>
      <w:r w:rsidRPr="00424424">
        <w:rPr>
          <w:rFonts w:ascii="Arial" w:hAnsi="Arial" w:cs="Arial"/>
          <w:bCs/>
        </w:rPr>
        <w:t>prevalence of 2</w:t>
      </w:r>
      <w:r w:rsidR="003110E6" w:rsidRPr="00424424">
        <w:rPr>
          <w:rFonts w:ascii="Arial" w:hAnsi="Arial" w:cs="Arial"/>
          <w:bCs/>
        </w:rPr>
        <w:t>2.5</w:t>
      </w:r>
      <w:r w:rsidRPr="00424424">
        <w:rPr>
          <w:rFonts w:ascii="Arial" w:hAnsi="Arial" w:cs="Arial"/>
          <w:bCs/>
        </w:rPr>
        <w:t xml:space="preserve">% among women </w:t>
      </w:r>
      <w:r w:rsidR="003110E6" w:rsidRPr="00424424">
        <w:rPr>
          <w:rFonts w:ascii="Arial" w:hAnsi="Arial" w:cs="Arial"/>
          <w:bCs/>
        </w:rPr>
        <w:t>aged 50 years and over</w:t>
      </w:r>
      <w:r w:rsidRPr="00424424">
        <w:rPr>
          <w:rFonts w:ascii="Arial" w:hAnsi="Arial" w:cs="Arial"/>
          <w:bCs/>
        </w:rPr>
        <w:t xml:space="preserve"> </w:t>
      </w:r>
      <w:r w:rsidR="003110E6" w:rsidRPr="00424424">
        <w:rPr>
          <w:rFonts w:ascii="Arial" w:hAnsi="Arial" w:cs="Arial"/>
          <w:bCs/>
        </w:rPr>
        <w:t>across</w:t>
      </w:r>
      <w:r w:rsidR="003110E6" w:rsidRPr="00424424">
        <w:t xml:space="preserve"> </w:t>
      </w:r>
      <w:r w:rsidR="003110E6" w:rsidRPr="00424424">
        <w:rPr>
          <w:rFonts w:ascii="Arial" w:hAnsi="Arial" w:cs="Arial"/>
          <w:bCs/>
        </w:rPr>
        <w:t>France, Germany, Italy, Spain, UK and Sweden</w:t>
      </w:r>
      <w:r w:rsidR="00EF42D5" w:rsidRPr="00424424">
        <w:rPr>
          <w:rFonts w:ascii="Arial" w:hAnsi="Arial" w:cs="Arial"/>
          <w:bCs/>
        </w:rPr>
        <w:t xml:space="preserve"> in 2015</w:t>
      </w:r>
      <w:r w:rsidR="003110E6" w:rsidRPr="00424424">
        <w:rPr>
          <w:rFonts w:ascii="Arial" w:hAnsi="Arial" w:cs="Arial"/>
          <w:bCs/>
        </w:rPr>
        <w:t xml:space="preserve"> </w:t>
      </w:r>
      <w:r w:rsidR="003110E6" w:rsidRPr="00424424">
        <w:rPr>
          <w:rFonts w:ascii="Arial" w:hAnsi="Arial" w:cs="Arial"/>
          <w:bCs/>
        </w:rPr>
        <w:fldChar w:fldCharType="begin"/>
      </w:r>
      <w:r w:rsidR="007D7E81" w:rsidRPr="00424424">
        <w:rPr>
          <w:rFonts w:ascii="Arial" w:hAnsi="Arial" w:cs="Arial"/>
          <w:bCs/>
        </w:rPr>
        <w:instrText xml:space="preserve"> ADDIN EN.CITE &lt;EndNote&gt;&lt;Cite&gt;&lt;Author&gt;Borgström&lt;/Author&gt;&lt;Year&gt;2020&lt;/Year&gt;&lt;RecNum&gt;1474&lt;/RecNum&gt;&lt;DisplayText&gt;[21]&lt;/DisplayText&gt;&lt;record&gt;&lt;rec-number&gt;1474&lt;/rec-number&gt;&lt;foreign-keys&gt;&lt;key app="EN" db-id="pzdf5rvs9wzts6erav6v0rpowttawpd0ztaa" timestamp="1647949141"&gt;1474&lt;/key&gt;&lt;/foreign-keys&gt;&lt;ref-type name="Journal Article"&gt;17&lt;/ref-type&gt;&lt;contributors&gt;&lt;authors&gt;&lt;author&gt;Borgström, Fredrik&lt;/author&gt;&lt;author&gt;Karlsson, Linda&lt;/author&gt;&lt;author&gt;Ortsäter, Gustav&lt;/author&gt;&lt;author&gt;Norton, Nicolas&lt;/author&gt;&lt;author&gt;Halbout, Philippe&lt;/author&gt;&lt;author&gt;Cooper, Cyrus&lt;/author&gt;&lt;author&gt;Lorentzon, Mattias&lt;/author&gt;&lt;author&gt;McCloskey, Eugene V&lt;/author&gt;&lt;author&gt;Harvey, Nicholas C&lt;/author&gt;&lt;author&gt;Javaid, Muhamamd K&lt;/author&gt;&lt;/authors&gt;&lt;/contributors&gt;&lt;titles&gt;&lt;title&gt;Fragility fractures in Europe: burden, management and opportunities&lt;/title&gt;&lt;secondary-title&gt;Arch Osteoporos.&lt;/secondary-title&gt;&lt;/titles&gt;&lt;periodical&gt;&lt;full-title&gt;Arch Osteoporos.&lt;/full-title&gt;&lt;/periodical&gt;&lt;pages&gt;59&lt;/pages&gt;&lt;volume&gt;15(1)&lt;/volume&gt;&lt;number&gt;1&lt;/number&gt;&lt;dates&gt;&lt;year&gt;2020&lt;/year&gt;&lt;/dates&gt;&lt;isbn&gt;1862-3514&lt;/isbn&gt;&lt;urls&gt;&lt;/urls&gt;&lt;/record&gt;&lt;/Cite&gt;&lt;/EndNote&gt;</w:instrText>
      </w:r>
      <w:r w:rsidR="003110E6" w:rsidRPr="00424424">
        <w:rPr>
          <w:rFonts w:ascii="Arial" w:hAnsi="Arial" w:cs="Arial"/>
          <w:bCs/>
        </w:rPr>
        <w:fldChar w:fldCharType="separate"/>
      </w:r>
      <w:r w:rsidR="007D7E81" w:rsidRPr="00424424">
        <w:rPr>
          <w:rFonts w:ascii="Arial" w:hAnsi="Arial" w:cs="Arial"/>
          <w:bCs/>
          <w:noProof/>
        </w:rPr>
        <w:t>[21]</w:t>
      </w:r>
      <w:r w:rsidR="003110E6" w:rsidRPr="00424424">
        <w:rPr>
          <w:rFonts w:ascii="Arial" w:hAnsi="Arial" w:cs="Arial"/>
          <w:bCs/>
        </w:rPr>
        <w:fldChar w:fldCharType="end"/>
      </w:r>
      <w:r w:rsidRPr="00424424">
        <w:rPr>
          <w:rFonts w:ascii="Arial" w:hAnsi="Arial" w:cs="Arial"/>
          <w:bCs/>
        </w:rPr>
        <w:t>. Hypercholesterolemia</w:t>
      </w:r>
      <w:r w:rsidR="003110E6" w:rsidRPr="00424424">
        <w:rPr>
          <w:rFonts w:ascii="Arial" w:hAnsi="Arial" w:cs="Arial"/>
          <w:bCs/>
        </w:rPr>
        <w:t xml:space="preserve"> (total cholesterol ≥ 5.0 mmol/l or 190mg/dl)</w:t>
      </w:r>
      <w:r w:rsidRPr="00424424">
        <w:rPr>
          <w:rFonts w:ascii="Arial" w:hAnsi="Arial" w:cs="Arial"/>
          <w:bCs/>
        </w:rPr>
        <w:t xml:space="preserve"> ha</w:t>
      </w:r>
      <w:r w:rsidR="00E05307" w:rsidRPr="00424424">
        <w:rPr>
          <w:rFonts w:ascii="Arial" w:hAnsi="Arial" w:cs="Arial"/>
          <w:bCs/>
        </w:rPr>
        <w:t>d</w:t>
      </w:r>
      <w:r w:rsidRPr="00424424">
        <w:rPr>
          <w:rFonts w:ascii="Arial" w:hAnsi="Arial" w:cs="Arial"/>
          <w:bCs/>
        </w:rPr>
        <w:t xml:space="preserve"> a</w:t>
      </w:r>
      <w:r w:rsidR="003110E6" w:rsidRPr="00424424">
        <w:rPr>
          <w:rFonts w:ascii="Arial" w:hAnsi="Arial" w:cs="Arial"/>
          <w:bCs/>
        </w:rPr>
        <w:t xml:space="preserve"> global</w:t>
      </w:r>
      <w:r w:rsidRPr="00424424">
        <w:rPr>
          <w:rFonts w:ascii="Arial" w:hAnsi="Arial" w:cs="Arial"/>
          <w:bCs/>
        </w:rPr>
        <w:t xml:space="preserve"> prevalence of </w:t>
      </w:r>
      <w:r w:rsidR="003110E6" w:rsidRPr="00424424">
        <w:rPr>
          <w:rFonts w:ascii="Arial" w:hAnsi="Arial" w:cs="Arial"/>
          <w:bCs/>
        </w:rPr>
        <w:t>39% among adults in 2008</w:t>
      </w:r>
      <w:r w:rsidR="00630B7A" w:rsidRPr="00424424">
        <w:rPr>
          <w:rFonts w:ascii="Arial" w:hAnsi="Arial" w:cs="Arial"/>
          <w:bCs/>
        </w:rPr>
        <w:t xml:space="preserve"> </w:t>
      </w:r>
      <w:r w:rsidR="00630B7A" w:rsidRPr="00424424">
        <w:rPr>
          <w:rFonts w:ascii="Arial" w:hAnsi="Arial" w:cs="Arial"/>
          <w:bCs/>
        </w:rPr>
        <w:fldChar w:fldCharType="begin"/>
      </w:r>
      <w:r w:rsidR="007D7E81" w:rsidRPr="00424424">
        <w:rPr>
          <w:rFonts w:ascii="Arial" w:hAnsi="Arial" w:cs="Arial"/>
          <w:bCs/>
        </w:rPr>
        <w:instrText xml:space="preserve"> ADDIN EN.CITE &lt;EndNote&gt;&lt;Cite&gt;&lt;Author&gt;World Health Organization&lt;/Author&gt;&lt;RecNum&gt;1476&lt;/RecNum&gt;&lt;DisplayText&gt;[22]&lt;/DisplayText&gt;&lt;record&gt;&lt;rec-number&gt;1476&lt;/rec-number&gt;&lt;foreign-keys&gt;&lt;key app="EN" db-id="pzdf5rvs9wzts6erav6v0rpowttawpd0ztaa" timestamp="1647952507"&gt;1476&lt;/key&gt;&lt;/foreign-keys&gt;&lt;ref-type name="Journal Article"&gt;17&lt;/ref-type&gt;&lt;contributors&gt;&lt;authors&gt;&lt;author&gt;World Health Organization,&lt;/author&gt;&lt;/authors&gt;&lt;/contributors&gt;&lt;titles&gt;&lt;title&gt;The Global Health Observatory. Raised cholesterol. https://www.who.int/data/gho/indicator-metadata-registry/imr-details/3236. Accessed 22 March 2022.&lt;/title&gt;&lt;/titles&gt;&lt;dates&gt;&lt;/dates&gt;&lt;urls&gt;&lt;/urls&gt;&lt;/record&gt;&lt;/Cite&gt;&lt;/EndNote&gt;</w:instrText>
      </w:r>
      <w:r w:rsidR="00630B7A" w:rsidRPr="00424424">
        <w:rPr>
          <w:rFonts w:ascii="Arial" w:hAnsi="Arial" w:cs="Arial"/>
          <w:bCs/>
        </w:rPr>
        <w:fldChar w:fldCharType="separate"/>
      </w:r>
      <w:r w:rsidR="007D7E81" w:rsidRPr="00424424">
        <w:rPr>
          <w:rFonts w:ascii="Arial" w:hAnsi="Arial" w:cs="Arial"/>
          <w:bCs/>
          <w:noProof/>
        </w:rPr>
        <w:t>[22]</w:t>
      </w:r>
      <w:r w:rsidR="00630B7A" w:rsidRPr="00424424">
        <w:rPr>
          <w:rFonts w:ascii="Arial" w:hAnsi="Arial" w:cs="Arial"/>
          <w:bCs/>
        </w:rPr>
        <w:fldChar w:fldCharType="end"/>
      </w:r>
      <w:r w:rsidR="003110E6" w:rsidRPr="00424424">
        <w:rPr>
          <w:rFonts w:ascii="Arial" w:hAnsi="Arial" w:cs="Arial"/>
          <w:bCs/>
        </w:rPr>
        <w:t>.</w:t>
      </w:r>
      <w:r w:rsidRPr="00424424">
        <w:rPr>
          <w:rFonts w:ascii="Arial" w:hAnsi="Arial" w:cs="Arial"/>
          <w:bCs/>
        </w:rPr>
        <w:t xml:space="preserve"> </w:t>
      </w:r>
      <w:r w:rsidR="00E05307" w:rsidRPr="00424424">
        <w:rPr>
          <w:rFonts w:ascii="Arial" w:hAnsi="Arial" w:cs="Arial"/>
          <w:bCs/>
        </w:rPr>
        <w:t>H</w:t>
      </w:r>
      <w:r w:rsidRPr="00424424">
        <w:rPr>
          <w:rFonts w:ascii="Arial" w:hAnsi="Arial" w:cs="Arial"/>
          <w:bCs/>
        </w:rPr>
        <w:t xml:space="preserve">ypertension </w:t>
      </w:r>
      <w:r w:rsidR="00E05307" w:rsidRPr="00424424">
        <w:rPr>
          <w:rFonts w:ascii="Arial" w:hAnsi="Arial" w:cs="Arial"/>
          <w:bCs/>
        </w:rPr>
        <w:t>(systolic blood pressure ≥140 mm Hg, diastolic blood pressure ≥90 mm Hg, or use of antihypertensive medication)</w:t>
      </w:r>
      <w:r w:rsidR="008C441F" w:rsidRPr="00424424">
        <w:t xml:space="preserve"> </w:t>
      </w:r>
      <w:r w:rsidR="0051059A" w:rsidRPr="00424424">
        <w:rPr>
          <w:rFonts w:ascii="Arial" w:hAnsi="Arial" w:cs="Arial"/>
          <w:bCs/>
        </w:rPr>
        <w:t>had a global prevalence of 34% among men and 32% among women, aged 30-79 years</w:t>
      </w:r>
      <w:r w:rsidR="007F59DA" w:rsidRPr="00424424">
        <w:rPr>
          <w:rFonts w:ascii="Arial" w:hAnsi="Arial" w:cs="Arial"/>
          <w:bCs/>
        </w:rPr>
        <w:t>,</w:t>
      </w:r>
      <w:r w:rsidR="0051059A" w:rsidRPr="00424424">
        <w:rPr>
          <w:rFonts w:ascii="Arial" w:hAnsi="Arial" w:cs="Arial"/>
          <w:bCs/>
        </w:rPr>
        <w:t xml:space="preserve"> in 2019 </w:t>
      </w:r>
      <w:r w:rsidR="0051059A" w:rsidRPr="00424424">
        <w:rPr>
          <w:rFonts w:ascii="Arial" w:hAnsi="Arial" w:cs="Arial"/>
          <w:bCs/>
        </w:rPr>
        <w:fldChar w:fldCharType="begin"/>
      </w:r>
      <w:r w:rsidR="007D7E81" w:rsidRPr="00424424">
        <w:rPr>
          <w:rFonts w:ascii="Arial" w:hAnsi="Arial" w:cs="Arial"/>
          <w:bCs/>
        </w:rPr>
        <w:instrText xml:space="preserve"> ADDIN EN.CITE &lt;EndNote&gt;&lt;Cite&gt;&lt;Author&gt;Zhou&lt;/Author&gt;&lt;Year&gt;2021&lt;/Year&gt;&lt;RecNum&gt;1475&lt;/RecNum&gt;&lt;DisplayText&gt;[23]&lt;/DisplayText&gt;&lt;record&gt;&lt;rec-number&gt;1475&lt;/rec-number&gt;&lt;foreign-keys&gt;&lt;key app="EN" db-id="pzdf5rvs9wzts6erav6v0rpowttawpd0ztaa" timestamp="1647951440"&gt;1475&lt;/key&gt;&lt;/foreign-keys&gt;&lt;ref-type name="Journal Article"&gt;17&lt;/ref-type&gt;&lt;contributors&gt;&lt;authors&gt;&lt;author&gt;Zhou, Bin&lt;/author&gt;&lt;author&gt;Carrillo-Larco, Rodrigo M&lt;/author&gt;&lt;author&gt;Danaei, Goodarz&lt;/author&gt;&lt;author&gt;Riley, Leanne M&lt;/author&gt;&lt;author&gt;Paciorek, Christopher J&lt;/author&gt;&lt;author&gt;Stevens, Gretchen A&lt;/author&gt;&lt;author&gt;Gregg, Edward W&lt;/author&gt;&lt;author&gt;Bennett, James E&lt;/author&gt;&lt;author&gt;Solomon, Bethlehem&lt;/author&gt;&lt;author&gt;Singleton, Rosie K&lt;/author&gt;&lt;/authors&gt;&lt;/contributors&gt;&lt;titles&gt;&lt;title&gt;Worldwide trends in hypertension prevalence and progress in treatment and control from 1990 to 2019: a pooled analysis of 1201 population-representative studies with 104 million participants&lt;/title&gt;&lt;secondary-title&gt;Lancet.&lt;/secondary-title&gt;&lt;/titles&gt;&lt;periodical&gt;&lt;full-title&gt;Lancet.&lt;/full-title&gt;&lt;/periodical&gt;&lt;pages&gt;957-980&lt;/pages&gt;&lt;volume&gt;398&lt;/volume&gt;&lt;number&gt;10304&lt;/number&gt;&lt;dates&gt;&lt;year&gt;2021&lt;/year&gt;&lt;/dates&gt;&lt;isbn&gt;0140-6736&lt;/isbn&gt;&lt;urls&gt;&lt;/urls&gt;&lt;/record&gt;&lt;/Cite&gt;&lt;/EndNote&gt;</w:instrText>
      </w:r>
      <w:r w:rsidR="0051059A" w:rsidRPr="00424424">
        <w:rPr>
          <w:rFonts w:ascii="Arial" w:hAnsi="Arial" w:cs="Arial"/>
          <w:bCs/>
        </w:rPr>
        <w:fldChar w:fldCharType="separate"/>
      </w:r>
      <w:r w:rsidR="007D7E81" w:rsidRPr="00424424">
        <w:rPr>
          <w:rFonts w:ascii="Arial" w:hAnsi="Arial" w:cs="Arial"/>
          <w:bCs/>
          <w:noProof/>
        </w:rPr>
        <w:t>[23]</w:t>
      </w:r>
      <w:r w:rsidR="0051059A" w:rsidRPr="00424424">
        <w:rPr>
          <w:rFonts w:ascii="Arial" w:hAnsi="Arial" w:cs="Arial"/>
          <w:bCs/>
        </w:rPr>
        <w:fldChar w:fldCharType="end"/>
      </w:r>
      <w:r w:rsidR="0051059A" w:rsidRPr="00424424">
        <w:rPr>
          <w:rFonts w:ascii="Arial" w:hAnsi="Arial" w:cs="Arial"/>
          <w:bCs/>
        </w:rPr>
        <w:t xml:space="preserve">. </w:t>
      </w:r>
      <w:r w:rsidRPr="00424424">
        <w:rPr>
          <w:rFonts w:ascii="Arial" w:hAnsi="Arial" w:cs="Arial"/>
          <w:bCs/>
        </w:rPr>
        <w:t xml:space="preserve">When placed in this context, it </w:t>
      </w:r>
      <w:r w:rsidR="00FB3104" w:rsidRPr="00424424">
        <w:rPr>
          <w:rFonts w:ascii="Arial" w:hAnsi="Arial" w:cs="Arial"/>
          <w:bCs/>
        </w:rPr>
        <w:t>may be regarded as unusual to</w:t>
      </w:r>
      <w:r w:rsidRPr="00424424">
        <w:rPr>
          <w:rFonts w:ascii="Arial" w:hAnsi="Arial" w:cs="Arial"/>
          <w:bCs/>
        </w:rPr>
        <w:t xml:space="preserve"> adopt thresholds for muscle </w:t>
      </w:r>
      <w:r w:rsidR="00B10C48" w:rsidRPr="00424424">
        <w:rPr>
          <w:rFonts w:ascii="Arial" w:hAnsi="Arial" w:cs="Arial"/>
          <w:bCs/>
        </w:rPr>
        <w:t>strength and function</w:t>
      </w:r>
      <w:r w:rsidRPr="00424424">
        <w:rPr>
          <w:rFonts w:ascii="Arial" w:hAnsi="Arial" w:cs="Arial"/>
          <w:bCs/>
        </w:rPr>
        <w:t xml:space="preserve"> </w:t>
      </w:r>
      <w:r w:rsidR="000E38CB" w:rsidRPr="00424424">
        <w:rPr>
          <w:rFonts w:ascii="Arial" w:hAnsi="Arial" w:cs="Arial"/>
          <w:bCs/>
        </w:rPr>
        <w:t xml:space="preserve">that result in a definition of sarcopenia </w:t>
      </w:r>
      <w:r w:rsidRPr="00424424">
        <w:rPr>
          <w:rFonts w:ascii="Arial" w:hAnsi="Arial" w:cs="Arial"/>
          <w:bCs/>
        </w:rPr>
        <w:t>which only accommodate</w:t>
      </w:r>
      <w:r w:rsidR="000E38CB" w:rsidRPr="00424424">
        <w:rPr>
          <w:rFonts w:ascii="Arial" w:hAnsi="Arial" w:cs="Arial"/>
          <w:bCs/>
        </w:rPr>
        <w:t>s</w:t>
      </w:r>
      <w:r w:rsidRPr="00424424">
        <w:rPr>
          <w:rFonts w:ascii="Arial" w:hAnsi="Arial" w:cs="Arial"/>
          <w:bCs/>
        </w:rPr>
        <w:t xml:space="preserve"> less than </w:t>
      </w:r>
      <w:r w:rsidR="008E553C" w:rsidRPr="00424424">
        <w:rPr>
          <w:rFonts w:ascii="Arial" w:hAnsi="Arial" w:cs="Arial"/>
          <w:bCs/>
        </w:rPr>
        <w:t>2</w:t>
      </w:r>
      <w:r w:rsidRPr="00424424">
        <w:rPr>
          <w:rFonts w:ascii="Arial" w:hAnsi="Arial" w:cs="Arial"/>
          <w:bCs/>
        </w:rPr>
        <w:t>% of the population, even at ages above 70 years.</w:t>
      </w:r>
      <w:bookmarkStart w:id="11" w:name="_Hlk94785218"/>
      <w:bookmarkEnd w:id="10"/>
      <w:r w:rsidR="001F2DED" w:rsidRPr="00424424">
        <w:t xml:space="preserve"> </w:t>
      </w:r>
      <w:r w:rsidR="001F2DED" w:rsidRPr="00424424">
        <w:rPr>
          <w:rFonts w:ascii="Arial" w:hAnsi="Arial" w:cs="Arial"/>
          <w:bCs/>
        </w:rPr>
        <w:t>Historically, thresholds used in definitions of some conditions</w:t>
      </w:r>
      <w:r w:rsidR="00147361">
        <w:rPr>
          <w:rFonts w:ascii="Arial" w:hAnsi="Arial" w:cs="Arial"/>
          <w:bCs/>
        </w:rPr>
        <w:t>,</w:t>
      </w:r>
      <w:r w:rsidR="001F2DED" w:rsidRPr="00424424">
        <w:rPr>
          <w:rFonts w:ascii="Arial" w:hAnsi="Arial" w:cs="Arial"/>
          <w:bCs/>
        </w:rPr>
        <w:t xml:space="preserve"> such as hypertension and hypercholesterolemia</w:t>
      </w:r>
      <w:r w:rsidR="00147361">
        <w:rPr>
          <w:rFonts w:ascii="Arial" w:hAnsi="Arial" w:cs="Arial"/>
          <w:bCs/>
        </w:rPr>
        <w:t>,</w:t>
      </w:r>
      <w:r w:rsidR="001F2DED" w:rsidRPr="00424424">
        <w:rPr>
          <w:rFonts w:ascii="Arial" w:hAnsi="Arial" w:cs="Arial"/>
          <w:bCs/>
        </w:rPr>
        <w:t xml:space="preserve"> closely reflect treatment thresholds. However, for sarcopenia, there is no presumption here that treatment decisions should be based on definitional approaches as there are likely to be </w:t>
      </w:r>
      <w:bookmarkStart w:id="12" w:name="_Hlk115087412"/>
      <w:r w:rsidR="001F2DED" w:rsidRPr="00424424">
        <w:rPr>
          <w:rFonts w:ascii="Arial" w:hAnsi="Arial" w:cs="Arial"/>
          <w:bCs/>
        </w:rPr>
        <w:t xml:space="preserve">different treatment thresholds depending on the </w:t>
      </w:r>
      <w:r w:rsidR="000206E6" w:rsidRPr="000206E6">
        <w:rPr>
          <w:rFonts w:ascii="Arial" w:hAnsi="Arial" w:cs="Arial"/>
          <w:bCs/>
        </w:rPr>
        <w:t>feasibility, cost, and</w:t>
      </w:r>
      <w:r w:rsidR="001F2DED" w:rsidRPr="00424424">
        <w:rPr>
          <w:rFonts w:ascii="Arial" w:hAnsi="Arial" w:cs="Arial"/>
          <w:bCs/>
        </w:rPr>
        <w:t xml:space="preserve"> efficacy of the</w:t>
      </w:r>
      <w:bookmarkEnd w:id="12"/>
      <w:r w:rsidR="001F2DED" w:rsidRPr="00424424">
        <w:rPr>
          <w:rFonts w:ascii="Arial" w:hAnsi="Arial" w:cs="Arial"/>
          <w:bCs/>
        </w:rPr>
        <w:t xml:space="preserve"> interventions available. Therefore, cost-effectiveness evaluation and other analyses are required to identify specific thresholds for identification of patients who would most likely benefit from treatments for sarcopenia.</w:t>
      </w:r>
    </w:p>
    <w:p w14:paraId="45D542AF" w14:textId="650A53F6" w:rsidR="00AA5776" w:rsidRPr="00424424" w:rsidRDefault="00AA5776" w:rsidP="00AA5776">
      <w:pPr>
        <w:spacing w:line="360" w:lineRule="auto"/>
        <w:rPr>
          <w:rFonts w:ascii="Arial" w:hAnsi="Arial" w:cs="Arial"/>
          <w:bCs/>
        </w:rPr>
      </w:pPr>
      <w:r w:rsidRPr="00424424">
        <w:rPr>
          <w:rFonts w:ascii="Arial" w:hAnsi="Arial" w:cs="Arial"/>
          <w:bCs/>
        </w:rPr>
        <w:t xml:space="preserve">Early </w:t>
      </w:r>
      <w:r w:rsidR="004D42C7" w:rsidRPr="00424424">
        <w:rPr>
          <w:rFonts w:ascii="Arial" w:hAnsi="Arial" w:cs="Arial"/>
          <w:bCs/>
        </w:rPr>
        <w:t>sarcopenia definitions</w:t>
      </w:r>
      <w:r w:rsidR="00972A39" w:rsidRPr="00424424">
        <w:rPr>
          <w:rFonts w:ascii="Arial" w:hAnsi="Arial" w:cs="Arial"/>
          <w:bCs/>
        </w:rPr>
        <w:t xml:space="preserve">, such as those proposed in 1998 by Baumgartner </w:t>
      </w:r>
      <w:r w:rsidR="00972A39" w:rsidRPr="00424424">
        <w:rPr>
          <w:rFonts w:ascii="Arial" w:hAnsi="Arial" w:cs="Arial"/>
          <w:bCs/>
        </w:rPr>
        <w:fldChar w:fldCharType="begin"/>
      </w:r>
      <w:r w:rsidR="007D7E81" w:rsidRPr="00424424">
        <w:rPr>
          <w:rFonts w:ascii="Arial" w:hAnsi="Arial" w:cs="Arial"/>
          <w:bCs/>
        </w:rPr>
        <w:instrText xml:space="preserve"> ADDIN EN.CITE &lt;EndNote&gt;&lt;Cite&gt;&lt;Author&gt;Baumgartner&lt;/Author&gt;&lt;Year&gt;1998&lt;/Year&gt;&lt;RecNum&gt;1470&lt;/RecNum&gt;&lt;DisplayText&gt;[24]&lt;/DisplayText&gt;&lt;record&gt;&lt;rec-number&gt;1470&lt;/rec-number&gt;&lt;foreign-keys&gt;&lt;key app="EN" db-id="pzdf5rvs9wzts6erav6v0rpowttawpd0ztaa" timestamp="1643714880"&gt;1470&lt;/key&gt;&lt;/foreign-keys&gt;&lt;ref-type name="Journal Article"&gt;17&lt;/ref-type&gt;&lt;contributors&gt;&lt;authors&gt;&lt;author&gt;Baumgartner, Richard N&lt;/author&gt;&lt;author&gt;Koehler, Kathleen M&lt;/author&gt;&lt;author&gt;Gallagher, Dympna&lt;/author&gt;&lt;author&gt;Romero, Linda&lt;/author&gt;&lt;author&gt;Heymsfield, Steven B&lt;/author&gt;&lt;author&gt;Ross, Robert R&lt;/author&gt;&lt;author&gt;Garry, Philip J&lt;/author&gt;&lt;author&gt;Lindeman, Robert D&lt;/author&gt;&lt;/authors&gt;&lt;/contributors&gt;&lt;titles&gt;&lt;title&gt;Epidemiology of sarcopenia among the elderly in New Mexico&lt;/title&gt;&lt;secondary-title&gt;Am J Epidemiol.&lt;/secondary-title&gt;&lt;/titles&gt;&lt;periodical&gt;&lt;full-title&gt;Am J Epidemiol.&lt;/full-title&gt;&lt;/periodical&gt;&lt;pages&gt;755-763&lt;/pages&gt;&lt;volume&gt;147&lt;/volume&gt;&lt;number&gt;8&lt;/number&gt;&lt;dates&gt;&lt;year&gt;1998&lt;/year&gt;&lt;/dates&gt;&lt;isbn&gt;1476-6256&lt;/isbn&gt;&lt;urls&gt;&lt;/urls&gt;&lt;/record&gt;&lt;/Cite&gt;&lt;/EndNote&gt;</w:instrText>
      </w:r>
      <w:r w:rsidR="00972A39" w:rsidRPr="00424424">
        <w:rPr>
          <w:rFonts w:ascii="Arial" w:hAnsi="Arial" w:cs="Arial"/>
          <w:bCs/>
        </w:rPr>
        <w:fldChar w:fldCharType="separate"/>
      </w:r>
      <w:r w:rsidR="007D7E81" w:rsidRPr="00424424">
        <w:rPr>
          <w:rFonts w:ascii="Arial" w:hAnsi="Arial" w:cs="Arial"/>
          <w:bCs/>
          <w:noProof/>
        </w:rPr>
        <w:t>[24]</w:t>
      </w:r>
      <w:r w:rsidR="00972A39" w:rsidRPr="00424424">
        <w:rPr>
          <w:rFonts w:ascii="Arial" w:hAnsi="Arial" w:cs="Arial"/>
          <w:bCs/>
        </w:rPr>
        <w:fldChar w:fldCharType="end"/>
      </w:r>
      <w:r w:rsidR="00972A39" w:rsidRPr="00424424">
        <w:rPr>
          <w:rFonts w:ascii="Arial" w:hAnsi="Arial" w:cs="Arial"/>
          <w:bCs/>
        </w:rPr>
        <w:t xml:space="preserve"> </w:t>
      </w:r>
      <w:r w:rsidR="005B524A" w:rsidRPr="00424424">
        <w:rPr>
          <w:rFonts w:ascii="Arial" w:hAnsi="Arial" w:cs="Arial"/>
          <w:bCs/>
        </w:rPr>
        <w:t xml:space="preserve">and in 2007 by Delmonico </w:t>
      </w:r>
      <w:r w:rsidR="005B524A" w:rsidRPr="00424424">
        <w:rPr>
          <w:rFonts w:ascii="Arial" w:hAnsi="Arial" w:cs="Arial"/>
          <w:bCs/>
        </w:rPr>
        <w:fldChar w:fldCharType="begin">
          <w:fldData xml:space="preserve">PEVuZE5vdGU+PENpdGU+PEF1dGhvcj5EZWxtb25pY288L0F1dGhvcj48WWVhcj4yMDA3PC9ZZWFy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=
</w:fldData>
        </w:fldChar>
      </w:r>
      <w:r w:rsidR="007D7E81" w:rsidRPr="00424424">
        <w:rPr>
          <w:rFonts w:ascii="Arial" w:hAnsi="Arial" w:cs="Arial"/>
          <w:bCs/>
        </w:rPr>
        <w:instrText xml:space="preserve"> ADDIN EN.CITE </w:instrText>
      </w:r>
      <w:r w:rsidR="007D7E81" w:rsidRPr="00424424">
        <w:rPr>
          <w:rFonts w:ascii="Arial" w:hAnsi="Arial" w:cs="Arial"/>
          <w:bCs/>
        </w:rPr>
        <w:fldChar w:fldCharType="begin">
          <w:fldData xml:space="preserve">PEVuZE5vdGU+PENpdGU+PEF1dGhvcj5EZWxtb25pY288L0F1dGhvcj48WWVhcj4yMDA3PC9ZZWFy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=
</w:fldData>
        </w:fldChar>
      </w:r>
      <w:r w:rsidR="007D7E81" w:rsidRPr="00424424">
        <w:rPr>
          <w:rFonts w:ascii="Arial" w:hAnsi="Arial" w:cs="Arial"/>
          <w:bCs/>
        </w:rPr>
        <w:instrText xml:space="preserve"> ADDIN EN.CITE.DATA </w:instrText>
      </w:r>
      <w:r w:rsidR="007D7E81" w:rsidRPr="00424424">
        <w:rPr>
          <w:rFonts w:ascii="Arial" w:hAnsi="Arial" w:cs="Arial"/>
          <w:bCs/>
        </w:rPr>
      </w:r>
      <w:r w:rsidR="007D7E81" w:rsidRPr="00424424">
        <w:rPr>
          <w:rFonts w:ascii="Arial" w:hAnsi="Arial" w:cs="Arial"/>
          <w:bCs/>
        </w:rPr>
        <w:fldChar w:fldCharType="end"/>
      </w:r>
      <w:r w:rsidR="005B524A" w:rsidRPr="00424424">
        <w:rPr>
          <w:rFonts w:ascii="Arial" w:hAnsi="Arial" w:cs="Arial"/>
          <w:bCs/>
        </w:rPr>
      </w:r>
      <w:r w:rsidR="005B524A" w:rsidRPr="00424424">
        <w:rPr>
          <w:rFonts w:ascii="Arial" w:hAnsi="Arial" w:cs="Arial"/>
          <w:bCs/>
        </w:rPr>
        <w:fldChar w:fldCharType="separate"/>
      </w:r>
      <w:r w:rsidR="007D7E81" w:rsidRPr="00424424">
        <w:rPr>
          <w:rFonts w:ascii="Arial" w:hAnsi="Arial" w:cs="Arial"/>
          <w:bCs/>
          <w:noProof/>
        </w:rPr>
        <w:t>[25]</w:t>
      </w:r>
      <w:r w:rsidR="005B524A" w:rsidRPr="00424424">
        <w:rPr>
          <w:rFonts w:ascii="Arial" w:hAnsi="Arial" w:cs="Arial"/>
          <w:bCs/>
        </w:rPr>
        <w:fldChar w:fldCharType="end"/>
      </w:r>
      <w:r w:rsidR="00682DA6">
        <w:rPr>
          <w:rFonts w:ascii="Arial" w:hAnsi="Arial" w:cs="Arial"/>
          <w:bCs/>
        </w:rPr>
        <w:t>,</w:t>
      </w:r>
      <w:r w:rsidR="005B524A" w:rsidRPr="00424424">
        <w:rPr>
          <w:rFonts w:ascii="Arial" w:hAnsi="Arial" w:cs="Arial"/>
          <w:bCs/>
        </w:rPr>
        <w:t xml:space="preserve"> were based </w:t>
      </w:r>
      <w:r w:rsidR="00162C15" w:rsidRPr="00424424">
        <w:rPr>
          <w:rFonts w:ascii="Arial" w:hAnsi="Arial" w:cs="Arial"/>
          <w:bCs/>
        </w:rPr>
        <w:t xml:space="preserve">on </w:t>
      </w:r>
      <w:r w:rsidR="005B524A" w:rsidRPr="00424424">
        <w:rPr>
          <w:rFonts w:ascii="Arial" w:hAnsi="Arial" w:cs="Arial"/>
          <w:bCs/>
        </w:rPr>
        <w:t xml:space="preserve">lean mass. </w:t>
      </w:r>
      <w:r w:rsidRPr="00424424">
        <w:rPr>
          <w:rFonts w:ascii="Arial" w:hAnsi="Arial" w:cs="Arial"/>
          <w:bCs/>
        </w:rPr>
        <w:t>In 2010, the EWGSOP</w:t>
      </w:r>
      <w:r w:rsidR="005067AB" w:rsidRPr="00424424">
        <w:rPr>
          <w:rFonts w:ascii="Arial" w:hAnsi="Arial" w:cs="Arial"/>
          <w:bCs/>
        </w:rPr>
        <w:t xml:space="preserve"> </w:t>
      </w:r>
      <w:r w:rsidRPr="00424424">
        <w:rPr>
          <w:rFonts w:ascii="Arial" w:hAnsi="Arial" w:cs="Arial"/>
          <w:bCs/>
        </w:rPr>
        <w:t xml:space="preserve">recognised that muscle strength does not only depend on </w:t>
      </w:r>
      <w:r w:rsidR="005B524A" w:rsidRPr="00424424">
        <w:rPr>
          <w:rFonts w:ascii="Arial" w:hAnsi="Arial" w:cs="Arial"/>
          <w:bCs/>
        </w:rPr>
        <w:t>lean</w:t>
      </w:r>
      <w:r w:rsidRPr="00424424">
        <w:rPr>
          <w:rFonts w:ascii="Arial" w:hAnsi="Arial" w:cs="Arial"/>
          <w:bCs/>
        </w:rPr>
        <w:t xml:space="preserve"> mass and that the relationship between these quantities is non-linear; they defined sarcopenia as having low lean mass with low strength or function</w:t>
      </w:r>
      <w:r w:rsidR="005067AB" w:rsidRPr="00424424">
        <w:rPr>
          <w:rFonts w:ascii="Arial" w:hAnsi="Arial" w:cs="Arial"/>
          <w:bCs/>
        </w:rPr>
        <w:t xml:space="preserve"> </w:t>
      </w:r>
      <w:r w:rsidR="005067AB" w:rsidRPr="00424424">
        <w:rPr>
          <w:rFonts w:ascii="Arial" w:hAnsi="Arial" w:cs="Arial"/>
          <w:bCs/>
        </w:rPr>
        <w:fldChar w:fldCharType="begin"/>
      </w:r>
      <w:r w:rsidR="0063698B" w:rsidRPr="00424424">
        <w:rPr>
          <w:rFonts w:ascii="Arial" w:hAnsi="Arial" w:cs="Arial"/>
          <w:bCs/>
        </w:rPr>
        <w:instrText xml:space="preserve"> ADDIN EN.CITE &lt;EndNote&gt;&lt;Cite&gt;&lt;Author&gt;Cruz-Jentoft&lt;/Author&gt;&lt;Year&gt;2010&lt;/Year&gt;&lt;RecNum&gt;1096&lt;/RecNum&gt;&lt;DisplayText&gt;[4]&lt;/DisplayText&gt;&lt;record&gt;&lt;rec-number&gt;1096&lt;/rec-number&gt;&lt;foreign-keys&gt;&lt;key app="EN" db-id="pzdf5rvs9wzts6erav6v0rpowttawpd0ztaa" timestamp="1516440143"&gt;1096&lt;/key&gt;&lt;/foreign-keys&gt;&lt;ref-type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M&lt;/author&gt;&lt;/authors&gt;&lt;/contributors&gt;&lt;titles&gt;&lt;title&gt;Sarcopenia: European consensus on definition and diagnosis: Report of the European Working Group on Sarcopenia in Older People&lt;/title&gt;&lt;secondary-title&gt;Age Ageing.&lt;/secondary-title&gt;&lt;/titles&gt;&lt;periodical&gt;&lt;full-title&gt;Age Ageing.&lt;/full-title&gt;&lt;/periodical&gt;&lt;pages&gt;412-423&lt;/pages&gt;&lt;volume&gt;39&lt;/volume&gt;&lt;number&gt;4&lt;/number&gt;&lt;dates&gt;&lt;year&gt;2010&lt;/year&gt;&lt;/dates&gt;&lt;isbn&gt;0002-0729&lt;/isbn&gt;&lt;urls&gt;&lt;related-urls&gt;&lt;url&gt;https://www.ncbi.nlm.nih.gov/pmc/articles/PMC2886201/pdf/afq034.pdf&lt;/url&gt;&lt;/related-urls&gt;&lt;/urls&gt;&lt;/record&gt;&lt;/Cite&gt;&lt;/EndNote&gt;</w:instrText>
      </w:r>
      <w:r w:rsidR="005067AB" w:rsidRPr="00424424">
        <w:rPr>
          <w:rFonts w:ascii="Arial" w:hAnsi="Arial" w:cs="Arial"/>
          <w:bCs/>
        </w:rPr>
        <w:fldChar w:fldCharType="separate"/>
      </w:r>
      <w:r w:rsidR="0063698B" w:rsidRPr="00424424">
        <w:rPr>
          <w:rFonts w:ascii="Arial" w:hAnsi="Arial" w:cs="Arial"/>
          <w:bCs/>
          <w:noProof/>
        </w:rPr>
        <w:t>[4]</w:t>
      </w:r>
      <w:r w:rsidR="005067AB" w:rsidRPr="00424424">
        <w:rPr>
          <w:rFonts w:ascii="Arial" w:hAnsi="Arial" w:cs="Arial"/>
          <w:bCs/>
        </w:rPr>
        <w:fldChar w:fldCharType="end"/>
      </w:r>
      <w:r w:rsidRPr="00424424">
        <w:rPr>
          <w:rFonts w:ascii="Arial" w:hAnsi="Arial" w:cs="Arial"/>
          <w:bCs/>
        </w:rPr>
        <w:t xml:space="preserve">. This was revised in </w:t>
      </w:r>
      <w:r w:rsidR="00BD4F6B" w:rsidRPr="00424424">
        <w:rPr>
          <w:rFonts w:ascii="Arial" w:hAnsi="Arial" w:cs="Arial"/>
          <w:bCs/>
        </w:rPr>
        <w:t>2019</w:t>
      </w:r>
      <w:r w:rsidRPr="00424424">
        <w:rPr>
          <w:rFonts w:ascii="Arial" w:hAnsi="Arial" w:cs="Arial"/>
          <w:bCs/>
        </w:rPr>
        <w:t xml:space="preserve"> (EWGSOP2) as </w:t>
      </w:r>
      <w:r w:rsidR="005B524A" w:rsidRPr="00424424">
        <w:rPr>
          <w:rFonts w:ascii="Arial" w:hAnsi="Arial" w:cs="Arial"/>
          <w:bCs/>
        </w:rPr>
        <w:t xml:space="preserve">research had established </w:t>
      </w:r>
      <w:r w:rsidRPr="00424424">
        <w:rPr>
          <w:rFonts w:ascii="Arial" w:hAnsi="Arial" w:cs="Arial"/>
          <w:bCs/>
        </w:rPr>
        <w:t xml:space="preserve">low strength as a stronger predictor of adverse outcomes than </w:t>
      </w:r>
      <w:r w:rsidR="005B524A" w:rsidRPr="00424424">
        <w:rPr>
          <w:rFonts w:ascii="Arial" w:hAnsi="Arial" w:cs="Arial"/>
          <w:bCs/>
        </w:rPr>
        <w:t>lean mass</w:t>
      </w:r>
      <w:r w:rsidRPr="00424424">
        <w:rPr>
          <w:rFonts w:ascii="Arial" w:hAnsi="Arial" w:cs="Arial"/>
          <w:bCs/>
        </w:rPr>
        <w:t xml:space="preserve">; low strength </w:t>
      </w:r>
      <w:r w:rsidR="00162C15" w:rsidRPr="00424424">
        <w:rPr>
          <w:rFonts w:ascii="Arial" w:hAnsi="Arial" w:cs="Arial"/>
          <w:bCs/>
        </w:rPr>
        <w:t xml:space="preserve">is the primary component in EWGSOP2 </w:t>
      </w:r>
      <w:r w:rsidRPr="00424424">
        <w:rPr>
          <w:rFonts w:ascii="Arial" w:hAnsi="Arial" w:cs="Arial"/>
          <w:bCs/>
        </w:rPr>
        <w:t xml:space="preserve">and is used alone to define probable sarcopenia with </w:t>
      </w:r>
      <w:r w:rsidRPr="00424424">
        <w:rPr>
          <w:rFonts w:ascii="Arial" w:hAnsi="Arial" w:cs="Arial"/>
          <w:bCs/>
        </w:rPr>
        <w:lastRenderedPageBreak/>
        <w:t xml:space="preserve">confirmed sarcopenia defined as having both low strength and </w:t>
      </w:r>
      <w:r w:rsidR="005067AB" w:rsidRPr="00424424">
        <w:rPr>
          <w:rFonts w:ascii="Arial" w:hAnsi="Arial" w:cs="Arial"/>
          <w:bCs/>
        </w:rPr>
        <w:t>lean</w:t>
      </w:r>
      <w:r w:rsidRPr="00424424">
        <w:rPr>
          <w:rFonts w:ascii="Arial" w:hAnsi="Arial" w:cs="Arial"/>
          <w:bCs/>
        </w:rPr>
        <w:t xml:space="preserve"> mass</w:t>
      </w:r>
      <w:r w:rsidR="005067AB" w:rsidRPr="00424424">
        <w:rPr>
          <w:rFonts w:ascii="Arial" w:hAnsi="Arial" w:cs="Arial"/>
          <w:bCs/>
        </w:rPr>
        <w:t xml:space="preserve"> </w:t>
      </w:r>
      <w:r w:rsidR="005067AB" w:rsidRPr="00424424">
        <w:rPr>
          <w:rFonts w:ascii="Arial" w:hAnsi="Arial" w:cs="Arial"/>
          <w:bCs/>
        </w:rPr>
        <w:fldChar w:fldCharType="begin"/>
      </w:r>
      <w:r w:rsidR="0063698B" w:rsidRPr="00424424">
        <w:rPr>
          <w:rFonts w:ascii="Arial" w:hAnsi="Arial" w:cs="Arial"/>
          <w:bCs/>
        </w:rPr>
        <w:instrText xml:space="preserve"> ADDIN EN.CITE &lt;EndNote&gt;&lt;Cite&gt;&lt;Author&gt;Cruz-Jentoft&lt;/Author&gt;&lt;Year&gt;2019&lt;/Year&gt;&lt;RecNum&gt;1341&lt;/RecNum&gt;&lt;DisplayText&gt;[5]&lt;/DisplayText&gt;&lt;record&gt;&lt;rec-number&gt;1341&lt;/rec-number&gt;&lt;foreign-keys&gt;&lt;key app="EN" db-id="pzdf5rvs9wzts6erav6v0rpowttawpd0ztaa" timestamp="1550482166"&gt;1341&lt;/key&gt;&lt;/foreign-keys&gt;&lt;ref-type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Aihie&lt;/author&gt;&lt;/authors&gt;&lt;/contributors&gt;&lt;titles&gt;&lt;title&gt;Sarcopenia: revised European consensus on definition and diagnosis&lt;/title&gt;&lt;secondary-title&gt;Age Ageing&lt;/secondary-title&gt;&lt;/titles&gt;&lt;periodical&gt;&lt;full-title&gt;Age Ageing&lt;/full-title&gt;&lt;/periodical&gt;&lt;pages&gt;16-31&lt;/pages&gt;&lt;volume&gt;48&lt;/volume&gt;&lt;number&gt;1&lt;/number&gt;&lt;dates&gt;&lt;year&gt;2019&lt;/year&gt;&lt;/dates&gt;&lt;urls&gt;&lt;/urls&gt;&lt;/record&gt;&lt;/Cite&gt;&lt;/EndNote&gt;</w:instrText>
      </w:r>
      <w:r w:rsidR="005067AB" w:rsidRPr="00424424">
        <w:rPr>
          <w:rFonts w:ascii="Arial" w:hAnsi="Arial" w:cs="Arial"/>
          <w:bCs/>
        </w:rPr>
        <w:fldChar w:fldCharType="separate"/>
      </w:r>
      <w:r w:rsidR="0063698B" w:rsidRPr="00424424">
        <w:rPr>
          <w:rFonts w:ascii="Arial" w:hAnsi="Arial" w:cs="Arial"/>
          <w:bCs/>
          <w:noProof/>
        </w:rPr>
        <w:t>[5]</w:t>
      </w:r>
      <w:r w:rsidR="005067AB" w:rsidRPr="00424424">
        <w:rPr>
          <w:rFonts w:ascii="Arial" w:hAnsi="Arial" w:cs="Arial"/>
          <w:bCs/>
        </w:rPr>
        <w:fldChar w:fldCharType="end"/>
      </w:r>
      <w:r w:rsidRPr="00424424">
        <w:rPr>
          <w:rFonts w:ascii="Arial" w:hAnsi="Arial" w:cs="Arial"/>
          <w:bCs/>
        </w:rPr>
        <w:t>.</w:t>
      </w:r>
      <w:r w:rsidR="004547C9" w:rsidRPr="00424424">
        <w:rPr>
          <w:rFonts w:ascii="Arial" w:hAnsi="Arial" w:cs="Arial"/>
          <w:bCs/>
        </w:rPr>
        <w:t xml:space="preserve"> The EWGSOP2 approach aimed to promote diagnosis and management of sarcopenia in clinical practice and, therefore, this definition aimed to identify indisputable cases.</w:t>
      </w:r>
    </w:p>
    <w:p w14:paraId="58C0AC42" w14:textId="4AD0E744" w:rsidR="00356992" w:rsidRPr="00424424" w:rsidRDefault="009669EC" w:rsidP="00AA5776">
      <w:pPr>
        <w:spacing w:line="360" w:lineRule="auto"/>
        <w:rPr>
          <w:rFonts w:ascii="Arial" w:hAnsi="Arial" w:cs="Arial"/>
          <w:bCs/>
          <w:color w:val="0070C0"/>
        </w:rPr>
      </w:pPr>
      <w:r w:rsidRPr="00424424">
        <w:rPr>
          <w:rFonts w:ascii="Arial" w:hAnsi="Arial" w:cs="Arial"/>
          <w:bCs/>
        </w:rPr>
        <w:t xml:space="preserve">In addition to the earlier </w:t>
      </w:r>
      <w:r w:rsidR="00E973F4" w:rsidRPr="00424424">
        <w:rPr>
          <w:rFonts w:ascii="Arial" w:hAnsi="Arial" w:cs="Arial"/>
          <w:bCs/>
        </w:rPr>
        <w:t xml:space="preserve">sarcopenia </w:t>
      </w:r>
      <w:r w:rsidRPr="00424424">
        <w:rPr>
          <w:rFonts w:ascii="Arial" w:hAnsi="Arial" w:cs="Arial"/>
          <w:bCs/>
        </w:rPr>
        <w:t>definitions</w:t>
      </w:r>
      <w:r w:rsidR="00E973F4" w:rsidRPr="00424424">
        <w:rPr>
          <w:rFonts w:ascii="Arial" w:hAnsi="Arial" w:cs="Arial"/>
          <w:bCs/>
        </w:rPr>
        <w:t xml:space="preserve"> and those proposed by EWGSOP and EWGSOP2, FNIH and SDOC have also proposed definitions over the previous decade. </w:t>
      </w:r>
      <w:r w:rsidR="00AA5776" w:rsidRPr="00424424">
        <w:rPr>
          <w:rFonts w:ascii="Arial" w:hAnsi="Arial" w:cs="Arial"/>
          <w:bCs/>
        </w:rPr>
        <w:t xml:space="preserve">The FNIH Sarcopenia Project researchers </w:t>
      </w:r>
      <w:r w:rsidR="005B524A" w:rsidRPr="00424424">
        <w:rPr>
          <w:rFonts w:ascii="Arial" w:hAnsi="Arial" w:cs="Arial"/>
          <w:bCs/>
        </w:rPr>
        <w:t xml:space="preserve">adopted the following approach </w:t>
      </w:r>
      <w:r w:rsidR="00FB33D8" w:rsidRPr="00424424">
        <w:rPr>
          <w:rFonts w:ascii="Arial" w:hAnsi="Arial" w:cs="Arial"/>
          <w:bCs/>
        </w:rPr>
        <w:t>in 2014</w:t>
      </w:r>
      <w:r w:rsidR="005B524A" w:rsidRPr="00424424">
        <w:rPr>
          <w:rFonts w:ascii="Arial" w:hAnsi="Arial" w:cs="Arial"/>
          <w:bCs/>
        </w:rPr>
        <w:t>: identified a grip strength threshold that discriminates mobility impairment (gait ≤ 0.8 m/s); identified ALM and ALM/BMI thresholds that discriminate this grip strength threshold; and examined the predictive capacity of these thresholds for incident mobility impairment and mortality</w:t>
      </w:r>
      <w:r w:rsidR="00FB33D8" w:rsidRPr="00424424">
        <w:rPr>
          <w:rFonts w:ascii="Arial" w:hAnsi="Arial" w:cs="Arial"/>
          <w:bCs/>
        </w:rPr>
        <w:t xml:space="preserve"> </w:t>
      </w:r>
      <w:r w:rsidR="005067AB" w:rsidRPr="00424424">
        <w:rPr>
          <w:rFonts w:ascii="Arial" w:hAnsi="Arial" w:cs="Arial"/>
          <w:bCs/>
        </w:rPr>
        <w:fldChar w:fldCharType="begin"/>
      </w:r>
      <w:r w:rsidR="0063698B" w:rsidRPr="00424424">
        <w:rPr>
          <w:rFonts w:ascii="Arial" w:hAnsi="Arial" w:cs="Arial"/>
          <w:bCs/>
        </w:rPr>
        <w:instrText xml:space="preserve"> ADDIN EN.CITE &lt;EndNote&gt;&lt;Cite&gt;&lt;Author&gt;Studenski&lt;/Author&gt;&lt;Year&gt;2014&lt;/Year&gt;&lt;RecNum&gt;1097&lt;/RecNum&gt;&lt;DisplayText&gt;[6]&lt;/DisplayText&gt;&lt;record&gt;&lt;rec-number&gt;1097&lt;/rec-number&gt;&lt;foreign-keys&gt;&lt;key app="EN" db-id="pzdf5rvs9wzts6erav6v0rpowttawpd0ztaa" timestamp="1516440280"&gt;1097&lt;/key&gt;&lt;/foreign-keys&gt;&lt;ref-type name="Journal Article"&gt;17&lt;/ref-type&gt;&lt;contributors&gt;&lt;authors&gt;&lt;author&gt;Studenski, Stephanie A&lt;/author&gt;&lt;author&gt;Peters, Katherine W&lt;/author&gt;&lt;author&gt;Alley, Dawn E&lt;/author&gt;&lt;author&gt;Cawthon, Peggy M&lt;/author&gt;&lt;author&gt;McLean, Robert R&lt;/author&gt;&lt;author&gt;Harris, Tamara B&lt;/author&gt;&lt;author&gt;Ferrucci, Luigi&lt;/author&gt;&lt;author&gt;Guralnik, Jack M&lt;/author&gt;&lt;author&gt;Fragala, Maren S&lt;/author&gt;&lt;author&gt;Kenny, Anne M&lt;/author&gt;&lt;/authors&gt;&lt;/contributors&gt;&lt;titles&gt;&lt;title&gt;The FNIH sarcopenia project: rationale, study description, conference recommendations, and final estimates&lt;/title&gt;&lt;secondary-title&gt;J Gerontol A Biol Sci Med Sci.&lt;/secondary-title&gt;&lt;/titles&gt;&lt;periodical&gt;&lt;full-title&gt;J Gerontol A Biol Sci Med Sci.&lt;/full-title&gt;&lt;/periodical&gt;&lt;pages&gt;547-558&lt;/pages&gt;&lt;volume&gt;69&lt;/volume&gt;&lt;number&gt;5&lt;/number&gt;&lt;dates&gt;&lt;year&gt;2014&lt;/year&gt;&lt;/dates&gt;&lt;isbn&gt;1758-535X&lt;/isbn&gt;&lt;urls&gt;&lt;related-urls&gt;&lt;url&gt;https://www.ncbi.nlm.nih.gov/pmc/articles/PMC3991146/pdf/glu010.pdf&lt;/url&gt;&lt;/related-urls&gt;&lt;/urls&gt;&lt;/record&gt;&lt;/Cite&gt;&lt;/EndNote&gt;</w:instrText>
      </w:r>
      <w:r w:rsidR="005067AB" w:rsidRPr="00424424">
        <w:rPr>
          <w:rFonts w:ascii="Arial" w:hAnsi="Arial" w:cs="Arial"/>
          <w:bCs/>
        </w:rPr>
        <w:fldChar w:fldCharType="separate"/>
      </w:r>
      <w:r w:rsidR="0063698B" w:rsidRPr="00424424">
        <w:rPr>
          <w:rFonts w:ascii="Arial" w:hAnsi="Arial" w:cs="Arial"/>
          <w:bCs/>
          <w:noProof/>
        </w:rPr>
        <w:t>[6]</w:t>
      </w:r>
      <w:r w:rsidR="005067AB" w:rsidRPr="00424424">
        <w:rPr>
          <w:rFonts w:ascii="Arial" w:hAnsi="Arial" w:cs="Arial"/>
          <w:bCs/>
        </w:rPr>
        <w:fldChar w:fldCharType="end"/>
      </w:r>
      <w:r w:rsidR="00AA5776" w:rsidRPr="00424424">
        <w:rPr>
          <w:rFonts w:ascii="Arial" w:hAnsi="Arial" w:cs="Arial"/>
          <w:bCs/>
        </w:rPr>
        <w:t xml:space="preserve">. FNIH sarcopenia was characterised as having </w:t>
      </w:r>
      <w:r w:rsidR="005067AB" w:rsidRPr="00424424">
        <w:rPr>
          <w:rFonts w:ascii="Arial" w:hAnsi="Arial" w:cs="Arial"/>
          <w:bCs/>
        </w:rPr>
        <w:t>low</w:t>
      </w:r>
      <w:r w:rsidR="00AA5776" w:rsidRPr="00424424">
        <w:rPr>
          <w:rFonts w:ascii="Arial" w:hAnsi="Arial" w:cs="Arial"/>
          <w:bCs/>
        </w:rPr>
        <w:t xml:space="preserve"> grip strength and</w:t>
      </w:r>
      <w:r w:rsidR="005B524A" w:rsidRPr="00424424">
        <w:rPr>
          <w:rFonts w:ascii="Arial" w:hAnsi="Arial" w:cs="Arial"/>
          <w:bCs/>
        </w:rPr>
        <w:t xml:space="preserve"> ALM/BMI</w:t>
      </w:r>
      <w:r w:rsidR="00AA5776" w:rsidRPr="00424424">
        <w:rPr>
          <w:rFonts w:ascii="Arial" w:hAnsi="Arial" w:cs="Arial"/>
          <w:bCs/>
        </w:rPr>
        <w:t xml:space="preserve">. An updated version was proposed in 2020 by </w:t>
      </w:r>
      <w:r w:rsidR="00FB33D8" w:rsidRPr="00424424">
        <w:rPr>
          <w:rFonts w:ascii="Arial" w:hAnsi="Arial" w:cs="Arial"/>
          <w:bCs/>
        </w:rPr>
        <w:t xml:space="preserve">the </w:t>
      </w:r>
      <w:r w:rsidR="00AA5776" w:rsidRPr="00424424">
        <w:rPr>
          <w:rFonts w:ascii="Arial" w:hAnsi="Arial" w:cs="Arial"/>
          <w:bCs/>
        </w:rPr>
        <w:t>SDOC</w:t>
      </w:r>
      <w:r w:rsidR="005067AB" w:rsidRPr="00424424">
        <w:rPr>
          <w:rFonts w:ascii="Arial" w:hAnsi="Arial" w:cs="Arial"/>
          <w:bCs/>
        </w:rPr>
        <w:t xml:space="preserve"> </w:t>
      </w:r>
      <w:r w:rsidR="005067AB" w:rsidRPr="00424424">
        <w:rPr>
          <w:rFonts w:ascii="Arial" w:hAnsi="Arial" w:cs="Arial"/>
          <w:bCs/>
        </w:rPr>
        <w:fldChar w:fldCharType="begin"/>
      </w:r>
      <w:r w:rsidR="0063698B" w:rsidRPr="00424424">
        <w:rPr>
          <w:rFonts w:ascii="Arial" w:hAnsi="Arial" w:cs="Arial"/>
          <w:bCs/>
        </w:rPr>
        <w:instrText xml:space="preserve"> ADDIN EN.CITE &lt;EndNote&gt;&lt;Cite&gt;&lt;Author&gt;Bhasin&lt;/Author&gt;&lt;Year&gt;2020&lt;/Year&gt;&lt;RecNum&gt;1410&lt;/RecNum&gt;&lt;DisplayText&gt;[7]&lt;/DisplayText&gt;&lt;record&gt;&lt;rec-number&gt;1410&lt;/rec-number&gt;&lt;foreign-keys&gt;&lt;key app="EN" db-id="pzdf5rvs9wzts6erav6v0rpowttawpd0ztaa" timestamp="1585735076"&gt;1410&lt;/key&gt;&lt;/foreign-keys&gt;&lt;ref-type name="Journal Article"&gt;17&lt;/ref-type&gt;&lt;contributors&gt;&lt;authors&gt;&lt;author&gt;Bhasin, Shalender&lt;/author&gt;&lt;author&gt;Travison, Thomas G&lt;/author&gt;&lt;author&gt;Manini, Todd M&lt;/author&gt;&lt;author&gt;Patel, Sheena&lt;/author&gt;&lt;author&gt;Pencina, Karol M&lt;/author&gt;&lt;author&gt;Fielding, Roger A&lt;/author&gt;&lt;author&gt;Magaziner, Jay M&lt;/author&gt;&lt;author&gt;Newman, Anne B&lt;/author&gt;&lt;author&gt;Kiel, Douglas P&lt;/author&gt;&lt;author&gt;Cooper, Cyrus&lt;/author&gt;&lt;/authors&gt;&lt;/contributors&gt;&lt;titles&gt;&lt;title&gt;Sarcopenia Definition: The Position Statements of the Sarcopenia Definition and Outcomes Consortium&lt;/title&gt;&lt;secondary-title&gt; J Am Geriatr Soc&lt;/secondary-title&gt;&lt;/titles&gt;&lt;pages&gt;1410-1418&lt;/pages&gt;&lt;volume&gt;68&lt;/volume&gt;&lt;number&gt;7&lt;/number&gt;&lt;dates&gt;&lt;year&gt;2020&lt;/year&gt;&lt;/dates&gt;&lt;isbn&gt;0002-8614&lt;/isbn&gt;&lt;urls&gt;&lt;/urls&gt;&lt;/record&gt;&lt;/Cite&gt;&lt;/EndNote&gt;</w:instrText>
      </w:r>
      <w:r w:rsidR="005067AB" w:rsidRPr="00424424">
        <w:rPr>
          <w:rFonts w:ascii="Arial" w:hAnsi="Arial" w:cs="Arial"/>
          <w:bCs/>
        </w:rPr>
        <w:fldChar w:fldCharType="separate"/>
      </w:r>
      <w:r w:rsidR="0063698B" w:rsidRPr="00424424">
        <w:rPr>
          <w:rFonts w:ascii="Arial" w:hAnsi="Arial" w:cs="Arial"/>
          <w:bCs/>
          <w:noProof/>
        </w:rPr>
        <w:t>[7]</w:t>
      </w:r>
      <w:r w:rsidR="005067AB" w:rsidRPr="00424424">
        <w:rPr>
          <w:rFonts w:ascii="Arial" w:hAnsi="Arial" w:cs="Arial"/>
          <w:bCs/>
        </w:rPr>
        <w:fldChar w:fldCharType="end"/>
      </w:r>
      <w:r w:rsidR="00AA5776" w:rsidRPr="00424424">
        <w:rPr>
          <w:rFonts w:ascii="Arial" w:hAnsi="Arial" w:cs="Arial"/>
          <w:bCs/>
        </w:rPr>
        <w:t xml:space="preserve">. The SDOC </w:t>
      </w:r>
      <w:r w:rsidR="007461C4" w:rsidRPr="00424424">
        <w:rPr>
          <w:rFonts w:ascii="Arial" w:hAnsi="Arial" w:cs="Arial"/>
          <w:bCs/>
        </w:rPr>
        <w:t>used cohorts</w:t>
      </w:r>
      <w:r w:rsidR="007344D8" w:rsidRPr="00424424">
        <w:rPr>
          <w:rFonts w:ascii="Arial" w:hAnsi="Arial" w:cs="Arial"/>
          <w:bCs/>
        </w:rPr>
        <w:t xml:space="preserve"> of community-dwelling adults</w:t>
      </w:r>
      <w:r w:rsidR="007461C4" w:rsidRPr="00424424">
        <w:rPr>
          <w:rFonts w:ascii="Arial" w:hAnsi="Arial" w:cs="Arial"/>
          <w:bCs/>
        </w:rPr>
        <w:t xml:space="preserve"> to identify </w:t>
      </w:r>
      <w:r w:rsidR="00AA5776" w:rsidRPr="00424424">
        <w:rPr>
          <w:rFonts w:ascii="Arial" w:hAnsi="Arial" w:cs="Arial"/>
          <w:bCs/>
        </w:rPr>
        <w:t>thresholds for strength and lean mass parameters that discriminate low gait speed (&lt;0.8 m/s) and then assessed predictive capacity of these thresholds for incident outcomes. SDOC sarcopenia was defined as having low grip strength and gait speed; lean mass was not consistently associated with outcomes.</w:t>
      </w:r>
      <w:r w:rsidR="00356992" w:rsidRPr="00424424">
        <w:t xml:space="preserve"> </w:t>
      </w:r>
      <w:r w:rsidR="00356992" w:rsidRPr="00424424">
        <w:rPr>
          <w:rFonts w:ascii="Arial" w:hAnsi="Arial" w:cs="Arial"/>
          <w:bCs/>
        </w:rPr>
        <w:t>The differences between SDOC (</w:t>
      </w:r>
      <w:r w:rsidR="007344D8" w:rsidRPr="00424424">
        <w:rPr>
          <w:rFonts w:ascii="Arial" w:hAnsi="Arial" w:cs="Arial"/>
          <w:bCs/>
        </w:rPr>
        <w:t>analysis based approach</w:t>
      </w:r>
      <w:r w:rsidR="00356992" w:rsidRPr="00424424">
        <w:rPr>
          <w:rFonts w:ascii="Arial" w:hAnsi="Arial" w:cs="Arial"/>
          <w:bCs/>
        </w:rPr>
        <w:t xml:space="preserve">) and EWGSOP2 (identification of indisputable clinical cases) </w:t>
      </w:r>
      <w:r w:rsidR="000E38CB" w:rsidRPr="00424424">
        <w:rPr>
          <w:rFonts w:ascii="Arial" w:hAnsi="Arial" w:cs="Arial"/>
          <w:bCs/>
        </w:rPr>
        <w:t xml:space="preserve">may partly </w:t>
      </w:r>
      <w:r w:rsidR="00356992" w:rsidRPr="00424424">
        <w:rPr>
          <w:rFonts w:ascii="Arial" w:hAnsi="Arial" w:cs="Arial"/>
          <w:bCs/>
        </w:rPr>
        <w:t xml:space="preserve">explain the </w:t>
      </w:r>
      <w:r w:rsidR="004403D7" w:rsidRPr="00424424">
        <w:rPr>
          <w:rFonts w:ascii="Arial" w:hAnsi="Arial" w:cs="Arial"/>
          <w:bCs/>
        </w:rPr>
        <w:t>lower</w:t>
      </w:r>
      <w:r w:rsidR="000E38CB" w:rsidRPr="00424424">
        <w:rPr>
          <w:rFonts w:ascii="Arial" w:hAnsi="Arial" w:cs="Arial"/>
          <w:bCs/>
        </w:rPr>
        <w:t xml:space="preserve"> grip strength threshold selected for the EWGSOP2 definition </w:t>
      </w:r>
      <w:r w:rsidR="00356992" w:rsidRPr="00424424">
        <w:rPr>
          <w:rFonts w:ascii="Arial" w:hAnsi="Arial" w:cs="Arial"/>
          <w:bCs/>
        </w:rPr>
        <w:t>(</w:t>
      </w:r>
      <w:r w:rsidR="004403D7" w:rsidRPr="00424424">
        <w:rPr>
          <w:rFonts w:ascii="Arial" w:hAnsi="Arial" w:cs="Arial"/>
          <w:bCs/>
        </w:rPr>
        <w:t>&lt;</w:t>
      </w:r>
      <w:r w:rsidR="00356992" w:rsidRPr="00424424">
        <w:rPr>
          <w:rFonts w:ascii="Arial" w:hAnsi="Arial" w:cs="Arial"/>
          <w:bCs/>
        </w:rPr>
        <w:t>27 kg) compared to SDOC (&lt;35.5 kg).</w:t>
      </w:r>
      <w:r w:rsidR="00182A87" w:rsidRPr="00424424">
        <w:rPr>
          <w:rFonts w:ascii="Arial" w:hAnsi="Arial" w:cs="Arial"/>
          <w:bCs/>
        </w:rPr>
        <w:t xml:space="preserve"> </w:t>
      </w:r>
      <w:r w:rsidR="00CF18AF" w:rsidRPr="00424424">
        <w:rPr>
          <w:rFonts w:ascii="Arial" w:hAnsi="Arial" w:cs="Arial"/>
          <w:bCs/>
        </w:rPr>
        <w:t>In agreement with SDOC, the</w:t>
      </w:r>
      <w:r w:rsidR="00CF18AF" w:rsidRPr="00424424">
        <w:t xml:space="preserve"> </w:t>
      </w:r>
      <w:r w:rsidR="00CF18AF" w:rsidRPr="00424424">
        <w:rPr>
          <w:rFonts w:ascii="Arial" w:hAnsi="Arial" w:cs="Arial"/>
          <w:bCs/>
        </w:rPr>
        <w:t xml:space="preserve">European Society for Clinical and Economic Aspects of Osteoporosis and Osteoarthritis (ESCEO) recommend that in clinical trials for drugs aimed </w:t>
      </w:r>
      <w:r w:rsidR="00980932" w:rsidRPr="00424424">
        <w:rPr>
          <w:rFonts w:ascii="Arial" w:hAnsi="Arial" w:cs="Arial"/>
          <w:bCs/>
        </w:rPr>
        <w:t>at treating</w:t>
      </w:r>
      <w:r w:rsidR="00CF18AF" w:rsidRPr="00424424">
        <w:rPr>
          <w:rFonts w:ascii="Arial" w:hAnsi="Arial" w:cs="Arial"/>
          <w:bCs/>
        </w:rPr>
        <w:t xml:space="preserve"> sarcopenia, cases should have a combination of low muscle strength and low physical performance </w:t>
      </w:r>
      <w:r w:rsidR="00CF18AF" w:rsidRPr="00424424">
        <w:rPr>
          <w:rFonts w:ascii="Arial" w:hAnsi="Arial" w:cs="Arial"/>
          <w:bCs/>
        </w:rPr>
        <w:fldChar w:fldCharType="begin"/>
      </w:r>
      <w:r w:rsidR="007D7E81" w:rsidRPr="00424424">
        <w:rPr>
          <w:rFonts w:ascii="Arial" w:hAnsi="Arial" w:cs="Arial"/>
          <w:bCs/>
        </w:rPr>
        <w:instrText xml:space="preserve"> ADDIN EN.CITE &lt;EndNote&gt;&lt;Cite&gt;&lt;Author&gt;Reginster&lt;/Author&gt;&lt;Year&gt;2021&lt;/Year&gt;&lt;RecNum&gt;1479&lt;/RecNum&gt;&lt;DisplayText&gt;[26]&lt;/DisplayText&gt;&lt;record&gt;&lt;rec-number&gt;1479&lt;/rec-number&gt;&lt;foreign-keys&gt;&lt;key app="EN" db-id="pzdf5rvs9wzts6erav6v0rpowttawpd0ztaa" timestamp="1655368630"&gt;1479&lt;/key&gt;&lt;/foreign-keys&gt;&lt;ref-type name="Journal Article"&gt;17&lt;/ref-type&gt;&lt;contributors&gt;&lt;authors&gt;&lt;author&gt;Reginster, Jean-Yves&lt;/author&gt;&lt;author&gt;Beaudart, Charlotte&lt;/author&gt;&lt;author&gt;Al-Daghri, Nasser&lt;/author&gt;&lt;author&gt;Avouac, Bernard&lt;/author&gt;&lt;author&gt;Bauer, Jürgen&lt;/author&gt;&lt;author&gt;Bere, Nathalie&lt;/author&gt;&lt;author&gt;Bruyère, Olivier&lt;/author&gt;&lt;author&gt;Cerreta, Francesca&lt;/author&gt;&lt;author&gt;Cesari, Matteo&lt;/author&gt;&lt;author&gt;Rosa, Mario Miguel&lt;/author&gt;&lt;/authors&gt;&lt;/contributors&gt;&lt;titles&gt;&lt;title&gt;Update on the ESCEO recommendation for the conduct of clinical trials for drugs aiming at the treatment of sarcopenia in older adults&lt;/title&gt;&lt;secondary-title&gt;Aging Clin Exp Res.&lt;/secondary-title&gt;&lt;/titles&gt;&lt;periodical&gt;&lt;full-title&gt;Aging Clin Exp Res.&lt;/full-title&gt;&lt;/periodical&gt;&lt;pages&gt;3-17&lt;/pages&gt;&lt;volume&gt;33&lt;/volume&gt;&lt;number&gt;1&lt;/number&gt;&lt;dates&gt;&lt;year&gt;2021&lt;/year&gt;&lt;/dates&gt;&lt;isbn&gt;1720-8319&lt;/isbn&gt;&lt;urls&gt;&lt;/urls&gt;&lt;/record&gt;&lt;/Cite&gt;&lt;/EndNote&gt;</w:instrText>
      </w:r>
      <w:r w:rsidR="00CF18AF" w:rsidRPr="00424424">
        <w:rPr>
          <w:rFonts w:ascii="Arial" w:hAnsi="Arial" w:cs="Arial"/>
          <w:bCs/>
        </w:rPr>
        <w:fldChar w:fldCharType="separate"/>
      </w:r>
      <w:r w:rsidR="007D7E81" w:rsidRPr="00424424">
        <w:rPr>
          <w:rFonts w:ascii="Arial" w:hAnsi="Arial" w:cs="Arial"/>
          <w:bCs/>
          <w:noProof/>
        </w:rPr>
        <w:t>[26]</w:t>
      </w:r>
      <w:r w:rsidR="00CF18AF" w:rsidRPr="00424424">
        <w:rPr>
          <w:rFonts w:ascii="Arial" w:hAnsi="Arial" w:cs="Arial"/>
          <w:bCs/>
        </w:rPr>
        <w:fldChar w:fldCharType="end"/>
      </w:r>
      <w:r w:rsidR="00CF18AF" w:rsidRPr="00424424">
        <w:rPr>
          <w:rFonts w:ascii="Arial" w:hAnsi="Arial" w:cs="Arial"/>
          <w:bCs/>
        </w:rPr>
        <w:t>.</w:t>
      </w:r>
    </w:p>
    <w:p w14:paraId="70BCB7E4" w14:textId="01C3D74D" w:rsidR="005403CB" w:rsidRPr="00424424" w:rsidRDefault="00FB33D8" w:rsidP="00AA5776">
      <w:pPr>
        <w:spacing w:line="360" w:lineRule="auto"/>
        <w:rPr>
          <w:rFonts w:ascii="Arial" w:hAnsi="Arial" w:cs="Arial"/>
          <w:bCs/>
          <w:color w:val="0070C0"/>
        </w:rPr>
      </w:pPr>
      <w:r w:rsidRPr="00424424">
        <w:rPr>
          <w:rFonts w:ascii="Arial" w:hAnsi="Arial" w:cs="Arial"/>
          <w:bCs/>
        </w:rPr>
        <w:t>Few studie</w:t>
      </w:r>
      <w:r w:rsidR="00435022" w:rsidRPr="00424424">
        <w:rPr>
          <w:rFonts w:ascii="Arial" w:hAnsi="Arial" w:cs="Arial"/>
          <w:bCs/>
        </w:rPr>
        <w:t>s</w:t>
      </w:r>
      <w:r w:rsidRPr="00424424">
        <w:rPr>
          <w:rFonts w:ascii="Arial" w:hAnsi="Arial" w:cs="Arial"/>
          <w:bCs/>
        </w:rPr>
        <w:t xml:space="preserve"> have compared the performance of EWGSOP2 and SDOC definitions in the same </w:t>
      </w:r>
      <w:r w:rsidR="00435022" w:rsidRPr="00424424">
        <w:rPr>
          <w:rFonts w:ascii="Arial" w:hAnsi="Arial" w:cs="Arial"/>
          <w:bCs/>
        </w:rPr>
        <w:t>cohort</w:t>
      </w:r>
      <w:r w:rsidRPr="00424424">
        <w:rPr>
          <w:rFonts w:ascii="Arial" w:hAnsi="Arial" w:cs="Arial"/>
          <w:bCs/>
        </w:rPr>
        <w:t>.</w:t>
      </w:r>
      <w:r w:rsidR="005403CB" w:rsidRPr="00424424">
        <w:rPr>
          <w:rFonts w:ascii="Arial" w:hAnsi="Arial" w:cs="Arial"/>
          <w:bCs/>
        </w:rPr>
        <w:t xml:space="preserve"> </w:t>
      </w:r>
      <w:r w:rsidR="009B5309" w:rsidRPr="00424424">
        <w:rPr>
          <w:rFonts w:ascii="Arial" w:hAnsi="Arial" w:cs="Arial"/>
          <w:bCs/>
        </w:rPr>
        <w:t xml:space="preserve">Their prevalence and </w:t>
      </w:r>
      <w:r w:rsidR="005403CB" w:rsidRPr="00424424">
        <w:rPr>
          <w:rFonts w:ascii="Arial" w:hAnsi="Arial" w:cs="Arial"/>
          <w:bCs/>
        </w:rPr>
        <w:t xml:space="preserve">association with fracture risk </w:t>
      </w:r>
      <w:r w:rsidR="00435022" w:rsidRPr="00424424">
        <w:rPr>
          <w:rFonts w:ascii="Arial" w:hAnsi="Arial" w:cs="Arial"/>
          <w:bCs/>
        </w:rPr>
        <w:t>were</w:t>
      </w:r>
      <w:r w:rsidR="005403CB" w:rsidRPr="00424424">
        <w:rPr>
          <w:rFonts w:ascii="Arial" w:hAnsi="Arial" w:cs="Arial"/>
          <w:bCs/>
        </w:rPr>
        <w:t xml:space="preserve"> compared in a study comprising the US, Sweden and Hong Kong MrOS cohorts</w:t>
      </w:r>
      <w:r w:rsidR="00E427FC" w:rsidRPr="00424424">
        <w:rPr>
          <w:rFonts w:ascii="Arial" w:hAnsi="Arial" w:cs="Arial"/>
          <w:bCs/>
        </w:rPr>
        <w:t xml:space="preserve"> </w:t>
      </w:r>
      <w:r w:rsidR="00E427FC" w:rsidRPr="00424424">
        <w:rPr>
          <w:rFonts w:ascii="Arial" w:hAnsi="Arial" w:cs="Arial"/>
          <w:bCs/>
        </w:rPr>
        <w:fldChar w:fldCharType="begin"/>
      </w:r>
      <w:r w:rsidR="007D7E81" w:rsidRPr="00424424">
        <w:rPr>
          <w:rFonts w:ascii="Arial" w:hAnsi="Arial" w:cs="Arial"/>
          <w:bCs/>
        </w:rPr>
        <w:instrText xml:space="preserve"> ADDIN EN.CITE &lt;EndNote&gt;&lt;Cite&gt;&lt;Author&gt;Harvey&lt;/Author&gt;&lt;Year&gt;2021&lt;/Year&gt;&lt;RecNum&gt;1472&lt;/RecNum&gt;&lt;DisplayText&gt;[27]&lt;/DisplayText&gt;&lt;record&gt;&lt;rec-number&gt;1472&lt;/rec-number&gt;&lt;foreign-keys&gt;&lt;key app="EN" db-id="pzdf5rvs9wzts6erav6v0rpowttawpd0ztaa" timestamp="1645020155"&gt;1472&lt;/key&gt;&lt;/foreign-keys&gt;&lt;ref-type name="Journal Article"&gt;17&lt;/ref-type&gt;&lt;contributors&gt;&lt;authors&gt;&lt;author&gt;Harvey, Nicholas C&lt;/author&gt;&lt;author&gt;Orwoll, Eric&lt;/author&gt;&lt;author&gt;Kwok, Timothy&lt;/author&gt;&lt;author&gt;Karlsson, Magnus K&lt;/author&gt;&lt;author&gt;Rosengren, Björn E&lt;/author&gt;&lt;author&gt;Ribom, Eva&lt;/author&gt;&lt;author&gt;Cauley, Jane A&lt;/author&gt;&lt;author&gt;Cawthon, Peggy M&lt;/author&gt;&lt;author&gt;Ensrud, Kristine&lt;/author&gt;&lt;author&gt;Liu, Enwu&lt;/author&gt;&lt;/authors&gt;&lt;/contributors&gt;&lt;titles&gt;&lt;title&gt;Sarcopenia Definitions as Predictors of Fracture Risk Independent of FRAX®, Falls, and BMD in the Osteoporotic Fractures in Men (MrOS) Study: A Meta</w:instrText>
      </w:r>
      <w:r w:rsidR="007D7E81" w:rsidRPr="00424424">
        <w:rPr>
          <w:rFonts w:ascii="Cambria Math" w:hAnsi="Cambria Math" w:cs="Cambria Math"/>
          <w:bCs/>
        </w:rPr>
        <w:instrText>‐</w:instrText>
      </w:r>
      <w:r w:rsidR="007D7E81" w:rsidRPr="00424424">
        <w:rPr>
          <w:rFonts w:ascii="Arial" w:hAnsi="Arial" w:cs="Arial"/>
          <w:bCs/>
        </w:rPr>
        <w:instrText>Analysis&lt;/title&gt;&lt;secondary-title&gt;J Bone Miner Res.&lt;/secondary-title&gt;&lt;/titles&gt;&lt;periodical&gt;&lt;full-title&gt;J Bone Miner Res.&lt;/full-title&gt;&lt;/periodical&gt;&lt;pages&gt;1235-1244&lt;/pages&gt;&lt;volume&gt;36&lt;/volume&gt;&lt;number&gt;7&lt;/number&gt;&lt;dates&gt;&lt;year&gt;2021&lt;/year&gt;&lt;/dates&gt;&lt;isbn&gt;0884-0431&lt;/isbn&gt;&lt;urls&gt;&lt;/urls&gt;&lt;/record&gt;&lt;/Cite&gt;&lt;/EndNote&gt;</w:instrText>
      </w:r>
      <w:r w:rsidR="00E427FC" w:rsidRPr="00424424">
        <w:rPr>
          <w:rFonts w:ascii="Arial" w:hAnsi="Arial" w:cs="Arial"/>
          <w:bCs/>
        </w:rPr>
        <w:fldChar w:fldCharType="separate"/>
      </w:r>
      <w:r w:rsidR="007D7E81" w:rsidRPr="00424424">
        <w:rPr>
          <w:rFonts w:ascii="Arial" w:hAnsi="Arial" w:cs="Arial"/>
          <w:bCs/>
          <w:noProof/>
        </w:rPr>
        <w:t>[27]</w:t>
      </w:r>
      <w:r w:rsidR="00E427FC" w:rsidRPr="00424424">
        <w:rPr>
          <w:rFonts w:ascii="Arial" w:hAnsi="Arial" w:cs="Arial"/>
          <w:bCs/>
        </w:rPr>
        <w:fldChar w:fldCharType="end"/>
      </w:r>
      <w:r w:rsidR="005403CB" w:rsidRPr="00424424">
        <w:rPr>
          <w:rFonts w:ascii="Arial" w:hAnsi="Arial" w:cs="Arial"/>
          <w:bCs/>
        </w:rPr>
        <w:t xml:space="preserve">. Similar to </w:t>
      </w:r>
      <w:r w:rsidR="00C12C77" w:rsidRPr="00424424">
        <w:rPr>
          <w:rFonts w:ascii="Arial" w:hAnsi="Arial" w:cs="Arial"/>
          <w:bCs/>
        </w:rPr>
        <w:t>our findings</w:t>
      </w:r>
      <w:r w:rsidR="005403CB" w:rsidRPr="00424424">
        <w:rPr>
          <w:rFonts w:ascii="Arial" w:hAnsi="Arial" w:cs="Arial"/>
          <w:bCs/>
        </w:rPr>
        <w:t xml:space="preserve"> regarding mortality, EWSGOP2 and SDOC were strongly associated with </w:t>
      </w:r>
      <w:r w:rsidR="00C12C77" w:rsidRPr="00424424">
        <w:rPr>
          <w:rFonts w:ascii="Arial" w:hAnsi="Arial" w:cs="Arial"/>
          <w:bCs/>
        </w:rPr>
        <w:t xml:space="preserve">incident </w:t>
      </w:r>
      <w:r w:rsidR="005A45E2" w:rsidRPr="00424424">
        <w:rPr>
          <w:rFonts w:ascii="Arial" w:hAnsi="Arial" w:cs="Arial"/>
          <w:bCs/>
        </w:rPr>
        <w:t>fracture</w:t>
      </w:r>
      <w:r w:rsidR="006F2419" w:rsidRPr="00424424">
        <w:rPr>
          <w:rFonts w:ascii="Arial" w:hAnsi="Arial" w:cs="Arial"/>
          <w:bCs/>
        </w:rPr>
        <w:t xml:space="preserve"> (any, osteoporotic and major osteoporotic)</w:t>
      </w:r>
      <w:r w:rsidR="005A45E2" w:rsidRPr="00424424">
        <w:rPr>
          <w:rFonts w:ascii="Arial" w:hAnsi="Arial" w:cs="Arial"/>
          <w:bCs/>
        </w:rPr>
        <w:t xml:space="preserve"> </w:t>
      </w:r>
      <w:r w:rsidR="00C12C77" w:rsidRPr="00424424">
        <w:rPr>
          <w:rFonts w:ascii="Arial" w:hAnsi="Arial" w:cs="Arial"/>
          <w:bCs/>
        </w:rPr>
        <w:t>and had</w:t>
      </w:r>
      <w:r w:rsidR="005403CB" w:rsidRPr="00424424">
        <w:rPr>
          <w:rFonts w:ascii="Arial" w:hAnsi="Arial" w:cs="Arial"/>
          <w:bCs/>
        </w:rPr>
        <w:t xml:space="preserve"> low </w:t>
      </w:r>
      <w:r w:rsidR="00C83233" w:rsidRPr="00424424">
        <w:rPr>
          <w:rFonts w:ascii="Arial" w:hAnsi="Arial" w:cs="Arial"/>
          <w:bCs/>
        </w:rPr>
        <w:t>prevalence</w:t>
      </w:r>
      <w:r w:rsidR="005403CB" w:rsidRPr="00424424">
        <w:rPr>
          <w:rFonts w:ascii="Arial" w:hAnsi="Arial" w:cs="Arial"/>
          <w:bCs/>
        </w:rPr>
        <w:t xml:space="preserve">. </w:t>
      </w:r>
      <w:r w:rsidR="00C12C77" w:rsidRPr="00424424">
        <w:rPr>
          <w:rFonts w:ascii="Arial" w:hAnsi="Arial" w:cs="Arial"/>
          <w:bCs/>
        </w:rPr>
        <w:t>However</w:t>
      </w:r>
      <w:r w:rsidR="009B5309" w:rsidRPr="00424424">
        <w:rPr>
          <w:rFonts w:ascii="Arial" w:hAnsi="Arial" w:cs="Arial"/>
          <w:bCs/>
        </w:rPr>
        <w:t xml:space="preserve">, in contrast to our study, low strength was characterised </w:t>
      </w:r>
      <w:r w:rsidR="003750DE" w:rsidRPr="00424424">
        <w:rPr>
          <w:rFonts w:ascii="Arial" w:hAnsi="Arial" w:cs="Arial"/>
          <w:bCs/>
        </w:rPr>
        <w:t xml:space="preserve">as </w:t>
      </w:r>
      <w:r w:rsidR="009B5309" w:rsidRPr="00424424">
        <w:rPr>
          <w:rFonts w:ascii="Arial" w:hAnsi="Arial" w:cs="Arial"/>
          <w:bCs/>
        </w:rPr>
        <w:t xml:space="preserve">having low grip </w:t>
      </w:r>
      <w:r w:rsidR="003750DE" w:rsidRPr="00424424">
        <w:rPr>
          <w:rFonts w:ascii="Arial" w:hAnsi="Arial" w:cs="Arial"/>
          <w:bCs/>
        </w:rPr>
        <w:t xml:space="preserve">strength </w:t>
      </w:r>
      <w:r w:rsidR="009B5309" w:rsidRPr="00424424">
        <w:rPr>
          <w:rFonts w:ascii="Arial" w:hAnsi="Arial" w:cs="Arial"/>
          <w:bCs/>
        </w:rPr>
        <w:t>or chair rise speed in the EWSGOP2 definition</w:t>
      </w:r>
      <w:r w:rsidR="00650580" w:rsidRPr="00424424">
        <w:rPr>
          <w:rFonts w:ascii="Arial" w:hAnsi="Arial" w:cs="Arial"/>
          <w:bCs/>
        </w:rPr>
        <w:t>; this would result in a higher prevalence compared to the use of grip strength alone as a measure of strength</w:t>
      </w:r>
      <w:r w:rsidR="009B5309" w:rsidRPr="00424424">
        <w:rPr>
          <w:rFonts w:ascii="Arial" w:hAnsi="Arial" w:cs="Arial"/>
          <w:bCs/>
        </w:rPr>
        <w:t xml:space="preserve">. </w:t>
      </w:r>
      <w:r w:rsidR="005403CB" w:rsidRPr="00424424">
        <w:rPr>
          <w:rFonts w:ascii="Arial" w:hAnsi="Arial" w:cs="Arial"/>
          <w:bCs/>
        </w:rPr>
        <w:t xml:space="preserve">Prevalence of low grip strength using various thresholds </w:t>
      </w:r>
      <w:r w:rsidR="00D67224" w:rsidRPr="00424424">
        <w:rPr>
          <w:rFonts w:ascii="Arial" w:hAnsi="Arial" w:cs="Arial"/>
          <w:bCs/>
        </w:rPr>
        <w:t>was</w:t>
      </w:r>
      <w:r w:rsidR="005403CB" w:rsidRPr="00424424">
        <w:rPr>
          <w:rFonts w:ascii="Arial" w:hAnsi="Arial" w:cs="Arial"/>
          <w:bCs/>
        </w:rPr>
        <w:t xml:space="preserve"> compared in a study comprising 98 men and women admitted to a geriatric rehabilitation hospital in Switzerland</w:t>
      </w:r>
      <w:r w:rsidR="00704A81" w:rsidRPr="00424424">
        <w:rPr>
          <w:rFonts w:ascii="Arial" w:hAnsi="Arial" w:cs="Arial"/>
          <w:bCs/>
        </w:rPr>
        <w:t xml:space="preserve"> </w:t>
      </w:r>
      <w:r w:rsidR="00704A81" w:rsidRPr="00424424">
        <w:rPr>
          <w:rFonts w:ascii="Arial" w:hAnsi="Arial" w:cs="Arial"/>
          <w:bCs/>
        </w:rPr>
        <w:fldChar w:fldCharType="begin"/>
      </w:r>
      <w:r w:rsidR="007D7E81" w:rsidRPr="00424424">
        <w:rPr>
          <w:rFonts w:ascii="Arial" w:hAnsi="Arial" w:cs="Arial"/>
          <w:bCs/>
        </w:rPr>
        <w:instrText xml:space="preserve"> ADDIN EN.CITE &lt;EndNote&gt;&lt;Cite&gt;&lt;Author&gt;Stuck&lt;/Author&gt;&lt;Year&gt;2021&lt;/Year&gt;&lt;RecNum&gt;1473&lt;/RecNum&gt;&lt;DisplayText&gt;[28]&lt;/DisplayText&gt;&lt;record&gt;&lt;rec-number&gt;1473&lt;/rec-number&gt;&lt;foreign-keys&gt;&lt;key app="EN" db-id="pzdf5rvs9wzts6erav6v0rpowttawpd0ztaa" timestamp="1645020394"&gt;1473&lt;/key&gt;&lt;/foreign-keys&gt;&lt;ref-type name="Journal Article"&gt;17&lt;/ref-type&gt;&lt;contributors&gt;&lt;authors&gt;&lt;author&gt;Stuck, Anna K&lt;/author&gt;&lt;author&gt;Mäder, Nina C&lt;/author&gt;&lt;author&gt;Bertschi, Dominic&lt;/author&gt;&lt;author&gt;Limacher, Andreas&lt;/author&gt;&lt;author&gt;Kressig, Reto W&lt;/author&gt;&lt;/authors&gt;&lt;/contributors&gt;&lt;titles&gt;&lt;title&gt;Performance of the EWGSOP2 cut-points of low grip strength for identifying sarcopenia and frailty phenotype: a cross-sectional study in older inpatients&lt;/title&gt;&lt;secondary-title&gt;Int J Environ Res Public Health.&lt;/secondary-title&gt;&lt;/titles&gt;&lt;periodical&gt;&lt;full-title&gt;Int J Environ Res Public Health.&lt;/full-title&gt;&lt;/periodical&gt;&lt;pages&gt;3498&lt;/pages&gt;&lt;volume&gt;18&lt;/volume&gt;&lt;number&gt;7&lt;/number&gt;&lt;dates&gt;&lt;year&gt;2021&lt;/year&gt;&lt;/dates&gt;&lt;urls&gt;&lt;/urls&gt;&lt;/record&gt;&lt;/Cite&gt;&lt;/EndNote&gt;</w:instrText>
      </w:r>
      <w:r w:rsidR="00704A81" w:rsidRPr="00424424">
        <w:rPr>
          <w:rFonts w:ascii="Arial" w:hAnsi="Arial" w:cs="Arial"/>
          <w:bCs/>
        </w:rPr>
        <w:fldChar w:fldCharType="separate"/>
      </w:r>
      <w:r w:rsidR="007D7E81" w:rsidRPr="00424424">
        <w:rPr>
          <w:rFonts w:ascii="Arial" w:hAnsi="Arial" w:cs="Arial"/>
          <w:bCs/>
          <w:noProof/>
        </w:rPr>
        <w:t>[28]</w:t>
      </w:r>
      <w:r w:rsidR="00704A81" w:rsidRPr="00424424">
        <w:rPr>
          <w:rFonts w:ascii="Arial" w:hAnsi="Arial" w:cs="Arial"/>
          <w:bCs/>
        </w:rPr>
        <w:fldChar w:fldCharType="end"/>
      </w:r>
      <w:r w:rsidR="005403CB" w:rsidRPr="00424424">
        <w:rPr>
          <w:rFonts w:ascii="Arial" w:hAnsi="Arial" w:cs="Arial"/>
          <w:bCs/>
        </w:rPr>
        <w:t xml:space="preserve">. As expected, prevalence of low grip strength according to the EWGSOP2 threshold </w:t>
      </w:r>
      <w:r w:rsidR="009B5309" w:rsidRPr="00424424">
        <w:rPr>
          <w:rFonts w:ascii="Arial" w:hAnsi="Arial" w:cs="Arial"/>
          <w:bCs/>
        </w:rPr>
        <w:t>(</w:t>
      </w:r>
      <w:r w:rsidR="005403CB" w:rsidRPr="00424424">
        <w:rPr>
          <w:rFonts w:ascii="Arial" w:hAnsi="Arial" w:cs="Arial"/>
          <w:bCs/>
        </w:rPr>
        <w:t>10.2%) was considerably lower compared to the SDOC threshold (19.4%)</w:t>
      </w:r>
      <w:r w:rsidR="009B5309" w:rsidRPr="00424424">
        <w:rPr>
          <w:rFonts w:ascii="Arial" w:hAnsi="Arial" w:cs="Arial"/>
          <w:bCs/>
        </w:rPr>
        <w:t>.</w:t>
      </w:r>
      <w:r w:rsidR="000437CD" w:rsidRPr="00424424">
        <w:rPr>
          <w:rFonts w:ascii="Arial" w:hAnsi="Arial" w:cs="Arial"/>
          <w:bCs/>
        </w:rPr>
        <w:t xml:space="preserve"> </w:t>
      </w:r>
      <w:r w:rsidR="008B41FA" w:rsidRPr="00424424">
        <w:rPr>
          <w:rFonts w:ascii="Arial" w:hAnsi="Arial" w:cs="Arial"/>
          <w:bCs/>
        </w:rPr>
        <w:t xml:space="preserve">A previous SarcoPhAge analysis, using different components and thresholds </w:t>
      </w:r>
      <w:r w:rsidR="00BB1418" w:rsidRPr="00424424">
        <w:rPr>
          <w:rFonts w:ascii="Arial" w:hAnsi="Arial" w:cs="Arial"/>
          <w:bCs/>
        </w:rPr>
        <w:t>compared to</w:t>
      </w:r>
      <w:r w:rsidR="008B41FA" w:rsidRPr="00424424">
        <w:rPr>
          <w:rFonts w:ascii="Arial" w:hAnsi="Arial" w:cs="Arial"/>
          <w:bCs/>
        </w:rPr>
        <w:t xml:space="preserve"> our study, reported similar </w:t>
      </w:r>
      <w:r w:rsidR="00BB1418" w:rsidRPr="00424424">
        <w:rPr>
          <w:rFonts w:ascii="Arial" w:hAnsi="Arial" w:cs="Arial"/>
          <w:bCs/>
        </w:rPr>
        <w:t>effect</w:t>
      </w:r>
      <w:r w:rsidR="008B41FA" w:rsidRPr="00424424">
        <w:rPr>
          <w:rFonts w:ascii="Arial" w:hAnsi="Arial" w:cs="Arial"/>
          <w:bCs/>
        </w:rPr>
        <w:t xml:space="preserve"> sizes for </w:t>
      </w:r>
      <w:r w:rsidR="005841CD" w:rsidRPr="00424424">
        <w:rPr>
          <w:rFonts w:ascii="Arial" w:hAnsi="Arial" w:cs="Arial"/>
          <w:bCs/>
        </w:rPr>
        <w:t>EWGSOP2 and EWGSOP</w:t>
      </w:r>
      <w:r w:rsidR="00C83233" w:rsidRPr="00424424">
        <w:rPr>
          <w:rFonts w:ascii="Arial" w:hAnsi="Arial" w:cs="Arial"/>
          <w:bCs/>
        </w:rPr>
        <w:t xml:space="preserve"> </w:t>
      </w:r>
      <w:r w:rsidR="00BB1418" w:rsidRPr="00424424">
        <w:rPr>
          <w:rFonts w:ascii="Arial" w:hAnsi="Arial" w:cs="Arial"/>
          <w:bCs/>
        </w:rPr>
        <w:t>in relation to mortality</w:t>
      </w:r>
      <w:r w:rsidR="008B41FA" w:rsidRPr="00424424">
        <w:rPr>
          <w:rFonts w:ascii="Arial" w:hAnsi="Arial" w:cs="Arial"/>
          <w:bCs/>
        </w:rPr>
        <w:t xml:space="preserve">; however, EWGSOP2 </w:t>
      </w:r>
      <w:r w:rsidR="00BB1418" w:rsidRPr="00424424">
        <w:rPr>
          <w:rFonts w:ascii="Arial" w:hAnsi="Arial" w:cs="Arial"/>
          <w:bCs/>
        </w:rPr>
        <w:t xml:space="preserve">associations </w:t>
      </w:r>
      <w:r w:rsidR="008B41FA" w:rsidRPr="00424424">
        <w:rPr>
          <w:rFonts w:ascii="Arial" w:hAnsi="Arial" w:cs="Arial"/>
          <w:bCs/>
        </w:rPr>
        <w:t xml:space="preserve">were not </w:t>
      </w:r>
      <w:r w:rsidR="00682DA6">
        <w:rPr>
          <w:rFonts w:ascii="Arial" w:hAnsi="Arial" w:cs="Arial"/>
          <w:bCs/>
        </w:rPr>
        <w:t xml:space="preserve">statistically </w:t>
      </w:r>
      <w:r w:rsidR="008B41FA" w:rsidRPr="00424424">
        <w:rPr>
          <w:rFonts w:ascii="Arial" w:hAnsi="Arial" w:cs="Arial"/>
          <w:bCs/>
        </w:rPr>
        <w:t>significant due to its lower prevalence (7.4%</w:t>
      </w:r>
      <w:r w:rsidR="00B542AC" w:rsidRPr="00424424">
        <w:rPr>
          <w:rFonts w:ascii="Arial" w:hAnsi="Arial" w:cs="Arial"/>
          <w:bCs/>
        </w:rPr>
        <w:t xml:space="preserve"> vs 13.6%</w:t>
      </w:r>
      <w:r w:rsidR="008B41FA" w:rsidRPr="00424424">
        <w:rPr>
          <w:rFonts w:ascii="Arial" w:hAnsi="Arial" w:cs="Arial"/>
          <w:bCs/>
        </w:rPr>
        <w:t xml:space="preserve">) </w:t>
      </w:r>
      <w:r w:rsidR="005841CD" w:rsidRPr="00424424">
        <w:rPr>
          <w:rFonts w:ascii="Arial" w:hAnsi="Arial" w:cs="Arial"/>
          <w:bCs/>
        </w:rPr>
        <w:fldChar w:fldCharType="begin"/>
      </w:r>
      <w:r w:rsidR="007D7E81" w:rsidRPr="00424424">
        <w:rPr>
          <w:rFonts w:ascii="Arial" w:hAnsi="Arial" w:cs="Arial"/>
          <w:bCs/>
        </w:rPr>
        <w:instrText xml:space="preserve"> ADDIN EN.CITE &lt;EndNote&gt;&lt;Cite&gt;&lt;Author&gt;Locquet&lt;/Author&gt;&lt;Year&gt;2019&lt;/Year&gt;&lt;RecNum&gt;1478&lt;/RecNum&gt;&lt;DisplayText&gt;[29]&lt;/DisplayText&gt;&lt;record&gt;&lt;rec-number&gt;1478&lt;/rec-number&gt;&lt;foreign-keys&gt;&lt;key app="EN" db-id="pzdf5rvs9wzts6erav6v0rpowttawpd0ztaa" timestamp="1655363889"&gt;1478&lt;/key&gt;&lt;/foreign-keys&gt;&lt;ref-type name="Journal Article"&gt;17&lt;/ref-type&gt;&lt;contributors&gt;&lt;authors&gt;&lt;author&gt;Locquet, Médéa&lt;/author&gt;&lt;author&gt;Beaudart, Charlotte&lt;/author&gt;&lt;author&gt;Petermans, Jean&lt;/author&gt;&lt;author&gt;Reginster, Jean-Yves&lt;/author&gt;&lt;author&gt;Bruyère, Olivier&lt;/author&gt;&lt;/authors&gt;&lt;/contributors&gt;&lt;titles&gt;&lt;title&gt;EWGSOP2 versus EWGSOP1: impact on the prevalence of sarcopenia and its major health consequences&lt;/title&gt;&lt;secondary-title&gt;J Am Med Dir Assoc.&lt;/secondary-title&gt;&lt;/titles&gt;&lt;periodical&gt;&lt;full-title&gt;J Am Med Dir Assoc.&lt;/full-title&gt;&lt;/periodical&gt;&lt;pages&gt;384-385&lt;/pages&gt;&lt;volume&gt;20&lt;/volume&gt;&lt;number&gt;3&lt;/number&gt;&lt;dates&gt;&lt;year&gt;2019&lt;/year&gt;&lt;/dates&gt;&lt;isbn&gt;1525-8610&lt;/isbn&gt;&lt;urls&gt;&lt;/urls&gt;&lt;/record&gt;&lt;/Cite&gt;&lt;/EndNote&gt;</w:instrText>
      </w:r>
      <w:r w:rsidR="005841CD" w:rsidRPr="00424424">
        <w:rPr>
          <w:rFonts w:ascii="Arial" w:hAnsi="Arial" w:cs="Arial"/>
          <w:bCs/>
        </w:rPr>
        <w:fldChar w:fldCharType="separate"/>
      </w:r>
      <w:r w:rsidR="007D7E81" w:rsidRPr="00424424">
        <w:rPr>
          <w:rFonts w:ascii="Arial" w:hAnsi="Arial" w:cs="Arial"/>
          <w:bCs/>
          <w:noProof/>
        </w:rPr>
        <w:t>[29]</w:t>
      </w:r>
      <w:r w:rsidR="005841CD" w:rsidRPr="00424424">
        <w:rPr>
          <w:rFonts w:ascii="Arial" w:hAnsi="Arial" w:cs="Arial"/>
          <w:bCs/>
        </w:rPr>
        <w:fldChar w:fldCharType="end"/>
      </w:r>
      <w:r w:rsidR="00BB1418" w:rsidRPr="00424424">
        <w:rPr>
          <w:rFonts w:ascii="Arial" w:hAnsi="Arial" w:cs="Arial"/>
          <w:bCs/>
        </w:rPr>
        <w:t xml:space="preserve">. </w:t>
      </w:r>
      <w:r w:rsidR="005841CD" w:rsidRPr="00424424">
        <w:rPr>
          <w:rFonts w:ascii="Arial" w:hAnsi="Arial" w:cs="Arial"/>
          <w:bCs/>
        </w:rPr>
        <w:t xml:space="preserve">Furthermore, </w:t>
      </w:r>
      <w:r w:rsidR="008B41FA" w:rsidRPr="00424424">
        <w:rPr>
          <w:rFonts w:ascii="Arial" w:hAnsi="Arial" w:cs="Arial"/>
          <w:bCs/>
        </w:rPr>
        <w:t>s</w:t>
      </w:r>
      <w:r w:rsidR="005841CD" w:rsidRPr="00424424">
        <w:rPr>
          <w:rFonts w:ascii="Arial" w:hAnsi="Arial" w:cs="Arial"/>
          <w:bCs/>
        </w:rPr>
        <w:t xml:space="preserve">evere </w:t>
      </w:r>
      <w:r w:rsidR="005841CD" w:rsidRPr="00424424">
        <w:rPr>
          <w:rFonts w:ascii="Arial" w:hAnsi="Arial" w:cs="Arial"/>
          <w:bCs/>
        </w:rPr>
        <w:lastRenderedPageBreak/>
        <w:t xml:space="preserve">EWGSOP2 was associated with a </w:t>
      </w:r>
      <w:r w:rsidR="008B41FA" w:rsidRPr="00424424">
        <w:rPr>
          <w:rFonts w:ascii="Arial" w:hAnsi="Arial" w:cs="Arial"/>
          <w:bCs/>
        </w:rPr>
        <w:t>considerably</w:t>
      </w:r>
      <w:r w:rsidR="005841CD" w:rsidRPr="00424424">
        <w:rPr>
          <w:rFonts w:ascii="Arial" w:hAnsi="Arial" w:cs="Arial"/>
          <w:bCs/>
        </w:rPr>
        <w:t xml:space="preserve"> greater risk of mortality compared to </w:t>
      </w:r>
      <w:r w:rsidR="008B41FA" w:rsidRPr="00424424">
        <w:rPr>
          <w:rFonts w:ascii="Arial" w:hAnsi="Arial" w:cs="Arial"/>
          <w:bCs/>
        </w:rPr>
        <w:t>c</w:t>
      </w:r>
      <w:r w:rsidR="005841CD" w:rsidRPr="00424424">
        <w:rPr>
          <w:rFonts w:ascii="Arial" w:hAnsi="Arial" w:cs="Arial"/>
          <w:bCs/>
        </w:rPr>
        <w:t>onfirmed EWGSOP2</w:t>
      </w:r>
      <w:r w:rsidR="008B41FA" w:rsidRPr="00424424">
        <w:rPr>
          <w:rFonts w:ascii="Arial" w:hAnsi="Arial" w:cs="Arial"/>
          <w:bCs/>
        </w:rPr>
        <w:t>, as demonstrated in our study.</w:t>
      </w:r>
      <w:r w:rsidR="005841CD" w:rsidRPr="00424424">
        <w:rPr>
          <w:rFonts w:ascii="Arial" w:hAnsi="Arial" w:cs="Arial"/>
          <w:bCs/>
        </w:rPr>
        <w:t xml:space="preserve"> </w:t>
      </w:r>
    </w:p>
    <w:p w14:paraId="2EF92074" w14:textId="0872EF15" w:rsidR="00AA5776" w:rsidRPr="00424424" w:rsidRDefault="00E30146" w:rsidP="00AA5776">
      <w:pPr>
        <w:spacing w:line="360" w:lineRule="auto"/>
        <w:rPr>
          <w:rFonts w:ascii="Arial" w:hAnsi="Arial" w:cs="Arial"/>
          <w:bCs/>
        </w:rPr>
      </w:pPr>
      <w:r w:rsidRPr="00424424">
        <w:rPr>
          <w:rFonts w:ascii="Arial" w:hAnsi="Arial" w:cs="Arial"/>
          <w:bCs/>
        </w:rPr>
        <w:t xml:space="preserve">Strengths of </w:t>
      </w:r>
      <w:r w:rsidR="005403CB" w:rsidRPr="00424424">
        <w:rPr>
          <w:rFonts w:ascii="Arial" w:hAnsi="Arial" w:cs="Arial"/>
          <w:bCs/>
        </w:rPr>
        <w:t>our</w:t>
      </w:r>
      <w:r w:rsidRPr="00424424">
        <w:rPr>
          <w:rFonts w:ascii="Arial" w:hAnsi="Arial" w:cs="Arial"/>
          <w:bCs/>
        </w:rPr>
        <w:t xml:space="preserve"> study include the large number of participants the analyses were based on</w:t>
      </w:r>
      <w:r w:rsidR="005E5FF6" w:rsidRPr="00424424">
        <w:rPr>
          <w:rFonts w:ascii="Arial" w:hAnsi="Arial" w:cs="Arial"/>
          <w:bCs/>
        </w:rPr>
        <w:t xml:space="preserve"> and that </w:t>
      </w:r>
      <w:r w:rsidRPr="00424424">
        <w:rPr>
          <w:rFonts w:ascii="Arial" w:hAnsi="Arial" w:cs="Arial"/>
          <w:bCs/>
        </w:rPr>
        <w:t>these individuals were recruited from established cohorts where data have been rigorously collected according to strict protocols. However, there are also several limitations of this study</w:t>
      </w:r>
      <w:r w:rsidR="009D1E5A" w:rsidRPr="00424424">
        <w:rPr>
          <w:rFonts w:ascii="Arial" w:hAnsi="Arial" w:cs="Arial"/>
          <w:bCs/>
        </w:rPr>
        <w:t xml:space="preserve">. First, </w:t>
      </w:r>
      <w:r w:rsidR="00682DA6">
        <w:rPr>
          <w:rFonts w:ascii="Arial" w:hAnsi="Arial" w:cs="Arial"/>
          <w:bCs/>
        </w:rPr>
        <w:t>the main analysis was</w:t>
      </w:r>
      <w:r w:rsidRPr="00424424">
        <w:rPr>
          <w:rFonts w:ascii="Arial" w:hAnsi="Arial" w:cs="Arial"/>
          <w:bCs/>
        </w:rPr>
        <w:t xml:space="preserve"> only performed on </w:t>
      </w:r>
      <w:r w:rsidR="005403CB" w:rsidRPr="00424424">
        <w:rPr>
          <w:rFonts w:ascii="Arial" w:hAnsi="Arial" w:cs="Arial"/>
          <w:bCs/>
        </w:rPr>
        <w:t xml:space="preserve">white </w:t>
      </w:r>
      <w:r w:rsidRPr="00424424">
        <w:rPr>
          <w:rFonts w:ascii="Arial" w:hAnsi="Arial" w:cs="Arial"/>
          <w:bCs/>
        </w:rPr>
        <w:t>men; participants of the Health ABC cohort had no mobility disability at baseline; and MrOS participants had to be able to walk without the assistance of another person.</w:t>
      </w:r>
      <w:r w:rsidR="00C83233" w:rsidRPr="00424424">
        <w:rPr>
          <w:rFonts w:ascii="Arial" w:hAnsi="Arial" w:cs="Arial"/>
          <w:bCs/>
        </w:rPr>
        <w:t xml:space="preserve"> </w:t>
      </w:r>
      <w:r w:rsidRPr="00424424">
        <w:rPr>
          <w:rFonts w:ascii="Arial" w:hAnsi="Arial" w:cs="Arial"/>
          <w:bCs/>
        </w:rPr>
        <w:t xml:space="preserve">These factors limit the generalizability of findings to the wider population of older people in this age range. </w:t>
      </w:r>
      <w:r w:rsidR="008A19EB" w:rsidRPr="00424424">
        <w:rPr>
          <w:rFonts w:ascii="Arial" w:hAnsi="Arial" w:cs="Arial"/>
          <w:bCs/>
        </w:rPr>
        <w:t>Furthermore, the exclusion of participants with high risk of sarcopenia from this study, such as nursing home residents or those with advanced disability,</w:t>
      </w:r>
      <w:r w:rsidR="00356992" w:rsidRPr="00424424">
        <w:rPr>
          <w:rFonts w:ascii="Arial" w:hAnsi="Arial" w:cs="Arial"/>
          <w:bCs/>
        </w:rPr>
        <w:t xml:space="preserve"> suggests</w:t>
      </w:r>
      <w:r w:rsidR="008A19EB" w:rsidRPr="00424424">
        <w:rPr>
          <w:rFonts w:ascii="Arial" w:hAnsi="Arial" w:cs="Arial"/>
          <w:bCs/>
        </w:rPr>
        <w:t xml:space="preserve"> that the prevalence of sarcopenia in this age group across the general population may be much higher.</w:t>
      </w:r>
      <w:r w:rsidR="00182A87" w:rsidRPr="00424424">
        <w:rPr>
          <w:rFonts w:ascii="Arial" w:hAnsi="Arial" w:cs="Arial"/>
          <w:bCs/>
        </w:rPr>
        <w:t xml:space="preserve"> However, ESCEO recommend that participants in clinical trials for drugs aimed at </w:t>
      </w:r>
      <w:r w:rsidR="00980932" w:rsidRPr="00424424">
        <w:rPr>
          <w:rFonts w:ascii="Arial" w:hAnsi="Arial" w:cs="Arial"/>
          <w:bCs/>
        </w:rPr>
        <w:t xml:space="preserve">treating </w:t>
      </w:r>
      <w:r w:rsidR="00182A87" w:rsidRPr="00424424">
        <w:rPr>
          <w:rFonts w:ascii="Arial" w:hAnsi="Arial" w:cs="Arial"/>
          <w:bCs/>
        </w:rPr>
        <w:t>sarcopenia should be at least 70</w:t>
      </w:r>
      <w:r w:rsidR="00980932" w:rsidRPr="00424424">
        <w:rPr>
          <w:rFonts w:ascii="Arial" w:hAnsi="Arial" w:cs="Arial"/>
          <w:bCs/>
        </w:rPr>
        <w:t xml:space="preserve"> years of age </w:t>
      </w:r>
      <w:r w:rsidR="00CF18AF" w:rsidRPr="00424424">
        <w:rPr>
          <w:rFonts w:ascii="Arial" w:hAnsi="Arial" w:cs="Arial"/>
          <w:bCs/>
        </w:rPr>
        <w:t>and that those who are s</w:t>
      </w:r>
      <w:r w:rsidR="00182A87" w:rsidRPr="00424424">
        <w:rPr>
          <w:rFonts w:ascii="Arial" w:hAnsi="Arial" w:cs="Arial"/>
          <w:bCs/>
        </w:rPr>
        <w:t xml:space="preserve">everely malnourished </w:t>
      </w:r>
      <w:r w:rsidR="00CF18AF" w:rsidRPr="00424424">
        <w:rPr>
          <w:rFonts w:ascii="Arial" w:hAnsi="Arial" w:cs="Arial"/>
          <w:bCs/>
        </w:rPr>
        <w:t xml:space="preserve">or have </w:t>
      </w:r>
      <w:r w:rsidR="00182A87" w:rsidRPr="00424424">
        <w:rPr>
          <w:rFonts w:ascii="Arial" w:hAnsi="Arial" w:cs="Arial"/>
          <w:bCs/>
        </w:rPr>
        <w:t>extremely limited mobility</w:t>
      </w:r>
      <w:r w:rsidR="00CF18AF" w:rsidRPr="00424424">
        <w:rPr>
          <w:rFonts w:ascii="Arial" w:hAnsi="Arial" w:cs="Arial"/>
          <w:bCs/>
        </w:rPr>
        <w:t xml:space="preserve"> should be excluded; such a population </w:t>
      </w:r>
      <w:r w:rsidR="00B542AC" w:rsidRPr="00424424">
        <w:rPr>
          <w:rFonts w:ascii="Arial" w:hAnsi="Arial" w:cs="Arial"/>
          <w:bCs/>
        </w:rPr>
        <w:t>may be</w:t>
      </w:r>
      <w:r w:rsidR="00CF18AF" w:rsidRPr="00424424">
        <w:rPr>
          <w:rFonts w:ascii="Arial" w:hAnsi="Arial" w:cs="Arial"/>
          <w:bCs/>
        </w:rPr>
        <w:t xml:space="preserve"> similar to that included in our study </w:t>
      </w:r>
      <w:r w:rsidR="00CF18AF" w:rsidRPr="00424424">
        <w:rPr>
          <w:rFonts w:ascii="Arial" w:hAnsi="Arial" w:cs="Arial"/>
          <w:bCs/>
        </w:rPr>
        <w:fldChar w:fldCharType="begin"/>
      </w:r>
      <w:r w:rsidR="007D7E81" w:rsidRPr="00424424">
        <w:rPr>
          <w:rFonts w:ascii="Arial" w:hAnsi="Arial" w:cs="Arial"/>
          <w:bCs/>
        </w:rPr>
        <w:instrText xml:space="preserve"> ADDIN EN.CITE &lt;EndNote&gt;&lt;Cite&gt;&lt;Author&gt;Reginster&lt;/Author&gt;&lt;Year&gt;2021&lt;/Year&gt;&lt;RecNum&gt;1479&lt;/RecNum&gt;&lt;DisplayText&gt;[26]&lt;/DisplayText&gt;&lt;record&gt;&lt;rec-number&gt;1479&lt;/rec-number&gt;&lt;foreign-keys&gt;&lt;key app="EN" db-id="pzdf5rvs9wzts6erav6v0rpowttawpd0ztaa" timestamp="1655368630"&gt;1479&lt;/key&gt;&lt;/foreign-keys&gt;&lt;ref-type name="Journal Article"&gt;17&lt;/ref-type&gt;&lt;contributors&gt;&lt;authors&gt;&lt;author&gt;Reginster, Jean-Yves&lt;/author&gt;&lt;author&gt;Beaudart, Charlotte&lt;/author&gt;&lt;author&gt;Al-Daghri, Nasser&lt;/author&gt;&lt;author&gt;Avouac, Bernard&lt;/author&gt;&lt;author&gt;Bauer, Jürgen&lt;/author&gt;&lt;author&gt;Bere, Nathalie&lt;/author&gt;&lt;author&gt;Bruyère, Olivier&lt;/author&gt;&lt;author&gt;Cerreta, Francesca&lt;/author&gt;&lt;author&gt;Cesari, Matteo&lt;/author&gt;&lt;author&gt;Rosa, Mario Miguel&lt;/author&gt;&lt;/authors&gt;&lt;/contributors&gt;&lt;titles&gt;&lt;title&gt;Update on the ESCEO recommendation for the conduct of clinical trials for drugs aiming at the treatment of sarcopenia in older adults&lt;/title&gt;&lt;secondary-title&gt;Aging Clin Exp Res.&lt;/secondary-title&gt;&lt;/titles&gt;&lt;periodical&gt;&lt;full-title&gt;Aging Clin Exp Res.&lt;/full-title&gt;&lt;/periodical&gt;&lt;pages&gt;3-17&lt;/pages&gt;&lt;volume&gt;33&lt;/volume&gt;&lt;number&gt;1&lt;/number&gt;&lt;dates&gt;&lt;year&gt;2021&lt;/year&gt;&lt;/dates&gt;&lt;isbn&gt;1720-8319&lt;/isbn&gt;&lt;urls&gt;&lt;/urls&gt;&lt;/record&gt;&lt;/Cite&gt;&lt;/EndNote&gt;</w:instrText>
      </w:r>
      <w:r w:rsidR="00CF18AF" w:rsidRPr="00424424">
        <w:rPr>
          <w:rFonts w:ascii="Arial" w:hAnsi="Arial" w:cs="Arial"/>
          <w:bCs/>
        </w:rPr>
        <w:fldChar w:fldCharType="separate"/>
      </w:r>
      <w:r w:rsidR="007D7E81" w:rsidRPr="00424424">
        <w:rPr>
          <w:rFonts w:ascii="Arial" w:hAnsi="Arial" w:cs="Arial"/>
          <w:bCs/>
          <w:noProof/>
        </w:rPr>
        <w:t>[26]</w:t>
      </w:r>
      <w:r w:rsidR="00CF18AF" w:rsidRPr="00424424">
        <w:rPr>
          <w:rFonts w:ascii="Arial" w:hAnsi="Arial" w:cs="Arial"/>
          <w:bCs/>
        </w:rPr>
        <w:fldChar w:fldCharType="end"/>
      </w:r>
      <w:r w:rsidR="00CF18AF" w:rsidRPr="00424424">
        <w:rPr>
          <w:rFonts w:ascii="Arial" w:hAnsi="Arial" w:cs="Arial"/>
          <w:bCs/>
        </w:rPr>
        <w:t>.</w:t>
      </w:r>
      <w:r w:rsidR="00182A87" w:rsidRPr="00424424">
        <w:rPr>
          <w:rFonts w:ascii="Arial" w:hAnsi="Arial" w:cs="Arial"/>
          <w:bCs/>
        </w:rPr>
        <w:t xml:space="preserve"> </w:t>
      </w:r>
      <w:r w:rsidR="009D1E5A" w:rsidRPr="00424424">
        <w:rPr>
          <w:rFonts w:ascii="Arial" w:hAnsi="Arial" w:cs="Arial"/>
          <w:bCs/>
        </w:rPr>
        <w:t>Second</w:t>
      </w:r>
      <w:r w:rsidR="007C3DE5" w:rsidRPr="00424424">
        <w:rPr>
          <w:rFonts w:ascii="Arial" w:hAnsi="Arial" w:cs="Arial"/>
          <w:bCs/>
        </w:rPr>
        <w:t>, unlike approaches implemented in the FNIH Sarcopenia Project and SDOC</w:t>
      </w:r>
      <w:r w:rsidR="003728BF" w:rsidRPr="00424424">
        <w:rPr>
          <w:rFonts w:ascii="Arial" w:hAnsi="Arial" w:cs="Arial"/>
          <w:bCs/>
        </w:rPr>
        <w:t xml:space="preserve"> to identify sarcopenia components and thresholds</w:t>
      </w:r>
      <w:r w:rsidR="007C3DE5" w:rsidRPr="00424424">
        <w:rPr>
          <w:rFonts w:ascii="Arial" w:hAnsi="Arial" w:cs="Arial"/>
          <w:bCs/>
        </w:rPr>
        <w:t xml:space="preserve">, only mortality and not incident disability </w:t>
      </w:r>
      <w:r w:rsidR="003728BF" w:rsidRPr="00424424">
        <w:rPr>
          <w:rFonts w:ascii="Arial" w:hAnsi="Arial" w:cs="Arial"/>
          <w:bCs/>
        </w:rPr>
        <w:t>was used as an outcome in this study</w:t>
      </w:r>
      <w:r w:rsidR="007C3DE5" w:rsidRPr="00424424">
        <w:rPr>
          <w:rFonts w:ascii="Arial" w:hAnsi="Arial" w:cs="Arial"/>
          <w:bCs/>
        </w:rPr>
        <w:t xml:space="preserve">. </w:t>
      </w:r>
      <w:r w:rsidR="003728BF" w:rsidRPr="00424424">
        <w:rPr>
          <w:rFonts w:ascii="Arial" w:hAnsi="Arial" w:cs="Arial"/>
          <w:bCs/>
        </w:rPr>
        <w:t xml:space="preserve">However, </w:t>
      </w:r>
      <w:r w:rsidR="00FF1B3E" w:rsidRPr="00424424">
        <w:rPr>
          <w:rFonts w:ascii="Arial" w:hAnsi="Arial" w:cs="Arial"/>
          <w:bCs/>
        </w:rPr>
        <w:t xml:space="preserve">an advantage of using mortality as an outcome is that it </w:t>
      </w:r>
      <w:r w:rsidR="00F314D9" w:rsidRPr="00424424">
        <w:rPr>
          <w:rFonts w:ascii="Arial" w:hAnsi="Arial" w:cs="Arial"/>
          <w:bCs/>
        </w:rPr>
        <w:t>is</w:t>
      </w:r>
      <w:r w:rsidR="003728BF" w:rsidRPr="00424424">
        <w:rPr>
          <w:rFonts w:ascii="Arial" w:hAnsi="Arial" w:cs="Arial"/>
          <w:bCs/>
        </w:rPr>
        <w:t xml:space="preserve"> defined consistently across </w:t>
      </w:r>
      <w:r w:rsidR="00FF1B3E" w:rsidRPr="00424424">
        <w:rPr>
          <w:rFonts w:ascii="Arial" w:hAnsi="Arial" w:cs="Arial"/>
          <w:bCs/>
        </w:rPr>
        <w:t>cohorts</w:t>
      </w:r>
      <w:r w:rsidR="003728BF" w:rsidRPr="00424424">
        <w:rPr>
          <w:rFonts w:ascii="Arial" w:hAnsi="Arial" w:cs="Arial"/>
          <w:bCs/>
        </w:rPr>
        <w:t xml:space="preserve"> unlike incident disability</w:t>
      </w:r>
      <w:r w:rsidR="00C65643" w:rsidRPr="00424424">
        <w:rPr>
          <w:rFonts w:ascii="Arial" w:hAnsi="Arial" w:cs="Arial"/>
          <w:bCs/>
        </w:rPr>
        <w:t xml:space="preserve"> which may be defined differently across studies</w:t>
      </w:r>
      <w:r w:rsidR="003728BF" w:rsidRPr="00424424">
        <w:rPr>
          <w:rFonts w:ascii="Arial" w:hAnsi="Arial" w:cs="Arial"/>
          <w:bCs/>
        </w:rPr>
        <w:t xml:space="preserve">. </w:t>
      </w:r>
      <w:r w:rsidR="009D1E5A" w:rsidRPr="00424424">
        <w:rPr>
          <w:rFonts w:ascii="Arial" w:hAnsi="Arial" w:cs="Arial"/>
          <w:bCs/>
        </w:rPr>
        <w:t>Third, DXA lean mass includes muscle mass, organ weight, water and other non-fat and non-bone soft tissue and, therefore, is only a surrogate measure of muscle mass; previous studies suggest that other techniques, such as the D</w:t>
      </w:r>
      <w:r w:rsidR="009D1E5A" w:rsidRPr="00424424">
        <w:rPr>
          <w:rFonts w:ascii="Arial" w:hAnsi="Arial" w:cs="Arial"/>
          <w:bCs/>
          <w:vertAlign w:val="subscript"/>
        </w:rPr>
        <w:t>3</w:t>
      </w:r>
      <w:r w:rsidR="009D1E5A" w:rsidRPr="00424424">
        <w:rPr>
          <w:rFonts w:ascii="Arial" w:hAnsi="Arial" w:cs="Arial"/>
          <w:bCs/>
        </w:rPr>
        <w:t xml:space="preserve">-Creatine (D3-Cr) dilution method, provide a more direct and accurate </w:t>
      </w:r>
      <w:r w:rsidR="001106C2" w:rsidRPr="00424424">
        <w:rPr>
          <w:rFonts w:ascii="Arial" w:hAnsi="Arial" w:cs="Arial"/>
          <w:bCs/>
        </w:rPr>
        <w:t>assessment</w:t>
      </w:r>
      <w:r w:rsidR="009D1E5A" w:rsidRPr="00424424">
        <w:rPr>
          <w:rFonts w:ascii="Arial" w:hAnsi="Arial" w:cs="Arial"/>
          <w:bCs/>
        </w:rPr>
        <w:t xml:space="preserve"> of muscle mass which is more strongly correlated with important </w:t>
      </w:r>
      <w:r w:rsidR="001106C2" w:rsidRPr="00424424">
        <w:rPr>
          <w:rFonts w:ascii="Arial" w:hAnsi="Arial" w:cs="Arial"/>
          <w:bCs/>
        </w:rPr>
        <w:t xml:space="preserve">clinical outcomes such as incident serious injurious falls, disability and mortality </w:t>
      </w:r>
      <w:r w:rsidR="001106C2" w:rsidRPr="00424424">
        <w:rPr>
          <w:rFonts w:ascii="Arial" w:hAnsi="Arial" w:cs="Arial"/>
          <w:bCs/>
        </w:rPr>
        <w:fldChar w:fldCharType="begin">
          <w:fldData xml:space="preserve">PEVuZE5vdGU+PENpdGU+PEF1dGhvcj5DYXd0aG9uPC9BdXRob3I+PFllYXI+MjAyMTwvWWVhcj48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</w:fldData>
        </w:fldChar>
      </w:r>
      <w:r w:rsidR="007D7E81" w:rsidRPr="00424424">
        <w:rPr>
          <w:rFonts w:ascii="Arial" w:hAnsi="Arial" w:cs="Arial"/>
          <w:bCs/>
        </w:rPr>
        <w:instrText xml:space="preserve"> ADDIN EN.CITE </w:instrText>
      </w:r>
      <w:r w:rsidR="007D7E81" w:rsidRPr="00424424">
        <w:rPr>
          <w:rFonts w:ascii="Arial" w:hAnsi="Arial" w:cs="Arial"/>
          <w:bCs/>
        </w:rPr>
        <w:fldChar w:fldCharType="begin">
          <w:fldData xml:space="preserve">PEVuZE5vdGU+PENpdGU+PEF1dGhvcj5DYXd0aG9uPC9BdXRob3I+PFllYXI+MjAyMTwvWWVhcj48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</w:fldData>
        </w:fldChar>
      </w:r>
      <w:r w:rsidR="007D7E81" w:rsidRPr="00424424">
        <w:rPr>
          <w:rFonts w:ascii="Arial" w:hAnsi="Arial" w:cs="Arial"/>
          <w:bCs/>
        </w:rPr>
        <w:instrText xml:space="preserve"> ADDIN EN.CITE.DATA </w:instrText>
      </w:r>
      <w:r w:rsidR="007D7E81" w:rsidRPr="00424424">
        <w:rPr>
          <w:rFonts w:ascii="Arial" w:hAnsi="Arial" w:cs="Arial"/>
          <w:bCs/>
        </w:rPr>
      </w:r>
      <w:r w:rsidR="007D7E81" w:rsidRPr="00424424">
        <w:rPr>
          <w:rFonts w:ascii="Arial" w:hAnsi="Arial" w:cs="Arial"/>
          <w:bCs/>
        </w:rPr>
        <w:fldChar w:fldCharType="end"/>
      </w:r>
      <w:r w:rsidR="001106C2" w:rsidRPr="00424424">
        <w:rPr>
          <w:rFonts w:ascii="Arial" w:hAnsi="Arial" w:cs="Arial"/>
          <w:bCs/>
        </w:rPr>
      </w:r>
      <w:r w:rsidR="001106C2" w:rsidRPr="00424424">
        <w:rPr>
          <w:rFonts w:ascii="Arial" w:hAnsi="Arial" w:cs="Arial"/>
          <w:bCs/>
        </w:rPr>
        <w:fldChar w:fldCharType="separate"/>
      </w:r>
      <w:r w:rsidR="007D7E81" w:rsidRPr="00424424">
        <w:rPr>
          <w:rFonts w:ascii="Arial" w:hAnsi="Arial" w:cs="Arial"/>
          <w:bCs/>
          <w:noProof/>
        </w:rPr>
        <w:t>[30-32]</w:t>
      </w:r>
      <w:r w:rsidR="001106C2" w:rsidRPr="00424424">
        <w:rPr>
          <w:rFonts w:ascii="Arial" w:hAnsi="Arial" w:cs="Arial"/>
          <w:bCs/>
        </w:rPr>
        <w:fldChar w:fldCharType="end"/>
      </w:r>
      <w:r w:rsidR="009D1E5A" w:rsidRPr="00424424">
        <w:rPr>
          <w:rFonts w:ascii="Arial" w:hAnsi="Arial" w:cs="Arial"/>
          <w:bCs/>
        </w:rPr>
        <w:t xml:space="preserve">. </w:t>
      </w:r>
      <w:r w:rsidR="003728BF" w:rsidRPr="00424424">
        <w:rPr>
          <w:rFonts w:ascii="Arial" w:hAnsi="Arial" w:cs="Arial"/>
          <w:bCs/>
        </w:rPr>
        <w:t>Finally</w:t>
      </w:r>
      <w:r w:rsidRPr="00424424">
        <w:rPr>
          <w:rFonts w:ascii="Arial" w:hAnsi="Arial" w:cs="Arial"/>
          <w:bCs/>
        </w:rPr>
        <w:t>, some measurement protocols, such as distance covered during gait speed assessments, varied between cohorts</w:t>
      </w:r>
      <w:r w:rsidR="009B5309" w:rsidRPr="00424424">
        <w:rPr>
          <w:rFonts w:ascii="Arial" w:hAnsi="Arial" w:cs="Arial"/>
          <w:bCs/>
        </w:rPr>
        <w:t xml:space="preserve">. </w:t>
      </w:r>
      <w:r w:rsidRPr="00424424">
        <w:rPr>
          <w:rFonts w:ascii="Arial" w:hAnsi="Arial" w:cs="Arial"/>
          <w:bCs/>
        </w:rPr>
        <w:t>However, for participants who did not have their gait speed assessed over 6m (</w:t>
      </w:r>
      <w:r w:rsidR="009B5309" w:rsidRPr="00424424">
        <w:rPr>
          <w:rFonts w:ascii="Arial" w:hAnsi="Arial" w:cs="Arial"/>
          <w:bCs/>
        </w:rPr>
        <w:t>8ft in HCS and 4m in SarcoPhAge</w:t>
      </w:r>
      <w:r w:rsidRPr="00424424">
        <w:rPr>
          <w:rFonts w:ascii="Arial" w:hAnsi="Arial" w:cs="Arial"/>
          <w:bCs/>
        </w:rPr>
        <w:t xml:space="preserve">), </w:t>
      </w:r>
      <w:r w:rsidR="00443D0D" w:rsidRPr="00424424">
        <w:rPr>
          <w:rFonts w:ascii="Arial" w:hAnsi="Arial" w:cs="Arial"/>
          <w:bCs/>
        </w:rPr>
        <w:t xml:space="preserve">prevalences of sarcopenia in the pooled sample were similar when gait speeds in these two cohorts </w:t>
      </w:r>
      <w:r w:rsidRPr="00424424">
        <w:rPr>
          <w:rFonts w:ascii="Arial" w:hAnsi="Arial" w:cs="Arial"/>
          <w:bCs/>
        </w:rPr>
        <w:t xml:space="preserve">were converted to those expected over 6m using previously published </w:t>
      </w:r>
      <w:r w:rsidR="00BA154F" w:rsidRPr="00424424">
        <w:rPr>
          <w:rFonts w:ascii="Arial" w:hAnsi="Arial" w:cs="Arial"/>
          <w:bCs/>
        </w:rPr>
        <w:t>equations</w:t>
      </w:r>
      <w:r w:rsidR="00550891" w:rsidRPr="00424424">
        <w:rPr>
          <w:rFonts w:ascii="Arial" w:hAnsi="Arial" w:cs="Arial"/>
          <w:bCs/>
        </w:rPr>
        <w:t xml:space="preserve"> </w:t>
      </w:r>
      <w:r w:rsidR="00BA154F" w:rsidRPr="00424424">
        <w:rPr>
          <w:rFonts w:ascii="Arial" w:hAnsi="Arial" w:cs="Arial"/>
          <w:bCs/>
        </w:rPr>
        <w:fldChar w:fldCharType="begin">
          <w:fldData xml:space="preserve">PEVuZE5vdGU+PENpdGU+PEF1dGhvcj5HdXJhbG5pazwvQXV0aG9yPjxZZWFyPjIwMDA8L1llYXI+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=
</w:fldData>
        </w:fldChar>
      </w:r>
      <w:r w:rsidR="007D7E81" w:rsidRPr="00424424">
        <w:rPr>
          <w:rFonts w:ascii="Arial" w:hAnsi="Arial" w:cs="Arial"/>
          <w:bCs/>
        </w:rPr>
        <w:instrText xml:space="preserve"> ADDIN EN.CITE </w:instrText>
      </w:r>
      <w:r w:rsidR="007D7E81" w:rsidRPr="00424424">
        <w:rPr>
          <w:rFonts w:ascii="Arial" w:hAnsi="Arial" w:cs="Arial"/>
          <w:bCs/>
        </w:rPr>
        <w:fldChar w:fldCharType="begin">
          <w:fldData xml:space="preserve">PEVuZE5vdGU+PENpdGU+PEF1dGhvcj5HdXJhbG5pazwvQXV0aG9yPjxZZWFyPjIwMDA8L1llYXI+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=
</w:fldData>
        </w:fldChar>
      </w:r>
      <w:r w:rsidR="007D7E81" w:rsidRPr="00424424">
        <w:rPr>
          <w:rFonts w:ascii="Arial" w:hAnsi="Arial" w:cs="Arial"/>
          <w:bCs/>
        </w:rPr>
        <w:instrText xml:space="preserve"> ADDIN EN.CITE.DATA </w:instrText>
      </w:r>
      <w:r w:rsidR="007D7E81" w:rsidRPr="00424424">
        <w:rPr>
          <w:rFonts w:ascii="Arial" w:hAnsi="Arial" w:cs="Arial"/>
          <w:bCs/>
        </w:rPr>
      </w:r>
      <w:r w:rsidR="007D7E81" w:rsidRPr="00424424">
        <w:rPr>
          <w:rFonts w:ascii="Arial" w:hAnsi="Arial" w:cs="Arial"/>
          <w:bCs/>
        </w:rPr>
        <w:fldChar w:fldCharType="end"/>
      </w:r>
      <w:r w:rsidR="00BA154F" w:rsidRPr="00424424">
        <w:rPr>
          <w:rFonts w:ascii="Arial" w:hAnsi="Arial" w:cs="Arial"/>
          <w:bCs/>
        </w:rPr>
      </w:r>
      <w:r w:rsidR="00BA154F" w:rsidRPr="00424424">
        <w:rPr>
          <w:rFonts w:ascii="Arial" w:hAnsi="Arial" w:cs="Arial"/>
          <w:bCs/>
        </w:rPr>
        <w:fldChar w:fldCharType="separate"/>
      </w:r>
      <w:r w:rsidR="007D7E81" w:rsidRPr="00424424">
        <w:rPr>
          <w:rFonts w:ascii="Arial" w:hAnsi="Arial" w:cs="Arial"/>
          <w:bCs/>
          <w:noProof/>
        </w:rPr>
        <w:t>[19, 20]</w:t>
      </w:r>
      <w:r w:rsidR="00BA154F" w:rsidRPr="00424424">
        <w:rPr>
          <w:rFonts w:ascii="Arial" w:hAnsi="Arial" w:cs="Arial"/>
          <w:bCs/>
        </w:rPr>
        <w:fldChar w:fldCharType="end"/>
      </w:r>
      <w:r w:rsidR="00BA154F" w:rsidRPr="00424424">
        <w:rPr>
          <w:rFonts w:ascii="Arial" w:hAnsi="Arial" w:cs="Arial"/>
          <w:bCs/>
        </w:rPr>
        <w:t>.</w:t>
      </w:r>
      <w:r w:rsidR="00A51052" w:rsidRPr="00424424">
        <w:rPr>
          <w:rFonts w:ascii="Arial" w:hAnsi="Arial" w:cs="Arial"/>
          <w:bCs/>
        </w:rPr>
        <w:t xml:space="preserve"> </w:t>
      </w:r>
      <w:r w:rsidR="004A325B" w:rsidRPr="00424424">
        <w:rPr>
          <w:rFonts w:ascii="Arial" w:hAnsi="Arial" w:cs="Arial"/>
          <w:bCs/>
        </w:rPr>
        <w:t xml:space="preserve">Although the lack of calibration of DXA and grip strength measures across cohorts may have affected the comparison of sarcopenia prevalence between cohorts, this is unlikely to have affected the </w:t>
      </w:r>
      <w:r w:rsidR="003750DE" w:rsidRPr="00424424">
        <w:rPr>
          <w:rFonts w:ascii="Arial" w:hAnsi="Arial" w:cs="Arial"/>
          <w:bCs/>
        </w:rPr>
        <w:t>mortality associations reported</w:t>
      </w:r>
      <w:r w:rsidR="004A325B" w:rsidRPr="00424424">
        <w:rPr>
          <w:rFonts w:ascii="Arial" w:hAnsi="Arial" w:cs="Arial"/>
          <w:bCs/>
        </w:rPr>
        <w:t xml:space="preserve"> as Cox models were implemented internally within each cohort.</w:t>
      </w:r>
      <w:r w:rsidR="00822146" w:rsidRPr="00424424">
        <w:rPr>
          <w:rFonts w:ascii="Arial" w:hAnsi="Arial" w:cs="Arial"/>
          <w:bCs/>
        </w:rPr>
        <w:t xml:space="preserve"> For </w:t>
      </w:r>
      <w:r w:rsidR="00F2321A" w:rsidRPr="00424424">
        <w:rPr>
          <w:rFonts w:ascii="Arial" w:hAnsi="Arial" w:cs="Arial"/>
          <w:bCs/>
        </w:rPr>
        <w:t>some</w:t>
      </w:r>
      <w:r w:rsidR="00822146" w:rsidRPr="00424424">
        <w:rPr>
          <w:rFonts w:ascii="Arial" w:hAnsi="Arial" w:cs="Arial"/>
          <w:bCs/>
        </w:rPr>
        <w:t xml:space="preserve"> exposures, high heterogeneity was observed between cohorts in the meta-analysis. Possible reasons </w:t>
      </w:r>
      <w:r w:rsidR="00A60A2D" w:rsidRPr="00424424">
        <w:rPr>
          <w:rFonts w:ascii="Arial" w:hAnsi="Arial" w:cs="Arial"/>
          <w:bCs/>
        </w:rPr>
        <w:t xml:space="preserve">for this are that the eligibility criteria and geographical region differed between </w:t>
      </w:r>
      <w:r w:rsidR="00A60A2D" w:rsidRPr="00424424">
        <w:rPr>
          <w:rFonts w:ascii="Arial" w:hAnsi="Arial" w:cs="Arial"/>
          <w:bCs/>
        </w:rPr>
        <w:lastRenderedPageBreak/>
        <w:t>cohorts and the low prevalence of many exposures may have resulted in greater variability in estimates between cohorts.</w:t>
      </w:r>
    </w:p>
    <w:bookmarkEnd w:id="11"/>
    <w:p w14:paraId="7785771C" w14:textId="77777777" w:rsidR="00E30146" w:rsidRPr="00424424" w:rsidRDefault="00E30146" w:rsidP="00B224B3">
      <w:pPr>
        <w:spacing w:line="360" w:lineRule="auto"/>
        <w:rPr>
          <w:rFonts w:ascii="Arial" w:hAnsi="Arial" w:cs="Arial"/>
          <w:b/>
        </w:rPr>
      </w:pPr>
    </w:p>
    <w:p w14:paraId="54D75555" w14:textId="6E70C6BF" w:rsidR="00F27F12" w:rsidRPr="00424424" w:rsidRDefault="00F27F12" w:rsidP="00B224B3">
      <w:pPr>
        <w:spacing w:line="360" w:lineRule="auto"/>
        <w:rPr>
          <w:rFonts w:ascii="Arial" w:hAnsi="Arial" w:cs="Arial"/>
          <w:b/>
        </w:rPr>
      </w:pPr>
      <w:r w:rsidRPr="00424424">
        <w:rPr>
          <w:rFonts w:ascii="Arial" w:hAnsi="Arial" w:cs="Arial"/>
          <w:b/>
        </w:rPr>
        <w:t>Conclusion</w:t>
      </w:r>
    </w:p>
    <w:p w14:paraId="1BD9FFA0" w14:textId="3FFB53DC" w:rsidR="00FD6053" w:rsidRPr="00424424" w:rsidRDefault="00302AA0" w:rsidP="00FD6053">
      <w:pPr>
        <w:spacing w:line="360" w:lineRule="auto"/>
        <w:rPr>
          <w:rFonts w:ascii="Arial" w:hAnsi="Arial" w:cs="Arial"/>
          <w:bCs/>
        </w:rPr>
      </w:pPr>
      <w:bookmarkStart w:id="13" w:name="_Hlk109730450"/>
      <w:r w:rsidRPr="00424424">
        <w:rPr>
          <w:rFonts w:ascii="Arial" w:hAnsi="Arial" w:cs="Arial"/>
          <w:bCs/>
        </w:rPr>
        <w:t xml:space="preserve">This study has examined the impact of raising the </w:t>
      </w:r>
      <w:r w:rsidR="00FD6053" w:rsidRPr="00424424">
        <w:rPr>
          <w:rFonts w:ascii="Arial" w:hAnsi="Arial" w:cs="Arial"/>
          <w:bCs/>
        </w:rPr>
        <w:t xml:space="preserve">gait speed threshold </w:t>
      </w:r>
      <w:r w:rsidRPr="00424424">
        <w:rPr>
          <w:rFonts w:ascii="Arial" w:hAnsi="Arial" w:cs="Arial"/>
          <w:bCs/>
        </w:rPr>
        <w:t xml:space="preserve">in the SDOC algorithm </w:t>
      </w:r>
      <w:r w:rsidR="00A308F2" w:rsidRPr="00424424">
        <w:rPr>
          <w:rFonts w:ascii="Arial" w:hAnsi="Arial" w:cs="Arial"/>
          <w:bCs/>
        </w:rPr>
        <w:t xml:space="preserve">from 0.8 to 1.0 m/s </w:t>
      </w:r>
      <w:r w:rsidRPr="00424424">
        <w:rPr>
          <w:rFonts w:ascii="Arial" w:hAnsi="Arial" w:cs="Arial"/>
          <w:bCs/>
        </w:rPr>
        <w:t xml:space="preserve">(sarcopenia characterised as </w:t>
      </w:r>
      <w:r w:rsidR="00FD6053" w:rsidRPr="00424424">
        <w:rPr>
          <w:rFonts w:ascii="Arial" w:hAnsi="Arial" w:cs="Arial"/>
          <w:bCs/>
        </w:rPr>
        <w:t>grip strength &lt;35.5 kg and gait speed &lt;1.0 m/s</w:t>
      </w:r>
      <w:r w:rsidRPr="00424424">
        <w:rPr>
          <w:rFonts w:ascii="Arial" w:hAnsi="Arial" w:cs="Arial"/>
          <w:bCs/>
        </w:rPr>
        <w:t xml:space="preserve">). </w:t>
      </w:r>
      <w:r w:rsidR="004A4368" w:rsidRPr="00424424">
        <w:rPr>
          <w:rFonts w:ascii="Arial" w:hAnsi="Arial" w:cs="Arial"/>
          <w:bCs/>
        </w:rPr>
        <w:t xml:space="preserve">If one adopts this </w:t>
      </w:r>
      <w:r w:rsidR="003750DE" w:rsidRPr="00424424">
        <w:rPr>
          <w:rFonts w:ascii="Arial" w:hAnsi="Arial" w:cs="Arial"/>
          <w:bCs/>
        </w:rPr>
        <w:t>M</w:t>
      </w:r>
      <w:r w:rsidR="004A4368" w:rsidRPr="00424424">
        <w:rPr>
          <w:rFonts w:ascii="Arial" w:hAnsi="Arial" w:cs="Arial"/>
          <w:bCs/>
        </w:rPr>
        <w:t xml:space="preserve">odified SDOC approach, prevalence estimates for sarcopenia range from 3.1% to </w:t>
      </w:r>
      <w:r w:rsidR="00F2321A" w:rsidRPr="00424424">
        <w:rPr>
          <w:rFonts w:ascii="Arial" w:hAnsi="Arial" w:cs="Arial"/>
          <w:bCs/>
        </w:rPr>
        <w:t>5.6</w:t>
      </w:r>
      <w:r w:rsidR="004A4368" w:rsidRPr="00424424">
        <w:rPr>
          <w:rFonts w:ascii="Arial" w:hAnsi="Arial" w:cs="Arial"/>
          <w:bCs/>
        </w:rPr>
        <w:t xml:space="preserve">% in the cohorts enriched for healthy participation (Health ABC and MrOS) rising to </w:t>
      </w:r>
      <w:r w:rsidR="00F2321A" w:rsidRPr="00424424">
        <w:rPr>
          <w:rFonts w:ascii="Arial" w:hAnsi="Arial" w:cs="Arial"/>
          <w:bCs/>
        </w:rPr>
        <w:t>18.9</w:t>
      </w:r>
      <w:r w:rsidR="004A4368" w:rsidRPr="00424424">
        <w:rPr>
          <w:rFonts w:ascii="Arial" w:hAnsi="Arial" w:cs="Arial"/>
          <w:bCs/>
        </w:rPr>
        <w:t xml:space="preserve">% and 33.1% in those </w:t>
      </w:r>
      <w:r w:rsidR="006F2419" w:rsidRPr="00424424">
        <w:rPr>
          <w:rFonts w:ascii="Arial" w:hAnsi="Arial" w:cs="Arial"/>
          <w:bCs/>
        </w:rPr>
        <w:t xml:space="preserve">cohorts </w:t>
      </w:r>
      <w:r w:rsidR="004A4368" w:rsidRPr="00424424">
        <w:rPr>
          <w:rFonts w:ascii="Arial" w:hAnsi="Arial" w:cs="Arial"/>
          <w:bCs/>
        </w:rPr>
        <w:t xml:space="preserve">selected to represent the entire elderly population (SarcoPhAge and HCS respectively). </w:t>
      </w:r>
      <w:r w:rsidR="00F87BC4" w:rsidRPr="00F87BC4">
        <w:rPr>
          <w:rFonts w:ascii="Arial" w:hAnsi="Arial" w:cs="Arial"/>
          <w:bCs/>
        </w:rPr>
        <w:t>This definition has a higher prevalence among community-dwelling older people, compared to the original SDOC definition, and remains strongly associated with mortality. These findings, if replicated and validated, will provide necessary insight about the appropriate prevalence of sarcopenia that a globally accepted definition of sarcopenia may adopt (contingent on cost-effective analyses and other factors that would inform such a definition). This is an important consideration as a globally accepted definition of sarcopenia is required for large randomised controlled trials to evaluate efficacy and safety of interventions to prevent and treat sarcopenia.</w:t>
      </w:r>
    </w:p>
    <w:bookmarkEnd w:id="13"/>
    <w:p w14:paraId="10779F6D" w14:textId="77777777" w:rsidR="00C02383" w:rsidRPr="00424424" w:rsidRDefault="00C02383" w:rsidP="00C02383">
      <w:pPr>
        <w:spacing w:line="360" w:lineRule="auto"/>
        <w:rPr>
          <w:rFonts w:ascii="Arial" w:hAnsi="Arial" w:cs="Arial"/>
        </w:rPr>
      </w:pPr>
    </w:p>
    <w:p w14:paraId="66C465FA" w14:textId="17890CC0" w:rsidR="007521FF" w:rsidRDefault="00C02383" w:rsidP="00C02383">
      <w:pPr>
        <w:spacing w:line="360" w:lineRule="auto"/>
        <w:rPr>
          <w:rFonts w:ascii="Arial" w:hAnsi="Arial" w:cs="Arial"/>
          <w:b/>
          <w:bCs/>
        </w:rPr>
      </w:pPr>
      <w:r w:rsidRPr="00424424">
        <w:rPr>
          <w:rFonts w:ascii="Arial" w:hAnsi="Arial" w:cs="Arial"/>
          <w:b/>
          <w:bCs/>
        </w:rPr>
        <w:t>Acknowledgements</w:t>
      </w:r>
      <w:r w:rsidR="00580BFD" w:rsidRPr="00424424">
        <w:rPr>
          <w:rFonts w:ascii="Arial" w:hAnsi="Arial" w:cs="Arial"/>
          <w:b/>
          <w:bCs/>
        </w:rPr>
        <w:t xml:space="preserve"> </w:t>
      </w:r>
    </w:p>
    <w:p w14:paraId="2162BE90" w14:textId="4231D57A" w:rsidR="007521FF" w:rsidRPr="007521FF" w:rsidRDefault="007521FF" w:rsidP="00C02383">
      <w:pPr>
        <w:spacing w:line="360" w:lineRule="auto"/>
        <w:rPr>
          <w:rFonts w:ascii="Arial" w:hAnsi="Arial" w:cs="Arial"/>
          <w:i/>
          <w:iCs/>
          <w:color w:val="FF0000"/>
        </w:rPr>
      </w:pPr>
      <w:r w:rsidRPr="007521FF">
        <w:rPr>
          <w:rFonts w:ascii="Arial" w:hAnsi="Arial" w:cs="Arial"/>
          <w:i/>
          <w:iCs/>
        </w:rPr>
        <w:t>Funding</w:t>
      </w:r>
    </w:p>
    <w:p w14:paraId="039097F2" w14:textId="02208FC1" w:rsidR="00AF7079" w:rsidRPr="00424424" w:rsidRDefault="00AF7079" w:rsidP="00AF7079">
      <w:pPr>
        <w:spacing w:line="360" w:lineRule="auto"/>
        <w:rPr>
          <w:rFonts w:ascii="Arial" w:hAnsi="Arial" w:cs="Arial"/>
          <w:color w:val="FF0000"/>
        </w:rPr>
      </w:pPr>
      <w:r w:rsidRPr="00424424">
        <w:rPr>
          <w:rFonts w:ascii="Arial" w:hAnsi="Arial" w:cs="Arial"/>
        </w:rPr>
        <w:t xml:space="preserve">The Health, Aging and Body Composition Study was supported by National Institute on Aging (NIA) grants (R01AG027017, P30AG024827, T32AG021885, and K07AG033174); the Intramural Research program of the National Institutes of Health (N01AG62101, N01AG62103, N01AG62106, and R01AG028050); and a National Institute of Nursing Research grant (R01NR012459). The Osteoporotic Fractures in Men (MrOS) Study is supported by National Institutes of Health funding. The following institutes provide support: The National Institute on Aging (NIA), the National Institute of Arthritis and Musculoskeletal and Skin Diseases (NIAMS), the National Center for Advancing Translational Sciences (NCATS), and NIH Roadmap for Medical Research under the following grant numbers: U01 AG027810, U01 AG042124, U01 AG042139, U01 AG042140, U01 AG042143, U01 AG042145, U01 AG042168, U01 AR066160, and UL1 TR000128. MrOS Sweden is supported by the Swedish Research Council, ALF/LUA research grants in Gothenburg, </w:t>
      </w:r>
      <w:r w:rsidR="00274EFC" w:rsidRPr="00424424">
        <w:rPr>
          <w:rFonts w:ascii="Arial" w:hAnsi="Arial" w:cs="Arial"/>
        </w:rPr>
        <w:t xml:space="preserve">ALF, </w:t>
      </w:r>
      <w:r w:rsidR="00274EFC" w:rsidRPr="00424424">
        <w:rPr>
          <w:rFonts w:ascii="Arial" w:hAnsi="Arial" w:cs="Arial"/>
        </w:rPr>
        <w:lastRenderedPageBreak/>
        <w:t xml:space="preserve">Region Skane (FoUU), Skåne University Hospital Foundation </w:t>
      </w:r>
      <w:r w:rsidRPr="00424424">
        <w:rPr>
          <w:rFonts w:ascii="Arial" w:hAnsi="Arial" w:cs="Arial"/>
        </w:rPr>
        <w:t>and the King Gustav V and Queen Victoria Frimurarestiftelse Research Foundation.</w:t>
      </w:r>
      <w:r w:rsidR="00274EFC" w:rsidRPr="00424424">
        <w:rPr>
          <w:rFonts w:ascii="Arial" w:hAnsi="Arial" w:cs="Arial"/>
        </w:rPr>
        <w:t xml:space="preserve"> </w:t>
      </w:r>
      <w:r w:rsidRPr="00424424">
        <w:rPr>
          <w:rFonts w:ascii="Arial" w:hAnsi="Arial" w:cs="Arial"/>
        </w:rPr>
        <w:t>The Hertfordshire Cohort Study</w:t>
      </w:r>
      <w:r w:rsidRPr="00424424">
        <w:t xml:space="preserve"> </w:t>
      </w:r>
      <w:r w:rsidRPr="00424424">
        <w:rPr>
          <w:rFonts w:ascii="Arial" w:hAnsi="Arial" w:cs="Arial"/>
        </w:rPr>
        <w:t xml:space="preserve">was supported by the Medical Research Council University Unit Partnership grant number MRC_MC_UP_A620_1014. </w:t>
      </w:r>
      <w:r w:rsidR="000275C8">
        <w:rPr>
          <w:rFonts w:ascii="Arial" w:hAnsi="Arial" w:cs="Arial"/>
        </w:rPr>
        <w:t>Roger Fielding</w:t>
      </w:r>
      <w:r w:rsidRPr="00424424">
        <w:rPr>
          <w:rFonts w:ascii="Arial" w:hAnsi="Arial" w:cs="Arial"/>
        </w:rPr>
        <w:t xml:space="preserve">’s participation was </w:t>
      </w:r>
      <w:r w:rsidRPr="00424424">
        <w:rPr>
          <w:rFonts w:ascii="Arial" w:hAnsi="Arial" w:cs="Arial"/>
          <w:color w:val="000000" w:themeColor="text1"/>
        </w:rPr>
        <w:t xml:space="preserve">supported by </w:t>
      </w:r>
      <w:r w:rsidRPr="00424424">
        <w:rPr>
          <w:rFonts w:ascii="Arial" w:eastAsia="Times New Roman,Calibri" w:hAnsi="Arial" w:cs="Arial"/>
          <w:color w:val="000000" w:themeColor="text1"/>
        </w:rPr>
        <w:t>the U.S. Department of Agriculture (USDA), under agreement No. 58-1950-4-003; any opinions, findings, conclusions, or recommendations expressed in this publication are those of the authors and do not necessarily reflect the view of the USDA.</w:t>
      </w:r>
      <w:r w:rsidR="000275C8">
        <w:rPr>
          <w:rFonts w:ascii="Arial" w:eastAsia="Times New Roman,Calibri" w:hAnsi="Arial" w:cs="Arial"/>
          <w:color w:val="000000" w:themeColor="text1"/>
        </w:rPr>
        <w:t xml:space="preserve"> Cyrus Cooper, Elaine Dennison, Nicholas Harvey, Elizabeth Curtis and Leo Westbury</w:t>
      </w:r>
      <w:r w:rsidR="0014769F" w:rsidRPr="00424424">
        <w:t xml:space="preserve"> </w:t>
      </w:r>
      <w:r w:rsidR="0014769F" w:rsidRPr="00424424">
        <w:rPr>
          <w:rFonts w:ascii="Arial" w:eastAsia="Times New Roman,Calibri" w:hAnsi="Arial" w:cs="Arial"/>
          <w:color w:val="000000" w:themeColor="text1"/>
        </w:rPr>
        <w:t xml:space="preserve">are supported by </w:t>
      </w:r>
      <w:r w:rsidR="00CD5634">
        <w:rPr>
          <w:rFonts w:ascii="Arial" w:eastAsia="Times New Roman,Calibri" w:hAnsi="Arial" w:cs="Arial"/>
          <w:color w:val="000000" w:themeColor="text1"/>
        </w:rPr>
        <w:t xml:space="preserve">the </w:t>
      </w:r>
      <w:r w:rsidR="0014769F" w:rsidRPr="00424424">
        <w:rPr>
          <w:rFonts w:ascii="Arial" w:eastAsia="Times New Roman,Calibri" w:hAnsi="Arial" w:cs="Arial"/>
          <w:color w:val="000000" w:themeColor="text1"/>
        </w:rPr>
        <w:t>UK Medical Research Council [MC_PC_21003; MC_PC_21001]</w:t>
      </w:r>
      <w:r w:rsidR="00CD5634">
        <w:rPr>
          <w:rFonts w:ascii="Arial" w:eastAsia="Times New Roman,Calibri" w:hAnsi="Arial" w:cs="Arial"/>
          <w:color w:val="000000" w:themeColor="text1"/>
        </w:rPr>
        <w:t>.</w:t>
      </w:r>
    </w:p>
    <w:p w14:paraId="43F4C060" w14:textId="1F84FDEA" w:rsidR="007521FF" w:rsidRDefault="007521FF" w:rsidP="00C02383">
      <w:pPr>
        <w:spacing w:line="360" w:lineRule="auto"/>
        <w:rPr>
          <w:rFonts w:ascii="Arial" w:hAnsi="Arial" w:cs="Arial"/>
        </w:rPr>
      </w:pPr>
    </w:p>
    <w:p w14:paraId="4C0DC815" w14:textId="25ED1A4F" w:rsidR="007521FF" w:rsidRPr="007521FF" w:rsidRDefault="007521FF" w:rsidP="00C02383">
      <w:pPr>
        <w:spacing w:line="360" w:lineRule="auto"/>
        <w:rPr>
          <w:rFonts w:ascii="Arial" w:hAnsi="Arial" w:cs="Arial"/>
          <w:i/>
          <w:iCs/>
        </w:rPr>
      </w:pPr>
      <w:r w:rsidRPr="007521FF">
        <w:rPr>
          <w:rFonts w:ascii="Arial" w:hAnsi="Arial" w:cs="Arial"/>
          <w:i/>
          <w:iCs/>
        </w:rPr>
        <w:t>Conflicts of Interest</w:t>
      </w:r>
    </w:p>
    <w:p w14:paraId="3DB51B58" w14:textId="141702C6" w:rsidR="00FC1DE1" w:rsidRDefault="00CD5634" w:rsidP="00C02383">
      <w:pPr>
        <w:spacing w:line="360" w:lineRule="auto"/>
        <w:rPr>
          <w:rFonts w:ascii="Arial" w:hAnsi="Arial" w:cs="Arial"/>
        </w:rPr>
      </w:pPr>
      <w:r>
        <w:rPr>
          <w:rFonts w:ascii="Arial" w:hAnsi="Arial" w:cs="Arial"/>
        </w:rPr>
        <w:t>Cyrus Cooper</w:t>
      </w:r>
      <w:r w:rsidR="00FC1DE1" w:rsidRPr="00424424">
        <w:rPr>
          <w:rFonts w:ascii="Arial" w:hAnsi="Arial" w:cs="Arial"/>
        </w:rPr>
        <w:t xml:space="preserve"> reports personal fees (outside the submitted work) from Amgen, Danone, Eli Lilly, GSK, Kyowa Kirin, Medtronic, Merck, Nestle, Novartis, Pfizer, Roche, Servier, Shire, Takeda and UCB. </w:t>
      </w:r>
      <w:r w:rsidRPr="00CD5634">
        <w:rPr>
          <w:rFonts w:ascii="Arial" w:hAnsi="Arial" w:cs="Arial"/>
        </w:rPr>
        <w:t>Elaine Dennison has received lecture fees and honoraria from UCB, Pfizer, Lilly and Viatris outside of the submitted work.</w:t>
      </w:r>
      <w:r>
        <w:rPr>
          <w:rFonts w:ascii="Arial" w:hAnsi="Arial" w:cs="Arial"/>
        </w:rPr>
        <w:t xml:space="preserve"> Nicholas Harvey</w:t>
      </w:r>
      <w:r w:rsidR="00FC1DE1" w:rsidRPr="00424424">
        <w:rPr>
          <w:rFonts w:ascii="Arial" w:hAnsi="Arial" w:cs="Arial"/>
        </w:rPr>
        <w:t xml:space="preserve"> reports consultancy, lecture fees and honoraria (outside the submitted work) from Alliance for Better Bone Health, AMGEN, MSD, Eli Lilly, Servier, Shire, UCB, Kyowa Kirin, Consilient Healthcare, Radius Health and Internis Pharma. </w:t>
      </w:r>
      <w:r>
        <w:rPr>
          <w:rFonts w:ascii="Arial" w:hAnsi="Arial" w:cs="Arial"/>
        </w:rPr>
        <w:t>Roger Fielding</w:t>
      </w:r>
      <w:r w:rsidR="00FC1DE1" w:rsidRPr="00424424">
        <w:rPr>
          <w:rFonts w:ascii="Arial" w:hAnsi="Arial" w:cs="Arial"/>
        </w:rPr>
        <w:t xml:space="preserve"> reports grants from National Institutes of Health (National Institute on Aging) and the USDA, during the conduct of the study; grants, personal fees and other from Axcella Health, other from Inside Tracker, grants and personal fees from Biophytis, grants and personal fees from Astellas, </w:t>
      </w:r>
      <w:r w:rsidR="00CB359B" w:rsidRPr="00424424">
        <w:rPr>
          <w:rFonts w:ascii="Arial" w:hAnsi="Arial" w:cs="Arial"/>
        </w:rPr>
        <w:t xml:space="preserve">personal fees from Pfizer, personal fees from Reneo, </w:t>
      </w:r>
      <w:r w:rsidR="00FC1DE1" w:rsidRPr="00424424">
        <w:rPr>
          <w:rFonts w:ascii="Arial" w:hAnsi="Arial" w:cs="Arial"/>
        </w:rPr>
        <w:t xml:space="preserve">personal fees from Cytokinetics, personal fees from Amazentis, grants and personal fees from Nestle', personal fees from Glaxo Smith Kline, outside the submitted work. </w:t>
      </w:r>
      <w:r w:rsidRPr="00CD5634">
        <w:rPr>
          <w:rFonts w:ascii="Arial" w:hAnsi="Arial" w:cs="Arial"/>
        </w:rPr>
        <w:t>Jean-Yves Reginster</w:t>
      </w:r>
      <w:r w:rsidR="00274EFC" w:rsidRPr="00424424">
        <w:rPr>
          <w:rFonts w:ascii="Arial" w:hAnsi="Arial" w:cs="Arial"/>
        </w:rPr>
        <w:t xml:space="preserve"> declares grant support from industry through institution (IBSA-Genevrier, Mylan, CNIEL, Radius Health, TRB), lecture fees when speaking at the invitation of sponsor (IBSA-Genevrier, Mylan, CNIEL, Dairy Research Council (DRC), Nutricia, Danone, Agnovos) and consulting fees or paid advisory boards (IBSA-Genevrier, Mylan, Radius Health, Pierre Fabre, Faes Pharma, Rejuvenate Biomed, Samumed, Teva, Theramex, Pfizer, Mithra Pharmaceuticals). </w:t>
      </w:r>
      <w:r w:rsidR="00550891" w:rsidRPr="00424424">
        <w:rPr>
          <w:rFonts w:ascii="Arial" w:hAnsi="Arial" w:cs="Arial"/>
        </w:rPr>
        <w:t xml:space="preserve">The remaining authors </w:t>
      </w:r>
      <w:r w:rsidR="00FC1DE1" w:rsidRPr="00424424">
        <w:rPr>
          <w:rFonts w:ascii="Arial" w:hAnsi="Arial" w:cs="Arial"/>
        </w:rPr>
        <w:t>declare that they have no conflicts of interest.</w:t>
      </w:r>
    </w:p>
    <w:p w14:paraId="51D210A3" w14:textId="02D52B97" w:rsidR="007521FF" w:rsidRDefault="007521FF" w:rsidP="00C02383">
      <w:pPr>
        <w:spacing w:line="360" w:lineRule="auto"/>
        <w:rPr>
          <w:rFonts w:ascii="Arial" w:hAnsi="Arial" w:cs="Arial"/>
        </w:rPr>
      </w:pPr>
    </w:p>
    <w:p w14:paraId="46F5E253" w14:textId="6631CA4E" w:rsidR="007521FF" w:rsidRPr="007521FF" w:rsidRDefault="007521FF" w:rsidP="00C02383">
      <w:pPr>
        <w:spacing w:line="360" w:lineRule="auto"/>
        <w:rPr>
          <w:rFonts w:ascii="Arial" w:hAnsi="Arial" w:cs="Arial"/>
          <w:b/>
          <w:bCs/>
          <w:i/>
          <w:iCs/>
        </w:rPr>
      </w:pPr>
      <w:r w:rsidRPr="007521FF">
        <w:rPr>
          <w:rStyle w:val="Strong"/>
          <w:rFonts w:ascii="Arial" w:hAnsi="Arial" w:cs="Arial"/>
          <w:b w:val="0"/>
          <w:bCs w:val="0"/>
          <w:i/>
          <w:iCs/>
          <w:color w:val="1C1D1E"/>
          <w:shd w:val="clear" w:color="auto" w:fill="FFFFFF"/>
        </w:rPr>
        <w:t>Ethical standards</w:t>
      </w:r>
    </w:p>
    <w:p w14:paraId="03230A1A" w14:textId="0770DDB3" w:rsidR="00C02383" w:rsidRPr="00424424" w:rsidRDefault="00C02383" w:rsidP="00C02383">
      <w:pPr>
        <w:spacing w:line="360" w:lineRule="auto"/>
        <w:rPr>
          <w:rFonts w:ascii="Arial" w:hAnsi="Arial" w:cs="Arial"/>
        </w:rPr>
      </w:pPr>
      <w:r w:rsidRPr="00424424">
        <w:rPr>
          <w:rFonts w:ascii="Arial" w:hAnsi="Arial" w:cs="Arial"/>
        </w:rPr>
        <w:lastRenderedPageBreak/>
        <w:t>The authors of this manuscript certify that they comply with the ethical guidelines for authorship and publishing in the Journal of Cachexia, Sarcopenia and Muscle</w:t>
      </w:r>
      <w:r w:rsidR="00991226">
        <w:rPr>
          <w:rFonts w:ascii="Arial" w:hAnsi="Arial" w:cs="Arial"/>
        </w:rPr>
        <w:t xml:space="preserve"> </w:t>
      </w:r>
      <w:r w:rsidR="00991226">
        <w:rPr>
          <w:rFonts w:ascii="Arial" w:hAnsi="Arial" w:cs="Arial"/>
        </w:rPr>
        <w:fldChar w:fldCharType="begin"/>
      </w:r>
      <w:r w:rsidR="00991226">
        <w:rPr>
          <w:rFonts w:ascii="Arial" w:hAnsi="Arial" w:cs="Arial"/>
        </w:rPr>
        <w:instrText xml:space="preserve"> ADDIN EN.CITE &lt;EndNote&gt;&lt;Cite&gt;&lt;Author&gt;von Haehling&lt;/Author&gt;&lt;Year&gt;2021&lt;/Year&gt;&lt;RecNum&gt;1484&lt;/RecNum&gt;&lt;DisplayText&gt;[33]&lt;/DisplayText&gt;&lt;record&gt;&lt;rec-number&gt;1484&lt;/rec-number&gt;&lt;foreign-keys&gt;&lt;key app="EN" db-id="pzdf5rvs9wzts6erav6v0rpowttawpd0ztaa" timestamp="1664875111"&gt;1484&lt;/key&gt;&lt;/foreign-keys&gt;&lt;ref-type name="Journal Article"&gt;17&lt;/ref-type&gt;&lt;contributors&gt;&lt;authors&gt;&lt;author&gt;von Haehling, Stephan&lt;/author&gt;&lt;author&gt;Coats, Andrew JS&lt;/author&gt;&lt;author&gt;Anker, Stefan D&lt;/author&gt;&lt;/authors&gt;&lt;/contributors&gt;&lt;titles&gt;&lt;title&gt;Ethical guidelines for publishing in the Journal of Cachexia, Sarcopenia and Muscle: update 2021&lt;/title&gt;&lt;secondary-title&gt;J Cachexia Sarcopenia Muscle.&lt;/secondary-title&gt;&lt;/titles&gt;&lt;periodical&gt;&lt;full-title&gt;J Cachexia Sarcopenia Muscle.&lt;/full-title&gt;&lt;/periodical&gt;&lt;pages&gt;2259-2261&lt;/pages&gt;&lt;volume&gt;12&lt;/volume&gt;&lt;number&gt;6&lt;/number&gt;&lt;dates&gt;&lt;year&gt;2021&lt;/year&gt;&lt;/dates&gt;&lt;urls&gt;&lt;/urls&gt;&lt;/record&gt;&lt;/Cite&gt;&lt;/EndNote&gt;</w:instrText>
      </w:r>
      <w:r w:rsidR="00991226">
        <w:rPr>
          <w:rFonts w:ascii="Arial" w:hAnsi="Arial" w:cs="Arial"/>
        </w:rPr>
        <w:fldChar w:fldCharType="separate"/>
      </w:r>
      <w:r w:rsidR="00991226">
        <w:rPr>
          <w:rFonts w:ascii="Arial" w:hAnsi="Arial" w:cs="Arial"/>
          <w:noProof/>
        </w:rPr>
        <w:t>[33]</w:t>
      </w:r>
      <w:r w:rsidR="00991226">
        <w:rPr>
          <w:rFonts w:ascii="Arial" w:hAnsi="Arial" w:cs="Arial"/>
        </w:rPr>
        <w:fldChar w:fldCharType="end"/>
      </w:r>
      <w:r w:rsidRPr="00424424">
        <w:rPr>
          <w:rFonts w:ascii="Arial" w:hAnsi="Arial" w:cs="Arial"/>
        </w:rPr>
        <w:t>.</w:t>
      </w:r>
      <w:r w:rsidR="004D0BEC" w:rsidRPr="00424424">
        <w:t xml:space="preserve"> </w:t>
      </w:r>
      <w:r w:rsidR="004D0BEC" w:rsidRPr="00424424">
        <w:rPr>
          <w:rFonts w:ascii="Arial" w:hAnsi="Arial" w:cs="Arial"/>
        </w:rPr>
        <w:t>All procedures performed in studies involving human participants were in accordance with the ethical standards of the institutional and/or national research committee and with the 1964 Helsinki Declaration and its later amendments or comparable ethical standards.</w:t>
      </w:r>
      <w:r w:rsidR="00640F8D" w:rsidRPr="00424424">
        <w:t xml:space="preserve"> </w:t>
      </w:r>
      <w:r w:rsidR="00640F8D" w:rsidRPr="00424424">
        <w:rPr>
          <w:rFonts w:ascii="Arial" w:hAnsi="Arial" w:cs="Arial"/>
        </w:rPr>
        <w:t>All participants provided informed consent prior to their inclusion in the study.</w:t>
      </w:r>
      <w:r w:rsidR="007521FF" w:rsidRPr="007521FF">
        <w:t xml:space="preserve"> </w:t>
      </w:r>
      <w:r w:rsidR="007521FF" w:rsidRPr="007521FF">
        <w:rPr>
          <w:rFonts w:ascii="Arial" w:hAnsi="Arial" w:cs="Arial"/>
        </w:rPr>
        <w:t>The authors thank the study participants as well as members of the scientific and data collection teams.</w:t>
      </w:r>
    </w:p>
    <w:p w14:paraId="41F10981" w14:textId="77777777" w:rsidR="00006181" w:rsidRPr="00424424" w:rsidRDefault="00006181" w:rsidP="00B449B0">
      <w:pPr>
        <w:spacing w:after="160" w:line="360" w:lineRule="auto"/>
        <w:rPr>
          <w:rFonts w:ascii="Arial" w:hAnsi="Arial" w:cs="Arial"/>
        </w:rPr>
      </w:pPr>
    </w:p>
    <w:p w14:paraId="01254827" w14:textId="0C5842C5" w:rsidR="00CD3DC9" w:rsidRPr="00424424" w:rsidRDefault="00CD3DC9" w:rsidP="00B449B0">
      <w:pPr>
        <w:spacing w:after="160" w:line="360" w:lineRule="auto"/>
        <w:rPr>
          <w:rFonts w:ascii="Arial" w:hAnsi="Arial" w:cs="Arial"/>
          <w:b/>
        </w:rPr>
      </w:pPr>
      <w:r w:rsidRPr="00424424">
        <w:rPr>
          <w:rFonts w:ascii="Arial" w:hAnsi="Arial" w:cs="Arial"/>
          <w:b/>
          <w:sz w:val="24"/>
          <w:szCs w:val="24"/>
        </w:rPr>
        <w:t>References</w:t>
      </w:r>
    </w:p>
    <w:bookmarkStart w:id="14" w:name="_Hlk93304534"/>
    <w:p w14:paraId="2F5D066D" w14:textId="77777777" w:rsidR="00991226" w:rsidRPr="00991226" w:rsidRDefault="00CD3DC9" w:rsidP="00991226">
      <w:pPr>
        <w:pStyle w:val="EndNoteBibliography"/>
        <w:spacing w:after="0"/>
      </w:pPr>
      <w:r w:rsidRPr="00424424">
        <w:rPr>
          <w:rFonts w:ascii="Arial" w:hAnsi="Arial" w:cs="Arial"/>
          <w:sz w:val="24"/>
          <w:szCs w:val="24"/>
        </w:rPr>
        <w:fldChar w:fldCharType="begin"/>
      </w:r>
      <w:r w:rsidRPr="00424424">
        <w:rPr>
          <w:rFonts w:ascii="Arial" w:hAnsi="Arial" w:cs="Arial"/>
          <w:sz w:val="24"/>
          <w:szCs w:val="24"/>
        </w:rPr>
        <w:instrText xml:space="preserve"> ADDIN EN.REFLIST </w:instrText>
      </w:r>
      <w:r w:rsidRPr="00424424">
        <w:rPr>
          <w:rFonts w:ascii="Arial" w:hAnsi="Arial" w:cs="Arial"/>
          <w:sz w:val="24"/>
          <w:szCs w:val="24"/>
        </w:rPr>
        <w:fldChar w:fldCharType="separate"/>
      </w:r>
      <w:r w:rsidR="00991226" w:rsidRPr="00991226">
        <w:t>1.</w:t>
      </w:r>
      <w:r w:rsidR="00991226" w:rsidRPr="00991226">
        <w:tab/>
        <w:t xml:space="preserve">Shaw S, Dennison E, Cooper C. Epidemiology of Sarcopenia: Determinants Throughout the Lifecourse. Calcif Tissue Int. 2017;101:229-47. </w:t>
      </w:r>
    </w:p>
    <w:p w14:paraId="0D458046" w14:textId="77777777" w:rsidR="00991226" w:rsidRPr="00991226" w:rsidRDefault="00991226" w:rsidP="00991226">
      <w:pPr>
        <w:pStyle w:val="EndNoteBibliography"/>
        <w:spacing w:after="0"/>
      </w:pPr>
      <w:r w:rsidRPr="00991226">
        <w:t>2.</w:t>
      </w:r>
      <w:r w:rsidRPr="00991226">
        <w:tab/>
        <w:t xml:space="preserve">Beaudart C, Biver E, Reginster J-Y, Rizzoli R, Rolland Y, Bautmans I, et al. Development of a self-administrated quality of life questionnaire for sarcopenia in elderly subjects: the SarQoL. Age Ageing. 2015;44:960-6. </w:t>
      </w:r>
    </w:p>
    <w:p w14:paraId="76A17655" w14:textId="77777777" w:rsidR="00991226" w:rsidRPr="00991226" w:rsidRDefault="00991226" w:rsidP="00991226">
      <w:pPr>
        <w:pStyle w:val="EndNoteBibliography"/>
        <w:spacing w:after="0"/>
      </w:pPr>
      <w:r w:rsidRPr="00991226">
        <w:t>3.</w:t>
      </w:r>
      <w:r w:rsidRPr="00991226">
        <w:tab/>
        <w:t xml:space="preserve">Cao L, Morley JE. Sarcopenia is recognized as an independent condition by an international classification of disease, tenth revision, clinical modification (ICD-10-CM) code. J Am Med Dir Assoc. 2016;17:675-7. </w:t>
      </w:r>
    </w:p>
    <w:p w14:paraId="3F89ACA9" w14:textId="77777777" w:rsidR="00991226" w:rsidRPr="00991226" w:rsidRDefault="00991226" w:rsidP="00991226">
      <w:pPr>
        <w:pStyle w:val="EndNoteBibliography"/>
        <w:spacing w:after="0"/>
      </w:pPr>
      <w:r w:rsidRPr="00991226">
        <w:t>4.</w:t>
      </w:r>
      <w:r w:rsidRPr="00991226">
        <w:tab/>
        <w:t xml:space="preserve">Cruz-Jentoft AJ, Baeyens JP, Bauer JM, Boirie Y, Cederholm T, Landi F, et al. Sarcopenia: European consensus on definition and diagnosis: Report of the European Working Group on Sarcopenia in Older People. Age Ageing. 2010;39:412-23. </w:t>
      </w:r>
    </w:p>
    <w:p w14:paraId="7A691A7D" w14:textId="77777777" w:rsidR="00991226" w:rsidRPr="00991226" w:rsidRDefault="00991226" w:rsidP="00991226">
      <w:pPr>
        <w:pStyle w:val="EndNoteBibliography"/>
        <w:spacing w:after="0"/>
      </w:pPr>
      <w:r w:rsidRPr="00991226">
        <w:t>5.</w:t>
      </w:r>
      <w:r w:rsidRPr="00991226">
        <w:tab/>
        <w:t xml:space="preserve">Cruz-Jentoft AJ, Bahat G, Bauer J, Boirie Y, Bruyère O, Cederholm T, et al. Sarcopenia: revised European consensus on definition and diagnosis. Age Ageing. 2019;48:16-31. </w:t>
      </w:r>
    </w:p>
    <w:p w14:paraId="44422611" w14:textId="77777777" w:rsidR="00991226" w:rsidRPr="00991226" w:rsidRDefault="00991226" w:rsidP="00991226">
      <w:pPr>
        <w:pStyle w:val="EndNoteBibliography"/>
        <w:spacing w:after="0"/>
      </w:pPr>
      <w:r w:rsidRPr="00991226">
        <w:t>6.</w:t>
      </w:r>
      <w:r w:rsidRPr="00991226">
        <w:tab/>
        <w:t xml:space="preserve">Studenski SA, Peters KW, Alley DE, Cawthon PM, McLean RR, Harris TB, et al. The FNIH sarcopenia project: rationale, study description, conference recommendations, and final estimates. J Gerontol A Biol Sci Med Sci. 2014;69:547-58. </w:t>
      </w:r>
    </w:p>
    <w:p w14:paraId="535CD34E" w14:textId="77777777" w:rsidR="00991226" w:rsidRPr="00991226" w:rsidRDefault="00991226" w:rsidP="00991226">
      <w:pPr>
        <w:pStyle w:val="EndNoteBibliography"/>
        <w:spacing w:after="0"/>
      </w:pPr>
      <w:r w:rsidRPr="00991226">
        <w:t>7.</w:t>
      </w:r>
      <w:r w:rsidRPr="00991226">
        <w:tab/>
        <w:t xml:space="preserve">Bhasin S, Travison TG, Manini TM, Patel S, Pencina KM, Fielding RA, et al. Sarcopenia Definition: The Position Statements of the Sarcopenia Definition and Outcomes Consortium. J Am Geriatr Soc. 2020;68:1410-8. </w:t>
      </w:r>
    </w:p>
    <w:p w14:paraId="294F95DD" w14:textId="77777777" w:rsidR="00991226" w:rsidRPr="00991226" w:rsidRDefault="00991226" w:rsidP="00991226">
      <w:pPr>
        <w:pStyle w:val="EndNoteBibliography"/>
        <w:spacing w:after="0"/>
      </w:pPr>
      <w:r w:rsidRPr="00991226">
        <w:lastRenderedPageBreak/>
        <w:t>8.</w:t>
      </w:r>
      <w:r w:rsidRPr="00991226">
        <w:tab/>
        <w:t>Harvey NC, Oden A, Orwoll E, Lapidus J, Kwok T, Karlsson MK, et al. Measures of Physical Performance and Muscle Strength as Predictors of Fracture Risk Independent of FRAX, Falls, and aBMD: A Meta-Analysis of the Osteoporotic Fractures in Men (MrOS) Study. J Bone Miner Res. 2018;33:2150-7. doi:10.1002/jbmr.3556</w:t>
      </w:r>
    </w:p>
    <w:p w14:paraId="04396993" w14:textId="77777777" w:rsidR="00991226" w:rsidRPr="00991226" w:rsidRDefault="00991226" w:rsidP="00991226">
      <w:pPr>
        <w:pStyle w:val="EndNoteBibliography"/>
        <w:spacing w:after="0"/>
      </w:pPr>
      <w:r w:rsidRPr="00991226">
        <w:t>9.</w:t>
      </w:r>
      <w:r w:rsidRPr="00991226">
        <w:tab/>
        <w:t>Harvey NC, Kanis JA, Liu E, Johansson H, Lorentzon M, McCloskey E. Appendicular lean mass and fracture risk assessment: implications for FRAX(R) and sarcopenia. Osteoporos Int. 2019;30:537-9. doi:10.1007/s00198-019-04904-z</w:t>
      </w:r>
    </w:p>
    <w:p w14:paraId="7552F055" w14:textId="77777777" w:rsidR="00991226" w:rsidRPr="00991226" w:rsidRDefault="00991226" w:rsidP="00991226">
      <w:pPr>
        <w:pStyle w:val="EndNoteBibliography"/>
        <w:spacing w:after="0"/>
      </w:pPr>
      <w:r w:rsidRPr="00991226">
        <w:t>10.</w:t>
      </w:r>
      <w:r w:rsidRPr="00991226">
        <w:tab/>
        <w:t xml:space="preserve">Papadopoulou SK. Sarcopenia: A contemporary health problem among older adult populations. Nutrients. 2020;12:1293. </w:t>
      </w:r>
    </w:p>
    <w:p w14:paraId="0F22A82D" w14:textId="77777777" w:rsidR="00991226" w:rsidRPr="00991226" w:rsidRDefault="00991226" w:rsidP="00991226">
      <w:pPr>
        <w:pStyle w:val="EndNoteBibliography"/>
        <w:spacing w:after="0"/>
      </w:pPr>
      <w:r w:rsidRPr="00991226">
        <w:t>11.</w:t>
      </w:r>
      <w:r w:rsidRPr="00991226">
        <w:tab/>
        <w:t xml:space="preserve">Houston DK, Nicklas BJ, Ding J, Harris TB, Tylavsky FA, Newman AB, et al. Dietary protein intake is associated with lean mass change in older, community-dwelling adults: the Health, Aging, and Body Composition (Health ABC) Study. Am J Clin Nutr. 2008;87:150-5. </w:t>
      </w:r>
    </w:p>
    <w:p w14:paraId="2E3B0632" w14:textId="77777777" w:rsidR="00991226" w:rsidRPr="00991226" w:rsidRDefault="00991226" w:rsidP="00991226">
      <w:pPr>
        <w:pStyle w:val="EndNoteBibliography"/>
        <w:spacing w:after="0"/>
      </w:pPr>
      <w:r w:rsidRPr="00991226">
        <w:t>12.</w:t>
      </w:r>
      <w:r w:rsidRPr="00991226">
        <w:tab/>
        <w:t xml:space="preserve">Orwoll E, Blank JB, Barrett-Connor E, Cauley J, Cummings S, Ensrud K, et al. Design and baseline characteristics of the osteoporotic fractures in men (MrOS) study—a large observational study of the determinants of fracture in older men. Contemp Clin Trials. 2005;26:569-85. </w:t>
      </w:r>
    </w:p>
    <w:p w14:paraId="454965E5" w14:textId="77777777" w:rsidR="00991226" w:rsidRPr="00991226" w:rsidRDefault="00991226" w:rsidP="00991226">
      <w:pPr>
        <w:pStyle w:val="EndNoteBibliography"/>
        <w:spacing w:after="0"/>
      </w:pPr>
      <w:r w:rsidRPr="00991226">
        <w:t>13.</w:t>
      </w:r>
      <w:r w:rsidRPr="00991226">
        <w:tab/>
        <w:t xml:space="preserve">Mellström D, Johnell O, Ljunggren Ö, Eriksson AL, Lorentzon M, Mallmin H, et al. Free testosterone is an independent predictor of BMD and prevalent fractures in elderly men: MrOS Sweden. J Bone Miner Res. 2006;21:529-35. </w:t>
      </w:r>
    </w:p>
    <w:p w14:paraId="6B6B0018" w14:textId="77777777" w:rsidR="00991226" w:rsidRPr="00991226" w:rsidRDefault="00991226" w:rsidP="00991226">
      <w:pPr>
        <w:pStyle w:val="EndNoteBibliography"/>
        <w:spacing w:after="0"/>
      </w:pPr>
      <w:r w:rsidRPr="00991226">
        <w:t>14.</w:t>
      </w:r>
      <w:r w:rsidRPr="00991226">
        <w:tab/>
        <w:t xml:space="preserve">Syddall H, Sayer AA, Dennison E, Martin H, Barker D, Cooper C. Cohort profile: the Hertfordshire cohort study. Int J Epidemiol. 2005;34:1234-42. </w:t>
      </w:r>
    </w:p>
    <w:p w14:paraId="06E314D4" w14:textId="77777777" w:rsidR="00991226" w:rsidRPr="00991226" w:rsidRDefault="00991226" w:rsidP="00991226">
      <w:pPr>
        <w:pStyle w:val="EndNoteBibliography"/>
        <w:spacing w:after="0"/>
      </w:pPr>
      <w:r w:rsidRPr="00991226">
        <w:t>15.</w:t>
      </w:r>
      <w:r w:rsidRPr="00991226">
        <w:tab/>
        <w:t>Syddall HE, Simmonds SJ, Carter SA, Robinson SM, Dennison EM, Cooper C, et al. The Hertfordshire Cohort Study: an overview. F1000Res. 2019;8; 82:</w:t>
      </w:r>
    </w:p>
    <w:p w14:paraId="222F7718" w14:textId="77777777" w:rsidR="00991226" w:rsidRPr="00991226" w:rsidRDefault="00991226" w:rsidP="00991226">
      <w:pPr>
        <w:pStyle w:val="EndNoteBibliography"/>
        <w:spacing w:after="0"/>
      </w:pPr>
      <w:r w:rsidRPr="00991226">
        <w:t>16.</w:t>
      </w:r>
      <w:r w:rsidRPr="00991226">
        <w:tab/>
        <w:t xml:space="preserve">Beaudart C, Reginster J-Y, Petermans J, Gillain S, Quabron A, Locquet M, et al. Quality of life and physical components linked to sarcopenia: The SarcoPhAge study. Exp Gerontol. 2015;69:103-10. </w:t>
      </w:r>
    </w:p>
    <w:p w14:paraId="09F3B1F9" w14:textId="77777777" w:rsidR="00991226" w:rsidRPr="00991226" w:rsidRDefault="00991226" w:rsidP="00991226">
      <w:pPr>
        <w:pStyle w:val="EndNoteBibliography"/>
        <w:spacing w:after="0"/>
      </w:pPr>
      <w:r w:rsidRPr="00991226">
        <w:t>17.</w:t>
      </w:r>
      <w:r w:rsidRPr="00991226">
        <w:tab/>
        <w:t xml:space="preserve">Jeng C, Zhao LJ, Wu K, Zhou Y, Chen T, Deng HW. Race and socioeconomic effect on sarcopenia and sarcopenic obesity in the Louisiana Osteoporosis Study (LOS). JCSM Clin Rep. 2018;3:1-8. </w:t>
      </w:r>
    </w:p>
    <w:p w14:paraId="2869A51F" w14:textId="77777777" w:rsidR="00991226" w:rsidRPr="00991226" w:rsidRDefault="00991226" w:rsidP="00991226">
      <w:pPr>
        <w:pStyle w:val="EndNoteBibliography"/>
        <w:spacing w:after="0"/>
      </w:pPr>
      <w:r w:rsidRPr="00991226">
        <w:lastRenderedPageBreak/>
        <w:t>18.</w:t>
      </w:r>
      <w:r w:rsidRPr="00991226">
        <w:tab/>
        <w:t xml:space="preserve">Westbury LD, Syddall HE, Fuggle NR, Dennison EM, Cauley JA, Shiroma EJ, et al. Long-term rates of change in musculoskeletal aging and body composition: findings from the Health, Aging and Body Composition Study. Calcif Tissue Int. 2020;106:616-24. </w:t>
      </w:r>
    </w:p>
    <w:p w14:paraId="0E7A82DC" w14:textId="77777777" w:rsidR="00991226" w:rsidRPr="00991226" w:rsidRDefault="00991226" w:rsidP="00991226">
      <w:pPr>
        <w:pStyle w:val="EndNoteBibliography"/>
        <w:spacing w:after="0"/>
      </w:pPr>
      <w:r w:rsidRPr="00991226">
        <w:t>19.</w:t>
      </w:r>
      <w:r w:rsidRPr="00991226">
        <w:tab/>
        <w:t xml:space="preserve">Guralnik JM, Ferrucci L, Pieper CF, Leveille SG, Markides KS, Ostir GV, et al. Lower extremity function and subsequent disability: consistency across studies, predictive models, and value of gait speed alone compared with the short physical performance battery. J Gerontol A Biol Sci Med Sci. 2000;55:M221-M31. </w:t>
      </w:r>
    </w:p>
    <w:p w14:paraId="0E45627E" w14:textId="77777777" w:rsidR="00991226" w:rsidRPr="00991226" w:rsidRDefault="00991226" w:rsidP="00991226">
      <w:pPr>
        <w:pStyle w:val="EndNoteBibliography"/>
        <w:spacing w:after="0"/>
      </w:pPr>
      <w:r w:rsidRPr="00991226">
        <w:t>20.</w:t>
      </w:r>
      <w:r w:rsidRPr="00991226">
        <w:tab/>
        <w:t xml:space="preserve">Studenski S, Perera S, Patel K, Rosano C, Faulkner K, Inzitari M, et al. Gait speed and survival in older adults. JAMA. 2011;305:50-8. </w:t>
      </w:r>
    </w:p>
    <w:p w14:paraId="0CA19008" w14:textId="77777777" w:rsidR="00991226" w:rsidRPr="00991226" w:rsidRDefault="00991226" w:rsidP="00991226">
      <w:pPr>
        <w:pStyle w:val="EndNoteBibliography"/>
        <w:spacing w:after="0"/>
      </w:pPr>
      <w:r w:rsidRPr="00991226">
        <w:t>21.</w:t>
      </w:r>
      <w:r w:rsidRPr="00991226">
        <w:tab/>
        <w:t xml:space="preserve">Borgström F, Karlsson L, Ortsäter G, Norton N, Halbout P, Cooper C, et al. Fragility fractures in Europe: burden, management and opportunities. Arch Osteoporos. 2020;15(1):59. </w:t>
      </w:r>
    </w:p>
    <w:p w14:paraId="4588964F" w14:textId="23A346C2" w:rsidR="00991226" w:rsidRPr="00991226" w:rsidRDefault="00991226" w:rsidP="00991226">
      <w:pPr>
        <w:pStyle w:val="EndNoteBibliography"/>
        <w:spacing w:after="0"/>
      </w:pPr>
      <w:r w:rsidRPr="00991226">
        <w:t>22.</w:t>
      </w:r>
      <w:r w:rsidRPr="00991226">
        <w:tab/>
        <w:t xml:space="preserve">World Health Organization. The Global Health Observatory. Raised cholesterol. </w:t>
      </w:r>
      <w:hyperlink r:id="rId9" w:history="1">
        <w:r w:rsidRPr="00991226">
          <w:rPr>
            <w:rStyle w:val="Hyperlink"/>
          </w:rPr>
          <w:t>https://www.who.int/data/gho/indicator-metadata-registry/imr-details/3236</w:t>
        </w:r>
      </w:hyperlink>
      <w:r w:rsidRPr="00991226">
        <w:t xml:space="preserve">. Accessed 22 March 2022. </w:t>
      </w:r>
    </w:p>
    <w:p w14:paraId="028E0298" w14:textId="77777777" w:rsidR="00991226" w:rsidRPr="00991226" w:rsidRDefault="00991226" w:rsidP="00991226">
      <w:pPr>
        <w:pStyle w:val="EndNoteBibliography"/>
        <w:spacing w:after="0"/>
      </w:pPr>
      <w:r w:rsidRPr="00991226">
        <w:t>23.</w:t>
      </w:r>
      <w:r w:rsidRPr="00991226">
        <w:tab/>
        <w:t xml:space="preserve">Zhou B, Carrillo-Larco RM, Danaei G, Riley LM, Paciorek CJ, Stevens GA, et al. Worldwide trends in hypertension prevalence and progress in treatment and control from 1990 to 2019: a pooled analysis of 1201 population-representative studies with 104 million participants. Lancet. 2021;398:957-80. </w:t>
      </w:r>
    </w:p>
    <w:p w14:paraId="2079415D" w14:textId="77777777" w:rsidR="00991226" w:rsidRPr="00991226" w:rsidRDefault="00991226" w:rsidP="00991226">
      <w:pPr>
        <w:pStyle w:val="EndNoteBibliography"/>
        <w:spacing w:after="0"/>
      </w:pPr>
      <w:r w:rsidRPr="00991226">
        <w:t>24.</w:t>
      </w:r>
      <w:r w:rsidRPr="00991226">
        <w:tab/>
        <w:t xml:space="preserve">Baumgartner RN, Koehler KM, Gallagher D, Romero L, Heymsfield SB, Ross RR, et al. Epidemiology of sarcopenia among the elderly in New Mexico. Am J Epidemiol. 1998;147:755-63. </w:t>
      </w:r>
    </w:p>
    <w:p w14:paraId="6EC4B25E" w14:textId="77777777" w:rsidR="00991226" w:rsidRPr="00991226" w:rsidRDefault="00991226" w:rsidP="00991226">
      <w:pPr>
        <w:pStyle w:val="EndNoteBibliography"/>
        <w:spacing w:after="0"/>
      </w:pPr>
      <w:r w:rsidRPr="00991226">
        <w:t>25.</w:t>
      </w:r>
      <w:r w:rsidRPr="00991226">
        <w:tab/>
        <w:t xml:space="preserve">Delmonico MJ, Harris TB, Lee JS, Visser M, Nevitt M, Kritchevsky SB, et al. Alternative definitions of sarcopenia, lower extremity performance, and functional impairment with aging in older men and women. J Am Geriatr Soc. 2007;55:769-74. </w:t>
      </w:r>
    </w:p>
    <w:p w14:paraId="6AF27F15" w14:textId="77777777" w:rsidR="00991226" w:rsidRPr="00991226" w:rsidRDefault="00991226" w:rsidP="00991226">
      <w:pPr>
        <w:pStyle w:val="EndNoteBibliography"/>
        <w:spacing w:after="0"/>
      </w:pPr>
      <w:r w:rsidRPr="00991226">
        <w:t>26.</w:t>
      </w:r>
      <w:r w:rsidRPr="00991226">
        <w:tab/>
        <w:t xml:space="preserve">Reginster J-Y, Beaudart C, Al-Daghri N, Avouac B, Bauer J, Bere N, et al. Update on the ESCEO recommendation for the conduct of clinical trials for drugs aiming at the treatment of sarcopenia in older adults. Aging Clin Exp Res. 2021;33:3-17. </w:t>
      </w:r>
    </w:p>
    <w:p w14:paraId="19C4EE8A" w14:textId="77777777" w:rsidR="00991226" w:rsidRPr="00991226" w:rsidRDefault="00991226" w:rsidP="00991226">
      <w:pPr>
        <w:pStyle w:val="EndNoteBibliography"/>
        <w:spacing w:after="0"/>
      </w:pPr>
      <w:r w:rsidRPr="00991226">
        <w:t>27.</w:t>
      </w:r>
      <w:r w:rsidRPr="00991226">
        <w:tab/>
        <w:t xml:space="preserve">Harvey NC, Orwoll E, Kwok T, Karlsson MK, Rosengren BE, Ribom E, et al. Sarcopenia Definitions as Predictors of Fracture Risk Independent of FRAX®, Falls, and BMD in the Osteoporotic Fractures in Men (MrOS) Study: A Meta‐Analysis. J Bone Miner Res. 2021;36:1235-44. </w:t>
      </w:r>
    </w:p>
    <w:p w14:paraId="4FBA2E94" w14:textId="77777777" w:rsidR="00991226" w:rsidRPr="00991226" w:rsidRDefault="00991226" w:rsidP="00991226">
      <w:pPr>
        <w:pStyle w:val="EndNoteBibliography"/>
        <w:spacing w:after="0"/>
      </w:pPr>
      <w:r w:rsidRPr="00991226">
        <w:lastRenderedPageBreak/>
        <w:t>28.</w:t>
      </w:r>
      <w:r w:rsidRPr="00991226">
        <w:tab/>
        <w:t xml:space="preserve">Stuck AK, Mäder NC, Bertschi D, Limacher A, Kressig RW. Performance of the EWGSOP2 cut-points of low grip strength for identifying sarcopenia and frailty phenotype: a cross-sectional study in older inpatients. Int J Environ Res Public Health. 2021;18:3498. </w:t>
      </w:r>
    </w:p>
    <w:p w14:paraId="07316A53" w14:textId="77777777" w:rsidR="00991226" w:rsidRPr="00991226" w:rsidRDefault="00991226" w:rsidP="00991226">
      <w:pPr>
        <w:pStyle w:val="EndNoteBibliography"/>
        <w:spacing w:after="0"/>
      </w:pPr>
      <w:r w:rsidRPr="00991226">
        <w:t>29.</w:t>
      </w:r>
      <w:r w:rsidRPr="00991226">
        <w:tab/>
        <w:t xml:space="preserve">Locquet M, Beaudart C, Petermans J, Reginster J-Y, Bruyère O. EWGSOP2 versus EWGSOP1: impact on the prevalence of sarcopenia and its major health consequences. J Am Med Dir Assoc. 2019;20:384-5. </w:t>
      </w:r>
    </w:p>
    <w:p w14:paraId="075F31F1" w14:textId="77777777" w:rsidR="00991226" w:rsidRPr="00991226" w:rsidRDefault="00991226" w:rsidP="00991226">
      <w:pPr>
        <w:pStyle w:val="EndNoteBibliography"/>
        <w:spacing w:after="0"/>
      </w:pPr>
      <w:r w:rsidRPr="00991226">
        <w:t>30.</w:t>
      </w:r>
      <w:r w:rsidRPr="00991226">
        <w:tab/>
        <w:t xml:space="preserve">Cawthon PM, Blackwell T, Cummings SR, Orwoll ES, Duchowny KA, Kado DM, et al. Muscle mass assessed by the D3-creatine dilution method and incident self-reported disability and mortality in a prospective observational study of community-dwelling older men. J Gerontol A Biol Sci Med Sci. 2021;76:123-30. </w:t>
      </w:r>
    </w:p>
    <w:p w14:paraId="5B751BCF" w14:textId="77777777" w:rsidR="00991226" w:rsidRPr="00991226" w:rsidRDefault="00991226" w:rsidP="00991226">
      <w:pPr>
        <w:pStyle w:val="EndNoteBibliography"/>
        <w:spacing w:after="0"/>
      </w:pPr>
      <w:r w:rsidRPr="00991226">
        <w:t>31.</w:t>
      </w:r>
      <w:r w:rsidRPr="00991226">
        <w:tab/>
        <w:t xml:space="preserve">Evans WJ, Hellerstein M, Orwoll E, Cummings S, Cawthon PM. D3‐Creatine dilution and the importance of accuracy in the assessment of skeletal muscle mass. J Cachexia Sarcopenia Muscle 2019;10:14-21. </w:t>
      </w:r>
    </w:p>
    <w:p w14:paraId="23E36268" w14:textId="77777777" w:rsidR="00991226" w:rsidRPr="00991226" w:rsidRDefault="00991226" w:rsidP="00991226">
      <w:pPr>
        <w:pStyle w:val="EndNoteBibliography"/>
        <w:spacing w:after="0"/>
      </w:pPr>
      <w:r w:rsidRPr="00991226">
        <w:t>32.</w:t>
      </w:r>
      <w:r w:rsidRPr="00991226">
        <w:tab/>
        <w:t xml:space="preserve">Cawthon PM, Orwoll ES, Peters KE, Ensrud KE, Cauley JA, Kado DM, et al. Strong relation between muscle mass determined by D3-creatine dilution, physical performance, and incidence of falls and mobility limitations in a prospective cohort of older men. J Gerontol A Biol Sci Med Sci. 2019;74:844-52. </w:t>
      </w:r>
    </w:p>
    <w:p w14:paraId="542614DA" w14:textId="77777777" w:rsidR="00991226" w:rsidRPr="00991226" w:rsidRDefault="00991226" w:rsidP="00991226">
      <w:pPr>
        <w:pStyle w:val="EndNoteBibliography"/>
      </w:pPr>
      <w:r w:rsidRPr="00991226">
        <w:t>33.</w:t>
      </w:r>
      <w:r w:rsidRPr="00991226">
        <w:tab/>
        <w:t xml:space="preserve">von Haehling S, Coats AJ, Anker SD. Ethical guidelines for publishing in the Journal of Cachexia, Sarcopenia and Muscle: update 2021. J Cachexia Sarcopenia Muscle. 2021;12:2259-61. </w:t>
      </w:r>
    </w:p>
    <w:p w14:paraId="16BD5C84" w14:textId="6542F10B" w:rsidR="00AA685B" w:rsidRPr="00424424" w:rsidRDefault="00CD3DC9" w:rsidP="007A034A">
      <w:pPr>
        <w:rPr>
          <w:rFonts w:ascii="Arial" w:hAnsi="Arial" w:cs="Arial"/>
          <w:sz w:val="24"/>
          <w:szCs w:val="24"/>
        </w:rPr>
        <w:sectPr w:rsidR="00AA685B" w:rsidRPr="00424424" w:rsidSect="009D2337">
          <w:footerReference w:type="default" r:id="rId10"/>
          <w:pgSz w:w="11906" w:h="16838"/>
          <w:pgMar w:top="1440" w:right="1440" w:bottom="1440" w:left="1440" w:header="708" w:footer="708" w:gutter="0"/>
          <w:cols w:space="708"/>
          <w:docGrid w:linePitch="360"/>
        </w:sectPr>
      </w:pPr>
      <w:r w:rsidRPr="00424424">
        <w:rPr>
          <w:rFonts w:ascii="Arial" w:hAnsi="Arial" w:cs="Arial"/>
          <w:sz w:val="24"/>
          <w:szCs w:val="24"/>
        </w:rPr>
        <w:fldChar w:fldCharType="end"/>
      </w:r>
      <w:bookmarkEnd w:id="14"/>
    </w:p>
    <w:tbl>
      <w:tblPr>
        <w:tblStyle w:val="TableGrid1"/>
        <w:tblW w:w="1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249"/>
        <w:gridCol w:w="4536"/>
        <w:gridCol w:w="4460"/>
      </w:tblGrid>
      <w:tr w:rsidR="00F65228" w:rsidRPr="00424424" w14:paraId="3F972991" w14:textId="22700DE7" w:rsidTr="00B81D37">
        <w:trPr>
          <w:trHeight w:val="290"/>
          <w:tblHeader/>
        </w:trPr>
        <w:tc>
          <w:tcPr>
            <w:tcW w:w="13929" w:type="dxa"/>
            <w:gridSpan w:val="4"/>
            <w:tcBorders>
              <w:bottom w:val="single" w:sz="4" w:space="0" w:color="auto"/>
            </w:tcBorders>
            <w:noWrap/>
          </w:tcPr>
          <w:p w14:paraId="3FD22B96" w14:textId="23CD7A38" w:rsidR="00F65228" w:rsidRPr="00424424" w:rsidRDefault="00F65228" w:rsidP="0056596E">
            <w:pPr>
              <w:spacing w:before="100" w:beforeAutospacing="1"/>
              <w:rPr>
                <w:rFonts w:ascii="Arial" w:hAnsi="Arial" w:cs="Arial"/>
                <w:b/>
                <w:bCs/>
              </w:rPr>
            </w:pPr>
            <w:bookmarkStart w:id="15" w:name="_Hlk93493031"/>
            <w:bookmarkStart w:id="16" w:name="_Hlk109650517"/>
            <w:r w:rsidRPr="00424424">
              <w:rPr>
                <w:rFonts w:ascii="Arial" w:hAnsi="Arial" w:cs="Arial"/>
                <w:b/>
                <w:bCs/>
              </w:rPr>
              <w:lastRenderedPageBreak/>
              <w:t xml:space="preserve">Table 1: </w:t>
            </w:r>
            <w:r w:rsidRPr="00424424">
              <w:rPr>
                <w:rFonts w:ascii="Arial" w:hAnsi="Arial" w:cs="Arial"/>
              </w:rPr>
              <w:t>Definitions of sarcopenia and thresholds used for each sarcopenia component</w:t>
            </w:r>
          </w:p>
        </w:tc>
      </w:tr>
      <w:tr w:rsidR="004D04C4" w:rsidRPr="00424424" w14:paraId="32221049" w14:textId="7CDEFD12" w:rsidTr="004D04C4">
        <w:trPr>
          <w:trHeight w:val="290"/>
          <w:tblHeader/>
        </w:trPr>
        <w:tc>
          <w:tcPr>
            <w:tcW w:w="2684" w:type="dxa"/>
            <w:tcBorders>
              <w:top w:val="single" w:sz="4" w:space="0" w:color="auto"/>
              <w:bottom w:val="single" w:sz="4" w:space="0" w:color="auto"/>
            </w:tcBorders>
            <w:noWrap/>
            <w:hideMark/>
          </w:tcPr>
          <w:p w14:paraId="2522873B" w14:textId="77777777" w:rsidR="004D04C4" w:rsidRPr="00424424" w:rsidRDefault="004D04C4" w:rsidP="0056596E">
            <w:pPr>
              <w:spacing w:before="100" w:beforeAutospacing="1"/>
              <w:rPr>
                <w:rFonts w:ascii="Arial" w:hAnsi="Arial" w:cs="Arial"/>
                <w:b/>
                <w:bCs/>
                <w:sz w:val="20"/>
                <w:szCs w:val="20"/>
              </w:rPr>
            </w:pPr>
            <w:r w:rsidRPr="00424424">
              <w:rPr>
                <w:rFonts w:ascii="Arial" w:hAnsi="Arial" w:cs="Arial"/>
                <w:b/>
                <w:bCs/>
                <w:sz w:val="20"/>
                <w:szCs w:val="20"/>
              </w:rPr>
              <w:t>Definition</w:t>
            </w:r>
          </w:p>
        </w:tc>
        <w:tc>
          <w:tcPr>
            <w:tcW w:w="2249" w:type="dxa"/>
            <w:tcBorders>
              <w:top w:val="single" w:sz="4" w:space="0" w:color="auto"/>
              <w:bottom w:val="single" w:sz="4" w:space="0" w:color="auto"/>
            </w:tcBorders>
            <w:noWrap/>
            <w:hideMark/>
          </w:tcPr>
          <w:p w14:paraId="38AA96F6" w14:textId="77777777" w:rsidR="004D04C4" w:rsidRPr="00424424" w:rsidRDefault="004D04C4" w:rsidP="0056596E">
            <w:pPr>
              <w:spacing w:before="100" w:beforeAutospacing="1"/>
              <w:rPr>
                <w:rFonts w:ascii="Arial" w:hAnsi="Arial" w:cs="Arial"/>
                <w:b/>
                <w:bCs/>
                <w:sz w:val="20"/>
                <w:szCs w:val="20"/>
              </w:rPr>
            </w:pPr>
            <w:r w:rsidRPr="00424424">
              <w:rPr>
                <w:rFonts w:ascii="Arial" w:hAnsi="Arial" w:cs="Arial"/>
                <w:b/>
                <w:bCs/>
                <w:sz w:val="20"/>
                <w:szCs w:val="20"/>
              </w:rPr>
              <w:t>Algorithm</w:t>
            </w:r>
          </w:p>
        </w:tc>
        <w:tc>
          <w:tcPr>
            <w:tcW w:w="4536" w:type="dxa"/>
            <w:tcBorders>
              <w:top w:val="single" w:sz="4" w:space="0" w:color="auto"/>
              <w:bottom w:val="single" w:sz="4" w:space="0" w:color="auto"/>
            </w:tcBorders>
            <w:noWrap/>
            <w:hideMark/>
          </w:tcPr>
          <w:p w14:paraId="036E1B83" w14:textId="1B5008B9" w:rsidR="004D04C4" w:rsidRPr="00424424" w:rsidRDefault="004D04C4" w:rsidP="0056596E">
            <w:pPr>
              <w:spacing w:before="100" w:beforeAutospacing="1"/>
              <w:rPr>
                <w:rFonts w:ascii="Arial" w:hAnsi="Arial" w:cs="Arial"/>
                <w:b/>
                <w:bCs/>
                <w:sz w:val="20"/>
                <w:szCs w:val="20"/>
              </w:rPr>
            </w:pPr>
            <w:r w:rsidRPr="00424424">
              <w:rPr>
                <w:rFonts w:ascii="Arial" w:hAnsi="Arial" w:cs="Arial"/>
                <w:b/>
                <w:bCs/>
                <w:sz w:val="20"/>
                <w:szCs w:val="20"/>
              </w:rPr>
              <w:t>Original thresholds (M: Men; W: Women)</w:t>
            </w:r>
          </w:p>
        </w:tc>
        <w:tc>
          <w:tcPr>
            <w:tcW w:w="4460" w:type="dxa"/>
            <w:tcBorders>
              <w:top w:val="single" w:sz="4" w:space="0" w:color="auto"/>
              <w:bottom w:val="single" w:sz="4" w:space="0" w:color="auto"/>
            </w:tcBorders>
          </w:tcPr>
          <w:p w14:paraId="119F84BE" w14:textId="21E2559E" w:rsidR="004D04C4" w:rsidRPr="00424424" w:rsidRDefault="004D04C4" w:rsidP="0056596E">
            <w:pPr>
              <w:spacing w:before="100" w:beforeAutospacing="1"/>
              <w:rPr>
                <w:rFonts w:ascii="Arial" w:hAnsi="Arial" w:cs="Arial"/>
                <w:b/>
                <w:bCs/>
                <w:sz w:val="20"/>
                <w:szCs w:val="20"/>
              </w:rPr>
            </w:pPr>
            <w:r w:rsidRPr="00424424">
              <w:rPr>
                <w:rFonts w:ascii="Arial" w:hAnsi="Arial" w:cs="Arial"/>
                <w:b/>
                <w:bCs/>
                <w:sz w:val="20"/>
                <w:szCs w:val="20"/>
              </w:rPr>
              <w:t>Modified thresholds (M: Men; W: Women)</w:t>
            </w:r>
          </w:p>
        </w:tc>
      </w:tr>
      <w:tr w:rsidR="004D04C4" w:rsidRPr="00424424" w14:paraId="06D9F6AF" w14:textId="2B006FA1" w:rsidTr="004D04C4">
        <w:trPr>
          <w:trHeight w:val="780"/>
        </w:trPr>
        <w:tc>
          <w:tcPr>
            <w:tcW w:w="2684" w:type="dxa"/>
          </w:tcPr>
          <w:p w14:paraId="56042B78" w14:textId="1DF8BD8C"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 xml:space="preserve">2019 European Working Group on Sarcopenia in Older People (EWGSOP2) </w:t>
            </w:r>
            <w:r w:rsidRPr="00424424">
              <w:rPr>
                <w:rFonts w:ascii="Arial" w:hAnsi="Arial" w:cs="Arial"/>
                <w:sz w:val="20"/>
                <w:szCs w:val="20"/>
              </w:rPr>
              <w:fldChar w:fldCharType="begin"/>
            </w:r>
            <w:r w:rsidRPr="00424424">
              <w:rPr>
                <w:rFonts w:ascii="Arial" w:hAnsi="Arial" w:cs="Arial"/>
                <w:sz w:val="20"/>
                <w:szCs w:val="20"/>
              </w:rPr>
              <w:instrText xml:space="preserve"> ADDIN EN.CITE &lt;EndNote&gt;&lt;Cite&gt;&lt;Author&gt;Cruz-Jentoft&lt;/Author&gt;&lt;Year&gt;2019&lt;/Year&gt;&lt;RecNum&gt;1341&lt;/RecNum&gt;&lt;DisplayText&gt;[5]&lt;/DisplayText&gt;&lt;record&gt;&lt;rec-number&gt;1341&lt;/rec-number&gt;&lt;foreign-keys&gt;&lt;key app="EN" db-id="pzdf5rvs9wzts6erav6v0rpowttawpd0ztaa" timestamp="1550482166"&gt;1341&lt;/key&gt;&lt;/foreign-keys&gt;&lt;ref-type name="Journal Article"&gt;17&lt;/ref-type&gt;&lt;contributors&gt;&lt;authors&gt;&lt;author&gt;Cruz-Jentoft, Alfonso J&lt;/author&gt;&lt;author&gt;Bahat, Gülistan&lt;/author&gt;&lt;author&gt;Bauer, Jürgen&lt;/author&gt;&lt;author&gt;Boirie, Yves&lt;/author&gt;&lt;author&gt;Bruyère, Olivier&lt;/author&gt;&lt;author&gt;Cederholm, Tommy&lt;/author&gt;&lt;author&gt;Cooper, Cyrus&lt;/author&gt;&lt;author&gt;Landi, Francesco&lt;/author&gt;&lt;author&gt;Rolland, Yves&lt;/author&gt;&lt;author&gt;Sayer, Avan Aihie&lt;/author&gt;&lt;/authors&gt;&lt;/contributors&gt;&lt;titles&gt;&lt;title&gt;Sarcopenia: revised European consensus on definition and diagnosis&lt;/title&gt;&lt;secondary-title&gt;Age Ageing&lt;/secondary-title&gt;&lt;/titles&gt;&lt;periodical&gt;&lt;full-title&gt;Age Ageing&lt;/full-title&gt;&lt;/periodical&gt;&lt;pages&gt;16-31&lt;/pages&gt;&lt;volume&gt;48&lt;/volume&gt;&lt;number&gt;1&lt;/number&gt;&lt;dates&gt;&lt;year&gt;2019&lt;/year&gt;&lt;/dates&gt;&lt;urls&gt;&lt;/urls&gt;&lt;/record&gt;&lt;/Cite&gt;&lt;/EndNote&gt;</w:instrText>
            </w:r>
            <w:r w:rsidRPr="00424424">
              <w:rPr>
                <w:rFonts w:ascii="Arial" w:hAnsi="Arial" w:cs="Arial"/>
                <w:sz w:val="20"/>
                <w:szCs w:val="20"/>
              </w:rPr>
              <w:fldChar w:fldCharType="separate"/>
            </w:r>
            <w:r w:rsidRPr="00424424">
              <w:rPr>
                <w:rFonts w:ascii="Arial" w:hAnsi="Arial" w:cs="Arial"/>
                <w:noProof/>
                <w:sz w:val="20"/>
                <w:szCs w:val="20"/>
              </w:rPr>
              <w:t>[5]</w:t>
            </w:r>
            <w:r w:rsidRPr="00424424">
              <w:rPr>
                <w:rFonts w:ascii="Arial" w:hAnsi="Arial" w:cs="Arial"/>
                <w:sz w:val="20"/>
                <w:szCs w:val="20"/>
              </w:rPr>
              <w:fldChar w:fldCharType="end"/>
            </w:r>
            <w:r w:rsidRPr="00424424">
              <w:rPr>
                <w:rFonts w:ascii="Arial" w:hAnsi="Arial" w:cs="Arial"/>
                <w:sz w:val="20"/>
                <w:szCs w:val="20"/>
              </w:rPr>
              <w:t xml:space="preserve"> </w:t>
            </w:r>
          </w:p>
        </w:tc>
        <w:tc>
          <w:tcPr>
            <w:tcW w:w="2249" w:type="dxa"/>
            <w:noWrap/>
          </w:tcPr>
          <w:p w14:paraId="79046F2F" w14:textId="6DC18455" w:rsidR="004D04C4" w:rsidRPr="00424424" w:rsidRDefault="004D04C4" w:rsidP="004D04C4">
            <w:pPr>
              <w:spacing w:before="100" w:beforeAutospacing="1"/>
              <w:rPr>
                <w:rFonts w:ascii="Arial" w:hAnsi="Arial" w:cs="Arial"/>
                <w:sz w:val="20"/>
                <w:szCs w:val="20"/>
              </w:rPr>
            </w:pPr>
            <w:r w:rsidRPr="00424424">
              <w:rPr>
                <w:rFonts w:ascii="Arial" w:hAnsi="Arial" w:cs="Arial"/>
                <w:bCs/>
                <w:sz w:val="20"/>
                <w:szCs w:val="20"/>
              </w:rPr>
              <w:t>Low grip strength and ALM index</w:t>
            </w:r>
          </w:p>
        </w:tc>
        <w:tc>
          <w:tcPr>
            <w:tcW w:w="4536" w:type="dxa"/>
          </w:tcPr>
          <w:p w14:paraId="3A2A610D" w14:textId="48DFD236"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 xml:space="preserve">Grip strength: &lt;27 kg (M), &lt;16 kg (W)                  </w:t>
            </w:r>
            <w:r w:rsidRPr="00424424">
              <w:rPr>
                <w:rFonts w:ascii="Arial" w:hAnsi="Arial" w:cs="Arial"/>
                <w:sz w:val="20"/>
                <w:szCs w:val="20"/>
              </w:rPr>
              <w:br/>
              <w:t>ALM index:&lt;7.0 kg/m</w:t>
            </w:r>
            <w:r w:rsidRPr="00424424">
              <w:rPr>
                <w:rFonts w:ascii="Arial" w:hAnsi="Arial" w:cs="Arial"/>
                <w:sz w:val="20"/>
                <w:szCs w:val="20"/>
                <w:vertAlign w:val="superscript"/>
              </w:rPr>
              <w:t>2</w:t>
            </w:r>
            <w:r w:rsidRPr="00424424">
              <w:rPr>
                <w:rFonts w:ascii="Arial" w:hAnsi="Arial" w:cs="Arial"/>
                <w:sz w:val="20"/>
                <w:szCs w:val="20"/>
              </w:rPr>
              <w:t xml:space="preserve"> (M), &lt;5.5 kg/m</w:t>
            </w:r>
            <w:r w:rsidRPr="00424424">
              <w:rPr>
                <w:rFonts w:ascii="Arial" w:hAnsi="Arial" w:cs="Arial"/>
                <w:sz w:val="20"/>
                <w:szCs w:val="20"/>
                <w:vertAlign w:val="superscript"/>
              </w:rPr>
              <w:t xml:space="preserve">2 </w:t>
            </w:r>
            <w:r w:rsidRPr="00424424">
              <w:rPr>
                <w:rFonts w:ascii="Arial" w:hAnsi="Arial" w:cs="Arial"/>
                <w:sz w:val="20"/>
                <w:szCs w:val="20"/>
              </w:rPr>
              <w:t>(W)</w:t>
            </w:r>
          </w:p>
        </w:tc>
        <w:tc>
          <w:tcPr>
            <w:tcW w:w="4460" w:type="dxa"/>
          </w:tcPr>
          <w:p w14:paraId="4AC72E75" w14:textId="7DCE1323"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 xml:space="preserve">Grip strength: &lt;35.5 kg (M) and &lt;20 kg (W)                  </w:t>
            </w:r>
            <w:r w:rsidRPr="00424424">
              <w:rPr>
                <w:rFonts w:ascii="Arial" w:hAnsi="Arial" w:cs="Arial"/>
                <w:sz w:val="20"/>
                <w:szCs w:val="20"/>
              </w:rPr>
              <w:br/>
              <w:t>ALM index:&lt;7.0 kg/m</w:t>
            </w:r>
            <w:r w:rsidRPr="00424424">
              <w:rPr>
                <w:rFonts w:ascii="Arial" w:hAnsi="Arial" w:cs="Arial"/>
                <w:sz w:val="20"/>
                <w:szCs w:val="20"/>
                <w:vertAlign w:val="superscript"/>
              </w:rPr>
              <w:t>2</w:t>
            </w:r>
            <w:r w:rsidRPr="00424424">
              <w:rPr>
                <w:rFonts w:ascii="Arial" w:hAnsi="Arial" w:cs="Arial"/>
                <w:sz w:val="20"/>
                <w:szCs w:val="20"/>
              </w:rPr>
              <w:t xml:space="preserve"> (M), &lt;5.5 kg/m</w:t>
            </w:r>
            <w:r w:rsidRPr="00424424">
              <w:rPr>
                <w:rFonts w:ascii="Arial" w:hAnsi="Arial" w:cs="Arial"/>
                <w:sz w:val="20"/>
                <w:szCs w:val="20"/>
                <w:vertAlign w:val="superscript"/>
              </w:rPr>
              <w:t xml:space="preserve">2 </w:t>
            </w:r>
            <w:r w:rsidRPr="00424424">
              <w:rPr>
                <w:rFonts w:ascii="Arial" w:hAnsi="Arial" w:cs="Arial"/>
                <w:sz w:val="20"/>
                <w:szCs w:val="20"/>
              </w:rPr>
              <w:t>(W)</w:t>
            </w:r>
          </w:p>
        </w:tc>
      </w:tr>
      <w:tr w:rsidR="004D04C4" w:rsidRPr="00424424" w14:paraId="65DDEC24" w14:textId="564E1678" w:rsidTr="004D04C4">
        <w:trPr>
          <w:trHeight w:val="780"/>
        </w:trPr>
        <w:tc>
          <w:tcPr>
            <w:tcW w:w="2684" w:type="dxa"/>
            <w:tcBorders>
              <w:bottom w:val="single" w:sz="4" w:space="0" w:color="auto"/>
            </w:tcBorders>
            <w:hideMark/>
          </w:tcPr>
          <w:p w14:paraId="72D94B92" w14:textId="55E5A2AC"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 xml:space="preserve">Sarcopenia Definitions and Outcomes Consortium              (SDOC) </w:t>
            </w:r>
            <w:r w:rsidR="00966329">
              <w:rPr>
                <w:rFonts w:ascii="Arial" w:hAnsi="Arial" w:cs="Arial"/>
                <w:sz w:val="20"/>
                <w:szCs w:val="20"/>
              </w:rPr>
              <w:fldChar w:fldCharType="begin"/>
            </w:r>
            <w:r w:rsidR="00966329">
              <w:rPr>
                <w:rFonts w:ascii="Arial" w:hAnsi="Arial" w:cs="Arial"/>
                <w:sz w:val="20"/>
                <w:szCs w:val="20"/>
              </w:rPr>
              <w:instrText xml:space="preserve"> ADDIN EN.CITE &lt;EndNote&gt;&lt;Cite&gt;&lt;Author&gt;Bhasin&lt;/Author&gt;&lt;Year&gt;2020&lt;/Year&gt;&lt;RecNum&gt;1410&lt;/RecNum&gt;&lt;DisplayText&gt;[7]&lt;/DisplayText&gt;&lt;record&gt;&lt;rec-number&gt;1410&lt;/rec-number&gt;&lt;foreign-keys&gt;&lt;key app="EN" db-id="pzdf5rvs9wzts6erav6v0rpowttawpd0ztaa" timestamp="1585735076"&gt;1410&lt;/key&gt;&lt;/foreign-keys&gt;&lt;ref-type name="Journal Article"&gt;17&lt;/ref-type&gt;&lt;contributors&gt;&lt;authors&gt;&lt;author&gt;Bhasin, Shalender&lt;/author&gt;&lt;author&gt;Travison, Thomas G&lt;/author&gt;&lt;author&gt;Manini, Todd M&lt;/author&gt;&lt;author&gt;Patel, Sheena&lt;/author&gt;&lt;author&gt;Pencina, Karol M&lt;/author&gt;&lt;author&gt;Fielding, Roger A&lt;/author&gt;&lt;author&gt;Magaziner, Jay M&lt;/author&gt;&lt;author&gt;Newman, Anne B&lt;/author&gt;&lt;author&gt;Kiel, Douglas P&lt;/author&gt;&lt;author&gt;Cooper, Cyrus&lt;/author&gt;&lt;/authors&gt;&lt;/contributors&gt;&lt;titles&gt;&lt;title&gt;Sarcopenia Definition: The Position Statements of the Sarcopenia Definition and Outcomes Consortium&lt;/title&gt;&lt;secondary-title&gt; J Am Geriatr Soc&lt;/secondary-title&gt;&lt;/titles&gt;&lt;pages&gt;1410-1418&lt;/pages&gt;&lt;volume&gt;68&lt;/volume&gt;&lt;number&gt;7&lt;/number&gt;&lt;dates&gt;&lt;year&gt;2020&lt;/year&gt;&lt;/dates&gt;&lt;isbn&gt;0002-8614&lt;/isbn&gt;&lt;urls&gt;&lt;/urls&gt;&lt;/record&gt;&lt;/Cite&gt;&lt;/EndNote&gt;</w:instrText>
            </w:r>
            <w:r w:rsidR="00966329">
              <w:rPr>
                <w:rFonts w:ascii="Arial" w:hAnsi="Arial" w:cs="Arial"/>
                <w:sz w:val="20"/>
                <w:szCs w:val="20"/>
              </w:rPr>
              <w:fldChar w:fldCharType="separate"/>
            </w:r>
            <w:r w:rsidR="00966329">
              <w:rPr>
                <w:rFonts w:ascii="Arial" w:hAnsi="Arial" w:cs="Arial"/>
                <w:noProof/>
                <w:sz w:val="20"/>
                <w:szCs w:val="20"/>
              </w:rPr>
              <w:t>[7]</w:t>
            </w:r>
            <w:r w:rsidR="00966329">
              <w:rPr>
                <w:rFonts w:ascii="Arial" w:hAnsi="Arial" w:cs="Arial"/>
                <w:sz w:val="20"/>
                <w:szCs w:val="20"/>
              </w:rPr>
              <w:fldChar w:fldCharType="end"/>
            </w:r>
          </w:p>
        </w:tc>
        <w:tc>
          <w:tcPr>
            <w:tcW w:w="2249" w:type="dxa"/>
            <w:tcBorders>
              <w:bottom w:val="single" w:sz="4" w:space="0" w:color="auto"/>
            </w:tcBorders>
            <w:noWrap/>
            <w:hideMark/>
          </w:tcPr>
          <w:p w14:paraId="1535227E" w14:textId="77777777"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Low grip strength and gait speed</w:t>
            </w:r>
          </w:p>
        </w:tc>
        <w:tc>
          <w:tcPr>
            <w:tcW w:w="4536" w:type="dxa"/>
            <w:tcBorders>
              <w:bottom w:val="single" w:sz="4" w:space="0" w:color="auto"/>
            </w:tcBorders>
            <w:hideMark/>
          </w:tcPr>
          <w:p w14:paraId="3278F864" w14:textId="77777777"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Grip strength: &lt;35.5 kg (M) and &lt;20 kg (W)</w:t>
            </w:r>
            <w:r w:rsidRPr="00424424">
              <w:rPr>
                <w:rFonts w:ascii="Arial" w:hAnsi="Arial" w:cs="Arial"/>
                <w:sz w:val="20"/>
                <w:szCs w:val="20"/>
              </w:rPr>
              <w:br/>
              <w:t>Gait speed: &lt;0.8 m/s</w:t>
            </w:r>
          </w:p>
        </w:tc>
        <w:tc>
          <w:tcPr>
            <w:tcW w:w="4460" w:type="dxa"/>
            <w:tcBorders>
              <w:bottom w:val="single" w:sz="4" w:space="0" w:color="auto"/>
            </w:tcBorders>
          </w:tcPr>
          <w:p w14:paraId="0CC0DCE1" w14:textId="32A70E5C" w:rsidR="004D04C4" w:rsidRPr="00424424" w:rsidRDefault="004D04C4" w:rsidP="004D04C4">
            <w:pPr>
              <w:spacing w:before="100" w:beforeAutospacing="1"/>
              <w:rPr>
                <w:rFonts w:ascii="Arial" w:hAnsi="Arial" w:cs="Arial"/>
                <w:sz w:val="20"/>
                <w:szCs w:val="20"/>
              </w:rPr>
            </w:pPr>
            <w:r w:rsidRPr="00424424">
              <w:rPr>
                <w:rFonts w:ascii="Arial" w:hAnsi="Arial" w:cs="Arial"/>
                <w:sz w:val="20"/>
                <w:szCs w:val="20"/>
              </w:rPr>
              <w:t>Grip strength: &lt;35.5 kg (M) and &lt;20 kg (W)</w:t>
            </w:r>
            <w:r w:rsidRPr="00424424">
              <w:rPr>
                <w:rFonts w:ascii="Arial" w:hAnsi="Arial" w:cs="Arial"/>
                <w:sz w:val="20"/>
                <w:szCs w:val="20"/>
              </w:rPr>
              <w:br/>
              <w:t>Gait speed: &lt;</w:t>
            </w:r>
            <w:r w:rsidR="00BE6133" w:rsidRPr="00424424">
              <w:rPr>
                <w:rFonts w:ascii="Arial" w:hAnsi="Arial" w:cs="Arial"/>
                <w:sz w:val="20"/>
                <w:szCs w:val="20"/>
              </w:rPr>
              <w:t>1.0</w:t>
            </w:r>
            <w:r w:rsidRPr="00424424">
              <w:rPr>
                <w:rFonts w:ascii="Arial" w:hAnsi="Arial" w:cs="Arial"/>
                <w:sz w:val="20"/>
                <w:szCs w:val="20"/>
              </w:rPr>
              <w:t xml:space="preserve"> m/s</w:t>
            </w:r>
          </w:p>
        </w:tc>
      </w:tr>
      <w:tr w:rsidR="004D04C4" w:rsidRPr="00424424" w14:paraId="11922097" w14:textId="5DE64AB3" w:rsidTr="004D04C4">
        <w:trPr>
          <w:trHeight w:val="113"/>
        </w:trPr>
        <w:tc>
          <w:tcPr>
            <w:tcW w:w="13929" w:type="dxa"/>
            <w:gridSpan w:val="4"/>
            <w:tcBorders>
              <w:top w:val="single" w:sz="4" w:space="0" w:color="auto"/>
            </w:tcBorders>
            <w:shd w:val="clear" w:color="auto" w:fill="auto"/>
            <w:vAlign w:val="center"/>
            <w:hideMark/>
          </w:tcPr>
          <w:p w14:paraId="7B8F6F47" w14:textId="77777777" w:rsidR="004D04C4" w:rsidRPr="00424424" w:rsidRDefault="004D04C4" w:rsidP="004D04C4">
            <w:pPr>
              <w:spacing w:after="0" w:line="240" w:lineRule="auto"/>
              <w:rPr>
                <w:rFonts w:ascii="Arial" w:hAnsi="Arial" w:cs="Arial"/>
                <w:sz w:val="20"/>
                <w:szCs w:val="20"/>
              </w:rPr>
            </w:pPr>
            <w:r w:rsidRPr="00424424">
              <w:rPr>
                <w:rFonts w:ascii="Arial" w:hAnsi="Arial" w:cs="Arial"/>
                <w:sz w:val="20"/>
                <w:szCs w:val="20"/>
              </w:rPr>
              <w:t>ALM: Appendicular lean mass</w:t>
            </w:r>
          </w:p>
          <w:p w14:paraId="66CCA03F" w14:textId="5C357DDA" w:rsidR="004D04C4" w:rsidRPr="00424424" w:rsidRDefault="004D04C4" w:rsidP="004D04C4">
            <w:pPr>
              <w:spacing w:after="0" w:line="240" w:lineRule="auto"/>
              <w:rPr>
                <w:rFonts w:ascii="Arial" w:hAnsi="Arial" w:cs="Arial"/>
                <w:sz w:val="20"/>
                <w:szCs w:val="20"/>
              </w:rPr>
            </w:pPr>
            <w:r w:rsidRPr="00424424">
              <w:rPr>
                <w:rFonts w:ascii="Arial" w:hAnsi="Arial" w:cs="Arial"/>
                <w:sz w:val="20"/>
                <w:szCs w:val="20"/>
              </w:rPr>
              <w:t xml:space="preserve">All </w:t>
            </w:r>
            <w:r w:rsidR="00F84BDB">
              <w:rPr>
                <w:rFonts w:ascii="Arial" w:hAnsi="Arial" w:cs="Arial"/>
                <w:sz w:val="20"/>
                <w:szCs w:val="20"/>
              </w:rPr>
              <w:t xml:space="preserve">main </w:t>
            </w:r>
            <w:r w:rsidRPr="00424424">
              <w:rPr>
                <w:rFonts w:ascii="Arial" w:hAnsi="Arial" w:cs="Arial"/>
                <w:sz w:val="20"/>
                <w:szCs w:val="20"/>
              </w:rPr>
              <w:t>analyses were restricted to white men</w:t>
            </w:r>
          </w:p>
        </w:tc>
      </w:tr>
      <w:tr w:rsidR="004D04C4" w:rsidRPr="00424424" w14:paraId="3CA957F0" w14:textId="4DEC24FA" w:rsidTr="004D04C4">
        <w:trPr>
          <w:trHeight w:val="113"/>
        </w:trPr>
        <w:tc>
          <w:tcPr>
            <w:tcW w:w="13929" w:type="dxa"/>
            <w:gridSpan w:val="4"/>
            <w:shd w:val="clear" w:color="auto" w:fill="auto"/>
            <w:vAlign w:val="center"/>
          </w:tcPr>
          <w:p w14:paraId="7753718B" w14:textId="4BC3D5ED" w:rsidR="004D04C4" w:rsidRPr="00424424" w:rsidRDefault="004D04C4" w:rsidP="004D04C4">
            <w:pPr>
              <w:spacing w:after="0" w:line="240" w:lineRule="auto"/>
              <w:rPr>
                <w:rFonts w:ascii="Arial" w:hAnsi="Arial" w:cs="Arial"/>
                <w:sz w:val="20"/>
                <w:szCs w:val="20"/>
              </w:rPr>
            </w:pPr>
            <w:r w:rsidRPr="00424424">
              <w:rPr>
                <w:rFonts w:ascii="Arial" w:hAnsi="Arial" w:cs="Arial"/>
                <w:sz w:val="20"/>
                <w:szCs w:val="20"/>
              </w:rPr>
              <w:t>EWGSOP2 also proposed thresholds for ALM (&lt;20 kg (M), &lt;15 kg</w:t>
            </w:r>
            <w:r w:rsidRPr="00424424">
              <w:rPr>
                <w:rFonts w:ascii="Arial" w:hAnsi="Arial" w:cs="Arial"/>
                <w:sz w:val="20"/>
                <w:szCs w:val="20"/>
                <w:vertAlign w:val="superscript"/>
              </w:rPr>
              <w:t xml:space="preserve"> </w:t>
            </w:r>
            <w:r w:rsidRPr="00424424">
              <w:rPr>
                <w:rFonts w:ascii="Arial" w:hAnsi="Arial" w:cs="Arial"/>
                <w:sz w:val="20"/>
                <w:szCs w:val="20"/>
              </w:rPr>
              <w:t>(W)); ALM index (ALM (kg) / height</w:t>
            </w:r>
            <w:r w:rsidRPr="00424424">
              <w:rPr>
                <w:rFonts w:ascii="Arial" w:hAnsi="Arial" w:cs="Arial"/>
                <w:sz w:val="20"/>
                <w:szCs w:val="20"/>
                <w:vertAlign w:val="superscript"/>
              </w:rPr>
              <w:t>2</w:t>
            </w:r>
            <w:r w:rsidRPr="00424424">
              <w:rPr>
                <w:rFonts w:ascii="Arial" w:hAnsi="Arial" w:cs="Arial"/>
                <w:sz w:val="20"/>
                <w:szCs w:val="20"/>
              </w:rPr>
              <w:t>(m)) was used for analysis instead of ALM to ensure that height was accounted for.</w:t>
            </w:r>
          </w:p>
        </w:tc>
      </w:tr>
    </w:tbl>
    <w:p w14:paraId="46DB56A8" w14:textId="5C18B61C" w:rsidR="00AD7ED0" w:rsidRPr="00424424" w:rsidRDefault="00AD7ED0" w:rsidP="0056596E">
      <w:pPr>
        <w:spacing w:line="360" w:lineRule="auto"/>
        <w:rPr>
          <w:rFonts w:ascii="Arial" w:hAnsi="Arial" w:cs="Arial"/>
          <w:sz w:val="24"/>
          <w:szCs w:val="24"/>
        </w:rPr>
      </w:pPr>
    </w:p>
    <w:p w14:paraId="3B0F4656" w14:textId="7972D24D" w:rsidR="00AD7ED0" w:rsidRPr="00424424" w:rsidRDefault="00AD7ED0" w:rsidP="0056596E">
      <w:pPr>
        <w:spacing w:line="360" w:lineRule="auto"/>
        <w:rPr>
          <w:rFonts w:ascii="Arial" w:hAnsi="Arial" w:cs="Arial"/>
          <w:sz w:val="24"/>
          <w:szCs w:val="24"/>
        </w:rPr>
      </w:pPr>
    </w:p>
    <w:p w14:paraId="2967B189" w14:textId="77777777" w:rsidR="000C5DA3" w:rsidRPr="00424424" w:rsidRDefault="000C5DA3" w:rsidP="0056596E">
      <w:pPr>
        <w:spacing w:line="360" w:lineRule="auto"/>
        <w:rPr>
          <w:rFonts w:ascii="Arial" w:hAnsi="Arial" w:cs="Arial"/>
          <w:sz w:val="24"/>
          <w:szCs w:val="24"/>
        </w:rPr>
        <w:sectPr w:rsidR="000C5DA3" w:rsidRPr="00424424" w:rsidSect="004D04C4">
          <w:pgSz w:w="16838" w:h="11906" w:orient="landscape"/>
          <w:pgMar w:top="1440" w:right="1440" w:bottom="1440" w:left="1440" w:header="708" w:footer="708" w:gutter="0"/>
          <w:cols w:space="708"/>
          <w:docGrid w:linePitch="360"/>
        </w:sectPr>
      </w:pPr>
    </w:p>
    <w:tbl>
      <w:tblPr>
        <w:tblW w:w="12758" w:type="dxa"/>
        <w:tblLayout w:type="fixed"/>
        <w:tblLook w:val="04A0" w:firstRow="1" w:lastRow="0" w:firstColumn="1" w:lastColumn="0" w:noHBand="0" w:noVBand="1"/>
      </w:tblPr>
      <w:tblGrid>
        <w:gridCol w:w="3119"/>
        <w:gridCol w:w="992"/>
        <w:gridCol w:w="709"/>
        <w:gridCol w:w="1559"/>
        <w:gridCol w:w="264"/>
        <w:gridCol w:w="1437"/>
        <w:gridCol w:w="122"/>
        <w:gridCol w:w="1579"/>
        <w:gridCol w:w="122"/>
        <w:gridCol w:w="1417"/>
        <w:gridCol w:w="20"/>
        <w:gridCol w:w="1418"/>
      </w:tblGrid>
      <w:tr w:rsidR="00FB1957" w:rsidRPr="00424424" w14:paraId="22558AF8" w14:textId="704FB5C2" w:rsidTr="004403D7">
        <w:trPr>
          <w:trHeight w:val="280"/>
        </w:trPr>
        <w:tc>
          <w:tcPr>
            <w:tcW w:w="11320" w:type="dxa"/>
            <w:gridSpan w:val="10"/>
            <w:tcBorders>
              <w:top w:val="nil"/>
              <w:left w:val="nil"/>
              <w:bottom w:val="nil"/>
              <w:right w:val="nil"/>
            </w:tcBorders>
            <w:vAlign w:val="center"/>
          </w:tcPr>
          <w:p w14:paraId="1EA45B76" w14:textId="4BB9C058" w:rsidR="00FB1957" w:rsidRPr="00424424" w:rsidRDefault="00FB1957" w:rsidP="00E737E2">
            <w:pPr>
              <w:spacing w:after="0" w:line="240" w:lineRule="auto"/>
              <w:rPr>
                <w:rFonts w:ascii="Arial" w:eastAsia="Times New Roman" w:hAnsi="Arial" w:cs="Arial"/>
                <w:b/>
                <w:bCs/>
                <w:color w:val="000000"/>
                <w:lang w:eastAsia="en-GB"/>
              </w:rPr>
            </w:pPr>
            <w:bookmarkStart w:id="17" w:name="_Hlk94621236"/>
            <w:bookmarkStart w:id="18" w:name="_Hlk92452105"/>
            <w:r w:rsidRPr="00424424">
              <w:rPr>
                <w:rFonts w:ascii="Arial" w:eastAsia="Times New Roman" w:hAnsi="Arial" w:cs="Arial"/>
                <w:b/>
                <w:bCs/>
                <w:color w:val="000000"/>
                <w:lang w:eastAsia="en-GB"/>
              </w:rPr>
              <w:lastRenderedPageBreak/>
              <w:t xml:space="preserve">Table 2: </w:t>
            </w:r>
            <w:r w:rsidRPr="00424424">
              <w:rPr>
                <w:rFonts w:ascii="Arial" w:eastAsia="Times New Roman" w:hAnsi="Arial" w:cs="Arial"/>
                <w:color w:val="000000"/>
                <w:lang w:eastAsia="en-GB"/>
              </w:rPr>
              <w:t>Participant characteristics among white men</w:t>
            </w:r>
          </w:p>
        </w:tc>
        <w:tc>
          <w:tcPr>
            <w:tcW w:w="1438" w:type="dxa"/>
            <w:gridSpan w:val="2"/>
            <w:tcBorders>
              <w:top w:val="nil"/>
              <w:left w:val="nil"/>
              <w:bottom w:val="nil"/>
              <w:right w:val="nil"/>
            </w:tcBorders>
          </w:tcPr>
          <w:p w14:paraId="3CFCCD29" w14:textId="77777777" w:rsidR="00FB1957" w:rsidRPr="00424424" w:rsidRDefault="00FB1957" w:rsidP="00E737E2">
            <w:pPr>
              <w:spacing w:after="0" w:line="240" w:lineRule="auto"/>
              <w:rPr>
                <w:rFonts w:ascii="Arial" w:eastAsia="Times New Roman" w:hAnsi="Arial" w:cs="Arial"/>
                <w:b/>
                <w:bCs/>
                <w:color w:val="000000"/>
                <w:lang w:eastAsia="en-GB"/>
              </w:rPr>
            </w:pPr>
          </w:p>
        </w:tc>
      </w:tr>
      <w:tr w:rsidR="00FB1957" w:rsidRPr="00424424" w14:paraId="3F402298" w14:textId="49577722" w:rsidTr="004403D7">
        <w:trPr>
          <w:trHeight w:val="280"/>
        </w:trPr>
        <w:tc>
          <w:tcPr>
            <w:tcW w:w="3119" w:type="dxa"/>
            <w:tcBorders>
              <w:top w:val="nil"/>
              <w:left w:val="nil"/>
              <w:bottom w:val="single" w:sz="4" w:space="0" w:color="auto"/>
              <w:right w:val="nil"/>
            </w:tcBorders>
            <w:shd w:val="clear" w:color="auto" w:fill="auto"/>
            <w:noWrap/>
            <w:vAlign w:val="bottom"/>
            <w:hideMark/>
          </w:tcPr>
          <w:p w14:paraId="46C12269" w14:textId="77777777" w:rsidR="00FB1957" w:rsidRPr="00424424" w:rsidRDefault="00FB1957" w:rsidP="0056596E">
            <w:pPr>
              <w:spacing w:after="0" w:line="240" w:lineRule="auto"/>
              <w:rPr>
                <w:rFonts w:ascii="Arial" w:eastAsia="Times New Roman" w:hAnsi="Arial" w:cs="Arial"/>
                <w:sz w:val="20"/>
                <w:szCs w:val="20"/>
                <w:lang w:eastAsia="en-GB"/>
              </w:rPr>
            </w:pPr>
          </w:p>
        </w:tc>
        <w:tc>
          <w:tcPr>
            <w:tcW w:w="992" w:type="dxa"/>
            <w:tcBorders>
              <w:top w:val="nil"/>
              <w:left w:val="nil"/>
              <w:bottom w:val="single" w:sz="4" w:space="0" w:color="auto"/>
              <w:right w:val="nil"/>
            </w:tcBorders>
          </w:tcPr>
          <w:p w14:paraId="6D072AF9" w14:textId="77777777" w:rsidR="00FB1957" w:rsidRPr="00424424" w:rsidRDefault="00FB1957" w:rsidP="0056596E">
            <w:pPr>
              <w:spacing w:after="0" w:line="240" w:lineRule="auto"/>
              <w:rPr>
                <w:rFonts w:ascii="Arial" w:eastAsia="Times New Roman" w:hAnsi="Arial" w:cs="Arial"/>
                <w:sz w:val="20"/>
                <w:szCs w:val="20"/>
                <w:lang w:eastAsia="en-GB"/>
              </w:rPr>
            </w:pPr>
          </w:p>
        </w:tc>
        <w:tc>
          <w:tcPr>
            <w:tcW w:w="2532" w:type="dxa"/>
            <w:gridSpan w:val="3"/>
            <w:tcBorders>
              <w:top w:val="nil"/>
              <w:left w:val="nil"/>
              <w:bottom w:val="single" w:sz="4" w:space="0" w:color="auto"/>
              <w:right w:val="nil"/>
            </w:tcBorders>
            <w:shd w:val="clear" w:color="auto" w:fill="auto"/>
            <w:noWrap/>
            <w:vAlign w:val="bottom"/>
            <w:hideMark/>
          </w:tcPr>
          <w:p w14:paraId="7A51F992" w14:textId="548E2AA7" w:rsidR="00FB1957" w:rsidRPr="00424424" w:rsidRDefault="00FB1957" w:rsidP="0056596E">
            <w:pPr>
              <w:spacing w:after="0" w:line="240" w:lineRule="auto"/>
              <w:rPr>
                <w:rFonts w:ascii="Arial" w:eastAsia="Times New Roman" w:hAnsi="Arial" w:cs="Arial"/>
                <w:sz w:val="20"/>
                <w:szCs w:val="20"/>
                <w:lang w:eastAsia="en-GB"/>
              </w:rPr>
            </w:pPr>
          </w:p>
        </w:tc>
        <w:tc>
          <w:tcPr>
            <w:tcW w:w="1559" w:type="dxa"/>
            <w:gridSpan w:val="2"/>
            <w:tcBorders>
              <w:top w:val="nil"/>
              <w:left w:val="nil"/>
              <w:bottom w:val="single" w:sz="4" w:space="0" w:color="auto"/>
              <w:right w:val="nil"/>
            </w:tcBorders>
            <w:shd w:val="clear" w:color="auto" w:fill="auto"/>
            <w:noWrap/>
            <w:vAlign w:val="bottom"/>
            <w:hideMark/>
          </w:tcPr>
          <w:p w14:paraId="35E057AA" w14:textId="77777777" w:rsidR="00FB1957" w:rsidRPr="00424424" w:rsidRDefault="00FB1957" w:rsidP="0056596E">
            <w:pPr>
              <w:spacing w:after="0" w:line="240" w:lineRule="auto"/>
              <w:rPr>
                <w:rFonts w:ascii="Arial" w:eastAsia="Times New Roman" w:hAnsi="Arial" w:cs="Arial"/>
                <w:sz w:val="20"/>
                <w:szCs w:val="20"/>
                <w:lang w:eastAsia="en-GB"/>
              </w:rPr>
            </w:pPr>
          </w:p>
        </w:tc>
        <w:tc>
          <w:tcPr>
            <w:tcW w:w="1701" w:type="dxa"/>
            <w:gridSpan w:val="2"/>
            <w:tcBorders>
              <w:top w:val="nil"/>
              <w:left w:val="nil"/>
              <w:bottom w:val="single" w:sz="4" w:space="0" w:color="auto"/>
              <w:right w:val="nil"/>
            </w:tcBorders>
            <w:shd w:val="clear" w:color="auto" w:fill="auto"/>
            <w:noWrap/>
            <w:vAlign w:val="bottom"/>
            <w:hideMark/>
          </w:tcPr>
          <w:p w14:paraId="7A8FF7E2" w14:textId="77777777" w:rsidR="00FB1957" w:rsidRPr="00424424" w:rsidRDefault="00FB1957" w:rsidP="0056596E">
            <w:pPr>
              <w:spacing w:after="0" w:line="240" w:lineRule="auto"/>
              <w:rPr>
                <w:rFonts w:ascii="Arial" w:eastAsia="Times New Roman" w:hAnsi="Arial" w:cs="Arial"/>
                <w:sz w:val="20"/>
                <w:szCs w:val="20"/>
                <w:lang w:eastAsia="en-GB"/>
              </w:rPr>
            </w:pPr>
          </w:p>
        </w:tc>
        <w:tc>
          <w:tcPr>
            <w:tcW w:w="1417" w:type="dxa"/>
            <w:tcBorders>
              <w:top w:val="nil"/>
              <w:left w:val="nil"/>
              <w:bottom w:val="single" w:sz="4" w:space="0" w:color="auto"/>
              <w:right w:val="nil"/>
            </w:tcBorders>
            <w:shd w:val="clear" w:color="auto" w:fill="auto"/>
            <w:noWrap/>
            <w:vAlign w:val="bottom"/>
            <w:hideMark/>
          </w:tcPr>
          <w:p w14:paraId="0025A539" w14:textId="77777777" w:rsidR="00FB1957" w:rsidRPr="00424424" w:rsidRDefault="00FB1957" w:rsidP="0056596E">
            <w:pPr>
              <w:spacing w:after="0" w:line="240" w:lineRule="auto"/>
              <w:rPr>
                <w:rFonts w:ascii="Arial" w:eastAsia="Times New Roman" w:hAnsi="Arial" w:cs="Arial"/>
                <w:sz w:val="20"/>
                <w:szCs w:val="20"/>
                <w:lang w:eastAsia="en-GB"/>
              </w:rPr>
            </w:pPr>
          </w:p>
        </w:tc>
        <w:tc>
          <w:tcPr>
            <w:tcW w:w="1438" w:type="dxa"/>
            <w:gridSpan w:val="2"/>
            <w:tcBorders>
              <w:top w:val="nil"/>
              <w:left w:val="nil"/>
              <w:bottom w:val="single" w:sz="4" w:space="0" w:color="auto"/>
              <w:right w:val="nil"/>
            </w:tcBorders>
          </w:tcPr>
          <w:p w14:paraId="3B823A01" w14:textId="77777777" w:rsidR="00FB1957" w:rsidRPr="00424424" w:rsidRDefault="00FB1957" w:rsidP="0056596E">
            <w:pPr>
              <w:spacing w:after="0" w:line="240" w:lineRule="auto"/>
              <w:rPr>
                <w:rFonts w:ascii="Arial" w:eastAsia="Times New Roman" w:hAnsi="Arial" w:cs="Arial"/>
                <w:sz w:val="20"/>
                <w:szCs w:val="20"/>
                <w:lang w:eastAsia="en-GB"/>
              </w:rPr>
            </w:pPr>
          </w:p>
        </w:tc>
      </w:tr>
      <w:tr w:rsidR="00FB1957" w:rsidRPr="00424424" w14:paraId="01AC4038" w14:textId="0DF80C5C" w:rsidTr="004403D7">
        <w:trPr>
          <w:trHeight w:val="290"/>
        </w:trPr>
        <w:tc>
          <w:tcPr>
            <w:tcW w:w="3119" w:type="dxa"/>
            <w:tcBorders>
              <w:top w:val="single" w:sz="4" w:space="0" w:color="auto"/>
              <w:bottom w:val="single" w:sz="4" w:space="0" w:color="auto"/>
            </w:tcBorders>
            <w:shd w:val="clear" w:color="auto" w:fill="auto"/>
            <w:vAlign w:val="center"/>
            <w:hideMark/>
          </w:tcPr>
          <w:p w14:paraId="1A7C057A" w14:textId="77777777" w:rsidR="00FB1957" w:rsidRPr="00424424" w:rsidRDefault="00FB1957" w:rsidP="0056596E">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Characteristic</w:t>
            </w:r>
            <w:r w:rsidRPr="00424424">
              <w:rPr>
                <w:rFonts w:ascii="Arial" w:eastAsia="Times New Roman" w:hAnsi="Arial" w:cs="Arial"/>
                <w:b/>
                <w:bCs/>
                <w:color w:val="000000"/>
                <w:sz w:val="20"/>
                <w:szCs w:val="20"/>
                <w:lang w:eastAsia="en-GB"/>
              </w:rPr>
              <w:br/>
              <w:t>[Mean (SD) or N(%)]</w:t>
            </w:r>
          </w:p>
        </w:tc>
        <w:tc>
          <w:tcPr>
            <w:tcW w:w="1701" w:type="dxa"/>
            <w:gridSpan w:val="2"/>
            <w:tcBorders>
              <w:top w:val="single" w:sz="4" w:space="0" w:color="auto"/>
              <w:bottom w:val="single" w:sz="4" w:space="0" w:color="auto"/>
            </w:tcBorders>
            <w:vAlign w:val="center"/>
          </w:tcPr>
          <w:p w14:paraId="2AFB5CAA" w14:textId="52DE6B60"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All cohorts (n=9</w:t>
            </w:r>
            <w:r w:rsidR="005B7A6D" w:rsidRPr="00424424">
              <w:rPr>
                <w:rFonts w:ascii="Arial" w:eastAsia="Times New Roman" w:hAnsi="Arial" w:cs="Arial"/>
                <w:b/>
                <w:bCs/>
                <w:color w:val="000000"/>
                <w:sz w:val="20"/>
                <w:szCs w:val="20"/>
                <w:lang w:eastAsia="en-GB"/>
              </w:rPr>
              <w:t>170</w:t>
            </w:r>
            <w:r w:rsidRPr="00424424">
              <w:rPr>
                <w:rFonts w:ascii="Arial" w:eastAsia="Times New Roman" w:hAnsi="Arial" w:cs="Arial"/>
                <w:b/>
                <w:bCs/>
                <w:color w:val="000000"/>
                <w:sz w:val="20"/>
                <w:szCs w:val="20"/>
                <w:lang w:eastAsia="en-GB"/>
              </w:rPr>
              <w:t>)</w:t>
            </w:r>
          </w:p>
        </w:tc>
        <w:tc>
          <w:tcPr>
            <w:tcW w:w="1559" w:type="dxa"/>
            <w:tcBorders>
              <w:top w:val="single" w:sz="4" w:space="0" w:color="auto"/>
              <w:bottom w:val="single" w:sz="4" w:space="0" w:color="auto"/>
            </w:tcBorders>
            <w:shd w:val="clear" w:color="auto" w:fill="auto"/>
            <w:vAlign w:val="center"/>
            <w:hideMark/>
          </w:tcPr>
          <w:p w14:paraId="22EADC88" w14:textId="47087849"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Health ABC (n=908)</w:t>
            </w:r>
          </w:p>
        </w:tc>
        <w:tc>
          <w:tcPr>
            <w:tcW w:w="1701" w:type="dxa"/>
            <w:gridSpan w:val="2"/>
            <w:tcBorders>
              <w:top w:val="single" w:sz="4" w:space="0" w:color="auto"/>
              <w:bottom w:val="single" w:sz="4" w:space="0" w:color="auto"/>
            </w:tcBorders>
            <w:shd w:val="clear" w:color="auto" w:fill="auto"/>
            <w:vAlign w:val="center"/>
          </w:tcPr>
          <w:p w14:paraId="271B24A0" w14:textId="14D6EE0C"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MrOS US (n=</w:t>
            </w:r>
            <w:r w:rsidR="005B7A6D" w:rsidRPr="00424424">
              <w:rPr>
                <w:rFonts w:ascii="Arial" w:eastAsia="Times New Roman" w:hAnsi="Arial" w:cs="Arial"/>
                <w:b/>
                <w:bCs/>
                <w:color w:val="000000"/>
                <w:sz w:val="20"/>
                <w:szCs w:val="20"/>
                <w:lang w:eastAsia="en-GB"/>
              </w:rPr>
              <w:t>5064</w:t>
            </w:r>
            <w:r w:rsidRPr="00424424">
              <w:rPr>
                <w:rFonts w:ascii="Arial" w:eastAsia="Times New Roman" w:hAnsi="Arial" w:cs="Arial"/>
                <w:b/>
                <w:bCs/>
                <w:color w:val="000000"/>
                <w:sz w:val="20"/>
                <w:szCs w:val="20"/>
                <w:lang w:eastAsia="en-GB"/>
              </w:rPr>
              <w:t>)</w:t>
            </w:r>
          </w:p>
        </w:tc>
        <w:tc>
          <w:tcPr>
            <w:tcW w:w="1701" w:type="dxa"/>
            <w:gridSpan w:val="2"/>
            <w:tcBorders>
              <w:top w:val="single" w:sz="4" w:space="0" w:color="auto"/>
              <w:bottom w:val="single" w:sz="4" w:space="0" w:color="auto"/>
            </w:tcBorders>
            <w:shd w:val="clear" w:color="auto" w:fill="auto"/>
            <w:vAlign w:val="center"/>
          </w:tcPr>
          <w:p w14:paraId="5758D215" w14:textId="5004B0AB"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MrOS Sweden (n=</w:t>
            </w:r>
            <w:r w:rsidR="005B7A6D" w:rsidRPr="00424424">
              <w:rPr>
                <w:rFonts w:ascii="Arial" w:eastAsia="Times New Roman" w:hAnsi="Arial" w:cs="Arial"/>
                <w:b/>
                <w:bCs/>
                <w:color w:val="000000"/>
                <w:sz w:val="20"/>
                <w:szCs w:val="20"/>
                <w:lang w:eastAsia="en-GB"/>
              </w:rPr>
              <w:t>2851</w:t>
            </w:r>
            <w:r w:rsidRPr="00424424">
              <w:rPr>
                <w:rFonts w:ascii="Arial" w:eastAsia="Times New Roman" w:hAnsi="Arial" w:cs="Arial"/>
                <w:b/>
                <w:bCs/>
                <w:color w:val="000000"/>
                <w:sz w:val="20"/>
                <w:szCs w:val="20"/>
                <w:lang w:eastAsia="en-GB"/>
              </w:rPr>
              <w:t>)</w:t>
            </w:r>
          </w:p>
        </w:tc>
        <w:tc>
          <w:tcPr>
            <w:tcW w:w="1559" w:type="dxa"/>
            <w:gridSpan w:val="3"/>
            <w:tcBorders>
              <w:top w:val="single" w:sz="4" w:space="0" w:color="auto"/>
              <w:bottom w:val="single" w:sz="4" w:space="0" w:color="auto"/>
            </w:tcBorders>
            <w:shd w:val="clear" w:color="auto" w:fill="auto"/>
            <w:vAlign w:val="center"/>
          </w:tcPr>
          <w:p w14:paraId="0CD257A1" w14:textId="77777777"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HCS</w:t>
            </w:r>
          </w:p>
          <w:p w14:paraId="29DC40BC" w14:textId="1DF2F5F4"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(n=157)</w:t>
            </w:r>
          </w:p>
        </w:tc>
        <w:tc>
          <w:tcPr>
            <w:tcW w:w="1418" w:type="dxa"/>
            <w:tcBorders>
              <w:top w:val="single" w:sz="4" w:space="0" w:color="auto"/>
              <w:bottom w:val="single" w:sz="4" w:space="0" w:color="auto"/>
            </w:tcBorders>
            <w:vAlign w:val="center"/>
          </w:tcPr>
          <w:p w14:paraId="3146226C" w14:textId="77777777"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 xml:space="preserve">SarcoPhAge </w:t>
            </w:r>
          </w:p>
          <w:p w14:paraId="7FFEF0A5" w14:textId="341C5D0A" w:rsidR="00FB1957" w:rsidRPr="00424424" w:rsidRDefault="00FB1957" w:rsidP="005B7A6D">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(n=</w:t>
            </w:r>
            <w:r w:rsidR="005B7A6D" w:rsidRPr="00424424">
              <w:rPr>
                <w:rFonts w:ascii="Arial" w:eastAsia="Times New Roman" w:hAnsi="Arial" w:cs="Arial"/>
                <w:b/>
                <w:bCs/>
                <w:color w:val="000000"/>
                <w:sz w:val="20"/>
                <w:szCs w:val="20"/>
                <w:lang w:eastAsia="en-GB"/>
              </w:rPr>
              <w:t>190</w:t>
            </w:r>
            <w:r w:rsidRPr="00424424">
              <w:rPr>
                <w:rFonts w:ascii="Arial" w:eastAsia="Times New Roman" w:hAnsi="Arial" w:cs="Arial"/>
                <w:b/>
                <w:bCs/>
                <w:color w:val="000000"/>
                <w:sz w:val="20"/>
                <w:szCs w:val="20"/>
                <w:lang w:eastAsia="en-GB"/>
              </w:rPr>
              <w:t>)</w:t>
            </w:r>
          </w:p>
        </w:tc>
      </w:tr>
      <w:tr w:rsidR="005B7A6D" w:rsidRPr="00424424" w14:paraId="1BEE33B7" w14:textId="7262F83A" w:rsidTr="004403D7">
        <w:trPr>
          <w:trHeight w:val="280"/>
        </w:trPr>
        <w:tc>
          <w:tcPr>
            <w:tcW w:w="3119" w:type="dxa"/>
            <w:tcBorders>
              <w:top w:val="single" w:sz="4" w:space="0" w:color="auto"/>
              <w:bottom w:val="nil"/>
            </w:tcBorders>
            <w:shd w:val="clear" w:color="auto" w:fill="auto"/>
            <w:noWrap/>
            <w:vAlign w:val="center"/>
            <w:hideMark/>
          </w:tcPr>
          <w:p w14:paraId="4828689A"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Age (years)</w:t>
            </w:r>
          </w:p>
        </w:tc>
        <w:tc>
          <w:tcPr>
            <w:tcW w:w="1701" w:type="dxa"/>
            <w:gridSpan w:val="2"/>
            <w:tcBorders>
              <w:top w:val="single" w:sz="4" w:space="0" w:color="auto"/>
              <w:bottom w:val="nil"/>
            </w:tcBorders>
            <w:vAlign w:val="center"/>
          </w:tcPr>
          <w:p w14:paraId="1E8F436C" w14:textId="4E218B64"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74.3 (4.9)</w:t>
            </w:r>
          </w:p>
        </w:tc>
        <w:tc>
          <w:tcPr>
            <w:tcW w:w="1559" w:type="dxa"/>
            <w:tcBorders>
              <w:top w:val="single" w:sz="4" w:space="0" w:color="auto"/>
              <w:bottom w:val="nil"/>
              <w:right w:val="nil"/>
            </w:tcBorders>
            <w:shd w:val="clear" w:color="auto" w:fill="auto"/>
            <w:noWrap/>
            <w:vAlign w:val="center"/>
          </w:tcPr>
          <w:p w14:paraId="5141C7FE" w14:textId="6981266B"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74.4 (2.9)</w:t>
            </w:r>
          </w:p>
        </w:tc>
        <w:tc>
          <w:tcPr>
            <w:tcW w:w="1701" w:type="dxa"/>
            <w:gridSpan w:val="2"/>
            <w:tcBorders>
              <w:top w:val="single" w:sz="4" w:space="0" w:color="auto"/>
              <w:left w:val="nil"/>
              <w:bottom w:val="nil"/>
              <w:right w:val="nil"/>
            </w:tcBorders>
            <w:shd w:val="clear" w:color="auto" w:fill="auto"/>
            <w:noWrap/>
            <w:vAlign w:val="center"/>
          </w:tcPr>
          <w:p w14:paraId="63A24944" w14:textId="48A9BC26"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73.8 (5.9)</w:t>
            </w:r>
          </w:p>
        </w:tc>
        <w:tc>
          <w:tcPr>
            <w:tcW w:w="1701" w:type="dxa"/>
            <w:gridSpan w:val="2"/>
            <w:tcBorders>
              <w:top w:val="single" w:sz="4" w:space="0" w:color="auto"/>
              <w:left w:val="nil"/>
              <w:bottom w:val="nil"/>
              <w:right w:val="nil"/>
            </w:tcBorders>
            <w:shd w:val="clear" w:color="auto" w:fill="auto"/>
            <w:noWrap/>
            <w:vAlign w:val="center"/>
          </w:tcPr>
          <w:p w14:paraId="63E1A86B" w14:textId="546C116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74.9 (3.1)</w:t>
            </w:r>
          </w:p>
        </w:tc>
        <w:tc>
          <w:tcPr>
            <w:tcW w:w="1559" w:type="dxa"/>
            <w:gridSpan w:val="3"/>
            <w:tcBorders>
              <w:top w:val="single" w:sz="4" w:space="0" w:color="auto"/>
              <w:left w:val="nil"/>
              <w:bottom w:val="nil"/>
              <w:right w:val="nil"/>
            </w:tcBorders>
            <w:shd w:val="clear" w:color="auto" w:fill="auto"/>
            <w:noWrap/>
            <w:vAlign w:val="center"/>
          </w:tcPr>
          <w:p w14:paraId="6306EE3B" w14:textId="69BBBB13"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75.3 (2.5)</w:t>
            </w:r>
          </w:p>
        </w:tc>
        <w:tc>
          <w:tcPr>
            <w:tcW w:w="1418" w:type="dxa"/>
            <w:tcBorders>
              <w:top w:val="single" w:sz="4" w:space="0" w:color="auto"/>
              <w:left w:val="nil"/>
              <w:bottom w:val="nil"/>
              <w:right w:val="nil"/>
            </w:tcBorders>
            <w:vAlign w:val="center"/>
          </w:tcPr>
          <w:p w14:paraId="59D9C6E0" w14:textId="6A10A16A"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73.6 (6.1)</w:t>
            </w:r>
          </w:p>
        </w:tc>
      </w:tr>
      <w:tr w:rsidR="005B7A6D" w:rsidRPr="00424424" w14:paraId="64D057B8" w14:textId="12AF5851" w:rsidTr="004403D7">
        <w:trPr>
          <w:trHeight w:val="280"/>
        </w:trPr>
        <w:tc>
          <w:tcPr>
            <w:tcW w:w="3119" w:type="dxa"/>
            <w:tcBorders>
              <w:top w:val="nil"/>
              <w:bottom w:val="nil"/>
            </w:tcBorders>
            <w:shd w:val="clear" w:color="auto" w:fill="auto"/>
            <w:noWrap/>
            <w:vAlign w:val="center"/>
            <w:hideMark/>
          </w:tcPr>
          <w:p w14:paraId="1C42A4A3"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Height (cm)</w:t>
            </w:r>
          </w:p>
        </w:tc>
        <w:tc>
          <w:tcPr>
            <w:tcW w:w="1701" w:type="dxa"/>
            <w:gridSpan w:val="2"/>
            <w:tcBorders>
              <w:top w:val="nil"/>
              <w:bottom w:val="nil"/>
            </w:tcBorders>
            <w:vAlign w:val="center"/>
          </w:tcPr>
          <w:p w14:paraId="7DE2AFC3" w14:textId="66779054"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174.4 (6.6)</w:t>
            </w:r>
          </w:p>
        </w:tc>
        <w:tc>
          <w:tcPr>
            <w:tcW w:w="1559" w:type="dxa"/>
            <w:tcBorders>
              <w:top w:val="nil"/>
              <w:bottom w:val="nil"/>
              <w:right w:val="nil"/>
            </w:tcBorders>
            <w:shd w:val="clear" w:color="auto" w:fill="auto"/>
            <w:noWrap/>
            <w:vAlign w:val="center"/>
          </w:tcPr>
          <w:p w14:paraId="43B2BAAF" w14:textId="65CE9635"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173.4 (6.2)</w:t>
            </w:r>
          </w:p>
        </w:tc>
        <w:tc>
          <w:tcPr>
            <w:tcW w:w="1701" w:type="dxa"/>
            <w:gridSpan w:val="2"/>
            <w:tcBorders>
              <w:top w:val="nil"/>
              <w:left w:val="nil"/>
              <w:bottom w:val="nil"/>
              <w:right w:val="nil"/>
            </w:tcBorders>
            <w:shd w:val="clear" w:color="auto" w:fill="auto"/>
            <w:noWrap/>
            <w:vAlign w:val="center"/>
          </w:tcPr>
          <w:p w14:paraId="3AB0B1A1" w14:textId="695B053A"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174.5 (6.6)</w:t>
            </w:r>
          </w:p>
        </w:tc>
        <w:tc>
          <w:tcPr>
            <w:tcW w:w="1701" w:type="dxa"/>
            <w:gridSpan w:val="2"/>
            <w:tcBorders>
              <w:top w:val="nil"/>
              <w:left w:val="nil"/>
              <w:bottom w:val="nil"/>
              <w:right w:val="nil"/>
            </w:tcBorders>
            <w:shd w:val="clear" w:color="auto" w:fill="auto"/>
            <w:noWrap/>
            <w:vAlign w:val="center"/>
          </w:tcPr>
          <w:p w14:paraId="279B301A" w14:textId="50388B2C"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174.8 (6.5)</w:t>
            </w:r>
          </w:p>
        </w:tc>
        <w:tc>
          <w:tcPr>
            <w:tcW w:w="1559" w:type="dxa"/>
            <w:gridSpan w:val="3"/>
            <w:tcBorders>
              <w:top w:val="nil"/>
              <w:left w:val="nil"/>
              <w:bottom w:val="nil"/>
              <w:right w:val="nil"/>
            </w:tcBorders>
            <w:shd w:val="clear" w:color="auto" w:fill="auto"/>
            <w:noWrap/>
            <w:vAlign w:val="center"/>
          </w:tcPr>
          <w:p w14:paraId="07911B48" w14:textId="425773B9"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173.9 (6.2)</w:t>
            </w:r>
          </w:p>
        </w:tc>
        <w:tc>
          <w:tcPr>
            <w:tcW w:w="1418" w:type="dxa"/>
            <w:tcBorders>
              <w:top w:val="nil"/>
              <w:left w:val="nil"/>
              <w:bottom w:val="nil"/>
              <w:right w:val="nil"/>
            </w:tcBorders>
            <w:vAlign w:val="center"/>
          </w:tcPr>
          <w:p w14:paraId="6BDBE634" w14:textId="72C3C94E"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171.8 (6.3)</w:t>
            </w:r>
          </w:p>
        </w:tc>
      </w:tr>
      <w:tr w:rsidR="005B7A6D" w:rsidRPr="00424424" w14:paraId="52973AED" w14:textId="6E1B3D5E" w:rsidTr="004403D7">
        <w:trPr>
          <w:trHeight w:val="280"/>
        </w:trPr>
        <w:tc>
          <w:tcPr>
            <w:tcW w:w="3119" w:type="dxa"/>
            <w:tcBorders>
              <w:top w:val="nil"/>
              <w:bottom w:val="nil"/>
            </w:tcBorders>
            <w:shd w:val="clear" w:color="auto" w:fill="auto"/>
            <w:noWrap/>
            <w:vAlign w:val="center"/>
            <w:hideMark/>
          </w:tcPr>
          <w:p w14:paraId="27C22163"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Weight (kg)</w:t>
            </w:r>
          </w:p>
        </w:tc>
        <w:tc>
          <w:tcPr>
            <w:tcW w:w="1701" w:type="dxa"/>
            <w:gridSpan w:val="2"/>
            <w:tcBorders>
              <w:top w:val="nil"/>
              <w:bottom w:val="nil"/>
            </w:tcBorders>
            <w:vAlign w:val="center"/>
          </w:tcPr>
          <w:p w14:paraId="7DF0376F" w14:textId="37E7A874"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82.3 (12.6)</w:t>
            </w:r>
          </w:p>
        </w:tc>
        <w:tc>
          <w:tcPr>
            <w:tcW w:w="1559" w:type="dxa"/>
            <w:tcBorders>
              <w:top w:val="nil"/>
              <w:bottom w:val="nil"/>
              <w:right w:val="nil"/>
            </w:tcBorders>
            <w:shd w:val="clear" w:color="auto" w:fill="auto"/>
            <w:noWrap/>
            <w:vAlign w:val="center"/>
          </w:tcPr>
          <w:p w14:paraId="5D8789E3" w14:textId="36172324"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81.2 (12.3)</w:t>
            </w:r>
          </w:p>
        </w:tc>
        <w:tc>
          <w:tcPr>
            <w:tcW w:w="1701" w:type="dxa"/>
            <w:gridSpan w:val="2"/>
            <w:tcBorders>
              <w:top w:val="nil"/>
              <w:left w:val="nil"/>
              <w:bottom w:val="nil"/>
              <w:right w:val="nil"/>
            </w:tcBorders>
            <w:shd w:val="clear" w:color="auto" w:fill="auto"/>
            <w:noWrap/>
            <w:vAlign w:val="center"/>
          </w:tcPr>
          <w:p w14:paraId="33C1A8C6" w14:textId="4E7C3BC3"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83.5 (12.9)</w:t>
            </w:r>
          </w:p>
        </w:tc>
        <w:tc>
          <w:tcPr>
            <w:tcW w:w="1701" w:type="dxa"/>
            <w:gridSpan w:val="2"/>
            <w:tcBorders>
              <w:top w:val="nil"/>
              <w:left w:val="nil"/>
              <w:bottom w:val="nil"/>
              <w:right w:val="nil"/>
            </w:tcBorders>
            <w:shd w:val="clear" w:color="auto" w:fill="auto"/>
            <w:noWrap/>
            <w:vAlign w:val="center"/>
          </w:tcPr>
          <w:p w14:paraId="27748F92" w14:textId="1282B56A"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80.5 (11.8)</w:t>
            </w:r>
          </w:p>
        </w:tc>
        <w:tc>
          <w:tcPr>
            <w:tcW w:w="1559" w:type="dxa"/>
            <w:gridSpan w:val="3"/>
            <w:tcBorders>
              <w:top w:val="nil"/>
              <w:left w:val="nil"/>
              <w:bottom w:val="nil"/>
              <w:right w:val="nil"/>
            </w:tcBorders>
            <w:shd w:val="clear" w:color="auto" w:fill="auto"/>
            <w:noWrap/>
            <w:vAlign w:val="center"/>
          </w:tcPr>
          <w:p w14:paraId="3DB48D23" w14:textId="47276561"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82.3 (11.7)</w:t>
            </w:r>
          </w:p>
        </w:tc>
        <w:tc>
          <w:tcPr>
            <w:tcW w:w="1418" w:type="dxa"/>
            <w:tcBorders>
              <w:top w:val="nil"/>
              <w:left w:val="nil"/>
              <w:bottom w:val="nil"/>
              <w:right w:val="nil"/>
            </w:tcBorders>
            <w:vAlign w:val="center"/>
          </w:tcPr>
          <w:p w14:paraId="260E2F51" w14:textId="560B5438"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81.4 (15.0)</w:t>
            </w:r>
          </w:p>
        </w:tc>
      </w:tr>
      <w:tr w:rsidR="005B7A6D" w:rsidRPr="00424424" w14:paraId="5FB5843F" w14:textId="093A0D1F" w:rsidTr="004403D7">
        <w:trPr>
          <w:trHeight w:val="330"/>
        </w:trPr>
        <w:tc>
          <w:tcPr>
            <w:tcW w:w="3119" w:type="dxa"/>
            <w:tcBorders>
              <w:top w:val="nil"/>
              <w:bottom w:val="nil"/>
            </w:tcBorders>
            <w:shd w:val="clear" w:color="auto" w:fill="auto"/>
            <w:noWrap/>
            <w:vAlign w:val="center"/>
            <w:hideMark/>
          </w:tcPr>
          <w:p w14:paraId="0EBC6D51"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BMI (kg/m</w:t>
            </w:r>
            <w:r w:rsidRPr="00424424">
              <w:rPr>
                <w:rFonts w:ascii="Arial" w:eastAsia="Times New Roman" w:hAnsi="Arial" w:cs="Arial"/>
                <w:color w:val="000000"/>
                <w:sz w:val="20"/>
                <w:szCs w:val="20"/>
                <w:vertAlign w:val="superscript"/>
                <w:lang w:eastAsia="en-GB"/>
              </w:rPr>
              <w:t>2</w:t>
            </w:r>
            <w:r w:rsidRPr="00424424">
              <w:rPr>
                <w:rFonts w:ascii="Arial" w:eastAsia="Times New Roman" w:hAnsi="Arial" w:cs="Arial"/>
                <w:color w:val="000000"/>
                <w:sz w:val="20"/>
                <w:szCs w:val="20"/>
                <w:lang w:eastAsia="en-GB"/>
              </w:rPr>
              <w:t>)</w:t>
            </w:r>
          </w:p>
        </w:tc>
        <w:tc>
          <w:tcPr>
            <w:tcW w:w="1701" w:type="dxa"/>
            <w:gridSpan w:val="2"/>
            <w:tcBorders>
              <w:top w:val="nil"/>
              <w:bottom w:val="nil"/>
            </w:tcBorders>
            <w:vAlign w:val="center"/>
          </w:tcPr>
          <w:p w14:paraId="1D1EA1B1" w14:textId="2FD1834B"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27.0 (3.7)</w:t>
            </w:r>
          </w:p>
        </w:tc>
        <w:tc>
          <w:tcPr>
            <w:tcW w:w="1559" w:type="dxa"/>
            <w:tcBorders>
              <w:top w:val="nil"/>
              <w:bottom w:val="nil"/>
              <w:right w:val="nil"/>
            </w:tcBorders>
            <w:shd w:val="clear" w:color="auto" w:fill="auto"/>
            <w:noWrap/>
            <w:vAlign w:val="center"/>
          </w:tcPr>
          <w:p w14:paraId="6DBA8062" w14:textId="790A5AD9"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27.0 (3.7)</w:t>
            </w:r>
          </w:p>
        </w:tc>
        <w:tc>
          <w:tcPr>
            <w:tcW w:w="1701" w:type="dxa"/>
            <w:gridSpan w:val="2"/>
            <w:tcBorders>
              <w:top w:val="nil"/>
              <w:left w:val="nil"/>
              <w:bottom w:val="nil"/>
              <w:right w:val="nil"/>
            </w:tcBorders>
            <w:shd w:val="clear" w:color="auto" w:fill="auto"/>
            <w:noWrap/>
            <w:vAlign w:val="center"/>
          </w:tcPr>
          <w:p w14:paraId="26DC2624" w14:textId="0D3EE4BF"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27.4 (3.8)</w:t>
            </w:r>
          </w:p>
        </w:tc>
        <w:tc>
          <w:tcPr>
            <w:tcW w:w="1701" w:type="dxa"/>
            <w:gridSpan w:val="2"/>
            <w:tcBorders>
              <w:top w:val="nil"/>
              <w:left w:val="nil"/>
              <w:bottom w:val="nil"/>
              <w:right w:val="nil"/>
            </w:tcBorders>
            <w:shd w:val="clear" w:color="auto" w:fill="auto"/>
            <w:noWrap/>
            <w:vAlign w:val="center"/>
          </w:tcPr>
          <w:p w14:paraId="66AFF457" w14:textId="0AFAEA81"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26.3 (3.5)</w:t>
            </w:r>
          </w:p>
        </w:tc>
        <w:tc>
          <w:tcPr>
            <w:tcW w:w="1559" w:type="dxa"/>
            <w:gridSpan w:val="3"/>
            <w:tcBorders>
              <w:top w:val="nil"/>
              <w:left w:val="nil"/>
              <w:bottom w:val="nil"/>
              <w:right w:val="nil"/>
            </w:tcBorders>
            <w:shd w:val="clear" w:color="auto" w:fill="auto"/>
            <w:noWrap/>
            <w:vAlign w:val="center"/>
          </w:tcPr>
          <w:p w14:paraId="073D8F77" w14:textId="2D094240"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27.2 (3.6)</w:t>
            </w:r>
          </w:p>
        </w:tc>
        <w:tc>
          <w:tcPr>
            <w:tcW w:w="1418" w:type="dxa"/>
            <w:tcBorders>
              <w:top w:val="nil"/>
              <w:left w:val="nil"/>
              <w:bottom w:val="nil"/>
              <w:right w:val="nil"/>
            </w:tcBorders>
            <w:vAlign w:val="center"/>
          </w:tcPr>
          <w:p w14:paraId="131617CF" w14:textId="3452E1AE"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27.5 (4.6)</w:t>
            </w:r>
          </w:p>
        </w:tc>
      </w:tr>
      <w:tr w:rsidR="005B7A6D" w:rsidRPr="00424424" w14:paraId="4955BE87" w14:textId="519C26DB" w:rsidTr="004403D7">
        <w:trPr>
          <w:trHeight w:val="280"/>
        </w:trPr>
        <w:tc>
          <w:tcPr>
            <w:tcW w:w="3119" w:type="dxa"/>
            <w:tcBorders>
              <w:top w:val="nil"/>
              <w:bottom w:val="nil"/>
            </w:tcBorders>
            <w:shd w:val="clear" w:color="auto" w:fill="auto"/>
            <w:noWrap/>
            <w:vAlign w:val="center"/>
            <w:hideMark/>
          </w:tcPr>
          <w:p w14:paraId="519F51AF"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ALM (kg)</w:t>
            </w:r>
          </w:p>
        </w:tc>
        <w:tc>
          <w:tcPr>
            <w:tcW w:w="1701" w:type="dxa"/>
            <w:gridSpan w:val="2"/>
            <w:tcBorders>
              <w:top w:val="nil"/>
              <w:bottom w:val="nil"/>
            </w:tcBorders>
            <w:vAlign w:val="center"/>
          </w:tcPr>
          <w:p w14:paraId="64175E79" w14:textId="60630AFE"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24.2 (3.3)</w:t>
            </w:r>
          </w:p>
        </w:tc>
        <w:tc>
          <w:tcPr>
            <w:tcW w:w="1559" w:type="dxa"/>
            <w:tcBorders>
              <w:top w:val="nil"/>
              <w:bottom w:val="nil"/>
              <w:right w:val="nil"/>
            </w:tcBorders>
            <w:shd w:val="clear" w:color="auto" w:fill="auto"/>
            <w:noWrap/>
            <w:vAlign w:val="center"/>
          </w:tcPr>
          <w:p w14:paraId="680D7685" w14:textId="4FAD0C78"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23.2 (3.2)</w:t>
            </w:r>
          </w:p>
        </w:tc>
        <w:tc>
          <w:tcPr>
            <w:tcW w:w="1701" w:type="dxa"/>
            <w:gridSpan w:val="2"/>
            <w:tcBorders>
              <w:top w:val="nil"/>
              <w:left w:val="nil"/>
              <w:bottom w:val="nil"/>
              <w:right w:val="nil"/>
            </w:tcBorders>
            <w:shd w:val="clear" w:color="auto" w:fill="auto"/>
            <w:noWrap/>
            <w:vAlign w:val="center"/>
          </w:tcPr>
          <w:p w14:paraId="6788C540" w14:textId="512CF884"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24.3 (3.4)</w:t>
            </w:r>
          </w:p>
        </w:tc>
        <w:tc>
          <w:tcPr>
            <w:tcW w:w="1701" w:type="dxa"/>
            <w:gridSpan w:val="2"/>
            <w:tcBorders>
              <w:top w:val="nil"/>
              <w:left w:val="nil"/>
              <w:bottom w:val="nil"/>
              <w:right w:val="nil"/>
            </w:tcBorders>
            <w:shd w:val="clear" w:color="auto" w:fill="auto"/>
            <w:noWrap/>
            <w:vAlign w:val="center"/>
          </w:tcPr>
          <w:p w14:paraId="05040889" w14:textId="476BFA3C"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24.2 (3.2)</w:t>
            </w:r>
          </w:p>
        </w:tc>
        <w:tc>
          <w:tcPr>
            <w:tcW w:w="1559" w:type="dxa"/>
            <w:gridSpan w:val="3"/>
            <w:tcBorders>
              <w:top w:val="nil"/>
              <w:left w:val="nil"/>
              <w:bottom w:val="nil"/>
              <w:right w:val="nil"/>
            </w:tcBorders>
            <w:shd w:val="clear" w:color="auto" w:fill="auto"/>
            <w:noWrap/>
            <w:vAlign w:val="center"/>
          </w:tcPr>
          <w:p w14:paraId="06C832E9" w14:textId="00C50A7D"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24.3 (2.7)</w:t>
            </w:r>
          </w:p>
        </w:tc>
        <w:tc>
          <w:tcPr>
            <w:tcW w:w="1418" w:type="dxa"/>
            <w:tcBorders>
              <w:top w:val="nil"/>
              <w:left w:val="nil"/>
              <w:bottom w:val="nil"/>
              <w:right w:val="nil"/>
            </w:tcBorders>
            <w:vAlign w:val="center"/>
          </w:tcPr>
          <w:p w14:paraId="6E8B8469" w14:textId="25F3E972"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23.4 (3.8)</w:t>
            </w:r>
          </w:p>
        </w:tc>
      </w:tr>
      <w:tr w:rsidR="005B7A6D" w:rsidRPr="00424424" w14:paraId="2CD3FFB5" w14:textId="79639CB6" w:rsidTr="004403D7">
        <w:trPr>
          <w:trHeight w:val="330"/>
        </w:trPr>
        <w:tc>
          <w:tcPr>
            <w:tcW w:w="3119" w:type="dxa"/>
            <w:tcBorders>
              <w:top w:val="nil"/>
              <w:bottom w:val="nil"/>
            </w:tcBorders>
            <w:shd w:val="clear" w:color="auto" w:fill="auto"/>
            <w:noWrap/>
            <w:vAlign w:val="center"/>
            <w:hideMark/>
          </w:tcPr>
          <w:p w14:paraId="797B2F7C"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ALM index (kg/m</w:t>
            </w:r>
            <w:r w:rsidRPr="00424424">
              <w:rPr>
                <w:rFonts w:ascii="Arial" w:eastAsia="Times New Roman" w:hAnsi="Arial" w:cs="Arial"/>
                <w:color w:val="000000"/>
                <w:sz w:val="20"/>
                <w:szCs w:val="20"/>
                <w:vertAlign w:val="superscript"/>
                <w:lang w:eastAsia="en-GB"/>
              </w:rPr>
              <w:t>2</w:t>
            </w:r>
            <w:r w:rsidRPr="00424424">
              <w:rPr>
                <w:rFonts w:ascii="Arial" w:eastAsia="Times New Roman" w:hAnsi="Arial" w:cs="Arial"/>
                <w:color w:val="000000"/>
                <w:sz w:val="20"/>
                <w:szCs w:val="20"/>
                <w:lang w:eastAsia="en-GB"/>
              </w:rPr>
              <w:t>)</w:t>
            </w:r>
          </w:p>
        </w:tc>
        <w:tc>
          <w:tcPr>
            <w:tcW w:w="1701" w:type="dxa"/>
            <w:gridSpan w:val="2"/>
            <w:tcBorders>
              <w:top w:val="nil"/>
              <w:bottom w:val="nil"/>
            </w:tcBorders>
            <w:vAlign w:val="center"/>
          </w:tcPr>
          <w:p w14:paraId="07EEBAF7" w14:textId="1ABF9CD4"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7.9 (0.9)</w:t>
            </w:r>
          </w:p>
        </w:tc>
        <w:tc>
          <w:tcPr>
            <w:tcW w:w="1559" w:type="dxa"/>
            <w:tcBorders>
              <w:top w:val="nil"/>
              <w:bottom w:val="nil"/>
              <w:right w:val="nil"/>
            </w:tcBorders>
            <w:shd w:val="clear" w:color="auto" w:fill="auto"/>
            <w:noWrap/>
            <w:vAlign w:val="center"/>
          </w:tcPr>
          <w:p w14:paraId="05D99E36" w14:textId="72C108D2"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7.7 (0.9)</w:t>
            </w:r>
          </w:p>
        </w:tc>
        <w:tc>
          <w:tcPr>
            <w:tcW w:w="1701" w:type="dxa"/>
            <w:gridSpan w:val="2"/>
            <w:tcBorders>
              <w:top w:val="nil"/>
              <w:left w:val="nil"/>
              <w:bottom w:val="nil"/>
              <w:right w:val="nil"/>
            </w:tcBorders>
            <w:shd w:val="clear" w:color="auto" w:fill="auto"/>
            <w:noWrap/>
            <w:vAlign w:val="center"/>
          </w:tcPr>
          <w:p w14:paraId="08974255" w14:textId="2732C33F"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8.0 (0.9)</w:t>
            </w:r>
          </w:p>
        </w:tc>
        <w:tc>
          <w:tcPr>
            <w:tcW w:w="1701" w:type="dxa"/>
            <w:gridSpan w:val="2"/>
            <w:tcBorders>
              <w:top w:val="nil"/>
              <w:left w:val="nil"/>
              <w:bottom w:val="nil"/>
              <w:right w:val="nil"/>
            </w:tcBorders>
            <w:shd w:val="clear" w:color="auto" w:fill="auto"/>
            <w:noWrap/>
            <w:vAlign w:val="center"/>
          </w:tcPr>
          <w:p w14:paraId="2DD859A6" w14:textId="7B55592D"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7.9 (0.8)</w:t>
            </w:r>
          </w:p>
        </w:tc>
        <w:tc>
          <w:tcPr>
            <w:tcW w:w="1559" w:type="dxa"/>
            <w:gridSpan w:val="3"/>
            <w:tcBorders>
              <w:top w:val="nil"/>
              <w:left w:val="nil"/>
              <w:bottom w:val="nil"/>
              <w:right w:val="nil"/>
            </w:tcBorders>
            <w:shd w:val="clear" w:color="auto" w:fill="auto"/>
            <w:noWrap/>
            <w:vAlign w:val="center"/>
          </w:tcPr>
          <w:p w14:paraId="5FF3F392" w14:textId="1D3A30FE"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8.0 (0.7)</w:t>
            </w:r>
          </w:p>
        </w:tc>
        <w:tc>
          <w:tcPr>
            <w:tcW w:w="1418" w:type="dxa"/>
            <w:tcBorders>
              <w:top w:val="nil"/>
              <w:left w:val="nil"/>
              <w:bottom w:val="nil"/>
              <w:right w:val="nil"/>
            </w:tcBorders>
            <w:vAlign w:val="center"/>
          </w:tcPr>
          <w:p w14:paraId="7D7FF9F5" w14:textId="3F586B27"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7.9 (1.1)</w:t>
            </w:r>
          </w:p>
        </w:tc>
      </w:tr>
      <w:tr w:rsidR="005B7A6D" w:rsidRPr="00424424" w14:paraId="229942BE" w14:textId="31A53859" w:rsidTr="004403D7">
        <w:trPr>
          <w:trHeight w:val="280"/>
        </w:trPr>
        <w:tc>
          <w:tcPr>
            <w:tcW w:w="3119" w:type="dxa"/>
            <w:tcBorders>
              <w:top w:val="nil"/>
              <w:bottom w:val="nil"/>
            </w:tcBorders>
            <w:shd w:val="clear" w:color="auto" w:fill="auto"/>
            <w:noWrap/>
            <w:vAlign w:val="center"/>
            <w:hideMark/>
          </w:tcPr>
          <w:p w14:paraId="5C058A29"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Grip strength (kg)</w:t>
            </w:r>
          </w:p>
        </w:tc>
        <w:tc>
          <w:tcPr>
            <w:tcW w:w="1701" w:type="dxa"/>
            <w:gridSpan w:val="2"/>
            <w:tcBorders>
              <w:top w:val="nil"/>
              <w:bottom w:val="nil"/>
            </w:tcBorders>
            <w:vAlign w:val="center"/>
          </w:tcPr>
          <w:p w14:paraId="1DF63D95" w14:textId="0F94EC91"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41.7 (8.3)</w:t>
            </w:r>
          </w:p>
        </w:tc>
        <w:tc>
          <w:tcPr>
            <w:tcW w:w="1559" w:type="dxa"/>
            <w:tcBorders>
              <w:top w:val="nil"/>
              <w:bottom w:val="nil"/>
              <w:right w:val="nil"/>
            </w:tcBorders>
            <w:shd w:val="clear" w:color="auto" w:fill="auto"/>
            <w:noWrap/>
            <w:vAlign w:val="center"/>
          </w:tcPr>
          <w:p w14:paraId="5B9224B4" w14:textId="54CFCED0"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39.5 (7.7)</w:t>
            </w:r>
          </w:p>
        </w:tc>
        <w:tc>
          <w:tcPr>
            <w:tcW w:w="1701" w:type="dxa"/>
            <w:gridSpan w:val="2"/>
            <w:tcBorders>
              <w:top w:val="nil"/>
              <w:left w:val="nil"/>
              <w:bottom w:val="nil"/>
              <w:right w:val="nil"/>
            </w:tcBorders>
            <w:shd w:val="clear" w:color="auto" w:fill="auto"/>
            <w:noWrap/>
            <w:vAlign w:val="center"/>
          </w:tcPr>
          <w:p w14:paraId="1096F71E" w14:textId="39BA51B3"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41.6 (8.5)</w:t>
            </w:r>
          </w:p>
        </w:tc>
        <w:tc>
          <w:tcPr>
            <w:tcW w:w="1701" w:type="dxa"/>
            <w:gridSpan w:val="2"/>
            <w:tcBorders>
              <w:top w:val="nil"/>
              <w:left w:val="nil"/>
              <w:bottom w:val="nil"/>
              <w:right w:val="nil"/>
            </w:tcBorders>
            <w:shd w:val="clear" w:color="auto" w:fill="auto"/>
            <w:noWrap/>
            <w:vAlign w:val="center"/>
          </w:tcPr>
          <w:p w14:paraId="0A92F8B1" w14:textId="2ABD9C43"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43.0 (7.8)</w:t>
            </w:r>
          </w:p>
        </w:tc>
        <w:tc>
          <w:tcPr>
            <w:tcW w:w="1559" w:type="dxa"/>
            <w:gridSpan w:val="3"/>
            <w:tcBorders>
              <w:top w:val="nil"/>
              <w:left w:val="nil"/>
              <w:bottom w:val="nil"/>
              <w:right w:val="nil"/>
            </w:tcBorders>
            <w:shd w:val="clear" w:color="auto" w:fill="auto"/>
            <w:noWrap/>
            <w:vAlign w:val="center"/>
          </w:tcPr>
          <w:p w14:paraId="435B5A05" w14:textId="47A12260"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37.2 (7.2)</w:t>
            </w:r>
          </w:p>
        </w:tc>
        <w:tc>
          <w:tcPr>
            <w:tcW w:w="1418" w:type="dxa"/>
            <w:tcBorders>
              <w:top w:val="nil"/>
              <w:left w:val="nil"/>
              <w:bottom w:val="nil"/>
              <w:right w:val="nil"/>
            </w:tcBorders>
            <w:vAlign w:val="center"/>
          </w:tcPr>
          <w:p w14:paraId="2A6F6A0D" w14:textId="0E9BB2CA"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39.0 (9.5)</w:t>
            </w:r>
          </w:p>
        </w:tc>
      </w:tr>
      <w:tr w:rsidR="005B7A6D" w:rsidRPr="00424424" w14:paraId="1884F96C" w14:textId="0F4445A6" w:rsidTr="004403D7">
        <w:trPr>
          <w:trHeight w:val="280"/>
        </w:trPr>
        <w:tc>
          <w:tcPr>
            <w:tcW w:w="3119" w:type="dxa"/>
            <w:tcBorders>
              <w:top w:val="nil"/>
              <w:bottom w:val="nil"/>
            </w:tcBorders>
            <w:shd w:val="clear" w:color="auto" w:fill="auto"/>
            <w:noWrap/>
            <w:vAlign w:val="center"/>
            <w:hideMark/>
          </w:tcPr>
          <w:p w14:paraId="6CA22D17" w14:textId="77777777"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Gait speed (m/s)</w:t>
            </w:r>
          </w:p>
        </w:tc>
        <w:tc>
          <w:tcPr>
            <w:tcW w:w="1701" w:type="dxa"/>
            <w:gridSpan w:val="2"/>
            <w:tcBorders>
              <w:top w:val="nil"/>
              <w:bottom w:val="nil"/>
            </w:tcBorders>
            <w:vAlign w:val="center"/>
          </w:tcPr>
          <w:p w14:paraId="0090E19A" w14:textId="120951B2"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1.27 (0.25)</w:t>
            </w:r>
          </w:p>
        </w:tc>
        <w:tc>
          <w:tcPr>
            <w:tcW w:w="1559" w:type="dxa"/>
            <w:tcBorders>
              <w:top w:val="nil"/>
              <w:bottom w:val="nil"/>
              <w:right w:val="nil"/>
            </w:tcBorders>
            <w:shd w:val="clear" w:color="auto" w:fill="auto"/>
            <w:noWrap/>
            <w:vAlign w:val="center"/>
          </w:tcPr>
          <w:p w14:paraId="24A8C2CB" w14:textId="480023CC"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1.29 (0.23)</w:t>
            </w:r>
          </w:p>
        </w:tc>
        <w:tc>
          <w:tcPr>
            <w:tcW w:w="1701" w:type="dxa"/>
            <w:gridSpan w:val="2"/>
            <w:tcBorders>
              <w:top w:val="nil"/>
              <w:left w:val="nil"/>
              <w:bottom w:val="nil"/>
              <w:right w:val="nil"/>
            </w:tcBorders>
            <w:shd w:val="clear" w:color="auto" w:fill="auto"/>
            <w:noWrap/>
            <w:vAlign w:val="center"/>
          </w:tcPr>
          <w:p w14:paraId="7945ADE6" w14:textId="28B7CDE0"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1.25 (0.23)</w:t>
            </w:r>
          </w:p>
        </w:tc>
        <w:tc>
          <w:tcPr>
            <w:tcW w:w="1701" w:type="dxa"/>
            <w:gridSpan w:val="2"/>
            <w:tcBorders>
              <w:top w:val="nil"/>
              <w:left w:val="nil"/>
              <w:bottom w:val="nil"/>
              <w:right w:val="nil"/>
            </w:tcBorders>
            <w:shd w:val="clear" w:color="auto" w:fill="auto"/>
            <w:noWrap/>
            <w:vAlign w:val="center"/>
          </w:tcPr>
          <w:p w14:paraId="012D4DB0" w14:textId="7BB0CCD5"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1.32 (0.25)</w:t>
            </w:r>
          </w:p>
        </w:tc>
        <w:tc>
          <w:tcPr>
            <w:tcW w:w="1559" w:type="dxa"/>
            <w:gridSpan w:val="3"/>
            <w:tcBorders>
              <w:top w:val="nil"/>
              <w:left w:val="nil"/>
              <w:bottom w:val="nil"/>
              <w:right w:val="nil"/>
            </w:tcBorders>
            <w:shd w:val="clear" w:color="auto" w:fill="auto"/>
            <w:noWrap/>
            <w:vAlign w:val="center"/>
          </w:tcPr>
          <w:p w14:paraId="420A199A" w14:textId="7B8C6A6D"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0.82 (0.18)</w:t>
            </w:r>
          </w:p>
        </w:tc>
        <w:tc>
          <w:tcPr>
            <w:tcW w:w="1418" w:type="dxa"/>
            <w:tcBorders>
              <w:top w:val="nil"/>
              <w:left w:val="nil"/>
              <w:bottom w:val="nil"/>
              <w:right w:val="nil"/>
            </w:tcBorders>
            <w:vAlign w:val="center"/>
          </w:tcPr>
          <w:p w14:paraId="4930AB60" w14:textId="0E26E580"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1.05 (0.29)</w:t>
            </w:r>
          </w:p>
        </w:tc>
      </w:tr>
      <w:tr w:rsidR="00FB1957" w:rsidRPr="00424424" w14:paraId="6D7CC766" w14:textId="6B2B52F2" w:rsidTr="004403D7">
        <w:trPr>
          <w:trHeight w:val="280"/>
        </w:trPr>
        <w:tc>
          <w:tcPr>
            <w:tcW w:w="3119" w:type="dxa"/>
            <w:tcBorders>
              <w:top w:val="nil"/>
              <w:bottom w:val="nil"/>
            </w:tcBorders>
            <w:shd w:val="clear" w:color="auto" w:fill="auto"/>
            <w:noWrap/>
            <w:vAlign w:val="center"/>
            <w:hideMark/>
          </w:tcPr>
          <w:p w14:paraId="40616652" w14:textId="26E9261D"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701" w:type="dxa"/>
            <w:gridSpan w:val="2"/>
            <w:vAlign w:val="center"/>
          </w:tcPr>
          <w:p w14:paraId="0DF12FFF" w14:textId="77777777"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559" w:type="dxa"/>
            <w:shd w:val="clear" w:color="auto" w:fill="auto"/>
            <w:noWrap/>
            <w:vAlign w:val="center"/>
          </w:tcPr>
          <w:p w14:paraId="739F3991" w14:textId="512B8745"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701" w:type="dxa"/>
            <w:gridSpan w:val="2"/>
            <w:shd w:val="clear" w:color="auto" w:fill="auto"/>
            <w:noWrap/>
            <w:vAlign w:val="center"/>
          </w:tcPr>
          <w:p w14:paraId="3E707174" w14:textId="4FCD25BF" w:rsidR="00FB1957" w:rsidRPr="00424424" w:rsidRDefault="00FB1957" w:rsidP="005B7A6D">
            <w:pPr>
              <w:spacing w:after="0" w:line="240" w:lineRule="auto"/>
              <w:rPr>
                <w:rFonts w:ascii="Arial" w:eastAsia="Times New Roman" w:hAnsi="Arial" w:cs="Arial"/>
                <w:sz w:val="20"/>
                <w:szCs w:val="20"/>
                <w:lang w:eastAsia="en-GB"/>
              </w:rPr>
            </w:pPr>
          </w:p>
        </w:tc>
        <w:tc>
          <w:tcPr>
            <w:tcW w:w="1701" w:type="dxa"/>
            <w:gridSpan w:val="2"/>
            <w:shd w:val="clear" w:color="auto" w:fill="auto"/>
            <w:noWrap/>
            <w:vAlign w:val="center"/>
          </w:tcPr>
          <w:p w14:paraId="7ABD39B1" w14:textId="4355DB5C"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559" w:type="dxa"/>
            <w:gridSpan w:val="3"/>
            <w:shd w:val="clear" w:color="auto" w:fill="auto"/>
            <w:noWrap/>
            <w:vAlign w:val="center"/>
          </w:tcPr>
          <w:p w14:paraId="485B313D" w14:textId="1192AF25"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418" w:type="dxa"/>
            <w:vAlign w:val="center"/>
          </w:tcPr>
          <w:p w14:paraId="7819FC48" w14:textId="77777777" w:rsidR="00FB1957" w:rsidRPr="00424424" w:rsidRDefault="00FB1957" w:rsidP="005B7A6D">
            <w:pPr>
              <w:spacing w:after="0" w:line="240" w:lineRule="auto"/>
              <w:rPr>
                <w:rFonts w:ascii="Arial" w:eastAsia="Times New Roman" w:hAnsi="Arial" w:cs="Arial"/>
                <w:color w:val="000000"/>
                <w:sz w:val="20"/>
                <w:szCs w:val="20"/>
                <w:lang w:eastAsia="en-GB"/>
              </w:rPr>
            </w:pPr>
          </w:p>
        </w:tc>
      </w:tr>
      <w:tr w:rsidR="00FB1957" w:rsidRPr="00424424" w14:paraId="34049702" w14:textId="17F0456D" w:rsidTr="004403D7">
        <w:trPr>
          <w:trHeight w:val="280"/>
        </w:trPr>
        <w:tc>
          <w:tcPr>
            <w:tcW w:w="3119" w:type="dxa"/>
            <w:tcBorders>
              <w:top w:val="nil"/>
              <w:bottom w:val="nil"/>
            </w:tcBorders>
            <w:shd w:val="clear" w:color="auto" w:fill="auto"/>
            <w:noWrap/>
            <w:vAlign w:val="center"/>
            <w:hideMark/>
          </w:tcPr>
          <w:p w14:paraId="55ADEDE9" w14:textId="4D90402D" w:rsidR="00FB1957" w:rsidRPr="00424424" w:rsidRDefault="00BE6133" w:rsidP="005B7A6D">
            <w:pPr>
              <w:spacing w:after="0" w:line="240" w:lineRule="auto"/>
              <w:rPr>
                <w:rFonts w:ascii="Arial" w:eastAsia="Times New Roman" w:hAnsi="Arial" w:cs="Arial"/>
                <w:i/>
                <w:color w:val="000000"/>
                <w:sz w:val="20"/>
                <w:szCs w:val="20"/>
                <w:lang w:eastAsia="en-GB"/>
              </w:rPr>
            </w:pPr>
            <w:bookmarkStart w:id="19" w:name="_Hlk109720863"/>
            <w:r w:rsidRPr="00424424">
              <w:rPr>
                <w:rFonts w:ascii="Arial" w:eastAsia="Times New Roman" w:hAnsi="Arial" w:cs="Arial"/>
                <w:i/>
                <w:color w:val="000000"/>
                <w:sz w:val="20"/>
                <w:szCs w:val="20"/>
                <w:lang w:eastAsia="en-GB"/>
              </w:rPr>
              <w:t>Original s</w:t>
            </w:r>
            <w:r w:rsidR="00FB1957" w:rsidRPr="00424424">
              <w:rPr>
                <w:rFonts w:ascii="Arial" w:eastAsia="Times New Roman" w:hAnsi="Arial" w:cs="Arial"/>
                <w:i/>
                <w:color w:val="000000"/>
                <w:sz w:val="20"/>
                <w:szCs w:val="20"/>
                <w:lang w:eastAsia="en-GB"/>
              </w:rPr>
              <w:t>arcopenia definition</w:t>
            </w:r>
            <w:r w:rsidRPr="00424424">
              <w:rPr>
                <w:rFonts w:ascii="Arial" w:eastAsia="Times New Roman" w:hAnsi="Arial" w:cs="Arial"/>
                <w:i/>
                <w:color w:val="000000"/>
                <w:sz w:val="20"/>
                <w:szCs w:val="20"/>
                <w:lang w:eastAsia="en-GB"/>
              </w:rPr>
              <w:t>s</w:t>
            </w:r>
          </w:p>
        </w:tc>
        <w:tc>
          <w:tcPr>
            <w:tcW w:w="1701" w:type="dxa"/>
            <w:gridSpan w:val="2"/>
            <w:vAlign w:val="center"/>
          </w:tcPr>
          <w:p w14:paraId="1F8AE5A1" w14:textId="77777777"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559" w:type="dxa"/>
            <w:shd w:val="clear" w:color="auto" w:fill="auto"/>
            <w:noWrap/>
            <w:vAlign w:val="center"/>
          </w:tcPr>
          <w:p w14:paraId="0C8CD971" w14:textId="78CB04FA"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701" w:type="dxa"/>
            <w:gridSpan w:val="2"/>
            <w:shd w:val="clear" w:color="auto" w:fill="auto"/>
            <w:noWrap/>
            <w:vAlign w:val="center"/>
          </w:tcPr>
          <w:p w14:paraId="127E76B5" w14:textId="3506CDC7" w:rsidR="00FB1957" w:rsidRPr="00424424" w:rsidRDefault="00FB1957" w:rsidP="005B7A6D">
            <w:pPr>
              <w:spacing w:after="0" w:line="240" w:lineRule="auto"/>
              <w:rPr>
                <w:rFonts w:ascii="Arial" w:eastAsia="Times New Roman" w:hAnsi="Arial" w:cs="Arial"/>
                <w:sz w:val="20"/>
                <w:szCs w:val="20"/>
                <w:lang w:eastAsia="en-GB"/>
              </w:rPr>
            </w:pPr>
          </w:p>
        </w:tc>
        <w:tc>
          <w:tcPr>
            <w:tcW w:w="1701" w:type="dxa"/>
            <w:gridSpan w:val="2"/>
            <w:shd w:val="clear" w:color="auto" w:fill="auto"/>
            <w:noWrap/>
            <w:vAlign w:val="center"/>
          </w:tcPr>
          <w:p w14:paraId="189CA924" w14:textId="1EE43D0D"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559" w:type="dxa"/>
            <w:gridSpan w:val="3"/>
            <w:shd w:val="clear" w:color="auto" w:fill="auto"/>
            <w:noWrap/>
            <w:vAlign w:val="center"/>
          </w:tcPr>
          <w:p w14:paraId="4D118412" w14:textId="5B1A66BD"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418" w:type="dxa"/>
            <w:vAlign w:val="center"/>
          </w:tcPr>
          <w:p w14:paraId="77A43665" w14:textId="77777777" w:rsidR="00FB1957" w:rsidRPr="00424424" w:rsidRDefault="00FB1957" w:rsidP="005B7A6D">
            <w:pPr>
              <w:spacing w:after="0" w:line="240" w:lineRule="auto"/>
              <w:rPr>
                <w:rFonts w:ascii="Arial" w:eastAsia="Times New Roman" w:hAnsi="Arial" w:cs="Arial"/>
                <w:color w:val="000000"/>
                <w:sz w:val="20"/>
                <w:szCs w:val="20"/>
                <w:lang w:eastAsia="en-GB"/>
              </w:rPr>
            </w:pPr>
          </w:p>
        </w:tc>
      </w:tr>
      <w:tr w:rsidR="005B7A6D" w:rsidRPr="00424424" w14:paraId="2171479D" w14:textId="3EB85A44" w:rsidTr="004403D7">
        <w:trPr>
          <w:trHeight w:val="280"/>
        </w:trPr>
        <w:tc>
          <w:tcPr>
            <w:tcW w:w="3119" w:type="dxa"/>
            <w:tcBorders>
              <w:top w:val="nil"/>
            </w:tcBorders>
            <w:shd w:val="clear" w:color="auto" w:fill="auto"/>
            <w:noWrap/>
            <w:vAlign w:val="center"/>
          </w:tcPr>
          <w:p w14:paraId="330D948D" w14:textId="31FAE108"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 xml:space="preserve">     EWGSOP2</w:t>
            </w:r>
            <w:r w:rsidR="004D3235" w:rsidRPr="00424424">
              <w:rPr>
                <w:rFonts w:ascii="Arial" w:eastAsia="Times New Roman" w:hAnsi="Arial" w:cs="Arial"/>
                <w:color w:val="000000"/>
                <w:sz w:val="20"/>
                <w:szCs w:val="20"/>
                <w:lang w:eastAsia="en-GB"/>
              </w:rPr>
              <w:t xml:space="preserve"> </w:t>
            </w:r>
          </w:p>
        </w:tc>
        <w:tc>
          <w:tcPr>
            <w:tcW w:w="1701" w:type="dxa"/>
            <w:gridSpan w:val="2"/>
            <w:tcBorders>
              <w:top w:val="nil"/>
            </w:tcBorders>
            <w:vAlign w:val="center"/>
          </w:tcPr>
          <w:p w14:paraId="5ABAAEAD" w14:textId="38A35300"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105 (1.1%)</w:t>
            </w:r>
          </w:p>
        </w:tc>
        <w:tc>
          <w:tcPr>
            <w:tcW w:w="1559" w:type="dxa"/>
            <w:tcBorders>
              <w:top w:val="nil"/>
              <w:right w:val="nil"/>
            </w:tcBorders>
            <w:shd w:val="clear" w:color="auto" w:fill="auto"/>
            <w:noWrap/>
            <w:vAlign w:val="center"/>
          </w:tcPr>
          <w:p w14:paraId="2B08A4D7" w14:textId="50436D45"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14 (1.5%)</w:t>
            </w:r>
          </w:p>
        </w:tc>
        <w:tc>
          <w:tcPr>
            <w:tcW w:w="1701" w:type="dxa"/>
            <w:gridSpan w:val="2"/>
            <w:tcBorders>
              <w:top w:val="nil"/>
              <w:left w:val="nil"/>
              <w:right w:val="nil"/>
            </w:tcBorders>
            <w:shd w:val="clear" w:color="auto" w:fill="auto"/>
            <w:noWrap/>
            <w:vAlign w:val="center"/>
          </w:tcPr>
          <w:p w14:paraId="05A887C1" w14:textId="0284A233"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69 (1.4%)</w:t>
            </w:r>
          </w:p>
        </w:tc>
        <w:tc>
          <w:tcPr>
            <w:tcW w:w="1701" w:type="dxa"/>
            <w:gridSpan w:val="2"/>
            <w:tcBorders>
              <w:top w:val="nil"/>
              <w:left w:val="nil"/>
              <w:right w:val="nil"/>
            </w:tcBorders>
            <w:shd w:val="clear" w:color="auto" w:fill="auto"/>
            <w:noWrap/>
            <w:vAlign w:val="center"/>
          </w:tcPr>
          <w:p w14:paraId="2D6C9AB5" w14:textId="3A43E1C8"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13 (0.5%)</w:t>
            </w:r>
          </w:p>
        </w:tc>
        <w:tc>
          <w:tcPr>
            <w:tcW w:w="1559" w:type="dxa"/>
            <w:gridSpan w:val="3"/>
            <w:tcBorders>
              <w:top w:val="nil"/>
              <w:left w:val="nil"/>
              <w:right w:val="nil"/>
            </w:tcBorders>
            <w:shd w:val="clear" w:color="auto" w:fill="auto"/>
            <w:noWrap/>
            <w:vAlign w:val="center"/>
          </w:tcPr>
          <w:p w14:paraId="3A77CFF2" w14:textId="0CA81653"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0 (0.0%)</w:t>
            </w:r>
          </w:p>
        </w:tc>
        <w:tc>
          <w:tcPr>
            <w:tcW w:w="1418" w:type="dxa"/>
            <w:tcBorders>
              <w:top w:val="nil"/>
              <w:left w:val="nil"/>
              <w:right w:val="nil"/>
            </w:tcBorders>
            <w:vAlign w:val="center"/>
          </w:tcPr>
          <w:p w14:paraId="416BC4DC" w14:textId="2364AFFF"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9 (4.7%)</w:t>
            </w:r>
          </w:p>
        </w:tc>
      </w:tr>
      <w:tr w:rsidR="005B7A6D" w:rsidRPr="00424424" w14:paraId="53A4A208" w14:textId="5E6C03D0" w:rsidTr="004403D7">
        <w:trPr>
          <w:trHeight w:val="280"/>
        </w:trPr>
        <w:tc>
          <w:tcPr>
            <w:tcW w:w="3119" w:type="dxa"/>
            <w:shd w:val="clear" w:color="auto" w:fill="auto"/>
            <w:noWrap/>
            <w:vAlign w:val="center"/>
            <w:hideMark/>
          </w:tcPr>
          <w:p w14:paraId="142EF3B2" w14:textId="3037E4B6"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 xml:space="preserve">     SDOC</w:t>
            </w:r>
          </w:p>
        </w:tc>
        <w:tc>
          <w:tcPr>
            <w:tcW w:w="1701" w:type="dxa"/>
            <w:gridSpan w:val="2"/>
            <w:vAlign w:val="center"/>
          </w:tcPr>
          <w:p w14:paraId="1CAF2655" w14:textId="2E905326"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152 (1.7%)</w:t>
            </w:r>
          </w:p>
        </w:tc>
        <w:tc>
          <w:tcPr>
            <w:tcW w:w="1559" w:type="dxa"/>
            <w:tcBorders>
              <w:right w:val="nil"/>
            </w:tcBorders>
            <w:shd w:val="clear" w:color="auto" w:fill="auto"/>
            <w:noWrap/>
            <w:vAlign w:val="center"/>
          </w:tcPr>
          <w:p w14:paraId="6847C256" w14:textId="3A97FB90"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3 (0.3%)</w:t>
            </w:r>
          </w:p>
        </w:tc>
        <w:tc>
          <w:tcPr>
            <w:tcW w:w="1701" w:type="dxa"/>
            <w:gridSpan w:val="2"/>
            <w:tcBorders>
              <w:left w:val="nil"/>
              <w:right w:val="nil"/>
            </w:tcBorders>
            <w:shd w:val="clear" w:color="auto" w:fill="auto"/>
            <w:noWrap/>
            <w:vAlign w:val="center"/>
          </w:tcPr>
          <w:p w14:paraId="23F752CF" w14:textId="0D243780"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79 (1.6%)</w:t>
            </w:r>
          </w:p>
        </w:tc>
        <w:tc>
          <w:tcPr>
            <w:tcW w:w="1701" w:type="dxa"/>
            <w:gridSpan w:val="2"/>
            <w:tcBorders>
              <w:left w:val="nil"/>
              <w:right w:val="nil"/>
            </w:tcBorders>
            <w:shd w:val="clear" w:color="auto" w:fill="auto"/>
            <w:noWrap/>
            <w:vAlign w:val="center"/>
          </w:tcPr>
          <w:p w14:paraId="62308273" w14:textId="47683DCE"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28 (1.0%)</w:t>
            </w:r>
          </w:p>
        </w:tc>
        <w:tc>
          <w:tcPr>
            <w:tcW w:w="1559" w:type="dxa"/>
            <w:gridSpan w:val="3"/>
            <w:tcBorders>
              <w:left w:val="nil"/>
              <w:right w:val="nil"/>
            </w:tcBorders>
            <w:shd w:val="clear" w:color="auto" w:fill="auto"/>
            <w:noWrap/>
            <w:vAlign w:val="center"/>
          </w:tcPr>
          <w:p w14:paraId="7A0958E7" w14:textId="7EA14DE1"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hAnsi="Arial" w:cs="Arial"/>
                <w:color w:val="000000"/>
                <w:sz w:val="20"/>
                <w:szCs w:val="20"/>
              </w:rPr>
              <w:t>24 (15.3%)</w:t>
            </w:r>
          </w:p>
        </w:tc>
        <w:tc>
          <w:tcPr>
            <w:tcW w:w="1418" w:type="dxa"/>
            <w:tcBorders>
              <w:left w:val="nil"/>
              <w:right w:val="nil"/>
            </w:tcBorders>
            <w:vAlign w:val="center"/>
          </w:tcPr>
          <w:p w14:paraId="70DB1EDF" w14:textId="61364F42" w:rsidR="005B7A6D" w:rsidRPr="00424424" w:rsidRDefault="005B7A6D" w:rsidP="005B7A6D">
            <w:pPr>
              <w:spacing w:after="0" w:line="240" w:lineRule="auto"/>
              <w:rPr>
                <w:rFonts w:ascii="Arial" w:hAnsi="Arial" w:cs="Arial"/>
                <w:color w:val="000000"/>
                <w:sz w:val="20"/>
                <w:szCs w:val="20"/>
              </w:rPr>
            </w:pPr>
            <w:r w:rsidRPr="00424424">
              <w:rPr>
                <w:rFonts w:ascii="Arial" w:hAnsi="Arial" w:cs="Arial"/>
                <w:color w:val="000000"/>
                <w:sz w:val="20"/>
                <w:szCs w:val="20"/>
              </w:rPr>
              <w:t>18 (9.5%)</w:t>
            </w:r>
          </w:p>
        </w:tc>
      </w:tr>
      <w:bookmarkEnd w:id="19"/>
      <w:tr w:rsidR="00BE6133" w:rsidRPr="00424424" w14:paraId="3A201974" w14:textId="77777777" w:rsidTr="004403D7">
        <w:trPr>
          <w:trHeight w:val="280"/>
        </w:trPr>
        <w:tc>
          <w:tcPr>
            <w:tcW w:w="3119" w:type="dxa"/>
            <w:shd w:val="clear" w:color="auto" w:fill="auto"/>
            <w:noWrap/>
            <w:vAlign w:val="center"/>
          </w:tcPr>
          <w:p w14:paraId="702B9804" w14:textId="77777777" w:rsidR="00BE6133" w:rsidRPr="00424424" w:rsidRDefault="00BE6133" w:rsidP="005B7A6D">
            <w:pPr>
              <w:spacing w:after="0" w:line="240" w:lineRule="auto"/>
              <w:rPr>
                <w:rFonts w:ascii="Arial" w:eastAsia="Times New Roman" w:hAnsi="Arial" w:cs="Arial"/>
                <w:color w:val="000000"/>
                <w:sz w:val="20"/>
                <w:szCs w:val="20"/>
                <w:lang w:eastAsia="en-GB"/>
              </w:rPr>
            </w:pPr>
          </w:p>
        </w:tc>
        <w:tc>
          <w:tcPr>
            <w:tcW w:w="1701" w:type="dxa"/>
            <w:gridSpan w:val="2"/>
            <w:vAlign w:val="center"/>
          </w:tcPr>
          <w:p w14:paraId="5373BE8D" w14:textId="77777777" w:rsidR="00BE6133" w:rsidRPr="00424424" w:rsidRDefault="00BE6133" w:rsidP="005B7A6D">
            <w:pPr>
              <w:spacing w:after="0" w:line="240" w:lineRule="auto"/>
              <w:rPr>
                <w:rFonts w:ascii="Arial" w:hAnsi="Arial" w:cs="Arial"/>
                <w:color w:val="000000"/>
                <w:sz w:val="20"/>
                <w:szCs w:val="20"/>
              </w:rPr>
            </w:pPr>
          </w:p>
        </w:tc>
        <w:tc>
          <w:tcPr>
            <w:tcW w:w="1559" w:type="dxa"/>
            <w:tcBorders>
              <w:right w:val="nil"/>
            </w:tcBorders>
            <w:shd w:val="clear" w:color="auto" w:fill="auto"/>
            <w:noWrap/>
            <w:vAlign w:val="center"/>
          </w:tcPr>
          <w:p w14:paraId="1A6203C3" w14:textId="77777777" w:rsidR="00BE6133" w:rsidRPr="00424424" w:rsidRDefault="00BE6133" w:rsidP="005B7A6D">
            <w:pPr>
              <w:spacing w:after="0" w:line="240" w:lineRule="auto"/>
              <w:rPr>
                <w:rFonts w:ascii="Arial" w:hAnsi="Arial" w:cs="Arial"/>
                <w:color w:val="000000"/>
                <w:sz w:val="20"/>
                <w:szCs w:val="20"/>
              </w:rPr>
            </w:pPr>
          </w:p>
        </w:tc>
        <w:tc>
          <w:tcPr>
            <w:tcW w:w="1701" w:type="dxa"/>
            <w:gridSpan w:val="2"/>
            <w:tcBorders>
              <w:left w:val="nil"/>
              <w:right w:val="nil"/>
            </w:tcBorders>
            <w:shd w:val="clear" w:color="auto" w:fill="auto"/>
            <w:noWrap/>
            <w:vAlign w:val="center"/>
          </w:tcPr>
          <w:p w14:paraId="3D370FD4" w14:textId="77777777" w:rsidR="00BE6133" w:rsidRPr="00424424" w:rsidRDefault="00BE6133" w:rsidP="005B7A6D">
            <w:pPr>
              <w:spacing w:after="0" w:line="240" w:lineRule="auto"/>
              <w:rPr>
                <w:rFonts w:ascii="Arial" w:hAnsi="Arial" w:cs="Arial"/>
                <w:color w:val="000000"/>
                <w:sz w:val="20"/>
                <w:szCs w:val="20"/>
              </w:rPr>
            </w:pPr>
          </w:p>
        </w:tc>
        <w:tc>
          <w:tcPr>
            <w:tcW w:w="1701" w:type="dxa"/>
            <w:gridSpan w:val="2"/>
            <w:tcBorders>
              <w:left w:val="nil"/>
              <w:right w:val="nil"/>
            </w:tcBorders>
            <w:shd w:val="clear" w:color="auto" w:fill="auto"/>
            <w:noWrap/>
            <w:vAlign w:val="center"/>
          </w:tcPr>
          <w:p w14:paraId="04671681" w14:textId="77777777" w:rsidR="00BE6133" w:rsidRPr="00424424" w:rsidRDefault="00BE6133" w:rsidP="005B7A6D">
            <w:pPr>
              <w:spacing w:after="0" w:line="240" w:lineRule="auto"/>
              <w:rPr>
                <w:rFonts w:ascii="Arial" w:hAnsi="Arial" w:cs="Arial"/>
                <w:color w:val="000000"/>
                <w:sz w:val="20"/>
                <w:szCs w:val="20"/>
              </w:rPr>
            </w:pPr>
          </w:p>
        </w:tc>
        <w:tc>
          <w:tcPr>
            <w:tcW w:w="1559" w:type="dxa"/>
            <w:gridSpan w:val="3"/>
            <w:tcBorders>
              <w:left w:val="nil"/>
              <w:right w:val="nil"/>
            </w:tcBorders>
            <w:shd w:val="clear" w:color="auto" w:fill="auto"/>
            <w:noWrap/>
            <w:vAlign w:val="center"/>
          </w:tcPr>
          <w:p w14:paraId="01D70837" w14:textId="77777777" w:rsidR="00BE6133" w:rsidRPr="00424424" w:rsidRDefault="00BE6133" w:rsidP="005B7A6D">
            <w:pPr>
              <w:spacing w:after="0" w:line="240" w:lineRule="auto"/>
              <w:rPr>
                <w:rFonts w:ascii="Arial" w:hAnsi="Arial" w:cs="Arial"/>
                <w:color w:val="000000"/>
                <w:sz w:val="20"/>
                <w:szCs w:val="20"/>
              </w:rPr>
            </w:pPr>
          </w:p>
        </w:tc>
        <w:tc>
          <w:tcPr>
            <w:tcW w:w="1418" w:type="dxa"/>
            <w:tcBorders>
              <w:left w:val="nil"/>
              <w:right w:val="nil"/>
            </w:tcBorders>
            <w:vAlign w:val="center"/>
          </w:tcPr>
          <w:p w14:paraId="3162E60C" w14:textId="77777777" w:rsidR="00BE6133" w:rsidRPr="00424424" w:rsidRDefault="00BE6133" w:rsidP="005B7A6D">
            <w:pPr>
              <w:spacing w:after="0" w:line="240" w:lineRule="auto"/>
              <w:rPr>
                <w:rFonts w:ascii="Arial" w:hAnsi="Arial" w:cs="Arial"/>
                <w:color w:val="000000"/>
                <w:sz w:val="20"/>
                <w:szCs w:val="20"/>
              </w:rPr>
            </w:pPr>
          </w:p>
        </w:tc>
      </w:tr>
      <w:tr w:rsidR="00BE6133" w:rsidRPr="00424424" w14:paraId="5458A457" w14:textId="77777777" w:rsidTr="004403D7">
        <w:trPr>
          <w:trHeight w:val="280"/>
        </w:trPr>
        <w:tc>
          <w:tcPr>
            <w:tcW w:w="3119" w:type="dxa"/>
            <w:shd w:val="clear" w:color="auto" w:fill="auto"/>
            <w:noWrap/>
            <w:vAlign w:val="center"/>
          </w:tcPr>
          <w:p w14:paraId="7C7D3F5E" w14:textId="19D336BA" w:rsidR="00BE6133" w:rsidRPr="00424424" w:rsidRDefault="00BE6133" w:rsidP="00BE6133">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i/>
                <w:color w:val="000000"/>
                <w:sz w:val="20"/>
                <w:szCs w:val="20"/>
                <w:lang w:eastAsia="en-GB"/>
              </w:rPr>
              <w:t>Modified sarcopenia definitions</w:t>
            </w:r>
          </w:p>
        </w:tc>
        <w:tc>
          <w:tcPr>
            <w:tcW w:w="1701" w:type="dxa"/>
            <w:gridSpan w:val="2"/>
            <w:vAlign w:val="center"/>
          </w:tcPr>
          <w:p w14:paraId="6BF4FD3F" w14:textId="77777777" w:rsidR="00BE6133" w:rsidRPr="00424424" w:rsidRDefault="00BE6133" w:rsidP="00BE6133">
            <w:pPr>
              <w:spacing w:after="0" w:line="240" w:lineRule="auto"/>
              <w:rPr>
                <w:rFonts w:ascii="Arial" w:hAnsi="Arial" w:cs="Arial"/>
                <w:color w:val="000000"/>
                <w:sz w:val="20"/>
                <w:szCs w:val="20"/>
              </w:rPr>
            </w:pPr>
          </w:p>
        </w:tc>
        <w:tc>
          <w:tcPr>
            <w:tcW w:w="1559" w:type="dxa"/>
            <w:tcBorders>
              <w:right w:val="nil"/>
            </w:tcBorders>
            <w:shd w:val="clear" w:color="auto" w:fill="auto"/>
            <w:noWrap/>
            <w:vAlign w:val="center"/>
          </w:tcPr>
          <w:p w14:paraId="30A43CB8" w14:textId="77777777" w:rsidR="00BE6133" w:rsidRPr="00424424" w:rsidRDefault="00BE6133" w:rsidP="00BE6133">
            <w:pPr>
              <w:spacing w:after="0" w:line="240" w:lineRule="auto"/>
              <w:rPr>
                <w:rFonts w:ascii="Arial" w:hAnsi="Arial" w:cs="Arial"/>
                <w:color w:val="000000"/>
                <w:sz w:val="20"/>
                <w:szCs w:val="20"/>
              </w:rPr>
            </w:pPr>
          </w:p>
        </w:tc>
        <w:tc>
          <w:tcPr>
            <w:tcW w:w="1701" w:type="dxa"/>
            <w:gridSpan w:val="2"/>
            <w:tcBorders>
              <w:left w:val="nil"/>
              <w:right w:val="nil"/>
            </w:tcBorders>
            <w:shd w:val="clear" w:color="auto" w:fill="auto"/>
            <w:noWrap/>
            <w:vAlign w:val="center"/>
          </w:tcPr>
          <w:p w14:paraId="27BA28CD" w14:textId="77777777" w:rsidR="00BE6133" w:rsidRPr="00424424" w:rsidRDefault="00BE6133" w:rsidP="00BE6133">
            <w:pPr>
              <w:spacing w:after="0" w:line="240" w:lineRule="auto"/>
              <w:rPr>
                <w:rFonts w:ascii="Arial" w:hAnsi="Arial" w:cs="Arial"/>
                <w:color w:val="000000"/>
                <w:sz w:val="20"/>
                <w:szCs w:val="20"/>
              </w:rPr>
            </w:pPr>
          </w:p>
        </w:tc>
        <w:tc>
          <w:tcPr>
            <w:tcW w:w="1701" w:type="dxa"/>
            <w:gridSpan w:val="2"/>
            <w:tcBorders>
              <w:left w:val="nil"/>
              <w:right w:val="nil"/>
            </w:tcBorders>
            <w:shd w:val="clear" w:color="auto" w:fill="auto"/>
            <w:noWrap/>
            <w:vAlign w:val="center"/>
          </w:tcPr>
          <w:p w14:paraId="2BBBFEAA" w14:textId="77777777" w:rsidR="00BE6133" w:rsidRPr="00424424" w:rsidRDefault="00BE6133" w:rsidP="00BE6133">
            <w:pPr>
              <w:spacing w:after="0" w:line="240" w:lineRule="auto"/>
              <w:rPr>
                <w:rFonts w:ascii="Arial" w:hAnsi="Arial" w:cs="Arial"/>
                <w:color w:val="000000"/>
                <w:sz w:val="20"/>
                <w:szCs w:val="20"/>
              </w:rPr>
            </w:pPr>
          </w:p>
        </w:tc>
        <w:tc>
          <w:tcPr>
            <w:tcW w:w="1559" w:type="dxa"/>
            <w:gridSpan w:val="3"/>
            <w:tcBorders>
              <w:left w:val="nil"/>
              <w:right w:val="nil"/>
            </w:tcBorders>
            <w:shd w:val="clear" w:color="auto" w:fill="auto"/>
            <w:noWrap/>
            <w:vAlign w:val="center"/>
          </w:tcPr>
          <w:p w14:paraId="66259074" w14:textId="77777777" w:rsidR="00BE6133" w:rsidRPr="00424424" w:rsidRDefault="00BE6133" w:rsidP="00BE6133">
            <w:pPr>
              <w:spacing w:after="0" w:line="240" w:lineRule="auto"/>
              <w:rPr>
                <w:rFonts w:ascii="Arial" w:hAnsi="Arial" w:cs="Arial"/>
                <w:color w:val="000000"/>
                <w:sz w:val="20"/>
                <w:szCs w:val="20"/>
              </w:rPr>
            </w:pPr>
          </w:p>
        </w:tc>
        <w:tc>
          <w:tcPr>
            <w:tcW w:w="1418" w:type="dxa"/>
            <w:tcBorders>
              <w:left w:val="nil"/>
              <w:right w:val="nil"/>
            </w:tcBorders>
            <w:vAlign w:val="center"/>
          </w:tcPr>
          <w:p w14:paraId="4A23A408" w14:textId="77777777" w:rsidR="00BE6133" w:rsidRPr="00424424" w:rsidRDefault="00BE6133" w:rsidP="00BE6133">
            <w:pPr>
              <w:spacing w:after="0" w:line="240" w:lineRule="auto"/>
              <w:rPr>
                <w:rFonts w:ascii="Arial" w:hAnsi="Arial" w:cs="Arial"/>
                <w:color w:val="000000"/>
                <w:sz w:val="20"/>
                <w:szCs w:val="20"/>
              </w:rPr>
            </w:pPr>
          </w:p>
        </w:tc>
      </w:tr>
      <w:tr w:rsidR="00ED1058" w:rsidRPr="00424424" w14:paraId="563B1AD7" w14:textId="77777777" w:rsidTr="004403D7">
        <w:trPr>
          <w:trHeight w:val="280"/>
        </w:trPr>
        <w:tc>
          <w:tcPr>
            <w:tcW w:w="3119" w:type="dxa"/>
            <w:shd w:val="clear" w:color="auto" w:fill="auto"/>
            <w:noWrap/>
            <w:vAlign w:val="center"/>
          </w:tcPr>
          <w:p w14:paraId="67A58AD9" w14:textId="35FD7374" w:rsidR="00ED1058" w:rsidRPr="00424424" w:rsidRDefault="00ED1058" w:rsidP="004D3235">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 xml:space="preserve">     EWGSOP2</w:t>
            </w:r>
          </w:p>
        </w:tc>
        <w:tc>
          <w:tcPr>
            <w:tcW w:w="1701" w:type="dxa"/>
            <w:gridSpan w:val="2"/>
            <w:tcBorders>
              <w:top w:val="nil"/>
              <w:left w:val="nil"/>
              <w:bottom w:val="nil"/>
              <w:right w:val="nil"/>
            </w:tcBorders>
            <w:shd w:val="clear" w:color="auto" w:fill="auto"/>
            <w:vAlign w:val="center"/>
          </w:tcPr>
          <w:p w14:paraId="54CCA097" w14:textId="610DB8DB" w:rsidR="00ED1058" w:rsidRPr="00424424" w:rsidRDefault="00ED1058" w:rsidP="004D3235">
            <w:pPr>
              <w:spacing w:after="0" w:line="240" w:lineRule="auto"/>
              <w:rPr>
                <w:rFonts w:ascii="Arial" w:hAnsi="Arial" w:cs="Arial"/>
                <w:color w:val="000000"/>
                <w:sz w:val="20"/>
                <w:szCs w:val="20"/>
              </w:rPr>
            </w:pPr>
            <w:r w:rsidRPr="00424424">
              <w:rPr>
                <w:rFonts w:ascii="Arial" w:hAnsi="Arial" w:cs="Arial"/>
                <w:color w:val="000000"/>
                <w:sz w:val="20"/>
                <w:szCs w:val="20"/>
              </w:rPr>
              <w:t>505 (5.5%)</w:t>
            </w:r>
          </w:p>
        </w:tc>
        <w:tc>
          <w:tcPr>
            <w:tcW w:w="1559" w:type="dxa"/>
            <w:tcBorders>
              <w:top w:val="nil"/>
              <w:left w:val="nil"/>
              <w:bottom w:val="nil"/>
              <w:right w:val="nil"/>
            </w:tcBorders>
            <w:shd w:val="clear" w:color="auto" w:fill="auto"/>
            <w:noWrap/>
            <w:vAlign w:val="center"/>
          </w:tcPr>
          <w:p w14:paraId="4939A110" w14:textId="66798319" w:rsidR="00ED1058" w:rsidRPr="00424424" w:rsidRDefault="00ED1058" w:rsidP="004D3235">
            <w:pPr>
              <w:spacing w:after="0" w:line="240" w:lineRule="auto"/>
              <w:rPr>
                <w:rFonts w:ascii="Arial" w:hAnsi="Arial" w:cs="Arial"/>
                <w:color w:val="000000"/>
                <w:sz w:val="20"/>
                <w:szCs w:val="20"/>
              </w:rPr>
            </w:pPr>
            <w:r w:rsidRPr="00424424">
              <w:rPr>
                <w:rFonts w:ascii="Arial" w:hAnsi="Arial" w:cs="Arial"/>
                <w:color w:val="000000"/>
                <w:sz w:val="20"/>
                <w:szCs w:val="20"/>
              </w:rPr>
              <w:t>73 (8.0%)</w:t>
            </w:r>
          </w:p>
        </w:tc>
        <w:tc>
          <w:tcPr>
            <w:tcW w:w="1701" w:type="dxa"/>
            <w:gridSpan w:val="2"/>
            <w:tcBorders>
              <w:top w:val="nil"/>
              <w:left w:val="nil"/>
              <w:bottom w:val="nil"/>
              <w:right w:val="nil"/>
            </w:tcBorders>
            <w:shd w:val="clear" w:color="auto" w:fill="auto"/>
            <w:noWrap/>
            <w:vAlign w:val="center"/>
          </w:tcPr>
          <w:p w14:paraId="42E4C558" w14:textId="5EA7323E" w:rsidR="00ED1058" w:rsidRPr="00424424" w:rsidRDefault="00ED1058" w:rsidP="004D3235">
            <w:pPr>
              <w:spacing w:after="0" w:line="240" w:lineRule="auto"/>
              <w:rPr>
                <w:rFonts w:ascii="Arial" w:hAnsi="Arial" w:cs="Arial"/>
                <w:color w:val="000000"/>
                <w:sz w:val="20"/>
                <w:szCs w:val="20"/>
              </w:rPr>
            </w:pPr>
            <w:r w:rsidRPr="00424424">
              <w:rPr>
                <w:rFonts w:ascii="Arial" w:hAnsi="Arial" w:cs="Arial"/>
                <w:color w:val="000000"/>
                <w:sz w:val="20"/>
                <w:szCs w:val="20"/>
              </w:rPr>
              <w:t>282 (5.6%)</w:t>
            </w:r>
          </w:p>
        </w:tc>
        <w:tc>
          <w:tcPr>
            <w:tcW w:w="1701" w:type="dxa"/>
            <w:gridSpan w:val="2"/>
            <w:tcBorders>
              <w:top w:val="nil"/>
              <w:left w:val="nil"/>
              <w:bottom w:val="nil"/>
              <w:right w:val="nil"/>
            </w:tcBorders>
            <w:shd w:val="clear" w:color="auto" w:fill="auto"/>
            <w:noWrap/>
            <w:vAlign w:val="center"/>
          </w:tcPr>
          <w:p w14:paraId="5D739556" w14:textId="4F3F5E66" w:rsidR="00ED1058" w:rsidRPr="00424424" w:rsidRDefault="00ED1058" w:rsidP="00FB3104">
            <w:pPr>
              <w:spacing w:after="0" w:line="240" w:lineRule="auto"/>
              <w:rPr>
                <w:rFonts w:ascii="Arial" w:hAnsi="Arial" w:cs="Arial"/>
                <w:color w:val="000000"/>
                <w:sz w:val="20"/>
                <w:szCs w:val="20"/>
              </w:rPr>
            </w:pPr>
            <w:r w:rsidRPr="00424424">
              <w:rPr>
                <w:rFonts w:ascii="Arial" w:hAnsi="Arial" w:cs="Arial"/>
                <w:color w:val="000000"/>
                <w:sz w:val="20"/>
                <w:szCs w:val="20"/>
              </w:rPr>
              <w:t>123 (4.3%)</w:t>
            </w:r>
          </w:p>
        </w:tc>
        <w:tc>
          <w:tcPr>
            <w:tcW w:w="1559" w:type="dxa"/>
            <w:gridSpan w:val="3"/>
            <w:tcBorders>
              <w:top w:val="nil"/>
              <w:left w:val="nil"/>
              <w:bottom w:val="nil"/>
              <w:right w:val="nil"/>
            </w:tcBorders>
            <w:shd w:val="clear" w:color="auto" w:fill="auto"/>
            <w:noWrap/>
            <w:vAlign w:val="center"/>
          </w:tcPr>
          <w:p w14:paraId="3634F250" w14:textId="4D153BC8" w:rsidR="00ED1058" w:rsidRPr="00424424" w:rsidRDefault="00ED1058" w:rsidP="00FB3104">
            <w:pPr>
              <w:spacing w:after="0" w:line="240" w:lineRule="auto"/>
              <w:rPr>
                <w:rFonts w:ascii="Arial" w:hAnsi="Arial" w:cs="Arial"/>
                <w:color w:val="000000"/>
                <w:sz w:val="20"/>
                <w:szCs w:val="20"/>
              </w:rPr>
            </w:pPr>
            <w:r w:rsidRPr="00424424">
              <w:rPr>
                <w:rFonts w:ascii="Arial" w:hAnsi="Arial" w:cs="Arial"/>
                <w:color w:val="000000"/>
                <w:sz w:val="20"/>
                <w:szCs w:val="20"/>
              </w:rPr>
              <w:t>5 (3.2%)</w:t>
            </w:r>
          </w:p>
        </w:tc>
        <w:tc>
          <w:tcPr>
            <w:tcW w:w="1418" w:type="dxa"/>
            <w:tcBorders>
              <w:top w:val="nil"/>
              <w:left w:val="nil"/>
              <w:bottom w:val="nil"/>
              <w:right w:val="nil"/>
            </w:tcBorders>
            <w:shd w:val="clear" w:color="auto" w:fill="auto"/>
            <w:vAlign w:val="center"/>
          </w:tcPr>
          <w:p w14:paraId="2840BA62" w14:textId="42A3417F" w:rsidR="00ED1058" w:rsidRPr="00424424" w:rsidRDefault="00ED1058" w:rsidP="00FB3104">
            <w:pPr>
              <w:spacing w:after="0" w:line="240" w:lineRule="auto"/>
              <w:rPr>
                <w:rFonts w:ascii="Arial" w:hAnsi="Arial" w:cs="Arial"/>
                <w:color w:val="000000"/>
                <w:sz w:val="20"/>
                <w:szCs w:val="20"/>
              </w:rPr>
            </w:pPr>
            <w:r w:rsidRPr="00424424">
              <w:rPr>
                <w:rFonts w:ascii="Arial" w:hAnsi="Arial" w:cs="Arial"/>
                <w:color w:val="000000"/>
                <w:sz w:val="20"/>
                <w:szCs w:val="20"/>
              </w:rPr>
              <w:t>22 (11.6%)</w:t>
            </w:r>
          </w:p>
        </w:tc>
      </w:tr>
      <w:tr w:rsidR="00ED1058" w:rsidRPr="00424424" w14:paraId="3D312C8B" w14:textId="77777777" w:rsidTr="004403D7">
        <w:trPr>
          <w:trHeight w:val="280"/>
        </w:trPr>
        <w:tc>
          <w:tcPr>
            <w:tcW w:w="3119" w:type="dxa"/>
            <w:shd w:val="clear" w:color="auto" w:fill="auto"/>
            <w:noWrap/>
            <w:vAlign w:val="center"/>
          </w:tcPr>
          <w:p w14:paraId="348190C2" w14:textId="7BD5EFB4" w:rsidR="00ED1058" w:rsidRPr="00424424" w:rsidRDefault="00ED1058" w:rsidP="004D3235">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 xml:space="preserve">     SDOC</w:t>
            </w:r>
          </w:p>
        </w:tc>
        <w:tc>
          <w:tcPr>
            <w:tcW w:w="1701" w:type="dxa"/>
            <w:gridSpan w:val="2"/>
            <w:tcBorders>
              <w:top w:val="nil"/>
              <w:left w:val="nil"/>
              <w:bottom w:val="nil"/>
              <w:right w:val="nil"/>
            </w:tcBorders>
            <w:shd w:val="clear" w:color="auto" w:fill="auto"/>
            <w:vAlign w:val="center"/>
          </w:tcPr>
          <w:p w14:paraId="699B3678" w14:textId="0C1476D0" w:rsidR="00ED1058" w:rsidRPr="00424424" w:rsidRDefault="00ED1058" w:rsidP="004D3235">
            <w:pPr>
              <w:spacing w:after="0" w:line="240" w:lineRule="auto"/>
              <w:rPr>
                <w:rFonts w:ascii="Arial" w:hAnsi="Arial" w:cs="Arial"/>
                <w:color w:val="000000"/>
                <w:sz w:val="20"/>
                <w:szCs w:val="20"/>
              </w:rPr>
            </w:pPr>
            <w:r w:rsidRPr="00424424">
              <w:rPr>
                <w:rFonts w:ascii="Arial" w:hAnsi="Arial" w:cs="Arial"/>
                <w:color w:val="000000"/>
                <w:sz w:val="20"/>
                <w:szCs w:val="20"/>
              </w:rPr>
              <w:t>487 (5.3%)</w:t>
            </w:r>
          </w:p>
        </w:tc>
        <w:tc>
          <w:tcPr>
            <w:tcW w:w="1559" w:type="dxa"/>
            <w:tcBorders>
              <w:top w:val="nil"/>
              <w:left w:val="nil"/>
              <w:bottom w:val="nil"/>
              <w:right w:val="nil"/>
            </w:tcBorders>
            <w:shd w:val="clear" w:color="auto" w:fill="auto"/>
            <w:noWrap/>
            <w:vAlign w:val="center"/>
          </w:tcPr>
          <w:p w14:paraId="02858B30" w14:textId="081EBC98" w:rsidR="00ED1058" w:rsidRPr="00424424" w:rsidRDefault="00ED1058" w:rsidP="004D3235">
            <w:pPr>
              <w:spacing w:after="0" w:line="240" w:lineRule="auto"/>
              <w:rPr>
                <w:rFonts w:ascii="Arial" w:hAnsi="Arial" w:cs="Arial"/>
                <w:color w:val="000000"/>
                <w:sz w:val="20"/>
                <w:szCs w:val="20"/>
              </w:rPr>
            </w:pPr>
            <w:r w:rsidRPr="00424424">
              <w:rPr>
                <w:rFonts w:ascii="Arial" w:hAnsi="Arial" w:cs="Arial"/>
                <w:color w:val="000000"/>
                <w:sz w:val="20"/>
                <w:szCs w:val="20"/>
              </w:rPr>
              <w:t>28 (3.1%)</w:t>
            </w:r>
          </w:p>
        </w:tc>
        <w:tc>
          <w:tcPr>
            <w:tcW w:w="1701" w:type="dxa"/>
            <w:gridSpan w:val="2"/>
            <w:tcBorders>
              <w:top w:val="nil"/>
              <w:left w:val="nil"/>
              <w:bottom w:val="nil"/>
              <w:right w:val="nil"/>
            </w:tcBorders>
            <w:shd w:val="clear" w:color="auto" w:fill="auto"/>
            <w:noWrap/>
            <w:vAlign w:val="center"/>
          </w:tcPr>
          <w:p w14:paraId="58397200" w14:textId="1E35BB15" w:rsidR="00ED1058" w:rsidRPr="00424424" w:rsidRDefault="00ED1058" w:rsidP="004D3235">
            <w:pPr>
              <w:spacing w:after="0" w:line="240" w:lineRule="auto"/>
              <w:rPr>
                <w:rFonts w:ascii="Arial" w:hAnsi="Arial" w:cs="Arial"/>
                <w:color w:val="000000"/>
                <w:sz w:val="20"/>
                <w:szCs w:val="20"/>
              </w:rPr>
            </w:pPr>
            <w:r w:rsidRPr="00424424">
              <w:rPr>
                <w:rFonts w:ascii="Arial" w:hAnsi="Arial" w:cs="Arial"/>
                <w:color w:val="000000"/>
                <w:sz w:val="20"/>
                <w:szCs w:val="20"/>
              </w:rPr>
              <w:t>283 (5.6%)</w:t>
            </w:r>
          </w:p>
        </w:tc>
        <w:tc>
          <w:tcPr>
            <w:tcW w:w="1701" w:type="dxa"/>
            <w:gridSpan w:val="2"/>
            <w:tcBorders>
              <w:top w:val="nil"/>
              <w:left w:val="nil"/>
              <w:bottom w:val="nil"/>
              <w:right w:val="nil"/>
            </w:tcBorders>
            <w:shd w:val="clear" w:color="auto" w:fill="auto"/>
            <w:noWrap/>
            <w:vAlign w:val="center"/>
          </w:tcPr>
          <w:p w14:paraId="2ED7415F" w14:textId="0E56E063" w:rsidR="00ED1058" w:rsidRPr="00424424" w:rsidRDefault="00ED1058" w:rsidP="00FB3104">
            <w:pPr>
              <w:spacing w:after="0" w:line="240" w:lineRule="auto"/>
              <w:rPr>
                <w:rFonts w:ascii="Arial" w:hAnsi="Arial" w:cs="Arial"/>
                <w:color w:val="000000"/>
                <w:sz w:val="20"/>
                <w:szCs w:val="20"/>
              </w:rPr>
            </w:pPr>
            <w:r w:rsidRPr="00424424">
              <w:rPr>
                <w:rFonts w:ascii="Arial" w:hAnsi="Arial" w:cs="Arial"/>
                <w:color w:val="000000"/>
                <w:sz w:val="20"/>
                <w:szCs w:val="20"/>
              </w:rPr>
              <w:t>88 (3.1%)</w:t>
            </w:r>
          </w:p>
        </w:tc>
        <w:tc>
          <w:tcPr>
            <w:tcW w:w="1559" w:type="dxa"/>
            <w:gridSpan w:val="3"/>
            <w:tcBorders>
              <w:top w:val="nil"/>
              <w:left w:val="nil"/>
              <w:bottom w:val="nil"/>
              <w:right w:val="nil"/>
            </w:tcBorders>
            <w:shd w:val="clear" w:color="auto" w:fill="auto"/>
            <w:noWrap/>
            <w:vAlign w:val="center"/>
          </w:tcPr>
          <w:p w14:paraId="12F39C0D" w14:textId="35EADB94" w:rsidR="00ED1058" w:rsidRPr="00424424" w:rsidRDefault="00ED1058" w:rsidP="00FB3104">
            <w:pPr>
              <w:spacing w:after="0" w:line="240" w:lineRule="auto"/>
              <w:rPr>
                <w:rFonts w:ascii="Arial" w:hAnsi="Arial" w:cs="Arial"/>
                <w:color w:val="000000"/>
                <w:sz w:val="20"/>
                <w:szCs w:val="20"/>
              </w:rPr>
            </w:pPr>
            <w:r w:rsidRPr="00424424">
              <w:rPr>
                <w:rFonts w:ascii="Arial" w:hAnsi="Arial" w:cs="Arial"/>
                <w:color w:val="000000"/>
                <w:sz w:val="20"/>
                <w:szCs w:val="20"/>
              </w:rPr>
              <w:t>52 (33.1%)</w:t>
            </w:r>
          </w:p>
        </w:tc>
        <w:tc>
          <w:tcPr>
            <w:tcW w:w="1418" w:type="dxa"/>
            <w:tcBorders>
              <w:top w:val="nil"/>
              <w:left w:val="nil"/>
              <w:bottom w:val="nil"/>
              <w:right w:val="nil"/>
            </w:tcBorders>
            <w:shd w:val="clear" w:color="auto" w:fill="auto"/>
            <w:vAlign w:val="center"/>
          </w:tcPr>
          <w:p w14:paraId="26B65D97" w14:textId="0DF69DA7" w:rsidR="00ED1058" w:rsidRPr="00424424" w:rsidRDefault="00ED1058" w:rsidP="00FB3104">
            <w:pPr>
              <w:spacing w:after="0" w:line="240" w:lineRule="auto"/>
              <w:rPr>
                <w:rFonts w:ascii="Arial" w:hAnsi="Arial" w:cs="Arial"/>
                <w:color w:val="000000"/>
                <w:sz w:val="20"/>
                <w:szCs w:val="20"/>
              </w:rPr>
            </w:pPr>
            <w:r w:rsidRPr="00424424">
              <w:rPr>
                <w:rFonts w:ascii="Arial" w:hAnsi="Arial" w:cs="Arial"/>
                <w:color w:val="000000"/>
                <w:sz w:val="20"/>
                <w:szCs w:val="20"/>
              </w:rPr>
              <w:t>36 (18.9%)</w:t>
            </w:r>
          </w:p>
        </w:tc>
      </w:tr>
      <w:tr w:rsidR="00FB1957" w:rsidRPr="00424424" w14:paraId="4D6E8BED" w14:textId="213C48D3" w:rsidTr="004403D7">
        <w:trPr>
          <w:trHeight w:val="280"/>
        </w:trPr>
        <w:tc>
          <w:tcPr>
            <w:tcW w:w="3119" w:type="dxa"/>
            <w:shd w:val="clear" w:color="auto" w:fill="auto"/>
            <w:noWrap/>
            <w:vAlign w:val="center"/>
          </w:tcPr>
          <w:p w14:paraId="5EDC3289" w14:textId="77777777" w:rsidR="00FB1957" w:rsidRPr="00424424" w:rsidRDefault="00FB1957" w:rsidP="005B7A6D">
            <w:pPr>
              <w:spacing w:after="0" w:line="240" w:lineRule="auto"/>
              <w:rPr>
                <w:rFonts w:ascii="Arial" w:eastAsia="Times New Roman" w:hAnsi="Arial" w:cs="Arial"/>
                <w:color w:val="000000"/>
                <w:sz w:val="20"/>
                <w:szCs w:val="20"/>
                <w:lang w:eastAsia="en-GB"/>
              </w:rPr>
            </w:pPr>
          </w:p>
        </w:tc>
        <w:tc>
          <w:tcPr>
            <w:tcW w:w="1701" w:type="dxa"/>
            <w:gridSpan w:val="2"/>
            <w:vAlign w:val="center"/>
          </w:tcPr>
          <w:p w14:paraId="6C4B0F89" w14:textId="77777777" w:rsidR="00FB1957" w:rsidRPr="00424424" w:rsidRDefault="00FB1957" w:rsidP="005B7A6D">
            <w:pPr>
              <w:spacing w:after="0" w:line="240" w:lineRule="auto"/>
              <w:rPr>
                <w:rFonts w:ascii="Arial" w:hAnsi="Arial" w:cs="Arial"/>
                <w:color w:val="000000"/>
                <w:sz w:val="20"/>
                <w:szCs w:val="20"/>
              </w:rPr>
            </w:pPr>
          </w:p>
        </w:tc>
        <w:tc>
          <w:tcPr>
            <w:tcW w:w="1559" w:type="dxa"/>
            <w:tcBorders>
              <w:right w:val="nil"/>
            </w:tcBorders>
            <w:shd w:val="clear" w:color="auto" w:fill="auto"/>
            <w:noWrap/>
            <w:vAlign w:val="center"/>
          </w:tcPr>
          <w:p w14:paraId="408B9CD8" w14:textId="065E5762" w:rsidR="00FB1957" w:rsidRPr="00424424" w:rsidRDefault="00FB1957" w:rsidP="005B7A6D">
            <w:pPr>
              <w:spacing w:after="0" w:line="240" w:lineRule="auto"/>
              <w:rPr>
                <w:rFonts w:ascii="Arial" w:hAnsi="Arial" w:cs="Arial"/>
                <w:color w:val="000000"/>
                <w:sz w:val="20"/>
                <w:szCs w:val="20"/>
              </w:rPr>
            </w:pPr>
          </w:p>
        </w:tc>
        <w:tc>
          <w:tcPr>
            <w:tcW w:w="1701" w:type="dxa"/>
            <w:gridSpan w:val="2"/>
            <w:tcBorders>
              <w:left w:val="nil"/>
              <w:right w:val="nil"/>
            </w:tcBorders>
            <w:shd w:val="clear" w:color="auto" w:fill="auto"/>
            <w:noWrap/>
            <w:vAlign w:val="center"/>
          </w:tcPr>
          <w:p w14:paraId="470CD399" w14:textId="77777777" w:rsidR="00FB1957" w:rsidRPr="00424424" w:rsidRDefault="00FB1957" w:rsidP="005B7A6D">
            <w:pPr>
              <w:spacing w:after="0" w:line="240" w:lineRule="auto"/>
              <w:rPr>
                <w:rFonts w:ascii="Arial" w:hAnsi="Arial" w:cs="Arial"/>
                <w:color w:val="000000"/>
                <w:sz w:val="20"/>
                <w:szCs w:val="20"/>
              </w:rPr>
            </w:pPr>
          </w:p>
        </w:tc>
        <w:tc>
          <w:tcPr>
            <w:tcW w:w="1701" w:type="dxa"/>
            <w:gridSpan w:val="2"/>
            <w:tcBorders>
              <w:left w:val="nil"/>
              <w:right w:val="nil"/>
            </w:tcBorders>
            <w:shd w:val="clear" w:color="auto" w:fill="auto"/>
            <w:noWrap/>
            <w:vAlign w:val="center"/>
          </w:tcPr>
          <w:p w14:paraId="521E7936" w14:textId="77777777" w:rsidR="00FB1957" w:rsidRPr="00424424" w:rsidRDefault="00FB1957" w:rsidP="005B7A6D">
            <w:pPr>
              <w:spacing w:after="0" w:line="240" w:lineRule="auto"/>
              <w:rPr>
                <w:rFonts w:ascii="Arial" w:hAnsi="Arial" w:cs="Arial"/>
                <w:color w:val="000000"/>
                <w:sz w:val="20"/>
                <w:szCs w:val="20"/>
              </w:rPr>
            </w:pPr>
          </w:p>
        </w:tc>
        <w:tc>
          <w:tcPr>
            <w:tcW w:w="1559" w:type="dxa"/>
            <w:gridSpan w:val="3"/>
            <w:tcBorders>
              <w:left w:val="nil"/>
              <w:right w:val="nil"/>
            </w:tcBorders>
            <w:shd w:val="clear" w:color="auto" w:fill="auto"/>
            <w:noWrap/>
            <w:vAlign w:val="center"/>
          </w:tcPr>
          <w:p w14:paraId="761CE448" w14:textId="77777777" w:rsidR="00FB1957" w:rsidRPr="00424424" w:rsidRDefault="00FB1957" w:rsidP="005B7A6D">
            <w:pPr>
              <w:spacing w:after="0" w:line="240" w:lineRule="auto"/>
              <w:rPr>
                <w:rFonts w:ascii="Arial" w:hAnsi="Arial" w:cs="Arial"/>
                <w:color w:val="000000"/>
                <w:sz w:val="20"/>
                <w:szCs w:val="20"/>
              </w:rPr>
            </w:pPr>
          </w:p>
        </w:tc>
        <w:tc>
          <w:tcPr>
            <w:tcW w:w="1418" w:type="dxa"/>
            <w:tcBorders>
              <w:left w:val="nil"/>
              <w:right w:val="nil"/>
            </w:tcBorders>
            <w:vAlign w:val="center"/>
          </w:tcPr>
          <w:p w14:paraId="20C28B37" w14:textId="77777777" w:rsidR="00FB1957" w:rsidRPr="00424424" w:rsidRDefault="00FB1957" w:rsidP="005B7A6D">
            <w:pPr>
              <w:spacing w:after="0" w:line="240" w:lineRule="auto"/>
              <w:rPr>
                <w:rFonts w:ascii="Arial" w:hAnsi="Arial" w:cs="Arial"/>
                <w:color w:val="000000"/>
                <w:sz w:val="20"/>
                <w:szCs w:val="20"/>
              </w:rPr>
            </w:pPr>
          </w:p>
        </w:tc>
      </w:tr>
      <w:tr w:rsidR="005B7A6D" w:rsidRPr="00424424" w14:paraId="2A947F9B" w14:textId="6263782C" w:rsidTr="004403D7">
        <w:trPr>
          <w:trHeight w:val="280"/>
        </w:trPr>
        <w:tc>
          <w:tcPr>
            <w:tcW w:w="3119" w:type="dxa"/>
            <w:shd w:val="clear" w:color="auto" w:fill="auto"/>
            <w:noWrap/>
            <w:vAlign w:val="center"/>
          </w:tcPr>
          <w:p w14:paraId="348CDC24" w14:textId="23CE1AFD"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Died during follow-up</w:t>
            </w:r>
          </w:p>
        </w:tc>
        <w:tc>
          <w:tcPr>
            <w:tcW w:w="1701" w:type="dxa"/>
            <w:gridSpan w:val="2"/>
            <w:vAlign w:val="center"/>
          </w:tcPr>
          <w:p w14:paraId="0D4D2F2E" w14:textId="56ADAF5D" w:rsidR="005B7A6D" w:rsidRPr="00424424" w:rsidRDefault="005B7A6D" w:rsidP="005B7A6D">
            <w:pPr>
              <w:spacing w:after="0" w:line="240" w:lineRule="auto"/>
              <w:rPr>
                <w:rFonts w:ascii="Arial" w:hAnsi="Arial" w:cs="Arial"/>
                <w:bCs/>
                <w:kern w:val="24"/>
                <w:sz w:val="20"/>
                <w:szCs w:val="20"/>
              </w:rPr>
            </w:pPr>
            <w:r w:rsidRPr="00424424">
              <w:rPr>
                <w:rFonts w:ascii="Arial" w:hAnsi="Arial" w:cs="Arial"/>
                <w:color w:val="000000"/>
                <w:sz w:val="20"/>
                <w:szCs w:val="20"/>
              </w:rPr>
              <w:t>5929 (64.7%)</w:t>
            </w:r>
          </w:p>
        </w:tc>
        <w:tc>
          <w:tcPr>
            <w:tcW w:w="1559" w:type="dxa"/>
            <w:shd w:val="clear" w:color="auto" w:fill="auto"/>
            <w:noWrap/>
            <w:vAlign w:val="center"/>
          </w:tcPr>
          <w:p w14:paraId="1AE62407" w14:textId="47587705" w:rsidR="005B7A6D" w:rsidRPr="00424424" w:rsidRDefault="005B7A6D" w:rsidP="005B7A6D">
            <w:pPr>
              <w:spacing w:after="0" w:line="240" w:lineRule="auto"/>
              <w:rPr>
                <w:rFonts w:ascii="Arial" w:hAnsi="Arial" w:cs="Arial"/>
                <w:sz w:val="20"/>
                <w:szCs w:val="20"/>
              </w:rPr>
            </w:pPr>
            <w:r w:rsidRPr="00424424">
              <w:rPr>
                <w:rFonts w:ascii="Arial" w:hAnsi="Arial" w:cs="Arial"/>
                <w:color w:val="000000"/>
                <w:sz w:val="20"/>
                <w:szCs w:val="20"/>
              </w:rPr>
              <w:t>627 (69.1%)</w:t>
            </w:r>
          </w:p>
        </w:tc>
        <w:tc>
          <w:tcPr>
            <w:tcW w:w="1701" w:type="dxa"/>
            <w:gridSpan w:val="2"/>
            <w:shd w:val="clear" w:color="auto" w:fill="auto"/>
            <w:noWrap/>
            <w:vAlign w:val="center"/>
          </w:tcPr>
          <w:p w14:paraId="0A00D6F2" w14:textId="1316EBF2" w:rsidR="005B7A6D" w:rsidRPr="00424424" w:rsidRDefault="005B7A6D" w:rsidP="005B7A6D">
            <w:pPr>
              <w:spacing w:after="0" w:line="240" w:lineRule="auto"/>
              <w:rPr>
                <w:rFonts w:ascii="Arial" w:hAnsi="Arial" w:cs="Arial"/>
                <w:sz w:val="20"/>
                <w:szCs w:val="20"/>
              </w:rPr>
            </w:pPr>
            <w:r w:rsidRPr="00424424">
              <w:rPr>
                <w:rFonts w:ascii="Arial" w:hAnsi="Arial" w:cs="Arial"/>
                <w:color w:val="000000"/>
                <w:sz w:val="20"/>
                <w:szCs w:val="20"/>
              </w:rPr>
              <w:t>3255 (64.3%)</w:t>
            </w:r>
          </w:p>
        </w:tc>
        <w:tc>
          <w:tcPr>
            <w:tcW w:w="1701" w:type="dxa"/>
            <w:gridSpan w:val="2"/>
            <w:shd w:val="clear" w:color="auto" w:fill="auto"/>
            <w:noWrap/>
            <w:vAlign w:val="center"/>
          </w:tcPr>
          <w:p w14:paraId="5D42B071" w14:textId="7E85C691" w:rsidR="005B7A6D" w:rsidRPr="00424424" w:rsidRDefault="005B7A6D" w:rsidP="005B7A6D">
            <w:pPr>
              <w:spacing w:after="0" w:line="240" w:lineRule="auto"/>
              <w:rPr>
                <w:rFonts w:ascii="Arial" w:hAnsi="Arial" w:cs="Arial"/>
                <w:sz w:val="20"/>
                <w:szCs w:val="20"/>
              </w:rPr>
            </w:pPr>
            <w:r w:rsidRPr="00424424">
              <w:rPr>
                <w:rFonts w:ascii="Arial" w:hAnsi="Arial" w:cs="Arial"/>
                <w:color w:val="000000"/>
                <w:sz w:val="20"/>
                <w:szCs w:val="20"/>
              </w:rPr>
              <w:t>1973 (69.2%)</w:t>
            </w:r>
          </w:p>
        </w:tc>
        <w:tc>
          <w:tcPr>
            <w:tcW w:w="1559" w:type="dxa"/>
            <w:gridSpan w:val="3"/>
            <w:shd w:val="clear" w:color="auto" w:fill="auto"/>
            <w:noWrap/>
            <w:vAlign w:val="center"/>
          </w:tcPr>
          <w:p w14:paraId="6277D789" w14:textId="6F9C3424" w:rsidR="005B7A6D" w:rsidRPr="00424424" w:rsidRDefault="005B7A6D" w:rsidP="005B7A6D">
            <w:pPr>
              <w:spacing w:after="0" w:line="240" w:lineRule="auto"/>
              <w:rPr>
                <w:rFonts w:ascii="Arial" w:hAnsi="Arial" w:cs="Arial"/>
                <w:sz w:val="20"/>
                <w:szCs w:val="20"/>
              </w:rPr>
            </w:pPr>
            <w:r w:rsidRPr="00424424">
              <w:rPr>
                <w:rFonts w:ascii="Arial" w:hAnsi="Arial" w:cs="Arial"/>
                <w:color w:val="000000"/>
                <w:sz w:val="20"/>
                <w:szCs w:val="20"/>
              </w:rPr>
              <w:t>28 (17.8%)</w:t>
            </w:r>
          </w:p>
        </w:tc>
        <w:tc>
          <w:tcPr>
            <w:tcW w:w="1418" w:type="dxa"/>
            <w:vAlign w:val="center"/>
          </w:tcPr>
          <w:p w14:paraId="1D061CDC" w14:textId="6B93A37D" w:rsidR="005B7A6D" w:rsidRPr="00424424" w:rsidRDefault="005B7A6D" w:rsidP="005B7A6D">
            <w:pPr>
              <w:spacing w:after="0" w:line="240" w:lineRule="auto"/>
              <w:rPr>
                <w:rFonts w:ascii="Arial" w:hAnsi="Arial" w:cs="Arial"/>
                <w:bCs/>
                <w:kern w:val="24"/>
                <w:sz w:val="20"/>
                <w:szCs w:val="20"/>
              </w:rPr>
            </w:pPr>
            <w:r w:rsidRPr="00424424">
              <w:rPr>
                <w:rFonts w:ascii="Arial" w:hAnsi="Arial" w:cs="Arial"/>
                <w:color w:val="000000"/>
                <w:sz w:val="20"/>
                <w:szCs w:val="20"/>
              </w:rPr>
              <w:t>46 (24.2%)</w:t>
            </w:r>
          </w:p>
        </w:tc>
      </w:tr>
      <w:tr w:rsidR="005B7A6D" w:rsidRPr="00424424" w14:paraId="4C42600D" w14:textId="0E8DD47B" w:rsidTr="004403D7">
        <w:trPr>
          <w:trHeight w:val="280"/>
        </w:trPr>
        <w:tc>
          <w:tcPr>
            <w:tcW w:w="3119" w:type="dxa"/>
            <w:tcBorders>
              <w:left w:val="nil"/>
              <w:bottom w:val="single" w:sz="4" w:space="0" w:color="auto"/>
            </w:tcBorders>
            <w:shd w:val="clear" w:color="auto" w:fill="auto"/>
            <w:noWrap/>
            <w:vAlign w:val="center"/>
            <w:hideMark/>
          </w:tcPr>
          <w:p w14:paraId="6DE90085" w14:textId="1B9F2BE8" w:rsidR="005B7A6D" w:rsidRPr="00424424" w:rsidRDefault="005B7A6D" w:rsidP="005B7A6D">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Follow-up time (years)</w:t>
            </w:r>
          </w:p>
        </w:tc>
        <w:tc>
          <w:tcPr>
            <w:tcW w:w="1701" w:type="dxa"/>
            <w:gridSpan w:val="2"/>
            <w:tcBorders>
              <w:bottom w:val="single" w:sz="4" w:space="0" w:color="auto"/>
            </w:tcBorders>
            <w:vAlign w:val="center"/>
          </w:tcPr>
          <w:p w14:paraId="58F237E4" w14:textId="3AC40FFE" w:rsidR="005B7A6D" w:rsidRPr="00424424" w:rsidRDefault="005B7A6D" w:rsidP="005B7A6D">
            <w:pPr>
              <w:spacing w:after="0" w:line="240" w:lineRule="auto"/>
              <w:rPr>
                <w:rFonts w:ascii="Arial" w:hAnsi="Arial" w:cs="Arial"/>
                <w:bCs/>
                <w:kern w:val="24"/>
                <w:sz w:val="20"/>
                <w:szCs w:val="20"/>
              </w:rPr>
            </w:pPr>
            <w:r w:rsidRPr="00424424">
              <w:rPr>
                <w:rFonts w:ascii="Arial" w:hAnsi="Arial" w:cs="Arial"/>
                <w:color w:val="000000"/>
                <w:sz w:val="20"/>
                <w:szCs w:val="20"/>
              </w:rPr>
              <w:t>12.1 (5.5)</w:t>
            </w:r>
          </w:p>
        </w:tc>
        <w:tc>
          <w:tcPr>
            <w:tcW w:w="1559" w:type="dxa"/>
            <w:tcBorders>
              <w:bottom w:val="single" w:sz="4" w:space="0" w:color="auto"/>
            </w:tcBorders>
            <w:shd w:val="clear" w:color="auto" w:fill="auto"/>
            <w:noWrap/>
            <w:vAlign w:val="center"/>
            <w:hideMark/>
          </w:tcPr>
          <w:p w14:paraId="1EC5D293" w14:textId="1E661DAF" w:rsidR="005B7A6D" w:rsidRPr="00424424" w:rsidRDefault="005B7A6D" w:rsidP="005B7A6D">
            <w:pPr>
              <w:spacing w:after="0" w:line="240" w:lineRule="auto"/>
              <w:rPr>
                <w:rFonts w:ascii="Arial" w:eastAsia="Times New Roman" w:hAnsi="Arial" w:cs="Arial"/>
                <w:sz w:val="20"/>
                <w:szCs w:val="20"/>
                <w:lang w:eastAsia="en-GB"/>
              </w:rPr>
            </w:pPr>
            <w:r w:rsidRPr="00424424">
              <w:rPr>
                <w:rFonts w:ascii="Arial" w:hAnsi="Arial" w:cs="Arial"/>
                <w:color w:val="000000"/>
                <w:sz w:val="20"/>
                <w:szCs w:val="20"/>
              </w:rPr>
              <w:t>11.6 (4.9)</w:t>
            </w:r>
          </w:p>
        </w:tc>
        <w:tc>
          <w:tcPr>
            <w:tcW w:w="1701" w:type="dxa"/>
            <w:gridSpan w:val="2"/>
            <w:tcBorders>
              <w:bottom w:val="single" w:sz="4" w:space="0" w:color="auto"/>
            </w:tcBorders>
            <w:shd w:val="clear" w:color="auto" w:fill="auto"/>
            <w:noWrap/>
            <w:vAlign w:val="center"/>
            <w:hideMark/>
          </w:tcPr>
          <w:p w14:paraId="262C0661" w14:textId="27ED54BF" w:rsidR="005B7A6D" w:rsidRPr="00424424" w:rsidRDefault="005B7A6D" w:rsidP="005B7A6D">
            <w:pPr>
              <w:spacing w:after="0" w:line="240" w:lineRule="auto"/>
              <w:rPr>
                <w:rFonts w:ascii="Arial" w:eastAsia="Times New Roman" w:hAnsi="Arial" w:cs="Arial"/>
                <w:sz w:val="20"/>
                <w:szCs w:val="20"/>
                <w:lang w:eastAsia="en-GB"/>
              </w:rPr>
            </w:pPr>
            <w:r w:rsidRPr="00424424">
              <w:rPr>
                <w:rFonts w:ascii="Arial" w:hAnsi="Arial" w:cs="Arial"/>
                <w:color w:val="000000"/>
                <w:sz w:val="20"/>
                <w:szCs w:val="20"/>
              </w:rPr>
              <w:t>13.0 (5.7)</w:t>
            </w:r>
          </w:p>
        </w:tc>
        <w:tc>
          <w:tcPr>
            <w:tcW w:w="1701" w:type="dxa"/>
            <w:gridSpan w:val="2"/>
            <w:tcBorders>
              <w:bottom w:val="single" w:sz="4" w:space="0" w:color="auto"/>
            </w:tcBorders>
            <w:shd w:val="clear" w:color="auto" w:fill="auto"/>
            <w:noWrap/>
            <w:vAlign w:val="center"/>
            <w:hideMark/>
          </w:tcPr>
          <w:p w14:paraId="01FD7AD4" w14:textId="581C496E" w:rsidR="005B7A6D" w:rsidRPr="00424424" w:rsidRDefault="005B7A6D" w:rsidP="005B7A6D">
            <w:pPr>
              <w:spacing w:after="0" w:line="240" w:lineRule="auto"/>
              <w:rPr>
                <w:rFonts w:ascii="Arial" w:eastAsia="Times New Roman" w:hAnsi="Arial" w:cs="Arial"/>
                <w:sz w:val="20"/>
                <w:szCs w:val="20"/>
                <w:lang w:eastAsia="en-GB"/>
              </w:rPr>
            </w:pPr>
            <w:r w:rsidRPr="00424424">
              <w:rPr>
                <w:rFonts w:ascii="Arial" w:hAnsi="Arial" w:cs="Arial"/>
                <w:color w:val="000000"/>
                <w:sz w:val="20"/>
                <w:szCs w:val="20"/>
              </w:rPr>
              <w:t>11.4 (4.8)</w:t>
            </w:r>
          </w:p>
        </w:tc>
        <w:tc>
          <w:tcPr>
            <w:tcW w:w="1559" w:type="dxa"/>
            <w:gridSpan w:val="3"/>
            <w:tcBorders>
              <w:bottom w:val="single" w:sz="4" w:space="0" w:color="auto"/>
            </w:tcBorders>
            <w:shd w:val="clear" w:color="auto" w:fill="auto"/>
            <w:noWrap/>
            <w:vAlign w:val="center"/>
            <w:hideMark/>
          </w:tcPr>
          <w:p w14:paraId="745DC458" w14:textId="57DC0D03" w:rsidR="005B7A6D" w:rsidRPr="00424424" w:rsidRDefault="005B7A6D" w:rsidP="005B7A6D">
            <w:pPr>
              <w:spacing w:after="0" w:line="240" w:lineRule="auto"/>
              <w:rPr>
                <w:rFonts w:ascii="Arial" w:eastAsia="Times New Roman" w:hAnsi="Arial" w:cs="Arial"/>
                <w:sz w:val="20"/>
                <w:szCs w:val="20"/>
                <w:lang w:eastAsia="en-GB"/>
              </w:rPr>
            </w:pPr>
            <w:r w:rsidRPr="00424424">
              <w:rPr>
                <w:rFonts w:ascii="Arial" w:hAnsi="Arial" w:cs="Arial"/>
                <w:color w:val="000000"/>
                <w:sz w:val="20"/>
                <w:szCs w:val="20"/>
              </w:rPr>
              <w:t>6.4 (1.2)</w:t>
            </w:r>
          </w:p>
        </w:tc>
        <w:tc>
          <w:tcPr>
            <w:tcW w:w="1418" w:type="dxa"/>
            <w:tcBorders>
              <w:bottom w:val="single" w:sz="4" w:space="0" w:color="auto"/>
            </w:tcBorders>
            <w:vAlign w:val="center"/>
          </w:tcPr>
          <w:p w14:paraId="721D1AC4" w14:textId="0F165155" w:rsidR="005B7A6D" w:rsidRPr="00424424" w:rsidRDefault="005B7A6D" w:rsidP="005B7A6D">
            <w:pPr>
              <w:spacing w:after="0" w:line="240" w:lineRule="auto"/>
              <w:rPr>
                <w:rFonts w:ascii="Arial" w:hAnsi="Arial" w:cs="Arial"/>
                <w:kern w:val="24"/>
                <w:sz w:val="20"/>
                <w:szCs w:val="20"/>
              </w:rPr>
            </w:pPr>
            <w:r w:rsidRPr="00424424">
              <w:rPr>
                <w:rFonts w:ascii="Arial" w:hAnsi="Arial" w:cs="Arial"/>
                <w:color w:val="000000"/>
                <w:sz w:val="20"/>
                <w:szCs w:val="20"/>
              </w:rPr>
              <w:t>4.4 (1.1)</w:t>
            </w:r>
          </w:p>
        </w:tc>
      </w:tr>
      <w:tr w:rsidR="00FB1957" w:rsidRPr="00424424" w14:paraId="5F9803C6" w14:textId="41102352" w:rsidTr="004403D7">
        <w:trPr>
          <w:trHeight w:val="766"/>
        </w:trPr>
        <w:tc>
          <w:tcPr>
            <w:tcW w:w="12758" w:type="dxa"/>
            <w:gridSpan w:val="12"/>
            <w:tcBorders>
              <w:left w:val="nil"/>
              <w:bottom w:val="nil"/>
              <w:right w:val="nil"/>
            </w:tcBorders>
          </w:tcPr>
          <w:p w14:paraId="1B6722EF" w14:textId="77777777" w:rsidR="004A3D96" w:rsidRPr="00424424" w:rsidRDefault="004A3D96" w:rsidP="0056596E">
            <w:pPr>
              <w:spacing w:after="0" w:line="240" w:lineRule="auto"/>
              <w:rPr>
                <w:rFonts w:ascii="Arial" w:eastAsia="Times New Roman" w:hAnsi="Arial" w:cs="Arial"/>
                <w:color w:val="000000"/>
                <w:sz w:val="20"/>
                <w:szCs w:val="20"/>
                <w:lang w:eastAsia="en-GB"/>
              </w:rPr>
            </w:pPr>
            <w:bookmarkStart w:id="20" w:name="_Hlk106719251"/>
          </w:p>
          <w:p w14:paraId="2327E8DE" w14:textId="7528BD24" w:rsidR="00FB1957" w:rsidRPr="00424424" w:rsidRDefault="00FB1957" w:rsidP="0056596E">
            <w:pPr>
              <w:spacing w:after="0" w:line="240" w:lineRule="auto"/>
              <w:rPr>
                <w:rFonts w:ascii="Arial" w:eastAsia="Times New Roman" w:hAnsi="Arial" w:cs="Arial"/>
                <w:sz w:val="20"/>
                <w:szCs w:val="20"/>
                <w:lang w:eastAsia="en-GB"/>
              </w:rPr>
            </w:pPr>
            <w:r w:rsidRPr="00424424">
              <w:rPr>
                <w:rFonts w:ascii="Arial" w:eastAsia="Times New Roman" w:hAnsi="Arial" w:cs="Arial"/>
                <w:color w:val="000000"/>
                <w:sz w:val="20"/>
                <w:szCs w:val="20"/>
                <w:lang w:eastAsia="en-GB"/>
              </w:rPr>
              <w:t>Health ABC: Health, Aging and Body Composition Study</w:t>
            </w:r>
            <w:r w:rsidR="00957E2E" w:rsidRPr="00424424">
              <w:rPr>
                <w:rFonts w:ascii="Arial" w:eastAsia="Times New Roman" w:hAnsi="Arial" w:cs="Arial"/>
                <w:color w:val="000000"/>
                <w:sz w:val="20"/>
                <w:szCs w:val="20"/>
                <w:lang w:eastAsia="en-GB"/>
              </w:rPr>
              <w:t>; MrOS: Osteoporotic Fractures in Men Study; HCS: Hertfordshire Cohort Study; SarcoPhAge: Sarcopenia and Physical impairment with advancing Age Study</w:t>
            </w:r>
          </w:p>
        </w:tc>
      </w:tr>
      <w:tr w:rsidR="00FB1957" w:rsidRPr="00424424" w14:paraId="28A34DCD" w14:textId="64290005" w:rsidTr="004403D7">
        <w:trPr>
          <w:trHeight w:val="283"/>
        </w:trPr>
        <w:tc>
          <w:tcPr>
            <w:tcW w:w="12758" w:type="dxa"/>
            <w:gridSpan w:val="12"/>
            <w:tcBorders>
              <w:top w:val="nil"/>
              <w:left w:val="nil"/>
              <w:bottom w:val="nil"/>
              <w:right w:val="nil"/>
            </w:tcBorders>
          </w:tcPr>
          <w:p w14:paraId="13F2A319" w14:textId="7DEE9873" w:rsidR="00FB1957" w:rsidRPr="00424424" w:rsidRDefault="00FB1957" w:rsidP="0056596E">
            <w:pPr>
              <w:spacing w:after="0" w:line="240" w:lineRule="auto"/>
              <w:rPr>
                <w:rFonts w:ascii="Arial" w:eastAsia="Times New Roman" w:hAnsi="Arial" w:cs="Arial"/>
                <w:sz w:val="20"/>
                <w:szCs w:val="20"/>
                <w:lang w:eastAsia="en-GB"/>
              </w:rPr>
            </w:pPr>
            <w:r w:rsidRPr="00424424">
              <w:rPr>
                <w:rFonts w:ascii="Arial" w:eastAsia="Times New Roman" w:hAnsi="Arial" w:cs="Arial"/>
                <w:color w:val="000000"/>
                <w:sz w:val="20"/>
                <w:szCs w:val="20"/>
                <w:lang w:eastAsia="en-GB"/>
              </w:rPr>
              <w:t>ALM: Appendicular lean mass</w:t>
            </w:r>
          </w:p>
        </w:tc>
      </w:tr>
      <w:tr w:rsidR="00957E2E" w:rsidRPr="00424424" w14:paraId="69A877E2" w14:textId="385083C0" w:rsidTr="00D3185F">
        <w:trPr>
          <w:trHeight w:val="283"/>
        </w:trPr>
        <w:tc>
          <w:tcPr>
            <w:tcW w:w="12758" w:type="dxa"/>
            <w:gridSpan w:val="12"/>
            <w:tcBorders>
              <w:top w:val="nil"/>
              <w:left w:val="nil"/>
              <w:bottom w:val="nil"/>
              <w:right w:val="nil"/>
            </w:tcBorders>
          </w:tcPr>
          <w:p w14:paraId="03DB1D1E" w14:textId="1DC3E543" w:rsidR="00957E2E" w:rsidRPr="00424424" w:rsidRDefault="00957E2E" w:rsidP="0056596E">
            <w:pPr>
              <w:spacing w:after="0" w:line="240" w:lineRule="auto"/>
              <w:rPr>
                <w:rFonts w:ascii="Arial" w:eastAsia="Times New Roman" w:hAnsi="Arial" w:cs="Arial"/>
                <w:sz w:val="20"/>
                <w:szCs w:val="20"/>
                <w:lang w:eastAsia="en-GB"/>
              </w:rPr>
            </w:pPr>
            <w:r w:rsidRPr="00424424">
              <w:rPr>
                <w:rFonts w:ascii="Arial" w:eastAsia="Times New Roman" w:hAnsi="Arial" w:cs="Arial"/>
                <w:sz w:val="20"/>
                <w:szCs w:val="20"/>
                <w:lang w:eastAsia="en-GB"/>
              </w:rPr>
              <w:t>EWGSOP2: 2019 European Working Group on Sarcopenia in Older People</w:t>
            </w:r>
          </w:p>
        </w:tc>
      </w:tr>
      <w:tr w:rsidR="00FB1957" w:rsidRPr="00424424" w14:paraId="74C7451B" w14:textId="07F8BC80" w:rsidTr="001F2DED">
        <w:trPr>
          <w:trHeight w:val="283"/>
        </w:trPr>
        <w:tc>
          <w:tcPr>
            <w:tcW w:w="12758" w:type="dxa"/>
            <w:gridSpan w:val="12"/>
            <w:tcBorders>
              <w:top w:val="nil"/>
              <w:left w:val="nil"/>
              <w:bottom w:val="nil"/>
            </w:tcBorders>
          </w:tcPr>
          <w:p w14:paraId="6C64419B" w14:textId="3A52C322" w:rsidR="00FB1957" w:rsidRPr="00424424" w:rsidRDefault="00FB1957" w:rsidP="0056596E">
            <w:pPr>
              <w:spacing w:after="0" w:line="240" w:lineRule="auto"/>
              <w:rPr>
                <w:rFonts w:ascii="Arial" w:eastAsia="Times New Roman" w:hAnsi="Arial" w:cs="Arial"/>
                <w:sz w:val="20"/>
                <w:szCs w:val="20"/>
                <w:lang w:eastAsia="en-GB"/>
              </w:rPr>
            </w:pPr>
            <w:r w:rsidRPr="00424424">
              <w:rPr>
                <w:rFonts w:ascii="Arial" w:eastAsia="Times New Roman" w:hAnsi="Arial" w:cs="Arial"/>
                <w:sz w:val="20"/>
                <w:szCs w:val="20"/>
                <w:lang w:eastAsia="en-GB"/>
              </w:rPr>
              <w:t>SDOC: Sarcopenia Definitions and Outcomes Consortium</w:t>
            </w:r>
          </w:p>
        </w:tc>
      </w:tr>
      <w:tr w:rsidR="00957E2E" w:rsidRPr="00424424" w14:paraId="0D04BA49" w14:textId="77777777" w:rsidTr="00BE6133">
        <w:trPr>
          <w:trHeight w:val="283"/>
        </w:trPr>
        <w:tc>
          <w:tcPr>
            <w:tcW w:w="12758" w:type="dxa"/>
            <w:gridSpan w:val="12"/>
            <w:tcBorders>
              <w:top w:val="nil"/>
              <w:left w:val="nil"/>
              <w:bottom w:val="nil"/>
            </w:tcBorders>
          </w:tcPr>
          <w:p w14:paraId="2D28B06B" w14:textId="167DCF69" w:rsidR="00957E2E" w:rsidRPr="00424424" w:rsidRDefault="00957E2E" w:rsidP="0056596E">
            <w:pPr>
              <w:spacing w:after="0" w:line="240" w:lineRule="auto"/>
              <w:rPr>
                <w:rFonts w:ascii="Arial" w:eastAsia="Times New Roman" w:hAnsi="Arial" w:cs="Arial"/>
                <w:sz w:val="20"/>
                <w:szCs w:val="20"/>
                <w:lang w:eastAsia="en-GB"/>
              </w:rPr>
            </w:pPr>
            <w:r w:rsidRPr="00424424">
              <w:rPr>
                <w:rFonts w:ascii="Arial" w:eastAsia="Times New Roman" w:hAnsi="Arial" w:cs="Arial"/>
                <w:sz w:val="20"/>
                <w:szCs w:val="20"/>
                <w:lang w:eastAsia="en-GB"/>
              </w:rPr>
              <w:t>Thresholds for original and modified definitions are presented in Table 1</w:t>
            </w:r>
          </w:p>
        </w:tc>
      </w:tr>
      <w:bookmarkEnd w:id="17"/>
      <w:bookmarkEnd w:id="20"/>
    </w:tbl>
    <w:p w14:paraId="56AB17D5" w14:textId="77777777" w:rsidR="00FB1957" w:rsidRPr="00424424" w:rsidRDefault="00FB1957" w:rsidP="0056596E">
      <w:pPr>
        <w:rPr>
          <w:rFonts w:ascii="Arial" w:hAnsi="Arial" w:cs="Arial"/>
          <w:sz w:val="24"/>
          <w:szCs w:val="24"/>
        </w:rPr>
        <w:sectPr w:rsidR="00FB1957" w:rsidRPr="00424424" w:rsidSect="000C5DA3">
          <w:pgSz w:w="16838" w:h="11906" w:orient="landscape"/>
          <w:pgMar w:top="1440" w:right="1440" w:bottom="1440" w:left="1440" w:header="708" w:footer="708" w:gutter="0"/>
          <w:cols w:space="708"/>
          <w:docGrid w:linePitch="360"/>
        </w:sectPr>
      </w:pPr>
    </w:p>
    <w:p w14:paraId="32EAA826" w14:textId="08AEC166" w:rsidR="0056596E" w:rsidRPr="00424424" w:rsidRDefault="00BC1426" w:rsidP="00796FB1">
      <w:pPr>
        <w:rPr>
          <w:rFonts w:ascii="Arial" w:hAnsi="Arial" w:cs="Arial"/>
          <w:b/>
          <w:noProof/>
          <w:lang w:eastAsia="en-GB"/>
        </w:rPr>
      </w:pPr>
      <w:bookmarkStart w:id="21" w:name="_Hlk109371977"/>
      <w:bookmarkStart w:id="22" w:name="_Hlk96760731"/>
      <w:r w:rsidRPr="00424424">
        <w:rPr>
          <w:rFonts w:ascii="Arial" w:hAnsi="Arial" w:cs="Arial"/>
          <w:b/>
          <w:noProof/>
          <w:lang w:eastAsia="en-GB"/>
        </w:rPr>
        <w:lastRenderedPageBreak/>
        <w:t>Figure 1:</w:t>
      </w:r>
      <w:r w:rsidR="003B0048" w:rsidRPr="00424424">
        <w:rPr>
          <w:rFonts w:ascii="Arial" w:hAnsi="Arial" w:cs="Arial"/>
          <w:b/>
          <w:noProof/>
          <w:lang w:eastAsia="en-GB"/>
        </w:rPr>
        <w:t xml:space="preserve"> </w:t>
      </w:r>
      <w:r w:rsidR="0056596E" w:rsidRPr="00424424">
        <w:rPr>
          <w:rFonts w:ascii="Arial" w:hAnsi="Arial" w:cs="Arial"/>
          <w:bCs/>
          <w:noProof/>
          <w:lang w:eastAsia="en-GB"/>
        </w:rPr>
        <w:t xml:space="preserve">EWGSOP2 and SDOC </w:t>
      </w:r>
      <w:r w:rsidR="00796FB1" w:rsidRPr="00424424">
        <w:rPr>
          <w:rFonts w:ascii="Arial" w:hAnsi="Arial" w:cs="Arial"/>
          <w:bCs/>
          <w:noProof/>
          <w:lang w:eastAsia="en-GB"/>
        </w:rPr>
        <w:t>thresholds</w:t>
      </w:r>
      <w:r w:rsidR="0056596E" w:rsidRPr="00424424">
        <w:rPr>
          <w:rFonts w:ascii="Arial" w:hAnsi="Arial" w:cs="Arial"/>
          <w:bCs/>
          <w:noProof/>
          <w:lang w:eastAsia="en-GB"/>
        </w:rPr>
        <w:t xml:space="preserve"> for components in relation to their distributions among white men</w:t>
      </w:r>
      <w:r w:rsidR="0056596E" w:rsidRPr="00424424">
        <w:rPr>
          <w:rFonts w:ascii="Arial" w:hAnsi="Arial" w:cs="Arial"/>
          <w:b/>
          <w:noProof/>
          <w:lang w:eastAsia="en-GB"/>
        </w:rPr>
        <w:t xml:space="preserve"> </w:t>
      </w:r>
    </w:p>
    <w:bookmarkEnd w:id="21"/>
    <w:p w14:paraId="27774714" w14:textId="3C86C93E" w:rsidR="00227D92" w:rsidRPr="00424424" w:rsidRDefault="003A1161" w:rsidP="00796FB1">
      <w:pPr>
        <w:rPr>
          <w:rFonts w:ascii="Arial" w:hAnsi="Arial" w:cs="Arial"/>
          <w:b/>
          <w:noProof/>
          <w:lang w:eastAsia="en-GB"/>
        </w:rPr>
      </w:pPr>
      <w:r w:rsidRPr="00424424">
        <w:rPr>
          <w:rFonts w:ascii="Arial" w:hAnsi="Arial" w:cs="Arial"/>
          <w:b/>
          <w:noProof/>
          <w:lang w:eastAsia="en-GB"/>
        </w:rPr>
        <w:drawing>
          <wp:inline distT="0" distB="0" distL="0" distR="0" wp14:anchorId="25FF1E79" wp14:editId="08DD022B">
            <wp:extent cx="5684400" cy="41328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4400" cy="4132800"/>
                    </a:xfrm>
                    <a:prstGeom prst="rect">
                      <a:avLst/>
                    </a:prstGeom>
                    <a:noFill/>
                    <a:ln>
                      <a:noFill/>
                    </a:ln>
                  </pic:spPr>
                </pic:pic>
              </a:graphicData>
            </a:graphic>
          </wp:inline>
        </w:drawing>
      </w:r>
    </w:p>
    <w:p w14:paraId="6F418076" w14:textId="77777777" w:rsidR="0056596E" w:rsidRPr="00424424" w:rsidRDefault="0056596E" w:rsidP="00B50E77">
      <w:pPr>
        <w:spacing w:line="240" w:lineRule="auto"/>
        <w:rPr>
          <w:rFonts w:ascii="Arial" w:hAnsi="Arial" w:cs="Arial"/>
          <w:sz w:val="20"/>
          <w:szCs w:val="20"/>
        </w:rPr>
      </w:pPr>
      <w:r w:rsidRPr="00424424">
        <w:rPr>
          <w:rFonts w:ascii="Arial" w:hAnsi="Arial" w:cs="Arial"/>
          <w:sz w:val="20"/>
          <w:szCs w:val="20"/>
        </w:rPr>
        <w:t>ALM: Appendicular lean mass</w:t>
      </w:r>
    </w:p>
    <w:p w14:paraId="3EEA13B9" w14:textId="7F3D2560" w:rsidR="0056596E" w:rsidRPr="00424424" w:rsidRDefault="0056596E" w:rsidP="00B50E77">
      <w:pPr>
        <w:spacing w:line="240" w:lineRule="auto"/>
        <w:rPr>
          <w:rFonts w:ascii="Arial" w:hAnsi="Arial" w:cs="Arial"/>
          <w:sz w:val="20"/>
          <w:szCs w:val="20"/>
        </w:rPr>
      </w:pPr>
      <w:r w:rsidRPr="00424424">
        <w:rPr>
          <w:rFonts w:ascii="Arial" w:hAnsi="Arial" w:cs="Arial"/>
          <w:sz w:val="20"/>
          <w:szCs w:val="20"/>
        </w:rPr>
        <w:t xml:space="preserve">EWGSOP2: </w:t>
      </w:r>
      <w:r w:rsidR="00BD4F6B" w:rsidRPr="00424424">
        <w:rPr>
          <w:rFonts w:ascii="Arial" w:hAnsi="Arial" w:cs="Arial"/>
          <w:sz w:val="20"/>
          <w:szCs w:val="20"/>
        </w:rPr>
        <w:t>2019</w:t>
      </w:r>
      <w:r w:rsidRPr="00424424">
        <w:rPr>
          <w:rFonts w:ascii="Arial" w:hAnsi="Arial" w:cs="Arial"/>
          <w:sz w:val="20"/>
          <w:szCs w:val="20"/>
        </w:rPr>
        <w:t xml:space="preserve"> European Working Group on Sarcopenia in Older People</w:t>
      </w:r>
      <w:r w:rsidRPr="00424424">
        <w:rPr>
          <w:sz w:val="20"/>
          <w:szCs w:val="20"/>
        </w:rPr>
        <w:t xml:space="preserve"> </w:t>
      </w:r>
      <w:r w:rsidRPr="00424424">
        <w:rPr>
          <w:rFonts w:ascii="Arial" w:hAnsi="Arial" w:cs="Arial"/>
          <w:sz w:val="20"/>
          <w:szCs w:val="20"/>
        </w:rPr>
        <w:t>(grip strength &lt;27 kg; ALM index &lt;7.0 kg/m</w:t>
      </w:r>
      <w:r w:rsidRPr="00424424">
        <w:rPr>
          <w:rFonts w:ascii="Arial" w:hAnsi="Arial" w:cs="Arial"/>
          <w:sz w:val="20"/>
          <w:szCs w:val="20"/>
          <w:vertAlign w:val="superscript"/>
        </w:rPr>
        <w:t>2</w:t>
      </w:r>
      <w:r w:rsidRPr="00424424">
        <w:rPr>
          <w:rFonts w:ascii="Arial" w:hAnsi="Arial" w:cs="Arial"/>
          <w:sz w:val="20"/>
          <w:szCs w:val="20"/>
        </w:rPr>
        <w:t>)</w:t>
      </w:r>
    </w:p>
    <w:p w14:paraId="559D9386" w14:textId="77777777" w:rsidR="00796FB1" w:rsidRPr="00424424" w:rsidRDefault="0056596E" w:rsidP="00B50E77">
      <w:pPr>
        <w:spacing w:line="240" w:lineRule="auto"/>
        <w:rPr>
          <w:rFonts w:ascii="Arial" w:hAnsi="Arial" w:cs="Arial"/>
          <w:sz w:val="20"/>
          <w:szCs w:val="20"/>
        </w:rPr>
      </w:pPr>
      <w:r w:rsidRPr="00424424">
        <w:rPr>
          <w:rFonts w:ascii="Arial" w:hAnsi="Arial" w:cs="Arial"/>
          <w:sz w:val="20"/>
          <w:szCs w:val="20"/>
        </w:rPr>
        <w:t>SDOC: Sarcopenia Definitions and Outcomes Consortium (grip strength &lt;35.5 kg; gait speed &lt;0.8 m/s)</w:t>
      </w:r>
    </w:p>
    <w:p w14:paraId="5E8291A8" w14:textId="073B7B7C" w:rsidR="0056596E" w:rsidRPr="00424424" w:rsidRDefault="0056596E" w:rsidP="00B50E77">
      <w:pPr>
        <w:spacing w:line="240" w:lineRule="auto"/>
        <w:rPr>
          <w:rFonts w:ascii="Arial" w:hAnsi="Arial" w:cs="Arial"/>
          <w:sz w:val="20"/>
          <w:szCs w:val="20"/>
        </w:rPr>
      </w:pPr>
      <w:r w:rsidRPr="00424424">
        <w:rPr>
          <w:rFonts w:ascii="Arial" w:hAnsi="Arial" w:cs="Arial"/>
          <w:sz w:val="20"/>
          <w:szCs w:val="20"/>
        </w:rPr>
        <w:t>Darker sha</w:t>
      </w:r>
      <w:r w:rsidR="00935499" w:rsidRPr="00424424">
        <w:rPr>
          <w:rFonts w:ascii="Arial" w:hAnsi="Arial" w:cs="Arial"/>
          <w:sz w:val="20"/>
          <w:szCs w:val="20"/>
        </w:rPr>
        <w:t xml:space="preserve">ding indicates values below the specified </w:t>
      </w:r>
      <w:r w:rsidR="00796FB1" w:rsidRPr="00424424">
        <w:rPr>
          <w:rFonts w:ascii="Arial" w:hAnsi="Arial" w:cs="Arial"/>
          <w:sz w:val="20"/>
          <w:szCs w:val="20"/>
        </w:rPr>
        <w:t>thresholds; the percentage</w:t>
      </w:r>
      <w:r w:rsidR="00047B66" w:rsidRPr="00424424">
        <w:rPr>
          <w:rFonts w:ascii="Arial" w:hAnsi="Arial" w:cs="Arial"/>
          <w:sz w:val="20"/>
          <w:szCs w:val="20"/>
        </w:rPr>
        <w:t>s</w:t>
      </w:r>
      <w:r w:rsidR="00796FB1" w:rsidRPr="00424424">
        <w:rPr>
          <w:rFonts w:ascii="Arial" w:hAnsi="Arial" w:cs="Arial"/>
          <w:sz w:val="20"/>
          <w:szCs w:val="20"/>
        </w:rPr>
        <w:t xml:space="preserve"> below the thresholds </w:t>
      </w:r>
      <w:r w:rsidR="00047B66" w:rsidRPr="00424424">
        <w:rPr>
          <w:rFonts w:ascii="Arial" w:hAnsi="Arial" w:cs="Arial"/>
          <w:sz w:val="20"/>
          <w:szCs w:val="20"/>
        </w:rPr>
        <w:t>are</w:t>
      </w:r>
      <w:r w:rsidR="00796FB1" w:rsidRPr="00424424">
        <w:rPr>
          <w:rFonts w:ascii="Arial" w:hAnsi="Arial" w:cs="Arial"/>
          <w:sz w:val="20"/>
          <w:szCs w:val="20"/>
        </w:rPr>
        <w:t xml:space="preserve"> stated in each graph</w:t>
      </w:r>
    </w:p>
    <w:bookmarkEnd w:id="22"/>
    <w:p w14:paraId="521AB0B9" w14:textId="77777777" w:rsidR="0056596E" w:rsidRPr="00424424" w:rsidRDefault="0056596E" w:rsidP="0056596E">
      <w:pPr>
        <w:spacing w:line="360" w:lineRule="auto"/>
        <w:rPr>
          <w:rFonts w:ascii="Arial" w:hAnsi="Arial" w:cs="Arial"/>
          <w:sz w:val="24"/>
          <w:szCs w:val="24"/>
        </w:rPr>
      </w:pPr>
    </w:p>
    <w:p w14:paraId="64FA891D" w14:textId="77777777" w:rsidR="0056596E" w:rsidRPr="00424424" w:rsidRDefault="0056596E" w:rsidP="0056596E">
      <w:pPr>
        <w:spacing w:line="360" w:lineRule="auto"/>
        <w:rPr>
          <w:rFonts w:ascii="Arial" w:hAnsi="Arial" w:cs="Arial"/>
          <w:sz w:val="24"/>
          <w:szCs w:val="24"/>
        </w:rPr>
      </w:pPr>
    </w:p>
    <w:p w14:paraId="7A6B0A8D" w14:textId="77777777" w:rsidR="0056596E" w:rsidRPr="00424424" w:rsidRDefault="0056596E" w:rsidP="0056596E">
      <w:pPr>
        <w:spacing w:line="360" w:lineRule="auto"/>
        <w:rPr>
          <w:rFonts w:ascii="Arial" w:hAnsi="Arial" w:cs="Arial"/>
          <w:sz w:val="24"/>
          <w:szCs w:val="24"/>
        </w:rPr>
      </w:pPr>
    </w:p>
    <w:p w14:paraId="7780CE70" w14:textId="77777777" w:rsidR="0056596E" w:rsidRPr="00424424" w:rsidRDefault="0056596E" w:rsidP="0056596E">
      <w:pPr>
        <w:spacing w:line="360" w:lineRule="auto"/>
        <w:rPr>
          <w:rFonts w:ascii="Arial" w:hAnsi="Arial" w:cs="Arial"/>
          <w:sz w:val="24"/>
          <w:szCs w:val="24"/>
        </w:rPr>
      </w:pPr>
    </w:p>
    <w:p w14:paraId="509E2230" w14:textId="24F9757A" w:rsidR="00B901A4" w:rsidRPr="00424424" w:rsidRDefault="00B901A4" w:rsidP="00E91148">
      <w:pPr>
        <w:spacing w:after="120" w:line="240" w:lineRule="auto"/>
        <w:rPr>
          <w:rFonts w:ascii="Arial" w:hAnsi="Arial" w:cs="Arial"/>
          <w:sz w:val="24"/>
          <w:szCs w:val="24"/>
        </w:rPr>
      </w:pPr>
      <w:bookmarkStart w:id="23" w:name="_Hlk96760754"/>
    </w:p>
    <w:p w14:paraId="111C9F57" w14:textId="1219942A" w:rsidR="00596B06" w:rsidRPr="00424424" w:rsidRDefault="00596B06" w:rsidP="00E91148">
      <w:pPr>
        <w:spacing w:after="120" w:line="240" w:lineRule="auto"/>
        <w:rPr>
          <w:rFonts w:ascii="Arial" w:hAnsi="Arial" w:cs="Arial"/>
          <w:sz w:val="24"/>
          <w:szCs w:val="24"/>
        </w:rPr>
      </w:pPr>
    </w:p>
    <w:p w14:paraId="7A55D4A3" w14:textId="77777777" w:rsidR="00596B06" w:rsidRPr="00424424" w:rsidRDefault="00596B06" w:rsidP="00E91148">
      <w:pPr>
        <w:spacing w:after="120" w:line="240" w:lineRule="auto"/>
        <w:rPr>
          <w:rFonts w:ascii="Arial" w:hAnsi="Arial" w:cs="Arial"/>
          <w:sz w:val="20"/>
          <w:szCs w:val="20"/>
        </w:rPr>
      </w:pPr>
    </w:p>
    <w:p w14:paraId="3E2844B9" w14:textId="5DFF7C09" w:rsidR="00B901A4" w:rsidRPr="00424424" w:rsidRDefault="00B901A4" w:rsidP="00B901A4">
      <w:pPr>
        <w:spacing w:line="360" w:lineRule="auto"/>
        <w:rPr>
          <w:rFonts w:ascii="Arial" w:hAnsi="Arial" w:cs="Arial"/>
          <w:bCs/>
          <w:noProof/>
        </w:rPr>
      </w:pPr>
      <w:r w:rsidRPr="00424424">
        <w:rPr>
          <w:rFonts w:ascii="Arial" w:hAnsi="Arial" w:cs="Arial"/>
          <w:b/>
          <w:noProof/>
          <w:lang w:eastAsia="en-GB"/>
        </w:rPr>
        <w:lastRenderedPageBreak/>
        <w:t>Figure 2:</w:t>
      </w:r>
      <w:r w:rsidRPr="00424424">
        <w:rPr>
          <w:rFonts w:ascii="Arial" w:hAnsi="Arial" w:cs="Arial"/>
          <w:bCs/>
          <w:noProof/>
          <w:lang w:eastAsia="en-GB"/>
        </w:rPr>
        <w:t xml:space="preserve"> </w:t>
      </w:r>
      <w:r w:rsidRPr="00424424">
        <w:rPr>
          <w:rFonts w:ascii="Arial" w:hAnsi="Arial" w:cs="Arial"/>
          <w:bCs/>
          <w:noProof/>
        </w:rPr>
        <w:t>Prevalence of sarcopenia components and definitions according to age bands among white men</w:t>
      </w:r>
    </w:p>
    <w:p w14:paraId="3F30AE68" w14:textId="3924195E" w:rsidR="00B901A4" w:rsidRPr="00424424" w:rsidRDefault="00C86418" w:rsidP="00596B06">
      <w:pPr>
        <w:spacing w:line="360" w:lineRule="auto"/>
        <w:rPr>
          <w:rFonts w:ascii="Arial" w:hAnsi="Arial" w:cs="Arial"/>
          <w:sz w:val="24"/>
          <w:szCs w:val="24"/>
        </w:rPr>
      </w:pPr>
      <w:r w:rsidRPr="00424424">
        <w:rPr>
          <w:rFonts w:ascii="Arial" w:hAnsi="Arial" w:cs="Arial"/>
          <w:noProof/>
          <w:sz w:val="24"/>
          <w:szCs w:val="24"/>
        </w:rPr>
        <w:drawing>
          <wp:inline distT="0" distB="0" distL="0" distR="0" wp14:anchorId="06F35C8E" wp14:editId="7C5849E2">
            <wp:extent cx="5874639" cy="448286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706"/>
                    <a:stretch/>
                  </pic:blipFill>
                  <pic:spPr bwMode="auto">
                    <a:xfrm>
                      <a:off x="0" y="0"/>
                      <a:ext cx="5875200" cy="4483297"/>
                    </a:xfrm>
                    <a:prstGeom prst="rect">
                      <a:avLst/>
                    </a:prstGeom>
                    <a:noFill/>
                    <a:ln>
                      <a:noFill/>
                    </a:ln>
                    <a:extLst>
                      <a:ext uri="{53640926-AAD7-44D8-BBD7-CCE9431645EC}">
                        <a14:shadowObscured xmlns:a14="http://schemas.microsoft.com/office/drawing/2010/main"/>
                      </a:ext>
                    </a:extLst>
                  </pic:spPr>
                </pic:pic>
              </a:graphicData>
            </a:graphic>
          </wp:inline>
        </w:drawing>
      </w:r>
    </w:p>
    <w:p w14:paraId="499FA6E5" w14:textId="77777777" w:rsidR="00B901A4" w:rsidRPr="00424424" w:rsidRDefault="00B901A4" w:rsidP="00B901A4">
      <w:pPr>
        <w:spacing w:after="120" w:line="240" w:lineRule="auto"/>
        <w:rPr>
          <w:rFonts w:ascii="Arial" w:hAnsi="Arial" w:cs="Arial"/>
          <w:sz w:val="20"/>
          <w:szCs w:val="20"/>
        </w:rPr>
      </w:pPr>
      <w:r w:rsidRPr="00424424">
        <w:rPr>
          <w:rFonts w:ascii="Arial" w:hAnsi="Arial" w:cs="Arial"/>
          <w:sz w:val="20"/>
          <w:szCs w:val="20"/>
        </w:rPr>
        <w:t xml:space="preserve">EWGSOP2: 2019 European Working Group on Sarcopenia in Older People </w:t>
      </w:r>
    </w:p>
    <w:p w14:paraId="0CD2743D" w14:textId="77777777" w:rsidR="00B901A4" w:rsidRPr="00424424" w:rsidRDefault="00B901A4" w:rsidP="00B901A4">
      <w:pPr>
        <w:spacing w:after="120" w:line="240" w:lineRule="auto"/>
        <w:rPr>
          <w:rFonts w:ascii="Arial" w:hAnsi="Arial" w:cs="Arial"/>
          <w:sz w:val="20"/>
          <w:szCs w:val="20"/>
        </w:rPr>
      </w:pPr>
      <w:r w:rsidRPr="00424424">
        <w:rPr>
          <w:rFonts w:ascii="Arial" w:hAnsi="Arial" w:cs="Arial"/>
          <w:sz w:val="20"/>
          <w:szCs w:val="20"/>
        </w:rPr>
        <w:t xml:space="preserve">SDOC: Sarcopenia Definitions and Outcomes Consortium </w:t>
      </w:r>
    </w:p>
    <w:p w14:paraId="483BFD5C" w14:textId="57AEAAC6" w:rsidR="00B901A4" w:rsidRPr="00424424" w:rsidRDefault="00C86418" w:rsidP="00E91148">
      <w:pPr>
        <w:spacing w:after="120" w:line="240" w:lineRule="auto"/>
        <w:rPr>
          <w:rFonts w:ascii="Arial" w:hAnsi="Arial" w:cs="Arial"/>
          <w:sz w:val="20"/>
          <w:szCs w:val="20"/>
        </w:rPr>
      </w:pPr>
      <w:r w:rsidRPr="00424424">
        <w:rPr>
          <w:rFonts w:ascii="Arial" w:hAnsi="Arial" w:cs="Arial"/>
          <w:sz w:val="20"/>
          <w:szCs w:val="20"/>
        </w:rPr>
        <w:t>ALMi: Appendicular lean mass index (kg/m</w:t>
      </w:r>
      <w:r w:rsidRPr="00424424">
        <w:rPr>
          <w:rFonts w:ascii="Arial" w:hAnsi="Arial" w:cs="Arial"/>
          <w:sz w:val="20"/>
          <w:szCs w:val="20"/>
          <w:vertAlign w:val="superscript"/>
        </w:rPr>
        <w:t>2</w:t>
      </w:r>
      <w:r w:rsidRPr="00424424">
        <w:rPr>
          <w:rFonts w:ascii="Arial" w:hAnsi="Arial" w:cs="Arial"/>
          <w:sz w:val="20"/>
          <w:szCs w:val="20"/>
        </w:rPr>
        <w:t>)</w:t>
      </w:r>
    </w:p>
    <w:p w14:paraId="71A02459" w14:textId="0A1887D0" w:rsidR="00B901A4" w:rsidRPr="00424424" w:rsidRDefault="00B901A4" w:rsidP="00E91148">
      <w:pPr>
        <w:spacing w:after="120" w:line="240" w:lineRule="auto"/>
        <w:rPr>
          <w:rFonts w:ascii="Arial" w:hAnsi="Arial" w:cs="Arial"/>
          <w:sz w:val="20"/>
          <w:szCs w:val="20"/>
        </w:rPr>
        <w:sectPr w:rsidR="00B901A4" w:rsidRPr="00424424" w:rsidSect="00FB1957">
          <w:pgSz w:w="11906" w:h="16838"/>
          <w:pgMar w:top="1440" w:right="1440" w:bottom="1440" w:left="1440" w:header="708" w:footer="708" w:gutter="0"/>
          <w:cols w:space="708"/>
          <w:docGrid w:linePitch="360"/>
        </w:sectPr>
      </w:pPr>
    </w:p>
    <w:p w14:paraId="65B5D28C" w14:textId="089C2589" w:rsidR="0017742F" w:rsidRPr="00424424" w:rsidRDefault="0017742F" w:rsidP="0017742F">
      <w:pPr>
        <w:rPr>
          <w:rFonts w:ascii="Arial" w:hAnsi="Arial" w:cs="Arial"/>
          <w:bCs/>
          <w:noProof/>
          <w:lang w:eastAsia="en-GB"/>
        </w:rPr>
      </w:pPr>
      <w:bookmarkStart w:id="24" w:name="_Hlk96760785"/>
      <w:bookmarkEnd w:id="23"/>
      <w:r w:rsidRPr="00424424">
        <w:rPr>
          <w:rFonts w:ascii="Arial" w:hAnsi="Arial" w:cs="Arial"/>
          <w:b/>
          <w:noProof/>
          <w:lang w:eastAsia="en-GB"/>
        </w:rPr>
        <w:lastRenderedPageBreak/>
        <w:t xml:space="preserve">Figure 3: </w:t>
      </w:r>
      <w:r w:rsidRPr="00424424">
        <w:rPr>
          <w:rFonts w:ascii="Arial" w:hAnsi="Arial" w:cs="Arial"/>
          <w:bCs/>
          <w:noProof/>
          <w:lang w:eastAsia="en-GB"/>
        </w:rPr>
        <w:t>Original and modified EWGSOP2 and SDOC components and definitions in relation to risk of mortality among white men</w:t>
      </w:r>
      <w:r w:rsidR="00FD71EB" w:rsidRPr="00424424">
        <w:rPr>
          <w:rFonts w:ascii="Arial" w:hAnsi="Arial" w:cs="Arial"/>
          <w:bCs/>
          <w:noProof/>
          <w:lang w:eastAsia="en-GB"/>
        </w:rPr>
        <w:t xml:space="preserve"> </w:t>
      </w:r>
      <w:r w:rsidR="002C4D40" w:rsidRPr="00424424">
        <w:rPr>
          <w:rFonts w:ascii="Arial" w:hAnsi="Arial" w:cs="Arial"/>
          <w:bCs/>
          <w:noProof/>
          <w:lang w:eastAsia="en-GB"/>
        </w:rPr>
        <w:t>after adjustment for age and weight</w:t>
      </w:r>
    </w:p>
    <w:p w14:paraId="0B5B28AB" w14:textId="60F8A780" w:rsidR="0017742F" w:rsidRPr="00424424" w:rsidRDefault="0059231A" w:rsidP="0017742F">
      <w:pPr>
        <w:rPr>
          <w:rFonts w:ascii="Arial" w:hAnsi="Arial" w:cs="Arial"/>
          <w:b/>
          <w:noProof/>
          <w:color w:val="FF0000"/>
          <w:lang w:eastAsia="en-GB"/>
        </w:rPr>
      </w:pPr>
      <w:r w:rsidRPr="00424424">
        <w:rPr>
          <w:rFonts w:ascii="Arial" w:hAnsi="Arial" w:cs="Arial"/>
          <w:b/>
          <w:noProof/>
          <w:color w:val="FF0000"/>
          <w:lang w:eastAsia="en-GB"/>
        </w:rPr>
        <w:drawing>
          <wp:inline distT="0" distB="0" distL="0" distR="0" wp14:anchorId="666EF3E8" wp14:editId="67DC95AF">
            <wp:extent cx="8602345" cy="381740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255" t="8332" r="2526" b="2072"/>
                    <a:stretch/>
                  </pic:blipFill>
                  <pic:spPr bwMode="auto">
                    <a:xfrm>
                      <a:off x="0" y="0"/>
                      <a:ext cx="8604000" cy="3818139"/>
                    </a:xfrm>
                    <a:prstGeom prst="rect">
                      <a:avLst/>
                    </a:prstGeom>
                    <a:noFill/>
                    <a:ln>
                      <a:noFill/>
                    </a:ln>
                    <a:extLst>
                      <a:ext uri="{53640926-AAD7-44D8-BBD7-CCE9431645EC}">
                        <a14:shadowObscured xmlns:a14="http://schemas.microsoft.com/office/drawing/2010/main"/>
                      </a:ext>
                    </a:extLst>
                  </pic:spPr>
                </pic:pic>
              </a:graphicData>
            </a:graphic>
          </wp:inline>
        </w:drawing>
      </w:r>
    </w:p>
    <w:p w14:paraId="4333D980" w14:textId="77777777" w:rsidR="0017742F" w:rsidRPr="00424424" w:rsidRDefault="0017742F" w:rsidP="0017742F">
      <w:pPr>
        <w:spacing w:after="120" w:line="240" w:lineRule="auto"/>
        <w:rPr>
          <w:rFonts w:ascii="Arial" w:hAnsi="Arial" w:cs="Arial"/>
          <w:sz w:val="20"/>
          <w:szCs w:val="20"/>
        </w:rPr>
      </w:pPr>
      <w:r w:rsidRPr="00424424">
        <w:rPr>
          <w:rFonts w:ascii="Arial" w:hAnsi="Arial" w:cs="Arial"/>
          <w:sz w:val="20"/>
          <w:szCs w:val="20"/>
        </w:rPr>
        <w:t>Health ABC: Health, Aging and Body Composition Study; MrOS: Osteoporotic Fractures in Men Study; HCS: Hertfordshire Cohort Study; SarcoPhAge: Sarcopenia and Physical impairment with advancing Age Study; ALMi: Appendicular lean mass index (kg/m</w:t>
      </w:r>
      <w:r w:rsidRPr="00424424">
        <w:rPr>
          <w:rFonts w:ascii="Arial" w:hAnsi="Arial" w:cs="Arial"/>
          <w:sz w:val="20"/>
          <w:szCs w:val="20"/>
          <w:vertAlign w:val="superscript"/>
        </w:rPr>
        <w:t>2</w:t>
      </w:r>
      <w:r w:rsidRPr="00424424">
        <w:rPr>
          <w:rFonts w:ascii="Arial" w:hAnsi="Arial" w:cs="Arial"/>
          <w:sz w:val="20"/>
          <w:szCs w:val="20"/>
        </w:rPr>
        <w:t xml:space="preserve">); </w:t>
      </w:r>
      <w:r w:rsidRPr="00424424">
        <w:rPr>
          <w:rFonts w:ascii="Arial" w:hAnsi="Arial" w:cs="Arial"/>
          <w:bCs/>
          <w:noProof/>
          <w:sz w:val="20"/>
          <w:szCs w:val="20"/>
          <w:lang w:eastAsia="en-GB"/>
        </w:rPr>
        <w:t>EWGSOP2: 2019 European Working Group on Sarcopenia in Older People; SDOC: Sarcopenia Definitions and Outcomes Consortium</w:t>
      </w:r>
    </w:p>
    <w:p w14:paraId="372BD1E0" w14:textId="77777777" w:rsidR="0017742F" w:rsidRPr="00424424" w:rsidRDefault="0017742F" w:rsidP="0017742F">
      <w:pPr>
        <w:spacing w:after="120" w:line="240" w:lineRule="auto"/>
        <w:rPr>
          <w:rFonts w:ascii="Arial" w:hAnsi="Arial" w:cs="Arial"/>
          <w:sz w:val="20"/>
          <w:szCs w:val="20"/>
        </w:rPr>
      </w:pPr>
      <w:r w:rsidRPr="00424424">
        <w:rPr>
          <w:rFonts w:ascii="Arial" w:hAnsi="Arial" w:cs="Arial"/>
          <w:bCs/>
          <w:noProof/>
          <w:sz w:val="20"/>
          <w:szCs w:val="20"/>
          <w:lang w:eastAsia="en-GB"/>
        </w:rPr>
        <w:t>Estimates are missing for cohorts where no participants had the corresponding sarcopenia definition or component.</w:t>
      </w:r>
    </w:p>
    <w:p w14:paraId="271F5811" w14:textId="55A889A9" w:rsidR="0017742F" w:rsidRPr="00424424" w:rsidRDefault="0017742F" w:rsidP="0017742F">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Original EWGSOP2: grip strength &lt;27 kg and ALM index &lt;7.0 kg/m</w:t>
      </w:r>
      <w:r w:rsidRPr="00424424">
        <w:rPr>
          <w:rFonts w:ascii="Arial" w:hAnsi="Arial" w:cs="Arial"/>
          <w:bCs/>
          <w:noProof/>
          <w:sz w:val="20"/>
          <w:szCs w:val="20"/>
          <w:vertAlign w:val="superscript"/>
          <w:lang w:eastAsia="en-GB"/>
        </w:rPr>
        <w:t>2</w:t>
      </w:r>
      <w:r w:rsidRPr="00424424">
        <w:rPr>
          <w:rFonts w:ascii="Arial" w:hAnsi="Arial" w:cs="Arial"/>
          <w:bCs/>
          <w:noProof/>
          <w:sz w:val="20"/>
          <w:szCs w:val="20"/>
          <w:lang w:eastAsia="en-GB"/>
        </w:rPr>
        <w:t>; Modified EWGSOP2: grip strength &lt;35.5 kg and ALM index &lt;7.0 kg/m</w:t>
      </w:r>
      <w:r w:rsidRPr="00424424">
        <w:rPr>
          <w:rFonts w:ascii="Arial" w:hAnsi="Arial" w:cs="Arial"/>
          <w:bCs/>
          <w:noProof/>
          <w:sz w:val="20"/>
          <w:szCs w:val="20"/>
          <w:vertAlign w:val="superscript"/>
          <w:lang w:eastAsia="en-GB"/>
        </w:rPr>
        <w:t>2</w:t>
      </w:r>
    </w:p>
    <w:p w14:paraId="788247E8" w14:textId="77777777" w:rsidR="0017742F" w:rsidRPr="00424424" w:rsidRDefault="0017742F" w:rsidP="0017742F">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Original SDOC: grip strength &lt;35.5 kg and gait speed &lt;0.8 m/s; Modified SDOC: grip strength &lt;35.5 kg and gait speed &lt;1.0 m/s</w:t>
      </w:r>
    </w:p>
    <w:bookmarkEnd w:id="18"/>
    <w:bookmarkEnd w:id="24"/>
    <w:p w14:paraId="31EF61D8" w14:textId="433A806C" w:rsidR="00452780" w:rsidRPr="00424424" w:rsidRDefault="00452780" w:rsidP="00452780">
      <w:pPr>
        <w:rPr>
          <w:rFonts w:ascii="Arial" w:hAnsi="Arial" w:cs="Arial"/>
          <w:bCs/>
          <w:noProof/>
          <w:lang w:eastAsia="en-GB"/>
        </w:rPr>
      </w:pPr>
      <w:r w:rsidRPr="00424424">
        <w:rPr>
          <w:rFonts w:ascii="Arial" w:hAnsi="Arial" w:cs="Arial"/>
          <w:b/>
          <w:noProof/>
          <w:lang w:eastAsia="en-GB"/>
        </w:rPr>
        <w:lastRenderedPageBreak/>
        <w:t xml:space="preserve">Figure 4: </w:t>
      </w:r>
      <w:r w:rsidRPr="00424424">
        <w:rPr>
          <w:rFonts w:ascii="Arial" w:hAnsi="Arial" w:cs="Arial"/>
          <w:bCs/>
          <w:noProof/>
          <w:lang w:eastAsia="en-GB"/>
        </w:rPr>
        <w:t>Original and modified EWGSOP2 definitions for probable, confirmed and severe sarcopenia in relation to risk of mortality among white men</w:t>
      </w:r>
      <w:r w:rsidR="00FD71EB" w:rsidRPr="00424424">
        <w:rPr>
          <w:rFonts w:ascii="Arial" w:hAnsi="Arial" w:cs="Arial"/>
          <w:bCs/>
          <w:noProof/>
          <w:lang w:eastAsia="en-GB"/>
        </w:rPr>
        <w:t xml:space="preserve"> </w:t>
      </w:r>
      <w:r w:rsidR="002C4D40" w:rsidRPr="00424424">
        <w:rPr>
          <w:rFonts w:ascii="Arial" w:hAnsi="Arial" w:cs="Arial"/>
          <w:bCs/>
          <w:noProof/>
          <w:lang w:eastAsia="en-GB"/>
        </w:rPr>
        <w:t>after adjustment for age and weight</w:t>
      </w:r>
    </w:p>
    <w:p w14:paraId="4789595C" w14:textId="4952FFFB" w:rsidR="00452780" w:rsidRPr="00424424" w:rsidRDefault="00354CD9" w:rsidP="00452780">
      <w:pPr>
        <w:rPr>
          <w:rFonts w:ascii="Arial" w:hAnsi="Arial" w:cs="Arial"/>
          <w:bCs/>
          <w:noProof/>
          <w:lang w:eastAsia="en-GB"/>
        </w:rPr>
      </w:pPr>
      <w:r w:rsidRPr="00354CD9">
        <w:rPr>
          <w:rFonts w:ascii="Arial" w:hAnsi="Arial" w:cs="Arial"/>
          <w:bCs/>
          <w:noProof/>
          <w:lang w:eastAsia="en-GB"/>
        </w:rPr>
        <w:drawing>
          <wp:inline distT="0" distB="0" distL="0" distR="0" wp14:anchorId="19A81987" wp14:editId="2447985D">
            <wp:extent cx="8272800" cy="39348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812" t="7652" r="2571"/>
                    <a:stretch/>
                  </pic:blipFill>
                  <pic:spPr bwMode="auto">
                    <a:xfrm>
                      <a:off x="0" y="0"/>
                      <a:ext cx="8272800" cy="3934800"/>
                    </a:xfrm>
                    <a:prstGeom prst="rect">
                      <a:avLst/>
                    </a:prstGeom>
                    <a:noFill/>
                    <a:ln>
                      <a:noFill/>
                    </a:ln>
                    <a:extLst>
                      <a:ext uri="{53640926-AAD7-44D8-BBD7-CCE9431645EC}">
                        <a14:shadowObscured xmlns:a14="http://schemas.microsoft.com/office/drawing/2010/main"/>
                      </a:ext>
                    </a:extLst>
                  </pic:spPr>
                </pic:pic>
              </a:graphicData>
            </a:graphic>
          </wp:inline>
        </w:drawing>
      </w:r>
    </w:p>
    <w:p w14:paraId="7B35F99B" w14:textId="0B29FF7F" w:rsidR="00452780" w:rsidRPr="00424424" w:rsidRDefault="00452780" w:rsidP="00452780">
      <w:pPr>
        <w:spacing w:after="120" w:line="240" w:lineRule="auto"/>
        <w:rPr>
          <w:rFonts w:ascii="Arial" w:hAnsi="Arial" w:cs="Arial"/>
          <w:sz w:val="20"/>
          <w:szCs w:val="20"/>
        </w:rPr>
      </w:pPr>
      <w:r w:rsidRPr="00424424">
        <w:rPr>
          <w:rFonts w:ascii="Arial" w:hAnsi="Arial" w:cs="Arial"/>
          <w:sz w:val="20"/>
          <w:szCs w:val="20"/>
        </w:rPr>
        <w:t>Health ABC: Health, Aging and Body Composition Study; MrOS: Osteoporotic Fractures in Men Study; HCS: Hertfordshire Cohort Study; SarcoPhAge: Sarcopenia and Physical impairment with advancing Age Study; ALMi: Appendicular lean mass index (kg/m</w:t>
      </w:r>
      <w:r w:rsidRPr="00424424">
        <w:rPr>
          <w:rFonts w:ascii="Arial" w:hAnsi="Arial" w:cs="Arial"/>
          <w:sz w:val="20"/>
          <w:szCs w:val="20"/>
          <w:vertAlign w:val="superscript"/>
        </w:rPr>
        <w:t>2</w:t>
      </w:r>
      <w:r w:rsidRPr="00424424">
        <w:rPr>
          <w:rFonts w:ascii="Arial" w:hAnsi="Arial" w:cs="Arial"/>
          <w:sz w:val="20"/>
          <w:szCs w:val="20"/>
        </w:rPr>
        <w:t xml:space="preserve">); </w:t>
      </w:r>
      <w:r w:rsidRPr="00424424">
        <w:rPr>
          <w:rFonts w:ascii="Arial" w:hAnsi="Arial" w:cs="Arial"/>
          <w:bCs/>
          <w:noProof/>
          <w:sz w:val="20"/>
          <w:szCs w:val="20"/>
          <w:lang w:eastAsia="en-GB"/>
        </w:rPr>
        <w:t>EWGSOP2: 2019 European Working Group on Sarcopenia in Older People. Estimates are missing for cohorts where no participants had the corresponding sarcopenia definition.</w:t>
      </w:r>
    </w:p>
    <w:p w14:paraId="27829656" w14:textId="17B1CDF5" w:rsidR="00452780" w:rsidRPr="00424424" w:rsidRDefault="00452780" w:rsidP="00356992">
      <w:pPr>
        <w:spacing w:after="120" w:line="240" w:lineRule="auto"/>
        <w:rPr>
          <w:rFonts w:ascii="Arial" w:hAnsi="Arial" w:cs="Arial"/>
          <w:bCs/>
          <w:noProof/>
          <w:sz w:val="20"/>
          <w:szCs w:val="20"/>
          <w:lang w:eastAsia="en-GB"/>
        </w:rPr>
        <w:sectPr w:rsidR="00452780" w:rsidRPr="00424424" w:rsidSect="00E91148">
          <w:pgSz w:w="16838" w:h="11906" w:orient="landscape"/>
          <w:pgMar w:top="1440" w:right="1440" w:bottom="1440" w:left="1440" w:header="708" w:footer="708" w:gutter="0"/>
          <w:cols w:space="708"/>
          <w:docGrid w:linePitch="360"/>
        </w:sectPr>
      </w:pPr>
      <w:r w:rsidRPr="00424424">
        <w:rPr>
          <w:rFonts w:ascii="Arial" w:hAnsi="Arial" w:cs="Arial"/>
          <w:bCs/>
          <w:noProof/>
          <w:sz w:val="20"/>
          <w:szCs w:val="20"/>
          <w:lang w:eastAsia="en-GB"/>
        </w:rPr>
        <w:t>Original thresholds (graphs at the top of the figure): Probable (grip strength &lt;27</w:t>
      </w:r>
      <w:r w:rsidR="006B49CE" w:rsidRPr="00424424">
        <w:rPr>
          <w:rFonts w:ascii="Arial" w:hAnsi="Arial" w:cs="Arial"/>
          <w:bCs/>
          <w:noProof/>
          <w:sz w:val="20"/>
          <w:szCs w:val="20"/>
          <w:lang w:eastAsia="en-GB"/>
        </w:rPr>
        <w:t xml:space="preserve"> </w:t>
      </w:r>
      <w:r w:rsidRPr="00424424">
        <w:rPr>
          <w:rFonts w:ascii="Arial" w:hAnsi="Arial" w:cs="Arial"/>
          <w:bCs/>
          <w:noProof/>
          <w:sz w:val="20"/>
          <w:szCs w:val="20"/>
          <w:lang w:eastAsia="en-GB"/>
        </w:rPr>
        <w:t>kg); Confirmed (grip strength &lt;27 kg and ALM index &lt;7.0 kg/m</w:t>
      </w:r>
      <w:r w:rsidRPr="00424424">
        <w:rPr>
          <w:rFonts w:ascii="Arial" w:hAnsi="Arial" w:cs="Arial"/>
          <w:bCs/>
          <w:noProof/>
          <w:sz w:val="20"/>
          <w:szCs w:val="20"/>
          <w:vertAlign w:val="superscript"/>
          <w:lang w:eastAsia="en-GB"/>
        </w:rPr>
        <w:t>2</w:t>
      </w:r>
      <w:r w:rsidRPr="00424424">
        <w:rPr>
          <w:rFonts w:ascii="Arial" w:hAnsi="Arial" w:cs="Arial"/>
          <w:bCs/>
          <w:noProof/>
          <w:sz w:val="20"/>
          <w:szCs w:val="20"/>
          <w:lang w:eastAsia="en-GB"/>
        </w:rPr>
        <w:t>); and Severe (grip strength &lt;27 kg and ALM index &lt;7.0 kg/m</w:t>
      </w:r>
      <w:r w:rsidRPr="00424424">
        <w:rPr>
          <w:rFonts w:ascii="Arial" w:hAnsi="Arial" w:cs="Arial"/>
          <w:bCs/>
          <w:noProof/>
          <w:sz w:val="20"/>
          <w:szCs w:val="20"/>
          <w:vertAlign w:val="superscript"/>
          <w:lang w:eastAsia="en-GB"/>
        </w:rPr>
        <w:t>2</w:t>
      </w:r>
      <w:r w:rsidRPr="00424424">
        <w:rPr>
          <w:rFonts w:ascii="Arial" w:hAnsi="Arial" w:cs="Arial"/>
          <w:bCs/>
          <w:noProof/>
          <w:sz w:val="20"/>
          <w:szCs w:val="20"/>
          <w:lang w:eastAsia="en-GB"/>
        </w:rPr>
        <w:t xml:space="preserve"> and gait speed ≤0.8 m/s). Modified thresholds for grip strength and gait speed are used in graphs at the bottom of the figure. Overall prevalence of the condition across all cohorts is stated in </w:t>
      </w:r>
      <w:r w:rsidR="007B1C85" w:rsidRPr="00424424">
        <w:rPr>
          <w:rFonts w:ascii="Arial" w:hAnsi="Arial" w:cs="Arial"/>
          <w:bCs/>
          <w:noProof/>
          <w:sz w:val="20"/>
          <w:szCs w:val="20"/>
          <w:lang w:eastAsia="en-GB"/>
        </w:rPr>
        <w:t xml:space="preserve">the graph subtitles in </w:t>
      </w:r>
      <w:r w:rsidRPr="00424424">
        <w:rPr>
          <w:rFonts w:ascii="Arial" w:hAnsi="Arial" w:cs="Arial"/>
          <w:bCs/>
          <w:noProof/>
          <w:sz w:val="20"/>
          <w:szCs w:val="20"/>
          <w:lang w:eastAsia="en-GB"/>
        </w:rPr>
        <w:t>square bracke</w:t>
      </w:r>
      <w:r w:rsidR="00843719">
        <w:rPr>
          <w:rFonts w:ascii="Arial" w:hAnsi="Arial" w:cs="Arial"/>
          <w:bCs/>
          <w:noProof/>
          <w:sz w:val="20"/>
          <w:szCs w:val="20"/>
          <w:lang w:eastAsia="en-GB"/>
        </w:rPr>
        <w:t>t.</w:t>
      </w:r>
    </w:p>
    <w:bookmarkEnd w:id="15"/>
    <w:bookmarkEnd w:id="16"/>
    <w:p w14:paraId="21DEF5DA" w14:textId="5FFEC6BC" w:rsidR="00B7459D" w:rsidRPr="00B7459D" w:rsidRDefault="00B7459D" w:rsidP="00B7459D">
      <w:pPr>
        <w:spacing w:after="120" w:line="240" w:lineRule="auto"/>
        <w:rPr>
          <w:rFonts w:ascii="Arial" w:hAnsi="Arial" w:cs="Arial"/>
          <w:b/>
          <w:noProof/>
          <w:sz w:val="20"/>
          <w:szCs w:val="20"/>
          <w:u w:val="single"/>
          <w:lang w:eastAsia="en-GB"/>
        </w:rPr>
      </w:pPr>
      <w:r w:rsidRPr="00B7459D">
        <w:rPr>
          <w:rFonts w:ascii="Arial" w:hAnsi="Arial" w:cs="Arial"/>
          <w:b/>
          <w:noProof/>
          <w:sz w:val="20"/>
          <w:szCs w:val="20"/>
          <w:u w:val="single"/>
          <w:lang w:eastAsia="en-GB"/>
        </w:rPr>
        <w:lastRenderedPageBreak/>
        <w:t>Supplementary material</w:t>
      </w:r>
    </w:p>
    <w:p w14:paraId="37F79374" w14:textId="77777777" w:rsidR="00B7459D" w:rsidRDefault="00B7459D" w:rsidP="00B7459D">
      <w:pPr>
        <w:spacing w:after="120" w:line="240" w:lineRule="auto"/>
        <w:rPr>
          <w:rFonts w:ascii="Arial" w:hAnsi="Arial" w:cs="Arial"/>
          <w:b/>
          <w:noProof/>
          <w:sz w:val="20"/>
          <w:szCs w:val="20"/>
          <w:lang w:eastAsia="en-GB"/>
        </w:rPr>
      </w:pPr>
    </w:p>
    <w:p w14:paraId="57E7B3AC" w14:textId="77777777" w:rsidR="00B7459D" w:rsidRDefault="00B7459D" w:rsidP="00B7459D">
      <w:pPr>
        <w:spacing w:after="120" w:line="240" w:lineRule="auto"/>
        <w:rPr>
          <w:rFonts w:ascii="Arial" w:hAnsi="Arial" w:cs="Arial"/>
          <w:b/>
          <w:noProof/>
          <w:sz w:val="20"/>
          <w:szCs w:val="20"/>
          <w:lang w:eastAsia="en-GB"/>
        </w:rPr>
      </w:pPr>
    </w:p>
    <w:p w14:paraId="79B1FBC5" w14:textId="2FE0A35B" w:rsidR="00B7459D" w:rsidRPr="00F150D1" w:rsidRDefault="00B7459D" w:rsidP="00B7459D">
      <w:pPr>
        <w:spacing w:after="120" w:line="240" w:lineRule="auto"/>
        <w:rPr>
          <w:rFonts w:ascii="Arial" w:hAnsi="Arial" w:cs="Arial"/>
          <w:bCs/>
          <w:noProof/>
          <w:sz w:val="20"/>
          <w:szCs w:val="20"/>
          <w:lang w:eastAsia="en-GB"/>
        </w:rPr>
      </w:pPr>
      <w:r w:rsidRPr="00F150D1">
        <w:rPr>
          <w:rFonts w:ascii="Arial" w:hAnsi="Arial" w:cs="Arial"/>
          <w:b/>
          <w:noProof/>
          <w:sz w:val="20"/>
          <w:szCs w:val="20"/>
          <w:lang w:eastAsia="en-GB"/>
        </w:rPr>
        <w:t>Article title:</w:t>
      </w:r>
      <w:r>
        <w:rPr>
          <w:rFonts w:ascii="Arial" w:hAnsi="Arial" w:cs="Arial"/>
          <w:bCs/>
          <w:noProof/>
          <w:sz w:val="20"/>
          <w:szCs w:val="20"/>
          <w:lang w:eastAsia="en-GB"/>
        </w:rPr>
        <w:t xml:space="preserve"> </w:t>
      </w:r>
      <w:r w:rsidRPr="00F150D1">
        <w:rPr>
          <w:rFonts w:ascii="Arial" w:hAnsi="Arial" w:cs="Arial"/>
          <w:bCs/>
          <w:noProof/>
          <w:sz w:val="20"/>
          <w:szCs w:val="20"/>
          <w:lang w:eastAsia="en-GB"/>
        </w:rPr>
        <w:t>Recent sarcopenia definitions - prevalence, agreement and mortality associations among men: findings from population-based cohorts</w:t>
      </w:r>
    </w:p>
    <w:p w14:paraId="3C14BDFC" w14:textId="77777777" w:rsidR="00B7459D" w:rsidRDefault="00B7459D" w:rsidP="00B7459D">
      <w:pPr>
        <w:spacing w:after="120" w:line="240" w:lineRule="auto"/>
        <w:rPr>
          <w:rFonts w:ascii="Arial" w:hAnsi="Arial" w:cs="Arial"/>
          <w:bCs/>
          <w:noProof/>
          <w:sz w:val="20"/>
          <w:szCs w:val="20"/>
          <w:lang w:eastAsia="en-GB"/>
        </w:rPr>
      </w:pPr>
    </w:p>
    <w:p w14:paraId="02C94B7C" w14:textId="77777777" w:rsidR="00B7459D" w:rsidRPr="00F150D1" w:rsidRDefault="00B7459D" w:rsidP="00B7459D">
      <w:pPr>
        <w:spacing w:after="120" w:line="240" w:lineRule="auto"/>
        <w:rPr>
          <w:rFonts w:ascii="Arial" w:hAnsi="Arial" w:cs="Arial"/>
          <w:bCs/>
          <w:noProof/>
          <w:sz w:val="20"/>
          <w:szCs w:val="20"/>
          <w:lang w:eastAsia="en-GB"/>
        </w:rPr>
      </w:pPr>
      <w:r w:rsidRPr="00F150D1">
        <w:rPr>
          <w:rFonts w:ascii="Arial" w:hAnsi="Arial" w:cs="Arial"/>
          <w:b/>
          <w:noProof/>
          <w:sz w:val="20"/>
          <w:szCs w:val="20"/>
          <w:lang w:eastAsia="en-GB"/>
        </w:rPr>
        <w:t>Journal name:</w:t>
      </w:r>
      <w:r w:rsidRPr="00F150D1">
        <w:rPr>
          <w:rFonts w:ascii="Arial" w:hAnsi="Arial" w:cs="Arial"/>
          <w:bCs/>
          <w:noProof/>
          <w:sz w:val="20"/>
          <w:szCs w:val="20"/>
          <w:lang w:eastAsia="en-GB"/>
        </w:rPr>
        <w:t xml:space="preserve"> The Journal of Cachexia, Sarcopenia and Muscle</w:t>
      </w:r>
    </w:p>
    <w:p w14:paraId="7F618CD7" w14:textId="77777777" w:rsidR="00B7459D" w:rsidRDefault="00B7459D" w:rsidP="00B7459D">
      <w:pPr>
        <w:spacing w:after="160" w:line="360" w:lineRule="auto"/>
        <w:rPr>
          <w:rFonts w:ascii="Arial" w:hAnsi="Arial" w:cs="Arial"/>
          <w:bCs/>
          <w:noProof/>
          <w:sz w:val="20"/>
          <w:szCs w:val="20"/>
          <w:lang w:eastAsia="en-GB"/>
        </w:rPr>
      </w:pPr>
    </w:p>
    <w:p w14:paraId="5C65082C" w14:textId="77777777" w:rsidR="00B7459D" w:rsidRDefault="00B7459D" w:rsidP="00B7459D">
      <w:pPr>
        <w:spacing w:after="160" w:line="360" w:lineRule="auto"/>
        <w:rPr>
          <w:rFonts w:ascii="Arial" w:eastAsia="Calibri" w:hAnsi="Arial" w:cs="Arial"/>
          <w:sz w:val="20"/>
          <w:szCs w:val="20"/>
        </w:rPr>
      </w:pPr>
      <w:r w:rsidRPr="00F150D1">
        <w:rPr>
          <w:rFonts w:ascii="Arial" w:hAnsi="Arial" w:cs="Arial"/>
          <w:b/>
          <w:noProof/>
          <w:sz w:val="20"/>
          <w:szCs w:val="20"/>
          <w:lang w:eastAsia="en-GB"/>
        </w:rPr>
        <w:t>Author names:</w:t>
      </w:r>
      <w:r>
        <w:rPr>
          <w:rFonts w:ascii="Arial" w:hAnsi="Arial" w:cs="Arial"/>
          <w:bCs/>
          <w:noProof/>
          <w:sz w:val="20"/>
          <w:szCs w:val="20"/>
          <w:lang w:eastAsia="en-GB"/>
        </w:rPr>
        <w:t xml:space="preserve"> </w:t>
      </w:r>
      <w:r>
        <w:rPr>
          <w:rFonts w:ascii="Arial" w:eastAsia="Calibri" w:hAnsi="Arial" w:cs="Arial"/>
          <w:sz w:val="20"/>
          <w:szCs w:val="20"/>
        </w:rPr>
        <w:t xml:space="preserve">Leo D Westbury, Charlotte Beaudart, Olivier Bruyère, Jane A Cauley, Peggy Cawthon, Alfonso J Cruz-Jentoft, Elizabeth M Curtis, Kristine Ensrud, Roger A Fielding, </w:t>
      </w:r>
      <w:r>
        <w:rPr>
          <w:rFonts w:ascii="Arial" w:hAnsi="Arial" w:cs="Arial"/>
          <w:sz w:val="20"/>
          <w:szCs w:val="20"/>
        </w:rPr>
        <w:t xml:space="preserve">Helena Johansson, </w:t>
      </w:r>
      <w:r>
        <w:rPr>
          <w:rFonts w:ascii="Arial" w:eastAsia="Calibri" w:hAnsi="Arial" w:cs="Arial"/>
          <w:sz w:val="20"/>
          <w:szCs w:val="20"/>
        </w:rPr>
        <w:t>John A Kanis, Magnus K Karlsson, Nancy E Lane, Laetitia Lengelé, Mattias Lorentzon, Eugene McCloskey, Dan Mellström, Anne B Newman, Claes Ohlsson, Eric Orwoll, Jean-Yves Reginster, Eva Ribom, Björn E Rosengren, John T. Schousboe, Eric J Shiroma, Nicholas C Harvey, Elaine M Dennison, Cyrus Cooper and the International Musculoskeletal Ageing Network</w:t>
      </w:r>
    </w:p>
    <w:p w14:paraId="2AF75854" w14:textId="77777777" w:rsidR="00B7459D" w:rsidRPr="00F150D1" w:rsidRDefault="00B7459D" w:rsidP="00B7459D">
      <w:pPr>
        <w:spacing w:after="120" w:line="240" w:lineRule="auto"/>
        <w:rPr>
          <w:rFonts w:ascii="Arial" w:hAnsi="Arial" w:cs="Arial"/>
          <w:bCs/>
          <w:noProof/>
          <w:sz w:val="20"/>
          <w:szCs w:val="20"/>
          <w:lang w:eastAsia="en-GB"/>
        </w:rPr>
      </w:pPr>
    </w:p>
    <w:p w14:paraId="6E0447E9" w14:textId="77777777" w:rsidR="00B7459D" w:rsidRPr="00F150D1" w:rsidRDefault="00B7459D" w:rsidP="00B7459D">
      <w:pPr>
        <w:spacing w:after="120" w:line="240" w:lineRule="auto"/>
        <w:rPr>
          <w:rFonts w:ascii="Arial" w:hAnsi="Arial" w:cs="Arial"/>
          <w:b/>
          <w:noProof/>
          <w:sz w:val="20"/>
          <w:szCs w:val="20"/>
          <w:lang w:eastAsia="en-GB"/>
        </w:rPr>
      </w:pPr>
      <w:r w:rsidRPr="00F150D1">
        <w:rPr>
          <w:rFonts w:ascii="Arial" w:hAnsi="Arial" w:cs="Arial"/>
          <w:b/>
          <w:noProof/>
          <w:sz w:val="20"/>
          <w:szCs w:val="20"/>
          <w:lang w:eastAsia="en-GB"/>
        </w:rPr>
        <w:t>Affiliation and e-mail address of the corresponding author:</w:t>
      </w:r>
    </w:p>
    <w:p w14:paraId="354794BB" w14:textId="77777777" w:rsidR="00B7459D" w:rsidRDefault="00B7459D" w:rsidP="00B7459D">
      <w:pPr>
        <w:spacing w:after="0"/>
        <w:rPr>
          <w:rFonts w:ascii="Arial" w:eastAsia="Calibri" w:hAnsi="Arial" w:cs="Arial"/>
          <w:sz w:val="20"/>
          <w:szCs w:val="20"/>
        </w:rPr>
      </w:pPr>
      <w:r>
        <w:rPr>
          <w:rFonts w:ascii="Arial" w:eastAsia="Calibri" w:hAnsi="Arial" w:cs="Arial"/>
          <w:sz w:val="20"/>
          <w:szCs w:val="20"/>
        </w:rPr>
        <w:t>Prof Cyrus Cooper</w:t>
      </w:r>
    </w:p>
    <w:p w14:paraId="162190BE" w14:textId="77777777" w:rsidR="00B7459D" w:rsidRDefault="00B7459D" w:rsidP="00B7459D">
      <w:pPr>
        <w:spacing w:after="0"/>
        <w:rPr>
          <w:rFonts w:ascii="Arial" w:eastAsia="Calibri" w:hAnsi="Arial" w:cs="Arial"/>
          <w:sz w:val="20"/>
          <w:szCs w:val="20"/>
        </w:rPr>
      </w:pPr>
      <w:r>
        <w:rPr>
          <w:rFonts w:ascii="Arial" w:eastAsia="Calibri" w:hAnsi="Arial" w:cs="Arial"/>
          <w:sz w:val="20"/>
          <w:szCs w:val="20"/>
        </w:rPr>
        <w:t>MRC Lifecourse Epidemiology Centre</w:t>
      </w:r>
    </w:p>
    <w:p w14:paraId="20BA9574" w14:textId="77777777" w:rsidR="00B7459D" w:rsidRDefault="00B7459D" w:rsidP="00B7459D">
      <w:pPr>
        <w:spacing w:after="0"/>
        <w:rPr>
          <w:rFonts w:ascii="Arial" w:eastAsia="Calibri" w:hAnsi="Arial" w:cs="Arial"/>
          <w:sz w:val="20"/>
          <w:szCs w:val="20"/>
        </w:rPr>
      </w:pPr>
      <w:r>
        <w:rPr>
          <w:rFonts w:ascii="Arial" w:eastAsia="Calibri" w:hAnsi="Arial" w:cs="Arial"/>
          <w:sz w:val="20"/>
          <w:szCs w:val="20"/>
        </w:rPr>
        <w:t>University of Southampton</w:t>
      </w:r>
    </w:p>
    <w:p w14:paraId="3104411C" w14:textId="77777777" w:rsidR="00B7459D" w:rsidRDefault="00B7459D" w:rsidP="00B7459D">
      <w:pPr>
        <w:spacing w:after="0"/>
        <w:rPr>
          <w:rFonts w:ascii="Arial" w:eastAsia="Calibri" w:hAnsi="Arial" w:cs="Arial"/>
          <w:sz w:val="20"/>
          <w:szCs w:val="20"/>
        </w:rPr>
      </w:pPr>
      <w:r>
        <w:rPr>
          <w:rFonts w:ascii="Arial" w:eastAsia="Calibri" w:hAnsi="Arial" w:cs="Arial"/>
          <w:sz w:val="20"/>
          <w:szCs w:val="20"/>
        </w:rPr>
        <w:t>Southampton</w:t>
      </w:r>
    </w:p>
    <w:p w14:paraId="0B428AF8" w14:textId="77777777" w:rsidR="00B7459D" w:rsidRDefault="00B7459D" w:rsidP="00B7459D">
      <w:pPr>
        <w:spacing w:after="0"/>
        <w:rPr>
          <w:rFonts w:ascii="Arial" w:eastAsia="Calibri" w:hAnsi="Arial" w:cs="Arial"/>
          <w:sz w:val="20"/>
          <w:szCs w:val="20"/>
        </w:rPr>
      </w:pPr>
      <w:r>
        <w:rPr>
          <w:rFonts w:ascii="Arial" w:eastAsia="Calibri" w:hAnsi="Arial" w:cs="Arial"/>
          <w:sz w:val="20"/>
          <w:szCs w:val="20"/>
        </w:rPr>
        <w:t>UK</w:t>
      </w:r>
    </w:p>
    <w:p w14:paraId="12D9FDA0" w14:textId="77777777" w:rsidR="00B7459D" w:rsidRDefault="0069076E" w:rsidP="00B7459D">
      <w:pPr>
        <w:spacing w:after="160"/>
        <w:rPr>
          <w:rFonts w:ascii="Arial" w:eastAsia="Calibri" w:hAnsi="Arial" w:cs="Arial"/>
          <w:color w:val="0563C1" w:themeColor="hyperlink"/>
          <w:sz w:val="20"/>
          <w:szCs w:val="20"/>
          <w:u w:val="single"/>
        </w:rPr>
      </w:pPr>
      <w:hyperlink r:id="rId15" w:history="1">
        <w:r w:rsidR="00B7459D">
          <w:rPr>
            <w:rStyle w:val="Hyperlink"/>
            <w:rFonts w:ascii="Arial" w:eastAsia="Calibri" w:hAnsi="Arial" w:cs="Arial"/>
            <w:sz w:val="20"/>
            <w:szCs w:val="20"/>
          </w:rPr>
          <w:t>cc@mrc.soton.ac.uk</w:t>
        </w:r>
      </w:hyperlink>
    </w:p>
    <w:p w14:paraId="4FE39913" w14:textId="77777777" w:rsidR="00B7459D" w:rsidRPr="00F150D1" w:rsidRDefault="00B7459D" w:rsidP="00B7459D">
      <w:pPr>
        <w:spacing w:after="120" w:line="240" w:lineRule="auto"/>
        <w:rPr>
          <w:rFonts w:ascii="Arial" w:hAnsi="Arial" w:cs="Arial"/>
          <w:bCs/>
          <w:noProof/>
          <w:sz w:val="20"/>
          <w:szCs w:val="20"/>
          <w:lang w:eastAsia="en-GB"/>
        </w:rPr>
      </w:pPr>
    </w:p>
    <w:p w14:paraId="69743F59" w14:textId="77777777" w:rsidR="00B7459D" w:rsidRDefault="00B7459D" w:rsidP="00B7459D">
      <w:pPr>
        <w:spacing w:after="120" w:line="240" w:lineRule="auto"/>
        <w:rPr>
          <w:rFonts w:ascii="Arial" w:hAnsi="Arial" w:cs="Arial"/>
          <w:b/>
          <w:noProof/>
          <w:sz w:val="20"/>
          <w:szCs w:val="20"/>
          <w:lang w:eastAsia="en-GB"/>
        </w:rPr>
        <w:sectPr w:rsidR="00B7459D" w:rsidSect="00F150D1">
          <w:footerReference w:type="default" r:id="rId16"/>
          <w:pgSz w:w="11906" w:h="16838"/>
          <w:pgMar w:top="1440" w:right="1440" w:bottom="1440" w:left="1440" w:header="708" w:footer="708" w:gutter="0"/>
          <w:cols w:space="708"/>
          <w:docGrid w:linePitch="360"/>
        </w:sectPr>
      </w:pPr>
    </w:p>
    <w:tbl>
      <w:tblPr>
        <w:tblpPr w:leftFromText="180" w:rightFromText="180" w:vertAnchor="page" w:horzAnchor="margin" w:tblpXSpec="center" w:tblpY="1441"/>
        <w:tblW w:w="14034" w:type="dxa"/>
        <w:tblLook w:val="04A0" w:firstRow="1" w:lastRow="0" w:firstColumn="1" w:lastColumn="0" w:noHBand="0" w:noVBand="1"/>
      </w:tblPr>
      <w:tblGrid>
        <w:gridCol w:w="1372"/>
        <w:gridCol w:w="1317"/>
        <w:gridCol w:w="1310"/>
        <w:gridCol w:w="2380"/>
        <w:gridCol w:w="2582"/>
        <w:gridCol w:w="1588"/>
        <w:gridCol w:w="680"/>
        <w:gridCol w:w="2805"/>
      </w:tblGrid>
      <w:tr w:rsidR="00B7459D" w:rsidRPr="00424424" w14:paraId="55B5FB9A" w14:textId="77777777" w:rsidTr="000122D0">
        <w:trPr>
          <w:trHeight w:val="290"/>
        </w:trPr>
        <w:tc>
          <w:tcPr>
            <w:tcW w:w="11229" w:type="dxa"/>
            <w:gridSpan w:val="7"/>
            <w:tcBorders>
              <w:top w:val="nil"/>
              <w:left w:val="nil"/>
              <w:bottom w:val="nil"/>
              <w:right w:val="nil"/>
            </w:tcBorders>
          </w:tcPr>
          <w:p w14:paraId="2BAF242E" w14:textId="77777777" w:rsidR="00B7459D" w:rsidRPr="00424424" w:rsidRDefault="00B7459D" w:rsidP="000122D0">
            <w:pPr>
              <w:spacing w:after="0" w:line="240" w:lineRule="auto"/>
              <w:rPr>
                <w:rFonts w:ascii="Arial" w:eastAsia="Times New Roman" w:hAnsi="Arial" w:cs="Arial"/>
                <w:b/>
                <w:bCs/>
                <w:i/>
                <w:color w:val="FF0000"/>
                <w:sz w:val="20"/>
                <w:szCs w:val="20"/>
                <w:lang w:eastAsia="en-GB"/>
              </w:rPr>
            </w:pPr>
            <w:bookmarkStart w:id="25" w:name="_Hlk93931652"/>
            <w:r w:rsidRPr="00424424">
              <w:rPr>
                <w:rFonts w:ascii="Arial" w:eastAsia="Times New Roman" w:hAnsi="Arial" w:cs="Arial"/>
                <w:b/>
                <w:bCs/>
                <w:color w:val="000000"/>
                <w:sz w:val="20"/>
                <w:szCs w:val="20"/>
                <w:lang w:eastAsia="en-GB"/>
              </w:rPr>
              <w:lastRenderedPageBreak/>
              <w:t xml:space="preserve">Table S1: </w:t>
            </w:r>
            <w:r w:rsidRPr="00424424">
              <w:rPr>
                <w:rFonts w:ascii="Arial" w:eastAsia="Times New Roman" w:hAnsi="Arial" w:cs="Arial"/>
                <w:color w:val="000000"/>
                <w:sz w:val="20"/>
                <w:szCs w:val="20"/>
                <w:lang w:eastAsia="en-GB"/>
              </w:rPr>
              <w:t>Ascertainment of participant information within each cohort</w:t>
            </w:r>
            <w:r w:rsidRPr="00424424">
              <w:rPr>
                <w:rFonts w:ascii="Arial" w:eastAsia="Times New Roman" w:hAnsi="Arial" w:cs="Arial"/>
                <w:b/>
                <w:bCs/>
                <w:color w:val="000000"/>
                <w:sz w:val="20"/>
                <w:szCs w:val="20"/>
                <w:lang w:eastAsia="en-GB"/>
              </w:rPr>
              <w:t xml:space="preserve"> </w:t>
            </w:r>
          </w:p>
        </w:tc>
        <w:tc>
          <w:tcPr>
            <w:tcW w:w="2805" w:type="dxa"/>
            <w:tcBorders>
              <w:top w:val="nil"/>
              <w:left w:val="nil"/>
              <w:bottom w:val="nil"/>
              <w:right w:val="nil"/>
            </w:tcBorders>
          </w:tcPr>
          <w:p w14:paraId="790BD34C" w14:textId="77777777" w:rsidR="00B7459D" w:rsidRPr="00424424" w:rsidRDefault="00B7459D" w:rsidP="000122D0">
            <w:pPr>
              <w:spacing w:after="0" w:line="240" w:lineRule="auto"/>
              <w:rPr>
                <w:rFonts w:ascii="Arial" w:eastAsia="Times New Roman" w:hAnsi="Arial" w:cs="Arial"/>
                <w:b/>
                <w:bCs/>
                <w:color w:val="000000"/>
                <w:sz w:val="20"/>
                <w:szCs w:val="20"/>
                <w:lang w:eastAsia="en-GB"/>
              </w:rPr>
            </w:pPr>
          </w:p>
        </w:tc>
      </w:tr>
      <w:tr w:rsidR="00B7459D" w:rsidRPr="00424424" w14:paraId="41C72114" w14:textId="77777777" w:rsidTr="000122D0">
        <w:trPr>
          <w:trHeight w:val="290"/>
        </w:trPr>
        <w:tc>
          <w:tcPr>
            <w:tcW w:w="1372" w:type="dxa"/>
            <w:tcBorders>
              <w:top w:val="nil"/>
              <w:left w:val="nil"/>
              <w:bottom w:val="single" w:sz="4" w:space="0" w:color="auto"/>
              <w:right w:val="nil"/>
            </w:tcBorders>
            <w:shd w:val="clear" w:color="auto" w:fill="auto"/>
            <w:noWrap/>
            <w:vAlign w:val="bottom"/>
            <w:hideMark/>
          </w:tcPr>
          <w:p w14:paraId="4182197D" w14:textId="77777777" w:rsidR="00B7459D" w:rsidRPr="00424424" w:rsidRDefault="00B7459D" w:rsidP="000122D0">
            <w:pPr>
              <w:spacing w:after="0" w:line="240" w:lineRule="auto"/>
              <w:rPr>
                <w:rFonts w:ascii="Times New Roman" w:eastAsia="Times New Roman" w:hAnsi="Times New Roman" w:cs="Times New Roman"/>
                <w:sz w:val="20"/>
                <w:szCs w:val="20"/>
                <w:lang w:eastAsia="en-GB"/>
              </w:rPr>
            </w:pPr>
          </w:p>
        </w:tc>
        <w:tc>
          <w:tcPr>
            <w:tcW w:w="1317" w:type="dxa"/>
            <w:tcBorders>
              <w:top w:val="nil"/>
              <w:left w:val="nil"/>
              <w:bottom w:val="single" w:sz="4" w:space="0" w:color="auto"/>
              <w:right w:val="nil"/>
            </w:tcBorders>
          </w:tcPr>
          <w:p w14:paraId="3718A262" w14:textId="77777777" w:rsidR="00B7459D" w:rsidRPr="00424424" w:rsidRDefault="00B7459D" w:rsidP="000122D0">
            <w:pPr>
              <w:spacing w:after="0" w:line="240" w:lineRule="auto"/>
              <w:rPr>
                <w:rFonts w:ascii="Times New Roman" w:eastAsia="Times New Roman" w:hAnsi="Times New Roman" w:cs="Times New Roman"/>
                <w:sz w:val="20"/>
                <w:szCs w:val="20"/>
                <w:lang w:eastAsia="en-GB"/>
              </w:rPr>
            </w:pPr>
          </w:p>
        </w:tc>
        <w:tc>
          <w:tcPr>
            <w:tcW w:w="1310" w:type="dxa"/>
            <w:tcBorders>
              <w:top w:val="nil"/>
              <w:left w:val="nil"/>
              <w:bottom w:val="single" w:sz="4" w:space="0" w:color="auto"/>
              <w:right w:val="nil"/>
            </w:tcBorders>
          </w:tcPr>
          <w:p w14:paraId="471A5880" w14:textId="77777777" w:rsidR="00B7459D" w:rsidRPr="00424424" w:rsidRDefault="00B7459D" w:rsidP="000122D0">
            <w:pPr>
              <w:spacing w:after="0" w:line="240" w:lineRule="auto"/>
              <w:rPr>
                <w:rFonts w:ascii="Times New Roman" w:eastAsia="Times New Roman" w:hAnsi="Times New Roman" w:cs="Times New Roman"/>
                <w:sz w:val="20"/>
                <w:szCs w:val="20"/>
                <w:lang w:eastAsia="en-GB"/>
              </w:rPr>
            </w:pPr>
          </w:p>
        </w:tc>
        <w:tc>
          <w:tcPr>
            <w:tcW w:w="6550" w:type="dxa"/>
            <w:gridSpan w:val="3"/>
            <w:tcBorders>
              <w:top w:val="nil"/>
              <w:left w:val="nil"/>
              <w:bottom w:val="single" w:sz="4" w:space="0" w:color="auto"/>
              <w:right w:val="nil"/>
            </w:tcBorders>
            <w:shd w:val="clear" w:color="auto" w:fill="auto"/>
            <w:noWrap/>
            <w:vAlign w:val="bottom"/>
            <w:hideMark/>
          </w:tcPr>
          <w:p w14:paraId="58C20A9A" w14:textId="77777777" w:rsidR="00B7459D" w:rsidRPr="00424424" w:rsidRDefault="00B7459D" w:rsidP="000122D0">
            <w:pPr>
              <w:spacing w:after="0" w:line="240" w:lineRule="auto"/>
              <w:rPr>
                <w:rFonts w:ascii="Times New Roman" w:eastAsia="Times New Roman" w:hAnsi="Times New Roman" w:cs="Times New Roman"/>
                <w:sz w:val="20"/>
                <w:szCs w:val="20"/>
                <w:lang w:eastAsia="en-GB"/>
              </w:rPr>
            </w:pPr>
          </w:p>
        </w:tc>
        <w:tc>
          <w:tcPr>
            <w:tcW w:w="680" w:type="dxa"/>
            <w:tcBorders>
              <w:top w:val="nil"/>
              <w:left w:val="nil"/>
              <w:bottom w:val="single" w:sz="4" w:space="0" w:color="auto"/>
              <w:right w:val="nil"/>
            </w:tcBorders>
            <w:shd w:val="clear" w:color="auto" w:fill="auto"/>
            <w:noWrap/>
            <w:vAlign w:val="bottom"/>
            <w:hideMark/>
          </w:tcPr>
          <w:p w14:paraId="271DA990" w14:textId="77777777" w:rsidR="00B7459D" w:rsidRPr="00424424" w:rsidRDefault="00B7459D" w:rsidP="000122D0">
            <w:pPr>
              <w:spacing w:after="0" w:line="240" w:lineRule="auto"/>
              <w:rPr>
                <w:rFonts w:ascii="Times New Roman" w:eastAsia="Times New Roman" w:hAnsi="Times New Roman" w:cs="Times New Roman"/>
                <w:sz w:val="20"/>
                <w:szCs w:val="20"/>
                <w:lang w:eastAsia="en-GB"/>
              </w:rPr>
            </w:pPr>
          </w:p>
        </w:tc>
        <w:tc>
          <w:tcPr>
            <w:tcW w:w="2805" w:type="dxa"/>
            <w:tcBorders>
              <w:top w:val="nil"/>
              <w:left w:val="nil"/>
              <w:bottom w:val="single" w:sz="4" w:space="0" w:color="auto"/>
              <w:right w:val="nil"/>
            </w:tcBorders>
          </w:tcPr>
          <w:p w14:paraId="37FEB734" w14:textId="77777777" w:rsidR="00B7459D" w:rsidRPr="00424424" w:rsidRDefault="00B7459D" w:rsidP="000122D0">
            <w:pPr>
              <w:spacing w:after="0" w:line="240" w:lineRule="auto"/>
              <w:rPr>
                <w:rFonts w:ascii="Times New Roman" w:eastAsia="Times New Roman" w:hAnsi="Times New Roman" w:cs="Times New Roman"/>
                <w:sz w:val="20"/>
                <w:szCs w:val="20"/>
                <w:lang w:eastAsia="en-GB"/>
              </w:rPr>
            </w:pPr>
          </w:p>
        </w:tc>
      </w:tr>
      <w:tr w:rsidR="00B7459D" w:rsidRPr="00424424" w14:paraId="3296A964" w14:textId="77777777" w:rsidTr="000122D0">
        <w:trPr>
          <w:trHeight w:val="410"/>
        </w:trPr>
        <w:tc>
          <w:tcPr>
            <w:tcW w:w="1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CD848"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Cohort</w:t>
            </w:r>
          </w:p>
        </w:tc>
        <w:tc>
          <w:tcPr>
            <w:tcW w:w="1317" w:type="dxa"/>
            <w:tcBorders>
              <w:top w:val="single" w:sz="4" w:space="0" w:color="auto"/>
              <w:left w:val="single" w:sz="4" w:space="0" w:color="auto"/>
              <w:bottom w:val="single" w:sz="4" w:space="0" w:color="auto"/>
              <w:right w:val="single" w:sz="4" w:space="0" w:color="auto"/>
            </w:tcBorders>
            <w:vAlign w:val="center"/>
          </w:tcPr>
          <w:p w14:paraId="1211F7BC"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Height (cm)</w:t>
            </w:r>
          </w:p>
        </w:tc>
        <w:tc>
          <w:tcPr>
            <w:tcW w:w="1310" w:type="dxa"/>
            <w:tcBorders>
              <w:top w:val="single" w:sz="4" w:space="0" w:color="auto"/>
              <w:left w:val="single" w:sz="4" w:space="0" w:color="auto"/>
              <w:bottom w:val="single" w:sz="4" w:space="0" w:color="auto"/>
              <w:right w:val="single" w:sz="4" w:space="0" w:color="auto"/>
            </w:tcBorders>
            <w:vAlign w:val="center"/>
          </w:tcPr>
          <w:p w14:paraId="565995E7"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Weight (kg)</w:t>
            </w:r>
          </w:p>
        </w:tc>
        <w:tc>
          <w:tcPr>
            <w:tcW w:w="2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9802"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Appendicular lean mass (kg)</w:t>
            </w:r>
          </w:p>
        </w:tc>
        <w:tc>
          <w:tcPr>
            <w:tcW w:w="2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5D72"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Grip strength (kg)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9944B"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Customary gait speed (m/s)</w:t>
            </w:r>
          </w:p>
        </w:tc>
        <w:tc>
          <w:tcPr>
            <w:tcW w:w="2805" w:type="dxa"/>
            <w:tcBorders>
              <w:top w:val="single" w:sz="4" w:space="0" w:color="auto"/>
              <w:left w:val="single" w:sz="4" w:space="0" w:color="auto"/>
              <w:bottom w:val="single" w:sz="4" w:space="0" w:color="auto"/>
              <w:right w:val="single" w:sz="4" w:space="0" w:color="auto"/>
            </w:tcBorders>
            <w:vAlign w:val="center"/>
          </w:tcPr>
          <w:p w14:paraId="49AAA55C" w14:textId="77777777" w:rsidR="00B7459D" w:rsidRPr="00424424" w:rsidRDefault="00B7459D" w:rsidP="000122D0">
            <w:pPr>
              <w:spacing w:after="0" w:line="240" w:lineRule="auto"/>
              <w:jc w:val="center"/>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t>Mortality</w:t>
            </w:r>
          </w:p>
        </w:tc>
      </w:tr>
      <w:tr w:rsidR="00B7459D" w:rsidRPr="00424424" w14:paraId="4DC2FDD3" w14:textId="77777777" w:rsidTr="000122D0">
        <w:trPr>
          <w:trHeight w:val="1494"/>
        </w:trPr>
        <w:tc>
          <w:tcPr>
            <w:tcW w:w="1372" w:type="dxa"/>
            <w:tcBorders>
              <w:top w:val="nil"/>
              <w:left w:val="single" w:sz="4" w:space="0" w:color="auto"/>
              <w:bottom w:val="single" w:sz="4" w:space="0" w:color="auto"/>
              <w:right w:val="single" w:sz="4" w:space="0" w:color="auto"/>
            </w:tcBorders>
            <w:shd w:val="clear" w:color="auto" w:fill="auto"/>
            <w:noWrap/>
            <w:vAlign w:val="center"/>
            <w:hideMark/>
          </w:tcPr>
          <w:p w14:paraId="58ED3B8A"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Health, Aging and Body Composition Study</w:t>
            </w:r>
          </w:p>
        </w:tc>
        <w:tc>
          <w:tcPr>
            <w:tcW w:w="1317" w:type="dxa"/>
            <w:vMerge w:val="restart"/>
            <w:tcBorders>
              <w:top w:val="single" w:sz="4" w:space="0" w:color="auto"/>
              <w:left w:val="nil"/>
              <w:right w:val="single" w:sz="4" w:space="0" w:color="auto"/>
            </w:tcBorders>
          </w:tcPr>
          <w:p w14:paraId="201211A6"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Measured using a Harpenden stadiometer</w:t>
            </w:r>
          </w:p>
        </w:tc>
        <w:tc>
          <w:tcPr>
            <w:tcW w:w="1310" w:type="dxa"/>
            <w:tcBorders>
              <w:top w:val="single" w:sz="4" w:space="0" w:color="auto"/>
              <w:left w:val="single" w:sz="4" w:space="0" w:color="auto"/>
              <w:bottom w:val="single" w:sz="4" w:space="0" w:color="auto"/>
              <w:right w:val="single" w:sz="4" w:space="0" w:color="auto"/>
            </w:tcBorders>
          </w:tcPr>
          <w:p w14:paraId="703BD216"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Measured using a standard balance beam scale</w:t>
            </w:r>
          </w:p>
        </w:tc>
        <w:tc>
          <w:tcPr>
            <w:tcW w:w="2380" w:type="dxa"/>
            <w:tcBorders>
              <w:top w:val="nil"/>
              <w:left w:val="single" w:sz="4" w:space="0" w:color="auto"/>
              <w:bottom w:val="single" w:sz="4" w:space="0" w:color="auto"/>
              <w:right w:val="single" w:sz="4" w:space="0" w:color="auto"/>
            </w:tcBorders>
            <w:shd w:val="clear" w:color="auto" w:fill="auto"/>
            <w:hideMark/>
          </w:tcPr>
          <w:p w14:paraId="41F78C74"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Ascertained from whole-body dual-energy X-ray absorptiometry scans (Hologic QDR 4500A; Hologic, Bedford, MA, USA)</w:t>
            </w:r>
          </w:p>
        </w:tc>
        <w:tc>
          <w:tcPr>
            <w:tcW w:w="2582" w:type="dxa"/>
            <w:vMerge w:val="restart"/>
            <w:tcBorders>
              <w:top w:val="nil"/>
              <w:left w:val="single" w:sz="4" w:space="0" w:color="auto"/>
              <w:bottom w:val="single" w:sz="4" w:space="0" w:color="auto"/>
              <w:right w:val="single" w:sz="4" w:space="0" w:color="auto"/>
            </w:tcBorders>
            <w:shd w:val="clear" w:color="auto" w:fill="auto"/>
            <w:hideMark/>
          </w:tcPr>
          <w:p w14:paraId="50D41EB9"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Assessed twice for each hand using a Jamar dynamometer; the highest measurement was used for analysis. Participants with recent arthritis/pain in their wrist or hand or who had undergone surgery of the upper extremity in the past 3 months did not have their grip strength assessed on that side.</w:t>
            </w:r>
          </w:p>
        </w:tc>
        <w:tc>
          <w:tcPr>
            <w:tcW w:w="2268" w:type="dxa"/>
            <w:gridSpan w:val="2"/>
            <w:vMerge w:val="restart"/>
            <w:tcBorders>
              <w:top w:val="nil"/>
              <w:left w:val="single" w:sz="4" w:space="0" w:color="auto"/>
              <w:bottom w:val="single" w:sz="4" w:space="0" w:color="000000"/>
              <w:right w:val="single" w:sz="4" w:space="0" w:color="auto"/>
            </w:tcBorders>
            <w:shd w:val="clear" w:color="auto" w:fill="auto"/>
            <w:hideMark/>
          </w:tcPr>
          <w:p w14:paraId="74AB7E37"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Calculated from the fastest time from two 6m gait speed tests. Participants were asked to walk at their usual pace.</w:t>
            </w:r>
          </w:p>
        </w:tc>
        <w:tc>
          <w:tcPr>
            <w:tcW w:w="2805" w:type="dxa"/>
            <w:tcBorders>
              <w:top w:val="nil"/>
              <w:left w:val="single" w:sz="4" w:space="0" w:color="auto"/>
              <w:bottom w:val="single" w:sz="4" w:space="0" w:color="000000"/>
              <w:right w:val="single" w:sz="4" w:space="0" w:color="auto"/>
            </w:tcBorders>
          </w:tcPr>
          <w:p w14:paraId="7215EA1B"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Deaths were determined from death certificates, hospital records and interviews with next of kin. All deaths were adjudicated by a central committee.</w:t>
            </w:r>
          </w:p>
        </w:tc>
      </w:tr>
      <w:tr w:rsidR="00B7459D" w:rsidRPr="00424424" w14:paraId="58041C24" w14:textId="77777777" w:rsidTr="000122D0">
        <w:trPr>
          <w:trHeight w:val="2707"/>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4C9076C5"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Osteoporotic Fractures in Men Study  (US, Sweden)</w:t>
            </w:r>
          </w:p>
        </w:tc>
        <w:tc>
          <w:tcPr>
            <w:tcW w:w="1317" w:type="dxa"/>
            <w:vMerge/>
            <w:tcBorders>
              <w:left w:val="nil"/>
              <w:right w:val="single" w:sz="4" w:space="0" w:color="auto"/>
            </w:tcBorders>
          </w:tcPr>
          <w:p w14:paraId="5D294BB7" w14:textId="77777777" w:rsidR="00B7459D" w:rsidRPr="00424424" w:rsidRDefault="00B7459D" w:rsidP="000122D0">
            <w:pPr>
              <w:spacing w:after="0" w:line="240" w:lineRule="auto"/>
              <w:rPr>
                <w:rFonts w:ascii="Arial" w:eastAsia="Times New Roman" w:hAnsi="Arial" w:cs="Arial"/>
                <w:color w:val="000000"/>
                <w:sz w:val="20"/>
                <w:szCs w:val="20"/>
                <w:lang w:eastAsia="en-GB"/>
              </w:rPr>
            </w:pPr>
          </w:p>
        </w:tc>
        <w:tc>
          <w:tcPr>
            <w:tcW w:w="1310" w:type="dxa"/>
            <w:tcBorders>
              <w:top w:val="single" w:sz="4" w:space="0" w:color="auto"/>
              <w:left w:val="single" w:sz="4" w:space="0" w:color="auto"/>
              <w:bottom w:val="single" w:sz="4" w:space="0" w:color="auto"/>
              <w:right w:val="single" w:sz="4" w:space="0" w:color="auto"/>
            </w:tcBorders>
          </w:tcPr>
          <w:p w14:paraId="144A97C1"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Measured using an electric scale or balance beam scale</w:t>
            </w:r>
          </w:p>
        </w:tc>
        <w:tc>
          <w:tcPr>
            <w:tcW w:w="2380" w:type="dxa"/>
            <w:tcBorders>
              <w:top w:val="nil"/>
              <w:left w:val="single" w:sz="4" w:space="0" w:color="auto"/>
              <w:bottom w:val="single" w:sz="4" w:space="0" w:color="auto"/>
              <w:right w:val="single" w:sz="4" w:space="0" w:color="auto"/>
            </w:tcBorders>
            <w:shd w:val="clear" w:color="auto" w:fill="auto"/>
            <w:hideMark/>
          </w:tcPr>
          <w:p w14:paraId="0CAC8CA6"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Ascertained from whole-body dual-energy X-ray absorptiometry scans.</w:t>
            </w:r>
          </w:p>
          <w:p w14:paraId="529C855C"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MrOS US:</w:t>
            </w:r>
          </w:p>
          <w:p w14:paraId="59B4F815"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 xml:space="preserve">Hologic QDR 4500 [Hologic, Bedford, MA, USA] </w:t>
            </w:r>
          </w:p>
          <w:p w14:paraId="0E9E196B"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MrOS Sweden:</w:t>
            </w:r>
          </w:p>
          <w:p w14:paraId="6241E4E7"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Lunar Prodigy [GE Lunar Corp., Madison, WI, USA]</w:t>
            </w:r>
          </w:p>
        </w:tc>
        <w:tc>
          <w:tcPr>
            <w:tcW w:w="2582" w:type="dxa"/>
            <w:vMerge/>
            <w:tcBorders>
              <w:top w:val="nil"/>
              <w:left w:val="single" w:sz="4" w:space="0" w:color="auto"/>
              <w:bottom w:val="single" w:sz="4" w:space="0" w:color="auto"/>
              <w:right w:val="single" w:sz="4" w:space="0" w:color="auto"/>
            </w:tcBorders>
            <w:vAlign w:val="center"/>
            <w:hideMark/>
          </w:tcPr>
          <w:p w14:paraId="14F75341" w14:textId="77777777" w:rsidR="00B7459D" w:rsidRPr="00424424" w:rsidRDefault="00B7459D" w:rsidP="000122D0">
            <w:pPr>
              <w:spacing w:after="0" w:line="240" w:lineRule="auto"/>
              <w:rPr>
                <w:rFonts w:ascii="Arial" w:eastAsia="Times New Roman" w:hAnsi="Arial" w:cs="Arial"/>
                <w:color w:val="000000"/>
                <w:sz w:val="20"/>
                <w:szCs w:val="20"/>
                <w:lang w:eastAsia="en-GB"/>
              </w:rPr>
            </w:pPr>
          </w:p>
        </w:tc>
        <w:tc>
          <w:tcPr>
            <w:tcW w:w="2268" w:type="dxa"/>
            <w:gridSpan w:val="2"/>
            <w:vMerge/>
            <w:tcBorders>
              <w:top w:val="nil"/>
              <w:left w:val="single" w:sz="4" w:space="0" w:color="auto"/>
              <w:bottom w:val="single" w:sz="4" w:space="0" w:color="000000"/>
              <w:right w:val="single" w:sz="4" w:space="0" w:color="auto"/>
            </w:tcBorders>
            <w:vAlign w:val="center"/>
            <w:hideMark/>
          </w:tcPr>
          <w:p w14:paraId="6F419637" w14:textId="77777777" w:rsidR="00B7459D" w:rsidRPr="00424424" w:rsidRDefault="00B7459D" w:rsidP="000122D0">
            <w:pPr>
              <w:spacing w:after="0" w:line="240" w:lineRule="auto"/>
              <w:rPr>
                <w:rFonts w:ascii="Arial" w:eastAsia="Times New Roman" w:hAnsi="Arial" w:cs="Arial"/>
                <w:color w:val="000000"/>
                <w:sz w:val="20"/>
                <w:szCs w:val="20"/>
                <w:lang w:eastAsia="en-GB"/>
              </w:rPr>
            </w:pPr>
          </w:p>
        </w:tc>
        <w:tc>
          <w:tcPr>
            <w:tcW w:w="2805" w:type="dxa"/>
            <w:tcBorders>
              <w:top w:val="nil"/>
              <w:left w:val="single" w:sz="4" w:space="0" w:color="auto"/>
              <w:bottom w:val="single" w:sz="4" w:space="0" w:color="000000"/>
              <w:right w:val="single" w:sz="4" w:space="0" w:color="auto"/>
            </w:tcBorders>
          </w:tcPr>
          <w:p w14:paraId="422C9F43"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b/>
                <w:bCs/>
                <w:color w:val="000000"/>
                <w:sz w:val="20"/>
                <w:szCs w:val="20"/>
                <w:lang w:eastAsia="en-GB"/>
              </w:rPr>
              <w:t>Sweden:</w:t>
            </w:r>
            <w:r w:rsidRPr="00424424">
              <w:rPr>
                <w:rFonts w:ascii="Arial" w:eastAsia="Times New Roman" w:hAnsi="Arial" w:cs="Arial"/>
                <w:color w:val="000000"/>
                <w:sz w:val="20"/>
                <w:szCs w:val="20"/>
                <w:lang w:eastAsia="en-GB"/>
              </w:rPr>
              <w:t xml:space="preserve"> Central registers covering all Swedish citizens were used to identify the date of death for all participants</w:t>
            </w:r>
          </w:p>
          <w:p w14:paraId="44E69ABE" w14:textId="77777777" w:rsidR="00B7459D" w:rsidRPr="00424424" w:rsidRDefault="00B7459D" w:rsidP="000122D0">
            <w:pPr>
              <w:spacing w:after="0" w:line="240" w:lineRule="auto"/>
              <w:rPr>
                <w:rFonts w:ascii="Arial" w:eastAsia="Times New Roman" w:hAnsi="Arial" w:cs="Arial"/>
                <w:color w:val="000000"/>
                <w:sz w:val="20"/>
                <w:szCs w:val="20"/>
                <w:lang w:eastAsia="en-GB"/>
              </w:rPr>
            </w:pPr>
          </w:p>
          <w:p w14:paraId="5DCB36D9"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b/>
                <w:bCs/>
                <w:color w:val="000000"/>
                <w:sz w:val="20"/>
                <w:szCs w:val="20"/>
                <w:lang w:eastAsia="en-GB"/>
              </w:rPr>
              <w:t>US:</w:t>
            </w:r>
            <w:r w:rsidRPr="00424424">
              <w:rPr>
                <w:rFonts w:ascii="Arial" w:eastAsia="Times New Roman" w:hAnsi="Arial" w:cs="Arial"/>
                <w:color w:val="000000"/>
                <w:sz w:val="20"/>
                <w:szCs w:val="20"/>
                <w:lang w:eastAsia="en-GB"/>
              </w:rPr>
              <w:t xml:space="preserve"> Deaths were centrally adjudicated by a physician review of death certificates and hospital discharge summaries.</w:t>
            </w:r>
          </w:p>
        </w:tc>
      </w:tr>
      <w:tr w:rsidR="00B7459D" w:rsidRPr="00424424" w14:paraId="4BB05BA3" w14:textId="77777777" w:rsidTr="000122D0">
        <w:trPr>
          <w:trHeight w:val="1136"/>
        </w:trPr>
        <w:tc>
          <w:tcPr>
            <w:tcW w:w="1372" w:type="dxa"/>
            <w:tcBorders>
              <w:top w:val="nil"/>
              <w:left w:val="single" w:sz="4" w:space="0" w:color="auto"/>
              <w:bottom w:val="single" w:sz="4" w:space="0" w:color="auto"/>
              <w:right w:val="single" w:sz="4" w:space="0" w:color="auto"/>
            </w:tcBorders>
            <w:shd w:val="clear" w:color="auto" w:fill="auto"/>
            <w:noWrap/>
            <w:vAlign w:val="center"/>
            <w:hideMark/>
          </w:tcPr>
          <w:p w14:paraId="30B86DD7"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Hertfordshire Cohort Study</w:t>
            </w:r>
          </w:p>
        </w:tc>
        <w:tc>
          <w:tcPr>
            <w:tcW w:w="1317" w:type="dxa"/>
            <w:vMerge/>
            <w:tcBorders>
              <w:left w:val="nil"/>
              <w:bottom w:val="single" w:sz="4" w:space="0" w:color="auto"/>
              <w:right w:val="single" w:sz="4" w:space="0" w:color="auto"/>
            </w:tcBorders>
          </w:tcPr>
          <w:p w14:paraId="2E5AA600" w14:textId="77777777" w:rsidR="00B7459D" w:rsidRPr="00424424" w:rsidRDefault="00B7459D" w:rsidP="000122D0">
            <w:pPr>
              <w:spacing w:after="0" w:line="240" w:lineRule="auto"/>
              <w:rPr>
                <w:rFonts w:ascii="Arial" w:eastAsia="Times New Roman" w:hAnsi="Arial" w:cs="Arial"/>
                <w:color w:val="000000"/>
                <w:sz w:val="20"/>
                <w:szCs w:val="20"/>
                <w:lang w:eastAsia="en-GB"/>
              </w:rPr>
            </w:pPr>
          </w:p>
        </w:tc>
        <w:tc>
          <w:tcPr>
            <w:tcW w:w="1310" w:type="dxa"/>
            <w:tcBorders>
              <w:top w:val="single" w:sz="4" w:space="0" w:color="auto"/>
              <w:left w:val="single" w:sz="4" w:space="0" w:color="auto"/>
              <w:bottom w:val="single" w:sz="4" w:space="0" w:color="auto"/>
              <w:right w:val="single" w:sz="4" w:space="0" w:color="auto"/>
            </w:tcBorders>
          </w:tcPr>
          <w:p w14:paraId="669F201F"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Measured using a SECA floor scale, Chasmors Ltd, London, UK</w:t>
            </w:r>
          </w:p>
        </w:tc>
        <w:tc>
          <w:tcPr>
            <w:tcW w:w="2380" w:type="dxa"/>
            <w:tcBorders>
              <w:top w:val="nil"/>
              <w:left w:val="single" w:sz="4" w:space="0" w:color="auto"/>
              <w:bottom w:val="single" w:sz="4" w:space="0" w:color="auto"/>
              <w:right w:val="single" w:sz="4" w:space="0" w:color="auto"/>
            </w:tcBorders>
            <w:shd w:val="clear" w:color="auto" w:fill="auto"/>
            <w:hideMark/>
          </w:tcPr>
          <w:p w14:paraId="01A0221A"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Ascertained from whole-body dual-energy X-ray absorptiometry scans (Lunar Prodigy Advanced Scanner, GE Medical Systems, UK)</w:t>
            </w:r>
          </w:p>
        </w:tc>
        <w:tc>
          <w:tcPr>
            <w:tcW w:w="2582" w:type="dxa"/>
            <w:tcBorders>
              <w:top w:val="nil"/>
              <w:left w:val="nil"/>
              <w:bottom w:val="single" w:sz="4" w:space="0" w:color="auto"/>
              <w:right w:val="single" w:sz="4" w:space="0" w:color="auto"/>
            </w:tcBorders>
            <w:shd w:val="clear" w:color="auto" w:fill="auto"/>
            <w:hideMark/>
          </w:tcPr>
          <w:p w14:paraId="7748F4F1"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Assessed three times for each hand using a Jamar dynamometer; the highest measurement was used for analysis</w:t>
            </w:r>
          </w:p>
        </w:tc>
        <w:tc>
          <w:tcPr>
            <w:tcW w:w="2268" w:type="dxa"/>
            <w:gridSpan w:val="2"/>
            <w:tcBorders>
              <w:top w:val="nil"/>
              <w:left w:val="nil"/>
              <w:bottom w:val="single" w:sz="4" w:space="0" w:color="auto"/>
              <w:right w:val="single" w:sz="4" w:space="0" w:color="auto"/>
            </w:tcBorders>
            <w:shd w:val="clear" w:color="auto" w:fill="auto"/>
            <w:hideMark/>
          </w:tcPr>
          <w:p w14:paraId="44E9B5EA"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Calculated from the fastest time from two 2.44m (8ft) gait speed tests. Participants were asked to walk at their usual pace.</w:t>
            </w:r>
          </w:p>
        </w:tc>
        <w:tc>
          <w:tcPr>
            <w:tcW w:w="2805" w:type="dxa"/>
            <w:tcBorders>
              <w:top w:val="nil"/>
              <w:left w:val="nil"/>
              <w:bottom w:val="single" w:sz="4" w:space="0" w:color="auto"/>
              <w:right w:val="single" w:sz="4" w:space="0" w:color="auto"/>
            </w:tcBorders>
          </w:tcPr>
          <w:p w14:paraId="54F4BAD5"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This cohort was</w:t>
            </w:r>
            <w:r w:rsidRPr="00424424">
              <w:t xml:space="preserve"> </w:t>
            </w:r>
            <w:r w:rsidRPr="00424424">
              <w:rPr>
                <w:rFonts w:ascii="Arial" w:eastAsia="Times New Roman" w:hAnsi="Arial" w:cs="Arial"/>
                <w:color w:val="000000"/>
                <w:sz w:val="20"/>
                <w:szCs w:val="20"/>
                <w:lang w:eastAsia="en-GB"/>
              </w:rPr>
              <w:t>flagged on the NHS Central Register for continuous notification of deaths</w:t>
            </w:r>
          </w:p>
        </w:tc>
      </w:tr>
      <w:tr w:rsidR="00B7459D" w:rsidRPr="00424424" w14:paraId="0969D4B8" w14:textId="77777777" w:rsidTr="000122D0">
        <w:trPr>
          <w:trHeight w:val="414"/>
        </w:trPr>
        <w:tc>
          <w:tcPr>
            <w:tcW w:w="1372" w:type="dxa"/>
            <w:tcBorders>
              <w:top w:val="nil"/>
              <w:left w:val="single" w:sz="4" w:space="0" w:color="auto"/>
              <w:bottom w:val="single" w:sz="4" w:space="0" w:color="auto"/>
              <w:right w:val="single" w:sz="4" w:space="0" w:color="auto"/>
            </w:tcBorders>
            <w:shd w:val="clear" w:color="auto" w:fill="auto"/>
            <w:noWrap/>
            <w:vAlign w:val="center"/>
          </w:tcPr>
          <w:p w14:paraId="47B86963"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Sarcopenia and Physical impairment with advancing Age Study</w:t>
            </w:r>
          </w:p>
        </w:tc>
        <w:tc>
          <w:tcPr>
            <w:tcW w:w="1317" w:type="dxa"/>
            <w:tcBorders>
              <w:left w:val="nil"/>
              <w:bottom w:val="single" w:sz="4" w:space="0" w:color="auto"/>
              <w:right w:val="single" w:sz="4" w:space="0" w:color="auto"/>
            </w:tcBorders>
            <w:shd w:val="clear" w:color="auto" w:fill="auto"/>
          </w:tcPr>
          <w:p w14:paraId="08AFC765"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Measured using a rollable wall height meter</w:t>
            </w: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5A812BA8"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Measured using a floor scale</w:t>
            </w:r>
          </w:p>
        </w:tc>
        <w:tc>
          <w:tcPr>
            <w:tcW w:w="2380" w:type="dxa"/>
            <w:tcBorders>
              <w:top w:val="nil"/>
              <w:left w:val="single" w:sz="4" w:space="0" w:color="auto"/>
              <w:bottom w:val="single" w:sz="4" w:space="0" w:color="auto"/>
              <w:right w:val="single" w:sz="4" w:space="0" w:color="auto"/>
            </w:tcBorders>
            <w:shd w:val="clear" w:color="auto" w:fill="auto"/>
          </w:tcPr>
          <w:p w14:paraId="2874AE30"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Ascertained from whole-body dual-energy X-ray absorptiometry scans (Hologic Discovery A, USA)</w:t>
            </w:r>
          </w:p>
        </w:tc>
        <w:tc>
          <w:tcPr>
            <w:tcW w:w="2582" w:type="dxa"/>
            <w:tcBorders>
              <w:top w:val="nil"/>
              <w:left w:val="nil"/>
              <w:bottom w:val="single" w:sz="4" w:space="0" w:color="auto"/>
              <w:right w:val="single" w:sz="4" w:space="0" w:color="auto"/>
            </w:tcBorders>
            <w:shd w:val="clear" w:color="auto" w:fill="auto"/>
          </w:tcPr>
          <w:p w14:paraId="1F4B3F55"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eastAsia="Times New Roman" w:hAnsi="Arial" w:cs="Arial"/>
                <w:color w:val="000000"/>
                <w:sz w:val="20"/>
                <w:szCs w:val="20"/>
                <w:lang w:eastAsia="en-GB"/>
              </w:rPr>
              <w:t>Assessed three times for each hand using a hydraulic dynamometer (Saehan Corporation, MSD Europe Bvba, Belgium); the highest measurement was used for analysis</w:t>
            </w:r>
          </w:p>
        </w:tc>
        <w:tc>
          <w:tcPr>
            <w:tcW w:w="2268" w:type="dxa"/>
            <w:gridSpan w:val="2"/>
            <w:tcBorders>
              <w:top w:val="nil"/>
              <w:left w:val="nil"/>
              <w:bottom w:val="single" w:sz="4" w:space="0" w:color="auto"/>
              <w:right w:val="single" w:sz="4" w:space="0" w:color="auto"/>
            </w:tcBorders>
            <w:shd w:val="clear" w:color="auto" w:fill="auto"/>
          </w:tcPr>
          <w:p w14:paraId="24C955D4" w14:textId="77777777" w:rsidR="00B7459D" w:rsidRPr="00424424" w:rsidRDefault="00B7459D" w:rsidP="000122D0">
            <w:pPr>
              <w:spacing w:after="0" w:line="240" w:lineRule="auto"/>
              <w:rPr>
                <w:rFonts w:ascii="Arial" w:eastAsia="Times New Roman" w:hAnsi="Arial" w:cs="Arial"/>
                <w:color w:val="000000"/>
                <w:sz w:val="20"/>
                <w:szCs w:val="20"/>
                <w:lang w:eastAsia="en-GB"/>
              </w:rPr>
            </w:pPr>
            <w:r w:rsidRPr="00424424">
              <w:rPr>
                <w:rFonts w:ascii="Arial" w:hAnsi="Arial" w:cs="Arial"/>
                <w:color w:val="222222"/>
                <w:sz w:val="20"/>
                <w:szCs w:val="20"/>
                <w:shd w:val="clear" w:color="auto" w:fill="FFFFFF"/>
              </w:rPr>
              <w:t>Calculated from a 4m gait speed test. Participants were asked to walk at their usual pace.</w:t>
            </w:r>
          </w:p>
        </w:tc>
        <w:tc>
          <w:tcPr>
            <w:tcW w:w="2805" w:type="dxa"/>
            <w:tcBorders>
              <w:top w:val="nil"/>
              <w:left w:val="nil"/>
              <w:bottom w:val="single" w:sz="4" w:space="0" w:color="auto"/>
              <w:right w:val="single" w:sz="4" w:space="0" w:color="auto"/>
            </w:tcBorders>
          </w:tcPr>
          <w:p w14:paraId="5AEE7776" w14:textId="77777777" w:rsidR="00B7459D" w:rsidRPr="00424424" w:rsidRDefault="00B7459D" w:rsidP="000122D0">
            <w:pPr>
              <w:spacing w:after="0" w:line="240" w:lineRule="auto"/>
              <w:rPr>
                <w:rFonts w:ascii="Arial" w:hAnsi="Arial" w:cs="Arial"/>
                <w:color w:val="222222"/>
                <w:sz w:val="20"/>
                <w:szCs w:val="20"/>
                <w:shd w:val="clear" w:color="auto" w:fill="FFFFFF"/>
              </w:rPr>
            </w:pPr>
            <w:r w:rsidRPr="00424424">
              <w:rPr>
                <w:rFonts w:ascii="Arial" w:hAnsi="Arial" w:cs="Arial"/>
                <w:color w:val="222222"/>
                <w:sz w:val="20"/>
                <w:szCs w:val="20"/>
                <w:shd w:val="clear" w:color="auto" w:fill="FFFFFF"/>
              </w:rPr>
              <w:t xml:space="preserve">Mortality was collected annually by interview or phone call to relatives of participants and confirmed by medical records. </w:t>
            </w:r>
          </w:p>
        </w:tc>
      </w:tr>
      <w:bookmarkEnd w:id="25"/>
    </w:tbl>
    <w:p w14:paraId="3C124B12" w14:textId="77777777" w:rsidR="00B7459D" w:rsidRPr="00F150D1" w:rsidRDefault="00B7459D" w:rsidP="00B7459D">
      <w:pPr>
        <w:tabs>
          <w:tab w:val="left" w:pos="1375"/>
        </w:tabs>
        <w:rPr>
          <w:rFonts w:ascii="Arial" w:hAnsi="Arial" w:cs="Arial"/>
          <w:sz w:val="20"/>
          <w:szCs w:val="20"/>
          <w:lang w:eastAsia="en-GB"/>
        </w:rPr>
      </w:pPr>
    </w:p>
    <w:p w14:paraId="24D6BC2B" w14:textId="77777777" w:rsidR="00B7459D" w:rsidRDefault="00B7459D" w:rsidP="00B7459D">
      <w:pPr>
        <w:spacing w:after="120" w:line="240" w:lineRule="auto"/>
        <w:rPr>
          <w:rFonts w:ascii="Arial" w:hAnsi="Arial" w:cs="Arial"/>
          <w:b/>
          <w:noProof/>
          <w:sz w:val="20"/>
          <w:szCs w:val="20"/>
          <w:lang w:eastAsia="en-GB"/>
        </w:rPr>
        <w:sectPr w:rsidR="00B7459D" w:rsidSect="00F150D1">
          <w:pgSz w:w="16838" w:h="11906" w:orient="landscape"/>
          <w:pgMar w:top="1440" w:right="1440" w:bottom="1440" w:left="1440" w:header="708" w:footer="708" w:gutter="0"/>
          <w:cols w:space="708"/>
          <w:docGrid w:linePitch="360"/>
        </w:sectPr>
      </w:pPr>
    </w:p>
    <w:p w14:paraId="5CFD9429" w14:textId="77777777" w:rsidR="00B7459D" w:rsidRPr="00424424" w:rsidRDefault="00B7459D" w:rsidP="00B7459D">
      <w:pPr>
        <w:spacing w:after="120" w:line="240" w:lineRule="auto"/>
        <w:rPr>
          <w:rFonts w:ascii="Arial" w:hAnsi="Arial" w:cs="Arial"/>
          <w:b/>
          <w:noProof/>
          <w:sz w:val="20"/>
          <w:szCs w:val="20"/>
          <w:lang w:eastAsia="en-GB"/>
        </w:rPr>
      </w:pPr>
      <w:r w:rsidRPr="00424424">
        <w:rPr>
          <w:rFonts w:ascii="Arial" w:hAnsi="Arial" w:cs="Arial"/>
          <w:b/>
          <w:noProof/>
          <w:sz w:val="20"/>
          <w:szCs w:val="20"/>
          <w:lang w:eastAsia="en-GB"/>
        </w:rPr>
        <w:lastRenderedPageBreak/>
        <w:t xml:space="preserve">Figure S1: </w:t>
      </w:r>
      <w:r w:rsidRPr="00424424">
        <w:rPr>
          <w:rFonts w:ascii="Arial" w:hAnsi="Arial" w:cs="Arial"/>
          <w:bCs/>
          <w:noProof/>
          <w:sz w:val="20"/>
          <w:szCs w:val="20"/>
          <w:lang w:eastAsia="en-GB"/>
        </w:rPr>
        <w:t>Flow diagram for the analysis sample regarding each cohort</w:t>
      </w:r>
    </w:p>
    <w:p w14:paraId="0729E13C" w14:textId="77777777" w:rsidR="00B7459D" w:rsidRPr="00424424"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drawing>
          <wp:inline distT="0" distB="0" distL="0" distR="0" wp14:anchorId="1EA2C902" wp14:editId="66060593">
            <wp:extent cx="4442400" cy="72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42400" cy="7268400"/>
                    </a:xfrm>
                    <a:prstGeom prst="rect">
                      <a:avLst/>
                    </a:prstGeom>
                    <a:noFill/>
                  </pic:spPr>
                </pic:pic>
              </a:graphicData>
            </a:graphic>
          </wp:inline>
        </w:drawing>
      </w:r>
    </w:p>
    <w:p w14:paraId="6CB26355" w14:textId="77777777" w:rsidR="00B7459D" w:rsidRPr="00424424" w:rsidRDefault="00B7459D" w:rsidP="00B7459D">
      <w:pPr>
        <w:spacing w:after="120" w:line="240" w:lineRule="auto"/>
        <w:rPr>
          <w:rFonts w:ascii="Arial" w:hAnsi="Arial" w:cs="Arial"/>
          <w:bCs/>
          <w:noProof/>
          <w:sz w:val="20"/>
          <w:szCs w:val="20"/>
          <w:lang w:eastAsia="en-GB"/>
        </w:rPr>
      </w:pPr>
    </w:p>
    <w:p w14:paraId="129997FC" w14:textId="77777777" w:rsidR="00B7459D" w:rsidRPr="00424424"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Variables of interest comprised those displayed in Table 2</w:t>
      </w:r>
    </w:p>
    <w:p w14:paraId="29686BCD" w14:textId="77777777" w:rsidR="00B7459D" w:rsidRPr="00424424"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HCS comprises 2997 men and women born in Hertfordshire from 1931-1939. 966 participants from East Hertfordshire underwent a dual-energy X-ray absorptiometry (DXA) BMD scan at baseline. In 2004, 642 were recruited to a musculoskeletal follow-up study. In 2011, 443/642 participated in a further follow-up study; 346/433 of these participants underwent whole body DXA.</w:t>
      </w:r>
    </w:p>
    <w:p w14:paraId="25FC555E" w14:textId="77777777" w:rsidR="00B7459D" w:rsidRPr="00061E1A" w:rsidRDefault="00B7459D" w:rsidP="00B7459D">
      <w:pPr>
        <w:spacing w:after="120" w:line="240" w:lineRule="auto"/>
        <w:rPr>
          <w:rFonts w:ascii="Arial" w:hAnsi="Arial" w:cs="Arial"/>
          <w:bCs/>
          <w:noProof/>
          <w:sz w:val="20"/>
          <w:szCs w:val="20"/>
          <w:lang w:eastAsia="en-GB"/>
        </w:rPr>
        <w:sectPr w:rsidR="00B7459D" w:rsidRPr="00061E1A" w:rsidSect="00061E1A">
          <w:pgSz w:w="11906" w:h="16838"/>
          <w:pgMar w:top="1440" w:right="1440" w:bottom="1440" w:left="1440" w:header="708" w:footer="708" w:gutter="0"/>
          <w:cols w:space="708"/>
          <w:docGrid w:linePitch="360"/>
        </w:sectPr>
      </w:pPr>
      <w:r w:rsidRPr="00424424">
        <w:rPr>
          <w:rFonts w:ascii="Arial" w:hAnsi="Arial" w:cs="Arial"/>
          <w:bCs/>
          <w:noProof/>
          <w:sz w:val="20"/>
          <w:szCs w:val="20"/>
          <w:lang w:eastAsia="en-GB"/>
        </w:rPr>
        <w:t>SarcoPhAge participants were homogenous regarding ethnicity; the vast majority were whit</w:t>
      </w:r>
      <w:r>
        <w:rPr>
          <w:rFonts w:ascii="Arial" w:hAnsi="Arial" w:cs="Arial"/>
          <w:bCs/>
          <w:noProof/>
          <w:sz w:val="20"/>
          <w:szCs w:val="20"/>
          <w:lang w:eastAsia="en-GB"/>
        </w:rPr>
        <w:t>e</w:t>
      </w:r>
    </w:p>
    <w:tbl>
      <w:tblPr>
        <w:tblW w:w="16091" w:type="dxa"/>
        <w:tblLayout w:type="fixed"/>
        <w:tblLook w:val="04A0" w:firstRow="1" w:lastRow="0" w:firstColumn="1" w:lastColumn="0" w:noHBand="0" w:noVBand="1"/>
      </w:tblPr>
      <w:tblGrid>
        <w:gridCol w:w="1985"/>
        <w:gridCol w:w="1417"/>
        <w:gridCol w:w="1418"/>
        <w:gridCol w:w="1276"/>
        <w:gridCol w:w="1417"/>
        <w:gridCol w:w="1559"/>
        <w:gridCol w:w="1414"/>
        <w:gridCol w:w="1397"/>
        <w:gridCol w:w="1300"/>
        <w:gridCol w:w="1418"/>
        <w:gridCol w:w="1490"/>
      </w:tblGrid>
      <w:tr w:rsidR="00B7459D" w:rsidRPr="00424424" w14:paraId="76C94B77" w14:textId="77777777" w:rsidTr="000122D0">
        <w:trPr>
          <w:gridAfter w:val="1"/>
          <w:wAfter w:w="1490" w:type="dxa"/>
          <w:trHeight w:val="300"/>
        </w:trPr>
        <w:tc>
          <w:tcPr>
            <w:tcW w:w="14601" w:type="dxa"/>
            <w:gridSpan w:val="10"/>
            <w:tcBorders>
              <w:left w:val="nil"/>
              <w:bottom w:val="nil"/>
              <w:right w:val="nil"/>
            </w:tcBorders>
            <w:shd w:val="clear" w:color="auto" w:fill="auto"/>
            <w:vAlign w:val="center"/>
            <w:hideMark/>
          </w:tcPr>
          <w:p w14:paraId="5C63ABF9" w14:textId="77777777" w:rsidR="00B7459D" w:rsidRPr="00424424" w:rsidRDefault="00B7459D" w:rsidP="000122D0">
            <w:pPr>
              <w:spacing w:after="0" w:line="240" w:lineRule="auto"/>
              <w:rPr>
                <w:rFonts w:ascii="Arial" w:eastAsia="Times New Roman" w:hAnsi="Arial" w:cs="Arial"/>
                <w:b/>
                <w:bCs/>
                <w:color w:val="000000"/>
                <w:sz w:val="20"/>
                <w:szCs w:val="20"/>
                <w:lang w:eastAsia="en-GB"/>
              </w:rPr>
            </w:pPr>
            <w:r w:rsidRPr="00424424">
              <w:rPr>
                <w:rFonts w:ascii="Arial" w:eastAsia="Times New Roman" w:hAnsi="Arial" w:cs="Arial"/>
                <w:b/>
                <w:bCs/>
                <w:color w:val="000000"/>
                <w:sz w:val="20"/>
                <w:szCs w:val="20"/>
                <w:lang w:eastAsia="en-GB"/>
              </w:rPr>
              <w:lastRenderedPageBreak/>
              <w:t>Table S2: Participant characteristics according to cohort and sex</w:t>
            </w:r>
          </w:p>
        </w:tc>
      </w:tr>
      <w:tr w:rsidR="00B7459D" w:rsidRPr="00424424" w14:paraId="7828B994" w14:textId="77777777" w:rsidTr="000122D0">
        <w:trPr>
          <w:gridAfter w:val="1"/>
          <w:wAfter w:w="1490" w:type="dxa"/>
          <w:trHeight w:val="300"/>
        </w:trPr>
        <w:tc>
          <w:tcPr>
            <w:tcW w:w="1985" w:type="dxa"/>
            <w:tcBorders>
              <w:top w:val="nil"/>
              <w:left w:val="nil"/>
              <w:bottom w:val="nil"/>
              <w:right w:val="nil"/>
            </w:tcBorders>
            <w:shd w:val="clear" w:color="auto" w:fill="auto"/>
            <w:vAlign w:val="center"/>
            <w:hideMark/>
          </w:tcPr>
          <w:p w14:paraId="23611688"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p>
        </w:tc>
        <w:tc>
          <w:tcPr>
            <w:tcW w:w="1417" w:type="dxa"/>
            <w:tcBorders>
              <w:top w:val="nil"/>
              <w:left w:val="nil"/>
              <w:bottom w:val="nil"/>
              <w:right w:val="nil"/>
            </w:tcBorders>
            <w:shd w:val="clear" w:color="auto" w:fill="auto"/>
            <w:vAlign w:val="center"/>
            <w:hideMark/>
          </w:tcPr>
          <w:p w14:paraId="5EAA3473"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center"/>
            <w:hideMark/>
          </w:tcPr>
          <w:p w14:paraId="42AAFFD6"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276" w:type="dxa"/>
            <w:tcBorders>
              <w:top w:val="nil"/>
              <w:left w:val="nil"/>
              <w:bottom w:val="nil"/>
              <w:right w:val="nil"/>
            </w:tcBorders>
            <w:shd w:val="clear" w:color="auto" w:fill="auto"/>
            <w:vAlign w:val="center"/>
            <w:hideMark/>
          </w:tcPr>
          <w:p w14:paraId="35258956"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417" w:type="dxa"/>
            <w:tcBorders>
              <w:top w:val="nil"/>
              <w:left w:val="nil"/>
              <w:bottom w:val="nil"/>
              <w:right w:val="nil"/>
            </w:tcBorders>
            <w:shd w:val="clear" w:color="auto" w:fill="auto"/>
            <w:vAlign w:val="center"/>
            <w:hideMark/>
          </w:tcPr>
          <w:p w14:paraId="7C1284DA"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559" w:type="dxa"/>
            <w:tcBorders>
              <w:top w:val="nil"/>
              <w:left w:val="nil"/>
              <w:bottom w:val="nil"/>
              <w:right w:val="nil"/>
            </w:tcBorders>
            <w:shd w:val="clear" w:color="auto" w:fill="auto"/>
            <w:vAlign w:val="center"/>
            <w:hideMark/>
          </w:tcPr>
          <w:p w14:paraId="6D7F8C83"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414" w:type="dxa"/>
            <w:tcBorders>
              <w:top w:val="nil"/>
              <w:left w:val="nil"/>
              <w:bottom w:val="nil"/>
              <w:right w:val="nil"/>
            </w:tcBorders>
            <w:shd w:val="clear" w:color="auto" w:fill="auto"/>
            <w:vAlign w:val="center"/>
            <w:hideMark/>
          </w:tcPr>
          <w:p w14:paraId="513E7E64"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397" w:type="dxa"/>
            <w:tcBorders>
              <w:top w:val="nil"/>
              <w:left w:val="nil"/>
              <w:bottom w:val="nil"/>
              <w:right w:val="nil"/>
            </w:tcBorders>
            <w:shd w:val="clear" w:color="auto" w:fill="auto"/>
            <w:vAlign w:val="center"/>
            <w:hideMark/>
          </w:tcPr>
          <w:p w14:paraId="6583A575"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300" w:type="dxa"/>
            <w:tcBorders>
              <w:top w:val="nil"/>
              <w:left w:val="nil"/>
              <w:bottom w:val="nil"/>
              <w:right w:val="nil"/>
            </w:tcBorders>
            <w:shd w:val="clear" w:color="auto" w:fill="auto"/>
            <w:vAlign w:val="center"/>
            <w:hideMark/>
          </w:tcPr>
          <w:p w14:paraId="066F5F43"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c>
          <w:tcPr>
            <w:tcW w:w="1418" w:type="dxa"/>
            <w:tcBorders>
              <w:top w:val="nil"/>
              <w:left w:val="nil"/>
              <w:bottom w:val="nil"/>
              <w:right w:val="nil"/>
            </w:tcBorders>
            <w:shd w:val="clear" w:color="auto" w:fill="auto"/>
            <w:vAlign w:val="center"/>
            <w:hideMark/>
          </w:tcPr>
          <w:p w14:paraId="79A63413"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r>
      <w:tr w:rsidR="00B7459D" w:rsidRPr="00424424" w14:paraId="64A20A0F" w14:textId="77777777" w:rsidTr="000122D0">
        <w:trPr>
          <w:gridAfter w:val="1"/>
          <w:wAfter w:w="1490" w:type="dxa"/>
          <w:trHeight w:val="300"/>
        </w:trPr>
        <w:tc>
          <w:tcPr>
            <w:tcW w:w="198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646C8F"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Characteristic</w:t>
            </w:r>
            <w:r w:rsidRPr="00424424">
              <w:rPr>
                <w:rFonts w:ascii="Arial" w:eastAsia="Times New Roman" w:hAnsi="Arial" w:cs="Arial"/>
                <w:b/>
                <w:bCs/>
                <w:color w:val="000000"/>
                <w:sz w:val="18"/>
                <w:szCs w:val="18"/>
                <w:lang w:eastAsia="en-GB"/>
              </w:rPr>
              <w:br/>
              <w:t>[Mean (SD) or N(%)]</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A5854A"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All cohorts (n=</w:t>
            </w:r>
            <w:r>
              <w:rPr>
                <w:rFonts w:ascii="Arial" w:eastAsia="Times New Roman" w:hAnsi="Arial" w:cs="Arial"/>
                <w:b/>
                <w:bCs/>
                <w:color w:val="000000"/>
                <w:sz w:val="18"/>
                <w:szCs w:val="18"/>
                <w:lang w:eastAsia="en-GB"/>
              </w:rPr>
              <w:t>12238</w:t>
            </w:r>
            <w:r w:rsidRPr="00424424">
              <w:rPr>
                <w:rFonts w:ascii="Arial" w:eastAsia="Times New Roman" w:hAnsi="Arial" w:cs="Arial"/>
                <w:b/>
                <w:bCs/>
                <w:color w:val="000000"/>
                <w:sz w:val="18"/>
                <w:szCs w:val="18"/>
                <w:lang w:eastAsia="en-GB"/>
              </w:rPr>
              <w:t>)</w:t>
            </w:r>
          </w:p>
        </w:tc>
        <w:tc>
          <w:tcPr>
            <w:tcW w:w="2694" w:type="dxa"/>
            <w:gridSpan w:val="2"/>
            <w:tcBorders>
              <w:top w:val="single" w:sz="8" w:space="0" w:color="auto"/>
              <w:left w:val="nil"/>
              <w:bottom w:val="nil"/>
              <w:right w:val="single" w:sz="4" w:space="0" w:color="000000"/>
            </w:tcBorders>
            <w:shd w:val="clear" w:color="auto" w:fill="auto"/>
            <w:noWrap/>
            <w:vAlign w:val="center"/>
            <w:hideMark/>
          </w:tcPr>
          <w:p w14:paraId="08F72B79"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Health ABC (n=2949)</w:t>
            </w:r>
          </w:p>
        </w:tc>
        <w:tc>
          <w:tcPr>
            <w:tcW w:w="1417" w:type="dxa"/>
            <w:tcBorders>
              <w:top w:val="single" w:sz="8" w:space="0" w:color="auto"/>
              <w:left w:val="nil"/>
              <w:bottom w:val="nil"/>
              <w:right w:val="single" w:sz="4" w:space="0" w:color="auto"/>
            </w:tcBorders>
            <w:shd w:val="clear" w:color="auto" w:fill="auto"/>
            <w:vAlign w:val="center"/>
            <w:hideMark/>
          </w:tcPr>
          <w:p w14:paraId="0D4B6E4B"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MrOS US</w:t>
            </w:r>
          </w:p>
        </w:tc>
        <w:tc>
          <w:tcPr>
            <w:tcW w:w="1559" w:type="dxa"/>
            <w:tcBorders>
              <w:top w:val="single" w:sz="8" w:space="0" w:color="auto"/>
              <w:left w:val="nil"/>
              <w:bottom w:val="nil"/>
              <w:right w:val="single" w:sz="4" w:space="0" w:color="auto"/>
            </w:tcBorders>
            <w:shd w:val="clear" w:color="auto" w:fill="auto"/>
            <w:vAlign w:val="center"/>
            <w:hideMark/>
          </w:tcPr>
          <w:p w14:paraId="21D2E29A"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MrOS Sweden</w:t>
            </w:r>
          </w:p>
        </w:tc>
        <w:tc>
          <w:tcPr>
            <w:tcW w:w="2811" w:type="dxa"/>
            <w:gridSpan w:val="2"/>
            <w:tcBorders>
              <w:top w:val="single" w:sz="8" w:space="0" w:color="auto"/>
              <w:left w:val="nil"/>
              <w:bottom w:val="nil"/>
              <w:right w:val="single" w:sz="4" w:space="0" w:color="000000"/>
            </w:tcBorders>
            <w:shd w:val="clear" w:color="auto" w:fill="auto"/>
            <w:noWrap/>
            <w:vAlign w:val="center"/>
            <w:hideMark/>
          </w:tcPr>
          <w:p w14:paraId="324BFFFE"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HCS (n=304)</w:t>
            </w:r>
          </w:p>
        </w:tc>
        <w:tc>
          <w:tcPr>
            <w:tcW w:w="2718" w:type="dxa"/>
            <w:gridSpan w:val="2"/>
            <w:tcBorders>
              <w:top w:val="single" w:sz="8" w:space="0" w:color="auto"/>
              <w:left w:val="nil"/>
              <w:bottom w:val="nil"/>
              <w:right w:val="single" w:sz="8" w:space="0" w:color="000000"/>
            </w:tcBorders>
            <w:shd w:val="clear" w:color="auto" w:fill="auto"/>
            <w:noWrap/>
            <w:vAlign w:val="center"/>
            <w:hideMark/>
          </w:tcPr>
          <w:p w14:paraId="28A88925"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SarcoPhAge (n=472)</w:t>
            </w:r>
          </w:p>
        </w:tc>
      </w:tr>
      <w:tr w:rsidR="00B7459D" w:rsidRPr="00424424" w14:paraId="0B4FB169" w14:textId="77777777" w:rsidTr="000122D0">
        <w:trPr>
          <w:gridAfter w:val="1"/>
          <w:wAfter w:w="1490" w:type="dxa"/>
          <w:trHeight w:val="300"/>
        </w:trPr>
        <w:tc>
          <w:tcPr>
            <w:tcW w:w="1985" w:type="dxa"/>
            <w:vMerge/>
            <w:tcBorders>
              <w:top w:val="single" w:sz="8" w:space="0" w:color="auto"/>
              <w:left w:val="single" w:sz="8" w:space="0" w:color="auto"/>
              <w:bottom w:val="single" w:sz="8" w:space="0" w:color="000000"/>
              <w:right w:val="single" w:sz="4" w:space="0" w:color="auto"/>
            </w:tcBorders>
            <w:vAlign w:val="center"/>
            <w:hideMark/>
          </w:tcPr>
          <w:p w14:paraId="3768D570"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BD10A6B"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p>
        </w:tc>
        <w:tc>
          <w:tcPr>
            <w:tcW w:w="1418" w:type="dxa"/>
            <w:tcBorders>
              <w:top w:val="nil"/>
              <w:left w:val="nil"/>
              <w:bottom w:val="single" w:sz="8" w:space="0" w:color="auto"/>
              <w:right w:val="nil"/>
            </w:tcBorders>
            <w:shd w:val="clear" w:color="auto" w:fill="auto"/>
            <w:noWrap/>
            <w:vAlign w:val="center"/>
            <w:hideMark/>
          </w:tcPr>
          <w:p w14:paraId="2D8997D1"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Men (n=1428)</w:t>
            </w:r>
          </w:p>
        </w:tc>
        <w:tc>
          <w:tcPr>
            <w:tcW w:w="1276" w:type="dxa"/>
            <w:tcBorders>
              <w:top w:val="nil"/>
              <w:left w:val="nil"/>
              <w:bottom w:val="single" w:sz="8" w:space="0" w:color="auto"/>
              <w:right w:val="single" w:sz="4" w:space="0" w:color="auto"/>
            </w:tcBorders>
            <w:shd w:val="clear" w:color="auto" w:fill="auto"/>
            <w:noWrap/>
            <w:vAlign w:val="center"/>
            <w:hideMark/>
          </w:tcPr>
          <w:p w14:paraId="12920AD0"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Women (n=1521)</w:t>
            </w:r>
          </w:p>
        </w:tc>
        <w:tc>
          <w:tcPr>
            <w:tcW w:w="1417" w:type="dxa"/>
            <w:tcBorders>
              <w:top w:val="nil"/>
              <w:left w:val="nil"/>
              <w:bottom w:val="single" w:sz="8" w:space="0" w:color="auto"/>
              <w:right w:val="single" w:sz="4" w:space="0" w:color="auto"/>
            </w:tcBorders>
            <w:shd w:val="clear" w:color="auto" w:fill="auto"/>
            <w:vAlign w:val="center"/>
            <w:hideMark/>
          </w:tcPr>
          <w:p w14:paraId="07B597E5"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Men (n=5662)</w:t>
            </w:r>
          </w:p>
        </w:tc>
        <w:tc>
          <w:tcPr>
            <w:tcW w:w="1559" w:type="dxa"/>
            <w:tcBorders>
              <w:top w:val="nil"/>
              <w:left w:val="nil"/>
              <w:bottom w:val="single" w:sz="8" w:space="0" w:color="auto"/>
              <w:right w:val="single" w:sz="4" w:space="0" w:color="auto"/>
            </w:tcBorders>
            <w:shd w:val="clear" w:color="auto" w:fill="auto"/>
            <w:vAlign w:val="center"/>
            <w:hideMark/>
          </w:tcPr>
          <w:p w14:paraId="5C90E6DC"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Men (n=2851)</w:t>
            </w:r>
          </w:p>
        </w:tc>
        <w:tc>
          <w:tcPr>
            <w:tcW w:w="1414" w:type="dxa"/>
            <w:tcBorders>
              <w:top w:val="nil"/>
              <w:left w:val="nil"/>
              <w:bottom w:val="single" w:sz="8" w:space="0" w:color="auto"/>
              <w:right w:val="nil"/>
            </w:tcBorders>
            <w:shd w:val="clear" w:color="auto" w:fill="auto"/>
            <w:noWrap/>
            <w:vAlign w:val="center"/>
            <w:hideMark/>
          </w:tcPr>
          <w:p w14:paraId="3DF56861"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Men (n=157)</w:t>
            </w:r>
          </w:p>
        </w:tc>
        <w:tc>
          <w:tcPr>
            <w:tcW w:w="1397" w:type="dxa"/>
            <w:tcBorders>
              <w:top w:val="nil"/>
              <w:left w:val="nil"/>
              <w:bottom w:val="single" w:sz="8" w:space="0" w:color="auto"/>
              <w:right w:val="single" w:sz="4" w:space="0" w:color="auto"/>
            </w:tcBorders>
            <w:shd w:val="clear" w:color="auto" w:fill="auto"/>
            <w:noWrap/>
            <w:vAlign w:val="center"/>
            <w:hideMark/>
          </w:tcPr>
          <w:p w14:paraId="0AB21EA5"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Women (n=147)</w:t>
            </w:r>
          </w:p>
        </w:tc>
        <w:tc>
          <w:tcPr>
            <w:tcW w:w="1300" w:type="dxa"/>
            <w:tcBorders>
              <w:top w:val="nil"/>
              <w:left w:val="nil"/>
              <w:bottom w:val="single" w:sz="8" w:space="0" w:color="auto"/>
              <w:right w:val="nil"/>
            </w:tcBorders>
            <w:shd w:val="clear" w:color="auto" w:fill="auto"/>
            <w:noWrap/>
            <w:vAlign w:val="center"/>
            <w:hideMark/>
          </w:tcPr>
          <w:p w14:paraId="6E4E4567"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Men (n=190)</w:t>
            </w:r>
          </w:p>
        </w:tc>
        <w:tc>
          <w:tcPr>
            <w:tcW w:w="1418" w:type="dxa"/>
            <w:tcBorders>
              <w:top w:val="nil"/>
              <w:left w:val="nil"/>
              <w:bottom w:val="single" w:sz="8" w:space="0" w:color="auto"/>
              <w:right w:val="single" w:sz="8" w:space="0" w:color="auto"/>
            </w:tcBorders>
            <w:shd w:val="clear" w:color="auto" w:fill="auto"/>
            <w:noWrap/>
            <w:vAlign w:val="center"/>
            <w:hideMark/>
          </w:tcPr>
          <w:p w14:paraId="4BC979BA"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Women (n=282)</w:t>
            </w:r>
          </w:p>
        </w:tc>
      </w:tr>
      <w:tr w:rsidR="00B7459D" w:rsidRPr="00424424" w14:paraId="29C2983E"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vAlign w:val="center"/>
            <w:hideMark/>
          </w:tcPr>
          <w:p w14:paraId="0B55BEA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Ethnicity</w:t>
            </w:r>
          </w:p>
        </w:tc>
        <w:tc>
          <w:tcPr>
            <w:tcW w:w="1417" w:type="dxa"/>
            <w:tcBorders>
              <w:top w:val="nil"/>
              <w:left w:val="nil"/>
              <w:bottom w:val="nil"/>
              <w:right w:val="single" w:sz="4" w:space="0" w:color="auto"/>
            </w:tcBorders>
            <w:shd w:val="clear" w:color="auto" w:fill="auto"/>
            <w:vAlign w:val="center"/>
            <w:hideMark/>
          </w:tcPr>
          <w:p w14:paraId="737F8DF0"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418" w:type="dxa"/>
            <w:tcBorders>
              <w:top w:val="nil"/>
              <w:left w:val="nil"/>
              <w:bottom w:val="nil"/>
              <w:right w:val="nil"/>
            </w:tcBorders>
            <w:shd w:val="clear" w:color="auto" w:fill="auto"/>
            <w:noWrap/>
            <w:vAlign w:val="center"/>
            <w:hideMark/>
          </w:tcPr>
          <w:p w14:paraId="7F7533C2"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276" w:type="dxa"/>
            <w:tcBorders>
              <w:top w:val="nil"/>
              <w:left w:val="nil"/>
              <w:bottom w:val="nil"/>
              <w:right w:val="single" w:sz="4" w:space="0" w:color="auto"/>
            </w:tcBorders>
            <w:shd w:val="clear" w:color="auto" w:fill="auto"/>
            <w:noWrap/>
            <w:vAlign w:val="center"/>
            <w:hideMark/>
          </w:tcPr>
          <w:p w14:paraId="4E4F982E"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417" w:type="dxa"/>
            <w:tcBorders>
              <w:top w:val="nil"/>
              <w:left w:val="nil"/>
              <w:bottom w:val="nil"/>
              <w:right w:val="single" w:sz="4" w:space="0" w:color="auto"/>
            </w:tcBorders>
            <w:shd w:val="clear" w:color="auto" w:fill="auto"/>
            <w:vAlign w:val="center"/>
            <w:hideMark/>
          </w:tcPr>
          <w:p w14:paraId="5E8DFC8B"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559" w:type="dxa"/>
            <w:tcBorders>
              <w:top w:val="nil"/>
              <w:left w:val="nil"/>
              <w:bottom w:val="nil"/>
              <w:right w:val="single" w:sz="4" w:space="0" w:color="auto"/>
            </w:tcBorders>
            <w:shd w:val="clear" w:color="auto" w:fill="auto"/>
            <w:vAlign w:val="center"/>
            <w:hideMark/>
          </w:tcPr>
          <w:p w14:paraId="081E468D" w14:textId="77777777" w:rsidR="00B7459D" w:rsidRPr="00424424" w:rsidRDefault="00B7459D" w:rsidP="000122D0">
            <w:pPr>
              <w:spacing w:after="0" w:line="240" w:lineRule="auto"/>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414" w:type="dxa"/>
            <w:tcBorders>
              <w:top w:val="nil"/>
              <w:left w:val="nil"/>
              <w:bottom w:val="nil"/>
              <w:right w:val="nil"/>
            </w:tcBorders>
            <w:shd w:val="clear" w:color="auto" w:fill="auto"/>
            <w:noWrap/>
            <w:vAlign w:val="center"/>
            <w:hideMark/>
          </w:tcPr>
          <w:p w14:paraId="0C8551D6"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397" w:type="dxa"/>
            <w:tcBorders>
              <w:top w:val="nil"/>
              <w:left w:val="nil"/>
              <w:bottom w:val="nil"/>
              <w:right w:val="single" w:sz="4" w:space="0" w:color="auto"/>
            </w:tcBorders>
            <w:shd w:val="clear" w:color="auto" w:fill="auto"/>
            <w:noWrap/>
            <w:vAlign w:val="center"/>
            <w:hideMark/>
          </w:tcPr>
          <w:p w14:paraId="71A14493"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300" w:type="dxa"/>
            <w:tcBorders>
              <w:top w:val="nil"/>
              <w:left w:val="nil"/>
              <w:bottom w:val="nil"/>
              <w:right w:val="nil"/>
            </w:tcBorders>
            <w:shd w:val="clear" w:color="auto" w:fill="auto"/>
            <w:noWrap/>
            <w:vAlign w:val="center"/>
            <w:hideMark/>
          </w:tcPr>
          <w:p w14:paraId="52D0A054"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c>
          <w:tcPr>
            <w:tcW w:w="1418" w:type="dxa"/>
            <w:tcBorders>
              <w:top w:val="nil"/>
              <w:left w:val="nil"/>
              <w:bottom w:val="nil"/>
              <w:right w:val="single" w:sz="8" w:space="0" w:color="auto"/>
            </w:tcBorders>
            <w:shd w:val="clear" w:color="auto" w:fill="auto"/>
            <w:noWrap/>
            <w:vAlign w:val="center"/>
            <w:hideMark/>
          </w:tcPr>
          <w:p w14:paraId="28A3AA22" w14:textId="77777777" w:rsidR="00B7459D" w:rsidRPr="00424424" w:rsidRDefault="00B7459D" w:rsidP="000122D0">
            <w:pPr>
              <w:spacing w:after="0" w:line="240" w:lineRule="auto"/>
              <w:jc w:val="center"/>
              <w:rPr>
                <w:rFonts w:ascii="Arial" w:eastAsia="Times New Roman" w:hAnsi="Arial" w:cs="Arial"/>
                <w:b/>
                <w:bCs/>
                <w:color w:val="000000"/>
                <w:sz w:val="18"/>
                <w:szCs w:val="18"/>
                <w:lang w:eastAsia="en-GB"/>
              </w:rPr>
            </w:pPr>
            <w:r w:rsidRPr="00424424">
              <w:rPr>
                <w:rFonts w:ascii="Arial" w:eastAsia="Times New Roman" w:hAnsi="Arial" w:cs="Arial"/>
                <w:b/>
                <w:bCs/>
                <w:color w:val="000000"/>
                <w:sz w:val="18"/>
                <w:szCs w:val="18"/>
                <w:lang w:eastAsia="en-GB"/>
              </w:rPr>
              <w:t> </w:t>
            </w:r>
          </w:p>
        </w:tc>
      </w:tr>
      <w:tr w:rsidR="00B7459D" w:rsidRPr="00424424" w14:paraId="2E8589E0"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center"/>
            <w:hideMark/>
          </w:tcPr>
          <w:p w14:paraId="29575DB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White</w:t>
            </w:r>
          </w:p>
        </w:tc>
        <w:tc>
          <w:tcPr>
            <w:tcW w:w="1417" w:type="dxa"/>
            <w:tcBorders>
              <w:top w:val="nil"/>
              <w:left w:val="nil"/>
              <w:bottom w:val="nil"/>
              <w:right w:val="single" w:sz="4" w:space="0" w:color="auto"/>
            </w:tcBorders>
            <w:shd w:val="clear" w:color="auto" w:fill="auto"/>
            <w:noWrap/>
            <w:vAlign w:val="bottom"/>
            <w:hideMark/>
          </w:tcPr>
          <w:p w14:paraId="17B2EB2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10425 (85.2%)</w:t>
            </w:r>
          </w:p>
        </w:tc>
        <w:tc>
          <w:tcPr>
            <w:tcW w:w="1418" w:type="dxa"/>
            <w:tcBorders>
              <w:top w:val="nil"/>
              <w:left w:val="nil"/>
              <w:bottom w:val="nil"/>
              <w:right w:val="nil"/>
            </w:tcBorders>
            <w:shd w:val="clear" w:color="auto" w:fill="auto"/>
            <w:noWrap/>
            <w:vAlign w:val="bottom"/>
            <w:hideMark/>
          </w:tcPr>
          <w:p w14:paraId="45F32CE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908 (63.6%)</w:t>
            </w:r>
          </w:p>
        </w:tc>
        <w:tc>
          <w:tcPr>
            <w:tcW w:w="1276" w:type="dxa"/>
            <w:tcBorders>
              <w:top w:val="nil"/>
              <w:left w:val="nil"/>
              <w:bottom w:val="nil"/>
              <w:right w:val="single" w:sz="4" w:space="0" w:color="auto"/>
            </w:tcBorders>
            <w:shd w:val="clear" w:color="auto" w:fill="auto"/>
            <w:noWrap/>
            <w:vAlign w:val="bottom"/>
            <w:hideMark/>
          </w:tcPr>
          <w:p w14:paraId="1D0F551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826 (54.3%)</w:t>
            </w:r>
          </w:p>
        </w:tc>
        <w:tc>
          <w:tcPr>
            <w:tcW w:w="1417" w:type="dxa"/>
            <w:tcBorders>
              <w:top w:val="nil"/>
              <w:left w:val="nil"/>
              <w:bottom w:val="nil"/>
              <w:right w:val="single" w:sz="4" w:space="0" w:color="auto"/>
            </w:tcBorders>
            <w:shd w:val="clear" w:color="auto" w:fill="auto"/>
            <w:noWrap/>
            <w:vAlign w:val="bottom"/>
            <w:hideMark/>
          </w:tcPr>
          <w:p w14:paraId="703F464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5064 (89.4%)</w:t>
            </w:r>
          </w:p>
        </w:tc>
        <w:tc>
          <w:tcPr>
            <w:tcW w:w="1559" w:type="dxa"/>
            <w:tcBorders>
              <w:top w:val="nil"/>
              <w:left w:val="nil"/>
              <w:bottom w:val="nil"/>
              <w:right w:val="single" w:sz="4" w:space="0" w:color="auto"/>
            </w:tcBorders>
            <w:shd w:val="clear" w:color="auto" w:fill="auto"/>
            <w:noWrap/>
            <w:vAlign w:val="bottom"/>
            <w:hideMark/>
          </w:tcPr>
          <w:p w14:paraId="4677776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2851 (100.0%)</w:t>
            </w:r>
          </w:p>
        </w:tc>
        <w:tc>
          <w:tcPr>
            <w:tcW w:w="1414" w:type="dxa"/>
            <w:tcBorders>
              <w:top w:val="nil"/>
              <w:left w:val="nil"/>
              <w:bottom w:val="nil"/>
              <w:right w:val="nil"/>
            </w:tcBorders>
            <w:shd w:val="clear" w:color="auto" w:fill="auto"/>
            <w:noWrap/>
            <w:vAlign w:val="bottom"/>
            <w:hideMark/>
          </w:tcPr>
          <w:p w14:paraId="702D201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157 (100.0%)</w:t>
            </w:r>
          </w:p>
        </w:tc>
        <w:tc>
          <w:tcPr>
            <w:tcW w:w="1397" w:type="dxa"/>
            <w:tcBorders>
              <w:top w:val="nil"/>
              <w:left w:val="nil"/>
              <w:bottom w:val="nil"/>
              <w:right w:val="single" w:sz="4" w:space="0" w:color="auto"/>
            </w:tcBorders>
            <w:shd w:val="clear" w:color="auto" w:fill="auto"/>
            <w:noWrap/>
            <w:vAlign w:val="bottom"/>
            <w:hideMark/>
          </w:tcPr>
          <w:p w14:paraId="0E359CA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147 (100.0%)</w:t>
            </w:r>
          </w:p>
        </w:tc>
        <w:tc>
          <w:tcPr>
            <w:tcW w:w="1300" w:type="dxa"/>
            <w:tcBorders>
              <w:top w:val="nil"/>
              <w:left w:val="nil"/>
              <w:bottom w:val="nil"/>
              <w:right w:val="nil"/>
            </w:tcBorders>
            <w:shd w:val="clear" w:color="auto" w:fill="auto"/>
            <w:noWrap/>
            <w:vAlign w:val="bottom"/>
            <w:hideMark/>
          </w:tcPr>
          <w:p w14:paraId="39C77B6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190 (100.0%)</w:t>
            </w:r>
          </w:p>
        </w:tc>
        <w:tc>
          <w:tcPr>
            <w:tcW w:w="1418" w:type="dxa"/>
            <w:tcBorders>
              <w:top w:val="nil"/>
              <w:left w:val="nil"/>
              <w:bottom w:val="nil"/>
              <w:right w:val="single" w:sz="8" w:space="0" w:color="auto"/>
            </w:tcBorders>
            <w:shd w:val="clear" w:color="auto" w:fill="auto"/>
            <w:noWrap/>
            <w:vAlign w:val="bottom"/>
            <w:hideMark/>
          </w:tcPr>
          <w:p w14:paraId="34D6C66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282 (100.0%)</w:t>
            </w:r>
          </w:p>
        </w:tc>
      </w:tr>
      <w:tr w:rsidR="00B7459D" w:rsidRPr="00424424" w14:paraId="5C2210CB"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center"/>
            <w:hideMark/>
          </w:tcPr>
          <w:p w14:paraId="54071BE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Black</w:t>
            </w:r>
          </w:p>
        </w:tc>
        <w:tc>
          <w:tcPr>
            <w:tcW w:w="1417" w:type="dxa"/>
            <w:tcBorders>
              <w:top w:val="nil"/>
              <w:left w:val="nil"/>
              <w:bottom w:val="nil"/>
              <w:right w:val="single" w:sz="4" w:space="0" w:color="auto"/>
            </w:tcBorders>
            <w:shd w:val="clear" w:color="auto" w:fill="auto"/>
            <w:noWrap/>
            <w:vAlign w:val="bottom"/>
            <w:hideMark/>
          </w:tcPr>
          <w:p w14:paraId="2FC682B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1444 (11.8%)</w:t>
            </w:r>
          </w:p>
        </w:tc>
        <w:tc>
          <w:tcPr>
            <w:tcW w:w="1418" w:type="dxa"/>
            <w:tcBorders>
              <w:top w:val="nil"/>
              <w:left w:val="nil"/>
              <w:bottom w:val="nil"/>
              <w:right w:val="nil"/>
            </w:tcBorders>
            <w:shd w:val="clear" w:color="auto" w:fill="auto"/>
            <w:noWrap/>
            <w:vAlign w:val="bottom"/>
            <w:hideMark/>
          </w:tcPr>
          <w:p w14:paraId="6D90EAA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520 (36.4%)</w:t>
            </w:r>
          </w:p>
        </w:tc>
        <w:tc>
          <w:tcPr>
            <w:tcW w:w="1276" w:type="dxa"/>
            <w:tcBorders>
              <w:top w:val="nil"/>
              <w:left w:val="nil"/>
              <w:bottom w:val="nil"/>
              <w:right w:val="single" w:sz="4" w:space="0" w:color="auto"/>
            </w:tcBorders>
            <w:shd w:val="clear" w:color="auto" w:fill="auto"/>
            <w:noWrap/>
            <w:vAlign w:val="bottom"/>
            <w:hideMark/>
          </w:tcPr>
          <w:p w14:paraId="6B883DB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695 (45.7%)</w:t>
            </w:r>
          </w:p>
        </w:tc>
        <w:tc>
          <w:tcPr>
            <w:tcW w:w="1417" w:type="dxa"/>
            <w:tcBorders>
              <w:top w:val="nil"/>
              <w:left w:val="nil"/>
              <w:bottom w:val="nil"/>
              <w:right w:val="single" w:sz="4" w:space="0" w:color="auto"/>
            </w:tcBorders>
            <w:shd w:val="clear" w:color="auto" w:fill="auto"/>
            <w:noWrap/>
            <w:vAlign w:val="bottom"/>
            <w:hideMark/>
          </w:tcPr>
          <w:p w14:paraId="64B4CFA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229 (4.0%)</w:t>
            </w:r>
          </w:p>
        </w:tc>
        <w:tc>
          <w:tcPr>
            <w:tcW w:w="1559" w:type="dxa"/>
            <w:tcBorders>
              <w:top w:val="nil"/>
              <w:left w:val="nil"/>
              <w:bottom w:val="nil"/>
              <w:right w:val="single" w:sz="4" w:space="0" w:color="auto"/>
            </w:tcBorders>
            <w:shd w:val="clear" w:color="auto" w:fill="auto"/>
            <w:noWrap/>
            <w:vAlign w:val="bottom"/>
            <w:hideMark/>
          </w:tcPr>
          <w:p w14:paraId="0790083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4" w:type="dxa"/>
            <w:tcBorders>
              <w:top w:val="nil"/>
              <w:left w:val="nil"/>
              <w:bottom w:val="nil"/>
              <w:right w:val="nil"/>
            </w:tcBorders>
            <w:shd w:val="clear" w:color="auto" w:fill="auto"/>
            <w:noWrap/>
            <w:vAlign w:val="bottom"/>
            <w:hideMark/>
          </w:tcPr>
          <w:p w14:paraId="3B984D8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97" w:type="dxa"/>
            <w:tcBorders>
              <w:top w:val="nil"/>
              <w:left w:val="nil"/>
              <w:bottom w:val="nil"/>
              <w:right w:val="single" w:sz="4" w:space="0" w:color="auto"/>
            </w:tcBorders>
            <w:shd w:val="clear" w:color="auto" w:fill="auto"/>
            <w:noWrap/>
            <w:vAlign w:val="bottom"/>
            <w:hideMark/>
          </w:tcPr>
          <w:p w14:paraId="5CE2C6D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00" w:type="dxa"/>
            <w:tcBorders>
              <w:top w:val="nil"/>
              <w:left w:val="nil"/>
              <w:bottom w:val="nil"/>
              <w:right w:val="nil"/>
            </w:tcBorders>
            <w:shd w:val="clear" w:color="auto" w:fill="auto"/>
            <w:noWrap/>
            <w:vAlign w:val="bottom"/>
            <w:hideMark/>
          </w:tcPr>
          <w:p w14:paraId="02F3636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8" w:type="dxa"/>
            <w:tcBorders>
              <w:top w:val="nil"/>
              <w:left w:val="nil"/>
              <w:bottom w:val="nil"/>
              <w:right w:val="single" w:sz="8" w:space="0" w:color="auto"/>
            </w:tcBorders>
            <w:shd w:val="clear" w:color="auto" w:fill="auto"/>
            <w:noWrap/>
            <w:vAlign w:val="bottom"/>
            <w:hideMark/>
          </w:tcPr>
          <w:p w14:paraId="4E382CF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r>
      <w:tr w:rsidR="00B7459D" w:rsidRPr="00424424" w14:paraId="00FAB332"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center"/>
            <w:hideMark/>
          </w:tcPr>
          <w:p w14:paraId="21EB1F6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Asian</w:t>
            </w:r>
          </w:p>
        </w:tc>
        <w:tc>
          <w:tcPr>
            <w:tcW w:w="1417" w:type="dxa"/>
            <w:tcBorders>
              <w:top w:val="nil"/>
              <w:left w:val="nil"/>
              <w:bottom w:val="nil"/>
              <w:right w:val="single" w:sz="4" w:space="0" w:color="auto"/>
            </w:tcBorders>
            <w:shd w:val="clear" w:color="auto" w:fill="auto"/>
            <w:noWrap/>
            <w:vAlign w:val="bottom"/>
            <w:hideMark/>
          </w:tcPr>
          <w:p w14:paraId="54207C3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181 (1.5%)</w:t>
            </w:r>
          </w:p>
        </w:tc>
        <w:tc>
          <w:tcPr>
            <w:tcW w:w="1418" w:type="dxa"/>
            <w:tcBorders>
              <w:top w:val="nil"/>
              <w:left w:val="nil"/>
              <w:bottom w:val="nil"/>
              <w:right w:val="nil"/>
            </w:tcBorders>
            <w:shd w:val="clear" w:color="auto" w:fill="auto"/>
            <w:noWrap/>
            <w:vAlign w:val="bottom"/>
            <w:hideMark/>
          </w:tcPr>
          <w:p w14:paraId="7D4A6D5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276" w:type="dxa"/>
            <w:tcBorders>
              <w:top w:val="nil"/>
              <w:left w:val="nil"/>
              <w:bottom w:val="nil"/>
              <w:right w:val="single" w:sz="4" w:space="0" w:color="auto"/>
            </w:tcBorders>
            <w:shd w:val="clear" w:color="auto" w:fill="auto"/>
            <w:noWrap/>
            <w:vAlign w:val="bottom"/>
            <w:hideMark/>
          </w:tcPr>
          <w:p w14:paraId="2B50E21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7" w:type="dxa"/>
            <w:tcBorders>
              <w:top w:val="nil"/>
              <w:left w:val="nil"/>
              <w:bottom w:val="nil"/>
              <w:right w:val="single" w:sz="4" w:space="0" w:color="auto"/>
            </w:tcBorders>
            <w:shd w:val="clear" w:color="auto" w:fill="auto"/>
            <w:noWrap/>
            <w:vAlign w:val="bottom"/>
            <w:hideMark/>
          </w:tcPr>
          <w:p w14:paraId="58FE7D9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181 (3.2%)</w:t>
            </w:r>
          </w:p>
        </w:tc>
        <w:tc>
          <w:tcPr>
            <w:tcW w:w="1559" w:type="dxa"/>
            <w:tcBorders>
              <w:top w:val="nil"/>
              <w:left w:val="nil"/>
              <w:bottom w:val="nil"/>
              <w:right w:val="single" w:sz="4" w:space="0" w:color="auto"/>
            </w:tcBorders>
            <w:shd w:val="clear" w:color="auto" w:fill="auto"/>
            <w:noWrap/>
            <w:vAlign w:val="bottom"/>
            <w:hideMark/>
          </w:tcPr>
          <w:p w14:paraId="3624357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4" w:type="dxa"/>
            <w:tcBorders>
              <w:top w:val="nil"/>
              <w:left w:val="nil"/>
              <w:bottom w:val="nil"/>
              <w:right w:val="nil"/>
            </w:tcBorders>
            <w:shd w:val="clear" w:color="auto" w:fill="auto"/>
            <w:noWrap/>
            <w:vAlign w:val="bottom"/>
            <w:hideMark/>
          </w:tcPr>
          <w:p w14:paraId="2624C20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97" w:type="dxa"/>
            <w:tcBorders>
              <w:top w:val="nil"/>
              <w:left w:val="nil"/>
              <w:bottom w:val="nil"/>
              <w:right w:val="single" w:sz="4" w:space="0" w:color="auto"/>
            </w:tcBorders>
            <w:shd w:val="clear" w:color="auto" w:fill="auto"/>
            <w:noWrap/>
            <w:vAlign w:val="bottom"/>
            <w:hideMark/>
          </w:tcPr>
          <w:p w14:paraId="6B3409D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00" w:type="dxa"/>
            <w:tcBorders>
              <w:top w:val="nil"/>
              <w:left w:val="nil"/>
              <w:bottom w:val="nil"/>
              <w:right w:val="nil"/>
            </w:tcBorders>
            <w:shd w:val="clear" w:color="auto" w:fill="auto"/>
            <w:noWrap/>
            <w:vAlign w:val="bottom"/>
            <w:hideMark/>
          </w:tcPr>
          <w:p w14:paraId="466A56A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8" w:type="dxa"/>
            <w:tcBorders>
              <w:top w:val="nil"/>
              <w:left w:val="nil"/>
              <w:bottom w:val="nil"/>
              <w:right w:val="single" w:sz="8" w:space="0" w:color="auto"/>
            </w:tcBorders>
            <w:shd w:val="clear" w:color="auto" w:fill="auto"/>
            <w:noWrap/>
            <w:vAlign w:val="bottom"/>
            <w:hideMark/>
          </w:tcPr>
          <w:p w14:paraId="788AD42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r>
      <w:tr w:rsidR="00B7459D" w:rsidRPr="00424424" w14:paraId="7A3F8D20"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center"/>
            <w:hideMark/>
          </w:tcPr>
          <w:p w14:paraId="2CB9278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Hispanic</w:t>
            </w:r>
          </w:p>
        </w:tc>
        <w:tc>
          <w:tcPr>
            <w:tcW w:w="1417" w:type="dxa"/>
            <w:tcBorders>
              <w:top w:val="nil"/>
              <w:left w:val="nil"/>
              <w:bottom w:val="nil"/>
              <w:right w:val="single" w:sz="4" w:space="0" w:color="auto"/>
            </w:tcBorders>
            <w:shd w:val="clear" w:color="auto" w:fill="auto"/>
            <w:noWrap/>
            <w:vAlign w:val="bottom"/>
            <w:hideMark/>
          </w:tcPr>
          <w:p w14:paraId="562F5AB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120 (1.0%)</w:t>
            </w:r>
          </w:p>
        </w:tc>
        <w:tc>
          <w:tcPr>
            <w:tcW w:w="1418" w:type="dxa"/>
            <w:tcBorders>
              <w:top w:val="nil"/>
              <w:left w:val="nil"/>
              <w:bottom w:val="nil"/>
              <w:right w:val="nil"/>
            </w:tcBorders>
            <w:shd w:val="clear" w:color="auto" w:fill="auto"/>
            <w:noWrap/>
            <w:vAlign w:val="bottom"/>
            <w:hideMark/>
          </w:tcPr>
          <w:p w14:paraId="71B8D61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276" w:type="dxa"/>
            <w:tcBorders>
              <w:top w:val="nil"/>
              <w:left w:val="nil"/>
              <w:bottom w:val="nil"/>
              <w:right w:val="single" w:sz="4" w:space="0" w:color="auto"/>
            </w:tcBorders>
            <w:shd w:val="clear" w:color="auto" w:fill="auto"/>
            <w:noWrap/>
            <w:vAlign w:val="bottom"/>
            <w:hideMark/>
          </w:tcPr>
          <w:p w14:paraId="5AF944C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7" w:type="dxa"/>
            <w:tcBorders>
              <w:top w:val="nil"/>
              <w:left w:val="nil"/>
              <w:bottom w:val="nil"/>
              <w:right w:val="single" w:sz="4" w:space="0" w:color="auto"/>
            </w:tcBorders>
            <w:shd w:val="clear" w:color="auto" w:fill="auto"/>
            <w:noWrap/>
            <w:vAlign w:val="bottom"/>
            <w:hideMark/>
          </w:tcPr>
          <w:p w14:paraId="27CFA69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120 (2.1%)</w:t>
            </w:r>
          </w:p>
        </w:tc>
        <w:tc>
          <w:tcPr>
            <w:tcW w:w="1559" w:type="dxa"/>
            <w:tcBorders>
              <w:top w:val="nil"/>
              <w:left w:val="nil"/>
              <w:bottom w:val="nil"/>
              <w:right w:val="single" w:sz="4" w:space="0" w:color="auto"/>
            </w:tcBorders>
            <w:shd w:val="clear" w:color="auto" w:fill="auto"/>
            <w:noWrap/>
            <w:vAlign w:val="bottom"/>
            <w:hideMark/>
          </w:tcPr>
          <w:p w14:paraId="64378A3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4" w:type="dxa"/>
            <w:tcBorders>
              <w:top w:val="nil"/>
              <w:left w:val="nil"/>
              <w:bottom w:val="nil"/>
              <w:right w:val="nil"/>
            </w:tcBorders>
            <w:shd w:val="clear" w:color="auto" w:fill="auto"/>
            <w:noWrap/>
            <w:vAlign w:val="bottom"/>
            <w:hideMark/>
          </w:tcPr>
          <w:p w14:paraId="41BEF84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97" w:type="dxa"/>
            <w:tcBorders>
              <w:top w:val="nil"/>
              <w:left w:val="nil"/>
              <w:bottom w:val="nil"/>
              <w:right w:val="single" w:sz="4" w:space="0" w:color="auto"/>
            </w:tcBorders>
            <w:shd w:val="clear" w:color="auto" w:fill="auto"/>
            <w:noWrap/>
            <w:vAlign w:val="bottom"/>
            <w:hideMark/>
          </w:tcPr>
          <w:p w14:paraId="5647F63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00" w:type="dxa"/>
            <w:tcBorders>
              <w:top w:val="nil"/>
              <w:left w:val="nil"/>
              <w:bottom w:val="nil"/>
              <w:right w:val="nil"/>
            </w:tcBorders>
            <w:shd w:val="clear" w:color="auto" w:fill="auto"/>
            <w:noWrap/>
            <w:vAlign w:val="bottom"/>
            <w:hideMark/>
          </w:tcPr>
          <w:p w14:paraId="21BD72D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8" w:type="dxa"/>
            <w:tcBorders>
              <w:top w:val="nil"/>
              <w:left w:val="nil"/>
              <w:bottom w:val="nil"/>
              <w:right w:val="single" w:sz="8" w:space="0" w:color="auto"/>
            </w:tcBorders>
            <w:shd w:val="clear" w:color="auto" w:fill="auto"/>
            <w:noWrap/>
            <w:vAlign w:val="bottom"/>
            <w:hideMark/>
          </w:tcPr>
          <w:p w14:paraId="7BEAD02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r>
      <w:tr w:rsidR="00B7459D" w:rsidRPr="00424424" w14:paraId="4F0A2308"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center"/>
            <w:hideMark/>
          </w:tcPr>
          <w:p w14:paraId="731610A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Other</w:t>
            </w:r>
          </w:p>
        </w:tc>
        <w:tc>
          <w:tcPr>
            <w:tcW w:w="1417" w:type="dxa"/>
            <w:tcBorders>
              <w:top w:val="nil"/>
              <w:left w:val="nil"/>
              <w:bottom w:val="nil"/>
              <w:right w:val="single" w:sz="4" w:space="0" w:color="auto"/>
            </w:tcBorders>
            <w:shd w:val="clear" w:color="auto" w:fill="auto"/>
            <w:noWrap/>
            <w:vAlign w:val="bottom"/>
            <w:hideMark/>
          </w:tcPr>
          <w:p w14:paraId="308A365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68 (0.6%)</w:t>
            </w:r>
          </w:p>
        </w:tc>
        <w:tc>
          <w:tcPr>
            <w:tcW w:w="1418" w:type="dxa"/>
            <w:tcBorders>
              <w:top w:val="nil"/>
              <w:left w:val="nil"/>
              <w:bottom w:val="nil"/>
              <w:right w:val="nil"/>
            </w:tcBorders>
            <w:shd w:val="clear" w:color="auto" w:fill="auto"/>
            <w:noWrap/>
            <w:vAlign w:val="bottom"/>
            <w:hideMark/>
          </w:tcPr>
          <w:p w14:paraId="415315F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276" w:type="dxa"/>
            <w:tcBorders>
              <w:top w:val="nil"/>
              <w:left w:val="nil"/>
              <w:bottom w:val="nil"/>
              <w:right w:val="single" w:sz="4" w:space="0" w:color="auto"/>
            </w:tcBorders>
            <w:shd w:val="clear" w:color="auto" w:fill="auto"/>
            <w:noWrap/>
            <w:vAlign w:val="bottom"/>
            <w:hideMark/>
          </w:tcPr>
          <w:p w14:paraId="2B7FBD8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7" w:type="dxa"/>
            <w:tcBorders>
              <w:top w:val="nil"/>
              <w:left w:val="nil"/>
              <w:bottom w:val="nil"/>
              <w:right w:val="single" w:sz="4" w:space="0" w:color="auto"/>
            </w:tcBorders>
            <w:shd w:val="clear" w:color="auto" w:fill="auto"/>
            <w:noWrap/>
            <w:vAlign w:val="bottom"/>
            <w:hideMark/>
          </w:tcPr>
          <w:p w14:paraId="5E97322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68 (1.2%)</w:t>
            </w:r>
          </w:p>
        </w:tc>
        <w:tc>
          <w:tcPr>
            <w:tcW w:w="1559" w:type="dxa"/>
            <w:tcBorders>
              <w:top w:val="nil"/>
              <w:left w:val="nil"/>
              <w:bottom w:val="nil"/>
              <w:right w:val="single" w:sz="4" w:space="0" w:color="auto"/>
            </w:tcBorders>
            <w:shd w:val="clear" w:color="auto" w:fill="auto"/>
            <w:noWrap/>
            <w:vAlign w:val="bottom"/>
            <w:hideMark/>
          </w:tcPr>
          <w:p w14:paraId="696C900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4" w:type="dxa"/>
            <w:tcBorders>
              <w:top w:val="nil"/>
              <w:left w:val="nil"/>
              <w:bottom w:val="nil"/>
              <w:right w:val="nil"/>
            </w:tcBorders>
            <w:shd w:val="clear" w:color="auto" w:fill="auto"/>
            <w:noWrap/>
            <w:vAlign w:val="bottom"/>
            <w:hideMark/>
          </w:tcPr>
          <w:p w14:paraId="04DF73A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97" w:type="dxa"/>
            <w:tcBorders>
              <w:top w:val="nil"/>
              <w:left w:val="nil"/>
              <w:bottom w:val="nil"/>
              <w:right w:val="single" w:sz="4" w:space="0" w:color="auto"/>
            </w:tcBorders>
            <w:shd w:val="clear" w:color="auto" w:fill="auto"/>
            <w:noWrap/>
            <w:vAlign w:val="bottom"/>
            <w:hideMark/>
          </w:tcPr>
          <w:p w14:paraId="0B63BBB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00" w:type="dxa"/>
            <w:tcBorders>
              <w:top w:val="nil"/>
              <w:left w:val="nil"/>
              <w:bottom w:val="nil"/>
              <w:right w:val="nil"/>
            </w:tcBorders>
            <w:shd w:val="clear" w:color="auto" w:fill="auto"/>
            <w:noWrap/>
            <w:vAlign w:val="bottom"/>
            <w:hideMark/>
          </w:tcPr>
          <w:p w14:paraId="0C24EEE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418" w:type="dxa"/>
            <w:tcBorders>
              <w:top w:val="nil"/>
              <w:left w:val="nil"/>
              <w:bottom w:val="nil"/>
              <w:right w:val="single" w:sz="8" w:space="0" w:color="auto"/>
            </w:tcBorders>
            <w:shd w:val="clear" w:color="auto" w:fill="auto"/>
            <w:noWrap/>
            <w:vAlign w:val="bottom"/>
            <w:hideMark/>
          </w:tcPr>
          <w:p w14:paraId="7FED560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r>
      <w:tr w:rsidR="00B7459D" w:rsidRPr="00424424" w14:paraId="02225CD0"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52EED7A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2FD4E5A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auto" w:fill="auto"/>
            <w:noWrap/>
            <w:vAlign w:val="bottom"/>
            <w:hideMark/>
          </w:tcPr>
          <w:p w14:paraId="157B47C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276" w:type="dxa"/>
            <w:tcBorders>
              <w:top w:val="nil"/>
              <w:left w:val="nil"/>
              <w:bottom w:val="nil"/>
              <w:right w:val="single" w:sz="4" w:space="0" w:color="auto"/>
            </w:tcBorders>
            <w:shd w:val="clear" w:color="auto" w:fill="auto"/>
            <w:noWrap/>
            <w:vAlign w:val="bottom"/>
            <w:hideMark/>
          </w:tcPr>
          <w:p w14:paraId="357C9C4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0883BEC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559" w:type="dxa"/>
            <w:tcBorders>
              <w:top w:val="nil"/>
              <w:left w:val="nil"/>
              <w:bottom w:val="nil"/>
              <w:right w:val="single" w:sz="4" w:space="0" w:color="auto"/>
            </w:tcBorders>
            <w:shd w:val="clear" w:color="auto" w:fill="auto"/>
            <w:noWrap/>
            <w:vAlign w:val="bottom"/>
            <w:hideMark/>
          </w:tcPr>
          <w:p w14:paraId="413AF5F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4" w:type="dxa"/>
            <w:tcBorders>
              <w:top w:val="nil"/>
              <w:left w:val="nil"/>
              <w:bottom w:val="nil"/>
              <w:right w:val="nil"/>
            </w:tcBorders>
            <w:shd w:val="clear" w:color="auto" w:fill="auto"/>
            <w:noWrap/>
            <w:vAlign w:val="bottom"/>
            <w:hideMark/>
          </w:tcPr>
          <w:p w14:paraId="0DF9FEF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97" w:type="dxa"/>
            <w:tcBorders>
              <w:top w:val="nil"/>
              <w:left w:val="nil"/>
              <w:bottom w:val="nil"/>
              <w:right w:val="single" w:sz="4" w:space="0" w:color="auto"/>
            </w:tcBorders>
            <w:shd w:val="clear" w:color="auto" w:fill="auto"/>
            <w:noWrap/>
            <w:vAlign w:val="bottom"/>
            <w:hideMark/>
          </w:tcPr>
          <w:p w14:paraId="4AB7DA9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00" w:type="dxa"/>
            <w:tcBorders>
              <w:top w:val="nil"/>
              <w:left w:val="nil"/>
              <w:bottom w:val="nil"/>
              <w:right w:val="nil"/>
            </w:tcBorders>
            <w:shd w:val="clear" w:color="auto" w:fill="auto"/>
            <w:noWrap/>
            <w:vAlign w:val="bottom"/>
            <w:hideMark/>
          </w:tcPr>
          <w:p w14:paraId="0A4ACDC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single" w:sz="8" w:space="0" w:color="auto"/>
            </w:tcBorders>
            <w:shd w:val="clear" w:color="auto" w:fill="auto"/>
            <w:noWrap/>
            <w:vAlign w:val="bottom"/>
            <w:hideMark/>
          </w:tcPr>
          <w:p w14:paraId="72C4C76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r>
      <w:tr w:rsidR="00B7459D" w:rsidRPr="00424424" w14:paraId="67010DC1"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7B4F596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Age (years)</w:t>
            </w:r>
          </w:p>
        </w:tc>
        <w:tc>
          <w:tcPr>
            <w:tcW w:w="1417" w:type="dxa"/>
            <w:tcBorders>
              <w:top w:val="nil"/>
              <w:left w:val="nil"/>
              <w:bottom w:val="nil"/>
              <w:right w:val="single" w:sz="4" w:space="0" w:color="auto"/>
            </w:tcBorders>
            <w:shd w:val="clear" w:color="auto" w:fill="auto"/>
            <w:noWrap/>
            <w:vAlign w:val="bottom"/>
            <w:hideMark/>
          </w:tcPr>
          <w:p w14:paraId="2E26777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74.1 (4.7)</w:t>
            </w:r>
          </w:p>
        </w:tc>
        <w:tc>
          <w:tcPr>
            <w:tcW w:w="1418" w:type="dxa"/>
            <w:tcBorders>
              <w:top w:val="nil"/>
              <w:left w:val="nil"/>
              <w:bottom w:val="nil"/>
              <w:right w:val="nil"/>
            </w:tcBorders>
            <w:shd w:val="clear" w:color="auto" w:fill="auto"/>
            <w:noWrap/>
            <w:vAlign w:val="bottom"/>
            <w:hideMark/>
          </w:tcPr>
          <w:p w14:paraId="14C25BD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74.3 (2.9)</w:t>
            </w:r>
          </w:p>
        </w:tc>
        <w:tc>
          <w:tcPr>
            <w:tcW w:w="1276" w:type="dxa"/>
            <w:tcBorders>
              <w:top w:val="nil"/>
              <w:left w:val="nil"/>
              <w:bottom w:val="nil"/>
              <w:right w:val="single" w:sz="4" w:space="0" w:color="auto"/>
            </w:tcBorders>
            <w:shd w:val="clear" w:color="auto" w:fill="auto"/>
            <w:noWrap/>
            <w:vAlign w:val="bottom"/>
            <w:hideMark/>
          </w:tcPr>
          <w:p w14:paraId="7F4901E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74.0 (2.9)</w:t>
            </w:r>
          </w:p>
        </w:tc>
        <w:tc>
          <w:tcPr>
            <w:tcW w:w="1417" w:type="dxa"/>
            <w:tcBorders>
              <w:top w:val="nil"/>
              <w:left w:val="nil"/>
              <w:bottom w:val="nil"/>
              <w:right w:val="single" w:sz="4" w:space="0" w:color="auto"/>
            </w:tcBorders>
            <w:shd w:val="clear" w:color="auto" w:fill="auto"/>
            <w:noWrap/>
            <w:vAlign w:val="bottom"/>
            <w:hideMark/>
          </w:tcPr>
          <w:p w14:paraId="2EDA850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73.7 (5.9)</w:t>
            </w:r>
          </w:p>
        </w:tc>
        <w:tc>
          <w:tcPr>
            <w:tcW w:w="1559" w:type="dxa"/>
            <w:tcBorders>
              <w:top w:val="nil"/>
              <w:left w:val="nil"/>
              <w:bottom w:val="nil"/>
              <w:right w:val="single" w:sz="4" w:space="0" w:color="auto"/>
            </w:tcBorders>
            <w:shd w:val="clear" w:color="auto" w:fill="auto"/>
            <w:noWrap/>
            <w:vAlign w:val="bottom"/>
            <w:hideMark/>
          </w:tcPr>
          <w:p w14:paraId="102E71D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74.9 (3.1)</w:t>
            </w:r>
          </w:p>
        </w:tc>
        <w:tc>
          <w:tcPr>
            <w:tcW w:w="1414" w:type="dxa"/>
            <w:tcBorders>
              <w:top w:val="nil"/>
              <w:left w:val="nil"/>
              <w:bottom w:val="nil"/>
              <w:right w:val="nil"/>
            </w:tcBorders>
            <w:shd w:val="clear" w:color="auto" w:fill="auto"/>
            <w:noWrap/>
            <w:vAlign w:val="bottom"/>
            <w:hideMark/>
          </w:tcPr>
          <w:p w14:paraId="60D1976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75.3 (2.5)</w:t>
            </w:r>
          </w:p>
        </w:tc>
        <w:tc>
          <w:tcPr>
            <w:tcW w:w="1397" w:type="dxa"/>
            <w:tcBorders>
              <w:top w:val="nil"/>
              <w:left w:val="nil"/>
              <w:bottom w:val="nil"/>
              <w:right w:val="single" w:sz="4" w:space="0" w:color="auto"/>
            </w:tcBorders>
            <w:shd w:val="clear" w:color="auto" w:fill="auto"/>
            <w:noWrap/>
            <w:vAlign w:val="bottom"/>
            <w:hideMark/>
          </w:tcPr>
          <w:p w14:paraId="63AA058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75.5 (2.6)</w:t>
            </w:r>
          </w:p>
        </w:tc>
        <w:tc>
          <w:tcPr>
            <w:tcW w:w="1300" w:type="dxa"/>
            <w:tcBorders>
              <w:top w:val="nil"/>
              <w:left w:val="nil"/>
              <w:bottom w:val="nil"/>
              <w:right w:val="nil"/>
            </w:tcBorders>
            <w:shd w:val="clear" w:color="auto" w:fill="auto"/>
            <w:noWrap/>
            <w:vAlign w:val="bottom"/>
            <w:hideMark/>
          </w:tcPr>
          <w:p w14:paraId="0CA33EA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73.6 (6.1)</w:t>
            </w:r>
          </w:p>
        </w:tc>
        <w:tc>
          <w:tcPr>
            <w:tcW w:w="1418" w:type="dxa"/>
            <w:tcBorders>
              <w:top w:val="nil"/>
              <w:left w:val="nil"/>
              <w:bottom w:val="nil"/>
              <w:right w:val="single" w:sz="8" w:space="0" w:color="auto"/>
            </w:tcBorders>
            <w:shd w:val="clear" w:color="auto" w:fill="auto"/>
            <w:noWrap/>
            <w:vAlign w:val="bottom"/>
            <w:hideMark/>
          </w:tcPr>
          <w:p w14:paraId="6DA8278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73.1 (5.9)</w:t>
            </w:r>
          </w:p>
        </w:tc>
      </w:tr>
      <w:tr w:rsidR="00B7459D" w:rsidRPr="00424424" w14:paraId="003AF5FB"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2E79897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Height (cm)</w:t>
            </w:r>
          </w:p>
        </w:tc>
        <w:tc>
          <w:tcPr>
            <w:tcW w:w="1417" w:type="dxa"/>
            <w:tcBorders>
              <w:top w:val="nil"/>
              <w:left w:val="nil"/>
              <w:bottom w:val="nil"/>
              <w:right w:val="single" w:sz="4" w:space="0" w:color="auto"/>
            </w:tcBorders>
            <w:shd w:val="clear" w:color="auto" w:fill="auto"/>
            <w:noWrap/>
            <w:vAlign w:val="bottom"/>
            <w:hideMark/>
          </w:tcPr>
          <w:p w14:paraId="079A963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171.8 (8.5)</w:t>
            </w:r>
          </w:p>
        </w:tc>
        <w:tc>
          <w:tcPr>
            <w:tcW w:w="1418" w:type="dxa"/>
            <w:tcBorders>
              <w:top w:val="nil"/>
              <w:left w:val="nil"/>
              <w:bottom w:val="nil"/>
              <w:right w:val="nil"/>
            </w:tcBorders>
            <w:shd w:val="clear" w:color="auto" w:fill="auto"/>
            <w:noWrap/>
            <w:vAlign w:val="bottom"/>
            <w:hideMark/>
          </w:tcPr>
          <w:p w14:paraId="5081472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173.2 (6.4)</w:t>
            </w:r>
          </w:p>
        </w:tc>
        <w:tc>
          <w:tcPr>
            <w:tcW w:w="1276" w:type="dxa"/>
            <w:tcBorders>
              <w:top w:val="nil"/>
              <w:left w:val="nil"/>
              <w:bottom w:val="nil"/>
              <w:right w:val="single" w:sz="4" w:space="0" w:color="auto"/>
            </w:tcBorders>
            <w:shd w:val="clear" w:color="auto" w:fill="auto"/>
            <w:noWrap/>
            <w:vAlign w:val="bottom"/>
            <w:hideMark/>
          </w:tcPr>
          <w:p w14:paraId="0A9332C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159.6 (6.1)</w:t>
            </w:r>
          </w:p>
        </w:tc>
        <w:tc>
          <w:tcPr>
            <w:tcW w:w="1417" w:type="dxa"/>
            <w:tcBorders>
              <w:top w:val="nil"/>
              <w:left w:val="nil"/>
              <w:bottom w:val="nil"/>
              <w:right w:val="single" w:sz="4" w:space="0" w:color="auto"/>
            </w:tcBorders>
            <w:shd w:val="clear" w:color="auto" w:fill="auto"/>
            <w:noWrap/>
            <w:vAlign w:val="bottom"/>
            <w:hideMark/>
          </w:tcPr>
          <w:p w14:paraId="4C0EE78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174.2 (6.8)</w:t>
            </w:r>
          </w:p>
        </w:tc>
        <w:tc>
          <w:tcPr>
            <w:tcW w:w="1559" w:type="dxa"/>
            <w:tcBorders>
              <w:top w:val="nil"/>
              <w:left w:val="nil"/>
              <w:bottom w:val="nil"/>
              <w:right w:val="single" w:sz="4" w:space="0" w:color="auto"/>
            </w:tcBorders>
            <w:shd w:val="clear" w:color="auto" w:fill="auto"/>
            <w:noWrap/>
            <w:vAlign w:val="bottom"/>
            <w:hideMark/>
          </w:tcPr>
          <w:p w14:paraId="72D643C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174.8 (6.5)</w:t>
            </w:r>
          </w:p>
        </w:tc>
        <w:tc>
          <w:tcPr>
            <w:tcW w:w="1414" w:type="dxa"/>
            <w:tcBorders>
              <w:top w:val="nil"/>
              <w:left w:val="nil"/>
              <w:bottom w:val="nil"/>
              <w:right w:val="nil"/>
            </w:tcBorders>
            <w:shd w:val="clear" w:color="auto" w:fill="auto"/>
            <w:noWrap/>
            <w:vAlign w:val="bottom"/>
            <w:hideMark/>
          </w:tcPr>
          <w:p w14:paraId="20F3C3B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173.9 (6.2)</w:t>
            </w:r>
          </w:p>
        </w:tc>
        <w:tc>
          <w:tcPr>
            <w:tcW w:w="1397" w:type="dxa"/>
            <w:tcBorders>
              <w:top w:val="nil"/>
              <w:left w:val="nil"/>
              <w:bottom w:val="nil"/>
              <w:right w:val="single" w:sz="4" w:space="0" w:color="auto"/>
            </w:tcBorders>
            <w:shd w:val="clear" w:color="auto" w:fill="auto"/>
            <w:noWrap/>
            <w:vAlign w:val="bottom"/>
            <w:hideMark/>
          </w:tcPr>
          <w:p w14:paraId="42A774B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160.0 (5.6)</w:t>
            </w:r>
          </w:p>
        </w:tc>
        <w:tc>
          <w:tcPr>
            <w:tcW w:w="1300" w:type="dxa"/>
            <w:tcBorders>
              <w:top w:val="nil"/>
              <w:left w:val="nil"/>
              <w:bottom w:val="nil"/>
              <w:right w:val="nil"/>
            </w:tcBorders>
            <w:shd w:val="clear" w:color="auto" w:fill="auto"/>
            <w:noWrap/>
            <w:vAlign w:val="bottom"/>
            <w:hideMark/>
          </w:tcPr>
          <w:p w14:paraId="2D36077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171.8 (6.3)</w:t>
            </w:r>
          </w:p>
        </w:tc>
        <w:tc>
          <w:tcPr>
            <w:tcW w:w="1418" w:type="dxa"/>
            <w:tcBorders>
              <w:top w:val="nil"/>
              <w:left w:val="nil"/>
              <w:bottom w:val="nil"/>
              <w:right w:val="single" w:sz="8" w:space="0" w:color="auto"/>
            </w:tcBorders>
            <w:shd w:val="clear" w:color="auto" w:fill="auto"/>
            <w:noWrap/>
            <w:vAlign w:val="bottom"/>
            <w:hideMark/>
          </w:tcPr>
          <w:p w14:paraId="0CC86E4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157.8 (6.7)</w:t>
            </w:r>
          </w:p>
        </w:tc>
      </w:tr>
      <w:tr w:rsidR="00B7459D" w:rsidRPr="00424424" w14:paraId="665C84CF"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70FB586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Weight (kg)</w:t>
            </w:r>
          </w:p>
        </w:tc>
        <w:tc>
          <w:tcPr>
            <w:tcW w:w="1417" w:type="dxa"/>
            <w:tcBorders>
              <w:top w:val="nil"/>
              <w:left w:val="nil"/>
              <w:bottom w:val="nil"/>
              <w:right w:val="single" w:sz="4" w:space="0" w:color="auto"/>
            </w:tcBorders>
            <w:shd w:val="clear" w:color="auto" w:fill="auto"/>
            <w:noWrap/>
            <w:vAlign w:val="bottom"/>
            <w:hideMark/>
          </w:tcPr>
          <w:p w14:paraId="757B466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80.1 (13.9)</w:t>
            </w:r>
          </w:p>
        </w:tc>
        <w:tc>
          <w:tcPr>
            <w:tcW w:w="1418" w:type="dxa"/>
            <w:tcBorders>
              <w:top w:val="nil"/>
              <w:left w:val="nil"/>
              <w:bottom w:val="nil"/>
              <w:right w:val="nil"/>
            </w:tcBorders>
            <w:shd w:val="clear" w:color="auto" w:fill="auto"/>
            <w:noWrap/>
            <w:vAlign w:val="bottom"/>
            <w:hideMark/>
          </w:tcPr>
          <w:p w14:paraId="1549B81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81.2 (13.1)</w:t>
            </w:r>
          </w:p>
        </w:tc>
        <w:tc>
          <w:tcPr>
            <w:tcW w:w="1276" w:type="dxa"/>
            <w:tcBorders>
              <w:top w:val="nil"/>
              <w:left w:val="nil"/>
              <w:bottom w:val="nil"/>
              <w:right w:val="single" w:sz="4" w:space="0" w:color="auto"/>
            </w:tcBorders>
            <w:shd w:val="clear" w:color="auto" w:fill="auto"/>
            <w:noWrap/>
            <w:vAlign w:val="bottom"/>
            <w:hideMark/>
          </w:tcPr>
          <w:p w14:paraId="4828F56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70.4 (14.5)</w:t>
            </w:r>
          </w:p>
        </w:tc>
        <w:tc>
          <w:tcPr>
            <w:tcW w:w="1417" w:type="dxa"/>
            <w:tcBorders>
              <w:top w:val="nil"/>
              <w:left w:val="nil"/>
              <w:bottom w:val="nil"/>
              <w:right w:val="single" w:sz="4" w:space="0" w:color="auto"/>
            </w:tcBorders>
            <w:shd w:val="clear" w:color="auto" w:fill="auto"/>
            <w:noWrap/>
            <w:vAlign w:val="bottom"/>
            <w:hideMark/>
          </w:tcPr>
          <w:p w14:paraId="665AFAC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83.1 (13.2)</w:t>
            </w:r>
          </w:p>
        </w:tc>
        <w:tc>
          <w:tcPr>
            <w:tcW w:w="1559" w:type="dxa"/>
            <w:tcBorders>
              <w:top w:val="nil"/>
              <w:left w:val="nil"/>
              <w:bottom w:val="nil"/>
              <w:right w:val="single" w:sz="4" w:space="0" w:color="auto"/>
            </w:tcBorders>
            <w:shd w:val="clear" w:color="auto" w:fill="auto"/>
            <w:noWrap/>
            <w:vAlign w:val="bottom"/>
            <w:hideMark/>
          </w:tcPr>
          <w:p w14:paraId="4B52C0D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80.5 (11.8)</w:t>
            </w:r>
          </w:p>
        </w:tc>
        <w:tc>
          <w:tcPr>
            <w:tcW w:w="1414" w:type="dxa"/>
            <w:tcBorders>
              <w:top w:val="nil"/>
              <w:left w:val="nil"/>
              <w:bottom w:val="nil"/>
              <w:right w:val="nil"/>
            </w:tcBorders>
            <w:shd w:val="clear" w:color="auto" w:fill="auto"/>
            <w:noWrap/>
            <w:vAlign w:val="bottom"/>
            <w:hideMark/>
          </w:tcPr>
          <w:p w14:paraId="40BDB6B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82.3 (11.7)</w:t>
            </w:r>
          </w:p>
        </w:tc>
        <w:tc>
          <w:tcPr>
            <w:tcW w:w="1397" w:type="dxa"/>
            <w:tcBorders>
              <w:top w:val="nil"/>
              <w:left w:val="nil"/>
              <w:bottom w:val="nil"/>
              <w:right w:val="single" w:sz="4" w:space="0" w:color="auto"/>
            </w:tcBorders>
            <w:shd w:val="clear" w:color="auto" w:fill="auto"/>
            <w:noWrap/>
            <w:vAlign w:val="bottom"/>
            <w:hideMark/>
          </w:tcPr>
          <w:p w14:paraId="4916D7C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70.9 (12.2)</w:t>
            </w:r>
          </w:p>
        </w:tc>
        <w:tc>
          <w:tcPr>
            <w:tcW w:w="1300" w:type="dxa"/>
            <w:tcBorders>
              <w:top w:val="nil"/>
              <w:left w:val="nil"/>
              <w:bottom w:val="nil"/>
              <w:right w:val="nil"/>
            </w:tcBorders>
            <w:shd w:val="clear" w:color="auto" w:fill="auto"/>
            <w:noWrap/>
            <w:vAlign w:val="bottom"/>
            <w:hideMark/>
          </w:tcPr>
          <w:p w14:paraId="0C5FE21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81.4 (15.0)</w:t>
            </w:r>
          </w:p>
        </w:tc>
        <w:tc>
          <w:tcPr>
            <w:tcW w:w="1418" w:type="dxa"/>
            <w:tcBorders>
              <w:top w:val="nil"/>
              <w:left w:val="nil"/>
              <w:bottom w:val="nil"/>
              <w:right w:val="single" w:sz="8" w:space="0" w:color="auto"/>
            </w:tcBorders>
            <w:shd w:val="clear" w:color="auto" w:fill="auto"/>
            <w:noWrap/>
            <w:vAlign w:val="bottom"/>
            <w:hideMark/>
          </w:tcPr>
          <w:p w14:paraId="5570E05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64.8 (12.9)</w:t>
            </w:r>
          </w:p>
        </w:tc>
      </w:tr>
      <w:tr w:rsidR="00B7459D" w:rsidRPr="00424424" w14:paraId="09D98ABF"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065FF36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BMI (kg/m</w:t>
            </w:r>
            <w:r w:rsidRPr="00456E20">
              <w:rPr>
                <w:rFonts w:ascii="Arial" w:eastAsia="Times New Roman" w:hAnsi="Arial" w:cs="Arial"/>
                <w:color w:val="000000"/>
                <w:sz w:val="18"/>
                <w:szCs w:val="18"/>
                <w:vertAlign w:val="superscript"/>
                <w:lang w:eastAsia="en-GB"/>
              </w:rPr>
              <w:t>2</w:t>
            </w:r>
            <w:r w:rsidRPr="00424424">
              <w:rPr>
                <w:rFonts w:ascii="Arial" w:eastAsia="Times New Roman" w:hAnsi="Arial" w:cs="Arial"/>
                <w:color w:val="000000"/>
                <w:sz w:val="18"/>
                <w:szCs w:val="18"/>
                <w:lang w:eastAsia="en-GB"/>
              </w:rPr>
              <w:t>)</w:t>
            </w:r>
          </w:p>
        </w:tc>
        <w:tc>
          <w:tcPr>
            <w:tcW w:w="1417" w:type="dxa"/>
            <w:tcBorders>
              <w:top w:val="nil"/>
              <w:left w:val="nil"/>
              <w:bottom w:val="nil"/>
              <w:right w:val="single" w:sz="4" w:space="0" w:color="auto"/>
            </w:tcBorders>
            <w:shd w:val="clear" w:color="auto" w:fill="auto"/>
            <w:noWrap/>
            <w:vAlign w:val="bottom"/>
            <w:hideMark/>
          </w:tcPr>
          <w:p w14:paraId="2A09C07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27.1 (4.1)</w:t>
            </w:r>
          </w:p>
        </w:tc>
        <w:tc>
          <w:tcPr>
            <w:tcW w:w="1418" w:type="dxa"/>
            <w:tcBorders>
              <w:top w:val="nil"/>
              <w:left w:val="nil"/>
              <w:bottom w:val="nil"/>
              <w:right w:val="nil"/>
            </w:tcBorders>
            <w:shd w:val="clear" w:color="auto" w:fill="auto"/>
            <w:noWrap/>
            <w:vAlign w:val="bottom"/>
            <w:hideMark/>
          </w:tcPr>
          <w:p w14:paraId="5328527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27.0 (3.9)</w:t>
            </w:r>
          </w:p>
        </w:tc>
        <w:tc>
          <w:tcPr>
            <w:tcW w:w="1276" w:type="dxa"/>
            <w:tcBorders>
              <w:top w:val="nil"/>
              <w:left w:val="nil"/>
              <w:bottom w:val="nil"/>
              <w:right w:val="single" w:sz="4" w:space="0" w:color="auto"/>
            </w:tcBorders>
            <w:shd w:val="clear" w:color="auto" w:fill="auto"/>
            <w:noWrap/>
            <w:vAlign w:val="bottom"/>
            <w:hideMark/>
          </w:tcPr>
          <w:p w14:paraId="4CF1826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27.7 (5.4)</w:t>
            </w:r>
          </w:p>
        </w:tc>
        <w:tc>
          <w:tcPr>
            <w:tcW w:w="1417" w:type="dxa"/>
            <w:tcBorders>
              <w:top w:val="nil"/>
              <w:left w:val="nil"/>
              <w:bottom w:val="nil"/>
              <w:right w:val="single" w:sz="4" w:space="0" w:color="auto"/>
            </w:tcBorders>
            <w:shd w:val="clear" w:color="auto" w:fill="auto"/>
            <w:noWrap/>
            <w:vAlign w:val="bottom"/>
            <w:hideMark/>
          </w:tcPr>
          <w:p w14:paraId="68240F4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27.4 (3.8)</w:t>
            </w:r>
          </w:p>
        </w:tc>
        <w:tc>
          <w:tcPr>
            <w:tcW w:w="1559" w:type="dxa"/>
            <w:tcBorders>
              <w:top w:val="nil"/>
              <w:left w:val="nil"/>
              <w:bottom w:val="nil"/>
              <w:right w:val="single" w:sz="4" w:space="0" w:color="auto"/>
            </w:tcBorders>
            <w:shd w:val="clear" w:color="auto" w:fill="auto"/>
            <w:noWrap/>
            <w:vAlign w:val="bottom"/>
            <w:hideMark/>
          </w:tcPr>
          <w:p w14:paraId="4A6A94D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26.3 (3.5)</w:t>
            </w:r>
          </w:p>
        </w:tc>
        <w:tc>
          <w:tcPr>
            <w:tcW w:w="1414" w:type="dxa"/>
            <w:tcBorders>
              <w:top w:val="nil"/>
              <w:left w:val="nil"/>
              <w:bottom w:val="nil"/>
              <w:right w:val="nil"/>
            </w:tcBorders>
            <w:shd w:val="clear" w:color="auto" w:fill="auto"/>
            <w:noWrap/>
            <w:vAlign w:val="bottom"/>
            <w:hideMark/>
          </w:tcPr>
          <w:p w14:paraId="75DD06F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27.2 (3.6)</w:t>
            </w:r>
          </w:p>
        </w:tc>
        <w:tc>
          <w:tcPr>
            <w:tcW w:w="1397" w:type="dxa"/>
            <w:tcBorders>
              <w:top w:val="nil"/>
              <w:left w:val="nil"/>
              <w:bottom w:val="nil"/>
              <w:right w:val="single" w:sz="4" w:space="0" w:color="auto"/>
            </w:tcBorders>
            <w:shd w:val="clear" w:color="auto" w:fill="auto"/>
            <w:noWrap/>
            <w:vAlign w:val="bottom"/>
            <w:hideMark/>
          </w:tcPr>
          <w:p w14:paraId="3B60620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27.7 (4.5)</w:t>
            </w:r>
          </w:p>
        </w:tc>
        <w:tc>
          <w:tcPr>
            <w:tcW w:w="1300" w:type="dxa"/>
            <w:tcBorders>
              <w:top w:val="nil"/>
              <w:left w:val="nil"/>
              <w:bottom w:val="nil"/>
              <w:right w:val="nil"/>
            </w:tcBorders>
            <w:shd w:val="clear" w:color="auto" w:fill="auto"/>
            <w:noWrap/>
            <w:vAlign w:val="bottom"/>
            <w:hideMark/>
          </w:tcPr>
          <w:p w14:paraId="7B9CB65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27.5 (4.6)</w:t>
            </w:r>
          </w:p>
        </w:tc>
        <w:tc>
          <w:tcPr>
            <w:tcW w:w="1418" w:type="dxa"/>
            <w:tcBorders>
              <w:top w:val="nil"/>
              <w:left w:val="nil"/>
              <w:bottom w:val="nil"/>
              <w:right w:val="single" w:sz="8" w:space="0" w:color="auto"/>
            </w:tcBorders>
            <w:shd w:val="clear" w:color="auto" w:fill="auto"/>
            <w:noWrap/>
            <w:vAlign w:val="bottom"/>
            <w:hideMark/>
          </w:tcPr>
          <w:p w14:paraId="460D5DF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26.0 (4.8)</w:t>
            </w:r>
          </w:p>
        </w:tc>
      </w:tr>
      <w:tr w:rsidR="00B7459D" w:rsidRPr="00424424" w14:paraId="03FB0320"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79AC6A9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ALM (kg)</w:t>
            </w:r>
          </w:p>
        </w:tc>
        <w:tc>
          <w:tcPr>
            <w:tcW w:w="1417" w:type="dxa"/>
            <w:tcBorders>
              <w:top w:val="nil"/>
              <w:left w:val="nil"/>
              <w:bottom w:val="nil"/>
              <w:right w:val="single" w:sz="4" w:space="0" w:color="auto"/>
            </w:tcBorders>
            <w:shd w:val="clear" w:color="auto" w:fill="auto"/>
            <w:noWrap/>
            <w:vAlign w:val="bottom"/>
            <w:hideMark/>
          </w:tcPr>
          <w:p w14:paraId="668245A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23.0 (4.4)</w:t>
            </w:r>
          </w:p>
        </w:tc>
        <w:tc>
          <w:tcPr>
            <w:tcW w:w="1418" w:type="dxa"/>
            <w:tcBorders>
              <w:top w:val="nil"/>
              <w:left w:val="nil"/>
              <w:bottom w:val="nil"/>
              <w:right w:val="nil"/>
            </w:tcBorders>
            <w:shd w:val="clear" w:color="auto" w:fill="auto"/>
            <w:noWrap/>
            <w:vAlign w:val="bottom"/>
            <w:hideMark/>
          </w:tcPr>
          <w:p w14:paraId="2EB7CC7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23.9 (3.6)</w:t>
            </w:r>
          </w:p>
        </w:tc>
        <w:tc>
          <w:tcPr>
            <w:tcW w:w="1276" w:type="dxa"/>
            <w:tcBorders>
              <w:top w:val="nil"/>
              <w:left w:val="nil"/>
              <w:bottom w:val="nil"/>
              <w:right w:val="single" w:sz="4" w:space="0" w:color="auto"/>
            </w:tcBorders>
            <w:shd w:val="clear" w:color="auto" w:fill="auto"/>
            <w:noWrap/>
            <w:vAlign w:val="bottom"/>
            <w:hideMark/>
          </w:tcPr>
          <w:p w14:paraId="5C2B200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16.6 (3.2)</w:t>
            </w:r>
          </w:p>
        </w:tc>
        <w:tc>
          <w:tcPr>
            <w:tcW w:w="1417" w:type="dxa"/>
            <w:tcBorders>
              <w:top w:val="nil"/>
              <w:left w:val="nil"/>
              <w:bottom w:val="nil"/>
              <w:right w:val="single" w:sz="4" w:space="0" w:color="auto"/>
            </w:tcBorders>
            <w:shd w:val="clear" w:color="auto" w:fill="auto"/>
            <w:noWrap/>
            <w:vAlign w:val="bottom"/>
            <w:hideMark/>
          </w:tcPr>
          <w:p w14:paraId="7D77CA7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24.3 (3.5)</w:t>
            </w:r>
          </w:p>
        </w:tc>
        <w:tc>
          <w:tcPr>
            <w:tcW w:w="1559" w:type="dxa"/>
            <w:tcBorders>
              <w:top w:val="nil"/>
              <w:left w:val="nil"/>
              <w:bottom w:val="nil"/>
              <w:right w:val="single" w:sz="4" w:space="0" w:color="auto"/>
            </w:tcBorders>
            <w:shd w:val="clear" w:color="auto" w:fill="auto"/>
            <w:noWrap/>
            <w:vAlign w:val="bottom"/>
            <w:hideMark/>
          </w:tcPr>
          <w:p w14:paraId="779EF39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24.2 (3.2)</w:t>
            </w:r>
          </w:p>
        </w:tc>
        <w:tc>
          <w:tcPr>
            <w:tcW w:w="1414" w:type="dxa"/>
            <w:tcBorders>
              <w:top w:val="nil"/>
              <w:left w:val="nil"/>
              <w:bottom w:val="nil"/>
              <w:right w:val="nil"/>
            </w:tcBorders>
            <w:shd w:val="clear" w:color="auto" w:fill="auto"/>
            <w:noWrap/>
            <w:vAlign w:val="bottom"/>
            <w:hideMark/>
          </w:tcPr>
          <w:p w14:paraId="27F5043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24.3 (2.7)</w:t>
            </w:r>
          </w:p>
        </w:tc>
        <w:tc>
          <w:tcPr>
            <w:tcW w:w="1397" w:type="dxa"/>
            <w:tcBorders>
              <w:top w:val="nil"/>
              <w:left w:val="nil"/>
              <w:bottom w:val="nil"/>
              <w:right w:val="single" w:sz="4" w:space="0" w:color="auto"/>
            </w:tcBorders>
            <w:shd w:val="clear" w:color="auto" w:fill="auto"/>
            <w:noWrap/>
            <w:vAlign w:val="bottom"/>
            <w:hideMark/>
          </w:tcPr>
          <w:p w14:paraId="7DAE6EC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16.5 (2.1)</w:t>
            </w:r>
          </w:p>
        </w:tc>
        <w:tc>
          <w:tcPr>
            <w:tcW w:w="1300" w:type="dxa"/>
            <w:tcBorders>
              <w:top w:val="nil"/>
              <w:left w:val="nil"/>
              <w:bottom w:val="nil"/>
              <w:right w:val="nil"/>
            </w:tcBorders>
            <w:shd w:val="clear" w:color="auto" w:fill="auto"/>
            <w:noWrap/>
            <w:vAlign w:val="bottom"/>
            <w:hideMark/>
          </w:tcPr>
          <w:p w14:paraId="27DD34E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23.4 (3.8)</w:t>
            </w:r>
          </w:p>
        </w:tc>
        <w:tc>
          <w:tcPr>
            <w:tcW w:w="1418" w:type="dxa"/>
            <w:tcBorders>
              <w:top w:val="nil"/>
              <w:left w:val="nil"/>
              <w:bottom w:val="nil"/>
              <w:right w:val="single" w:sz="8" w:space="0" w:color="auto"/>
            </w:tcBorders>
            <w:shd w:val="clear" w:color="auto" w:fill="auto"/>
            <w:noWrap/>
            <w:vAlign w:val="bottom"/>
            <w:hideMark/>
          </w:tcPr>
          <w:p w14:paraId="6C43E6D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15.2 (2.7)</w:t>
            </w:r>
          </w:p>
        </w:tc>
      </w:tr>
      <w:tr w:rsidR="00B7459D" w:rsidRPr="00424424" w14:paraId="36E6644C"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4FB3876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ALM index (kg/m</w:t>
            </w:r>
            <w:r w:rsidRPr="00424424">
              <w:rPr>
                <w:rFonts w:ascii="Arial" w:eastAsia="Times New Roman" w:hAnsi="Arial" w:cs="Arial"/>
                <w:color w:val="000000"/>
                <w:sz w:val="18"/>
                <w:szCs w:val="18"/>
                <w:vertAlign w:val="superscript"/>
                <w:lang w:eastAsia="en-GB"/>
              </w:rPr>
              <w:t>2</w:t>
            </w:r>
            <w:r w:rsidRPr="00424424">
              <w:rPr>
                <w:rFonts w:ascii="Arial" w:eastAsia="Times New Roman" w:hAnsi="Arial" w:cs="Arial"/>
                <w:color w:val="000000"/>
                <w:sz w:val="18"/>
                <w:szCs w:val="18"/>
                <w:lang w:eastAsia="en-GB"/>
              </w:rPr>
              <w:t>)</w:t>
            </w:r>
          </w:p>
        </w:tc>
        <w:tc>
          <w:tcPr>
            <w:tcW w:w="1417" w:type="dxa"/>
            <w:tcBorders>
              <w:top w:val="nil"/>
              <w:left w:val="nil"/>
              <w:bottom w:val="nil"/>
              <w:right w:val="single" w:sz="4" w:space="0" w:color="auto"/>
            </w:tcBorders>
            <w:shd w:val="clear" w:color="auto" w:fill="auto"/>
            <w:noWrap/>
            <w:vAlign w:val="bottom"/>
            <w:hideMark/>
          </w:tcPr>
          <w:p w14:paraId="355ECE7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7.7 (1.1)</w:t>
            </w:r>
          </w:p>
        </w:tc>
        <w:tc>
          <w:tcPr>
            <w:tcW w:w="1418" w:type="dxa"/>
            <w:tcBorders>
              <w:top w:val="nil"/>
              <w:left w:val="nil"/>
              <w:bottom w:val="nil"/>
              <w:right w:val="nil"/>
            </w:tcBorders>
            <w:shd w:val="clear" w:color="auto" w:fill="auto"/>
            <w:noWrap/>
            <w:vAlign w:val="bottom"/>
            <w:hideMark/>
          </w:tcPr>
          <w:p w14:paraId="112386B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7.9 (1.0)</w:t>
            </w:r>
          </w:p>
        </w:tc>
        <w:tc>
          <w:tcPr>
            <w:tcW w:w="1276" w:type="dxa"/>
            <w:tcBorders>
              <w:top w:val="nil"/>
              <w:left w:val="nil"/>
              <w:bottom w:val="nil"/>
              <w:right w:val="single" w:sz="4" w:space="0" w:color="auto"/>
            </w:tcBorders>
            <w:shd w:val="clear" w:color="auto" w:fill="auto"/>
            <w:noWrap/>
            <w:vAlign w:val="bottom"/>
            <w:hideMark/>
          </w:tcPr>
          <w:p w14:paraId="1AF4125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6.5 (1.1)</w:t>
            </w:r>
          </w:p>
        </w:tc>
        <w:tc>
          <w:tcPr>
            <w:tcW w:w="1417" w:type="dxa"/>
            <w:tcBorders>
              <w:top w:val="nil"/>
              <w:left w:val="nil"/>
              <w:bottom w:val="nil"/>
              <w:right w:val="single" w:sz="4" w:space="0" w:color="auto"/>
            </w:tcBorders>
            <w:shd w:val="clear" w:color="auto" w:fill="auto"/>
            <w:noWrap/>
            <w:vAlign w:val="bottom"/>
            <w:hideMark/>
          </w:tcPr>
          <w:p w14:paraId="20716B9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8.0 (0.9)</w:t>
            </w:r>
          </w:p>
        </w:tc>
        <w:tc>
          <w:tcPr>
            <w:tcW w:w="1559" w:type="dxa"/>
            <w:tcBorders>
              <w:top w:val="nil"/>
              <w:left w:val="nil"/>
              <w:bottom w:val="nil"/>
              <w:right w:val="single" w:sz="4" w:space="0" w:color="auto"/>
            </w:tcBorders>
            <w:shd w:val="clear" w:color="auto" w:fill="auto"/>
            <w:noWrap/>
            <w:vAlign w:val="bottom"/>
            <w:hideMark/>
          </w:tcPr>
          <w:p w14:paraId="3A39C96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7.9 (0.8)</w:t>
            </w:r>
          </w:p>
        </w:tc>
        <w:tc>
          <w:tcPr>
            <w:tcW w:w="1414" w:type="dxa"/>
            <w:tcBorders>
              <w:top w:val="nil"/>
              <w:left w:val="nil"/>
              <w:bottom w:val="nil"/>
              <w:right w:val="nil"/>
            </w:tcBorders>
            <w:shd w:val="clear" w:color="auto" w:fill="auto"/>
            <w:noWrap/>
            <w:vAlign w:val="bottom"/>
            <w:hideMark/>
          </w:tcPr>
          <w:p w14:paraId="55F0B28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8.0 (0.7)</w:t>
            </w:r>
          </w:p>
        </w:tc>
        <w:tc>
          <w:tcPr>
            <w:tcW w:w="1397" w:type="dxa"/>
            <w:tcBorders>
              <w:top w:val="nil"/>
              <w:left w:val="nil"/>
              <w:bottom w:val="nil"/>
              <w:right w:val="single" w:sz="4" w:space="0" w:color="auto"/>
            </w:tcBorders>
            <w:shd w:val="clear" w:color="auto" w:fill="auto"/>
            <w:noWrap/>
            <w:vAlign w:val="bottom"/>
            <w:hideMark/>
          </w:tcPr>
          <w:p w14:paraId="0DFD1E9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6.4 (0.7)</w:t>
            </w:r>
          </w:p>
        </w:tc>
        <w:tc>
          <w:tcPr>
            <w:tcW w:w="1300" w:type="dxa"/>
            <w:tcBorders>
              <w:top w:val="nil"/>
              <w:left w:val="nil"/>
              <w:bottom w:val="nil"/>
              <w:right w:val="nil"/>
            </w:tcBorders>
            <w:shd w:val="clear" w:color="auto" w:fill="auto"/>
            <w:noWrap/>
            <w:vAlign w:val="bottom"/>
            <w:hideMark/>
          </w:tcPr>
          <w:p w14:paraId="428C2A6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7.9 (1.1)</w:t>
            </w:r>
          </w:p>
        </w:tc>
        <w:tc>
          <w:tcPr>
            <w:tcW w:w="1418" w:type="dxa"/>
            <w:tcBorders>
              <w:top w:val="nil"/>
              <w:left w:val="nil"/>
              <w:bottom w:val="nil"/>
              <w:right w:val="single" w:sz="8" w:space="0" w:color="auto"/>
            </w:tcBorders>
            <w:shd w:val="clear" w:color="auto" w:fill="auto"/>
            <w:noWrap/>
            <w:vAlign w:val="bottom"/>
            <w:hideMark/>
          </w:tcPr>
          <w:p w14:paraId="1643823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6.1 (1.0)</w:t>
            </w:r>
          </w:p>
        </w:tc>
      </w:tr>
      <w:tr w:rsidR="00B7459D" w:rsidRPr="00424424" w14:paraId="4BE28455"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3FA290E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Grip strength (kg)</w:t>
            </w:r>
          </w:p>
        </w:tc>
        <w:tc>
          <w:tcPr>
            <w:tcW w:w="1417" w:type="dxa"/>
            <w:tcBorders>
              <w:top w:val="nil"/>
              <w:left w:val="nil"/>
              <w:bottom w:val="nil"/>
              <w:right w:val="single" w:sz="4" w:space="0" w:color="auto"/>
            </w:tcBorders>
            <w:shd w:val="clear" w:color="auto" w:fill="auto"/>
            <w:noWrap/>
            <w:vAlign w:val="bottom"/>
            <w:hideMark/>
          </w:tcPr>
          <w:p w14:paraId="5A9E9B5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39.0 (10.3)</w:t>
            </w:r>
          </w:p>
        </w:tc>
        <w:tc>
          <w:tcPr>
            <w:tcW w:w="1418" w:type="dxa"/>
            <w:tcBorders>
              <w:top w:val="nil"/>
              <w:left w:val="nil"/>
              <w:bottom w:val="nil"/>
              <w:right w:val="nil"/>
            </w:tcBorders>
            <w:shd w:val="clear" w:color="auto" w:fill="auto"/>
            <w:noWrap/>
            <w:vAlign w:val="bottom"/>
            <w:hideMark/>
          </w:tcPr>
          <w:p w14:paraId="11BAC1E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40.6 (8.3)</w:t>
            </w:r>
          </w:p>
        </w:tc>
        <w:tc>
          <w:tcPr>
            <w:tcW w:w="1276" w:type="dxa"/>
            <w:tcBorders>
              <w:top w:val="nil"/>
              <w:left w:val="nil"/>
              <w:bottom w:val="nil"/>
              <w:right w:val="single" w:sz="4" w:space="0" w:color="auto"/>
            </w:tcBorders>
            <w:shd w:val="clear" w:color="auto" w:fill="auto"/>
            <w:noWrap/>
            <w:vAlign w:val="bottom"/>
            <w:hideMark/>
          </w:tcPr>
          <w:p w14:paraId="44AEB96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24.9 (5.8)</w:t>
            </w:r>
          </w:p>
        </w:tc>
        <w:tc>
          <w:tcPr>
            <w:tcW w:w="1417" w:type="dxa"/>
            <w:tcBorders>
              <w:top w:val="nil"/>
              <w:left w:val="nil"/>
              <w:bottom w:val="nil"/>
              <w:right w:val="single" w:sz="4" w:space="0" w:color="auto"/>
            </w:tcBorders>
            <w:shd w:val="clear" w:color="auto" w:fill="auto"/>
            <w:noWrap/>
            <w:vAlign w:val="bottom"/>
            <w:hideMark/>
          </w:tcPr>
          <w:p w14:paraId="7E0C6F0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41.6 (8.5)</w:t>
            </w:r>
          </w:p>
        </w:tc>
        <w:tc>
          <w:tcPr>
            <w:tcW w:w="1559" w:type="dxa"/>
            <w:tcBorders>
              <w:top w:val="nil"/>
              <w:left w:val="nil"/>
              <w:bottom w:val="nil"/>
              <w:right w:val="single" w:sz="4" w:space="0" w:color="auto"/>
            </w:tcBorders>
            <w:shd w:val="clear" w:color="auto" w:fill="auto"/>
            <w:noWrap/>
            <w:vAlign w:val="bottom"/>
            <w:hideMark/>
          </w:tcPr>
          <w:p w14:paraId="3E0B3C2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43.0 (7.8)</w:t>
            </w:r>
          </w:p>
        </w:tc>
        <w:tc>
          <w:tcPr>
            <w:tcW w:w="1414" w:type="dxa"/>
            <w:tcBorders>
              <w:top w:val="nil"/>
              <w:left w:val="nil"/>
              <w:bottom w:val="nil"/>
              <w:right w:val="nil"/>
            </w:tcBorders>
            <w:shd w:val="clear" w:color="auto" w:fill="auto"/>
            <w:noWrap/>
            <w:vAlign w:val="bottom"/>
            <w:hideMark/>
          </w:tcPr>
          <w:p w14:paraId="500E6B7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37.2 (7.2)</w:t>
            </w:r>
          </w:p>
        </w:tc>
        <w:tc>
          <w:tcPr>
            <w:tcW w:w="1397" w:type="dxa"/>
            <w:tcBorders>
              <w:top w:val="nil"/>
              <w:left w:val="nil"/>
              <w:bottom w:val="nil"/>
              <w:right w:val="single" w:sz="4" w:space="0" w:color="auto"/>
            </w:tcBorders>
            <w:shd w:val="clear" w:color="auto" w:fill="auto"/>
            <w:noWrap/>
            <w:vAlign w:val="bottom"/>
            <w:hideMark/>
          </w:tcPr>
          <w:p w14:paraId="543DBE3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21.8 (6.1)</w:t>
            </w:r>
          </w:p>
        </w:tc>
        <w:tc>
          <w:tcPr>
            <w:tcW w:w="1300" w:type="dxa"/>
            <w:tcBorders>
              <w:top w:val="nil"/>
              <w:left w:val="nil"/>
              <w:bottom w:val="nil"/>
              <w:right w:val="nil"/>
            </w:tcBorders>
            <w:shd w:val="clear" w:color="auto" w:fill="auto"/>
            <w:noWrap/>
            <w:vAlign w:val="bottom"/>
            <w:hideMark/>
          </w:tcPr>
          <w:p w14:paraId="5FB8670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39.0 (9.5)</w:t>
            </w:r>
          </w:p>
        </w:tc>
        <w:tc>
          <w:tcPr>
            <w:tcW w:w="1418" w:type="dxa"/>
            <w:tcBorders>
              <w:top w:val="nil"/>
              <w:left w:val="nil"/>
              <w:bottom w:val="nil"/>
              <w:right w:val="single" w:sz="8" w:space="0" w:color="auto"/>
            </w:tcBorders>
            <w:shd w:val="clear" w:color="auto" w:fill="auto"/>
            <w:noWrap/>
            <w:vAlign w:val="bottom"/>
            <w:hideMark/>
          </w:tcPr>
          <w:p w14:paraId="40565AB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21.8 (6.0)</w:t>
            </w:r>
          </w:p>
        </w:tc>
      </w:tr>
      <w:tr w:rsidR="00B7459D" w:rsidRPr="00424424" w14:paraId="696AF612"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4BFB7BA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Gait speed (m/s)</w:t>
            </w:r>
          </w:p>
        </w:tc>
        <w:tc>
          <w:tcPr>
            <w:tcW w:w="1417" w:type="dxa"/>
            <w:tcBorders>
              <w:top w:val="nil"/>
              <w:left w:val="nil"/>
              <w:bottom w:val="nil"/>
              <w:right w:val="single" w:sz="4" w:space="0" w:color="auto"/>
            </w:tcBorders>
            <w:shd w:val="clear" w:color="auto" w:fill="auto"/>
            <w:noWrap/>
            <w:vAlign w:val="bottom"/>
            <w:hideMark/>
          </w:tcPr>
          <w:p w14:paraId="09C3C08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1.23 (0.26)</w:t>
            </w:r>
          </w:p>
        </w:tc>
        <w:tc>
          <w:tcPr>
            <w:tcW w:w="1418" w:type="dxa"/>
            <w:tcBorders>
              <w:top w:val="nil"/>
              <w:left w:val="nil"/>
              <w:bottom w:val="nil"/>
              <w:right w:val="nil"/>
            </w:tcBorders>
            <w:shd w:val="clear" w:color="auto" w:fill="auto"/>
            <w:noWrap/>
            <w:vAlign w:val="bottom"/>
            <w:hideMark/>
          </w:tcPr>
          <w:p w14:paraId="35BD2B5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1.24 (0.23)</w:t>
            </w:r>
          </w:p>
        </w:tc>
        <w:tc>
          <w:tcPr>
            <w:tcW w:w="1276" w:type="dxa"/>
            <w:tcBorders>
              <w:top w:val="nil"/>
              <w:left w:val="nil"/>
              <w:bottom w:val="nil"/>
              <w:right w:val="single" w:sz="4" w:space="0" w:color="auto"/>
            </w:tcBorders>
            <w:shd w:val="clear" w:color="auto" w:fill="auto"/>
            <w:noWrap/>
            <w:vAlign w:val="bottom"/>
            <w:hideMark/>
          </w:tcPr>
          <w:p w14:paraId="3533B87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1.13 (0.22)</w:t>
            </w:r>
          </w:p>
        </w:tc>
        <w:tc>
          <w:tcPr>
            <w:tcW w:w="1417" w:type="dxa"/>
            <w:tcBorders>
              <w:top w:val="nil"/>
              <w:left w:val="nil"/>
              <w:bottom w:val="nil"/>
              <w:right w:val="single" w:sz="4" w:space="0" w:color="auto"/>
            </w:tcBorders>
            <w:shd w:val="clear" w:color="auto" w:fill="auto"/>
            <w:noWrap/>
            <w:vAlign w:val="bottom"/>
            <w:hideMark/>
          </w:tcPr>
          <w:p w14:paraId="1C377DC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1.25 (0.24)</w:t>
            </w:r>
          </w:p>
        </w:tc>
        <w:tc>
          <w:tcPr>
            <w:tcW w:w="1559" w:type="dxa"/>
            <w:tcBorders>
              <w:top w:val="nil"/>
              <w:left w:val="nil"/>
              <w:bottom w:val="nil"/>
              <w:right w:val="single" w:sz="4" w:space="0" w:color="auto"/>
            </w:tcBorders>
            <w:shd w:val="clear" w:color="auto" w:fill="auto"/>
            <w:noWrap/>
            <w:vAlign w:val="bottom"/>
            <w:hideMark/>
          </w:tcPr>
          <w:p w14:paraId="17DFF92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1.32 (0.25)</w:t>
            </w:r>
          </w:p>
        </w:tc>
        <w:tc>
          <w:tcPr>
            <w:tcW w:w="1414" w:type="dxa"/>
            <w:tcBorders>
              <w:top w:val="nil"/>
              <w:left w:val="nil"/>
              <w:bottom w:val="nil"/>
              <w:right w:val="nil"/>
            </w:tcBorders>
            <w:shd w:val="clear" w:color="auto" w:fill="auto"/>
            <w:noWrap/>
            <w:vAlign w:val="bottom"/>
            <w:hideMark/>
          </w:tcPr>
          <w:p w14:paraId="0666352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0.82 (0.18)</w:t>
            </w:r>
          </w:p>
        </w:tc>
        <w:tc>
          <w:tcPr>
            <w:tcW w:w="1397" w:type="dxa"/>
            <w:tcBorders>
              <w:top w:val="nil"/>
              <w:left w:val="nil"/>
              <w:bottom w:val="nil"/>
              <w:right w:val="single" w:sz="4" w:space="0" w:color="auto"/>
            </w:tcBorders>
            <w:shd w:val="clear" w:color="auto" w:fill="auto"/>
            <w:noWrap/>
            <w:vAlign w:val="bottom"/>
            <w:hideMark/>
          </w:tcPr>
          <w:p w14:paraId="1A1290F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0.78 (0.19)</w:t>
            </w:r>
          </w:p>
        </w:tc>
        <w:tc>
          <w:tcPr>
            <w:tcW w:w="1300" w:type="dxa"/>
            <w:tcBorders>
              <w:top w:val="nil"/>
              <w:left w:val="nil"/>
              <w:bottom w:val="nil"/>
              <w:right w:val="nil"/>
            </w:tcBorders>
            <w:shd w:val="clear" w:color="auto" w:fill="auto"/>
            <w:noWrap/>
            <w:vAlign w:val="bottom"/>
            <w:hideMark/>
          </w:tcPr>
          <w:p w14:paraId="554FD4C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1.05 (0.29)</w:t>
            </w:r>
          </w:p>
        </w:tc>
        <w:tc>
          <w:tcPr>
            <w:tcW w:w="1418" w:type="dxa"/>
            <w:tcBorders>
              <w:top w:val="nil"/>
              <w:left w:val="nil"/>
              <w:bottom w:val="nil"/>
              <w:right w:val="single" w:sz="8" w:space="0" w:color="auto"/>
            </w:tcBorders>
            <w:shd w:val="clear" w:color="auto" w:fill="auto"/>
            <w:noWrap/>
            <w:vAlign w:val="bottom"/>
            <w:hideMark/>
          </w:tcPr>
          <w:p w14:paraId="72A2C4F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0.94 (0.27)</w:t>
            </w:r>
          </w:p>
        </w:tc>
      </w:tr>
      <w:tr w:rsidR="00B7459D" w:rsidRPr="00424424" w14:paraId="0E08A355"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476EEF2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05DA54A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auto" w:fill="auto"/>
            <w:noWrap/>
            <w:vAlign w:val="bottom"/>
            <w:hideMark/>
          </w:tcPr>
          <w:p w14:paraId="23EDA90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276" w:type="dxa"/>
            <w:tcBorders>
              <w:top w:val="nil"/>
              <w:left w:val="nil"/>
              <w:bottom w:val="nil"/>
              <w:right w:val="single" w:sz="4" w:space="0" w:color="auto"/>
            </w:tcBorders>
            <w:shd w:val="clear" w:color="auto" w:fill="auto"/>
            <w:noWrap/>
            <w:vAlign w:val="bottom"/>
            <w:hideMark/>
          </w:tcPr>
          <w:p w14:paraId="6F7AA47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4F04868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559" w:type="dxa"/>
            <w:tcBorders>
              <w:top w:val="nil"/>
              <w:left w:val="nil"/>
              <w:bottom w:val="nil"/>
              <w:right w:val="single" w:sz="4" w:space="0" w:color="auto"/>
            </w:tcBorders>
            <w:shd w:val="clear" w:color="auto" w:fill="auto"/>
            <w:noWrap/>
            <w:vAlign w:val="bottom"/>
            <w:hideMark/>
          </w:tcPr>
          <w:p w14:paraId="7BA8E6E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4" w:type="dxa"/>
            <w:tcBorders>
              <w:top w:val="nil"/>
              <w:left w:val="nil"/>
              <w:bottom w:val="nil"/>
              <w:right w:val="nil"/>
            </w:tcBorders>
            <w:shd w:val="clear" w:color="auto" w:fill="auto"/>
            <w:noWrap/>
            <w:vAlign w:val="bottom"/>
            <w:hideMark/>
          </w:tcPr>
          <w:p w14:paraId="19AEA57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97" w:type="dxa"/>
            <w:tcBorders>
              <w:top w:val="nil"/>
              <w:left w:val="nil"/>
              <w:bottom w:val="nil"/>
              <w:right w:val="single" w:sz="4" w:space="0" w:color="auto"/>
            </w:tcBorders>
            <w:shd w:val="clear" w:color="auto" w:fill="auto"/>
            <w:noWrap/>
            <w:vAlign w:val="bottom"/>
            <w:hideMark/>
          </w:tcPr>
          <w:p w14:paraId="5C0EFB7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00" w:type="dxa"/>
            <w:tcBorders>
              <w:top w:val="nil"/>
              <w:left w:val="nil"/>
              <w:bottom w:val="nil"/>
              <w:right w:val="nil"/>
            </w:tcBorders>
            <w:shd w:val="clear" w:color="auto" w:fill="auto"/>
            <w:noWrap/>
            <w:vAlign w:val="bottom"/>
            <w:hideMark/>
          </w:tcPr>
          <w:p w14:paraId="45D2866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single" w:sz="8" w:space="0" w:color="auto"/>
            </w:tcBorders>
            <w:shd w:val="clear" w:color="auto" w:fill="auto"/>
            <w:noWrap/>
            <w:vAlign w:val="bottom"/>
            <w:hideMark/>
          </w:tcPr>
          <w:p w14:paraId="387C279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r>
      <w:tr w:rsidR="00B7459D" w:rsidRPr="00424424" w14:paraId="5DBB22A0"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7C6E999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Original definitions</w:t>
            </w:r>
          </w:p>
        </w:tc>
        <w:tc>
          <w:tcPr>
            <w:tcW w:w="1417" w:type="dxa"/>
            <w:tcBorders>
              <w:top w:val="nil"/>
              <w:left w:val="nil"/>
              <w:bottom w:val="nil"/>
              <w:right w:val="single" w:sz="4" w:space="0" w:color="auto"/>
            </w:tcBorders>
            <w:shd w:val="clear" w:color="auto" w:fill="auto"/>
            <w:noWrap/>
            <w:vAlign w:val="bottom"/>
            <w:hideMark/>
          </w:tcPr>
          <w:p w14:paraId="3A06378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auto" w:fill="auto"/>
            <w:noWrap/>
            <w:vAlign w:val="bottom"/>
            <w:hideMark/>
          </w:tcPr>
          <w:p w14:paraId="1B8D069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276" w:type="dxa"/>
            <w:tcBorders>
              <w:top w:val="nil"/>
              <w:left w:val="nil"/>
              <w:bottom w:val="nil"/>
              <w:right w:val="single" w:sz="4" w:space="0" w:color="auto"/>
            </w:tcBorders>
            <w:shd w:val="clear" w:color="auto" w:fill="auto"/>
            <w:noWrap/>
            <w:vAlign w:val="bottom"/>
            <w:hideMark/>
          </w:tcPr>
          <w:p w14:paraId="0C42B2D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75D294E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559" w:type="dxa"/>
            <w:tcBorders>
              <w:top w:val="nil"/>
              <w:left w:val="nil"/>
              <w:bottom w:val="nil"/>
              <w:right w:val="single" w:sz="4" w:space="0" w:color="auto"/>
            </w:tcBorders>
            <w:shd w:val="clear" w:color="auto" w:fill="auto"/>
            <w:noWrap/>
            <w:vAlign w:val="bottom"/>
            <w:hideMark/>
          </w:tcPr>
          <w:p w14:paraId="2AA641D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4" w:type="dxa"/>
            <w:tcBorders>
              <w:top w:val="nil"/>
              <w:left w:val="nil"/>
              <w:bottom w:val="nil"/>
              <w:right w:val="nil"/>
            </w:tcBorders>
            <w:shd w:val="clear" w:color="auto" w:fill="auto"/>
            <w:noWrap/>
            <w:vAlign w:val="bottom"/>
            <w:hideMark/>
          </w:tcPr>
          <w:p w14:paraId="4739E27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97" w:type="dxa"/>
            <w:tcBorders>
              <w:top w:val="nil"/>
              <w:left w:val="nil"/>
              <w:bottom w:val="nil"/>
              <w:right w:val="single" w:sz="4" w:space="0" w:color="auto"/>
            </w:tcBorders>
            <w:shd w:val="clear" w:color="auto" w:fill="auto"/>
            <w:noWrap/>
            <w:vAlign w:val="bottom"/>
            <w:hideMark/>
          </w:tcPr>
          <w:p w14:paraId="12B138D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00" w:type="dxa"/>
            <w:tcBorders>
              <w:top w:val="nil"/>
              <w:left w:val="nil"/>
              <w:bottom w:val="nil"/>
              <w:right w:val="nil"/>
            </w:tcBorders>
            <w:shd w:val="clear" w:color="auto" w:fill="auto"/>
            <w:noWrap/>
            <w:vAlign w:val="bottom"/>
            <w:hideMark/>
          </w:tcPr>
          <w:p w14:paraId="33DE222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single" w:sz="8" w:space="0" w:color="auto"/>
            </w:tcBorders>
            <w:shd w:val="clear" w:color="auto" w:fill="auto"/>
            <w:noWrap/>
            <w:vAlign w:val="bottom"/>
            <w:hideMark/>
          </w:tcPr>
          <w:p w14:paraId="6BD1767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r>
      <w:tr w:rsidR="00B7459D" w:rsidRPr="00424424" w14:paraId="685EE706"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6F2C3B2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EWGSOP2</w:t>
            </w:r>
          </w:p>
        </w:tc>
        <w:tc>
          <w:tcPr>
            <w:tcW w:w="1417" w:type="dxa"/>
            <w:tcBorders>
              <w:top w:val="nil"/>
              <w:left w:val="nil"/>
              <w:bottom w:val="nil"/>
              <w:right w:val="single" w:sz="4" w:space="0" w:color="auto"/>
            </w:tcBorders>
            <w:shd w:val="clear" w:color="auto" w:fill="auto"/>
            <w:noWrap/>
            <w:vAlign w:val="bottom"/>
            <w:hideMark/>
          </w:tcPr>
          <w:p w14:paraId="0EE617A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155 (1.3%)</w:t>
            </w:r>
          </w:p>
        </w:tc>
        <w:tc>
          <w:tcPr>
            <w:tcW w:w="1418" w:type="dxa"/>
            <w:tcBorders>
              <w:top w:val="nil"/>
              <w:left w:val="nil"/>
              <w:bottom w:val="nil"/>
              <w:right w:val="nil"/>
            </w:tcBorders>
            <w:shd w:val="clear" w:color="auto" w:fill="auto"/>
            <w:noWrap/>
            <w:vAlign w:val="bottom"/>
            <w:hideMark/>
          </w:tcPr>
          <w:p w14:paraId="2C25CBB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24 (1.7%)</w:t>
            </w:r>
          </w:p>
        </w:tc>
        <w:tc>
          <w:tcPr>
            <w:tcW w:w="1276" w:type="dxa"/>
            <w:tcBorders>
              <w:top w:val="nil"/>
              <w:left w:val="nil"/>
              <w:bottom w:val="nil"/>
              <w:right w:val="single" w:sz="4" w:space="0" w:color="auto"/>
            </w:tcBorders>
            <w:shd w:val="clear" w:color="auto" w:fill="auto"/>
            <w:noWrap/>
            <w:vAlign w:val="bottom"/>
            <w:hideMark/>
          </w:tcPr>
          <w:p w14:paraId="4104FCD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20 (1.3%)</w:t>
            </w:r>
          </w:p>
        </w:tc>
        <w:tc>
          <w:tcPr>
            <w:tcW w:w="1417" w:type="dxa"/>
            <w:tcBorders>
              <w:top w:val="nil"/>
              <w:left w:val="nil"/>
              <w:bottom w:val="nil"/>
              <w:right w:val="single" w:sz="4" w:space="0" w:color="auto"/>
            </w:tcBorders>
            <w:shd w:val="clear" w:color="auto" w:fill="auto"/>
            <w:noWrap/>
            <w:vAlign w:val="bottom"/>
            <w:hideMark/>
          </w:tcPr>
          <w:p w14:paraId="77651B1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78 (1.4%)</w:t>
            </w:r>
          </w:p>
        </w:tc>
        <w:tc>
          <w:tcPr>
            <w:tcW w:w="1559" w:type="dxa"/>
            <w:tcBorders>
              <w:top w:val="nil"/>
              <w:left w:val="nil"/>
              <w:bottom w:val="nil"/>
              <w:right w:val="single" w:sz="4" w:space="0" w:color="auto"/>
            </w:tcBorders>
            <w:shd w:val="clear" w:color="auto" w:fill="auto"/>
            <w:noWrap/>
            <w:vAlign w:val="bottom"/>
            <w:hideMark/>
          </w:tcPr>
          <w:p w14:paraId="7CCC869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13 (0.5%)</w:t>
            </w:r>
          </w:p>
        </w:tc>
        <w:tc>
          <w:tcPr>
            <w:tcW w:w="1414" w:type="dxa"/>
            <w:tcBorders>
              <w:top w:val="nil"/>
              <w:left w:val="nil"/>
              <w:bottom w:val="nil"/>
              <w:right w:val="nil"/>
            </w:tcBorders>
            <w:shd w:val="clear" w:color="auto" w:fill="auto"/>
            <w:noWrap/>
            <w:vAlign w:val="bottom"/>
            <w:hideMark/>
          </w:tcPr>
          <w:p w14:paraId="4D54FF4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0 (0.0%)</w:t>
            </w:r>
          </w:p>
        </w:tc>
        <w:tc>
          <w:tcPr>
            <w:tcW w:w="1397" w:type="dxa"/>
            <w:tcBorders>
              <w:top w:val="nil"/>
              <w:left w:val="nil"/>
              <w:bottom w:val="nil"/>
              <w:right w:val="single" w:sz="4" w:space="0" w:color="auto"/>
            </w:tcBorders>
            <w:shd w:val="clear" w:color="auto" w:fill="auto"/>
            <w:noWrap/>
            <w:vAlign w:val="bottom"/>
            <w:hideMark/>
          </w:tcPr>
          <w:p w14:paraId="50D2940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 (0.7%)</w:t>
            </w:r>
          </w:p>
        </w:tc>
        <w:tc>
          <w:tcPr>
            <w:tcW w:w="1300" w:type="dxa"/>
            <w:tcBorders>
              <w:top w:val="nil"/>
              <w:left w:val="nil"/>
              <w:bottom w:val="nil"/>
              <w:right w:val="nil"/>
            </w:tcBorders>
            <w:shd w:val="clear" w:color="auto" w:fill="auto"/>
            <w:noWrap/>
            <w:vAlign w:val="bottom"/>
            <w:hideMark/>
          </w:tcPr>
          <w:p w14:paraId="3985715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9 (4.7%)</w:t>
            </w:r>
          </w:p>
        </w:tc>
        <w:tc>
          <w:tcPr>
            <w:tcW w:w="1418" w:type="dxa"/>
            <w:tcBorders>
              <w:top w:val="nil"/>
              <w:left w:val="nil"/>
              <w:bottom w:val="nil"/>
              <w:right w:val="single" w:sz="8" w:space="0" w:color="auto"/>
            </w:tcBorders>
            <w:shd w:val="clear" w:color="auto" w:fill="auto"/>
            <w:noWrap/>
            <w:vAlign w:val="bottom"/>
            <w:hideMark/>
          </w:tcPr>
          <w:p w14:paraId="4F5AC5B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10 (3.5%)</w:t>
            </w:r>
          </w:p>
        </w:tc>
      </w:tr>
      <w:tr w:rsidR="00B7459D" w:rsidRPr="00424424" w14:paraId="3C3777B9"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1BD1B53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SDOC</w:t>
            </w:r>
          </w:p>
        </w:tc>
        <w:tc>
          <w:tcPr>
            <w:tcW w:w="1417" w:type="dxa"/>
            <w:tcBorders>
              <w:top w:val="nil"/>
              <w:left w:val="nil"/>
              <w:bottom w:val="nil"/>
              <w:right w:val="single" w:sz="4" w:space="0" w:color="auto"/>
            </w:tcBorders>
            <w:shd w:val="clear" w:color="auto" w:fill="auto"/>
            <w:noWrap/>
            <w:vAlign w:val="bottom"/>
            <w:hideMark/>
          </w:tcPr>
          <w:p w14:paraId="57219EE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284 (2.3%)</w:t>
            </w:r>
          </w:p>
        </w:tc>
        <w:tc>
          <w:tcPr>
            <w:tcW w:w="1418" w:type="dxa"/>
            <w:tcBorders>
              <w:top w:val="nil"/>
              <w:left w:val="nil"/>
              <w:bottom w:val="nil"/>
              <w:right w:val="nil"/>
            </w:tcBorders>
            <w:shd w:val="clear" w:color="auto" w:fill="auto"/>
            <w:noWrap/>
            <w:vAlign w:val="bottom"/>
            <w:hideMark/>
          </w:tcPr>
          <w:p w14:paraId="3FD9C5E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14 (1.0%)</w:t>
            </w:r>
          </w:p>
        </w:tc>
        <w:tc>
          <w:tcPr>
            <w:tcW w:w="1276" w:type="dxa"/>
            <w:tcBorders>
              <w:top w:val="nil"/>
              <w:left w:val="nil"/>
              <w:bottom w:val="nil"/>
              <w:right w:val="single" w:sz="4" w:space="0" w:color="auto"/>
            </w:tcBorders>
            <w:shd w:val="clear" w:color="auto" w:fill="auto"/>
            <w:noWrap/>
            <w:vAlign w:val="bottom"/>
            <w:hideMark/>
          </w:tcPr>
          <w:p w14:paraId="208B164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18 (1.2%)</w:t>
            </w:r>
          </w:p>
        </w:tc>
        <w:tc>
          <w:tcPr>
            <w:tcW w:w="1417" w:type="dxa"/>
            <w:tcBorders>
              <w:top w:val="nil"/>
              <w:left w:val="nil"/>
              <w:bottom w:val="nil"/>
              <w:right w:val="single" w:sz="4" w:space="0" w:color="auto"/>
            </w:tcBorders>
            <w:shd w:val="clear" w:color="auto" w:fill="auto"/>
            <w:noWrap/>
            <w:vAlign w:val="bottom"/>
            <w:hideMark/>
          </w:tcPr>
          <w:p w14:paraId="12E25AF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103 (1.8%)</w:t>
            </w:r>
          </w:p>
        </w:tc>
        <w:tc>
          <w:tcPr>
            <w:tcW w:w="1559" w:type="dxa"/>
            <w:tcBorders>
              <w:top w:val="nil"/>
              <w:left w:val="nil"/>
              <w:bottom w:val="nil"/>
              <w:right w:val="single" w:sz="4" w:space="0" w:color="auto"/>
            </w:tcBorders>
            <w:shd w:val="clear" w:color="auto" w:fill="auto"/>
            <w:noWrap/>
            <w:vAlign w:val="bottom"/>
            <w:hideMark/>
          </w:tcPr>
          <w:p w14:paraId="10C87FE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28 (1.0%)</w:t>
            </w:r>
          </w:p>
        </w:tc>
        <w:tc>
          <w:tcPr>
            <w:tcW w:w="1414" w:type="dxa"/>
            <w:tcBorders>
              <w:top w:val="nil"/>
              <w:left w:val="nil"/>
              <w:bottom w:val="nil"/>
              <w:right w:val="nil"/>
            </w:tcBorders>
            <w:shd w:val="clear" w:color="auto" w:fill="auto"/>
            <w:noWrap/>
            <w:vAlign w:val="bottom"/>
            <w:hideMark/>
          </w:tcPr>
          <w:p w14:paraId="76DFE0B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24 (15.3%)</w:t>
            </w:r>
          </w:p>
        </w:tc>
        <w:tc>
          <w:tcPr>
            <w:tcW w:w="1397" w:type="dxa"/>
            <w:tcBorders>
              <w:top w:val="nil"/>
              <w:left w:val="nil"/>
              <w:bottom w:val="nil"/>
              <w:right w:val="single" w:sz="4" w:space="0" w:color="auto"/>
            </w:tcBorders>
            <w:shd w:val="clear" w:color="auto" w:fill="auto"/>
            <w:noWrap/>
            <w:vAlign w:val="bottom"/>
            <w:hideMark/>
          </w:tcPr>
          <w:p w14:paraId="05BD9D5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28 (19.0%)</w:t>
            </w:r>
          </w:p>
        </w:tc>
        <w:tc>
          <w:tcPr>
            <w:tcW w:w="1300" w:type="dxa"/>
            <w:tcBorders>
              <w:top w:val="nil"/>
              <w:left w:val="nil"/>
              <w:bottom w:val="nil"/>
              <w:right w:val="nil"/>
            </w:tcBorders>
            <w:shd w:val="clear" w:color="auto" w:fill="auto"/>
            <w:noWrap/>
            <w:vAlign w:val="bottom"/>
            <w:hideMark/>
          </w:tcPr>
          <w:p w14:paraId="564A9F1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18 (9.5%)</w:t>
            </w:r>
          </w:p>
        </w:tc>
        <w:tc>
          <w:tcPr>
            <w:tcW w:w="1418" w:type="dxa"/>
            <w:tcBorders>
              <w:top w:val="nil"/>
              <w:left w:val="nil"/>
              <w:bottom w:val="nil"/>
              <w:right w:val="single" w:sz="8" w:space="0" w:color="auto"/>
            </w:tcBorders>
            <w:shd w:val="clear" w:color="auto" w:fill="auto"/>
            <w:noWrap/>
            <w:vAlign w:val="bottom"/>
            <w:hideMark/>
          </w:tcPr>
          <w:p w14:paraId="07C56EC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51 (18.1%)</w:t>
            </w:r>
          </w:p>
        </w:tc>
      </w:tr>
      <w:tr w:rsidR="00B7459D" w:rsidRPr="00424424" w14:paraId="6D5F1E62"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36F8CD3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01E5D57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auto" w:fill="auto"/>
            <w:noWrap/>
            <w:vAlign w:val="bottom"/>
            <w:hideMark/>
          </w:tcPr>
          <w:p w14:paraId="693AA37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276" w:type="dxa"/>
            <w:tcBorders>
              <w:top w:val="nil"/>
              <w:left w:val="nil"/>
              <w:bottom w:val="nil"/>
              <w:right w:val="single" w:sz="4" w:space="0" w:color="auto"/>
            </w:tcBorders>
            <w:shd w:val="clear" w:color="auto" w:fill="auto"/>
            <w:noWrap/>
            <w:vAlign w:val="bottom"/>
            <w:hideMark/>
          </w:tcPr>
          <w:p w14:paraId="099F2F9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3AF2307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559" w:type="dxa"/>
            <w:tcBorders>
              <w:top w:val="nil"/>
              <w:left w:val="nil"/>
              <w:bottom w:val="nil"/>
              <w:right w:val="single" w:sz="4" w:space="0" w:color="auto"/>
            </w:tcBorders>
            <w:shd w:val="clear" w:color="auto" w:fill="auto"/>
            <w:noWrap/>
            <w:vAlign w:val="bottom"/>
            <w:hideMark/>
          </w:tcPr>
          <w:p w14:paraId="78391E7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4" w:type="dxa"/>
            <w:tcBorders>
              <w:top w:val="nil"/>
              <w:left w:val="nil"/>
              <w:bottom w:val="nil"/>
              <w:right w:val="nil"/>
            </w:tcBorders>
            <w:shd w:val="clear" w:color="auto" w:fill="auto"/>
            <w:noWrap/>
            <w:vAlign w:val="bottom"/>
            <w:hideMark/>
          </w:tcPr>
          <w:p w14:paraId="4251A22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97" w:type="dxa"/>
            <w:tcBorders>
              <w:top w:val="nil"/>
              <w:left w:val="nil"/>
              <w:bottom w:val="nil"/>
              <w:right w:val="single" w:sz="4" w:space="0" w:color="auto"/>
            </w:tcBorders>
            <w:shd w:val="clear" w:color="auto" w:fill="auto"/>
            <w:noWrap/>
            <w:vAlign w:val="bottom"/>
            <w:hideMark/>
          </w:tcPr>
          <w:p w14:paraId="50C6888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00" w:type="dxa"/>
            <w:tcBorders>
              <w:top w:val="nil"/>
              <w:left w:val="nil"/>
              <w:bottom w:val="nil"/>
              <w:right w:val="nil"/>
            </w:tcBorders>
            <w:shd w:val="clear" w:color="auto" w:fill="auto"/>
            <w:noWrap/>
            <w:vAlign w:val="bottom"/>
            <w:hideMark/>
          </w:tcPr>
          <w:p w14:paraId="6B71C05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single" w:sz="8" w:space="0" w:color="auto"/>
            </w:tcBorders>
            <w:shd w:val="clear" w:color="auto" w:fill="auto"/>
            <w:noWrap/>
            <w:vAlign w:val="bottom"/>
            <w:hideMark/>
          </w:tcPr>
          <w:p w14:paraId="05ECED7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r>
      <w:tr w:rsidR="00B7459D" w:rsidRPr="00424424" w14:paraId="4092A32D"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751D973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Modified definitions</w:t>
            </w:r>
          </w:p>
        </w:tc>
        <w:tc>
          <w:tcPr>
            <w:tcW w:w="1417" w:type="dxa"/>
            <w:tcBorders>
              <w:top w:val="nil"/>
              <w:left w:val="nil"/>
              <w:bottom w:val="nil"/>
              <w:right w:val="single" w:sz="4" w:space="0" w:color="auto"/>
            </w:tcBorders>
            <w:shd w:val="clear" w:color="auto" w:fill="auto"/>
            <w:noWrap/>
            <w:vAlign w:val="bottom"/>
            <w:hideMark/>
          </w:tcPr>
          <w:p w14:paraId="0B3F6F3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auto" w:fill="auto"/>
            <w:noWrap/>
            <w:vAlign w:val="bottom"/>
            <w:hideMark/>
          </w:tcPr>
          <w:p w14:paraId="1B99DD5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276" w:type="dxa"/>
            <w:tcBorders>
              <w:top w:val="nil"/>
              <w:left w:val="nil"/>
              <w:bottom w:val="nil"/>
              <w:right w:val="single" w:sz="4" w:space="0" w:color="auto"/>
            </w:tcBorders>
            <w:shd w:val="clear" w:color="auto" w:fill="auto"/>
            <w:noWrap/>
            <w:vAlign w:val="bottom"/>
            <w:hideMark/>
          </w:tcPr>
          <w:p w14:paraId="78CDC02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0850843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559" w:type="dxa"/>
            <w:tcBorders>
              <w:top w:val="nil"/>
              <w:left w:val="nil"/>
              <w:bottom w:val="nil"/>
              <w:right w:val="single" w:sz="4" w:space="0" w:color="auto"/>
            </w:tcBorders>
            <w:shd w:val="clear" w:color="auto" w:fill="auto"/>
            <w:noWrap/>
            <w:vAlign w:val="bottom"/>
            <w:hideMark/>
          </w:tcPr>
          <w:p w14:paraId="13EBE2F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4" w:type="dxa"/>
            <w:tcBorders>
              <w:top w:val="nil"/>
              <w:left w:val="nil"/>
              <w:bottom w:val="nil"/>
              <w:right w:val="nil"/>
            </w:tcBorders>
            <w:shd w:val="clear" w:color="auto" w:fill="auto"/>
            <w:noWrap/>
            <w:vAlign w:val="bottom"/>
            <w:hideMark/>
          </w:tcPr>
          <w:p w14:paraId="5B6E895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97" w:type="dxa"/>
            <w:tcBorders>
              <w:top w:val="nil"/>
              <w:left w:val="nil"/>
              <w:bottom w:val="nil"/>
              <w:right w:val="single" w:sz="4" w:space="0" w:color="auto"/>
            </w:tcBorders>
            <w:shd w:val="clear" w:color="auto" w:fill="auto"/>
            <w:noWrap/>
            <w:vAlign w:val="bottom"/>
            <w:hideMark/>
          </w:tcPr>
          <w:p w14:paraId="3A980BF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00" w:type="dxa"/>
            <w:tcBorders>
              <w:top w:val="nil"/>
              <w:left w:val="nil"/>
              <w:bottom w:val="nil"/>
              <w:right w:val="nil"/>
            </w:tcBorders>
            <w:shd w:val="clear" w:color="auto" w:fill="auto"/>
            <w:noWrap/>
            <w:vAlign w:val="bottom"/>
            <w:hideMark/>
          </w:tcPr>
          <w:p w14:paraId="760F435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single" w:sz="8" w:space="0" w:color="auto"/>
            </w:tcBorders>
            <w:shd w:val="clear" w:color="auto" w:fill="auto"/>
            <w:noWrap/>
            <w:vAlign w:val="bottom"/>
            <w:hideMark/>
          </w:tcPr>
          <w:p w14:paraId="4297472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r>
      <w:tr w:rsidR="00B7459D" w:rsidRPr="00424424" w14:paraId="7F83983C"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548ACBA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EWGSOP2</w:t>
            </w:r>
          </w:p>
        </w:tc>
        <w:tc>
          <w:tcPr>
            <w:tcW w:w="1417" w:type="dxa"/>
            <w:tcBorders>
              <w:top w:val="nil"/>
              <w:left w:val="nil"/>
              <w:bottom w:val="nil"/>
              <w:right w:val="single" w:sz="4" w:space="0" w:color="auto"/>
            </w:tcBorders>
            <w:shd w:val="clear" w:color="auto" w:fill="auto"/>
            <w:noWrap/>
            <w:vAlign w:val="bottom"/>
            <w:hideMark/>
          </w:tcPr>
          <w:p w14:paraId="6BB41C2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662 (5.4%)</w:t>
            </w:r>
          </w:p>
        </w:tc>
        <w:tc>
          <w:tcPr>
            <w:tcW w:w="1418" w:type="dxa"/>
            <w:tcBorders>
              <w:top w:val="nil"/>
              <w:left w:val="nil"/>
              <w:bottom w:val="nil"/>
              <w:right w:val="nil"/>
            </w:tcBorders>
            <w:shd w:val="clear" w:color="auto" w:fill="auto"/>
            <w:noWrap/>
            <w:vAlign w:val="bottom"/>
            <w:hideMark/>
          </w:tcPr>
          <w:p w14:paraId="77AA38B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97 (6.8%)</w:t>
            </w:r>
          </w:p>
        </w:tc>
        <w:tc>
          <w:tcPr>
            <w:tcW w:w="1276" w:type="dxa"/>
            <w:tcBorders>
              <w:top w:val="nil"/>
              <w:left w:val="nil"/>
              <w:bottom w:val="nil"/>
              <w:right w:val="single" w:sz="4" w:space="0" w:color="auto"/>
            </w:tcBorders>
            <w:shd w:val="clear" w:color="auto" w:fill="auto"/>
            <w:noWrap/>
            <w:vAlign w:val="bottom"/>
            <w:hideMark/>
          </w:tcPr>
          <w:p w14:paraId="584E0E2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56 (3.7%)</w:t>
            </w:r>
          </w:p>
        </w:tc>
        <w:tc>
          <w:tcPr>
            <w:tcW w:w="1417" w:type="dxa"/>
            <w:tcBorders>
              <w:top w:val="nil"/>
              <w:left w:val="nil"/>
              <w:bottom w:val="nil"/>
              <w:right w:val="single" w:sz="4" w:space="0" w:color="auto"/>
            </w:tcBorders>
            <w:shd w:val="clear" w:color="auto" w:fill="auto"/>
            <w:noWrap/>
            <w:vAlign w:val="bottom"/>
            <w:hideMark/>
          </w:tcPr>
          <w:p w14:paraId="4581FA5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324 (5.7%)</w:t>
            </w:r>
          </w:p>
        </w:tc>
        <w:tc>
          <w:tcPr>
            <w:tcW w:w="1559" w:type="dxa"/>
            <w:tcBorders>
              <w:top w:val="nil"/>
              <w:left w:val="nil"/>
              <w:bottom w:val="nil"/>
              <w:right w:val="single" w:sz="4" w:space="0" w:color="auto"/>
            </w:tcBorders>
            <w:shd w:val="clear" w:color="auto" w:fill="auto"/>
            <w:noWrap/>
            <w:vAlign w:val="bottom"/>
            <w:hideMark/>
          </w:tcPr>
          <w:p w14:paraId="266E6F7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123 (4.3%)</w:t>
            </w:r>
          </w:p>
        </w:tc>
        <w:tc>
          <w:tcPr>
            <w:tcW w:w="1414" w:type="dxa"/>
            <w:tcBorders>
              <w:top w:val="nil"/>
              <w:left w:val="nil"/>
              <w:bottom w:val="nil"/>
              <w:right w:val="nil"/>
            </w:tcBorders>
            <w:shd w:val="clear" w:color="auto" w:fill="auto"/>
            <w:noWrap/>
            <w:vAlign w:val="bottom"/>
            <w:hideMark/>
          </w:tcPr>
          <w:p w14:paraId="75B806F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 (3.2%)</w:t>
            </w:r>
          </w:p>
        </w:tc>
        <w:tc>
          <w:tcPr>
            <w:tcW w:w="1397" w:type="dxa"/>
            <w:tcBorders>
              <w:top w:val="nil"/>
              <w:left w:val="nil"/>
              <w:bottom w:val="nil"/>
              <w:right w:val="single" w:sz="4" w:space="0" w:color="auto"/>
            </w:tcBorders>
            <w:shd w:val="clear" w:color="auto" w:fill="auto"/>
            <w:noWrap/>
            <w:vAlign w:val="bottom"/>
            <w:hideMark/>
          </w:tcPr>
          <w:p w14:paraId="2FF03BE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 (2.0%)</w:t>
            </w:r>
          </w:p>
        </w:tc>
        <w:tc>
          <w:tcPr>
            <w:tcW w:w="1300" w:type="dxa"/>
            <w:tcBorders>
              <w:top w:val="nil"/>
              <w:left w:val="nil"/>
              <w:bottom w:val="nil"/>
              <w:right w:val="nil"/>
            </w:tcBorders>
            <w:shd w:val="clear" w:color="auto" w:fill="auto"/>
            <w:noWrap/>
            <w:vAlign w:val="bottom"/>
            <w:hideMark/>
          </w:tcPr>
          <w:p w14:paraId="2E36BE4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22 (11.6%)</w:t>
            </w:r>
          </w:p>
        </w:tc>
        <w:tc>
          <w:tcPr>
            <w:tcW w:w="1418" w:type="dxa"/>
            <w:tcBorders>
              <w:top w:val="nil"/>
              <w:left w:val="nil"/>
              <w:bottom w:val="nil"/>
              <w:right w:val="single" w:sz="8" w:space="0" w:color="auto"/>
            </w:tcBorders>
            <w:shd w:val="clear" w:color="auto" w:fill="auto"/>
            <w:noWrap/>
            <w:vAlign w:val="bottom"/>
            <w:hideMark/>
          </w:tcPr>
          <w:p w14:paraId="052F37F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32 (11.3%)</w:t>
            </w:r>
          </w:p>
        </w:tc>
      </w:tr>
      <w:tr w:rsidR="00B7459D" w:rsidRPr="00424424" w14:paraId="3DC0C5D3"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76741FE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xml:space="preserve">     SDOC</w:t>
            </w:r>
          </w:p>
        </w:tc>
        <w:tc>
          <w:tcPr>
            <w:tcW w:w="1417" w:type="dxa"/>
            <w:tcBorders>
              <w:top w:val="nil"/>
              <w:left w:val="nil"/>
              <w:bottom w:val="nil"/>
              <w:right w:val="single" w:sz="4" w:space="0" w:color="auto"/>
            </w:tcBorders>
            <w:shd w:val="clear" w:color="auto" w:fill="auto"/>
            <w:noWrap/>
            <w:vAlign w:val="bottom"/>
            <w:hideMark/>
          </w:tcPr>
          <w:p w14:paraId="5FF875D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779 (6.4%)</w:t>
            </w:r>
          </w:p>
        </w:tc>
        <w:tc>
          <w:tcPr>
            <w:tcW w:w="1418" w:type="dxa"/>
            <w:tcBorders>
              <w:top w:val="nil"/>
              <w:left w:val="nil"/>
              <w:bottom w:val="nil"/>
              <w:right w:val="nil"/>
            </w:tcBorders>
            <w:shd w:val="clear" w:color="auto" w:fill="auto"/>
            <w:noWrap/>
            <w:vAlign w:val="bottom"/>
            <w:hideMark/>
          </w:tcPr>
          <w:p w14:paraId="59CCED3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59 (4.1%)</w:t>
            </w:r>
          </w:p>
        </w:tc>
        <w:tc>
          <w:tcPr>
            <w:tcW w:w="1276" w:type="dxa"/>
            <w:tcBorders>
              <w:top w:val="nil"/>
              <w:left w:val="nil"/>
              <w:bottom w:val="nil"/>
              <w:right w:val="single" w:sz="4" w:space="0" w:color="auto"/>
            </w:tcBorders>
            <w:shd w:val="clear" w:color="auto" w:fill="auto"/>
            <w:noWrap/>
            <w:vAlign w:val="bottom"/>
            <w:hideMark/>
          </w:tcPr>
          <w:p w14:paraId="25B4BDA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71 (4.7%)</w:t>
            </w:r>
          </w:p>
        </w:tc>
        <w:tc>
          <w:tcPr>
            <w:tcW w:w="1417" w:type="dxa"/>
            <w:tcBorders>
              <w:top w:val="nil"/>
              <w:left w:val="nil"/>
              <w:bottom w:val="nil"/>
              <w:right w:val="single" w:sz="4" w:space="0" w:color="auto"/>
            </w:tcBorders>
            <w:shd w:val="clear" w:color="auto" w:fill="auto"/>
            <w:noWrap/>
            <w:vAlign w:val="bottom"/>
            <w:hideMark/>
          </w:tcPr>
          <w:p w14:paraId="21DCA0BD"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335 (5.9%)</w:t>
            </w:r>
          </w:p>
        </w:tc>
        <w:tc>
          <w:tcPr>
            <w:tcW w:w="1559" w:type="dxa"/>
            <w:tcBorders>
              <w:top w:val="nil"/>
              <w:left w:val="nil"/>
              <w:bottom w:val="nil"/>
              <w:right w:val="single" w:sz="4" w:space="0" w:color="auto"/>
            </w:tcBorders>
            <w:shd w:val="clear" w:color="auto" w:fill="auto"/>
            <w:noWrap/>
            <w:vAlign w:val="bottom"/>
            <w:hideMark/>
          </w:tcPr>
          <w:p w14:paraId="280F29C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88 (3.1%)</w:t>
            </w:r>
          </w:p>
        </w:tc>
        <w:tc>
          <w:tcPr>
            <w:tcW w:w="1414" w:type="dxa"/>
            <w:tcBorders>
              <w:top w:val="nil"/>
              <w:left w:val="nil"/>
              <w:bottom w:val="nil"/>
              <w:right w:val="nil"/>
            </w:tcBorders>
            <w:shd w:val="clear" w:color="auto" w:fill="auto"/>
            <w:noWrap/>
            <w:vAlign w:val="bottom"/>
            <w:hideMark/>
          </w:tcPr>
          <w:p w14:paraId="68C3B80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52 (33.1%)</w:t>
            </w:r>
          </w:p>
        </w:tc>
        <w:tc>
          <w:tcPr>
            <w:tcW w:w="1397" w:type="dxa"/>
            <w:tcBorders>
              <w:top w:val="nil"/>
              <w:left w:val="nil"/>
              <w:bottom w:val="nil"/>
              <w:right w:val="single" w:sz="4" w:space="0" w:color="auto"/>
            </w:tcBorders>
            <w:shd w:val="clear" w:color="auto" w:fill="auto"/>
            <w:noWrap/>
            <w:vAlign w:val="bottom"/>
            <w:hideMark/>
          </w:tcPr>
          <w:p w14:paraId="377899F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44 (29.9%)</w:t>
            </w:r>
          </w:p>
        </w:tc>
        <w:tc>
          <w:tcPr>
            <w:tcW w:w="1300" w:type="dxa"/>
            <w:tcBorders>
              <w:top w:val="nil"/>
              <w:left w:val="nil"/>
              <w:bottom w:val="nil"/>
              <w:right w:val="nil"/>
            </w:tcBorders>
            <w:shd w:val="clear" w:color="auto" w:fill="auto"/>
            <w:noWrap/>
            <w:vAlign w:val="bottom"/>
            <w:hideMark/>
          </w:tcPr>
          <w:p w14:paraId="28B8AC3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36 (18.9%)</w:t>
            </w:r>
          </w:p>
        </w:tc>
        <w:tc>
          <w:tcPr>
            <w:tcW w:w="1418" w:type="dxa"/>
            <w:tcBorders>
              <w:top w:val="nil"/>
              <w:left w:val="nil"/>
              <w:bottom w:val="nil"/>
              <w:right w:val="single" w:sz="8" w:space="0" w:color="auto"/>
            </w:tcBorders>
            <w:shd w:val="clear" w:color="auto" w:fill="auto"/>
            <w:noWrap/>
            <w:vAlign w:val="bottom"/>
            <w:hideMark/>
          </w:tcPr>
          <w:p w14:paraId="4FB3BF5A"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94 (33.3%)</w:t>
            </w:r>
          </w:p>
        </w:tc>
      </w:tr>
      <w:tr w:rsidR="00B7459D" w:rsidRPr="00424424" w14:paraId="43B5572F"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2771F93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5A73348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auto" w:fill="auto"/>
            <w:noWrap/>
            <w:vAlign w:val="bottom"/>
            <w:hideMark/>
          </w:tcPr>
          <w:p w14:paraId="10B2448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276" w:type="dxa"/>
            <w:tcBorders>
              <w:top w:val="nil"/>
              <w:left w:val="nil"/>
              <w:bottom w:val="nil"/>
              <w:right w:val="single" w:sz="4" w:space="0" w:color="auto"/>
            </w:tcBorders>
            <w:shd w:val="clear" w:color="auto" w:fill="auto"/>
            <w:noWrap/>
            <w:vAlign w:val="bottom"/>
            <w:hideMark/>
          </w:tcPr>
          <w:p w14:paraId="21FBDF1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7" w:type="dxa"/>
            <w:tcBorders>
              <w:top w:val="nil"/>
              <w:left w:val="nil"/>
              <w:bottom w:val="nil"/>
              <w:right w:val="single" w:sz="4" w:space="0" w:color="auto"/>
            </w:tcBorders>
            <w:shd w:val="clear" w:color="auto" w:fill="auto"/>
            <w:noWrap/>
            <w:vAlign w:val="bottom"/>
            <w:hideMark/>
          </w:tcPr>
          <w:p w14:paraId="56A9317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559" w:type="dxa"/>
            <w:tcBorders>
              <w:top w:val="nil"/>
              <w:left w:val="nil"/>
              <w:bottom w:val="nil"/>
              <w:right w:val="single" w:sz="4" w:space="0" w:color="auto"/>
            </w:tcBorders>
            <w:shd w:val="clear" w:color="auto" w:fill="auto"/>
            <w:noWrap/>
            <w:vAlign w:val="bottom"/>
            <w:hideMark/>
          </w:tcPr>
          <w:p w14:paraId="33DC8FF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4" w:type="dxa"/>
            <w:tcBorders>
              <w:top w:val="nil"/>
              <w:left w:val="nil"/>
              <w:bottom w:val="nil"/>
              <w:right w:val="nil"/>
            </w:tcBorders>
            <w:shd w:val="clear" w:color="auto" w:fill="auto"/>
            <w:noWrap/>
            <w:vAlign w:val="bottom"/>
            <w:hideMark/>
          </w:tcPr>
          <w:p w14:paraId="2F8B740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97" w:type="dxa"/>
            <w:tcBorders>
              <w:top w:val="nil"/>
              <w:left w:val="nil"/>
              <w:bottom w:val="nil"/>
              <w:right w:val="single" w:sz="4" w:space="0" w:color="auto"/>
            </w:tcBorders>
            <w:shd w:val="clear" w:color="auto" w:fill="auto"/>
            <w:noWrap/>
            <w:vAlign w:val="bottom"/>
            <w:hideMark/>
          </w:tcPr>
          <w:p w14:paraId="13EF426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300" w:type="dxa"/>
            <w:tcBorders>
              <w:top w:val="nil"/>
              <w:left w:val="nil"/>
              <w:bottom w:val="nil"/>
              <w:right w:val="nil"/>
            </w:tcBorders>
            <w:shd w:val="clear" w:color="auto" w:fill="auto"/>
            <w:noWrap/>
            <w:vAlign w:val="bottom"/>
            <w:hideMark/>
          </w:tcPr>
          <w:p w14:paraId="5CD4428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c>
          <w:tcPr>
            <w:tcW w:w="1418" w:type="dxa"/>
            <w:tcBorders>
              <w:top w:val="nil"/>
              <w:left w:val="nil"/>
              <w:bottom w:val="nil"/>
              <w:right w:val="single" w:sz="8" w:space="0" w:color="auto"/>
            </w:tcBorders>
            <w:shd w:val="clear" w:color="auto" w:fill="auto"/>
            <w:noWrap/>
            <w:vAlign w:val="bottom"/>
            <w:hideMark/>
          </w:tcPr>
          <w:p w14:paraId="5609740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 </w:t>
            </w:r>
          </w:p>
        </w:tc>
      </w:tr>
      <w:tr w:rsidR="00B7459D" w:rsidRPr="00424424" w14:paraId="4771929F" w14:textId="77777777" w:rsidTr="000122D0">
        <w:trPr>
          <w:gridAfter w:val="1"/>
          <w:wAfter w:w="1490" w:type="dxa"/>
          <w:trHeight w:val="300"/>
        </w:trPr>
        <w:tc>
          <w:tcPr>
            <w:tcW w:w="1985" w:type="dxa"/>
            <w:tcBorders>
              <w:top w:val="nil"/>
              <w:left w:val="single" w:sz="8" w:space="0" w:color="auto"/>
              <w:bottom w:val="nil"/>
              <w:right w:val="single" w:sz="4" w:space="0" w:color="auto"/>
            </w:tcBorders>
            <w:shd w:val="clear" w:color="auto" w:fill="auto"/>
            <w:noWrap/>
            <w:vAlign w:val="bottom"/>
            <w:hideMark/>
          </w:tcPr>
          <w:p w14:paraId="1EDE7EB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Died during follow-up</w:t>
            </w:r>
          </w:p>
        </w:tc>
        <w:tc>
          <w:tcPr>
            <w:tcW w:w="1417" w:type="dxa"/>
            <w:tcBorders>
              <w:top w:val="nil"/>
              <w:left w:val="nil"/>
              <w:bottom w:val="nil"/>
              <w:right w:val="single" w:sz="4" w:space="0" w:color="auto"/>
            </w:tcBorders>
            <w:shd w:val="clear" w:color="auto" w:fill="auto"/>
            <w:noWrap/>
            <w:vAlign w:val="bottom"/>
            <w:hideMark/>
          </w:tcPr>
          <w:p w14:paraId="58B007B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7566 (61.8%)</w:t>
            </w:r>
          </w:p>
        </w:tc>
        <w:tc>
          <w:tcPr>
            <w:tcW w:w="1418" w:type="dxa"/>
            <w:tcBorders>
              <w:top w:val="nil"/>
              <w:left w:val="nil"/>
              <w:bottom w:val="nil"/>
              <w:right w:val="nil"/>
            </w:tcBorders>
            <w:shd w:val="clear" w:color="auto" w:fill="auto"/>
            <w:noWrap/>
            <w:vAlign w:val="bottom"/>
            <w:hideMark/>
          </w:tcPr>
          <w:p w14:paraId="74261F5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1014 (71.0%)</w:t>
            </w:r>
          </w:p>
        </w:tc>
        <w:tc>
          <w:tcPr>
            <w:tcW w:w="1276" w:type="dxa"/>
            <w:tcBorders>
              <w:top w:val="nil"/>
              <w:left w:val="nil"/>
              <w:bottom w:val="nil"/>
              <w:right w:val="single" w:sz="4" w:space="0" w:color="auto"/>
            </w:tcBorders>
            <w:shd w:val="clear" w:color="auto" w:fill="auto"/>
            <w:noWrap/>
            <w:vAlign w:val="bottom"/>
            <w:hideMark/>
          </w:tcPr>
          <w:p w14:paraId="758D87EC"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891 (58.6%)</w:t>
            </w:r>
          </w:p>
        </w:tc>
        <w:tc>
          <w:tcPr>
            <w:tcW w:w="1417" w:type="dxa"/>
            <w:tcBorders>
              <w:top w:val="nil"/>
              <w:left w:val="nil"/>
              <w:bottom w:val="nil"/>
              <w:right w:val="single" w:sz="4" w:space="0" w:color="auto"/>
            </w:tcBorders>
            <w:shd w:val="clear" w:color="auto" w:fill="auto"/>
            <w:noWrap/>
            <w:vAlign w:val="bottom"/>
            <w:hideMark/>
          </w:tcPr>
          <w:p w14:paraId="51A46CD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3582 (63.3%)</w:t>
            </w:r>
          </w:p>
        </w:tc>
        <w:tc>
          <w:tcPr>
            <w:tcW w:w="1559" w:type="dxa"/>
            <w:tcBorders>
              <w:top w:val="nil"/>
              <w:left w:val="nil"/>
              <w:bottom w:val="nil"/>
              <w:right w:val="single" w:sz="4" w:space="0" w:color="auto"/>
            </w:tcBorders>
            <w:shd w:val="clear" w:color="auto" w:fill="auto"/>
            <w:noWrap/>
            <w:vAlign w:val="bottom"/>
            <w:hideMark/>
          </w:tcPr>
          <w:p w14:paraId="2BF00A3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1973 (69.2%)</w:t>
            </w:r>
          </w:p>
        </w:tc>
        <w:tc>
          <w:tcPr>
            <w:tcW w:w="1414" w:type="dxa"/>
            <w:tcBorders>
              <w:top w:val="nil"/>
              <w:left w:val="nil"/>
              <w:bottom w:val="nil"/>
              <w:right w:val="nil"/>
            </w:tcBorders>
            <w:shd w:val="clear" w:color="auto" w:fill="auto"/>
            <w:noWrap/>
            <w:vAlign w:val="bottom"/>
            <w:hideMark/>
          </w:tcPr>
          <w:p w14:paraId="32C4837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28 (17.8%)</w:t>
            </w:r>
          </w:p>
        </w:tc>
        <w:tc>
          <w:tcPr>
            <w:tcW w:w="1397" w:type="dxa"/>
            <w:tcBorders>
              <w:top w:val="nil"/>
              <w:left w:val="nil"/>
              <w:bottom w:val="nil"/>
              <w:right w:val="single" w:sz="4" w:space="0" w:color="auto"/>
            </w:tcBorders>
            <w:shd w:val="clear" w:color="auto" w:fill="auto"/>
            <w:noWrap/>
            <w:vAlign w:val="bottom"/>
            <w:hideMark/>
          </w:tcPr>
          <w:p w14:paraId="37F57CB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17 (11.6%)</w:t>
            </w:r>
          </w:p>
        </w:tc>
        <w:tc>
          <w:tcPr>
            <w:tcW w:w="1300" w:type="dxa"/>
            <w:tcBorders>
              <w:top w:val="nil"/>
              <w:left w:val="nil"/>
              <w:bottom w:val="nil"/>
              <w:right w:val="nil"/>
            </w:tcBorders>
            <w:shd w:val="clear" w:color="auto" w:fill="auto"/>
            <w:noWrap/>
            <w:vAlign w:val="bottom"/>
            <w:hideMark/>
          </w:tcPr>
          <w:p w14:paraId="5FBE9A0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46 (24.2%)</w:t>
            </w:r>
          </w:p>
        </w:tc>
        <w:tc>
          <w:tcPr>
            <w:tcW w:w="1418" w:type="dxa"/>
            <w:tcBorders>
              <w:top w:val="nil"/>
              <w:left w:val="nil"/>
              <w:bottom w:val="nil"/>
              <w:right w:val="single" w:sz="8" w:space="0" w:color="auto"/>
            </w:tcBorders>
            <w:shd w:val="clear" w:color="auto" w:fill="auto"/>
            <w:noWrap/>
            <w:vAlign w:val="bottom"/>
            <w:hideMark/>
          </w:tcPr>
          <w:p w14:paraId="2E27C9B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15 (5.3%)</w:t>
            </w:r>
          </w:p>
        </w:tc>
      </w:tr>
      <w:tr w:rsidR="00B7459D" w:rsidRPr="00424424" w14:paraId="03716D24" w14:textId="77777777" w:rsidTr="000122D0">
        <w:trPr>
          <w:gridAfter w:val="1"/>
          <w:wAfter w:w="1490" w:type="dxa"/>
          <w:trHeight w:val="300"/>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14:paraId="6B12B93F"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lastRenderedPageBreak/>
              <w:t>Follow-up time (years)</w:t>
            </w:r>
          </w:p>
        </w:tc>
        <w:tc>
          <w:tcPr>
            <w:tcW w:w="1417" w:type="dxa"/>
            <w:tcBorders>
              <w:top w:val="nil"/>
              <w:left w:val="nil"/>
              <w:bottom w:val="single" w:sz="8" w:space="0" w:color="auto"/>
              <w:right w:val="single" w:sz="4" w:space="0" w:color="auto"/>
            </w:tcBorders>
            <w:shd w:val="clear" w:color="auto" w:fill="auto"/>
            <w:noWrap/>
            <w:vAlign w:val="bottom"/>
            <w:hideMark/>
          </w:tcPr>
          <w:p w14:paraId="48599DC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11.9 (5.5)</w:t>
            </w:r>
          </w:p>
        </w:tc>
        <w:tc>
          <w:tcPr>
            <w:tcW w:w="1418" w:type="dxa"/>
            <w:tcBorders>
              <w:top w:val="nil"/>
              <w:left w:val="nil"/>
              <w:bottom w:val="single" w:sz="8" w:space="0" w:color="auto"/>
              <w:right w:val="nil"/>
            </w:tcBorders>
            <w:shd w:val="clear" w:color="auto" w:fill="auto"/>
            <w:noWrap/>
            <w:vAlign w:val="bottom"/>
            <w:hideMark/>
          </w:tcPr>
          <w:p w14:paraId="31068062"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11.2 (5.0)</w:t>
            </w:r>
          </w:p>
        </w:tc>
        <w:tc>
          <w:tcPr>
            <w:tcW w:w="1276" w:type="dxa"/>
            <w:tcBorders>
              <w:top w:val="nil"/>
              <w:left w:val="nil"/>
              <w:bottom w:val="single" w:sz="8" w:space="0" w:color="auto"/>
              <w:right w:val="single" w:sz="4" w:space="0" w:color="auto"/>
            </w:tcBorders>
            <w:shd w:val="clear" w:color="auto" w:fill="auto"/>
            <w:noWrap/>
            <w:vAlign w:val="bottom"/>
            <w:hideMark/>
          </w:tcPr>
          <w:p w14:paraId="61780611"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12.6 (4.6)</w:t>
            </w:r>
          </w:p>
        </w:tc>
        <w:tc>
          <w:tcPr>
            <w:tcW w:w="1417" w:type="dxa"/>
            <w:tcBorders>
              <w:top w:val="nil"/>
              <w:left w:val="nil"/>
              <w:bottom w:val="single" w:sz="8" w:space="0" w:color="auto"/>
              <w:right w:val="single" w:sz="4" w:space="0" w:color="auto"/>
            </w:tcBorders>
            <w:shd w:val="clear" w:color="auto" w:fill="auto"/>
            <w:noWrap/>
            <w:vAlign w:val="bottom"/>
            <w:hideMark/>
          </w:tcPr>
          <w:p w14:paraId="548DAB8B"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13.0 (5.8)</w:t>
            </w:r>
          </w:p>
        </w:tc>
        <w:tc>
          <w:tcPr>
            <w:tcW w:w="1559" w:type="dxa"/>
            <w:tcBorders>
              <w:top w:val="nil"/>
              <w:left w:val="nil"/>
              <w:bottom w:val="single" w:sz="8" w:space="0" w:color="auto"/>
              <w:right w:val="single" w:sz="4" w:space="0" w:color="auto"/>
            </w:tcBorders>
            <w:shd w:val="clear" w:color="auto" w:fill="auto"/>
            <w:noWrap/>
            <w:vAlign w:val="bottom"/>
            <w:hideMark/>
          </w:tcPr>
          <w:p w14:paraId="59FAC684"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11.4 (4.8)</w:t>
            </w:r>
          </w:p>
        </w:tc>
        <w:tc>
          <w:tcPr>
            <w:tcW w:w="1414" w:type="dxa"/>
            <w:tcBorders>
              <w:top w:val="nil"/>
              <w:left w:val="nil"/>
              <w:bottom w:val="single" w:sz="8" w:space="0" w:color="auto"/>
              <w:right w:val="nil"/>
            </w:tcBorders>
            <w:shd w:val="clear" w:color="auto" w:fill="auto"/>
            <w:noWrap/>
            <w:vAlign w:val="bottom"/>
            <w:hideMark/>
          </w:tcPr>
          <w:p w14:paraId="049E99B0"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6.4 (1.2)</w:t>
            </w:r>
          </w:p>
        </w:tc>
        <w:tc>
          <w:tcPr>
            <w:tcW w:w="1397" w:type="dxa"/>
            <w:tcBorders>
              <w:top w:val="nil"/>
              <w:left w:val="nil"/>
              <w:bottom w:val="single" w:sz="8" w:space="0" w:color="auto"/>
              <w:right w:val="single" w:sz="4" w:space="0" w:color="auto"/>
            </w:tcBorders>
            <w:shd w:val="clear" w:color="auto" w:fill="auto"/>
            <w:noWrap/>
            <w:vAlign w:val="bottom"/>
            <w:hideMark/>
          </w:tcPr>
          <w:p w14:paraId="537A9F59"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6.5 (1.0)</w:t>
            </w:r>
          </w:p>
        </w:tc>
        <w:tc>
          <w:tcPr>
            <w:tcW w:w="1300" w:type="dxa"/>
            <w:tcBorders>
              <w:top w:val="nil"/>
              <w:left w:val="nil"/>
              <w:bottom w:val="single" w:sz="8" w:space="0" w:color="auto"/>
              <w:right w:val="nil"/>
            </w:tcBorders>
            <w:shd w:val="clear" w:color="auto" w:fill="auto"/>
            <w:noWrap/>
            <w:vAlign w:val="bottom"/>
            <w:hideMark/>
          </w:tcPr>
          <w:p w14:paraId="223FEBD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4.4 (1.1)</w:t>
            </w:r>
          </w:p>
        </w:tc>
        <w:tc>
          <w:tcPr>
            <w:tcW w:w="1418" w:type="dxa"/>
            <w:tcBorders>
              <w:top w:val="nil"/>
              <w:left w:val="nil"/>
              <w:bottom w:val="single" w:sz="8" w:space="0" w:color="auto"/>
              <w:right w:val="single" w:sz="8" w:space="0" w:color="auto"/>
            </w:tcBorders>
            <w:shd w:val="clear" w:color="auto" w:fill="auto"/>
            <w:noWrap/>
            <w:vAlign w:val="bottom"/>
            <w:hideMark/>
          </w:tcPr>
          <w:p w14:paraId="0946FD55"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4.8 (0.5)</w:t>
            </w:r>
          </w:p>
        </w:tc>
      </w:tr>
      <w:tr w:rsidR="00B7459D" w:rsidRPr="00424424" w14:paraId="634E1775" w14:textId="77777777" w:rsidTr="000122D0">
        <w:trPr>
          <w:gridAfter w:val="1"/>
          <w:wAfter w:w="1490" w:type="dxa"/>
          <w:trHeight w:val="450"/>
        </w:trPr>
        <w:tc>
          <w:tcPr>
            <w:tcW w:w="14601" w:type="dxa"/>
            <w:gridSpan w:val="10"/>
            <w:vMerge w:val="restart"/>
            <w:tcBorders>
              <w:top w:val="nil"/>
              <w:left w:val="nil"/>
              <w:bottom w:val="nil"/>
              <w:right w:val="nil"/>
            </w:tcBorders>
            <w:shd w:val="clear" w:color="auto" w:fill="auto"/>
            <w:vAlign w:val="bottom"/>
            <w:hideMark/>
          </w:tcPr>
          <w:p w14:paraId="3174A797"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Health ABC: Health, Aging and Body Composition Study; MrOS: Osteoporotic Fractures in Men Study; HCS: Hertfordshire Cohort Study; SarcoPhAge: Sarcopenia and Physical impairment with advancing Age Study</w:t>
            </w:r>
          </w:p>
        </w:tc>
      </w:tr>
      <w:tr w:rsidR="00B7459D" w:rsidRPr="00424424" w14:paraId="4B39818D" w14:textId="77777777" w:rsidTr="000122D0">
        <w:trPr>
          <w:trHeight w:val="300"/>
        </w:trPr>
        <w:tc>
          <w:tcPr>
            <w:tcW w:w="14601" w:type="dxa"/>
            <w:gridSpan w:val="10"/>
            <w:vMerge/>
            <w:tcBorders>
              <w:top w:val="nil"/>
              <w:left w:val="nil"/>
              <w:bottom w:val="nil"/>
              <w:right w:val="nil"/>
            </w:tcBorders>
            <w:vAlign w:val="center"/>
            <w:hideMark/>
          </w:tcPr>
          <w:p w14:paraId="45E6C7E8" w14:textId="77777777" w:rsidR="00B7459D" w:rsidRPr="00424424" w:rsidRDefault="00B7459D" w:rsidP="000122D0">
            <w:pPr>
              <w:spacing w:after="0" w:line="240" w:lineRule="auto"/>
              <w:rPr>
                <w:rFonts w:ascii="Arial" w:eastAsia="Times New Roman" w:hAnsi="Arial" w:cs="Arial"/>
                <w:color w:val="000000"/>
                <w:sz w:val="18"/>
                <w:szCs w:val="18"/>
                <w:lang w:eastAsia="en-GB"/>
              </w:rPr>
            </w:pPr>
          </w:p>
        </w:tc>
        <w:tc>
          <w:tcPr>
            <w:tcW w:w="1490" w:type="dxa"/>
            <w:tcBorders>
              <w:top w:val="nil"/>
              <w:left w:val="nil"/>
              <w:bottom w:val="nil"/>
              <w:right w:val="nil"/>
            </w:tcBorders>
            <w:shd w:val="clear" w:color="auto" w:fill="auto"/>
            <w:noWrap/>
            <w:vAlign w:val="bottom"/>
            <w:hideMark/>
          </w:tcPr>
          <w:p w14:paraId="418FF868" w14:textId="77777777" w:rsidR="00B7459D" w:rsidRPr="00424424" w:rsidRDefault="00B7459D" w:rsidP="000122D0">
            <w:pPr>
              <w:spacing w:after="0" w:line="240" w:lineRule="auto"/>
              <w:rPr>
                <w:rFonts w:ascii="Arial" w:eastAsia="Times New Roman" w:hAnsi="Arial" w:cs="Arial"/>
                <w:color w:val="000000"/>
                <w:sz w:val="18"/>
                <w:szCs w:val="18"/>
                <w:lang w:eastAsia="en-GB"/>
              </w:rPr>
            </w:pPr>
          </w:p>
        </w:tc>
      </w:tr>
      <w:tr w:rsidR="00B7459D" w:rsidRPr="00424424" w14:paraId="7128B947" w14:textId="77777777" w:rsidTr="000122D0">
        <w:trPr>
          <w:trHeight w:val="300"/>
        </w:trPr>
        <w:tc>
          <w:tcPr>
            <w:tcW w:w="14601" w:type="dxa"/>
            <w:gridSpan w:val="10"/>
            <w:tcBorders>
              <w:top w:val="nil"/>
              <w:left w:val="nil"/>
              <w:bottom w:val="nil"/>
              <w:right w:val="nil"/>
            </w:tcBorders>
            <w:shd w:val="clear" w:color="auto" w:fill="auto"/>
            <w:noWrap/>
            <w:vAlign w:val="bottom"/>
            <w:hideMark/>
          </w:tcPr>
          <w:p w14:paraId="782BDAE8"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ALM: Appendicular lean mass</w:t>
            </w:r>
          </w:p>
        </w:tc>
        <w:tc>
          <w:tcPr>
            <w:tcW w:w="1490" w:type="dxa"/>
            <w:vAlign w:val="center"/>
            <w:hideMark/>
          </w:tcPr>
          <w:p w14:paraId="4579EA92"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r>
      <w:tr w:rsidR="00B7459D" w:rsidRPr="00424424" w14:paraId="7AB26A00" w14:textId="77777777" w:rsidTr="000122D0">
        <w:trPr>
          <w:trHeight w:val="300"/>
        </w:trPr>
        <w:tc>
          <w:tcPr>
            <w:tcW w:w="14601" w:type="dxa"/>
            <w:gridSpan w:val="10"/>
            <w:tcBorders>
              <w:top w:val="nil"/>
              <w:left w:val="nil"/>
              <w:bottom w:val="nil"/>
              <w:right w:val="nil"/>
            </w:tcBorders>
            <w:shd w:val="clear" w:color="auto" w:fill="auto"/>
            <w:noWrap/>
            <w:vAlign w:val="bottom"/>
            <w:hideMark/>
          </w:tcPr>
          <w:p w14:paraId="4258DB9E"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EWGSOP2: 2019 European Working Group on Sarcopenia in Older People</w:t>
            </w:r>
          </w:p>
        </w:tc>
        <w:tc>
          <w:tcPr>
            <w:tcW w:w="1490" w:type="dxa"/>
            <w:vAlign w:val="center"/>
            <w:hideMark/>
          </w:tcPr>
          <w:p w14:paraId="65EE1BEE"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r>
      <w:tr w:rsidR="00B7459D" w:rsidRPr="00424424" w14:paraId="3889D16A" w14:textId="77777777" w:rsidTr="000122D0">
        <w:trPr>
          <w:trHeight w:val="300"/>
        </w:trPr>
        <w:tc>
          <w:tcPr>
            <w:tcW w:w="14601" w:type="dxa"/>
            <w:gridSpan w:val="10"/>
            <w:tcBorders>
              <w:top w:val="nil"/>
              <w:left w:val="nil"/>
              <w:bottom w:val="nil"/>
              <w:right w:val="nil"/>
            </w:tcBorders>
            <w:shd w:val="clear" w:color="auto" w:fill="auto"/>
            <w:noWrap/>
            <w:vAlign w:val="bottom"/>
            <w:hideMark/>
          </w:tcPr>
          <w:p w14:paraId="29997B76"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SDOC: Sarcopenia Definitions and Outcomes Consortium</w:t>
            </w:r>
          </w:p>
        </w:tc>
        <w:tc>
          <w:tcPr>
            <w:tcW w:w="1490" w:type="dxa"/>
            <w:vAlign w:val="center"/>
            <w:hideMark/>
          </w:tcPr>
          <w:p w14:paraId="00222248"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r>
      <w:tr w:rsidR="00B7459D" w:rsidRPr="00424424" w14:paraId="6444E81A" w14:textId="77777777" w:rsidTr="000122D0">
        <w:trPr>
          <w:trHeight w:val="300"/>
        </w:trPr>
        <w:tc>
          <w:tcPr>
            <w:tcW w:w="14601" w:type="dxa"/>
            <w:gridSpan w:val="10"/>
            <w:tcBorders>
              <w:top w:val="nil"/>
              <w:left w:val="nil"/>
              <w:bottom w:val="nil"/>
              <w:right w:val="nil"/>
            </w:tcBorders>
            <w:shd w:val="clear" w:color="auto" w:fill="auto"/>
            <w:noWrap/>
            <w:vAlign w:val="bottom"/>
            <w:hideMark/>
          </w:tcPr>
          <w:p w14:paraId="1A339E43" w14:textId="77777777" w:rsidR="00B7459D" w:rsidRPr="00424424" w:rsidRDefault="00B7459D" w:rsidP="000122D0">
            <w:pPr>
              <w:spacing w:after="0" w:line="240" w:lineRule="auto"/>
              <w:rPr>
                <w:rFonts w:ascii="Arial" w:eastAsia="Times New Roman" w:hAnsi="Arial" w:cs="Arial"/>
                <w:color w:val="000000"/>
                <w:sz w:val="18"/>
                <w:szCs w:val="18"/>
                <w:lang w:eastAsia="en-GB"/>
              </w:rPr>
            </w:pPr>
            <w:r w:rsidRPr="00424424">
              <w:rPr>
                <w:rFonts w:ascii="Arial" w:eastAsia="Times New Roman" w:hAnsi="Arial" w:cs="Arial"/>
                <w:color w:val="000000"/>
                <w:sz w:val="18"/>
                <w:szCs w:val="18"/>
                <w:lang w:eastAsia="en-GB"/>
              </w:rPr>
              <w:t>Thresholds for original and modified definitions are presented in Table 1</w:t>
            </w:r>
          </w:p>
        </w:tc>
        <w:tc>
          <w:tcPr>
            <w:tcW w:w="1490" w:type="dxa"/>
            <w:vAlign w:val="center"/>
            <w:hideMark/>
          </w:tcPr>
          <w:p w14:paraId="494B2E88" w14:textId="77777777" w:rsidR="00B7459D" w:rsidRPr="00424424" w:rsidRDefault="00B7459D" w:rsidP="000122D0">
            <w:pPr>
              <w:spacing w:after="0" w:line="240" w:lineRule="auto"/>
              <w:rPr>
                <w:rFonts w:ascii="Times New Roman" w:eastAsia="Times New Roman" w:hAnsi="Times New Roman" w:cs="Times New Roman"/>
                <w:sz w:val="18"/>
                <w:szCs w:val="18"/>
                <w:lang w:eastAsia="en-GB"/>
              </w:rPr>
            </w:pPr>
          </w:p>
        </w:tc>
      </w:tr>
    </w:tbl>
    <w:p w14:paraId="42891F56" w14:textId="77777777" w:rsidR="00B7459D" w:rsidRPr="00424424" w:rsidRDefault="00B7459D" w:rsidP="00B7459D">
      <w:pPr>
        <w:rPr>
          <w:rFonts w:ascii="Arial" w:hAnsi="Arial" w:cs="Arial"/>
          <w:bCs/>
          <w:noProof/>
          <w:sz w:val="20"/>
          <w:szCs w:val="20"/>
          <w:lang w:eastAsia="en-GB"/>
        </w:rPr>
        <w:sectPr w:rsidR="00B7459D" w:rsidRPr="00424424" w:rsidSect="0077305A">
          <w:pgSz w:w="16838" w:h="11906" w:orient="landscape"/>
          <w:pgMar w:top="1440" w:right="1440" w:bottom="1440" w:left="1440" w:header="708" w:footer="708" w:gutter="0"/>
          <w:cols w:space="708"/>
          <w:docGrid w:linePitch="360"/>
        </w:sectPr>
      </w:pPr>
    </w:p>
    <w:p w14:paraId="218403AE" w14:textId="77777777" w:rsidR="00B7459D" w:rsidRPr="00424424" w:rsidRDefault="00B7459D" w:rsidP="00B7459D">
      <w:pPr>
        <w:rPr>
          <w:rFonts w:ascii="Arial" w:hAnsi="Arial" w:cs="Arial"/>
          <w:b/>
          <w:noProof/>
          <w:lang w:eastAsia="en-GB"/>
        </w:rPr>
      </w:pPr>
      <w:r w:rsidRPr="00424424">
        <w:rPr>
          <w:rFonts w:ascii="Arial" w:hAnsi="Arial" w:cs="Arial"/>
          <w:b/>
          <w:noProof/>
          <w:lang w:eastAsia="en-GB"/>
        </w:rPr>
        <w:lastRenderedPageBreak/>
        <w:t xml:space="preserve">Figure S2: </w:t>
      </w:r>
      <w:r w:rsidRPr="00424424">
        <w:rPr>
          <w:rFonts w:ascii="Arial" w:hAnsi="Arial" w:cs="Arial"/>
          <w:bCs/>
          <w:noProof/>
          <w:lang w:eastAsia="en-GB"/>
        </w:rPr>
        <w:t>EWGSOP2 and SDOC thresholds for components in relation to their distributions among men from all ethnicities</w:t>
      </w:r>
    </w:p>
    <w:p w14:paraId="608DF117" w14:textId="77777777" w:rsidR="00B7459D" w:rsidRPr="00424424" w:rsidRDefault="00B7459D" w:rsidP="00B7459D">
      <w:pPr>
        <w:rPr>
          <w:rFonts w:ascii="Arial" w:hAnsi="Arial" w:cs="Arial"/>
          <w:b/>
          <w:noProof/>
          <w:lang w:eastAsia="en-GB"/>
        </w:rPr>
      </w:pPr>
      <w:r w:rsidRPr="00424424">
        <w:rPr>
          <w:rFonts w:ascii="Arial" w:hAnsi="Arial" w:cs="Arial"/>
          <w:b/>
          <w:noProof/>
          <w:lang w:eastAsia="en-GB"/>
        </w:rPr>
        <w:drawing>
          <wp:inline distT="0" distB="0" distL="0" distR="0" wp14:anchorId="1010CCEB" wp14:editId="6F921827">
            <wp:extent cx="5291821" cy="3782291"/>
            <wp:effectExtent l="0" t="0" r="444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534" t="4023" r="3335" b="4421"/>
                    <a:stretch/>
                  </pic:blipFill>
                  <pic:spPr bwMode="auto">
                    <a:xfrm>
                      <a:off x="0" y="0"/>
                      <a:ext cx="5293919" cy="3783791"/>
                    </a:xfrm>
                    <a:prstGeom prst="rect">
                      <a:avLst/>
                    </a:prstGeom>
                    <a:noFill/>
                    <a:ln>
                      <a:noFill/>
                    </a:ln>
                    <a:extLst>
                      <a:ext uri="{53640926-AAD7-44D8-BBD7-CCE9431645EC}">
                        <a14:shadowObscured xmlns:a14="http://schemas.microsoft.com/office/drawing/2010/main"/>
                      </a:ext>
                    </a:extLst>
                  </pic:spPr>
                </pic:pic>
              </a:graphicData>
            </a:graphic>
          </wp:inline>
        </w:drawing>
      </w:r>
    </w:p>
    <w:p w14:paraId="4066F91D"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ALM: Appendicular lean mass</w:t>
      </w:r>
    </w:p>
    <w:p w14:paraId="496FADBE"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EWGSOP2: 2019 European Working Group on Sarcopenia in Older People</w:t>
      </w:r>
      <w:r w:rsidRPr="00424424">
        <w:rPr>
          <w:sz w:val="20"/>
          <w:szCs w:val="20"/>
        </w:rPr>
        <w:t xml:space="preserve"> </w:t>
      </w:r>
      <w:r w:rsidRPr="00424424">
        <w:rPr>
          <w:rFonts w:ascii="Arial" w:hAnsi="Arial" w:cs="Arial"/>
          <w:sz w:val="20"/>
          <w:szCs w:val="20"/>
        </w:rPr>
        <w:t>(grip strength &lt;27 kg; ALM index &lt;7.0 kg/m</w:t>
      </w:r>
      <w:r w:rsidRPr="00424424">
        <w:rPr>
          <w:rFonts w:ascii="Arial" w:hAnsi="Arial" w:cs="Arial"/>
          <w:sz w:val="20"/>
          <w:szCs w:val="20"/>
          <w:vertAlign w:val="superscript"/>
        </w:rPr>
        <w:t>2</w:t>
      </w:r>
      <w:r w:rsidRPr="00424424">
        <w:rPr>
          <w:rFonts w:ascii="Arial" w:hAnsi="Arial" w:cs="Arial"/>
          <w:sz w:val="20"/>
          <w:szCs w:val="20"/>
        </w:rPr>
        <w:t>)</w:t>
      </w:r>
    </w:p>
    <w:p w14:paraId="5C69348D"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SDOC: Sarcopenia Definitions and Outcomes Consortium (grip strength &lt;35.5 kg; gait speed &lt;0.8 m/s)</w:t>
      </w:r>
    </w:p>
    <w:p w14:paraId="4B11FFF4"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Darker shading indicates values below the specified thresholds; the percentages below the thresholds are stated in each graph</w:t>
      </w:r>
    </w:p>
    <w:p w14:paraId="0C9521B7" w14:textId="77777777" w:rsidR="00B7459D" w:rsidRPr="00424424" w:rsidRDefault="00B7459D" w:rsidP="00B7459D">
      <w:pPr>
        <w:rPr>
          <w:rFonts w:ascii="Arial" w:hAnsi="Arial" w:cs="Arial"/>
          <w:bCs/>
          <w:noProof/>
          <w:sz w:val="20"/>
          <w:szCs w:val="20"/>
          <w:lang w:eastAsia="en-GB"/>
        </w:rPr>
      </w:pPr>
    </w:p>
    <w:p w14:paraId="503B1670" w14:textId="77777777" w:rsidR="00B7459D" w:rsidRPr="00424424" w:rsidRDefault="00B7459D" w:rsidP="00B7459D">
      <w:pPr>
        <w:rPr>
          <w:rFonts w:ascii="Arial" w:hAnsi="Arial" w:cs="Arial"/>
          <w:bCs/>
          <w:noProof/>
          <w:sz w:val="20"/>
          <w:szCs w:val="20"/>
          <w:lang w:eastAsia="en-GB"/>
        </w:rPr>
      </w:pPr>
    </w:p>
    <w:p w14:paraId="05D89FEE" w14:textId="77777777" w:rsidR="00B7459D" w:rsidRPr="00424424" w:rsidRDefault="00B7459D" w:rsidP="00B7459D">
      <w:pPr>
        <w:rPr>
          <w:rFonts w:ascii="Arial" w:hAnsi="Arial" w:cs="Arial"/>
          <w:bCs/>
          <w:noProof/>
          <w:sz w:val="20"/>
          <w:szCs w:val="20"/>
          <w:lang w:eastAsia="en-GB"/>
        </w:rPr>
      </w:pPr>
    </w:p>
    <w:p w14:paraId="627C2DBF" w14:textId="77777777" w:rsidR="00B7459D" w:rsidRPr="00424424" w:rsidRDefault="00B7459D" w:rsidP="00B7459D">
      <w:pPr>
        <w:rPr>
          <w:rFonts w:ascii="Arial" w:hAnsi="Arial" w:cs="Arial"/>
          <w:bCs/>
          <w:noProof/>
          <w:sz w:val="20"/>
          <w:szCs w:val="20"/>
          <w:lang w:eastAsia="en-GB"/>
        </w:rPr>
      </w:pPr>
    </w:p>
    <w:p w14:paraId="50F3F2BE" w14:textId="77777777" w:rsidR="00B7459D" w:rsidRPr="00424424" w:rsidRDefault="00B7459D" w:rsidP="00B7459D">
      <w:pPr>
        <w:rPr>
          <w:rFonts w:ascii="Arial" w:hAnsi="Arial" w:cs="Arial"/>
          <w:bCs/>
          <w:noProof/>
          <w:sz w:val="20"/>
          <w:szCs w:val="20"/>
          <w:lang w:eastAsia="en-GB"/>
        </w:rPr>
      </w:pPr>
    </w:p>
    <w:p w14:paraId="39B4549E" w14:textId="77777777" w:rsidR="00B7459D" w:rsidRPr="00424424" w:rsidRDefault="00B7459D" w:rsidP="00B7459D">
      <w:pPr>
        <w:rPr>
          <w:rFonts w:ascii="Arial" w:hAnsi="Arial" w:cs="Arial"/>
          <w:bCs/>
          <w:noProof/>
          <w:sz w:val="20"/>
          <w:szCs w:val="20"/>
          <w:lang w:eastAsia="en-GB"/>
        </w:rPr>
      </w:pPr>
    </w:p>
    <w:p w14:paraId="561EF2F6" w14:textId="77777777" w:rsidR="00B7459D" w:rsidRPr="00424424" w:rsidRDefault="00B7459D" w:rsidP="00B7459D">
      <w:pPr>
        <w:rPr>
          <w:rFonts w:ascii="Arial" w:hAnsi="Arial" w:cs="Arial"/>
          <w:bCs/>
          <w:noProof/>
          <w:sz w:val="20"/>
          <w:szCs w:val="20"/>
          <w:lang w:eastAsia="en-GB"/>
        </w:rPr>
      </w:pPr>
    </w:p>
    <w:p w14:paraId="7C5B9EBB" w14:textId="77777777" w:rsidR="00B7459D" w:rsidRPr="00424424" w:rsidRDefault="00B7459D" w:rsidP="00B7459D">
      <w:pPr>
        <w:rPr>
          <w:rFonts w:ascii="Arial" w:hAnsi="Arial" w:cs="Arial"/>
          <w:bCs/>
          <w:noProof/>
          <w:sz w:val="20"/>
          <w:szCs w:val="20"/>
          <w:lang w:eastAsia="en-GB"/>
        </w:rPr>
      </w:pPr>
    </w:p>
    <w:p w14:paraId="61E56431" w14:textId="77777777" w:rsidR="00B7459D" w:rsidRPr="00424424" w:rsidRDefault="00B7459D" w:rsidP="00B7459D">
      <w:pPr>
        <w:rPr>
          <w:rFonts w:ascii="Arial" w:hAnsi="Arial" w:cs="Arial"/>
          <w:bCs/>
          <w:noProof/>
          <w:sz w:val="20"/>
          <w:szCs w:val="20"/>
          <w:lang w:eastAsia="en-GB"/>
        </w:rPr>
      </w:pPr>
    </w:p>
    <w:p w14:paraId="38419A2C" w14:textId="77777777" w:rsidR="00B7459D" w:rsidRPr="00424424" w:rsidRDefault="00B7459D" w:rsidP="00B7459D">
      <w:pPr>
        <w:rPr>
          <w:rFonts w:ascii="Arial" w:hAnsi="Arial" w:cs="Arial"/>
          <w:b/>
          <w:noProof/>
          <w:lang w:eastAsia="en-GB"/>
        </w:rPr>
      </w:pPr>
      <w:r w:rsidRPr="00424424">
        <w:rPr>
          <w:rFonts w:ascii="Arial" w:hAnsi="Arial" w:cs="Arial"/>
          <w:b/>
          <w:noProof/>
          <w:lang w:eastAsia="en-GB"/>
        </w:rPr>
        <w:lastRenderedPageBreak/>
        <w:t xml:space="preserve">Figure S3: </w:t>
      </w:r>
      <w:r w:rsidRPr="00424424">
        <w:rPr>
          <w:rFonts w:ascii="Arial" w:hAnsi="Arial" w:cs="Arial"/>
          <w:bCs/>
          <w:noProof/>
          <w:lang w:eastAsia="en-GB"/>
        </w:rPr>
        <w:t>EWGSOP2 and SDOC thresholds for components in relation to their distributions among women from all ethnicities</w:t>
      </w:r>
    </w:p>
    <w:p w14:paraId="47C452D1" w14:textId="77777777" w:rsidR="00B7459D" w:rsidRPr="00424424" w:rsidRDefault="00B7459D" w:rsidP="00B7459D">
      <w:pPr>
        <w:rPr>
          <w:rFonts w:ascii="Arial" w:hAnsi="Arial" w:cs="Arial"/>
          <w:b/>
          <w:noProof/>
          <w:lang w:eastAsia="en-GB"/>
        </w:rPr>
      </w:pPr>
      <w:r w:rsidRPr="00424424">
        <w:rPr>
          <w:rFonts w:ascii="Arial" w:hAnsi="Arial" w:cs="Arial"/>
          <w:b/>
          <w:noProof/>
          <w:lang w:eastAsia="en-GB"/>
        </w:rPr>
        <w:drawing>
          <wp:inline distT="0" distB="0" distL="0" distR="0" wp14:anchorId="52B586A1" wp14:editId="18FAAF13">
            <wp:extent cx="5281200" cy="381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816" t="4012" r="3240" b="3535"/>
                    <a:stretch/>
                  </pic:blipFill>
                  <pic:spPr bwMode="auto">
                    <a:xfrm>
                      <a:off x="0" y="0"/>
                      <a:ext cx="5281200" cy="3819600"/>
                    </a:xfrm>
                    <a:prstGeom prst="rect">
                      <a:avLst/>
                    </a:prstGeom>
                    <a:noFill/>
                    <a:ln>
                      <a:noFill/>
                    </a:ln>
                    <a:extLst>
                      <a:ext uri="{53640926-AAD7-44D8-BBD7-CCE9431645EC}">
                        <a14:shadowObscured xmlns:a14="http://schemas.microsoft.com/office/drawing/2010/main"/>
                      </a:ext>
                    </a:extLst>
                  </pic:spPr>
                </pic:pic>
              </a:graphicData>
            </a:graphic>
          </wp:inline>
        </w:drawing>
      </w:r>
    </w:p>
    <w:p w14:paraId="51A9E4AE"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ALM: Appendicular lean mass</w:t>
      </w:r>
    </w:p>
    <w:p w14:paraId="7DB6CF5C"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EWGSOP2: 2019 European Working Group on Sarcopenia in Older People</w:t>
      </w:r>
      <w:r w:rsidRPr="00424424">
        <w:rPr>
          <w:sz w:val="20"/>
          <w:szCs w:val="20"/>
        </w:rPr>
        <w:t xml:space="preserve"> </w:t>
      </w:r>
      <w:r w:rsidRPr="00424424">
        <w:rPr>
          <w:rFonts w:ascii="Arial" w:hAnsi="Arial" w:cs="Arial"/>
          <w:sz w:val="20"/>
          <w:szCs w:val="20"/>
        </w:rPr>
        <w:t>(grip strength &lt;16 kg; ALM index &lt;5.5 kg/m</w:t>
      </w:r>
      <w:r w:rsidRPr="00424424">
        <w:rPr>
          <w:rFonts w:ascii="Arial" w:hAnsi="Arial" w:cs="Arial"/>
          <w:sz w:val="20"/>
          <w:szCs w:val="20"/>
          <w:vertAlign w:val="superscript"/>
        </w:rPr>
        <w:t>2</w:t>
      </w:r>
      <w:r w:rsidRPr="00424424">
        <w:rPr>
          <w:rFonts w:ascii="Arial" w:hAnsi="Arial" w:cs="Arial"/>
          <w:sz w:val="20"/>
          <w:szCs w:val="20"/>
        </w:rPr>
        <w:t>)</w:t>
      </w:r>
    </w:p>
    <w:p w14:paraId="693DE8B1"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SDOC: Sarcopenia Definitions and Outcomes Consortium (grip strength &lt;20 kg; gait speed &lt;0.8 m/s)</w:t>
      </w:r>
    </w:p>
    <w:p w14:paraId="0714BA47" w14:textId="77777777" w:rsidR="00B7459D" w:rsidRPr="00424424" w:rsidRDefault="00B7459D" w:rsidP="00B7459D">
      <w:pPr>
        <w:spacing w:line="240" w:lineRule="auto"/>
        <w:rPr>
          <w:rFonts w:ascii="Arial" w:hAnsi="Arial" w:cs="Arial"/>
          <w:sz w:val="20"/>
          <w:szCs w:val="20"/>
        </w:rPr>
      </w:pPr>
      <w:r w:rsidRPr="00424424">
        <w:rPr>
          <w:rFonts w:ascii="Arial" w:hAnsi="Arial" w:cs="Arial"/>
          <w:sz w:val="20"/>
          <w:szCs w:val="20"/>
        </w:rPr>
        <w:t>Darker shading indicates values below the specified thresholds; the percentages below the thresholds are stated in each graph</w:t>
      </w:r>
    </w:p>
    <w:p w14:paraId="413ADF74" w14:textId="77777777" w:rsidR="00B7459D" w:rsidRPr="00424424" w:rsidRDefault="00B7459D" w:rsidP="00B7459D">
      <w:pPr>
        <w:rPr>
          <w:rFonts w:ascii="Arial" w:hAnsi="Arial" w:cs="Arial"/>
          <w:b/>
          <w:noProof/>
          <w:sz w:val="20"/>
          <w:szCs w:val="20"/>
          <w:lang w:eastAsia="en-GB"/>
        </w:rPr>
        <w:sectPr w:rsidR="00B7459D" w:rsidRPr="00424424" w:rsidSect="00400E7C">
          <w:pgSz w:w="11906" w:h="16838"/>
          <w:pgMar w:top="1440" w:right="1440" w:bottom="1440" w:left="1440" w:header="708" w:footer="708" w:gutter="0"/>
          <w:cols w:space="708"/>
          <w:docGrid w:linePitch="360"/>
        </w:sectPr>
      </w:pPr>
    </w:p>
    <w:p w14:paraId="0A9B3EAF" w14:textId="77777777" w:rsidR="00B7459D" w:rsidRPr="00424424" w:rsidRDefault="00B7459D" w:rsidP="00B7459D">
      <w:pPr>
        <w:rPr>
          <w:rFonts w:ascii="Arial" w:hAnsi="Arial" w:cs="Arial"/>
          <w:bCs/>
          <w:noProof/>
          <w:lang w:eastAsia="en-GB"/>
        </w:rPr>
      </w:pPr>
      <w:r w:rsidRPr="00424424">
        <w:rPr>
          <w:rFonts w:ascii="Arial" w:hAnsi="Arial" w:cs="Arial"/>
          <w:b/>
          <w:noProof/>
          <w:lang w:eastAsia="en-GB"/>
        </w:rPr>
        <w:lastRenderedPageBreak/>
        <w:t xml:space="preserve">Figure S4: </w:t>
      </w:r>
      <w:r w:rsidRPr="00424424">
        <w:rPr>
          <w:rFonts w:ascii="Arial" w:hAnsi="Arial" w:cs="Arial"/>
          <w:bCs/>
          <w:noProof/>
          <w:lang w:eastAsia="en-GB"/>
        </w:rPr>
        <w:t>Original and modified EWGSOP2 and SDOC components and definitions in relation to risk of mortality among men from all ethnicities after adjustment for age and weight</w:t>
      </w:r>
    </w:p>
    <w:p w14:paraId="00C07560" w14:textId="77777777" w:rsidR="00B7459D" w:rsidRPr="00424424" w:rsidRDefault="00B7459D" w:rsidP="00B7459D">
      <w:pPr>
        <w:rPr>
          <w:rFonts w:ascii="Arial" w:hAnsi="Arial" w:cs="Arial"/>
          <w:b/>
          <w:noProof/>
          <w:color w:val="FF0000"/>
          <w:lang w:eastAsia="en-GB"/>
        </w:rPr>
      </w:pPr>
      <w:r w:rsidRPr="00424424">
        <w:rPr>
          <w:rFonts w:ascii="Arial" w:hAnsi="Arial" w:cs="Arial"/>
          <w:b/>
          <w:noProof/>
          <w:color w:val="FF0000"/>
          <w:lang w:eastAsia="en-GB"/>
        </w:rPr>
        <w:drawing>
          <wp:inline distT="0" distB="0" distL="0" distR="0" wp14:anchorId="641B248C" wp14:editId="0055F4FE">
            <wp:extent cx="8651717" cy="387773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090" t="7285" r="2145" b="1704"/>
                    <a:stretch/>
                  </pic:blipFill>
                  <pic:spPr bwMode="auto">
                    <a:xfrm>
                      <a:off x="0" y="0"/>
                      <a:ext cx="8655118" cy="3879257"/>
                    </a:xfrm>
                    <a:prstGeom prst="rect">
                      <a:avLst/>
                    </a:prstGeom>
                    <a:noFill/>
                    <a:ln>
                      <a:noFill/>
                    </a:ln>
                    <a:extLst>
                      <a:ext uri="{53640926-AAD7-44D8-BBD7-CCE9431645EC}">
                        <a14:shadowObscured xmlns:a14="http://schemas.microsoft.com/office/drawing/2010/main"/>
                      </a:ext>
                    </a:extLst>
                  </pic:spPr>
                </pic:pic>
              </a:graphicData>
            </a:graphic>
          </wp:inline>
        </w:drawing>
      </w:r>
    </w:p>
    <w:p w14:paraId="7263A762" w14:textId="77777777" w:rsidR="00B7459D" w:rsidRPr="00424424" w:rsidRDefault="00B7459D" w:rsidP="00B7459D">
      <w:pPr>
        <w:spacing w:after="120" w:line="240" w:lineRule="auto"/>
        <w:rPr>
          <w:rFonts w:ascii="Arial" w:hAnsi="Arial" w:cs="Arial"/>
          <w:sz w:val="20"/>
          <w:szCs w:val="20"/>
        </w:rPr>
      </w:pPr>
      <w:r w:rsidRPr="00424424">
        <w:rPr>
          <w:rFonts w:ascii="Arial" w:hAnsi="Arial" w:cs="Arial"/>
          <w:sz w:val="20"/>
          <w:szCs w:val="20"/>
        </w:rPr>
        <w:t>Health ABC: Health, Aging and Body Composition Study; MrOS: Osteoporotic Fractures in Men Study; HCS: Hertfordshire Cohort Study; SarcoPhAge: Sarcopenia and Physical impairment with advancing Age Study; ALMi: Appendicular lean mass index (kg/m</w:t>
      </w:r>
      <w:r w:rsidRPr="00424424">
        <w:rPr>
          <w:rFonts w:ascii="Arial" w:hAnsi="Arial" w:cs="Arial"/>
          <w:sz w:val="20"/>
          <w:szCs w:val="20"/>
          <w:vertAlign w:val="superscript"/>
        </w:rPr>
        <w:t>2</w:t>
      </w:r>
      <w:r w:rsidRPr="00424424">
        <w:rPr>
          <w:rFonts w:ascii="Arial" w:hAnsi="Arial" w:cs="Arial"/>
          <w:sz w:val="20"/>
          <w:szCs w:val="20"/>
        </w:rPr>
        <w:t xml:space="preserve">); </w:t>
      </w:r>
      <w:r w:rsidRPr="00424424">
        <w:rPr>
          <w:rFonts w:ascii="Arial" w:hAnsi="Arial" w:cs="Arial"/>
          <w:bCs/>
          <w:noProof/>
          <w:sz w:val="20"/>
          <w:szCs w:val="20"/>
          <w:lang w:eastAsia="en-GB"/>
        </w:rPr>
        <w:t>EWGSOP2: 2019 European Working Group on Sarcopenia in Older People; SDOC: Sarcopenia Definitions and Outcomes Consortium</w:t>
      </w:r>
    </w:p>
    <w:p w14:paraId="74194DB1" w14:textId="77777777" w:rsidR="00B7459D" w:rsidRPr="00424424" w:rsidRDefault="00B7459D" w:rsidP="00B7459D">
      <w:pPr>
        <w:spacing w:after="120" w:line="240" w:lineRule="auto"/>
        <w:rPr>
          <w:rFonts w:ascii="Arial" w:hAnsi="Arial" w:cs="Arial"/>
          <w:sz w:val="20"/>
          <w:szCs w:val="20"/>
        </w:rPr>
      </w:pPr>
      <w:r w:rsidRPr="00424424">
        <w:rPr>
          <w:rFonts w:ascii="Arial" w:hAnsi="Arial" w:cs="Arial"/>
          <w:bCs/>
          <w:noProof/>
          <w:sz w:val="20"/>
          <w:szCs w:val="20"/>
          <w:lang w:eastAsia="en-GB"/>
        </w:rPr>
        <w:t>Estimates are missing for cohorts where no participants had the corresponding sarcopenia definition or component.</w:t>
      </w:r>
    </w:p>
    <w:p w14:paraId="09C664AF" w14:textId="77777777" w:rsidR="00B7459D" w:rsidRPr="00424424"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Original EWGSOP2: grip strength &lt;27 kg and ALM index &lt;7.0 kg/m</w:t>
      </w:r>
      <w:r w:rsidRPr="00424424">
        <w:rPr>
          <w:rFonts w:ascii="Arial" w:hAnsi="Arial" w:cs="Arial"/>
          <w:bCs/>
          <w:noProof/>
          <w:sz w:val="20"/>
          <w:szCs w:val="20"/>
          <w:vertAlign w:val="superscript"/>
          <w:lang w:eastAsia="en-GB"/>
        </w:rPr>
        <w:t>2</w:t>
      </w:r>
      <w:r w:rsidRPr="00424424">
        <w:rPr>
          <w:rFonts w:ascii="Arial" w:hAnsi="Arial" w:cs="Arial"/>
          <w:bCs/>
          <w:noProof/>
          <w:sz w:val="20"/>
          <w:szCs w:val="20"/>
          <w:lang w:eastAsia="en-GB"/>
        </w:rPr>
        <w:t>; Modified EWGSOP2: grip strength &lt;35.5 kg and ALM index &lt;7.0 kg/m</w:t>
      </w:r>
      <w:r w:rsidRPr="00424424">
        <w:rPr>
          <w:rFonts w:ascii="Arial" w:hAnsi="Arial" w:cs="Arial"/>
          <w:bCs/>
          <w:noProof/>
          <w:sz w:val="20"/>
          <w:szCs w:val="20"/>
          <w:vertAlign w:val="superscript"/>
          <w:lang w:eastAsia="en-GB"/>
        </w:rPr>
        <w:t>2</w:t>
      </w:r>
    </w:p>
    <w:p w14:paraId="1B1137E9" w14:textId="77777777" w:rsidR="00B7459D" w:rsidRPr="00424424"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Original SDOC: grip strength &lt;35.5 kg and gait speed &lt;0.8 m/s; Modified SDOC: grip strength &lt;35.5 kg and gait speed &lt;1.0 m/s</w:t>
      </w:r>
    </w:p>
    <w:p w14:paraId="7E9AB12B" w14:textId="77777777" w:rsidR="00B7459D" w:rsidRPr="00424424" w:rsidRDefault="00B7459D" w:rsidP="00B7459D">
      <w:pPr>
        <w:rPr>
          <w:rFonts w:ascii="Arial" w:hAnsi="Arial" w:cs="Arial"/>
          <w:bCs/>
          <w:noProof/>
          <w:lang w:eastAsia="en-GB"/>
        </w:rPr>
      </w:pPr>
      <w:r w:rsidRPr="00424424">
        <w:rPr>
          <w:rFonts w:ascii="Arial" w:hAnsi="Arial" w:cs="Arial"/>
          <w:b/>
          <w:noProof/>
          <w:lang w:eastAsia="en-GB"/>
        </w:rPr>
        <w:lastRenderedPageBreak/>
        <w:t xml:space="preserve">Figure S5: </w:t>
      </w:r>
      <w:r w:rsidRPr="00424424">
        <w:rPr>
          <w:rFonts w:ascii="Arial" w:hAnsi="Arial" w:cs="Arial"/>
          <w:bCs/>
          <w:noProof/>
          <w:lang w:eastAsia="en-GB"/>
        </w:rPr>
        <w:t>Original and modified EWGSOP2 and SDOC components and definitions in relation to risk of mortality among women from all ethnicities after adjustment for age and weight</w:t>
      </w:r>
    </w:p>
    <w:p w14:paraId="0F8BC26C" w14:textId="77777777" w:rsidR="00B7459D" w:rsidRPr="00424424" w:rsidRDefault="00B7459D" w:rsidP="00B7459D">
      <w:pPr>
        <w:rPr>
          <w:rFonts w:ascii="Arial" w:hAnsi="Arial" w:cs="Arial"/>
          <w:b/>
          <w:noProof/>
          <w:color w:val="FF0000"/>
          <w:lang w:eastAsia="en-GB"/>
        </w:rPr>
      </w:pPr>
      <w:r w:rsidRPr="00424424">
        <w:rPr>
          <w:rFonts w:ascii="Arial" w:hAnsi="Arial" w:cs="Arial"/>
          <w:b/>
          <w:noProof/>
          <w:color w:val="FF0000"/>
          <w:lang w:eastAsia="en-GB"/>
        </w:rPr>
        <w:drawing>
          <wp:inline distT="0" distB="0" distL="0" distR="0" wp14:anchorId="7CA4577D" wp14:editId="47BD3E7D">
            <wp:extent cx="8652510" cy="39680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905" t="5166" r="2328" b="1711"/>
                    <a:stretch/>
                  </pic:blipFill>
                  <pic:spPr bwMode="auto">
                    <a:xfrm>
                      <a:off x="0" y="0"/>
                      <a:ext cx="8655246" cy="3969300"/>
                    </a:xfrm>
                    <a:prstGeom prst="rect">
                      <a:avLst/>
                    </a:prstGeom>
                    <a:noFill/>
                    <a:ln>
                      <a:noFill/>
                    </a:ln>
                    <a:extLst>
                      <a:ext uri="{53640926-AAD7-44D8-BBD7-CCE9431645EC}">
                        <a14:shadowObscured xmlns:a14="http://schemas.microsoft.com/office/drawing/2010/main"/>
                      </a:ext>
                    </a:extLst>
                  </pic:spPr>
                </pic:pic>
              </a:graphicData>
            </a:graphic>
          </wp:inline>
        </w:drawing>
      </w:r>
    </w:p>
    <w:p w14:paraId="7FAE7030" w14:textId="77777777" w:rsidR="00B7459D" w:rsidRPr="00424424" w:rsidRDefault="00B7459D" w:rsidP="00B7459D">
      <w:pPr>
        <w:spacing w:after="120" w:line="240" w:lineRule="auto"/>
        <w:rPr>
          <w:rFonts w:ascii="Arial" w:hAnsi="Arial" w:cs="Arial"/>
          <w:sz w:val="20"/>
          <w:szCs w:val="20"/>
        </w:rPr>
      </w:pPr>
      <w:r w:rsidRPr="00424424">
        <w:rPr>
          <w:rFonts w:ascii="Arial" w:hAnsi="Arial" w:cs="Arial"/>
          <w:sz w:val="20"/>
          <w:szCs w:val="20"/>
        </w:rPr>
        <w:t>Health ABC: Health, Aging and Body Composition Study; MrOS: Osteoporotic Fractures in Men Study; HCS: Hertfordshire Cohort Study; SarcoPhAge: Sarcopenia and Physical impairment with advancing Age Study; ALMi: Appendicular lean mass index (kg/m</w:t>
      </w:r>
      <w:r w:rsidRPr="00424424">
        <w:rPr>
          <w:rFonts w:ascii="Arial" w:hAnsi="Arial" w:cs="Arial"/>
          <w:sz w:val="20"/>
          <w:szCs w:val="20"/>
          <w:vertAlign w:val="superscript"/>
        </w:rPr>
        <w:t>2</w:t>
      </w:r>
      <w:r w:rsidRPr="00424424">
        <w:rPr>
          <w:rFonts w:ascii="Arial" w:hAnsi="Arial" w:cs="Arial"/>
          <w:sz w:val="20"/>
          <w:szCs w:val="20"/>
        </w:rPr>
        <w:t xml:space="preserve">); </w:t>
      </w:r>
      <w:r w:rsidRPr="00424424">
        <w:rPr>
          <w:rFonts w:ascii="Arial" w:hAnsi="Arial" w:cs="Arial"/>
          <w:bCs/>
          <w:noProof/>
          <w:sz w:val="20"/>
          <w:szCs w:val="20"/>
          <w:lang w:eastAsia="en-GB"/>
        </w:rPr>
        <w:t>EWGSOP2: 2019 European Working Group on Sarcopenia in Older People; SDOC: Sarcopenia Definitions and Outcomes Consortium</w:t>
      </w:r>
    </w:p>
    <w:p w14:paraId="6212E22A" w14:textId="77777777" w:rsidR="00B7459D" w:rsidRPr="00424424" w:rsidRDefault="00B7459D" w:rsidP="00B7459D">
      <w:pPr>
        <w:spacing w:after="120" w:line="240" w:lineRule="auto"/>
        <w:rPr>
          <w:rFonts w:ascii="Arial" w:hAnsi="Arial" w:cs="Arial"/>
          <w:sz w:val="20"/>
          <w:szCs w:val="20"/>
        </w:rPr>
      </w:pPr>
      <w:r w:rsidRPr="00424424">
        <w:rPr>
          <w:rFonts w:ascii="Arial" w:hAnsi="Arial" w:cs="Arial"/>
          <w:bCs/>
          <w:noProof/>
          <w:sz w:val="20"/>
          <w:szCs w:val="20"/>
          <w:lang w:eastAsia="en-GB"/>
        </w:rPr>
        <w:t>Estimates are missing for cohorts where no participants had the corresponding sarcopenia definition or component.</w:t>
      </w:r>
    </w:p>
    <w:p w14:paraId="097B4180" w14:textId="77777777" w:rsidR="00B7459D" w:rsidRPr="00424424"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Original EWGSOP2: grip strength &lt;16 kg and ALM index &lt;5.5 kg/m</w:t>
      </w:r>
      <w:r w:rsidRPr="00424424">
        <w:rPr>
          <w:rFonts w:ascii="Arial" w:hAnsi="Arial" w:cs="Arial"/>
          <w:bCs/>
          <w:noProof/>
          <w:sz w:val="20"/>
          <w:szCs w:val="20"/>
          <w:vertAlign w:val="superscript"/>
          <w:lang w:eastAsia="en-GB"/>
        </w:rPr>
        <w:t>2</w:t>
      </w:r>
      <w:r w:rsidRPr="00424424">
        <w:rPr>
          <w:rFonts w:ascii="Arial" w:hAnsi="Arial" w:cs="Arial"/>
          <w:bCs/>
          <w:noProof/>
          <w:sz w:val="20"/>
          <w:szCs w:val="20"/>
          <w:lang w:eastAsia="en-GB"/>
        </w:rPr>
        <w:t>; Modified EWGSOP2: grip strength &lt;20 kg and ALM index &lt;5.5 kg/m</w:t>
      </w:r>
      <w:r w:rsidRPr="00424424">
        <w:rPr>
          <w:rFonts w:ascii="Arial" w:hAnsi="Arial" w:cs="Arial"/>
          <w:bCs/>
          <w:noProof/>
          <w:sz w:val="20"/>
          <w:szCs w:val="20"/>
          <w:vertAlign w:val="superscript"/>
          <w:lang w:eastAsia="en-GB"/>
        </w:rPr>
        <w:t>2</w:t>
      </w:r>
    </w:p>
    <w:p w14:paraId="588C6F9D" w14:textId="77777777" w:rsidR="00B7459D" w:rsidRPr="00E7746B" w:rsidRDefault="00B7459D" w:rsidP="00B7459D">
      <w:pPr>
        <w:spacing w:after="120" w:line="240" w:lineRule="auto"/>
        <w:rPr>
          <w:rFonts w:ascii="Arial" w:hAnsi="Arial" w:cs="Arial"/>
          <w:bCs/>
          <w:noProof/>
          <w:sz w:val="20"/>
          <w:szCs w:val="20"/>
          <w:lang w:eastAsia="en-GB"/>
        </w:rPr>
      </w:pPr>
      <w:r w:rsidRPr="00424424">
        <w:rPr>
          <w:rFonts w:ascii="Arial" w:hAnsi="Arial" w:cs="Arial"/>
          <w:bCs/>
          <w:noProof/>
          <w:sz w:val="20"/>
          <w:szCs w:val="20"/>
          <w:lang w:eastAsia="en-GB"/>
        </w:rPr>
        <w:t>Original SDOC: grip strength &lt;20 kg and gait speed &lt;0.8 m/s; Modified SDOC: grip strength &lt;20 kg and gait speed &lt;1.0 m/s</w:t>
      </w:r>
    </w:p>
    <w:p w14:paraId="43BAAC19" w14:textId="27523F9A" w:rsidR="00843719" w:rsidRPr="00843719" w:rsidRDefault="00843719" w:rsidP="00843719">
      <w:pPr>
        <w:rPr>
          <w:rFonts w:ascii="Arial" w:hAnsi="Arial" w:cs="Arial"/>
          <w:sz w:val="20"/>
          <w:szCs w:val="20"/>
          <w:lang w:eastAsia="en-GB"/>
        </w:rPr>
      </w:pPr>
    </w:p>
    <w:sectPr w:rsidR="00843719" w:rsidRPr="00843719" w:rsidSect="00400E7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7942" w14:textId="77777777" w:rsidR="00580CC8" w:rsidRDefault="00580CC8" w:rsidP="00773B7D">
      <w:pPr>
        <w:spacing w:after="0" w:line="240" w:lineRule="auto"/>
      </w:pPr>
      <w:r>
        <w:separator/>
      </w:r>
    </w:p>
  </w:endnote>
  <w:endnote w:type="continuationSeparator" w:id="0">
    <w:p w14:paraId="2AC3301D" w14:textId="77777777" w:rsidR="00580CC8" w:rsidRDefault="00580CC8" w:rsidP="0077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Calibri">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36538352"/>
      <w:docPartObj>
        <w:docPartGallery w:val="Page Numbers (Bottom of Page)"/>
        <w:docPartUnique/>
      </w:docPartObj>
    </w:sdtPr>
    <w:sdtEndPr>
      <w:rPr>
        <w:noProof/>
      </w:rPr>
    </w:sdtEndPr>
    <w:sdtContent>
      <w:p w14:paraId="3D05B44F" w14:textId="088C4453" w:rsidR="00D01537" w:rsidRPr="00D01537" w:rsidRDefault="00D01537" w:rsidP="00D01537">
        <w:pPr>
          <w:pStyle w:val="Footer"/>
          <w:jc w:val="center"/>
          <w:rPr>
            <w:rFonts w:ascii="Arial" w:hAnsi="Arial" w:cs="Arial"/>
            <w:sz w:val="20"/>
            <w:szCs w:val="20"/>
          </w:rPr>
        </w:pPr>
        <w:r w:rsidRPr="00D01537">
          <w:rPr>
            <w:rFonts w:ascii="Arial" w:hAnsi="Arial" w:cs="Arial"/>
            <w:sz w:val="20"/>
            <w:szCs w:val="20"/>
          </w:rPr>
          <w:fldChar w:fldCharType="begin"/>
        </w:r>
        <w:r w:rsidRPr="00D01537">
          <w:rPr>
            <w:rFonts w:ascii="Arial" w:hAnsi="Arial" w:cs="Arial"/>
            <w:sz w:val="20"/>
            <w:szCs w:val="20"/>
          </w:rPr>
          <w:instrText xml:space="preserve"> PAGE   \* MERGEFORMAT </w:instrText>
        </w:r>
        <w:r w:rsidRPr="00D01537">
          <w:rPr>
            <w:rFonts w:ascii="Arial" w:hAnsi="Arial" w:cs="Arial"/>
            <w:sz w:val="20"/>
            <w:szCs w:val="20"/>
          </w:rPr>
          <w:fldChar w:fldCharType="separate"/>
        </w:r>
        <w:r w:rsidRPr="00D01537">
          <w:rPr>
            <w:rFonts w:ascii="Arial" w:hAnsi="Arial" w:cs="Arial"/>
            <w:noProof/>
            <w:sz w:val="20"/>
            <w:szCs w:val="20"/>
          </w:rPr>
          <w:t>2</w:t>
        </w:r>
        <w:r w:rsidRPr="00D01537">
          <w:rPr>
            <w:rFonts w:ascii="Arial" w:hAnsi="Arial" w:cs="Arial"/>
            <w:noProof/>
            <w:sz w:val="20"/>
            <w:szCs w:val="20"/>
          </w:rPr>
          <w:fldChar w:fldCharType="end"/>
        </w:r>
      </w:p>
    </w:sdtContent>
  </w:sdt>
  <w:p w14:paraId="4AD9DB9A" w14:textId="77777777" w:rsidR="00D01537" w:rsidRDefault="00D0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91186498"/>
      <w:docPartObj>
        <w:docPartGallery w:val="Page Numbers (Bottom of Page)"/>
        <w:docPartUnique/>
      </w:docPartObj>
    </w:sdtPr>
    <w:sdtEndPr>
      <w:rPr>
        <w:noProof/>
      </w:rPr>
    </w:sdtEndPr>
    <w:sdtContent>
      <w:p w14:paraId="3238CB91" w14:textId="77777777" w:rsidR="00B7459D" w:rsidRPr="00D01537" w:rsidRDefault="00B7459D" w:rsidP="00D01537">
        <w:pPr>
          <w:pStyle w:val="Footer"/>
          <w:jc w:val="center"/>
          <w:rPr>
            <w:rFonts w:ascii="Arial" w:hAnsi="Arial" w:cs="Arial"/>
            <w:sz w:val="20"/>
            <w:szCs w:val="20"/>
          </w:rPr>
        </w:pPr>
        <w:r w:rsidRPr="00D01537">
          <w:rPr>
            <w:rFonts w:ascii="Arial" w:hAnsi="Arial" w:cs="Arial"/>
            <w:sz w:val="20"/>
            <w:szCs w:val="20"/>
          </w:rPr>
          <w:fldChar w:fldCharType="begin"/>
        </w:r>
        <w:r w:rsidRPr="00D01537">
          <w:rPr>
            <w:rFonts w:ascii="Arial" w:hAnsi="Arial" w:cs="Arial"/>
            <w:sz w:val="20"/>
            <w:szCs w:val="20"/>
          </w:rPr>
          <w:instrText xml:space="preserve"> PAGE   \* MERGEFORMAT </w:instrText>
        </w:r>
        <w:r w:rsidRPr="00D01537">
          <w:rPr>
            <w:rFonts w:ascii="Arial" w:hAnsi="Arial" w:cs="Arial"/>
            <w:sz w:val="20"/>
            <w:szCs w:val="20"/>
          </w:rPr>
          <w:fldChar w:fldCharType="separate"/>
        </w:r>
        <w:r w:rsidRPr="00D01537">
          <w:rPr>
            <w:rFonts w:ascii="Arial" w:hAnsi="Arial" w:cs="Arial"/>
            <w:noProof/>
            <w:sz w:val="20"/>
            <w:szCs w:val="20"/>
          </w:rPr>
          <w:t>2</w:t>
        </w:r>
        <w:r w:rsidRPr="00D01537">
          <w:rPr>
            <w:rFonts w:ascii="Arial" w:hAnsi="Arial" w:cs="Arial"/>
            <w:noProof/>
            <w:sz w:val="20"/>
            <w:szCs w:val="20"/>
          </w:rPr>
          <w:fldChar w:fldCharType="end"/>
        </w:r>
      </w:p>
    </w:sdtContent>
  </w:sdt>
  <w:p w14:paraId="47E6376B" w14:textId="77777777" w:rsidR="00B7459D" w:rsidRDefault="00B7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915E" w14:textId="77777777" w:rsidR="00580CC8" w:rsidRDefault="00580CC8" w:rsidP="00773B7D">
      <w:pPr>
        <w:spacing w:after="0" w:line="240" w:lineRule="auto"/>
      </w:pPr>
      <w:r>
        <w:separator/>
      </w:r>
    </w:p>
  </w:footnote>
  <w:footnote w:type="continuationSeparator" w:id="0">
    <w:p w14:paraId="3224B637" w14:textId="77777777" w:rsidR="00580CC8" w:rsidRDefault="00580CC8" w:rsidP="00773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5EC"/>
    <w:multiLevelType w:val="hybridMultilevel"/>
    <w:tmpl w:val="05FC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1CEE"/>
    <w:multiLevelType w:val="hybridMultilevel"/>
    <w:tmpl w:val="8730A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7B007D"/>
    <w:multiLevelType w:val="multilevel"/>
    <w:tmpl w:val="CEF2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11ECF"/>
    <w:multiLevelType w:val="multilevel"/>
    <w:tmpl w:val="4E08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720C8"/>
    <w:multiLevelType w:val="hybridMultilevel"/>
    <w:tmpl w:val="BA2A7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07592C"/>
    <w:multiLevelType w:val="multilevel"/>
    <w:tmpl w:val="52865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062AB"/>
    <w:multiLevelType w:val="hybridMultilevel"/>
    <w:tmpl w:val="EDD8F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F0023"/>
    <w:multiLevelType w:val="multilevel"/>
    <w:tmpl w:val="F968B9D6"/>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992"/>
        </w:tabs>
        <w:ind w:left="992" w:hanging="851"/>
      </w:pPr>
      <w:rPr>
        <w:rFonts w:hint="default"/>
      </w:rPr>
    </w:lvl>
    <w:lvl w:ilvl="2">
      <w:start w:val="1"/>
      <w:numFmt w:val="decimal"/>
      <w:pStyle w:val="Heading3"/>
      <w:lvlText w:val="%1.%2.%3"/>
      <w:lvlJc w:val="left"/>
      <w:pPr>
        <w:tabs>
          <w:tab w:val="num" w:pos="1730"/>
        </w:tabs>
        <w:ind w:left="1730"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8" w15:restartNumberingAfterBreak="0">
    <w:nsid w:val="4AE62721"/>
    <w:multiLevelType w:val="hybridMultilevel"/>
    <w:tmpl w:val="A8A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6733F5"/>
    <w:multiLevelType w:val="multilevel"/>
    <w:tmpl w:val="F58EF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61AE6"/>
    <w:multiLevelType w:val="multilevel"/>
    <w:tmpl w:val="32AE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C7E62"/>
    <w:multiLevelType w:val="hybridMultilevel"/>
    <w:tmpl w:val="83640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910CE5"/>
    <w:multiLevelType w:val="hybridMultilevel"/>
    <w:tmpl w:val="D680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B11A4"/>
    <w:multiLevelType w:val="multilevel"/>
    <w:tmpl w:val="06EE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11"/>
  </w:num>
  <w:num w:numId="5">
    <w:abstractNumId w:val="6"/>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2"/>
  </w:num>
  <w:num w:numId="11">
    <w:abstractNumId w:val="13"/>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DC5479-32F5-445B-8B19-77E403CC3FC6}"/>
    <w:docVar w:name="dgnword-eventsink" w:val="1542173540016"/>
    <w:docVar w:name="EN.InstantFormat" w:val="&lt;ENInstantFormat&gt;&lt;Enabled&gt;1&lt;/Enabled&gt;&lt;ScanUnformatted&gt;1&lt;/ScanUnformatted&gt;&lt;ScanChanges&gt;1&lt;/ScanChanges&gt;&lt;Suspended&gt;0&lt;/Suspended&gt;&lt;/ENInstantFormat&gt;"/>
    <w:docVar w:name="EN.Layout" w:val="&lt;ENLayout&gt;&lt;Style&gt;J Cachexia Sarc Muscl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zdf5rvs9wzts6erav6v0rpowttawpd0ztaa&quot;&gt;HABCReferences_0-Converted&lt;record-ids&gt;&lt;item&gt;268&lt;/item&gt;&lt;item&gt;336&lt;/item&gt;&lt;item&gt;1074&lt;/item&gt;&lt;item&gt;1090&lt;/item&gt;&lt;item&gt;1093&lt;/item&gt;&lt;item&gt;1096&lt;/item&gt;&lt;item&gt;1097&lt;/item&gt;&lt;item&gt;1341&lt;/item&gt;&lt;item&gt;1382&lt;/item&gt;&lt;item&gt;1410&lt;/item&gt;&lt;item&gt;1416&lt;/item&gt;&lt;item&gt;1444&lt;/item&gt;&lt;item&gt;1446&lt;/item&gt;&lt;item&gt;1447&lt;/item&gt;&lt;item&gt;1448&lt;/item&gt;&lt;item&gt;1467&lt;/item&gt;&lt;item&gt;1468&lt;/item&gt;&lt;item&gt;1470&lt;/item&gt;&lt;item&gt;1471&lt;/item&gt;&lt;item&gt;1472&lt;/item&gt;&lt;item&gt;1473&lt;/item&gt;&lt;item&gt;1474&lt;/item&gt;&lt;item&gt;1475&lt;/item&gt;&lt;item&gt;1476&lt;/item&gt;&lt;item&gt;1477&lt;/item&gt;&lt;item&gt;1478&lt;/item&gt;&lt;item&gt;1479&lt;/item&gt;&lt;item&gt;1480&lt;/item&gt;&lt;item&gt;1482&lt;/item&gt;&lt;item&gt;1483&lt;/item&gt;&lt;item&gt;1484&lt;/item&gt;&lt;/record-ids&gt;&lt;/item&gt;&lt;/Libraries&gt;"/>
  </w:docVars>
  <w:rsids>
    <w:rsidRoot w:val="002A568E"/>
    <w:rsid w:val="000013C2"/>
    <w:rsid w:val="00001E6E"/>
    <w:rsid w:val="000030E7"/>
    <w:rsid w:val="00004660"/>
    <w:rsid w:val="000060CD"/>
    <w:rsid w:val="00006181"/>
    <w:rsid w:val="00007A0D"/>
    <w:rsid w:val="00007B6F"/>
    <w:rsid w:val="00010398"/>
    <w:rsid w:val="00010EBB"/>
    <w:rsid w:val="00011AAC"/>
    <w:rsid w:val="0001357A"/>
    <w:rsid w:val="0001394D"/>
    <w:rsid w:val="00015AF9"/>
    <w:rsid w:val="0001703A"/>
    <w:rsid w:val="000206E6"/>
    <w:rsid w:val="000208BB"/>
    <w:rsid w:val="00021005"/>
    <w:rsid w:val="0002228E"/>
    <w:rsid w:val="00022859"/>
    <w:rsid w:val="00022BB5"/>
    <w:rsid w:val="00023D68"/>
    <w:rsid w:val="00023FD9"/>
    <w:rsid w:val="00024920"/>
    <w:rsid w:val="000262D6"/>
    <w:rsid w:val="00026602"/>
    <w:rsid w:val="000266D6"/>
    <w:rsid w:val="000275C8"/>
    <w:rsid w:val="00031B03"/>
    <w:rsid w:val="000416FD"/>
    <w:rsid w:val="00041D8C"/>
    <w:rsid w:val="000431BF"/>
    <w:rsid w:val="000437CD"/>
    <w:rsid w:val="00045593"/>
    <w:rsid w:val="000460A5"/>
    <w:rsid w:val="00047B66"/>
    <w:rsid w:val="000515D4"/>
    <w:rsid w:val="0005164D"/>
    <w:rsid w:val="00052C93"/>
    <w:rsid w:val="00053DFF"/>
    <w:rsid w:val="00055BB3"/>
    <w:rsid w:val="0005634A"/>
    <w:rsid w:val="0005696C"/>
    <w:rsid w:val="000612E2"/>
    <w:rsid w:val="000613AC"/>
    <w:rsid w:val="000628C1"/>
    <w:rsid w:val="000630ED"/>
    <w:rsid w:val="000633FF"/>
    <w:rsid w:val="00063690"/>
    <w:rsid w:val="00063CDB"/>
    <w:rsid w:val="00063E88"/>
    <w:rsid w:val="00064D8A"/>
    <w:rsid w:val="00067805"/>
    <w:rsid w:val="000705C8"/>
    <w:rsid w:val="000714B4"/>
    <w:rsid w:val="00072554"/>
    <w:rsid w:val="00073001"/>
    <w:rsid w:val="00073503"/>
    <w:rsid w:val="00074424"/>
    <w:rsid w:val="00082474"/>
    <w:rsid w:val="00091988"/>
    <w:rsid w:val="0009316A"/>
    <w:rsid w:val="00093185"/>
    <w:rsid w:val="000934EE"/>
    <w:rsid w:val="00094DC6"/>
    <w:rsid w:val="0009508D"/>
    <w:rsid w:val="0009518C"/>
    <w:rsid w:val="0009650E"/>
    <w:rsid w:val="00096BAF"/>
    <w:rsid w:val="00097481"/>
    <w:rsid w:val="000A0858"/>
    <w:rsid w:val="000A0C22"/>
    <w:rsid w:val="000B06C3"/>
    <w:rsid w:val="000B27A7"/>
    <w:rsid w:val="000B35A2"/>
    <w:rsid w:val="000B4758"/>
    <w:rsid w:val="000B7AF2"/>
    <w:rsid w:val="000C16AA"/>
    <w:rsid w:val="000C1880"/>
    <w:rsid w:val="000C42EB"/>
    <w:rsid w:val="000C454B"/>
    <w:rsid w:val="000C46FF"/>
    <w:rsid w:val="000C5DA3"/>
    <w:rsid w:val="000D06DB"/>
    <w:rsid w:val="000D121C"/>
    <w:rsid w:val="000D1E72"/>
    <w:rsid w:val="000D1ECF"/>
    <w:rsid w:val="000D4BD6"/>
    <w:rsid w:val="000D6072"/>
    <w:rsid w:val="000D61A4"/>
    <w:rsid w:val="000D6B75"/>
    <w:rsid w:val="000D75AE"/>
    <w:rsid w:val="000D7ACB"/>
    <w:rsid w:val="000E0F14"/>
    <w:rsid w:val="000E10C0"/>
    <w:rsid w:val="000E127C"/>
    <w:rsid w:val="000E1D2D"/>
    <w:rsid w:val="000E2042"/>
    <w:rsid w:val="000E3750"/>
    <w:rsid w:val="000E38CB"/>
    <w:rsid w:val="000E40DB"/>
    <w:rsid w:val="000E4208"/>
    <w:rsid w:val="000E46B8"/>
    <w:rsid w:val="000E49A3"/>
    <w:rsid w:val="000E7D9A"/>
    <w:rsid w:val="000F0CD9"/>
    <w:rsid w:val="000F2E41"/>
    <w:rsid w:val="000F3B52"/>
    <w:rsid w:val="000F42EF"/>
    <w:rsid w:val="000F5155"/>
    <w:rsid w:val="000F71A3"/>
    <w:rsid w:val="000F7B25"/>
    <w:rsid w:val="001011AF"/>
    <w:rsid w:val="00101F83"/>
    <w:rsid w:val="0010239B"/>
    <w:rsid w:val="00103165"/>
    <w:rsid w:val="00103CDC"/>
    <w:rsid w:val="00103EA2"/>
    <w:rsid w:val="0010456F"/>
    <w:rsid w:val="00104E78"/>
    <w:rsid w:val="001070DA"/>
    <w:rsid w:val="00107286"/>
    <w:rsid w:val="0010766C"/>
    <w:rsid w:val="0011031D"/>
    <w:rsid w:val="001106C2"/>
    <w:rsid w:val="00111B85"/>
    <w:rsid w:val="00112032"/>
    <w:rsid w:val="0011254B"/>
    <w:rsid w:val="00112E51"/>
    <w:rsid w:val="0011349A"/>
    <w:rsid w:val="00113FD4"/>
    <w:rsid w:val="00114B5E"/>
    <w:rsid w:val="00116966"/>
    <w:rsid w:val="00120BB9"/>
    <w:rsid w:val="001229D3"/>
    <w:rsid w:val="00122E5E"/>
    <w:rsid w:val="00123A8F"/>
    <w:rsid w:val="001265E4"/>
    <w:rsid w:val="00126A4B"/>
    <w:rsid w:val="00126B9E"/>
    <w:rsid w:val="00126BA7"/>
    <w:rsid w:val="00126E3F"/>
    <w:rsid w:val="00132F2B"/>
    <w:rsid w:val="00133E8A"/>
    <w:rsid w:val="0013432A"/>
    <w:rsid w:val="00134F3F"/>
    <w:rsid w:val="00135EA2"/>
    <w:rsid w:val="0014013A"/>
    <w:rsid w:val="00140E9C"/>
    <w:rsid w:val="00142AE8"/>
    <w:rsid w:val="001431BD"/>
    <w:rsid w:val="00143DDE"/>
    <w:rsid w:val="00144EED"/>
    <w:rsid w:val="00145B7A"/>
    <w:rsid w:val="001462AE"/>
    <w:rsid w:val="00146E9D"/>
    <w:rsid w:val="00146F62"/>
    <w:rsid w:val="00147361"/>
    <w:rsid w:val="0014738F"/>
    <w:rsid w:val="0014769F"/>
    <w:rsid w:val="001511F3"/>
    <w:rsid w:val="00152299"/>
    <w:rsid w:val="00152ED6"/>
    <w:rsid w:val="001536ED"/>
    <w:rsid w:val="00156B38"/>
    <w:rsid w:val="0015702D"/>
    <w:rsid w:val="0015775D"/>
    <w:rsid w:val="00157FA3"/>
    <w:rsid w:val="00160521"/>
    <w:rsid w:val="00160C04"/>
    <w:rsid w:val="00161448"/>
    <w:rsid w:val="00162948"/>
    <w:rsid w:val="00162C15"/>
    <w:rsid w:val="00162F08"/>
    <w:rsid w:val="00163881"/>
    <w:rsid w:val="001640D5"/>
    <w:rsid w:val="00164C75"/>
    <w:rsid w:val="001650A0"/>
    <w:rsid w:val="00166363"/>
    <w:rsid w:val="00166A3A"/>
    <w:rsid w:val="0016775E"/>
    <w:rsid w:val="00167B51"/>
    <w:rsid w:val="00170C94"/>
    <w:rsid w:val="001714F4"/>
    <w:rsid w:val="00172805"/>
    <w:rsid w:val="001741BA"/>
    <w:rsid w:val="001752D7"/>
    <w:rsid w:val="00175F3E"/>
    <w:rsid w:val="00175FDC"/>
    <w:rsid w:val="0017742F"/>
    <w:rsid w:val="00181F68"/>
    <w:rsid w:val="00182222"/>
    <w:rsid w:val="0018236A"/>
    <w:rsid w:val="00182A87"/>
    <w:rsid w:val="00182D5B"/>
    <w:rsid w:val="00184990"/>
    <w:rsid w:val="001865D6"/>
    <w:rsid w:val="00186A26"/>
    <w:rsid w:val="00186D7C"/>
    <w:rsid w:val="00192D2F"/>
    <w:rsid w:val="00194C80"/>
    <w:rsid w:val="001A086E"/>
    <w:rsid w:val="001A136F"/>
    <w:rsid w:val="001A1B07"/>
    <w:rsid w:val="001A1B53"/>
    <w:rsid w:val="001A2D4C"/>
    <w:rsid w:val="001A3BE3"/>
    <w:rsid w:val="001A3D63"/>
    <w:rsid w:val="001A4090"/>
    <w:rsid w:val="001A5FF0"/>
    <w:rsid w:val="001A6FB2"/>
    <w:rsid w:val="001B0273"/>
    <w:rsid w:val="001B0762"/>
    <w:rsid w:val="001B0DF8"/>
    <w:rsid w:val="001B3117"/>
    <w:rsid w:val="001B4782"/>
    <w:rsid w:val="001B5508"/>
    <w:rsid w:val="001B5C70"/>
    <w:rsid w:val="001B62AA"/>
    <w:rsid w:val="001B6E0B"/>
    <w:rsid w:val="001C0241"/>
    <w:rsid w:val="001C1C4F"/>
    <w:rsid w:val="001C1FF6"/>
    <w:rsid w:val="001C26F9"/>
    <w:rsid w:val="001C5F15"/>
    <w:rsid w:val="001C676A"/>
    <w:rsid w:val="001D053A"/>
    <w:rsid w:val="001D0B3E"/>
    <w:rsid w:val="001D2A55"/>
    <w:rsid w:val="001D30EB"/>
    <w:rsid w:val="001D4CB3"/>
    <w:rsid w:val="001D4E94"/>
    <w:rsid w:val="001D52D9"/>
    <w:rsid w:val="001D7FD7"/>
    <w:rsid w:val="001E1A28"/>
    <w:rsid w:val="001E2275"/>
    <w:rsid w:val="001E2C3B"/>
    <w:rsid w:val="001E40EF"/>
    <w:rsid w:val="001E4608"/>
    <w:rsid w:val="001F0029"/>
    <w:rsid w:val="001F0C44"/>
    <w:rsid w:val="001F1AA0"/>
    <w:rsid w:val="001F2C0C"/>
    <w:rsid w:val="001F2DED"/>
    <w:rsid w:val="001F3637"/>
    <w:rsid w:val="001F49C5"/>
    <w:rsid w:val="001F5DB0"/>
    <w:rsid w:val="001F6026"/>
    <w:rsid w:val="001F6504"/>
    <w:rsid w:val="001F6F2D"/>
    <w:rsid w:val="00203BEB"/>
    <w:rsid w:val="0020402F"/>
    <w:rsid w:val="00206155"/>
    <w:rsid w:val="00207426"/>
    <w:rsid w:val="00207F20"/>
    <w:rsid w:val="0021108C"/>
    <w:rsid w:val="002110AC"/>
    <w:rsid w:val="00211766"/>
    <w:rsid w:val="002134D9"/>
    <w:rsid w:val="00215DC7"/>
    <w:rsid w:val="00216E31"/>
    <w:rsid w:val="00220D16"/>
    <w:rsid w:val="0022186B"/>
    <w:rsid w:val="00222582"/>
    <w:rsid w:val="00223820"/>
    <w:rsid w:val="00223AA1"/>
    <w:rsid w:val="00223BD8"/>
    <w:rsid w:val="002256D7"/>
    <w:rsid w:val="00225CC8"/>
    <w:rsid w:val="00227AE7"/>
    <w:rsid w:val="00227D92"/>
    <w:rsid w:val="00230F9E"/>
    <w:rsid w:val="00231465"/>
    <w:rsid w:val="002329FA"/>
    <w:rsid w:val="002331D5"/>
    <w:rsid w:val="002340A3"/>
    <w:rsid w:val="00236A90"/>
    <w:rsid w:val="002375B1"/>
    <w:rsid w:val="002434FE"/>
    <w:rsid w:val="00244BC1"/>
    <w:rsid w:val="002452F8"/>
    <w:rsid w:val="0024593C"/>
    <w:rsid w:val="002463CC"/>
    <w:rsid w:val="002467B7"/>
    <w:rsid w:val="00246B4B"/>
    <w:rsid w:val="002509F0"/>
    <w:rsid w:val="00250CC6"/>
    <w:rsid w:val="00257E74"/>
    <w:rsid w:val="0026010C"/>
    <w:rsid w:val="0026111E"/>
    <w:rsid w:val="00262F85"/>
    <w:rsid w:val="002634E6"/>
    <w:rsid w:val="00263531"/>
    <w:rsid w:val="00267710"/>
    <w:rsid w:val="00270187"/>
    <w:rsid w:val="00271CE3"/>
    <w:rsid w:val="0027202F"/>
    <w:rsid w:val="002721B3"/>
    <w:rsid w:val="002730F1"/>
    <w:rsid w:val="0027336D"/>
    <w:rsid w:val="00273B74"/>
    <w:rsid w:val="0027497A"/>
    <w:rsid w:val="00274EFC"/>
    <w:rsid w:val="0027610C"/>
    <w:rsid w:val="002772CF"/>
    <w:rsid w:val="002776FB"/>
    <w:rsid w:val="00277D84"/>
    <w:rsid w:val="00283B8F"/>
    <w:rsid w:val="00283C57"/>
    <w:rsid w:val="002875A9"/>
    <w:rsid w:val="00287B61"/>
    <w:rsid w:val="00292306"/>
    <w:rsid w:val="0029434D"/>
    <w:rsid w:val="00295AE5"/>
    <w:rsid w:val="002A28D8"/>
    <w:rsid w:val="002A2FAF"/>
    <w:rsid w:val="002A2FB2"/>
    <w:rsid w:val="002A4F11"/>
    <w:rsid w:val="002A50EE"/>
    <w:rsid w:val="002A52FB"/>
    <w:rsid w:val="002A568E"/>
    <w:rsid w:val="002A71BA"/>
    <w:rsid w:val="002B049E"/>
    <w:rsid w:val="002B0AB5"/>
    <w:rsid w:val="002B3937"/>
    <w:rsid w:val="002B454A"/>
    <w:rsid w:val="002C0EA9"/>
    <w:rsid w:val="002C1B21"/>
    <w:rsid w:val="002C3764"/>
    <w:rsid w:val="002C4D40"/>
    <w:rsid w:val="002C6846"/>
    <w:rsid w:val="002C6F61"/>
    <w:rsid w:val="002C6FC4"/>
    <w:rsid w:val="002C70A8"/>
    <w:rsid w:val="002C75DA"/>
    <w:rsid w:val="002C7707"/>
    <w:rsid w:val="002D1959"/>
    <w:rsid w:val="002D2191"/>
    <w:rsid w:val="002D2317"/>
    <w:rsid w:val="002D2794"/>
    <w:rsid w:val="002D28B7"/>
    <w:rsid w:val="002D2D8F"/>
    <w:rsid w:val="002D3964"/>
    <w:rsid w:val="002D44E5"/>
    <w:rsid w:val="002D6746"/>
    <w:rsid w:val="002D6AAB"/>
    <w:rsid w:val="002D749B"/>
    <w:rsid w:val="002E0B22"/>
    <w:rsid w:val="002E0ED0"/>
    <w:rsid w:val="002E1CA0"/>
    <w:rsid w:val="002E29BC"/>
    <w:rsid w:val="002E52BC"/>
    <w:rsid w:val="002E5839"/>
    <w:rsid w:val="002E5A36"/>
    <w:rsid w:val="002E5B4C"/>
    <w:rsid w:val="002E7C78"/>
    <w:rsid w:val="002F00FB"/>
    <w:rsid w:val="002F0EFA"/>
    <w:rsid w:val="002F1246"/>
    <w:rsid w:val="002F1842"/>
    <w:rsid w:val="002F1DAE"/>
    <w:rsid w:val="002F22A7"/>
    <w:rsid w:val="002F244D"/>
    <w:rsid w:val="002F3212"/>
    <w:rsid w:val="002F4503"/>
    <w:rsid w:val="002F5C25"/>
    <w:rsid w:val="002F5E46"/>
    <w:rsid w:val="0030228F"/>
    <w:rsid w:val="00302AA0"/>
    <w:rsid w:val="00304874"/>
    <w:rsid w:val="00305FF4"/>
    <w:rsid w:val="0030652E"/>
    <w:rsid w:val="003070B7"/>
    <w:rsid w:val="00307407"/>
    <w:rsid w:val="00310D97"/>
    <w:rsid w:val="003110E6"/>
    <w:rsid w:val="00313FF2"/>
    <w:rsid w:val="00315DD9"/>
    <w:rsid w:val="00315FE6"/>
    <w:rsid w:val="00316EF6"/>
    <w:rsid w:val="00322CFD"/>
    <w:rsid w:val="003230C2"/>
    <w:rsid w:val="00323222"/>
    <w:rsid w:val="003238CF"/>
    <w:rsid w:val="00327693"/>
    <w:rsid w:val="00331588"/>
    <w:rsid w:val="00333364"/>
    <w:rsid w:val="003346EE"/>
    <w:rsid w:val="00334890"/>
    <w:rsid w:val="003357BA"/>
    <w:rsid w:val="00335B67"/>
    <w:rsid w:val="0033623F"/>
    <w:rsid w:val="00340267"/>
    <w:rsid w:val="00341B6B"/>
    <w:rsid w:val="00341F55"/>
    <w:rsid w:val="003422F3"/>
    <w:rsid w:val="0034236F"/>
    <w:rsid w:val="003423D2"/>
    <w:rsid w:val="0034264B"/>
    <w:rsid w:val="003428C2"/>
    <w:rsid w:val="00342EBF"/>
    <w:rsid w:val="00347011"/>
    <w:rsid w:val="00347273"/>
    <w:rsid w:val="00351891"/>
    <w:rsid w:val="003518D5"/>
    <w:rsid w:val="003527C7"/>
    <w:rsid w:val="00354CD9"/>
    <w:rsid w:val="0035502C"/>
    <w:rsid w:val="00356134"/>
    <w:rsid w:val="00356992"/>
    <w:rsid w:val="00357688"/>
    <w:rsid w:val="00357C78"/>
    <w:rsid w:val="0036147C"/>
    <w:rsid w:val="00362C59"/>
    <w:rsid w:val="00365524"/>
    <w:rsid w:val="00365F88"/>
    <w:rsid w:val="00365FE1"/>
    <w:rsid w:val="00366362"/>
    <w:rsid w:val="00370216"/>
    <w:rsid w:val="0037078F"/>
    <w:rsid w:val="00371A83"/>
    <w:rsid w:val="003728BF"/>
    <w:rsid w:val="003732E9"/>
    <w:rsid w:val="00373B3D"/>
    <w:rsid w:val="00373D46"/>
    <w:rsid w:val="003750DE"/>
    <w:rsid w:val="00375BCA"/>
    <w:rsid w:val="003802E4"/>
    <w:rsid w:val="00380C2C"/>
    <w:rsid w:val="0038197B"/>
    <w:rsid w:val="003844A8"/>
    <w:rsid w:val="00384B54"/>
    <w:rsid w:val="00387FDD"/>
    <w:rsid w:val="00391560"/>
    <w:rsid w:val="00391970"/>
    <w:rsid w:val="00391C23"/>
    <w:rsid w:val="0039477D"/>
    <w:rsid w:val="003974CD"/>
    <w:rsid w:val="003A07AE"/>
    <w:rsid w:val="003A1161"/>
    <w:rsid w:val="003A43A1"/>
    <w:rsid w:val="003A440D"/>
    <w:rsid w:val="003A47A0"/>
    <w:rsid w:val="003A48EA"/>
    <w:rsid w:val="003A51D2"/>
    <w:rsid w:val="003A6AD7"/>
    <w:rsid w:val="003B0048"/>
    <w:rsid w:val="003B1A2A"/>
    <w:rsid w:val="003B2027"/>
    <w:rsid w:val="003B5408"/>
    <w:rsid w:val="003B65C7"/>
    <w:rsid w:val="003B68EC"/>
    <w:rsid w:val="003B7284"/>
    <w:rsid w:val="003C0CC3"/>
    <w:rsid w:val="003C158C"/>
    <w:rsid w:val="003C3D3D"/>
    <w:rsid w:val="003C4BE6"/>
    <w:rsid w:val="003C66B6"/>
    <w:rsid w:val="003D07B3"/>
    <w:rsid w:val="003D3C04"/>
    <w:rsid w:val="003D42DD"/>
    <w:rsid w:val="003D4C54"/>
    <w:rsid w:val="003D57D8"/>
    <w:rsid w:val="003D5AFC"/>
    <w:rsid w:val="003D6AA0"/>
    <w:rsid w:val="003D6E6D"/>
    <w:rsid w:val="003D70AD"/>
    <w:rsid w:val="003D7589"/>
    <w:rsid w:val="003E1270"/>
    <w:rsid w:val="003E1B98"/>
    <w:rsid w:val="003E1CA7"/>
    <w:rsid w:val="003E30E2"/>
    <w:rsid w:val="003E465E"/>
    <w:rsid w:val="003E48BD"/>
    <w:rsid w:val="003E72F6"/>
    <w:rsid w:val="003F17B7"/>
    <w:rsid w:val="003F1D4A"/>
    <w:rsid w:val="003F26C9"/>
    <w:rsid w:val="003F358B"/>
    <w:rsid w:val="003F42AE"/>
    <w:rsid w:val="003F5B80"/>
    <w:rsid w:val="00400E56"/>
    <w:rsid w:val="00400E7C"/>
    <w:rsid w:val="004015DD"/>
    <w:rsid w:val="004021C9"/>
    <w:rsid w:val="004031F4"/>
    <w:rsid w:val="00403492"/>
    <w:rsid w:val="00403800"/>
    <w:rsid w:val="00404431"/>
    <w:rsid w:val="00404A35"/>
    <w:rsid w:val="004051D4"/>
    <w:rsid w:val="00406D6B"/>
    <w:rsid w:val="0040793B"/>
    <w:rsid w:val="00410BA4"/>
    <w:rsid w:val="004113B9"/>
    <w:rsid w:val="00412180"/>
    <w:rsid w:val="00412E31"/>
    <w:rsid w:val="0041373D"/>
    <w:rsid w:val="004156FC"/>
    <w:rsid w:val="00415756"/>
    <w:rsid w:val="004157C8"/>
    <w:rsid w:val="0041664E"/>
    <w:rsid w:val="004172F9"/>
    <w:rsid w:val="00417FF5"/>
    <w:rsid w:val="00420C27"/>
    <w:rsid w:val="00421E73"/>
    <w:rsid w:val="004235A9"/>
    <w:rsid w:val="004239AF"/>
    <w:rsid w:val="00424424"/>
    <w:rsid w:val="00426974"/>
    <w:rsid w:val="00426B65"/>
    <w:rsid w:val="00427286"/>
    <w:rsid w:val="004337C4"/>
    <w:rsid w:val="004338D1"/>
    <w:rsid w:val="0043399F"/>
    <w:rsid w:val="00434F87"/>
    <w:rsid w:val="00435022"/>
    <w:rsid w:val="00436879"/>
    <w:rsid w:val="00436F3D"/>
    <w:rsid w:val="00437107"/>
    <w:rsid w:val="00440078"/>
    <w:rsid w:val="004403D7"/>
    <w:rsid w:val="00441708"/>
    <w:rsid w:val="00441A48"/>
    <w:rsid w:val="004431C4"/>
    <w:rsid w:val="0044325A"/>
    <w:rsid w:val="00443D0D"/>
    <w:rsid w:val="004443A1"/>
    <w:rsid w:val="004444BB"/>
    <w:rsid w:val="00447FF5"/>
    <w:rsid w:val="0045119F"/>
    <w:rsid w:val="00451A62"/>
    <w:rsid w:val="00451F9B"/>
    <w:rsid w:val="00452744"/>
    <w:rsid w:val="00452780"/>
    <w:rsid w:val="004528D3"/>
    <w:rsid w:val="00452965"/>
    <w:rsid w:val="004537E2"/>
    <w:rsid w:val="004547C9"/>
    <w:rsid w:val="00454DC2"/>
    <w:rsid w:val="00455865"/>
    <w:rsid w:val="00456BC5"/>
    <w:rsid w:val="00456EB4"/>
    <w:rsid w:val="004608B0"/>
    <w:rsid w:val="00462DE6"/>
    <w:rsid w:val="00463622"/>
    <w:rsid w:val="00466F2B"/>
    <w:rsid w:val="004671AA"/>
    <w:rsid w:val="004700E9"/>
    <w:rsid w:val="0047063B"/>
    <w:rsid w:val="00470A11"/>
    <w:rsid w:val="00471B19"/>
    <w:rsid w:val="00471D43"/>
    <w:rsid w:val="0047202A"/>
    <w:rsid w:val="004726D8"/>
    <w:rsid w:val="004740A2"/>
    <w:rsid w:val="004746BA"/>
    <w:rsid w:val="00475DAA"/>
    <w:rsid w:val="0047732E"/>
    <w:rsid w:val="00480863"/>
    <w:rsid w:val="0048135A"/>
    <w:rsid w:val="004814F9"/>
    <w:rsid w:val="00483D50"/>
    <w:rsid w:val="004852D4"/>
    <w:rsid w:val="004853E7"/>
    <w:rsid w:val="004879AF"/>
    <w:rsid w:val="00487C12"/>
    <w:rsid w:val="00491D9D"/>
    <w:rsid w:val="00492C31"/>
    <w:rsid w:val="00493666"/>
    <w:rsid w:val="004937EE"/>
    <w:rsid w:val="00494BA0"/>
    <w:rsid w:val="00494E7A"/>
    <w:rsid w:val="0049507B"/>
    <w:rsid w:val="00495B51"/>
    <w:rsid w:val="004966C7"/>
    <w:rsid w:val="004A08F9"/>
    <w:rsid w:val="004A2EF1"/>
    <w:rsid w:val="004A325B"/>
    <w:rsid w:val="004A3B67"/>
    <w:rsid w:val="004A3D96"/>
    <w:rsid w:val="004A4368"/>
    <w:rsid w:val="004A4908"/>
    <w:rsid w:val="004A4FF2"/>
    <w:rsid w:val="004A6BC8"/>
    <w:rsid w:val="004A7CC9"/>
    <w:rsid w:val="004B286B"/>
    <w:rsid w:val="004B315E"/>
    <w:rsid w:val="004B3EC4"/>
    <w:rsid w:val="004B52D4"/>
    <w:rsid w:val="004B59F9"/>
    <w:rsid w:val="004B5B39"/>
    <w:rsid w:val="004B6AE1"/>
    <w:rsid w:val="004B6F6A"/>
    <w:rsid w:val="004C08EA"/>
    <w:rsid w:val="004C15CA"/>
    <w:rsid w:val="004C1EB0"/>
    <w:rsid w:val="004C4729"/>
    <w:rsid w:val="004C5525"/>
    <w:rsid w:val="004C5CC5"/>
    <w:rsid w:val="004C638C"/>
    <w:rsid w:val="004C75F0"/>
    <w:rsid w:val="004C77F2"/>
    <w:rsid w:val="004D00BF"/>
    <w:rsid w:val="004D04C4"/>
    <w:rsid w:val="004D0BEC"/>
    <w:rsid w:val="004D1DD7"/>
    <w:rsid w:val="004D2FE3"/>
    <w:rsid w:val="004D3235"/>
    <w:rsid w:val="004D42C7"/>
    <w:rsid w:val="004E0CC1"/>
    <w:rsid w:val="004E1228"/>
    <w:rsid w:val="004E15BA"/>
    <w:rsid w:val="004E3979"/>
    <w:rsid w:val="004E4533"/>
    <w:rsid w:val="004E4803"/>
    <w:rsid w:val="004E6FEC"/>
    <w:rsid w:val="004F1819"/>
    <w:rsid w:val="004F2FF1"/>
    <w:rsid w:val="004F3459"/>
    <w:rsid w:val="004F53E8"/>
    <w:rsid w:val="00503912"/>
    <w:rsid w:val="00503B58"/>
    <w:rsid w:val="005048C2"/>
    <w:rsid w:val="00504C99"/>
    <w:rsid w:val="00505403"/>
    <w:rsid w:val="005067AB"/>
    <w:rsid w:val="005104AD"/>
    <w:rsid w:val="0051059A"/>
    <w:rsid w:val="005120FA"/>
    <w:rsid w:val="005125F7"/>
    <w:rsid w:val="0051282D"/>
    <w:rsid w:val="00512EBE"/>
    <w:rsid w:val="00514260"/>
    <w:rsid w:val="0051550B"/>
    <w:rsid w:val="00515B9C"/>
    <w:rsid w:val="00516AF3"/>
    <w:rsid w:val="005175C3"/>
    <w:rsid w:val="0052168C"/>
    <w:rsid w:val="00521AC8"/>
    <w:rsid w:val="00522739"/>
    <w:rsid w:val="00523708"/>
    <w:rsid w:val="00523893"/>
    <w:rsid w:val="005242AE"/>
    <w:rsid w:val="0052506B"/>
    <w:rsid w:val="00526237"/>
    <w:rsid w:val="005262FE"/>
    <w:rsid w:val="00527361"/>
    <w:rsid w:val="00527DA5"/>
    <w:rsid w:val="00531260"/>
    <w:rsid w:val="0053171B"/>
    <w:rsid w:val="00532259"/>
    <w:rsid w:val="00533AF3"/>
    <w:rsid w:val="00533D81"/>
    <w:rsid w:val="0053730B"/>
    <w:rsid w:val="005378AD"/>
    <w:rsid w:val="005403CB"/>
    <w:rsid w:val="00540B7A"/>
    <w:rsid w:val="005423D2"/>
    <w:rsid w:val="00543BD4"/>
    <w:rsid w:val="00544A01"/>
    <w:rsid w:val="0054674C"/>
    <w:rsid w:val="005470CD"/>
    <w:rsid w:val="0054780B"/>
    <w:rsid w:val="00550891"/>
    <w:rsid w:val="00551915"/>
    <w:rsid w:val="00551A84"/>
    <w:rsid w:val="00553A86"/>
    <w:rsid w:val="00553DBE"/>
    <w:rsid w:val="00555B80"/>
    <w:rsid w:val="0055623E"/>
    <w:rsid w:val="00557085"/>
    <w:rsid w:val="00557A5D"/>
    <w:rsid w:val="00557B84"/>
    <w:rsid w:val="00557BEE"/>
    <w:rsid w:val="00560769"/>
    <w:rsid w:val="00560B5F"/>
    <w:rsid w:val="00560B89"/>
    <w:rsid w:val="00563140"/>
    <w:rsid w:val="00563C3A"/>
    <w:rsid w:val="0056596E"/>
    <w:rsid w:val="00567781"/>
    <w:rsid w:val="00571DCA"/>
    <w:rsid w:val="005751C8"/>
    <w:rsid w:val="0057553B"/>
    <w:rsid w:val="00575B0E"/>
    <w:rsid w:val="00580BFD"/>
    <w:rsid w:val="00580CC8"/>
    <w:rsid w:val="00582616"/>
    <w:rsid w:val="005833A2"/>
    <w:rsid w:val="005841CD"/>
    <w:rsid w:val="005845F0"/>
    <w:rsid w:val="00584F44"/>
    <w:rsid w:val="00585C13"/>
    <w:rsid w:val="00591036"/>
    <w:rsid w:val="00591A05"/>
    <w:rsid w:val="00591BA8"/>
    <w:rsid w:val="0059231A"/>
    <w:rsid w:val="0059239C"/>
    <w:rsid w:val="00593204"/>
    <w:rsid w:val="00593D1A"/>
    <w:rsid w:val="00593E7F"/>
    <w:rsid w:val="00596B06"/>
    <w:rsid w:val="00596FA5"/>
    <w:rsid w:val="005A18E2"/>
    <w:rsid w:val="005A349B"/>
    <w:rsid w:val="005A45E2"/>
    <w:rsid w:val="005A4A23"/>
    <w:rsid w:val="005A594B"/>
    <w:rsid w:val="005A5A96"/>
    <w:rsid w:val="005A63DA"/>
    <w:rsid w:val="005A76F1"/>
    <w:rsid w:val="005A7B23"/>
    <w:rsid w:val="005B0E68"/>
    <w:rsid w:val="005B14F6"/>
    <w:rsid w:val="005B2BD5"/>
    <w:rsid w:val="005B2E61"/>
    <w:rsid w:val="005B2F41"/>
    <w:rsid w:val="005B3732"/>
    <w:rsid w:val="005B48C3"/>
    <w:rsid w:val="005B524A"/>
    <w:rsid w:val="005B6C16"/>
    <w:rsid w:val="005B7A6D"/>
    <w:rsid w:val="005B7D6D"/>
    <w:rsid w:val="005B7DA3"/>
    <w:rsid w:val="005C0861"/>
    <w:rsid w:val="005C3511"/>
    <w:rsid w:val="005C3C2A"/>
    <w:rsid w:val="005C4E0B"/>
    <w:rsid w:val="005C5333"/>
    <w:rsid w:val="005C56CA"/>
    <w:rsid w:val="005C6AD3"/>
    <w:rsid w:val="005D12E1"/>
    <w:rsid w:val="005D1E67"/>
    <w:rsid w:val="005D1F55"/>
    <w:rsid w:val="005D2F4F"/>
    <w:rsid w:val="005D3822"/>
    <w:rsid w:val="005D4B38"/>
    <w:rsid w:val="005D4BE8"/>
    <w:rsid w:val="005D7701"/>
    <w:rsid w:val="005E2B58"/>
    <w:rsid w:val="005E2FB8"/>
    <w:rsid w:val="005E59B4"/>
    <w:rsid w:val="005E5FF6"/>
    <w:rsid w:val="005E60A8"/>
    <w:rsid w:val="005E65D0"/>
    <w:rsid w:val="005F0A32"/>
    <w:rsid w:val="005F4402"/>
    <w:rsid w:val="005F572B"/>
    <w:rsid w:val="005F6AC3"/>
    <w:rsid w:val="005F73AE"/>
    <w:rsid w:val="005F7A38"/>
    <w:rsid w:val="006018D4"/>
    <w:rsid w:val="00603FDB"/>
    <w:rsid w:val="00604A12"/>
    <w:rsid w:val="00604E75"/>
    <w:rsid w:val="00610C3C"/>
    <w:rsid w:val="006113E0"/>
    <w:rsid w:val="00611A40"/>
    <w:rsid w:val="00613487"/>
    <w:rsid w:val="00613AE7"/>
    <w:rsid w:val="00616248"/>
    <w:rsid w:val="0061633D"/>
    <w:rsid w:val="00616957"/>
    <w:rsid w:val="00616B29"/>
    <w:rsid w:val="00616EFB"/>
    <w:rsid w:val="0061739A"/>
    <w:rsid w:val="00617529"/>
    <w:rsid w:val="0061761F"/>
    <w:rsid w:val="00622099"/>
    <w:rsid w:val="00622578"/>
    <w:rsid w:val="00622BBA"/>
    <w:rsid w:val="0062552A"/>
    <w:rsid w:val="00625912"/>
    <w:rsid w:val="0062788C"/>
    <w:rsid w:val="00630B7A"/>
    <w:rsid w:val="006313FA"/>
    <w:rsid w:val="00631923"/>
    <w:rsid w:val="00631D8B"/>
    <w:rsid w:val="00632BDF"/>
    <w:rsid w:val="00633156"/>
    <w:rsid w:val="00633240"/>
    <w:rsid w:val="00635BB3"/>
    <w:rsid w:val="0063698B"/>
    <w:rsid w:val="00636D53"/>
    <w:rsid w:val="006375E8"/>
    <w:rsid w:val="00637C36"/>
    <w:rsid w:val="00640F8D"/>
    <w:rsid w:val="0064146E"/>
    <w:rsid w:val="00642242"/>
    <w:rsid w:val="00642FC3"/>
    <w:rsid w:val="0064455A"/>
    <w:rsid w:val="00644DE6"/>
    <w:rsid w:val="006455A9"/>
    <w:rsid w:val="00645D03"/>
    <w:rsid w:val="00646531"/>
    <w:rsid w:val="00646881"/>
    <w:rsid w:val="006468A6"/>
    <w:rsid w:val="00646CB6"/>
    <w:rsid w:val="00646E65"/>
    <w:rsid w:val="00647460"/>
    <w:rsid w:val="00650474"/>
    <w:rsid w:val="0065050D"/>
    <w:rsid w:val="00650580"/>
    <w:rsid w:val="006527EE"/>
    <w:rsid w:val="006529A9"/>
    <w:rsid w:val="00653D24"/>
    <w:rsid w:val="00653FD4"/>
    <w:rsid w:val="00654916"/>
    <w:rsid w:val="00655B88"/>
    <w:rsid w:val="006565EC"/>
    <w:rsid w:val="0065787E"/>
    <w:rsid w:val="00657A33"/>
    <w:rsid w:val="00660379"/>
    <w:rsid w:val="00660464"/>
    <w:rsid w:val="006619AE"/>
    <w:rsid w:val="00662DF8"/>
    <w:rsid w:val="006638D2"/>
    <w:rsid w:val="006658D5"/>
    <w:rsid w:val="00665C1D"/>
    <w:rsid w:val="00666F28"/>
    <w:rsid w:val="00671FDD"/>
    <w:rsid w:val="0067322A"/>
    <w:rsid w:val="0067359B"/>
    <w:rsid w:val="00673948"/>
    <w:rsid w:val="006746F6"/>
    <w:rsid w:val="00674AC6"/>
    <w:rsid w:val="00674F90"/>
    <w:rsid w:val="00675265"/>
    <w:rsid w:val="00675A34"/>
    <w:rsid w:val="00677E2C"/>
    <w:rsid w:val="006803A5"/>
    <w:rsid w:val="00680510"/>
    <w:rsid w:val="00680CAE"/>
    <w:rsid w:val="00682DA6"/>
    <w:rsid w:val="00684A3D"/>
    <w:rsid w:val="0068505E"/>
    <w:rsid w:val="00685082"/>
    <w:rsid w:val="006859C9"/>
    <w:rsid w:val="00686586"/>
    <w:rsid w:val="00687F33"/>
    <w:rsid w:val="0069043B"/>
    <w:rsid w:val="0069076E"/>
    <w:rsid w:val="00691311"/>
    <w:rsid w:val="00692EAE"/>
    <w:rsid w:val="00693216"/>
    <w:rsid w:val="006935D4"/>
    <w:rsid w:val="00693945"/>
    <w:rsid w:val="00694165"/>
    <w:rsid w:val="00695C06"/>
    <w:rsid w:val="006960EE"/>
    <w:rsid w:val="006968D8"/>
    <w:rsid w:val="006A0E90"/>
    <w:rsid w:val="006A15AD"/>
    <w:rsid w:val="006A1BD8"/>
    <w:rsid w:val="006A1F48"/>
    <w:rsid w:val="006A2951"/>
    <w:rsid w:val="006A56E0"/>
    <w:rsid w:val="006A65D5"/>
    <w:rsid w:val="006B298A"/>
    <w:rsid w:val="006B2DF4"/>
    <w:rsid w:val="006B36F6"/>
    <w:rsid w:val="006B4148"/>
    <w:rsid w:val="006B4198"/>
    <w:rsid w:val="006B49CE"/>
    <w:rsid w:val="006B4EE8"/>
    <w:rsid w:val="006C085A"/>
    <w:rsid w:val="006C13A0"/>
    <w:rsid w:val="006C23A1"/>
    <w:rsid w:val="006C266E"/>
    <w:rsid w:val="006C375D"/>
    <w:rsid w:val="006C5C85"/>
    <w:rsid w:val="006C6C7B"/>
    <w:rsid w:val="006C7C59"/>
    <w:rsid w:val="006D0626"/>
    <w:rsid w:val="006D136A"/>
    <w:rsid w:val="006D17C5"/>
    <w:rsid w:val="006D2B59"/>
    <w:rsid w:val="006D44F6"/>
    <w:rsid w:val="006D4A80"/>
    <w:rsid w:val="006D4E1B"/>
    <w:rsid w:val="006D4EA6"/>
    <w:rsid w:val="006D5770"/>
    <w:rsid w:val="006D5D16"/>
    <w:rsid w:val="006D5FEC"/>
    <w:rsid w:val="006D62DB"/>
    <w:rsid w:val="006D6574"/>
    <w:rsid w:val="006D66A8"/>
    <w:rsid w:val="006E5203"/>
    <w:rsid w:val="006E58F6"/>
    <w:rsid w:val="006E7986"/>
    <w:rsid w:val="006E7A07"/>
    <w:rsid w:val="006F01A8"/>
    <w:rsid w:val="006F044D"/>
    <w:rsid w:val="006F1A98"/>
    <w:rsid w:val="006F1B76"/>
    <w:rsid w:val="006F2419"/>
    <w:rsid w:val="006F2E57"/>
    <w:rsid w:val="006F6D2C"/>
    <w:rsid w:val="00700BA5"/>
    <w:rsid w:val="00700E5E"/>
    <w:rsid w:val="00703E2C"/>
    <w:rsid w:val="00704A81"/>
    <w:rsid w:val="00705A02"/>
    <w:rsid w:val="00706680"/>
    <w:rsid w:val="00707282"/>
    <w:rsid w:val="00711787"/>
    <w:rsid w:val="007121E0"/>
    <w:rsid w:val="007129B2"/>
    <w:rsid w:val="00714FDB"/>
    <w:rsid w:val="00716327"/>
    <w:rsid w:val="0071687D"/>
    <w:rsid w:val="007169A4"/>
    <w:rsid w:val="00722029"/>
    <w:rsid w:val="00722BC1"/>
    <w:rsid w:val="007237C0"/>
    <w:rsid w:val="00724AD1"/>
    <w:rsid w:val="0072558D"/>
    <w:rsid w:val="00726785"/>
    <w:rsid w:val="00727150"/>
    <w:rsid w:val="00731176"/>
    <w:rsid w:val="0073272F"/>
    <w:rsid w:val="00732E94"/>
    <w:rsid w:val="00733D94"/>
    <w:rsid w:val="007344D8"/>
    <w:rsid w:val="00734825"/>
    <w:rsid w:val="00735A86"/>
    <w:rsid w:val="00735CD6"/>
    <w:rsid w:val="00736D51"/>
    <w:rsid w:val="00736F3D"/>
    <w:rsid w:val="00737051"/>
    <w:rsid w:val="00737A74"/>
    <w:rsid w:val="007415A9"/>
    <w:rsid w:val="007419A1"/>
    <w:rsid w:val="00741CCA"/>
    <w:rsid w:val="00742098"/>
    <w:rsid w:val="00742B04"/>
    <w:rsid w:val="00743203"/>
    <w:rsid w:val="0074335D"/>
    <w:rsid w:val="0074388C"/>
    <w:rsid w:val="007442BD"/>
    <w:rsid w:val="00744334"/>
    <w:rsid w:val="00745093"/>
    <w:rsid w:val="007461C4"/>
    <w:rsid w:val="007462F5"/>
    <w:rsid w:val="00746BF2"/>
    <w:rsid w:val="007521FF"/>
    <w:rsid w:val="007530DE"/>
    <w:rsid w:val="00753C86"/>
    <w:rsid w:val="00754A78"/>
    <w:rsid w:val="007558BA"/>
    <w:rsid w:val="00760C9C"/>
    <w:rsid w:val="00762F2C"/>
    <w:rsid w:val="007637FF"/>
    <w:rsid w:val="007642DC"/>
    <w:rsid w:val="00764C15"/>
    <w:rsid w:val="0076581B"/>
    <w:rsid w:val="00770668"/>
    <w:rsid w:val="0077152A"/>
    <w:rsid w:val="007724B2"/>
    <w:rsid w:val="007727B7"/>
    <w:rsid w:val="00772F7E"/>
    <w:rsid w:val="0077305A"/>
    <w:rsid w:val="00773B7D"/>
    <w:rsid w:val="007758B1"/>
    <w:rsid w:val="0077613F"/>
    <w:rsid w:val="00776491"/>
    <w:rsid w:val="0077781B"/>
    <w:rsid w:val="0078066B"/>
    <w:rsid w:val="00781A26"/>
    <w:rsid w:val="00782ED2"/>
    <w:rsid w:val="007849A8"/>
    <w:rsid w:val="00786174"/>
    <w:rsid w:val="00786262"/>
    <w:rsid w:val="00786831"/>
    <w:rsid w:val="00792204"/>
    <w:rsid w:val="007925B8"/>
    <w:rsid w:val="00792E24"/>
    <w:rsid w:val="00793458"/>
    <w:rsid w:val="007939BF"/>
    <w:rsid w:val="00796FB1"/>
    <w:rsid w:val="007A022E"/>
    <w:rsid w:val="007A034A"/>
    <w:rsid w:val="007A28DD"/>
    <w:rsid w:val="007A2A48"/>
    <w:rsid w:val="007A2D77"/>
    <w:rsid w:val="007A2EB8"/>
    <w:rsid w:val="007A30DA"/>
    <w:rsid w:val="007A3360"/>
    <w:rsid w:val="007A3518"/>
    <w:rsid w:val="007A3B68"/>
    <w:rsid w:val="007A4313"/>
    <w:rsid w:val="007A4C8B"/>
    <w:rsid w:val="007A51CB"/>
    <w:rsid w:val="007B15BD"/>
    <w:rsid w:val="007B1B15"/>
    <w:rsid w:val="007B1C85"/>
    <w:rsid w:val="007B1E35"/>
    <w:rsid w:val="007B2200"/>
    <w:rsid w:val="007B25FF"/>
    <w:rsid w:val="007B2E11"/>
    <w:rsid w:val="007B3537"/>
    <w:rsid w:val="007B437A"/>
    <w:rsid w:val="007B468D"/>
    <w:rsid w:val="007B7D2A"/>
    <w:rsid w:val="007C26A4"/>
    <w:rsid w:val="007C3DE5"/>
    <w:rsid w:val="007C6627"/>
    <w:rsid w:val="007D0775"/>
    <w:rsid w:val="007D1F16"/>
    <w:rsid w:val="007D2270"/>
    <w:rsid w:val="007D25CB"/>
    <w:rsid w:val="007D25DC"/>
    <w:rsid w:val="007D3C04"/>
    <w:rsid w:val="007D49D0"/>
    <w:rsid w:val="007D67D4"/>
    <w:rsid w:val="007D6FC5"/>
    <w:rsid w:val="007D72E7"/>
    <w:rsid w:val="007D7AB5"/>
    <w:rsid w:val="007D7B60"/>
    <w:rsid w:val="007D7E81"/>
    <w:rsid w:val="007E0A5C"/>
    <w:rsid w:val="007E0AF6"/>
    <w:rsid w:val="007E39F1"/>
    <w:rsid w:val="007E4101"/>
    <w:rsid w:val="007E4609"/>
    <w:rsid w:val="007E487A"/>
    <w:rsid w:val="007E6144"/>
    <w:rsid w:val="007E62BF"/>
    <w:rsid w:val="007E64DD"/>
    <w:rsid w:val="007E6561"/>
    <w:rsid w:val="007E65AF"/>
    <w:rsid w:val="007E779D"/>
    <w:rsid w:val="007E79D6"/>
    <w:rsid w:val="007F0852"/>
    <w:rsid w:val="007F14AB"/>
    <w:rsid w:val="007F25E3"/>
    <w:rsid w:val="007F3944"/>
    <w:rsid w:val="007F3C71"/>
    <w:rsid w:val="007F4D46"/>
    <w:rsid w:val="007F535A"/>
    <w:rsid w:val="007F537B"/>
    <w:rsid w:val="007F59DA"/>
    <w:rsid w:val="007F6D78"/>
    <w:rsid w:val="007F7A7A"/>
    <w:rsid w:val="00800118"/>
    <w:rsid w:val="00801F21"/>
    <w:rsid w:val="00802463"/>
    <w:rsid w:val="00803545"/>
    <w:rsid w:val="00803B48"/>
    <w:rsid w:val="00804319"/>
    <w:rsid w:val="00805C7E"/>
    <w:rsid w:val="00806D3A"/>
    <w:rsid w:val="008071C6"/>
    <w:rsid w:val="00807A64"/>
    <w:rsid w:val="008112ED"/>
    <w:rsid w:val="00812AD6"/>
    <w:rsid w:val="0081421F"/>
    <w:rsid w:val="00815E4C"/>
    <w:rsid w:val="00816DE4"/>
    <w:rsid w:val="00817392"/>
    <w:rsid w:val="00817D9F"/>
    <w:rsid w:val="00820027"/>
    <w:rsid w:val="008209C7"/>
    <w:rsid w:val="00822146"/>
    <w:rsid w:val="0082251D"/>
    <w:rsid w:val="00822B08"/>
    <w:rsid w:val="00822FDA"/>
    <w:rsid w:val="00823600"/>
    <w:rsid w:val="00823EA1"/>
    <w:rsid w:val="0082661E"/>
    <w:rsid w:val="00826A46"/>
    <w:rsid w:val="008276F4"/>
    <w:rsid w:val="00831C2D"/>
    <w:rsid w:val="00832067"/>
    <w:rsid w:val="008321E8"/>
    <w:rsid w:val="008329F0"/>
    <w:rsid w:val="008330AA"/>
    <w:rsid w:val="0083355F"/>
    <w:rsid w:val="008345BB"/>
    <w:rsid w:val="00834DC1"/>
    <w:rsid w:val="00835283"/>
    <w:rsid w:val="008357EA"/>
    <w:rsid w:val="008403CD"/>
    <w:rsid w:val="00841570"/>
    <w:rsid w:val="00842ECF"/>
    <w:rsid w:val="00843719"/>
    <w:rsid w:val="00843B26"/>
    <w:rsid w:val="008442B3"/>
    <w:rsid w:val="00845F6A"/>
    <w:rsid w:val="0084663F"/>
    <w:rsid w:val="00846939"/>
    <w:rsid w:val="00846CC0"/>
    <w:rsid w:val="0084743F"/>
    <w:rsid w:val="00851468"/>
    <w:rsid w:val="0085309F"/>
    <w:rsid w:val="008533FC"/>
    <w:rsid w:val="00853F03"/>
    <w:rsid w:val="00855065"/>
    <w:rsid w:val="0085697F"/>
    <w:rsid w:val="00860DEC"/>
    <w:rsid w:val="0086199A"/>
    <w:rsid w:val="00862124"/>
    <w:rsid w:val="0086261B"/>
    <w:rsid w:val="00862B33"/>
    <w:rsid w:val="008631CF"/>
    <w:rsid w:val="00864916"/>
    <w:rsid w:val="00864FEB"/>
    <w:rsid w:val="008658A9"/>
    <w:rsid w:val="00867628"/>
    <w:rsid w:val="00867869"/>
    <w:rsid w:val="00870742"/>
    <w:rsid w:val="00871B9C"/>
    <w:rsid w:val="0087326A"/>
    <w:rsid w:val="008738E3"/>
    <w:rsid w:val="0087466D"/>
    <w:rsid w:val="008751DC"/>
    <w:rsid w:val="008756EF"/>
    <w:rsid w:val="00875CFB"/>
    <w:rsid w:val="00875FF3"/>
    <w:rsid w:val="00877850"/>
    <w:rsid w:val="00877D53"/>
    <w:rsid w:val="00880645"/>
    <w:rsid w:val="00880673"/>
    <w:rsid w:val="00882B8E"/>
    <w:rsid w:val="00883D38"/>
    <w:rsid w:val="0088450E"/>
    <w:rsid w:val="0088479A"/>
    <w:rsid w:val="00884BF3"/>
    <w:rsid w:val="0088738A"/>
    <w:rsid w:val="00890119"/>
    <w:rsid w:val="00890B94"/>
    <w:rsid w:val="008916F1"/>
    <w:rsid w:val="00893EFE"/>
    <w:rsid w:val="00894E89"/>
    <w:rsid w:val="008957A9"/>
    <w:rsid w:val="008968EE"/>
    <w:rsid w:val="008969A2"/>
    <w:rsid w:val="008975A7"/>
    <w:rsid w:val="008A072D"/>
    <w:rsid w:val="008A19EB"/>
    <w:rsid w:val="008A1B73"/>
    <w:rsid w:val="008A1E87"/>
    <w:rsid w:val="008A3287"/>
    <w:rsid w:val="008A3383"/>
    <w:rsid w:val="008A4F13"/>
    <w:rsid w:val="008A52B9"/>
    <w:rsid w:val="008A5922"/>
    <w:rsid w:val="008A5DED"/>
    <w:rsid w:val="008A617C"/>
    <w:rsid w:val="008A67CD"/>
    <w:rsid w:val="008B1072"/>
    <w:rsid w:val="008B1807"/>
    <w:rsid w:val="008B1F23"/>
    <w:rsid w:val="008B1F95"/>
    <w:rsid w:val="008B1F98"/>
    <w:rsid w:val="008B2A01"/>
    <w:rsid w:val="008B41FA"/>
    <w:rsid w:val="008B437C"/>
    <w:rsid w:val="008B4DDF"/>
    <w:rsid w:val="008B54B7"/>
    <w:rsid w:val="008B584B"/>
    <w:rsid w:val="008B6EBC"/>
    <w:rsid w:val="008C0853"/>
    <w:rsid w:val="008C0D3E"/>
    <w:rsid w:val="008C1A0C"/>
    <w:rsid w:val="008C29F3"/>
    <w:rsid w:val="008C441F"/>
    <w:rsid w:val="008C6E2D"/>
    <w:rsid w:val="008C7343"/>
    <w:rsid w:val="008D0751"/>
    <w:rsid w:val="008D1C4A"/>
    <w:rsid w:val="008D2412"/>
    <w:rsid w:val="008D6C16"/>
    <w:rsid w:val="008D6F7F"/>
    <w:rsid w:val="008E0375"/>
    <w:rsid w:val="008E2C72"/>
    <w:rsid w:val="008E3601"/>
    <w:rsid w:val="008E3885"/>
    <w:rsid w:val="008E4341"/>
    <w:rsid w:val="008E4C1D"/>
    <w:rsid w:val="008E553C"/>
    <w:rsid w:val="008E7386"/>
    <w:rsid w:val="008E7979"/>
    <w:rsid w:val="008F3BF9"/>
    <w:rsid w:val="008F657A"/>
    <w:rsid w:val="008F79AF"/>
    <w:rsid w:val="008F7A9D"/>
    <w:rsid w:val="008F7F7F"/>
    <w:rsid w:val="0090252E"/>
    <w:rsid w:val="009059BB"/>
    <w:rsid w:val="0090687A"/>
    <w:rsid w:val="00907B9B"/>
    <w:rsid w:val="00907F14"/>
    <w:rsid w:val="00907FBB"/>
    <w:rsid w:val="0091011C"/>
    <w:rsid w:val="00912ED3"/>
    <w:rsid w:val="009130B2"/>
    <w:rsid w:val="009151FC"/>
    <w:rsid w:val="00917134"/>
    <w:rsid w:val="0091767F"/>
    <w:rsid w:val="00920268"/>
    <w:rsid w:val="00921C98"/>
    <w:rsid w:val="0092235E"/>
    <w:rsid w:val="009229FC"/>
    <w:rsid w:val="00923204"/>
    <w:rsid w:val="00923F20"/>
    <w:rsid w:val="00923F82"/>
    <w:rsid w:val="00924163"/>
    <w:rsid w:val="0092427F"/>
    <w:rsid w:val="009253E7"/>
    <w:rsid w:val="009254E5"/>
    <w:rsid w:val="009258CD"/>
    <w:rsid w:val="009301ED"/>
    <w:rsid w:val="00933501"/>
    <w:rsid w:val="0093363E"/>
    <w:rsid w:val="0093521B"/>
    <w:rsid w:val="00935499"/>
    <w:rsid w:val="00935F6F"/>
    <w:rsid w:val="00936F6E"/>
    <w:rsid w:val="00940AE1"/>
    <w:rsid w:val="00941FAB"/>
    <w:rsid w:val="00942D5A"/>
    <w:rsid w:val="009444B8"/>
    <w:rsid w:val="009445FA"/>
    <w:rsid w:val="00944E84"/>
    <w:rsid w:val="009452E1"/>
    <w:rsid w:val="009465B0"/>
    <w:rsid w:val="00951873"/>
    <w:rsid w:val="00951A21"/>
    <w:rsid w:val="009531BD"/>
    <w:rsid w:val="00953858"/>
    <w:rsid w:val="009548E3"/>
    <w:rsid w:val="009578AC"/>
    <w:rsid w:val="00957E2E"/>
    <w:rsid w:val="00963397"/>
    <w:rsid w:val="00963415"/>
    <w:rsid w:val="009636A5"/>
    <w:rsid w:val="00963922"/>
    <w:rsid w:val="00964AE1"/>
    <w:rsid w:val="00966329"/>
    <w:rsid w:val="009669EC"/>
    <w:rsid w:val="009719CB"/>
    <w:rsid w:val="00972A39"/>
    <w:rsid w:val="0097604F"/>
    <w:rsid w:val="009765D9"/>
    <w:rsid w:val="00976A94"/>
    <w:rsid w:val="00977F78"/>
    <w:rsid w:val="00980932"/>
    <w:rsid w:val="00981C4C"/>
    <w:rsid w:val="009829A2"/>
    <w:rsid w:val="00982A81"/>
    <w:rsid w:val="00982B4F"/>
    <w:rsid w:val="009839CF"/>
    <w:rsid w:val="00983CC2"/>
    <w:rsid w:val="0098461F"/>
    <w:rsid w:val="00987DAA"/>
    <w:rsid w:val="009908F8"/>
    <w:rsid w:val="00991226"/>
    <w:rsid w:val="00991374"/>
    <w:rsid w:val="00991E3E"/>
    <w:rsid w:val="00992839"/>
    <w:rsid w:val="00992B0B"/>
    <w:rsid w:val="00994A91"/>
    <w:rsid w:val="00995BF3"/>
    <w:rsid w:val="00997404"/>
    <w:rsid w:val="009A0FAD"/>
    <w:rsid w:val="009A3E1A"/>
    <w:rsid w:val="009A3F1B"/>
    <w:rsid w:val="009A44D6"/>
    <w:rsid w:val="009A56EB"/>
    <w:rsid w:val="009A61EA"/>
    <w:rsid w:val="009B13DC"/>
    <w:rsid w:val="009B1D81"/>
    <w:rsid w:val="009B1E71"/>
    <w:rsid w:val="009B2BE0"/>
    <w:rsid w:val="009B3679"/>
    <w:rsid w:val="009B3A8F"/>
    <w:rsid w:val="009B50BB"/>
    <w:rsid w:val="009B5309"/>
    <w:rsid w:val="009B5F3D"/>
    <w:rsid w:val="009B74ED"/>
    <w:rsid w:val="009B7F62"/>
    <w:rsid w:val="009C136C"/>
    <w:rsid w:val="009C1674"/>
    <w:rsid w:val="009C1923"/>
    <w:rsid w:val="009C1DCC"/>
    <w:rsid w:val="009C1F78"/>
    <w:rsid w:val="009C3A9D"/>
    <w:rsid w:val="009C78AE"/>
    <w:rsid w:val="009C7F25"/>
    <w:rsid w:val="009D04A3"/>
    <w:rsid w:val="009D0B1D"/>
    <w:rsid w:val="009D0B4F"/>
    <w:rsid w:val="009D1049"/>
    <w:rsid w:val="009D128A"/>
    <w:rsid w:val="009D15ED"/>
    <w:rsid w:val="009D199A"/>
    <w:rsid w:val="009D1E5A"/>
    <w:rsid w:val="009D2337"/>
    <w:rsid w:val="009D41AC"/>
    <w:rsid w:val="009D448B"/>
    <w:rsid w:val="009D48EB"/>
    <w:rsid w:val="009D4D49"/>
    <w:rsid w:val="009D5222"/>
    <w:rsid w:val="009D5D73"/>
    <w:rsid w:val="009D76A7"/>
    <w:rsid w:val="009D7E20"/>
    <w:rsid w:val="009E024C"/>
    <w:rsid w:val="009E0617"/>
    <w:rsid w:val="009E281B"/>
    <w:rsid w:val="009E2836"/>
    <w:rsid w:val="009E285E"/>
    <w:rsid w:val="009E2D6E"/>
    <w:rsid w:val="009E3A57"/>
    <w:rsid w:val="009E3F4E"/>
    <w:rsid w:val="009E47AD"/>
    <w:rsid w:val="009E732A"/>
    <w:rsid w:val="009E77A5"/>
    <w:rsid w:val="009F111C"/>
    <w:rsid w:val="009F12BB"/>
    <w:rsid w:val="009F1CE5"/>
    <w:rsid w:val="009F34AC"/>
    <w:rsid w:val="009F3859"/>
    <w:rsid w:val="009F59FB"/>
    <w:rsid w:val="009F5AF7"/>
    <w:rsid w:val="00A010B9"/>
    <w:rsid w:val="00A01562"/>
    <w:rsid w:val="00A0569A"/>
    <w:rsid w:val="00A05B1C"/>
    <w:rsid w:val="00A05F7D"/>
    <w:rsid w:val="00A06F0E"/>
    <w:rsid w:val="00A0713D"/>
    <w:rsid w:val="00A07177"/>
    <w:rsid w:val="00A107BD"/>
    <w:rsid w:val="00A110D2"/>
    <w:rsid w:val="00A113B3"/>
    <w:rsid w:val="00A12B31"/>
    <w:rsid w:val="00A134A5"/>
    <w:rsid w:val="00A15549"/>
    <w:rsid w:val="00A16C34"/>
    <w:rsid w:val="00A20199"/>
    <w:rsid w:val="00A20D09"/>
    <w:rsid w:val="00A22005"/>
    <w:rsid w:val="00A2288D"/>
    <w:rsid w:val="00A236EE"/>
    <w:rsid w:val="00A243D9"/>
    <w:rsid w:val="00A25C42"/>
    <w:rsid w:val="00A25E48"/>
    <w:rsid w:val="00A25F84"/>
    <w:rsid w:val="00A30666"/>
    <w:rsid w:val="00A308F2"/>
    <w:rsid w:val="00A3216B"/>
    <w:rsid w:val="00A3243D"/>
    <w:rsid w:val="00A34313"/>
    <w:rsid w:val="00A43305"/>
    <w:rsid w:val="00A43A13"/>
    <w:rsid w:val="00A43A8E"/>
    <w:rsid w:val="00A44257"/>
    <w:rsid w:val="00A452F6"/>
    <w:rsid w:val="00A47816"/>
    <w:rsid w:val="00A47ECF"/>
    <w:rsid w:val="00A5009F"/>
    <w:rsid w:val="00A5076C"/>
    <w:rsid w:val="00A51052"/>
    <w:rsid w:val="00A518DC"/>
    <w:rsid w:val="00A531A0"/>
    <w:rsid w:val="00A53A65"/>
    <w:rsid w:val="00A5481D"/>
    <w:rsid w:val="00A54928"/>
    <w:rsid w:val="00A5541B"/>
    <w:rsid w:val="00A55617"/>
    <w:rsid w:val="00A56486"/>
    <w:rsid w:val="00A56D3E"/>
    <w:rsid w:val="00A576AF"/>
    <w:rsid w:val="00A60A2D"/>
    <w:rsid w:val="00A62F6E"/>
    <w:rsid w:val="00A6538A"/>
    <w:rsid w:val="00A65C73"/>
    <w:rsid w:val="00A66095"/>
    <w:rsid w:val="00A7286F"/>
    <w:rsid w:val="00A72D65"/>
    <w:rsid w:val="00A733D2"/>
    <w:rsid w:val="00A7381D"/>
    <w:rsid w:val="00A739EC"/>
    <w:rsid w:val="00A73B85"/>
    <w:rsid w:val="00A73E34"/>
    <w:rsid w:val="00A822BE"/>
    <w:rsid w:val="00A82532"/>
    <w:rsid w:val="00A83F3C"/>
    <w:rsid w:val="00A843CF"/>
    <w:rsid w:val="00A84999"/>
    <w:rsid w:val="00A84C42"/>
    <w:rsid w:val="00A85382"/>
    <w:rsid w:val="00A8566B"/>
    <w:rsid w:val="00A85AC4"/>
    <w:rsid w:val="00A8657F"/>
    <w:rsid w:val="00A86AFE"/>
    <w:rsid w:val="00A87888"/>
    <w:rsid w:val="00A901CF"/>
    <w:rsid w:val="00A91888"/>
    <w:rsid w:val="00A9255C"/>
    <w:rsid w:val="00A92C74"/>
    <w:rsid w:val="00A936EB"/>
    <w:rsid w:val="00A93D7A"/>
    <w:rsid w:val="00A93F15"/>
    <w:rsid w:val="00A942B2"/>
    <w:rsid w:val="00A9430E"/>
    <w:rsid w:val="00A9518C"/>
    <w:rsid w:val="00A9637F"/>
    <w:rsid w:val="00A96661"/>
    <w:rsid w:val="00A969B0"/>
    <w:rsid w:val="00AA0CB6"/>
    <w:rsid w:val="00AA1082"/>
    <w:rsid w:val="00AA355D"/>
    <w:rsid w:val="00AA56D4"/>
    <w:rsid w:val="00AA5776"/>
    <w:rsid w:val="00AA64FB"/>
    <w:rsid w:val="00AA685B"/>
    <w:rsid w:val="00AA6A65"/>
    <w:rsid w:val="00AA76F6"/>
    <w:rsid w:val="00AB0035"/>
    <w:rsid w:val="00AB2641"/>
    <w:rsid w:val="00AB3100"/>
    <w:rsid w:val="00AB3BE9"/>
    <w:rsid w:val="00AB4084"/>
    <w:rsid w:val="00AB421D"/>
    <w:rsid w:val="00AB4684"/>
    <w:rsid w:val="00AB546A"/>
    <w:rsid w:val="00AB6215"/>
    <w:rsid w:val="00AB70C0"/>
    <w:rsid w:val="00AC1AF0"/>
    <w:rsid w:val="00AC5F82"/>
    <w:rsid w:val="00AC719B"/>
    <w:rsid w:val="00AC7669"/>
    <w:rsid w:val="00AC771C"/>
    <w:rsid w:val="00AD01DC"/>
    <w:rsid w:val="00AD0FAA"/>
    <w:rsid w:val="00AD1C24"/>
    <w:rsid w:val="00AD1D20"/>
    <w:rsid w:val="00AD20CB"/>
    <w:rsid w:val="00AD2268"/>
    <w:rsid w:val="00AD27CE"/>
    <w:rsid w:val="00AD3D19"/>
    <w:rsid w:val="00AD4310"/>
    <w:rsid w:val="00AD4486"/>
    <w:rsid w:val="00AD47AB"/>
    <w:rsid w:val="00AD6991"/>
    <w:rsid w:val="00AD71F0"/>
    <w:rsid w:val="00AD7DA4"/>
    <w:rsid w:val="00AD7ED0"/>
    <w:rsid w:val="00AD7F38"/>
    <w:rsid w:val="00AE194C"/>
    <w:rsid w:val="00AE2C3E"/>
    <w:rsid w:val="00AE3198"/>
    <w:rsid w:val="00AE5EFE"/>
    <w:rsid w:val="00AE771D"/>
    <w:rsid w:val="00AE7721"/>
    <w:rsid w:val="00AF054B"/>
    <w:rsid w:val="00AF1811"/>
    <w:rsid w:val="00AF1D12"/>
    <w:rsid w:val="00AF3E70"/>
    <w:rsid w:val="00AF4D65"/>
    <w:rsid w:val="00AF57E4"/>
    <w:rsid w:val="00AF6103"/>
    <w:rsid w:val="00AF7079"/>
    <w:rsid w:val="00AF74F7"/>
    <w:rsid w:val="00AF7ABE"/>
    <w:rsid w:val="00B03D7C"/>
    <w:rsid w:val="00B0428D"/>
    <w:rsid w:val="00B04908"/>
    <w:rsid w:val="00B0632A"/>
    <w:rsid w:val="00B10C48"/>
    <w:rsid w:val="00B10D5C"/>
    <w:rsid w:val="00B1179D"/>
    <w:rsid w:val="00B1182D"/>
    <w:rsid w:val="00B133C6"/>
    <w:rsid w:val="00B1547D"/>
    <w:rsid w:val="00B200ED"/>
    <w:rsid w:val="00B205D8"/>
    <w:rsid w:val="00B20C67"/>
    <w:rsid w:val="00B2205D"/>
    <w:rsid w:val="00B224B3"/>
    <w:rsid w:val="00B256B5"/>
    <w:rsid w:val="00B275C8"/>
    <w:rsid w:val="00B30C2A"/>
    <w:rsid w:val="00B30D86"/>
    <w:rsid w:val="00B316E3"/>
    <w:rsid w:val="00B324C7"/>
    <w:rsid w:val="00B33FFA"/>
    <w:rsid w:val="00B351D0"/>
    <w:rsid w:val="00B356CE"/>
    <w:rsid w:val="00B37A39"/>
    <w:rsid w:val="00B410DD"/>
    <w:rsid w:val="00B41503"/>
    <w:rsid w:val="00B42103"/>
    <w:rsid w:val="00B43E6B"/>
    <w:rsid w:val="00B449B0"/>
    <w:rsid w:val="00B501A6"/>
    <w:rsid w:val="00B50E77"/>
    <w:rsid w:val="00B524AF"/>
    <w:rsid w:val="00B538C9"/>
    <w:rsid w:val="00B53D6B"/>
    <w:rsid w:val="00B540DA"/>
    <w:rsid w:val="00B542AC"/>
    <w:rsid w:val="00B54EA1"/>
    <w:rsid w:val="00B551AF"/>
    <w:rsid w:val="00B60EDF"/>
    <w:rsid w:val="00B61646"/>
    <w:rsid w:val="00B629A0"/>
    <w:rsid w:val="00B62A08"/>
    <w:rsid w:val="00B63D09"/>
    <w:rsid w:val="00B650E7"/>
    <w:rsid w:val="00B65CD8"/>
    <w:rsid w:val="00B6683F"/>
    <w:rsid w:val="00B6745F"/>
    <w:rsid w:val="00B67B89"/>
    <w:rsid w:val="00B67DD0"/>
    <w:rsid w:val="00B70BAB"/>
    <w:rsid w:val="00B72488"/>
    <w:rsid w:val="00B735D5"/>
    <w:rsid w:val="00B7459D"/>
    <w:rsid w:val="00B74AA7"/>
    <w:rsid w:val="00B75912"/>
    <w:rsid w:val="00B80EFC"/>
    <w:rsid w:val="00B8233D"/>
    <w:rsid w:val="00B854E0"/>
    <w:rsid w:val="00B855FD"/>
    <w:rsid w:val="00B8670E"/>
    <w:rsid w:val="00B87E0F"/>
    <w:rsid w:val="00B901A4"/>
    <w:rsid w:val="00B90EF8"/>
    <w:rsid w:val="00B91967"/>
    <w:rsid w:val="00B92E8A"/>
    <w:rsid w:val="00B934AF"/>
    <w:rsid w:val="00B94DBA"/>
    <w:rsid w:val="00B96CFF"/>
    <w:rsid w:val="00BA0705"/>
    <w:rsid w:val="00BA154F"/>
    <w:rsid w:val="00BA1C20"/>
    <w:rsid w:val="00BA25FA"/>
    <w:rsid w:val="00BA5628"/>
    <w:rsid w:val="00BA57D4"/>
    <w:rsid w:val="00BA6FF0"/>
    <w:rsid w:val="00BA7F50"/>
    <w:rsid w:val="00BB0C06"/>
    <w:rsid w:val="00BB11D7"/>
    <w:rsid w:val="00BB1418"/>
    <w:rsid w:val="00BB253A"/>
    <w:rsid w:val="00BB3F3B"/>
    <w:rsid w:val="00BC0119"/>
    <w:rsid w:val="00BC1426"/>
    <w:rsid w:val="00BC15D9"/>
    <w:rsid w:val="00BC16A3"/>
    <w:rsid w:val="00BC227F"/>
    <w:rsid w:val="00BC261C"/>
    <w:rsid w:val="00BC308B"/>
    <w:rsid w:val="00BC3691"/>
    <w:rsid w:val="00BC36F5"/>
    <w:rsid w:val="00BC3D43"/>
    <w:rsid w:val="00BC6DB9"/>
    <w:rsid w:val="00BC7978"/>
    <w:rsid w:val="00BC79BA"/>
    <w:rsid w:val="00BC7A15"/>
    <w:rsid w:val="00BD43DF"/>
    <w:rsid w:val="00BD478A"/>
    <w:rsid w:val="00BD4F6B"/>
    <w:rsid w:val="00BD5344"/>
    <w:rsid w:val="00BD6FE1"/>
    <w:rsid w:val="00BE0191"/>
    <w:rsid w:val="00BE031F"/>
    <w:rsid w:val="00BE13FF"/>
    <w:rsid w:val="00BE18F0"/>
    <w:rsid w:val="00BE1F18"/>
    <w:rsid w:val="00BE2B53"/>
    <w:rsid w:val="00BE3793"/>
    <w:rsid w:val="00BE4320"/>
    <w:rsid w:val="00BE4CA7"/>
    <w:rsid w:val="00BE4EBF"/>
    <w:rsid w:val="00BE6133"/>
    <w:rsid w:val="00BE6BA7"/>
    <w:rsid w:val="00BE6EB0"/>
    <w:rsid w:val="00BE7B56"/>
    <w:rsid w:val="00BE7B97"/>
    <w:rsid w:val="00BF2083"/>
    <w:rsid w:val="00BF2178"/>
    <w:rsid w:val="00BF2450"/>
    <w:rsid w:val="00BF253A"/>
    <w:rsid w:val="00BF2B85"/>
    <w:rsid w:val="00BF437F"/>
    <w:rsid w:val="00BF66CB"/>
    <w:rsid w:val="00BF6EAD"/>
    <w:rsid w:val="00BF7E9D"/>
    <w:rsid w:val="00C01976"/>
    <w:rsid w:val="00C0205A"/>
    <w:rsid w:val="00C02383"/>
    <w:rsid w:val="00C02B4F"/>
    <w:rsid w:val="00C04204"/>
    <w:rsid w:val="00C06685"/>
    <w:rsid w:val="00C11601"/>
    <w:rsid w:val="00C12840"/>
    <w:rsid w:val="00C12C77"/>
    <w:rsid w:val="00C13AB9"/>
    <w:rsid w:val="00C13E63"/>
    <w:rsid w:val="00C14123"/>
    <w:rsid w:val="00C14459"/>
    <w:rsid w:val="00C144C8"/>
    <w:rsid w:val="00C14784"/>
    <w:rsid w:val="00C15EC3"/>
    <w:rsid w:val="00C16066"/>
    <w:rsid w:val="00C1761F"/>
    <w:rsid w:val="00C17908"/>
    <w:rsid w:val="00C226C0"/>
    <w:rsid w:val="00C23896"/>
    <w:rsid w:val="00C239C4"/>
    <w:rsid w:val="00C24164"/>
    <w:rsid w:val="00C24565"/>
    <w:rsid w:val="00C25FF4"/>
    <w:rsid w:val="00C26685"/>
    <w:rsid w:val="00C26EAA"/>
    <w:rsid w:val="00C274F9"/>
    <w:rsid w:val="00C27683"/>
    <w:rsid w:val="00C27CA2"/>
    <w:rsid w:val="00C361FE"/>
    <w:rsid w:val="00C36403"/>
    <w:rsid w:val="00C3665B"/>
    <w:rsid w:val="00C4032D"/>
    <w:rsid w:val="00C41105"/>
    <w:rsid w:val="00C41E3C"/>
    <w:rsid w:val="00C41E9D"/>
    <w:rsid w:val="00C42424"/>
    <w:rsid w:val="00C437EC"/>
    <w:rsid w:val="00C439DF"/>
    <w:rsid w:val="00C4526A"/>
    <w:rsid w:val="00C457D8"/>
    <w:rsid w:val="00C47495"/>
    <w:rsid w:val="00C47B7A"/>
    <w:rsid w:val="00C50EBE"/>
    <w:rsid w:val="00C51C9A"/>
    <w:rsid w:val="00C5365C"/>
    <w:rsid w:val="00C544B1"/>
    <w:rsid w:val="00C570ED"/>
    <w:rsid w:val="00C572DE"/>
    <w:rsid w:val="00C6164B"/>
    <w:rsid w:val="00C6238E"/>
    <w:rsid w:val="00C62BFA"/>
    <w:rsid w:val="00C6462B"/>
    <w:rsid w:val="00C65643"/>
    <w:rsid w:val="00C671B8"/>
    <w:rsid w:val="00C70933"/>
    <w:rsid w:val="00C71231"/>
    <w:rsid w:val="00C71B71"/>
    <w:rsid w:val="00C743DB"/>
    <w:rsid w:val="00C74998"/>
    <w:rsid w:val="00C74AF9"/>
    <w:rsid w:val="00C77351"/>
    <w:rsid w:val="00C8046F"/>
    <w:rsid w:val="00C80ACF"/>
    <w:rsid w:val="00C81237"/>
    <w:rsid w:val="00C815BF"/>
    <w:rsid w:val="00C82BF3"/>
    <w:rsid w:val="00C83233"/>
    <w:rsid w:val="00C83868"/>
    <w:rsid w:val="00C859A0"/>
    <w:rsid w:val="00C85F8B"/>
    <w:rsid w:val="00C86418"/>
    <w:rsid w:val="00C86A70"/>
    <w:rsid w:val="00C87B78"/>
    <w:rsid w:val="00C87BDA"/>
    <w:rsid w:val="00C90143"/>
    <w:rsid w:val="00C9022D"/>
    <w:rsid w:val="00C90F76"/>
    <w:rsid w:val="00C92928"/>
    <w:rsid w:val="00C936E5"/>
    <w:rsid w:val="00C948AA"/>
    <w:rsid w:val="00C949A1"/>
    <w:rsid w:val="00C94C84"/>
    <w:rsid w:val="00C963E2"/>
    <w:rsid w:val="00CA10A0"/>
    <w:rsid w:val="00CA1982"/>
    <w:rsid w:val="00CA2339"/>
    <w:rsid w:val="00CA27D7"/>
    <w:rsid w:val="00CA51E0"/>
    <w:rsid w:val="00CA5B19"/>
    <w:rsid w:val="00CA6600"/>
    <w:rsid w:val="00CA7161"/>
    <w:rsid w:val="00CB0081"/>
    <w:rsid w:val="00CB00C1"/>
    <w:rsid w:val="00CB076F"/>
    <w:rsid w:val="00CB0D1B"/>
    <w:rsid w:val="00CB20F0"/>
    <w:rsid w:val="00CB2372"/>
    <w:rsid w:val="00CB2D45"/>
    <w:rsid w:val="00CB30A0"/>
    <w:rsid w:val="00CB359B"/>
    <w:rsid w:val="00CB3D79"/>
    <w:rsid w:val="00CB3DD1"/>
    <w:rsid w:val="00CB3FC5"/>
    <w:rsid w:val="00CB4497"/>
    <w:rsid w:val="00CB48ED"/>
    <w:rsid w:val="00CB6AC1"/>
    <w:rsid w:val="00CC05FD"/>
    <w:rsid w:val="00CC06B0"/>
    <w:rsid w:val="00CC07B2"/>
    <w:rsid w:val="00CC083B"/>
    <w:rsid w:val="00CC19E8"/>
    <w:rsid w:val="00CC49F0"/>
    <w:rsid w:val="00CC4ABE"/>
    <w:rsid w:val="00CC676A"/>
    <w:rsid w:val="00CC68BD"/>
    <w:rsid w:val="00CD1225"/>
    <w:rsid w:val="00CD2C60"/>
    <w:rsid w:val="00CD3DC9"/>
    <w:rsid w:val="00CD4062"/>
    <w:rsid w:val="00CD5634"/>
    <w:rsid w:val="00CD591B"/>
    <w:rsid w:val="00CD5B51"/>
    <w:rsid w:val="00CD661B"/>
    <w:rsid w:val="00CD6C44"/>
    <w:rsid w:val="00CE10AE"/>
    <w:rsid w:val="00CE1A41"/>
    <w:rsid w:val="00CE357F"/>
    <w:rsid w:val="00CE42FC"/>
    <w:rsid w:val="00CE669A"/>
    <w:rsid w:val="00CE74FD"/>
    <w:rsid w:val="00CE7FC7"/>
    <w:rsid w:val="00CF022F"/>
    <w:rsid w:val="00CF043D"/>
    <w:rsid w:val="00CF05C1"/>
    <w:rsid w:val="00CF174E"/>
    <w:rsid w:val="00CF18AF"/>
    <w:rsid w:val="00CF1A34"/>
    <w:rsid w:val="00CF1BB2"/>
    <w:rsid w:val="00CF47B3"/>
    <w:rsid w:val="00CF5146"/>
    <w:rsid w:val="00CF56CE"/>
    <w:rsid w:val="00CF6337"/>
    <w:rsid w:val="00CF6A83"/>
    <w:rsid w:val="00D00176"/>
    <w:rsid w:val="00D003D6"/>
    <w:rsid w:val="00D00D3A"/>
    <w:rsid w:val="00D01537"/>
    <w:rsid w:val="00D0165F"/>
    <w:rsid w:val="00D02AB5"/>
    <w:rsid w:val="00D03CFE"/>
    <w:rsid w:val="00D045C5"/>
    <w:rsid w:val="00D06B41"/>
    <w:rsid w:val="00D06CBA"/>
    <w:rsid w:val="00D10BFB"/>
    <w:rsid w:val="00D11780"/>
    <w:rsid w:val="00D130BC"/>
    <w:rsid w:val="00D13619"/>
    <w:rsid w:val="00D13B92"/>
    <w:rsid w:val="00D148CA"/>
    <w:rsid w:val="00D15E3A"/>
    <w:rsid w:val="00D160A1"/>
    <w:rsid w:val="00D17460"/>
    <w:rsid w:val="00D20346"/>
    <w:rsid w:val="00D21359"/>
    <w:rsid w:val="00D22A10"/>
    <w:rsid w:val="00D26947"/>
    <w:rsid w:val="00D26E9F"/>
    <w:rsid w:val="00D27EA2"/>
    <w:rsid w:val="00D27FCF"/>
    <w:rsid w:val="00D30228"/>
    <w:rsid w:val="00D30593"/>
    <w:rsid w:val="00D311C4"/>
    <w:rsid w:val="00D319BF"/>
    <w:rsid w:val="00D34DF1"/>
    <w:rsid w:val="00D35B44"/>
    <w:rsid w:val="00D368DC"/>
    <w:rsid w:val="00D37A8E"/>
    <w:rsid w:val="00D37BA9"/>
    <w:rsid w:val="00D40F1A"/>
    <w:rsid w:val="00D40F74"/>
    <w:rsid w:val="00D415E7"/>
    <w:rsid w:val="00D42401"/>
    <w:rsid w:val="00D42A4C"/>
    <w:rsid w:val="00D433D3"/>
    <w:rsid w:val="00D4361E"/>
    <w:rsid w:val="00D4429F"/>
    <w:rsid w:val="00D44337"/>
    <w:rsid w:val="00D4648B"/>
    <w:rsid w:val="00D46E84"/>
    <w:rsid w:val="00D471DD"/>
    <w:rsid w:val="00D47637"/>
    <w:rsid w:val="00D51A5A"/>
    <w:rsid w:val="00D51EDD"/>
    <w:rsid w:val="00D5208D"/>
    <w:rsid w:val="00D52A2E"/>
    <w:rsid w:val="00D54C78"/>
    <w:rsid w:val="00D555A7"/>
    <w:rsid w:val="00D56A08"/>
    <w:rsid w:val="00D57064"/>
    <w:rsid w:val="00D61AD2"/>
    <w:rsid w:val="00D625B6"/>
    <w:rsid w:val="00D63B4A"/>
    <w:rsid w:val="00D63C85"/>
    <w:rsid w:val="00D65A4B"/>
    <w:rsid w:val="00D65BDB"/>
    <w:rsid w:val="00D66200"/>
    <w:rsid w:val="00D66704"/>
    <w:rsid w:val="00D67224"/>
    <w:rsid w:val="00D67F92"/>
    <w:rsid w:val="00D722A0"/>
    <w:rsid w:val="00D756A1"/>
    <w:rsid w:val="00D802F6"/>
    <w:rsid w:val="00D811E9"/>
    <w:rsid w:val="00D81951"/>
    <w:rsid w:val="00D82F24"/>
    <w:rsid w:val="00D83DC8"/>
    <w:rsid w:val="00D840A2"/>
    <w:rsid w:val="00D85CE4"/>
    <w:rsid w:val="00D86B3B"/>
    <w:rsid w:val="00D87A6D"/>
    <w:rsid w:val="00D90FE1"/>
    <w:rsid w:val="00D91A68"/>
    <w:rsid w:val="00D963BD"/>
    <w:rsid w:val="00DA06AC"/>
    <w:rsid w:val="00DA09A0"/>
    <w:rsid w:val="00DA1441"/>
    <w:rsid w:val="00DA207C"/>
    <w:rsid w:val="00DA310F"/>
    <w:rsid w:val="00DA3718"/>
    <w:rsid w:val="00DA582B"/>
    <w:rsid w:val="00DA6D3A"/>
    <w:rsid w:val="00DA6D6D"/>
    <w:rsid w:val="00DB0A19"/>
    <w:rsid w:val="00DB1D81"/>
    <w:rsid w:val="00DB35EF"/>
    <w:rsid w:val="00DB382A"/>
    <w:rsid w:val="00DB40CF"/>
    <w:rsid w:val="00DB4338"/>
    <w:rsid w:val="00DB69CA"/>
    <w:rsid w:val="00DB6C24"/>
    <w:rsid w:val="00DB7DAB"/>
    <w:rsid w:val="00DC0362"/>
    <w:rsid w:val="00DC105F"/>
    <w:rsid w:val="00DC11C3"/>
    <w:rsid w:val="00DC12F1"/>
    <w:rsid w:val="00DC2A6B"/>
    <w:rsid w:val="00DC2E6E"/>
    <w:rsid w:val="00DC3033"/>
    <w:rsid w:val="00DC3333"/>
    <w:rsid w:val="00DC3ABC"/>
    <w:rsid w:val="00DC4EA8"/>
    <w:rsid w:val="00DD147B"/>
    <w:rsid w:val="00DD23CF"/>
    <w:rsid w:val="00DD3EF9"/>
    <w:rsid w:val="00DD4519"/>
    <w:rsid w:val="00DD683F"/>
    <w:rsid w:val="00DD691A"/>
    <w:rsid w:val="00DE16A2"/>
    <w:rsid w:val="00DE3943"/>
    <w:rsid w:val="00DE5D06"/>
    <w:rsid w:val="00DE7CDF"/>
    <w:rsid w:val="00DF0630"/>
    <w:rsid w:val="00DF0800"/>
    <w:rsid w:val="00DF4127"/>
    <w:rsid w:val="00DF4358"/>
    <w:rsid w:val="00DF5FB2"/>
    <w:rsid w:val="00DF7553"/>
    <w:rsid w:val="00E0026E"/>
    <w:rsid w:val="00E026EF"/>
    <w:rsid w:val="00E046C1"/>
    <w:rsid w:val="00E05307"/>
    <w:rsid w:val="00E059D5"/>
    <w:rsid w:val="00E07A6F"/>
    <w:rsid w:val="00E07EF4"/>
    <w:rsid w:val="00E110F4"/>
    <w:rsid w:val="00E115DF"/>
    <w:rsid w:val="00E1216E"/>
    <w:rsid w:val="00E12DDA"/>
    <w:rsid w:val="00E131E3"/>
    <w:rsid w:val="00E13E1A"/>
    <w:rsid w:val="00E15FB0"/>
    <w:rsid w:val="00E203C6"/>
    <w:rsid w:val="00E209FA"/>
    <w:rsid w:val="00E20B14"/>
    <w:rsid w:val="00E2137B"/>
    <w:rsid w:val="00E21983"/>
    <w:rsid w:val="00E21B5F"/>
    <w:rsid w:val="00E23500"/>
    <w:rsid w:val="00E241D7"/>
    <w:rsid w:val="00E24787"/>
    <w:rsid w:val="00E256D5"/>
    <w:rsid w:val="00E2587B"/>
    <w:rsid w:val="00E25A0B"/>
    <w:rsid w:val="00E2636A"/>
    <w:rsid w:val="00E27D6F"/>
    <w:rsid w:val="00E30146"/>
    <w:rsid w:val="00E310D2"/>
    <w:rsid w:val="00E31BB0"/>
    <w:rsid w:val="00E32C54"/>
    <w:rsid w:val="00E3442A"/>
    <w:rsid w:val="00E35096"/>
    <w:rsid w:val="00E36F4A"/>
    <w:rsid w:val="00E37821"/>
    <w:rsid w:val="00E41E0B"/>
    <w:rsid w:val="00E4204F"/>
    <w:rsid w:val="00E423E2"/>
    <w:rsid w:val="00E427FC"/>
    <w:rsid w:val="00E44DCE"/>
    <w:rsid w:val="00E45C5E"/>
    <w:rsid w:val="00E469A6"/>
    <w:rsid w:val="00E46D06"/>
    <w:rsid w:val="00E477B3"/>
    <w:rsid w:val="00E47E15"/>
    <w:rsid w:val="00E5096A"/>
    <w:rsid w:val="00E514C3"/>
    <w:rsid w:val="00E51AE2"/>
    <w:rsid w:val="00E53561"/>
    <w:rsid w:val="00E53F1E"/>
    <w:rsid w:val="00E54626"/>
    <w:rsid w:val="00E5495D"/>
    <w:rsid w:val="00E56E5A"/>
    <w:rsid w:val="00E56F3C"/>
    <w:rsid w:val="00E57FB8"/>
    <w:rsid w:val="00E6075B"/>
    <w:rsid w:val="00E61B14"/>
    <w:rsid w:val="00E62DBB"/>
    <w:rsid w:val="00E631BE"/>
    <w:rsid w:val="00E63D6C"/>
    <w:rsid w:val="00E64147"/>
    <w:rsid w:val="00E677A6"/>
    <w:rsid w:val="00E717B7"/>
    <w:rsid w:val="00E72BEA"/>
    <w:rsid w:val="00E737E2"/>
    <w:rsid w:val="00E73AFD"/>
    <w:rsid w:val="00E7551B"/>
    <w:rsid w:val="00E76BEC"/>
    <w:rsid w:val="00E77215"/>
    <w:rsid w:val="00E77FD7"/>
    <w:rsid w:val="00E81BCD"/>
    <w:rsid w:val="00E821AC"/>
    <w:rsid w:val="00E82C3A"/>
    <w:rsid w:val="00E8302C"/>
    <w:rsid w:val="00E848C7"/>
    <w:rsid w:val="00E84E67"/>
    <w:rsid w:val="00E86E83"/>
    <w:rsid w:val="00E903FB"/>
    <w:rsid w:val="00E91148"/>
    <w:rsid w:val="00E9132E"/>
    <w:rsid w:val="00E9272B"/>
    <w:rsid w:val="00E973F4"/>
    <w:rsid w:val="00EA368F"/>
    <w:rsid w:val="00EA39FA"/>
    <w:rsid w:val="00EA4AC6"/>
    <w:rsid w:val="00EA4B27"/>
    <w:rsid w:val="00EA4F92"/>
    <w:rsid w:val="00EA5F9A"/>
    <w:rsid w:val="00EA6EB8"/>
    <w:rsid w:val="00EB23FF"/>
    <w:rsid w:val="00EB352F"/>
    <w:rsid w:val="00EB7370"/>
    <w:rsid w:val="00EC2FEF"/>
    <w:rsid w:val="00EC307A"/>
    <w:rsid w:val="00EC3846"/>
    <w:rsid w:val="00EC3B2B"/>
    <w:rsid w:val="00EC4783"/>
    <w:rsid w:val="00EC5B9B"/>
    <w:rsid w:val="00EC698C"/>
    <w:rsid w:val="00EC7910"/>
    <w:rsid w:val="00ED1058"/>
    <w:rsid w:val="00ED263E"/>
    <w:rsid w:val="00ED35A3"/>
    <w:rsid w:val="00ED43F8"/>
    <w:rsid w:val="00ED44AB"/>
    <w:rsid w:val="00ED59FF"/>
    <w:rsid w:val="00ED6FAD"/>
    <w:rsid w:val="00ED79FC"/>
    <w:rsid w:val="00EE0D72"/>
    <w:rsid w:val="00EE0DC9"/>
    <w:rsid w:val="00EE324A"/>
    <w:rsid w:val="00EE59EB"/>
    <w:rsid w:val="00EE5A33"/>
    <w:rsid w:val="00EE755F"/>
    <w:rsid w:val="00EE7A3B"/>
    <w:rsid w:val="00EF42D5"/>
    <w:rsid w:val="00EF49A8"/>
    <w:rsid w:val="00EF5E11"/>
    <w:rsid w:val="00EF696A"/>
    <w:rsid w:val="00F00850"/>
    <w:rsid w:val="00F00ECC"/>
    <w:rsid w:val="00F0128E"/>
    <w:rsid w:val="00F012A3"/>
    <w:rsid w:val="00F02A41"/>
    <w:rsid w:val="00F02A5C"/>
    <w:rsid w:val="00F0333B"/>
    <w:rsid w:val="00F03554"/>
    <w:rsid w:val="00F04623"/>
    <w:rsid w:val="00F05583"/>
    <w:rsid w:val="00F057E3"/>
    <w:rsid w:val="00F05AC5"/>
    <w:rsid w:val="00F07B5B"/>
    <w:rsid w:val="00F07E0A"/>
    <w:rsid w:val="00F07F02"/>
    <w:rsid w:val="00F10CB3"/>
    <w:rsid w:val="00F10E3B"/>
    <w:rsid w:val="00F11656"/>
    <w:rsid w:val="00F11942"/>
    <w:rsid w:val="00F11C8D"/>
    <w:rsid w:val="00F140F1"/>
    <w:rsid w:val="00F149E2"/>
    <w:rsid w:val="00F1609C"/>
    <w:rsid w:val="00F17410"/>
    <w:rsid w:val="00F17B42"/>
    <w:rsid w:val="00F17B71"/>
    <w:rsid w:val="00F20D52"/>
    <w:rsid w:val="00F2104D"/>
    <w:rsid w:val="00F2231C"/>
    <w:rsid w:val="00F22E01"/>
    <w:rsid w:val="00F2321A"/>
    <w:rsid w:val="00F23C63"/>
    <w:rsid w:val="00F23D21"/>
    <w:rsid w:val="00F258F0"/>
    <w:rsid w:val="00F26F54"/>
    <w:rsid w:val="00F27F12"/>
    <w:rsid w:val="00F314D9"/>
    <w:rsid w:val="00F31C78"/>
    <w:rsid w:val="00F31FF4"/>
    <w:rsid w:val="00F324FA"/>
    <w:rsid w:val="00F338B7"/>
    <w:rsid w:val="00F33A2B"/>
    <w:rsid w:val="00F342BE"/>
    <w:rsid w:val="00F34413"/>
    <w:rsid w:val="00F3639D"/>
    <w:rsid w:val="00F36591"/>
    <w:rsid w:val="00F37A2E"/>
    <w:rsid w:val="00F426DF"/>
    <w:rsid w:val="00F4370A"/>
    <w:rsid w:val="00F43D2E"/>
    <w:rsid w:val="00F43F0C"/>
    <w:rsid w:val="00F440AC"/>
    <w:rsid w:val="00F45F30"/>
    <w:rsid w:val="00F460B7"/>
    <w:rsid w:val="00F46373"/>
    <w:rsid w:val="00F463E8"/>
    <w:rsid w:val="00F5154B"/>
    <w:rsid w:val="00F5312C"/>
    <w:rsid w:val="00F53A4F"/>
    <w:rsid w:val="00F55807"/>
    <w:rsid w:val="00F55907"/>
    <w:rsid w:val="00F55F52"/>
    <w:rsid w:val="00F5642C"/>
    <w:rsid w:val="00F5666D"/>
    <w:rsid w:val="00F57812"/>
    <w:rsid w:val="00F6056A"/>
    <w:rsid w:val="00F60D65"/>
    <w:rsid w:val="00F61573"/>
    <w:rsid w:val="00F632C8"/>
    <w:rsid w:val="00F65228"/>
    <w:rsid w:val="00F6543C"/>
    <w:rsid w:val="00F65D9A"/>
    <w:rsid w:val="00F67186"/>
    <w:rsid w:val="00F731F1"/>
    <w:rsid w:val="00F7507F"/>
    <w:rsid w:val="00F76795"/>
    <w:rsid w:val="00F76C15"/>
    <w:rsid w:val="00F774C8"/>
    <w:rsid w:val="00F777A1"/>
    <w:rsid w:val="00F80792"/>
    <w:rsid w:val="00F830B5"/>
    <w:rsid w:val="00F83AE0"/>
    <w:rsid w:val="00F84BDB"/>
    <w:rsid w:val="00F8568C"/>
    <w:rsid w:val="00F86447"/>
    <w:rsid w:val="00F87869"/>
    <w:rsid w:val="00F87BC4"/>
    <w:rsid w:val="00F90204"/>
    <w:rsid w:val="00F91382"/>
    <w:rsid w:val="00F915C5"/>
    <w:rsid w:val="00F9202B"/>
    <w:rsid w:val="00F9418D"/>
    <w:rsid w:val="00F95499"/>
    <w:rsid w:val="00F95FFC"/>
    <w:rsid w:val="00F9635A"/>
    <w:rsid w:val="00FA01BB"/>
    <w:rsid w:val="00FA0FD9"/>
    <w:rsid w:val="00FA16B2"/>
    <w:rsid w:val="00FA1A56"/>
    <w:rsid w:val="00FA235C"/>
    <w:rsid w:val="00FA4E49"/>
    <w:rsid w:val="00FA5B83"/>
    <w:rsid w:val="00FA5C62"/>
    <w:rsid w:val="00FB08F3"/>
    <w:rsid w:val="00FB1957"/>
    <w:rsid w:val="00FB1DFF"/>
    <w:rsid w:val="00FB1E99"/>
    <w:rsid w:val="00FB3008"/>
    <w:rsid w:val="00FB3104"/>
    <w:rsid w:val="00FB3335"/>
    <w:rsid w:val="00FB33D8"/>
    <w:rsid w:val="00FB34D3"/>
    <w:rsid w:val="00FB47A5"/>
    <w:rsid w:val="00FB6208"/>
    <w:rsid w:val="00FC0B5F"/>
    <w:rsid w:val="00FC11A6"/>
    <w:rsid w:val="00FC1DE1"/>
    <w:rsid w:val="00FC3914"/>
    <w:rsid w:val="00FC5A07"/>
    <w:rsid w:val="00FC5B66"/>
    <w:rsid w:val="00FC6B14"/>
    <w:rsid w:val="00FD1265"/>
    <w:rsid w:val="00FD1861"/>
    <w:rsid w:val="00FD1F9A"/>
    <w:rsid w:val="00FD2092"/>
    <w:rsid w:val="00FD3B66"/>
    <w:rsid w:val="00FD6053"/>
    <w:rsid w:val="00FD67AC"/>
    <w:rsid w:val="00FD71EB"/>
    <w:rsid w:val="00FD71FF"/>
    <w:rsid w:val="00FD742D"/>
    <w:rsid w:val="00FD75B0"/>
    <w:rsid w:val="00FE260A"/>
    <w:rsid w:val="00FE2AC4"/>
    <w:rsid w:val="00FE5178"/>
    <w:rsid w:val="00FE621E"/>
    <w:rsid w:val="00FE65A9"/>
    <w:rsid w:val="00FF03AA"/>
    <w:rsid w:val="00FF135B"/>
    <w:rsid w:val="00FF1B3E"/>
    <w:rsid w:val="00FF224C"/>
    <w:rsid w:val="00FF3369"/>
    <w:rsid w:val="00FF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BEA0F"/>
  <w15:chartTrackingRefBased/>
  <w15:docId w15:val="{C702F588-68AB-47C4-A840-F16CC18D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005"/>
    <w:pPr>
      <w:spacing w:after="200" w:line="276" w:lineRule="auto"/>
    </w:pPr>
  </w:style>
  <w:style w:type="paragraph" w:styleId="Heading1">
    <w:name w:val="heading 1"/>
    <w:basedOn w:val="Normal"/>
    <w:next w:val="Normal"/>
    <w:link w:val="Heading1Char"/>
    <w:qFormat/>
    <w:rsid w:val="00923F20"/>
    <w:pPr>
      <w:keepNext/>
      <w:keepLines/>
      <w:numPr>
        <w:numId w:val="1"/>
      </w:numPr>
      <w:spacing w:before="200" w:after="240" w:line="360" w:lineRule="auto"/>
      <w:outlineLvl w:val="0"/>
    </w:pPr>
    <w:rPr>
      <w:rFonts w:ascii="Arial" w:eastAsia="Times New Roman" w:hAnsi="Arial" w:cs="Arial"/>
      <w:b/>
      <w:bCs/>
      <w:kern w:val="32"/>
      <w:sz w:val="36"/>
      <w:szCs w:val="32"/>
    </w:rPr>
  </w:style>
  <w:style w:type="paragraph" w:styleId="Heading2">
    <w:name w:val="heading 2"/>
    <w:basedOn w:val="Heading1"/>
    <w:next w:val="Normal"/>
    <w:link w:val="Heading2Char"/>
    <w:qFormat/>
    <w:rsid w:val="00923F20"/>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923F20"/>
    <w:pPr>
      <w:numPr>
        <w:ilvl w:val="2"/>
      </w:numPr>
      <w:spacing w:before="360"/>
      <w:outlineLvl w:val="2"/>
    </w:pPr>
    <w:rPr>
      <w:bCs w:val="0"/>
      <w:sz w:val="22"/>
      <w:szCs w:val="26"/>
    </w:rPr>
  </w:style>
  <w:style w:type="paragraph" w:styleId="Heading4">
    <w:name w:val="heading 4"/>
    <w:basedOn w:val="Heading1"/>
    <w:next w:val="Normal"/>
    <w:link w:val="Heading4Char"/>
    <w:qFormat/>
    <w:rsid w:val="00923F20"/>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923F20"/>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923F20"/>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923F20"/>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923F20"/>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923F20"/>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D3DC9"/>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CD3DC9"/>
    <w:rPr>
      <w:rFonts w:ascii="Times New Roman" w:hAnsi="Times New Roman" w:cs="Times New Roman"/>
      <w:noProof/>
      <w:lang w:val="en-US"/>
    </w:rPr>
  </w:style>
  <w:style w:type="paragraph" w:customStyle="1" w:styleId="EndNoteBibliography">
    <w:name w:val="EndNote Bibliography"/>
    <w:basedOn w:val="Normal"/>
    <w:link w:val="EndNoteBibliographyChar"/>
    <w:rsid w:val="00CD3DC9"/>
    <w:pPr>
      <w:spacing w:line="48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CD3DC9"/>
    <w:rPr>
      <w:rFonts w:ascii="Times New Roman" w:hAnsi="Times New Roman" w:cs="Times New Roman"/>
      <w:noProof/>
      <w:lang w:val="en-US"/>
    </w:rPr>
  </w:style>
  <w:style w:type="character" w:styleId="PlaceholderText">
    <w:name w:val="Placeholder Text"/>
    <w:basedOn w:val="DefaultParagraphFont"/>
    <w:uiPriority w:val="99"/>
    <w:semiHidden/>
    <w:rsid w:val="00693216"/>
    <w:rPr>
      <w:color w:val="808080"/>
    </w:rPr>
  </w:style>
  <w:style w:type="character" w:styleId="CommentReference">
    <w:name w:val="annotation reference"/>
    <w:basedOn w:val="DefaultParagraphFont"/>
    <w:uiPriority w:val="99"/>
    <w:semiHidden/>
    <w:unhideWhenUsed/>
    <w:rsid w:val="005D3822"/>
    <w:rPr>
      <w:sz w:val="16"/>
      <w:szCs w:val="16"/>
    </w:rPr>
  </w:style>
  <w:style w:type="paragraph" w:styleId="CommentText">
    <w:name w:val="annotation text"/>
    <w:basedOn w:val="Normal"/>
    <w:link w:val="CommentTextChar"/>
    <w:uiPriority w:val="99"/>
    <w:unhideWhenUsed/>
    <w:rsid w:val="005D3822"/>
    <w:pPr>
      <w:spacing w:line="240" w:lineRule="auto"/>
    </w:pPr>
    <w:rPr>
      <w:sz w:val="20"/>
      <w:szCs w:val="20"/>
    </w:rPr>
  </w:style>
  <w:style w:type="character" w:customStyle="1" w:styleId="CommentTextChar">
    <w:name w:val="Comment Text Char"/>
    <w:basedOn w:val="DefaultParagraphFont"/>
    <w:link w:val="CommentText"/>
    <w:uiPriority w:val="99"/>
    <w:rsid w:val="005D3822"/>
    <w:rPr>
      <w:sz w:val="20"/>
      <w:szCs w:val="20"/>
    </w:rPr>
  </w:style>
  <w:style w:type="paragraph" w:styleId="CommentSubject">
    <w:name w:val="annotation subject"/>
    <w:basedOn w:val="CommentText"/>
    <w:next w:val="CommentText"/>
    <w:link w:val="CommentSubjectChar"/>
    <w:uiPriority w:val="99"/>
    <w:semiHidden/>
    <w:unhideWhenUsed/>
    <w:rsid w:val="005D3822"/>
    <w:rPr>
      <w:b/>
      <w:bCs/>
    </w:rPr>
  </w:style>
  <w:style w:type="character" w:customStyle="1" w:styleId="CommentSubjectChar">
    <w:name w:val="Comment Subject Char"/>
    <w:basedOn w:val="CommentTextChar"/>
    <w:link w:val="CommentSubject"/>
    <w:uiPriority w:val="99"/>
    <w:semiHidden/>
    <w:rsid w:val="005D3822"/>
    <w:rPr>
      <w:b/>
      <w:bCs/>
      <w:sz w:val="20"/>
      <w:szCs w:val="20"/>
    </w:rPr>
  </w:style>
  <w:style w:type="paragraph" w:styleId="BalloonText">
    <w:name w:val="Balloon Text"/>
    <w:basedOn w:val="Normal"/>
    <w:link w:val="BalloonTextChar"/>
    <w:uiPriority w:val="99"/>
    <w:semiHidden/>
    <w:unhideWhenUsed/>
    <w:rsid w:val="005D3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822"/>
    <w:rPr>
      <w:rFonts w:ascii="Segoe UI" w:hAnsi="Segoe UI" w:cs="Segoe UI"/>
      <w:sz w:val="18"/>
      <w:szCs w:val="18"/>
    </w:rPr>
  </w:style>
  <w:style w:type="character" w:styleId="Hyperlink">
    <w:name w:val="Hyperlink"/>
    <w:basedOn w:val="DefaultParagraphFont"/>
    <w:uiPriority w:val="99"/>
    <w:unhideWhenUsed/>
    <w:rsid w:val="00FB3008"/>
    <w:rPr>
      <w:color w:val="0563C1" w:themeColor="hyperlink"/>
      <w:u w:val="single"/>
    </w:rPr>
  </w:style>
  <w:style w:type="paragraph" w:styleId="Revision">
    <w:name w:val="Revision"/>
    <w:hidden/>
    <w:uiPriority w:val="99"/>
    <w:semiHidden/>
    <w:rsid w:val="00315FE6"/>
    <w:pPr>
      <w:spacing w:after="0" w:line="240" w:lineRule="auto"/>
    </w:pPr>
  </w:style>
  <w:style w:type="character" w:styleId="FollowedHyperlink">
    <w:name w:val="FollowedHyperlink"/>
    <w:basedOn w:val="DefaultParagraphFont"/>
    <w:uiPriority w:val="99"/>
    <w:semiHidden/>
    <w:unhideWhenUsed/>
    <w:rsid w:val="00806D3A"/>
    <w:rPr>
      <w:color w:val="954F72" w:themeColor="followedHyperlink"/>
      <w:u w:val="single"/>
    </w:rPr>
  </w:style>
  <w:style w:type="paragraph" w:styleId="Header">
    <w:name w:val="header"/>
    <w:basedOn w:val="Normal"/>
    <w:link w:val="HeaderChar"/>
    <w:uiPriority w:val="99"/>
    <w:unhideWhenUsed/>
    <w:rsid w:val="00773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B7D"/>
  </w:style>
  <w:style w:type="paragraph" w:styleId="Footer">
    <w:name w:val="footer"/>
    <w:basedOn w:val="Normal"/>
    <w:link w:val="FooterChar"/>
    <w:uiPriority w:val="99"/>
    <w:unhideWhenUsed/>
    <w:rsid w:val="00773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B7D"/>
  </w:style>
  <w:style w:type="paragraph" w:styleId="Caption">
    <w:name w:val="caption"/>
    <w:basedOn w:val="Normal"/>
    <w:next w:val="Normal"/>
    <w:rsid w:val="00CA27D7"/>
    <w:pPr>
      <w:tabs>
        <w:tab w:val="left" w:pos="851"/>
        <w:tab w:val="left" w:pos="1418"/>
      </w:tabs>
      <w:spacing w:before="120" w:after="120" w:line="360" w:lineRule="auto"/>
      <w:contextualSpacing/>
    </w:pPr>
    <w:rPr>
      <w:rFonts w:ascii="Arial" w:eastAsia="Times New Roman" w:hAnsi="Arial" w:cs="Times New Roman"/>
      <w:b/>
      <w:szCs w:val="26"/>
    </w:rPr>
  </w:style>
  <w:style w:type="character" w:customStyle="1" w:styleId="Heading1Char">
    <w:name w:val="Heading 1 Char"/>
    <w:basedOn w:val="DefaultParagraphFont"/>
    <w:link w:val="Heading1"/>
    <w:rsid w:val="00923F20"/>
    <w:rPr>
      <w:rFonts w:ascii="Arial" w:eastAsia="Times New Roman" w:hAnsi="Arial" w:cs="Arial"/>
      <w:b/>
      <w:bCs/>
      <w:kern w:val="32"/>
      <w:sz w:val="36"/>
      <w:szCs w:val="32"/>
    </w:rPr>
  </w:style>
  <w:style w:type="character" w:customStyle="1" w:styleId="Heading2Char">
    <w:name w:val="Heading 2 Char"/>
    <w:basedOn w:val="DefaultParagraphFont"/>
    <w:link w:val="Heading2"/>
    <w:rsid w:val="00923F20"/>
    <w:rPr>
      <w:rFonts w:ascii="Arial" w:eastAsia="Times New Roman" w:hAnsi="Arial" w:cs="Arial"/>
      <w:b/>
      <w:kern w:val="32"/>
      <w:sz w:val="28"/>
      <w:szCs w:val="24"/>
      <w:lang w:eastAsia="en-GB"/>
    </w:rPr>
  </w:style>
  <w:style w:type="character" w:customStyle="1" w:styleId="Heading3Char">
    <w:name w:val="Heading 3 Char"/>
    <w:basedOn w:val="DefaultParagraphFont"/>
    <w:link w:val="Heading3"/>
    <w:rsid w:val="00923F20"/>
    <w:rPr>
      <w:rFonts w:ascii="Arial" w:eastAsia="Times New Roman" w:hAnsi="Arial" w:cs="Arial"/>
      <w:b/>
      <w:kern w:val="32"/>
      <w:szCs w:val="26"/>
    </w:rPr>
  </w:style>
  <w:style w:type="character" w:customStyle="1" w:styleId="Heading4Char">
    <w:name w:val="Heading 4 Char"/>
    <w:basedOn w:val="DefaultParagraphFont"/>
    <w:link w:val="Heading4"/>
    <w:rsid w:val="00923F20"/>
    <w:rPr>
      <w:rFonts w:ascii="Arial" w:eastAsiaTheme="majorEastAsia" w:hAnsi="Arial" w:cstheme="majorBidi"/>
      <w:b/>
      <w:iCs/>
      <w:kern w:val="32"/>
      <w:szCs w:val="24"/>
    </w:rPr>
  </w:style>
  <w:style w:type="character" w:customStyle="1" w:styleId="Heading5Char">
    <w:name w:val="Heading 5 Char"/>
    <w:basedOn w:val="DefaultParagraphFont"/>
    <w:link w:val="Heading5"/>
    <w:rsid w:val="00923F20"/>
    <w:rPr>
      <w:rFonts w:ascii="Arial" w:eastAsiaTheme="majorEastAsia" w:hAnsi="Arial" w:cstheme="majorBidi"/>
      <w:b/>
      <w:bCs/>
      <w:kern w:val="32"/>
      <w:szCs w:val="24"/>
    </w:rPr>
  </w:style>
  <w:style w:type="character" w:customStyle="1" w:styleId="Heading6Char">
    <w:name w:val="Heading 6 Char"/>
    <w:basedOn w:val="DefaultParagraphFont"/>
    <w:link w:val="Heading6"/>
    <w:rsid w:val="00923F20"/>
    <w:rPr>
      <w:rFonts w:ascii="Arial" w:eastAsiaTheme="majorEastAsia" w:hAnsi="Arial" w:cstheme="majorBidi"/>
      <w:bCs/>
      <w:iCs/>
      <w:kern w:val="32"/>
      <w:szCs w:val="24"/>
    </w:rPr>
  </w:style>
  <w:style w:type="character" w:customStyle="1" w:styleId="Heading7Char">
    <w:name w:val="Heading 7 Char"/>
    <w:basedOn w:val="DefaultParagraphFont"/>
    <w:link w:val="Heading7"/>
    <w:rsid w:val="00923F20"/>
    <w:rPr>
      <w:rFonts w:ascii="Arial" w:eastAsiaTheme="majorEastAsia" w:hAnsi="Arial" w:cstheme="majorBidi"/>
      <w:bCs/>
      <w:iCs/>
      <w:kern w:val="32"/>
      <w:szCs w:val="24"/>
    </w:rPr>
  </w:style>
  <w:style w:type="character" w:customStyle="1" w:styleId="Heading8Char">
    <w:name w:val="Heading 8 Char"/>
    <w:basedOn w:val="DefaultParagraphFont"/>
    <w:link w:val="Heading8"/>
    <w:rsid w:val="00923F20"/>
    <w:rPr>
      <w:rFonts w:ascii="Arial" w:eastAsiaTheme="majorEastAsia" w:hAnsi="Arial" w:cstheme="majorBidi"/>
      <w:bCs/>
      <w:kern w:val="32"/>
      <w:szCs w:val="32"/>
    </w:rPr>
  </w:style>
  <w:style w:type="character" w:customStyle="1" w:styleId="Heading9Char">
    <w:name w:val="Heading 9 Char"/>
    <w:basedOn w:val="DefaultParagraphFont"/>
    <w:link w:val="Heading9"/>
    <w:rsid w:val="00923F20"/>
    <w:rPr>
      <w:rFonts w:ascii="Arial" w:eastAsiaTheme="majorEastAsia" w:hAnsi="Arial" w:cstheme="majorBidi"/>
      <w:bCs/>
      <w:iCs/>
      <w:color w:val="000000" w:themeColor="text1"/>
      <w:kern w:val="32"/>
      <w:szCs w:val="32"/>
    </w:rPr>
  </w:style>
  <w:style w:type="table" w:styleId="TableGrid">
    <w:name w:val="Table Grid"/>
    <w:basedOn w:val="TableNormal"/>
    <w:rsid w:val="00F65D9A"/>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contribs">
    <w:name w:val="contribs"/>
    <w:basedOn w:val="Normal"/>
    <w:rsid w:val="008B584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56596E"/>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ListParagraph">
    <w:name w:val="List Paragraph"/>
    <w:basedOn w:val="Normal"/>
    <w:uiPriority w:val="34"/>
    <w:qFormat/>
    <w:rsid w:val="00FA0FD9"/>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AF7079"/>
    <w:rPr>
      <w:color w:val="605E5C"/>
      <w:shd w:val="clear" w:color="auto" w:fill="E1DFDD"/>
    </w:rPr>
  </w:style>
  <w:style w:type="paragraph" w:styleId="NormalWeb">
    <w:name w:val="Normal (Web)"/>
    <w:basedOn w:val="Normal"/>
    <w:uiPriority w:val="99"/>
    <w:semiHidden/>
    <w:unhideWhenUsed/>
    <w:rsid w:val="00274EFC"/>
    <w:pPr>
      <w:spacing w:after="0" w:line="240" w:lineRule="auto"/>
    </w:pPr>
    <w:rPr>
      <w:rFonts w:ascii="Calibri" w:hAnsi="Calibri" w:cs="Calibri"/>
      <w:lang w:eastAsia="en-GB"/>
    </w:rPr>
  </w:style>
  <w:style w:type="character" w:styleId="Emphasis">
    <w:name w:val="Emphasis"/>
    <w:basedOn w:val="DefaultParagraphFont"/>
    <w:uiPriority w:val="20"/>
    <w:qFormat/>
    <w:rsid w:val="009229FC"/>
    <w:rPr>
      <w:i/>
      <w:iCs/>
    </w:rPr>
  </w:style>
  <w:style w:type="character" w:customStyle="1" w:styleId="apple-converted-space">
    <w:name w:val="apple-converted-space"/>
    <w:basedOn w:val="DefaultParagraphFont"/>
    <w:rsid w:val="0063698B"/>
  </w:style>
  <w:style w:type="character" w:styleId="Strong">
    <w:name w:val="Strong"/>
    <w:basedOn w:val="DefaultParagraphFont"/>
    <w:uiPriority w:val="22"/>
    <w:qFormat/>
    <w:rsid w:val="007521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6945">
      <w:bodyDiv w:val="1"/>
      <w:marLeft w:val="0"/>
      <w:marRight w:val="0"/>
      <w:marTop w:val="0"/>
      <w:marBottom w:val="0"/>
      <w:divBdr>
        <w:top w:val="none" w:sz="0" w:space="0" w:color="auto"/>
        <w:left w:val="none" w:sz="0" w:space="0" w:color="auto"/>
        <w:bottom w:val="none" w:sz="0" w:space="0" w:color="auto"/>
        <w:right w:val="none" w:sz="0" w:space="0" w:color="auto"/>
      </w:divBdr>
    </w:div>
    <w:div w:id="155189318">
      <w:bodyDiv w:val="1"/>
      <w:marLeft w:val="0"/>
      <w:marRight w:val="0"/>
      <w:marTop w:val="0"/>
      <w:marBottom w:val="0"/>
      <w:divBdr>
        <w:top w:val="none" w:sz="0" w:space="0" w:color="auto"/>
        <w:left w:val="none" w:sz="0" w:space="0" w:color="auto"/>
        <w:bottom w:val="none" w:sz="0" w:space="0" w:color="auto"/>
        <w:right w:val="none" w:sz="0" w:space="0" w:color="auto"/>
      </w:divBdr>
    </w:div>
    <w:div w:id="178857735">
      <w:bodyDiv w:val="1"/>
      <w:marLeft w:val="0"/>
      <w:marRight w:val="0"/>
      <w:marTop w:val="0"/>
      <w:marBottom w:val="0"/>
      <w:divBdr>
        <w:top w:val="none" w:sz="0" w:space="0" w:color="auto"/>
        <w:left w:val="none" w:sz="0" w:space="0" w:color="auto"/>
        <w:bottom w:val="none" w:sz="0" w:space="0" w:color="auto"/>
        <w:right w:val="none" w:sz="0" w:space="0" w:color="auto"/>
      </w:divBdr>
    </w:div>
    <w:div w:id="243759708">
      <w:bodyDiv w:val="1"/>
      <w:marLeft w:val="0"/>
      <w:marRight w:val="0"/>
      <w:marTop w:val="0"/>
      <w:marBottom w:val="0"/>
      <w:divBdr>
        <w:top w:val="none" w:sz="0" w:space="0" w:color="auto"/>
        <w:left w:val="none" w:sz="0" w:space="0" w:color="auto"/>
        <w:bottom w:val="none" w:sz="0" w:space="0" w:color="auto"/>
        <w:right w:val="none" w:sz="0" w:space="0" w:color="auto"/>
      </w:divBdr>
    </w:div>
    <w:div w:id="271128684">
      <w:bodyDiv w:val="1"/>
      <w:marLeft w:val="0"/>
      <w:marRight w:val="0"/>
      <w:marTop w:val="0"/>
      <w:marBottom w:val="0"/>
      <w:divBdr>
        <w:top w:val="none" w:sz="0" w:space="0" w:color="auto"/>
        <w:left w:val="none" w:sz="0" w:space="0" w:color="auto"/>
        <w:bottom w:val="none" w:sz="0" w:space="0" w:color="auto"/>
        <w:right w:val="none" w:sz="0" w:space="0" w:color="auto"/>
      </w:divBdr>
    </w:div>
    <w:div w:id="277681164">
      <w:bodyDiv w:val="1"/>
      <w:marLeft w:val="0"/>
      <w:marRight w:val="0"/>
      <w:marTop w:val="0"/>
      <w:marBottom w:val="0"/>
      <w:divBdr>
        <w:top w:val="none" w:sz="0" w:space="0" w:color="auto"/>
        <w:left w:val="none" w:sz="0" w:space="0" w:color="auto"/>
        <w:bottom w:val="none" w:sz="0" w:space="0" w:color="auto"/>
        <w:right w:val="none" w:sz="0" w:space="0" w:color="auto"/>
      </w:divBdr>
    </w:div>
    <w:div w:id="411784356">
      <w:bodyDiv w:val="1"/>
      <w:marLeft w:val="0"/>
      <w:marRight w:val="0"/>
      <w:marTop w:val="0"/>
      <w:marBottom w:val="0"/>
      <w:divBdr>
        <w:top w:val="none" w:sz="0" w:space="0" w:color="auto"/>
        <w:left w:val="none" w:sz="0" w:space="0" w:color="auto"/>
        <w:bottom w:val="none" w:sz="0" w:space="0" w:color="auto"/>
        <w:right w:val="none" w:sz="0" w:space="0" w:color="auto"/>
      </w:divBdr>
    </w:div>
    <w:div w:id="618294065">
      <w:bodyDiv w:val="1"/>
      <w:marLeft w:val="0"/>
      <w:marRight w:val="0"/>
      <w:marTop w:val="0"/>
      <w:marBottom w:val="0"/>
      <w:divBdr>
        <w:top w:val="none" w:sz="0" w:space="0" w:color="auto"/>
        <w:left w:val="none" w:sz="0" w:space="0" w:color="auto"/>
        <w:bottom w:val="none" w:sz="0" w:space="0" w:color="auto"/>
        <w:right w:val="none" w:sz="0" w:space="0" w:color="auto"/>
      </w:divBdr>
    </w:div>
    <w:div w:id="655188897">
      <w:bodyDiv w:val="1"/>
      <w:marLeft w:val="0"/>
      <w:marRight w:val="0"/>
      <w:marTop w:val="0"/>
      <w:marBottom w:val="0"/>
      <w:divBdr>
        <w:top w:val="none" w:sz="0" w:space="0" w:color="auto"/>
        <w:left w:val="none" w:sz="0" w:space="0" w:color="auto"/>
        <w:bottom w:val="none" w:sz="0" w:space="0" w:color="auto"/>
        <w:right w:val="none" w:sz="0" w:space="0" w:color="auto"/>
      </w:divBdr>
    </w:div>
    <w:div w:id="912275615">
      <w:bodyDiv w:val="1"/>
      <w:marLeft w:val="0"/>
      <w:marRight w:val="0"/>
      <w:marTop w:val="0"/>
      <w:marBottom w:val="0"/>
      <w:divBdr>
        <w:top w:val="none" w:sz="0" w:space="0" w:color="auto"/>
        <w:left w:val="none" w:sz="0" w:space="0" w:color="auto"/>
        <w:bottom w:val="none" w:sz="0" w:space="0" w:color="auto"/>
        <w:right w:val="none" w:sz="0" w:space="0" w:color="auto"/>
      </w:divBdr>
    </w:div>
    <w:div w:id="1028264093">
      <w:bodyDiv w:val="1"/>
      <w:marLeft w:val="0"/>
      <w:marRight w:val="0"/>
      <w:marTop w:val="0"/>
      <w:marBottom w:val="0"/>
      <w:divBdr>
        <w:top w:val="none" w:sz="0" w:space="0" w:color="auto"/>
        <w:left w:val="none" w:sz="0" w:space="0" w:color="auto"/>
        <w:bottom w:val="none" w:sz="0" w:space="0" w:color="auto"/>
        <w:right w:val="none" w:sz="0" w:space="0" w:color="auto"/>
      </w:divBdr>
    </w:div>
    <w:div w:id="1111978343">
      <w:bodyDiv w:val="1"/>
      <w:marLeft w:val="0"/>
      <w:marRight w:val="0"/>
      <w:marTop w:val="0"/>
      <w:marBottom w:val="0"/>
      <w:divBdr>
        <w:top w:val="none" w:sz="0" w:space="0" w:color="auto"/>
        <w:left w:val="none" w:sz="0" w:space="0" w:color="auto"/>
        <w:bottom w:val="none" w:sz="0" w:space="0" w:color="auto"/>
        <w:right w:val="none" w:sz="0" w:space="0" w:color="auto"/>
      </w:divBdr>
    </w:div>
    <w:div w:id="1187711535">
      <w:bodyDiv w:val="1"/>
      <w:marLeft w:val="0"/>
      <w:marRight w:val="0"/>
      <w:marTop w:val="0"/>
      <w:marBottom w:val="0"/>
      <w:divBdr>
        <w:top w:val="none" w:sz="0" w:space="0" w:color="auto"/>
        <w:left w:val="none" w:sz="0" w:space="0" w:color="auto"/>
        <w:bottom w:val="none" w:sz="0" w:space="0" w:color="auto"/>
        <w:right w:val="none" w:sz="0" w:space="0" w:color="auto"/>
      </w:divBdr>
    </w:div>
    <w:div w:id="1267428206">
      <w:bodyDiv w:val="1"/>
      <w:marLeft w:val="0"/>
      <w:marRight w:val="0"/>
      <w:marTop w:val="0"/>
      <w:marBottom w:val="0"/>
      <w:divBdr>
        <w:top w:val="none" w:sz="0" w:space="0" w:color="auto"/>
        <w:left w:val="none" w:sz="0" w:space="0" w:color="auto"/>
        <w:bottom w:val="none" w:sz="0" w:space="0" w:color="auto"/>
        <w:right w:val="none" w:sz="0" w:space="0" w:color="auto"/>
      </w:divBdr>
    </w:div>
    <w:div w:id="1303540057">
      <w:bodyDiv w:val="1"/>
      <w:marLeft w:val="0"/>
      <w:marRight w:val="0"/>
      <w:marTop w:val="0"/>
      <w:marBottom w:val="0"/>
      <w:divBdr>
        <w:top w:val="none" w:sz="0" w:space="0" w:color="auto"/>
        <w:left w:val="none" w:sz="0" w:space="0" w:color="auto"/>
        <w:bottom w:val="none" w:sz="0" w:space="0" w:color="auto"/>
        <w:right w:val="none" w:sz="0" w:space="0" w:color="auto"/>
      </w:divBdr>
    </w:div>
    <w:div w:id="1322612168">
      <w:bodyDiv w:val="1"/>
      <w:marLeft w:val="0"/>
      <w:marRight w:val="0"/>
      <w:marTop w:val="0"/>
      <w:marBottom w:val="0"/>
      <w:divBdr>
        <w:top w:val="none" w:sz="0" w:space="0" w:color="auto"/>
        <w:left w:val="none" w:sz="0" w:space="0" w:color="auto"/>
        <w:bottom w:val="none" w:sz="0" w:space="0" w:color="auto"/>
        <w:right w:val="none" w:sz="0" w:space="0" w:color="auto"/>
      </w:divBdr>
    </w:div>
    <w:div w:id="1381709051">
      <w:bodyDiv w:val="1"/>
      <w:marLeft w:val="0"/>
      <w:marRight w:val="0"/>
      <w:marTop w:val="0"/>
      <w:marBottom w:val="0"/>
      <w:divBdr>
        <w:top w:val="none" w:sz="0" w:space="0" w:color="auto"/>
        <w:left w:val="none" w:sz="0" w:space="0" w:color="auto"/>
        <w:bottom w:val="none" w:sz="0" w:space="0" w:color="auto"/>
        <w:right w:val="none" w:sz="0" w:space="0" w:color="auto"/>
      </w:divBdr>
    </w:div>
    <w:div w:id="1402436993">
      <w:bodyDiv w:val="1"/>
      <w:marLeft w:val="0"/>
      <w:marRight w:val="0"/>
      <w:marTop w:val="0"/>
      <w:marBottom w:val="0"/>
      <w:divBdr>
        <w:top w:val="none" w:sz="0" w:space="0" w:color="auto"/>
        <w:left w:val="none" w:sz="0" w:space="0" w:color="auto"/>
        <w:bottom w:val="none" w:sz="0" w:space="0" w:color="auto"/>
        <w:right w:val="none" w:sz="0" w:space="0" w:color="auto"/>
      </w:divBdr>
    </w:div>
    <w:div w:id="1494030361">
      <w:bodyDiv w:val="1"/>
      <w:marLeft w:val="0"/>
      <w:marRight w:val="0"/>
      <w:marTop w:val="0"/>
      <w:marBottom w:val="0"/>
      <w:divBdr>
        <w:top w:val="none" w:sz="0" w:space="0" w:color="auto"/>
        <w:left w:val="none" w:sz="0" w:space="0" w:color="auto"/>
        <w:bottom w:val="none" w:sz="0" w:space="0" w:color="auto"/>
        <w:right w:val="none" w:sz="0" w:space="0" w:color="auto"/>
      </w:divBdr>
    </w:div>
    <w:div w:id="1526287352">
      <w:bodyDiv w:val="1"/>
      <w:marLeft w:val="0"/>
      <w:marRight w:val="0"/>
      <w:marTop w:val="0"/>
      <w:marBottom w:val="0"/>
      <w:divBdr>
        <w:top w:val="none" w:sz="0" w:space="0" w:color="auto"/>
        <w:left w:val="none" w:sz="0" w:space="0" w:color="auto"/>
        <w:bottom w:val="none" w:sz="0" w:space="0" w:color="auto"/>
        <w:right w:val="none" w:sz="0" w:space="0" w:color="auto"/>
      </w:divBdr>
    </w:div>
    <w:div w:id="1574046142">
      <w:bodyDiv w:val="1"/>
      <w:marLeft w:val="0"/>
      <w:marRight w:val="0"/>
      <w:marTop w:val="0"/>
      <w:marBottom w:val="0"/>
      <w:divBdr>
        <w:top w:val="none" w:sz="0" w:space="0" w:color="auto"/>
        <w:left w:val="none" w:sz="0" w:space="0" w:color="auto"/>
        <w:bottom w:val="none" w:sz="0" w:space="0" w:color="auto"/>
        <w:right w:val="none" w:sz="0" w:space="0" w:color="auto"/>
      </w:divBdr>
    </w:div>
    <w:div w:id="1599484649">
      <w:bodyDiv w:val="1"/>
      <w:marLeft w:val="0"/>
      <w:marRight w:val="0"/>
      <w:marTop w:val="0"/>
      <w:marBottom w:val="0"/>
      <w:divBdr>
        <w:top w:val="none" w:sz="0" w:space="0" w:color="auto"/>
        <w:left w:val="none" w:sz="0" w:space="0" w:color="auto"/>
        <w:bottom w:val="none" w:sz="0" w:space="0" w:color="auto"/>
        <w:right w:val="none" w:sz="0" w:space="0" w:color="auto"/>
      </w:divBdr>
    </w:div>
    <w:div w:id="1637881252">
      <w:bodyDiv w:val="1"/>
      <w:marLeft w:val="0"/>
      <w:marRight w:val="0"/>
      <w:marTop w:val="0"/>
      <w:marBottom w:val="0"/>
      <w:divBdr>
        <w:top w:val="none" w:sz="0" w:space="0" w:color="auto"/>
        <w:left w:val="none" w:sz="0" w:space="0" w:color="auto"/>
        <w:bottom w:val="none" w:sz="0" w:space="0" w:color="auto"/>
        <w:right w:val="none" w:sz="0" w:space="0" w:color="auto"/>
      </w:divBdr>
    </w:div>
    <w:div w:id="1660306396">
      <w:bodyDiv w:val="1"/>
      <w:marLeft w:val="0"/>
      <w:marRight w:val="0"/>
      <w:marTop w:val="0"/>
      <w:marBottom w:val="0"/>
      <w:divBdr>
        <w:top w:val="none" w:sz="0" w:space="0" w:color="auto"/>
        <w:left w:val="none" w:sz="0" w:space="0" w:color="auto"/>
        <w:bottom w:val="none" w:sz="0" w:space="0" w:color="auto"/>
        <w:right w:val="none" w:sz="0" w:space="0" w:color="auto"/>
      </w:divBdr>
    </w:div>
    <w:div w:id="1752773472">
      <w:bodyDiv w:val="1"/>
      <w:marLeft w:val="0"/>
      <w:marRight w:val="0"/>
      <w:marTop w:val="0"/>
      <w:marBottom w:val="0"/>
      <w:divBdr>
        <w:top w:val="none" w:sz="0" w:space="0" w:color="auto"/>
        <w:left w:val="none" w:sz="0" w:space="0" w:color="auto"/>
        <w:bottom w:val="none" w:sz="0" w:space="0" w:color="auto"/>
        <w:right w:val="none" w:sz="0" w:space="0" w:color="auto"/>
      </w:divBdr>
    </w:div>
    <w:div w:id="1852445913">
      <w:bodyDiv w:val="1"/>
      <w:marLeft w:val="0"/>
      <w:marRight w:val="0"/>
      <w:marTop w:val="0"/>
      <w:marBottom w:val="0"/>
      <w:divBdr>
        <w:top w:val="none" w:sz="0" w:space="0" w:color="auto"/>
        <w:left w:val="none" w:sz="0" w:space="0" w:color="auto"/>
        <w:bottom w:val="none" w:sz="0" w:space="0" w:color="auto"/>
        <w:right w:val="none" w:sz="0" w:space="0" w:color="auto"/>
      </w:divBdr>
    </w:div>
    <w:div w:id="2056463849">
      <w:bodyDiv w:val="1"/>
      <w:marLeft w:val="0"/>
      <w:marRight w:val="0"/>
      <w:marTop w:val="0"/>
      <w:marBottom w:val="0"/>
      <w:divBdr>
        <w:top w:val="none" w:sz="0" w:space="0" w:color="auto"/>
        <w:left w:val="none" w:sz="0" w:space="0" w:color="auto"/>
        <w:bottom w:val="none" w:sz="0" w:space="0" w:color="auto"/>
        <w:right w:val="none" w:sz="0" w:space="0" w:color="auto"/>
      </w:divBdr>
    </w:div>
    <w:div w:id="2071608908">
      <w:bodyDiv w:val="1"/>
      <w:marLeft w:val="0"/>
      <w:marRight w:val="0"/>
      <w:marTop w:val="0"/>
      <w:marBottom w:val="0"/>
      <w:divBdr>
        <w:top w:val="none" w:sz="0" w:space="0" w:color="auto"/>
        <w:left w:val="none" w:sz="0" w:space="0" w:color="auto"/>
        <w:bottom w:val="none" w:sz="0" w:space="0" w:color="auto"/>
        <w:right w:val="none" w:sz="0" w:space="0" w:color="auto"/>
      </w:divBdr>
    </w:div>
    <w:div w:id="2128963676">
      <w:bodyDiv w:val="1"/>
      <w:marLeft w:val="0"/>
      <w:marRight w:val="0"/>
      <w:marTop w:val="0"/>
      <w:marBottom w:val="0"/>
      <w:divBdr>
        <w:top w:val="none" w:sz="0" w:space="0" w:color="auto"/>
        <w:left w:val="none" w:sz="0" w:space="0" w:color="auto"/>
        <w:bottom w:val="none" w:sz="0" w:space="0" w:color="auto"/>
        <w:right w:val="none" w:sz="0" w:space="0" w:color="auto"/>
      </w:divBdr>
    </w:div>
    <w:div w:id="21360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cc@mrc.soton.ac.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www.who.int/data/gho/indicator-metadata-registry/imr-details/3236"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0D63F-AC8C-4823-8181-08B8EE5A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13826</Words>
  <Characters>78814</Characters>
  <Application>Microsoft Office Word</Application>
  <DocSecurity>4</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Westbury</dc:creator>
  <cp:keywords/>
  <dc:description/>
  <cp:lastModifiedBy>Karen Drake</cp:lastModifiedBy>
  <cp:revision>2</cp:revision>
  <cp:lastPrinted>2022-09-27T07:28:00Z</cp:lastPrinted>
  <dcterms:created xsi:type="dcterms:W3CDTF">2022-12-06T11:54:00Z</dcterms:created>
  <dcterms:modified xsi:type="dcterms:W3CDTF">2022-12-06T11:54:00Z</dcterms:modified>
</cp:coreProperties>
</file>