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DD0F7" w14:textId="77777777" w:rsidR="006D1386" w:rsidRPr="00733552" w:rsidRDefault="00462D81" w:rsidP="006D1386">
      <w:pPr>
        <w:spacing w:line="360" w:lineRule="auto"/>
        <w:jc w:val="center"/>
        <w:rPr>
          <w:rFonts w:ascii="Garamond" w:hAnsi="Garamond"/>
          <w:b/>
          <w:bCs/>
          <w:sz w:val="28"/>
          <w:szCs w:val="28"/>
        </w:rPr>
      </w:pPr>
      <w:r w:rsidRPr="00DB6C99">
        <w:rPr>
          <w:rFonts w:ascii="Garamond" w:hAnsi="Garamond"/>
          <w:b/>
          <w:bCs/>
          <w:sz w:val="24"/>
          <w:szCs w:val="24"/>
          <w:lang w:val="en-GB"/>
        </w:rPr>
        <w:t xml:space="preserve"> </w:t>
      </w:r>
      <w:r w:rsidRPr="00DB6C99">
        <w:rPr>
          <w:rFonts w:ascii="Garamond" w:hAnsi="Garamond"/>
          <w:b/>
          <w:bCs/>
          <w:sz w:val="24"/>
          <w:szCs w:val="24"/>
          <w:lang w:val="en-GB"/>
        </w:rPr>
        <w:tab/>
      </w:r>
      <w:r w:rsidR="006D1386" w:rsidRPr="00733552">
        <w:rPr>
          <w:rFonts w:ascii="Garamond" w:hAnsi="Garamond"/>
          <w:b/>
          <w:bCs/>
          <w:sz w:val="24"/>
          <w:szCs w:val="24"/>
        </w:rPr>
        <w:t>WALKING THE TALK? A COR</w:t>
      </w:r>
      <w:r w:rsidR="006D1386">
        <w:rPr>
          <w:rFonts w:ascii="Garamond" w:hAnsi="Garamond"/>
          <w:b/>
          <w:bCs/>
          <w:sz w:val="24"/>
          <w:szCs w:val="24"/>
        </w:rPr>
        <w:t>PORATE GOVERNANCE PERSPECTIVE ON</w:t>
      </w:r>
      <w:r w:rsidR="006D1386" w:rsidRPr="00733552">
        <w:rPr>
          <w:rFonts w:ascii="Garamond" w:hAnsi="Garamond"/>
          <w:b/>
          <w:bCs/>
          <w:sz w:val="24"/>
          <w:szCs w:val="24"/>
        </w:rPr>
        <w:t xml:space="preserve"> CORPORATE SOCIAL RESPONSIBILITY DECOUPLING</w:t>
      </w:r>
    </w:p>
    <w:p w14:paraId="6AF64F12" w14:textId="77777777" w:rsidR="006D1386" w:rsidRPr="002C1145" w:rsidRDefault="006D1386" w:rsidP="006D1386">
      <w:pPr>
        <w:jc w:val="center"/>
        <w:rPr>
          <w:rFonts w:ascii="Garamond" w:hAnsi="Garamond"/>
        </w:rPr>
      </w:pPr>
      <w:r w:rsidRPr="002C1145">
        <w:rPr>
          <w:rFonts w:ascii="Garamond" w:hAnsi="Garamond"/>
          <w:b/>
          <w:bCs/>
          <w:sz w:val="24"/>
          <w:szCs w:val="24"/>
          <w:lang w:val="en-GB"/>
        </w:rPr>
        <w:t>Ammar Ali Gull</w:t>
      </w:r>
      <w:r w:rsidRPr="002C1145">
        <w:rPr>
          <w:rFonts w:ascii="Garamond" w:hAnsi="Garamond"/>
          <w:b/>
          <w:bCs/>
          <w:sz w:val="24"/>
          <w:szCs w:val="24"/>
          <w:vertAlign w:val="superscript"/>
          <w:lang w:val="en-GB"/>
        </w:rPr>
        <w:t>a,</w:t>
      </w:r>
      <w:r>
        <w:rPr>
          <w:rFonts w:ascii="Garamond" w:hAnsi="Garamond"/>
          <w:b/>
          <w:bCs/>
          <w:sz w:val="24"/>
          <w:szCs w:val="24"/>
          <w:vertAlign w:val="superscript"/>
          <w:lang w:val="en-GB"/>
        </w:rPr>
        <w:t>b</w:t>
      </w:r>
      <w:r w:rsidRPr="002C1145">
        <w:rPr>
          <w:rFonts w:ascii="Garamond" w:hAnsi="Garamond"/>
          <w:b/>
          <w:bCs/>
          <w:sz w:val="24"/>
          <w:szCs w:val="24"/>
          <w:lang w:val="en-GB"/>
        </w:rPr>
        <w:t xml:space="preserve"> , Nazim Hussain</w:t>
      </w:r>
      <w:r>
        <w:rPr>
          <w:rFonts w:ascii="Garamond" w:hAnsi="Garamond"/>
          <w:b/>
          <w:bCs/>
          <w:sz w:val="24"/>
          <w:szCs w:val="24"/>
          <w:vertAlign w:val="superscript"/>
          <w:lang w:val="en-GB"/>
        </w:rPr>
        <w:t>c,</w:t>
      </w:r>
      <w:r w:rsidRPr="002C1145">
        <w:rPr>
          <w:rFonts w:ascii="Garamond" w:hAnsi="Garamond"/>
          <w:b/>
          <w:bCs/>
          <w:sz w:val="24"/>
          <w:szCs w:val="24"/>
          <w:vertAlign w:val="superscript"/>
        </w:rPr>
        <w:footnoteReference w:id="1"/>
      </w:r>
      <w:r w:rsidRPr="002C1145">
        <w:rPr>
          <w:rFonts w:ascii="Garamond" w:hAnsi="Garamond"/>
          <w:b/>
          <w:bCs/>
          <w:sz w:val="24"/>
          <w:szCs w:val="24"/>
          <w:lang w:val="en-GB"/>
        </w:rPr>
        <w:t xml:space="preserve">, </w:t>
      </w:r>
      <w:r>
        <w:rPr>
          <w:rFonts w:ascii="Garamond" w:hAnsi="Garamond"/>
          <w:b/>
          <w:bCs/>
          <w:sz w:val="24"/>
          <w:szCs w:val="24"/>
          <w:lang w:val="en-GB"/>
        </w:rPr>
        <w:t>Sana Akbar Khan</w:t>
      </w:r>
      <w:r>
        <w:rPr>
          <w:rFonts w:ascii="Garamond" w:hAnsi="Garamond"/>
          <w:b/>
          <w:bCs/>
          <w:sz w:val="24"/>
          <w:szCs w:val="24"/>
          <w:vertAlign w:val="superscript"/>
          <w:lang w:val="en-GB"/>
        </w:rPr>
        <w:t>d</w:t>
      </w:r>
      <w:r w:rsidRPr="002C1145">
        <w:rPr>
          <w:rFonts w:ascii="Garamond" w:hAnsi="Garamond"/>
          <w:b/>
          <w:bCs/>
          <w:sz w:val="24"/>
          <w:szCs w:val="24"/>
          <w:lang w:val="en-GB"/>
        </w:rPr>
        <w:t>, Muhammad Nadeem</w:t>
      </w:r>
      <w:r w:rsidRPr="002C1145">
        <w:rPr>
          <w:rFonts w:ascii="Garamond" w:hAnsi="Garamond"/>
          <w:b/>
          <w:bCs/>
          <w:sz w:val="24"/>
          <w:szCs w:val="24"/>
          <w:vertAlign w:val="superscript"/>
          <w:lang w:val="en-GB"/>
        </w:rPr>
        <w:t>e</w:t>
      </w:r>
      <w:r w:rsidRPr="002C1145">
        <w:rPr>
          <w:rFonts w:ascii="Garamond" w:hAnsi="Garamond"/>
          <w:b/>
          <w:bCs/>
          <w:sz w:val="24"/>
          <w:szCs w:val="24"/>
          <w:lang w:val="en-GB"/>
        </w:rPr>
        <w:t>, Alaa Mansour Zalata</w:t>
      </w:r>
      <w:r w:rsidRPr="002C1145">
        <w:rPr>
          <w:rFonts w:ascii="Garamond" w:hAnsi="Garamond"/>
          <w:b/>
          <w:bCs/>
          <w:sz w:val="24"/>
          <w:szCs w:val="24"/>
          <w:vertAlign w:val="superscript"/>
          <w:lang w:val="en-GB"/>
        </w:rPr>
        <w:t>f</w:t>
      </w:r>
    </w:p>
    <w:p w14:paraId="0644605A" w14:textId="77777777" w:rsidR="006D1386" w:rsidRPr="00F6712F" w:rsidRDefault="006D1386" w:rsidP="006D1386">
      <w:pPr>
        <w:spacing w:after="0" w:line="240" w:lineRule="auto"/>
        <w:jc w:val="center"/>
        <w:rPr>
          <w:rFonts w:ascii="Garamond" w:hAnsi="Garamond"/>
          <w:lang w:val="fr-FR"/>
        </w:rPr>
      </w:pPr>
      <w:r w:rsidRPr="002C1145">
        <w:rPr>
          <w:rFonts w:ascii="Garamond" w:hAnsi="Garamond"/>
          <w:b/>
          <w:bCs/>
          <w:i/>
          <w:iCs/>
          <w:vertAlign w:val="superscript"/>
          <w:lang w:val="fr-FR"/>
        </w:rPr>
        <w:t>a</w:t>
      </w:r>
      <w:r w:rsidRPr="002C1145">
        <w:rPr>
          <w:rFonts w:ascii="Garamond" w:hAnsi="Garamond"/>
          <w:lang w:val="fr-FR"/>
        </w:rPr>
        <w:t xml:space="preserve"> </w:t>
      </w:r>
      <w:bookmarkStart w:id="0" w:name="_Hlk80076167"/>
      <w:bookmarkStart w:id="1" w:name="_Hlk82175245"/>
      <w:r w:rsidRPr="002C1145">
        <w:rPr>
          <w:rFonts w:ascii="Garamond" w:hAnsi="Garamond"/>
          <w:i/>
          <w:iCs/>
          <w:lang w:val="fr-FR"/>
        </w:rPr>
        <w:t>Ecole Supérieure des Sciences Commerciales d’Angers (ESSCA)</w:t>
      </w:r>
      <w:bookmarkEnd w:id="0"/>
      <w:r w:rsidRPr="002C1145">
        <w:rPr>
          <w:rFonts w:ascii="Garamond" w:hAnsi="Garamond"/>
          <w:i/>
          <w:iCs/>
          <w:lang w:val="fr-FR"/>
        </w:rPr>
        <w:t>, Lyon, France</w:t>
      </w:r>
      <w:bookmarkEnd w:id="1"/>
    </w:p>
    <w:p w14:paraId="08310516" w14:textId="77777777" w:rsidR="006D1386" w:rsidRPr="00E32116" w:rsidRDefault="006D1386" w:rsidP="006D1386">
      <w:pPr>
        <w:spacing w:after="0"/>
        <w:jc w:val="center"/>
        <w:rPr>
          <w:rFonts w:ascii="Garamond" w:hAnsi="Garamond"/>
        </w:rPr>
      </w:pPr>
      <w:r w:rsidRPr="00E32116">
        <w:rPr>
          <w:rFonts w:ascii="Garamond" w:hAnsi="Garamond"/>
          <w:b/>
          <w:bCs/>
          <w:i/>
          <w:iCs/>
          <w:vertAlign w:val="superscript"/>
        </w:rPr>
        <w:t>b</w:t>
      </w:r>
      <w:r w:rsidRPr="00E32116">
        <w:rPr>
          <w:rFonts w:ascii="Garamond" w:hAnsi="Garamond"/>
          <w:i/>
          <w:iCs/>
        </w:rPr>
        <w:t xml:space="preserve"> </w:t>
      </w:r>
      <w:r w:rsidRPr="00E32116">
        <w:rPr>
          <w:rFonts w:ascii="Garamond" w:hAnsi="Garamond"/>
          <w:i/>
          <w:iCs/>
          <w:lang w:val="en-US"/>
        </w:rPr>
        <w:t>International School, Vietnam National University, Hanoi, Vietnam</w:t>
      </w:r>
    </w:p>
    <w:p w14:paraId="5B9CCCCC" w14:textId="77777777" w:rsidR="006D1386" w:rsidRPr="002C1145" w:rsidRDefault="006D1386" w:rsidP="006D1386">
      <w:pPr>
        <w:spacing w:after="0" w:line="240" w:lineRule="auto"/>
        <w:jc w:val="center"/>
        <w:rPr>
          <w:rFonts w:ascii="Garamond" w:hAnsi="Garamond"/>
        </w:rPr>
      </w:pPr>
      <w:r>
        <w:rPr>
          <w:rFonts w:ascii="Garamond" w:hAnsi="Garamond"/>
          <w:b/>
          <w:bCs/>
          <w:i/>
          <w:iCs/>
          <w:vertAlign w:val="superscript"/>
        </w:rPr>
        <w:t>c</w:t>
      </w:r>
      <w:r w:rsidRPr="002C1145">
        <w:rPr>
          <w:rFonts w:ascii="Garamond" w:hAnsi="Garamond"/>
          <w:i/>
          <w:iCs/>
        </w:rPr>
        <w:t xml:space="preserve"> Department of Accounting, </w:t>
      </w:r>
      <w:r w:rsidRPr="002C1145">
        <w:rPr>
          <w:rFonts w:ascii="Garamond" w:hAnsi="Garamond"/>
          <w:bCs/>
          <w:i/>
          <w:iCs/>
          <w:lang w:val="en-US"/>
        </w:rPr>
        <w:t>University of Groningen, The Netherlands</w:t>
      </w:r>
    </w:p>
    <w:p w14:paraId="2969839B" w14:textId="77777777" w:rsidR="006D1386" w:rsidRPr="002C1145" w:rsidRDefault="006D1386" w:rsidP="006D1386">
      <w:pPr>
        <w:spacing w:after="0" w:line="240" w:lineRule="auto"/>
        <w:jc w:val="center"/>
        <w:rPr>
          <w:rFonts w:ascii="Garamond" w:hAnsi="Garamond"/>
        </w:rPr>
      </w:pPr>
      <w:r>
        <w:rPr>
          <w:rFonts w:ascii="Garamond" w:hAnsi="Garamond"/>
          <w:b/>
          <w:bCs/>
          <w:i/>
          <w:iCs/>
          <w:vertAlign w:val="superscript"/>
        </w:rPr>
        <w:t>d</w:t>
      </w:r>
      <w:r w:rsidRPr="002C1145">
        <w:rPr>
          <w:rFonts w:ascii="Garamond" w:hAnsi="Garamond"/>
          <w:i/>
          <w:iCs/>
        </w:rPr>
        <w:t xml:space="preserve"> </w:t>
      </w:r>
      <w:r>
        <w:rPr>
          <w:rFonts w:ascii="Garamond" w:hAnsi="Garamond"/>
          <w:i/>
          <w:iCs/>
        </w:rPr>
        <w:t xml:space="preserve">ESDES School of Business and Management, </w:t>
      </w:r>
      <w:r w:rsidRPr="0033763B">
        <w:rPr>
          <w:rFonts w:ascii="Garamond" w:hAnsi="Garamond"/>
          <w:i/>
          <w:iCs/>
        </w:rPr>
        <w:t>Lyon Catholic University,</w:t>
      </w:r>
      <w:r>
        <w:rPr>
          <w:rFonts w:ascii="Garamond" w:hAnsi="Garamond"/>
          <w:i/>
          <w:iCs/>
        </w:rPr>
        <w:t xml:space="preserve"> Lyon,</w:t>
      </w:r>
      <w:r w:rsidRPr="0033763B">
        <w:rPr>
          <w:rFonts w:ascii="Garamond" w:hAnsi="Garamond"/>
          <w:i/>
          <w:iCs/>
        </w:rPr>
        <w:t xml:space="preserve"> France</w:t>
      </w:r>
    </w:p>
    <w:p w14:paraId="4FEA8E73" w14:textId="77777777" w:rsidR="006D1386" w:rsidRPr="002C1145" w:rsidRDefault="006D1386" w:rsidP="006D1386">
      <w:pPr>
        <w:spacing w:after="0" w:line="240" w:lineRule="auto"/>
        <w:jc w:val="center"/>
        <w:rPr>
          <w:rFonts w:ascii="Garamond" w:hAnsi="Garamond"/>
        </w:rPr>
      </w:pPr>
      <w:r w:rsidRPr="002C1145">
        <w:rPr>
          <w:rFonts w:ascii="Garamond" w:hAnsi="Garamond"/>
          <w:b/>
          <w:bCs/>
          <w:i/>
          <w:iCs/>
          <w:vertAlign w:val="superscript"/>
        </w:rPr>
        <w:t>e</w:t>
      </w:r>
      <w:r w:rsidRPr="002C1145">
        <w:rPr>
          <w:rFonts w:ascii="Garamond" w:hAnsi="Garamond"/>
          <w:i/>
          <w:iCs/>
        </w:rPr>
        <w:t xml:space="preserve"> Department of Accounting, University of Otago</w:t>
      </w:r>
      <w:r>
        <w:rPr>
          <w:rFonts w:ascii="Garamond" w:hAnsi="Garamond"/>
          <w:i/>
          <w:iCs/>
        </w:rPr>
        <w:t xml:space="preserve"> School of Business</w:t>
      </w:r>
      <w:r w:rsidRPr="002C1145">
        <w:rPr>
          <w:rFonts w:ascii="Garamond" w:hAnsi="Garamond"/>
          <w:i/>
          <w:iCs/>
        </w:rPr>
        <w:t xml:space="preserve">, </w:t>
      </w:r>
      <w:r>
        <w:rPr>
          <w:rFonts w:ascii="Garamond" w:hAnsi="Garamond"/>
          <w:i/>
          <w:iCs/>
        </w:rPr>
        <w:t xml:space="preserve">Dunedin, </w:t>
      </w:r>
      <w:r w:rsidRPr="002C1145">
        <w:rPr>
          <w:rFonts w:ascii="Garamond" w:hAnsi="Garamond"/>
          <w:i/>
          <w:iCs/>
        </w:rPr>
        <w:t>New Zealand</w:t>
      </w:r>
    </w:p>
    <w:p w14:paraId="7467B401" w14:textId="77777777" w:rsidR="006D1386" w:rsidRPr="002C1145" w:rsidRDefault="006D1386" w:rsidP="006D1386">
      <w:pPr>
        <w:spacing w:after="0" w:line="240" w:lineRule="auto"/>
        <w:ind w:left="360"/>
        <w:jc w:val="center"/>
        <w:rPr>
          <w:rFonts w:ascii="Garamond" w:hAnsi="Garamond"/>
        </w:rPr>
      </w:pPr>
      <w:r w:rsidRPr="002C1145">
        <w:rPr>
          <w:rFonts w:ascii="Garamond" w:hAnsi="Garamond"/>
          <w:b/>
          <w:bCs/>
          <w:i/>
          <w:iCs/>
          <w:vertAlign w:val="superscript"/>
        </w:rPr>
        <w:t>f</w:t>
      </w:r>
      <w:r w:rsidRPr="002C1145">
        <w:rPr>
          <w:rFonts w:ascii="Garamond" w:hAnsi="Garamond"/>
          <w:i/>
          <w:iCs/>
        </w:rPr>
        <w:t xml:space="preserve"> </w:t>
      </w:r>
      <w:r w:rsidRPr="0033763B">
        <w:rPr>
          <w:rFonts w:ascii="Garamond" w:hAnsi="Garamond"/>
          <w:i/>
          <w:iCs/>
        </w:rPr>
        <w:t>Centre for Research in Accounting, Accountability and Governance, Southampton Business School, University of Southampton, Southampton, SO17 1BJ, U</w:t>
      </w:r>
      <w:r>
        <w:rPr>
          <w:rFonts w:ascii="Garamond" w:hAnsi="Garamond"/>
          <w:i/>
          <w:iCs/>
        </w:rPr>
        <w:t xml:space="preserve">nited </w:t>
      </w:r>
      <w:r w:rsidRPr="0033763B">
        <w:rPr>
          <w:rFonts w:ascii="Garamond" w:hAnsi="Garamond"/>
          <w:i/>
          <w:iCs/>
        </w:rPr>
        <w:t>K</w:t>
      </w:r>
      <w:r>
        <w:rPr>
          <w:rFonts w:ascii="Garamond" w:hAnsi="Garamond"/>
          <w:i/>
          <w:iCs/>
        </w:rPr>
        <w:t>ingdom</w:t>
      </w:r>
    </w:p>
    <w:p w14:paraId="55D379EF" w14:textId="49718F96" w:rsidR="004A1788" w:rsidRPr="006D1386" w:rsidRDefault="004A1788" w:rsidP="006B2619">
      <w:pPr>
        <w:spacing w:line="360" w:lineRule="auto"/>
        <w:jc w:val="center"/>
        <w:rPr>
          <w:rFonts w:ascii="Garamond" w:eastAsia="Calibri" w:hAnsi="Garamond" w:cs="Times New Roman"/>
          <w:b/>
          <w:bCs/>
          <w:sz w:val="28"/>
          <w:szCs w:val="24"/>
        </w:rPr>
      </w:pPr>
    </w:p>
    <w:p w14:paraId="48DC3DC9" w14:textId="77777777" w:rsidR="004A1788" w:rsidRPr="00DB6C99" w:rsidRDefault="004A1788" w:rsidP="004A1788">
      <w:pPr>
        <w:spacing w:after="0" w:line="240" w:lineRule="auto"/>
        <w:jc w:val="both"/>
        <w:rPr>
          <w:rFonts w:ascii="Garamond" w:eastAsia="Calibri" w:hAnsi="Garamond" w:cs="Times New Roman"/>
          <w:b/>
          <w:sz w:val="24"/>
          <w:szCs w:val="24"/>
          <w:lang w:val="en-GB"/>
        </w:rPr>
      </w:pPr>
    </w:p>
    <w:p w14:paraId="2CF9A609" w14:textId="104ED507" w:rsidR="004A1788" w:rsidRPr="00DB6C99" w:rsidRDefault="004A1788" w:rsidP="006D1386">
      <w:pPr>
        <w:spacing w:after="0" w:line="240" w:lineRule="auto"/>
        <w:jc w:val="both"/>
        <w:rPr>
          <w:rFonts w:ascii="Garamond" w:eastAsia="Calibri" w:hAnsi="Garamond" w:cs="Times New Roman"/>
          <w:b/>
          <w:sz w:val="24"/>
          <w:szCs w:val="24"/>
          <w:lang w:val="en-GB"/>
        </w:rPr>
      </w:pPr>
      <w:r w:rsidRPr="00DB6C99">
        <w:rPr>
          <w:rFonts w:ascii="Garamond" w:eastAsia="Calibri" w:hAnsi="Garamond" w:cs="Times New Roman"/>
          <w:b/>
          <w:sz w:val="24"/>
          <w:szCs w:val="24"/>
          <w:lang w:val="en-GB"/>
        </w:rPr>
        <w:t>Abstract</w:t>
      </w:r>
    </w:p>
    <w:p w14:paraId="00636371" w14:textId="49CD7443" w:rsidR="004A1788" w:rsidRDefault="004A1788" w:rsidP="006D1386">
      <w:pPr>
        <w:spacing w:after="0" w:line="240" w:lineRule="auto"/>
        <w:jc w:val="both"/>
        <w:rPr>
          <w:rFonts w:ascii="Garamond" w:eastAsia="Calibri" w:hAnsi="Garamond" w:cs="Times New Roman"/>
          <w:sz w:val="24"/>
          <w:szCs w:val="24"/>
          <w:lang w:val="en-GB"/>
        </w:rPr>
      </w:pPr>
      <w:r w:rsidRPr="00DB6C99">
        <w:rPr>
          <w:rFonts w:ascii="Garamond" w:eastAsia="Calibri" w:hAnsi="Garamond" w:cs="Times New Roman"/>
          <w:sz w:val="24"/>
          <w:szCs w:val="24"/>
          <w:lang w:val="en-GB"/>
        </w:rPr>
        <w:t xml:space="preserve">Information asymmetry and </w:t>
      </w:r>
      <w:r w:rsidR="00B15359" w:rsidRPr="00DB6C99">
        <w:rPr>
          <w:rFonts w:ascii="Garamond" w:eastAsia="Calibri" w:hAnsi="Garamond" w:cs="Times New Roman"/>
          <w:sz w:val="24"/>
          <w:szCs w:val="24"/>
          <w:lang w:val="en-GB"/>
        </w:rPr>
        <w:t xml:space="preserve">the </w:t>
      </w:r>
      <w:r w:rsidRPr="00DB6C99">
        <w:rPr>
          <w:rFonts w:ascii="Garamond" w:eastAsia="Calibri" w:hAnsi="Garamond" w:cs="Times New Roman"/>
          <w:sz w:val="24"/>
          <w:szCs w:val="24"/>
          <w:lang w:val="en-GB"/>
        </w:rPr>
        <w:t>pressure to conform to stakeholders’ expectations cause firms to engage in corporate social responsibility (CSR) decoupling</w:t>
      </w:r>
      <w:r w:rsidR="00F60801"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 xml:space="preserve">a practice that has severe socioeconomic consequences for firms. Adopting a corporate governance </w:t>
      </w:r>
      <w:r w:rsidR="006B2619" w:rsidRPr="00DB6C99">
        <w:rPr>
          <w:rFonts w:ascii="Garamond" w:eastAsia="Calibri" w:hAnsi="Garamond" w:cs="Times New Roman"/>
          <w:sz w:val="24"/>
          <w:szCs w:val="24"/>
          <w:lang w:val="en-GB"/>
        </w:rPr>
        <w:t>perspective</w:t>
      </w:r>
      <w:r w:rsidRPr="00DB6C99">
        <w:rPr>
          <w:rFonts w:ascii="Garamond" w:eastAsia="Calibri" w:hAnsi="Garamond" w:cs="Times New Roman"/>
          <w:sz w:val="24"/>
          <w:szCs w:val="24"/>
          <w:lang w:val="en-GB"/>
        </w:rPr>
        <w:t>, this paper answers a novel question: whether board gender diversity (BGD) curbs CSR decoupling. Using a battery of sophisticated analyses and robustness tests on 9,276 firm-year observations for the period 2002</w:t>
      </w:r>
      <w:r w:rsidR="00D45764"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 xml:space="preserve">2017, our results confirm that BGD is negatively associated with CSR decoupling. </w:t>
      </w:r>
      <w:r w:rsidR="00D45764" w:rsidRPr="00DB6C99">
        <w:rPr>
          <w:rFonts w:ascii="Garamond" w:eastAsia="Calibri" w:hAnsi="Garamond" w:cs="Times New Roman"/>
          <w:sz w:val="24"/>
          <w:szCs w:val="24"/>
          <w:lang w:val="en-GB"/>
        </w:rPr>
        <w:t>A</w:t>
      </w:r>
      <w:r w:rsidRPr="00DB6C99">
        <w:rPr>
          <w:rFonts w:ascii="Garamond" w:eastAsia="Calibri" w:hAnsi="Garamond" w:cs="Times New Roman"/>
          <w:sz w:val="24"/>
          <w:szCs w:val="24"/>
          <w:lang w:val="en-GB"/>
        </w:rPr>
        <w:t xml:space="preserve">nalysis of </w:t>
      </w:r>
      <w:r w:rsidR="00D45764" w:rsidRPr="00DB6C99">
        <w:rPr>
          <w:rFonts w:ascii="Garamond" w:eastAsia="Calibri" w:hAnsi="Garamond" w:cs="Times New Roman"/>
          <w:sz w:val="24"/>
          <w:szCs w:val="24"/>
          <w:lang w:val="en-GB"/>
        </w:rPr>
        <w:t xml:space="preserve">the </w:t>
      </w:r>
      <w:r w:rsidRPr="00DB6C99">
        <w:rPr>
          <w:rFonts w:ascii="Garamond" w:eastAsia="Calibri" w:hAnsi="Garamond" w:cs="Times New Roman"/>
          <w:sz w:val="24"/>
          <w:szCs w:val="24"/>
          <w:lang w:val="en-GB"/>
        </w:rPr>
        <w:t>composition of gender</w:t>
      </w:r>
      <w:r w:rsidR="00AA13C6"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diverse boards further reveals that this effect is stronger for balanced</w:t>
      </w:r>
      <w:r w:rsidR="00CE6A4F" w:rsidRPr="00DB6C99">
        <w:rPr>
          <w:rFonts w:ascii="Garamond" w:eastAsia="Calibri" w:hAnsi="Garamond" w:cs="Times New Roman"/>
          <w:sz w:val="24"/>
          <w:szCs w:val="24"/>
          <w:lang w:val="en-GB"/>
        </w:rPr>
        <w:t xml:space="preserve"> boards</w:t>
      </w:r>
      <w:r w:rsidRPr="00DB6C99">
        <w:rPr>
          <w:rFonts w:ascii="Garamond" w:eastAsia="Calibri" w:hAnsi="Garamond" w:cs="Times New Roman"/>
          <w:sz w:val="24"/>
          <w:szCs w:val="24"/>
          <w:lang w:val="en-GB"/>
        </w:rPr>
        <w:t xml:space="preserve"> </w:t>
      </w:r>
      <w:r w:rsidR="00CE6A4F" w:rsidRPr="00DB6C99">
        <w:rPr>
          <w:rFonts w:ascii="Garamond" w:eastAsia="Calibri" w:hAnsi="Garamond" w:cs="Times New Roman"/>
          <w:sz w:val="24"/>
          <w:szCs w:val="24"/>
          <w:lang w:val="en-GB"/>
        </w:rPr>
        <w:t>than for</w:t>
      </w:r>
      <w:r w:rsidRPr="00DB6C99">
        <w:rPr>
          <w:rFonts w:ascii="Garamond" w:eastAsia="Calibri" w:hAnsi="Garamond" w:cs="Times New Roman"/>
          <w:sz w:val="24"/>
          <w:szCs w:val="24"/>
          <w:lang w:val="en-GB"/>
        </w:rPr>
        <w:t xml:space="preserve"> skewed and til</w:t>
      </w:r>
      <w:r w:rsidR="00337B59" w:rsidRPr="00DB6C99">
        <w:rPr>
          <w:rFonts w:ascii="Garamond" w:eastAsia="Calibri" w:hAnsi="Garamond" w:cs="Times New Roman"/>
          <w:sz w:val="24"/>
          <w:szCs w:val="24"/>
          <w:lang w:val="en-GB"/>
        </w:rPr>
        <w:t>t</w:t>
      </w:r>
      <w:r w:rsidRPr="00DB6C99">
        <w:rPr>
          <w:rFonts w:ascii="Garamond" w:eastAsia="Calibri" w:hAnsi="Garamond" w:cs="Times New Roman"/>
          <w:sz w:val="24"/>
          <w:szCs w:val="24"/>
          <w:lang w:val="en-GB"/>
        </w:rPr>
        <w:t>ed</w:t>
      </w:r>
      <w:r w:rsidR="00CE6A4F" w:rsidRPr="00DB6C99">
        <w:rPr>
          <w:rFonts w:ascii="Garamond" w:eastAsia="Calibri" w:hAnsi="Garamond" w:cs="Times New Roman"/>
          <w:sz w:val="24"/>
          <w:szCs w:val="24"/>
          <w:lang w:val="en-GB"/>
        </w:rPr>
        <w:t xml:space="preserve"> </w:t>
      </w:r>
      <w:r w:rsidRPr="00DB6C99">
        <w:rPr>
          <w:rFonts w:ascii="Garamond" w:eastAsia="Calibri" w:hAnsi="Garamond" w:cs="Times New Roman"/>
          <w:sz w:val="24"/>
          <w:szCs w:val="24"/>
          <w:lang w:val="en-GB"/>
        </w:rPr>
        <w:t xml:space="preserve">boards. Furthermore, we note that independent women directors are more effective monitors of decoupling than executive directors. We also document that the relationship between </w:t>
      </w:r>
      <w:r w:rsidR="00CE6A4F" w:rsidRPr="00DB6C99">
        <w:rPr>
          <w:rFonts w:ascii="Garamond" w:eastAsia="Calibri" w:hAnsi="Garamond" w:cs="Times New Roman"/>
          <w:sz w:val="24"/>
          <w:szCs w:val="24"/>
          <w:lang w:val="en-GB"/>
        </w:rPr>
        <w:t>BGD</w:t>
      </w:r>
      <w:r w:rsidRPr="00DB6C99">
        <w:rPr>
          <w:rFonts w:ascii="Garamond" w:eastAsia="Calibri" w:hAnsi="Garamond" w:cs="Times New Roman"/>
          <w:sz w:val="24"/>
          <w:szCs w:val="24"/>
          <w:lang w:val="en-GB"/>
        </w:rPr>
        <w:t xml:space="preserve"> and CSR decoupling is stronger when the overall governance is weak. This implies that gender-diverse boards could act as a substitute mechanism for corporate governance that would otherwise </w:t>
      </w:r>
      <w:r w:rsidR="00D45764" w:rsidRPr="00DB6C99">
        <w:rPr>
          <w:rFonts w:ascii="Garamond" w:eastAsia="Calibri" w:hAnsi="Garamond" w:cs="Times New Roman"/>
          <w:sz w:val="24"/>
          <w:szCs w:val="24"/>
          <w:lang w:val="en-GB"/>
        </w:rPr>
        <w:t xml:space="preserve">be </w:t>
      </w:r>
      <w:r w:rsidRPr="00DB6C99">
        <w:rPr>
          <w:rFonts w:ascii="Garamond" w:eastAsia="Calibri" w:hAnsi="Garamond" w:cs="Times New Roman"/>
          <w:sz w:val="24"/>
          <w:szCs w:val="24"/>
          <w:lang w:val="en-GB"/>
        </w:rPr>
        <w:t>weak. Our study offers important theoretical and policy implications for the field of corporate governance and CSR.</w:t>
      </w:r>
    </w:p>
    <w:p w14:paraId="69F214EA" w14:textId="07194867" w:rsidR="006D1386" w:rsidRDefault="006D1386" w:rsidP="006D1386">
      <w:pPr>
        <w:spacing w:after="0" w:line="240" w:lineRule="auto"/>
        <w:jc w:val="both"/>
        <w:rPr>
          <w:rFonts w:ascii="Garamond" w:eastAsia="Calibri" w:hAnsi="Garamond" w:cs="Times New Roman"/>
          <w:sz w:val="24"/>
          <w:szCs w:val="24"/>
          <w:lang w:val="en-GB"/>
        </w:rPr>
      </w:pPr>
    </w:p>
    <w:p w14:paraId="6FFB4067" w14:textId="77777777" w:rsidR="006D1386" w:rsidRPr="00DB6C99" w:rsidRDefault="006D1386" w:rsidP="006D1386">
      <w:pPr>
        <w:spacing w:after="0" w:line="240" w:lineRule="auto"/>
        <w:jc w:val="both"/>
        <w:rPr>
          <w:rFonts w:ascii="Garamond" w:eastAsia="Calibri" w:hAnsi="Garamond" w:cs="Times New Roman"/>
          <w:sz w:val="24"/>
          <w:szCs w:val="24"/>
          <w:lang w:val="en-GB"/>
        </w:rPr>
      </w:pPr>
    </w:p>
    <w:p w14:paraId="7FEA940E" w14:textId="77777777" w:rsidR="004A1788" w:rsidRPr="00DB6C99" w:rsidRDefault="004A1788" w:rsidP="006D1386">
      <w:pPr>
        <w:spacing w:after="0" w:line="240" w:lineRule="auto"/>
        <w:jc w:val="both"/>
        <w:rPr>
          <w:rFonts w:ascii="Garamond" w:eastAsia="Calibri" w:hAnsi="Garamond" w:cs="Times New Roman"/>
          <w:sz w:val="36"/>
          <w:szCs w:val="32"/>
          <w:lang w:val="en-GB"/>
        </w:rPr>
      </w:pPr>
      <w:r w:rsidRPr="00DB6C99">
        <w:rPr>
          <w:rFonts w:ascii="Garamond" w:eastAsia="Calibri" w:hAnsi="Garamond" w:cs="Times New Roman"/>
          <w:b/>
          <w:sz w:val="24"/>
          <w:szCs w:val="24"/>
          <w:lang w:val="en-GB"/>
        </w:rPr>
        <w:t>Keywords:</w:t>
      </w:r>
      <w:r w:rsidRPr="00DB6C99">
        <w:rPr>
          <w:rFonts w:ascii="Garamond" w:eastAsia="Calibri" w:hAnsi="Garamond" w:cs="Times New Roman"/>
          <w:sz w:val="24"/>
          <w:szCs w:val="24"/>
          <w:lang w:val="en-GB"/>
        </w:rPr>
        <w:t xml:space="preserve"> Corporate Governance, Board Gender Diversity, Corporate Social Responsibility Decoupling, Agency Theory, Critical Mass Theory </w:t>
      </w:r>
    </w:p>
    <w:p w14:paraId="653ECB28" w14:textId="77777777" w:rsidR="004A1788" w:rsidRPr="00DB6C99" w:rsidRDefault="004A1788" w:rsidP="004A1788">
      <w:pPr>
        <w:spacing w:after="0" w:line="240" w:lineRule="auto"/>
        <w:jc w:val="both"/>
        <w:rPr>
          <w:rFonts w:ascii="Garamond" w:eastAsia="Calibri" w:hAnsi="Garamond" w:cs="Times New Roman"/>
          <w:b/>
          <w:sz w:val="28"/>
          <w:szCs w:val="24"/>
          <w:lang w:val="en-GB"/>
        </w:rPr>
      </w:pPr>
    </w:p>
    <w:p w14:paraId="7CEA8F74" w14:textId="77777777" w:rsidR="004A1788" w:rsidRPr="00DB6C99" w:rsidRDefault="004A1788" w:rsidP="004A1788">
      <w:pPr>
        <w:spacing w:after="0" w:line="240" w:lineRule="auto"/>
        <w:jc w:val="both"/>
        <w:rPr>
          <w:rFonts w:ascii="Garamond" w:eastAsia="Calibri" w:hAnsi="Garamond" w:cs="Times New Roman"/>
          <w:b/>
          <w:sz w:val="28"/>
          <w:szCs w:val="24"/>
          <w:lang w:val="en-GB"/>
        </w:rPr>
      </w:pPr>
    </w:p>
    <w:p w14:paraId="3553D8E2" w14:textId="77777777" w:rsidR="004A1788" w:rsidRPr="00DB6C99" w:rsidRDefault="004A1788" w:rsidP="004A1788">
      <w:pPr>
        <w:spacing w:after="0" w:line="240" w:lineRule="auto"/>
        <w:jc w:val="both"/>
        <w:rPr>
          <w:rFonts w:ascii="Garamond" w:eastAsia="Calibri" w:hAnsi="Garamond" w:cs="Times New Roman"/>
          <w:b/>
          <w:sz w:val="28"/>
          <w:szCs w:val="24"/>
          <w:lang w:val="en-GB"/>
        </w:rPr>
      </w:pPr>
    </w:p>
    <w:p w14:paraId="1A241DF0" w14:textId="77777777" w:rsidR="004A1788" w:rsidRPr="00DB6C99" w:rsidRDefault="004A1788" w:rsidP="004A1788">
      <w:pPr>
        <w:spacing w:after="0" w:line="240" w:lineRule="auto"/>
        <w:jc w:val="both"/>
        <w:rPr>
          <w:rFonts w:ascii="Garamond" w:eastAsia="Calibri" w:hAnsi="Garamond" w:cs="Times New Roman"/>
          <w:b/>
          <w:sz w:val="28"/>
          <w:szCs w:val="24"/>
          <w:lang w:val="en-GB"/>
        </w:rPr>
      </w:pPr>
    </w:p>
    <w:p w14:paraId="7CA5DCD5" w14:textId="77777777" w:rsidR="004A1788" w:rsidRPr="00DB6C99" w:rsidRDefault="004A1788" w:rsidP="004A1788">
      <w:pPr>
        <w:spacing w:after="0" w:line="240" w:lineRule="auto"/>
        <w:jc w:val="both"/>
        <w:rPr>
          <w:rFonts w:ascii="Garamond" w:eastAsia="Calibri" w:hAnsi="Garamond" w:cs="Times New Roman"/>
          <w:b/>
          <w:sz w:val="28"/>
          <w:szCs w:val="24"/>
          <w:lang w:val="en-GB"/>
        </w:rPr>
      </w:pPr>
    </w:p>
    <w:p w14:paraId="06CB5017" w14:textId="77777777" w:rsidR="006B2619" w:rsidRPr="00DB6C99" w:rsidRDefault="006B2619" w:rsidP="004A1788">
      <w:pPr>
        <w:spacing w:after="0" w:line="240" w:lineRule="auto"/>
        <w:jc w:val="both"/>
        <w:rPr>
          <w:rFonts w:ascii="Garamond" w:eastAsia="Calibri" w:hAnsi="Garamond" w:cs="Times New Roman"/>
          <w:b/>
          <w:sz w:val="28"/>
          <w:szCs w:val="24"/>
          <w:lang w:val="en-GB"/>
        </w:rPr>
      </w:pPr>
    </w:p>
    <w:p w14:paraId="35049F50" w14:textId="33F917EF" w:rsidR="004A1788" w:rsidRPr="00DB6C99" w:rsidRDefault="004A1788" w:rsidP="004A1788">
      <w:pPr>
        <w:spacing w:line="360" w:lineRule="auto"/>
        <w:jc w:val="both"/>
        <w:rPr>
          <w:rFonts w:ascii="Garamond" w:eastAsia="Calibri" w:hAnsi="Garamond" w:cs="Times New Roman"/>
          <w:b/>
          <w:sz w:val="28"/>
          <w:szCs w:val="24"/>
          <w:lang w:val="en-GB"/>
        </w:rPr>
      </w:pPr>
      <w:r w:rsidRPr="00DB6C99">
        <w:rPr>
          <w:rFonts w:ascii="Garamond" w:eastAsia="Calibri" w:hAnsi="Garamond" w:cs="Times New Roman"/>
          <w:b/>
          <w:sz w:val="28"/>
          <w:szCs w:val="24"/>
          <w:lang w:val="en-GB"/>
        </w:rPr>
        <w:lastRenderedPageBreak/>
        <w:t>Introduction</w:t>
      </w:r>
    </w:p>
    <w:p w14:paraId="0D609B7A" w14:textId="259DAEDB" w:rsidR="004A1788" w:rsidRPr="00DB6C99" w:rsidRDefault="004A1788" w:rsidP="004A1788">
      <w:pPr>
        <w:spacing w:line="360" w:lineRule="auto"/>
        <w:ind w:firstLine="720"/>
        <w:jc w:val="both"/>
        <w:rPr>
          <w:rFonts w:ascii="Garamond" w:eastAsia="Calibri" w:hAnsi="Garamond" w:cs="Times New Roman"/>
          <w:sz w:val="24"/>
          <w:szCs w:val="24"/>
          <w:lang w:val="en-GB"/>
        </w:rPr>
      </w:pPr>
      <w:r w:rsidRPr="00DB6C99">
        <w:rPr>
          <w:rFonts w:ascii="Garamond" w:eastAsia="Calibri" w:hAnsi="Garamond" w:cs="Times New Roman"/>
          <w:sz w:val="24"/>
          <w:szCs w:val="24"/>
          <w:lang w:val="en-GB"/>
        </w:rPr>
        <w:t xml:space="preserve">Firms are increasingly undertaking corporate social responsibility (hereafter CSR) activities, be </w:t>
      </w:r>
      <w:r w:rsidR="00D45764" w:rsidRPr="00DB6C99">
        <w:rPr>
          <w:rFonts w:ascii="Garamond" w:eastAsia="Calibri" w:hAnsi="Garamond" w:cs="Times New Roman"/>
          <w:sz w:val="24"/>
          <w:szCs w:val="24"/>
          <w:lang w:val="en-GB"/>
        </w:rPr>
        <w:t>they</w:t>
      </w:r>
      <w:r w:rsidRPr="00DB6C99">
        <w:rPr>
          <w:rFonts w:ascii="Garamond" w:eastAsia="Calibri" w:hAnsi="Garamond" w:cs="Times New Roman"/>
          <w:sz w:val="24"/>
          <w:szCs w:val="24"/>
          <w:lang w:val="en-GB"/>
        </w:rPr>
        <w:t xml:space="preserve"> internal actions such as enacting sustainability initiatives or external actions such as su</w:t>
      </w:r>
      <w:r w:rsidR="00D1514D" w:rsidRPr="00DB6C99">
        <w:rPr>
          <w:rFonts w:ascii="Garamond" w:eastAsia="Calibri" w:hAnsi="Garamond" w:cs="Times New Roman"/>
          <w:sz w:val="24"/>
          <w:szCs w:val="24"/>
          <w:lang w:val="en-GB"/>
        </w:rPr>
        <w:t xml:space="preserve">stainability disclosure (Hawn </w:t>
      </w:r>
      <w:r w:rsidR="00D45764" w:rsidRPr="00DB6C99">
        <w:rPr>
          <w:rFonts w:ascii="Garamond" w:eastAsia="Calibri" w:hAnsi="Garamond" w:cs="Times New Roman"/>
          <w:sz w:val="24"/>
          <w:szCs w:val="24"/>
          <w:lang w:val="en-GB"/>
        </w:rPr>
        <w:t>and</w:t>
      </w:r>
      <w:r w:rsidR="00D1514D" w:rsidRPr="00DB6C99">
        <w:rPr>
          <w:rFonts w:ascii="Garamond" w:eastAsia="Calibri" w:hAnsi="Garamond" w:cs="Times New Roman"/>
          <w:sz w:val="24"/>
          <w:szCs w:val="24"/>
          <w:lang w:val="en-GB"/>
        </w:rPr>
        <w:t xml:space="preserve"> </w:t>
      </w:r>
      <w:r w:rsidRPr="00DB6C99">
        <w:rPr>
          <w:rFonts w:ascii="Garamond" w:eastAsia="Calibri" w:hAnsi="Garamond" w:cs="Times New Roman"/>
          <w:sz w:val="24"/>
          <w:szCs w:val="24"/>
          <w:lang w:val="en-GB"/>
        </w:rPr>
        <w:t>Ioannou, 2016), to respond to stakeholder</w:t>
      </w:r>
      <w:r w:rsidR="006B2619" w:rsidRPr="00DB6C99">
        <w:rPr>
          <w:rFonts w:ascii="Garamond" w:eastAsia="Calibri" w:hAnsi="Garamond" w:cs="Times New Roman"/>
          <w:sz w:val="24"/>
          <w:szCs w:val="24"/>
          <w:lang w:val="en-GB"/>
        </w:rPr>
        <w:t>s’</w:t>
      </w:r>
      <w:r w:rsidRPr="00DB6C99">
        <w:rPr>
          <w:rFonts w:ascii="Garamond" w:eastAsia="Calibri" w:hAnsi="Garamond" w:cs="Times New Roman"/>
          <w:sz w:val="24"/>
          <w:szCs w:val="24"/>
          <w:lang w:val="en-GB"/>
        </w:rPr>
        <w:t xml:space="preserve"> demands </w:t>
      </w:r>
      <w:r w:rsidR="00130B39" w:rsidRPr="00DB6C99">
        <w:rPr>
          <w:rFonts w:ascii="Garamond" w:eastAsia="Calibri" w:hAnsi="Garamond" w:cs="Times New Roman"/>
          <w:sz w:val="24"/>
          <w:szCs w:val="24"/>
          <w:lang w:val="en-GB"/>
        </w:rPr>
        <w:t xml:space="preserve">that firms </w:t>
      </w:r>
      <w:r w:rsidRPr="00DB6C99">
        <w:rPr>
          <w:rFonts w:ascii="Garamond" w:eastAsia="Calibri" w:hAnsi="Garamond" w:cs="Times New Roman"/>
          <w:sz w:val="24"/>
          <w:szCs w:val="24"/>
          <w:lang w:val="en-GB"/>
        </w:rPr>
        <w:t xml:space="preserve">be environmentally and socially responsible. In practice, however, managers often decouple </w:t>
      </w:r>
      <w:r w:rsidR="006B2619" w:rsidRPr="00DB6C99">
        <w:rPr>
          <w:rFonts w:ascii="Garamond" w:eastAsia="Calibri" w:hAnsi="Garamond" w:cs="Times New Roman"/>
          <w:sz w:val="24"/>
          <w:szCs w:val="24"/>
          <w:lang w:val="en-GB"/>
        </w:rPr>
        <w:t xml:space="preserve">these </w:t>
      </w:r>
      <w:r w:rsidRPr="00DB6C99">
        <w:rPr>
          <w:rFonts w:ascii="Garamond" w:eastAsia="Calibri" w:hAnsi="Garamond" w:cs="Times New Roman"/>
          <w:sz w:val="24"/>
          <w:szCs w:val="24"/>
          <w:lang w:val="en-GB"/>
        </w:rPr>
        <w:t>actions. CSR decoupling</w:t>
      </w:r>
      <w:r w:rsidR="00337B59"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 xml:space="preserve">the gap between </w:t>
      </w:r>
      <w:r w:rsidR="00130B39" w:rsidRPr="00DB6C99">
        <w:rPr>
          <w:rFonts w:ascii="Garamond" w:eastAsia="Calibri" w:hAnsi="Garamond" w:cs="Times New Roman"/>
          <w:sz w:val="24"/>
          <w:szCs w:val="24"/>
          <w:lang w:val="en-GB"/>
        </w:rPr>
        <w:t xml:space="preserve">firms’ </w:t>
      </w:r>
      <w:r w:rsidRPr="00DB6C99">
        <w:rPr>
          <w:rFonts w:ascii="Garamond" w:eastAsia="Calibri" w:hAnsi="Garamond" w:cs="Times New Roman"/>
          <w:sz w:val="24"/>
          <w:szCs w:val="24"/>
          <w:lang w:val="en-GB"/>
        </w:rPr>
        <w:t>CSR claims and actual CSR performance</w:t>
      </w:r>
      <w:r w:rsidR="00337B59" w:rsidRPr="00DB6C99">
        <w:rPr>
          <w:rFonts w:ascii="Garamond" w:eastAsia="Calibri" w:hAnsi="Garamond" w:cs="Times New Roman"/>
          <w:sz w:val="24"/>
          <w:szCs w:val="24"/>
          <w:lang w:val="en-GB"/>
        </w:rPr>
        <w:t>—i</w:t>
      </w:r>
      <w:r w:rsidRPr="00DB6C99">
        <w:rPr>
          <w:rFonts w:ascii="Garamond" w:eastAsia="Calibri" w:hAnsi="Garamond" w:cs="Times New Roman"/>
          <w:sz w:val="24"/>
          <w:szCs w:val="24"/>
          <w:lang w:val="en-GB"/>
        </w:rPr>
        <w:t>s the topic of much scholarly debate (</w:t>
      </w:r>
      <w:r w:rsidR="006C78EB" w:rsidRPr="00DB6C99">
        <w:rPr>
          <w:rFonts w:ascii="Garamond" w:eastAsia="Calibri" w:hAnsi="Garamond" w:cs="Times New Roman"/>
          <w:sz w:val="24"/>
          <w:szCs w:val="24"/>
          <w:lang w:val="en-GB"/>
        </w:rPr>
        <w:t xml:space="preserve">Gull </w:t>
      </w:r>
      <w:r w:rsidR="006C78EB" w:rsidRPr="00DB6C99">
        <w:rPr>
          <w:rFonts w:ascii="Garamond" w:eastAsia="Calibri" w:hAnsi="Garamond" w:cs="Times New Roman"/>
          <w:i/>
          <w:sz w:val="24"/>
          <w:szCs w:val="24"/>
          <w:lang w:val="en-GB"/>
        </w:rPr>
        <w:t>et al</w:t>
      </w:r>
      <w:r w:rsidR="006C78EB" w:rsidRPr="00DB6C99">
        <w:rPr>
          <w:rFonts w:ascii="Garamond" w:eastAsia="Calibri" w:hAnsi="Garamond" w:cs="Times New Roman"/>
          <w:iCs/>
          <w:sz w:val="24"/>
          <w:szCs w:val="24"/>
          <w:lang w:val="en-GB"/>
        </w:rPr>
        <w:t>.,</w:t>
      </w:r>
      <w:r w:rsidR="006C78EB" w:rsidRPr="00DB6C99">
        <w:rPr>
          <w:rFonts w:ascii="Garamond" w:eastAsia="Calibri" w:hAnsi="Garamond" w:cs="Times New Roman"/>
          <w:sz w:val="24"/>
          <w:szCs w:val="24"/>
          <w:lang w:val="en-GB"/>
        </w:rPr>
        <w:t xml:space="preserve"> 2022; </w:t>
      </w:r>
      <w:r w:rsidRPr="00DB6C99">
        <w:rPr>
          <w:rFonts w:ascii="Garamond" w:eastAsia="Calibri" w:hAnsi="Garamond" w:cs="Times New Roman"/>
          <w:sz w:val="24"/>
          <w:szCs w:val="24"/>
          <w:lang w:val="en-GB"/>
        </w:rPr>
        <w:t xml:space="preserve">Sauerwald </w:t>
      </w:r>
      <w:r w:rsidR="00130B39" w:rsidRPr="00DB6C99">
        <w:rPr>
          <w:rFonts w:ascii="Garamond" w:eastAsia="Calibri" w:hAnsi="Garamond" w:cs="Times New Roman"/>
          <w:sz w:val="24"/>
          <w:szCs w:val="24"/>
          <w:lang w:val="en-GB"/>
        </w:rPr>
        <w:t>and</w:t>
      </w:r>
      <w:r w:rsidRPr="00DB6C99">
        <w:rPr>
          <w:rFonts w:ascii="Garamond" w:eastAsia="Calibri" w:hAnsi="Garamond" w:cs="Times New Roman"/>
          <w:sz w:val="24"/>
          <w:szCs w:val="24"/>
          <w:lang w:val="en-GB"/>
        </w:rPr>
        <w:t xml:space="preserve"> Su, 2019; Tashman</w:t>
      </w:r>
      <w:r w:rsidR="00815C32" w:rsidRPr="00DB6C99">
        <w:rPr>
          <w:rFonts w:ascii="Garamond" w:eastAsia="Calibri" w:hAnsi="Garamond" w:cs="Times New Roman"/>
          <w:sz w:val="24"/>
          <w:szCs w:val="24"/>
          <w:lang w:val="en-GB"/>
        </w:rPr>
        <w:t>, Marano and Kostova</w:t>
      </w:r>
      <w:r w:rsidRPr="00DB6C99">
        <w:rPr>
          <w:rFonts w:ascii="Garamond" w:eastAsia="Calibri" w:hAnsi="Garamond" w:cs="Times New Roman"/>
          <w:iCs/>
          <w:sz w:val="24"/>
          <w:szCs w:val="24"/>
          <w:lang w:val="en-GB"/>
        </w:rPr>
        <w:t xml:space="preserve">, </w:t>
      </w:r>
      <w:r w:rsidRPr="00DB6C99">
        <w:rPr>
          <w:rFonts w:ascii="Garamond" w:eastAsia="Calibri" w:hAnsi="Garamond" w:cs="Times New Roman"/>
          <w:sz w:val="24"/>
          <w:szCs w:val="24"/>
          <w:lang w:val="en-GB"/>
        </w:rPr>
        <w:t xml:space="preserve">2019). Extant research demonstrates that firms deviate from their CSR </w:t>
      </w:r>
      <w:r w:rsidR="008E45BA" w:rsidRPr="00DB6C99">
        <w:rPr>
          <w:rFonts w:ascii="Garamond" w:eastAsia="Calibri" w:hAnsi="Garamond" w:cs="Times New Roman"/>
          <w:sz w:val="24"/>
          <w:szCs w:val="24"/>
          <w:lang w:val="en-GB"/>
        </w:rPr>
        <w:t>targets</w:t>
      </w:r>
      <w:r w:rsidRPr="00DB6C99">
        <w:rPr>
          <w:rFonts w:ascii="Garamond" w:eastAsia="Calibri" w:hAnsi="Garamond" w:cs="Times New Roman"/>
          <w:sz w:val="24"/>
          <w:szCs w:val="24"/>
          <w:lang w:val="en-GB"/>
        </w:rPr>
        <w:t xml:space="preserve"> to influence stakeholders’ perceptions (e.g., Bromley </w:t>
      </w:r>
      <w:r w:rsidR="00130B39" w:rsidRPr="00DB6C99">
        <w:rPr>
          <w:rFonts w:ascii="Garamond" w:eastAsia="Calibri" w:hAnsi="Garamond" w:cs="Times New Roman"/>
          <w:sz w:val="24"/>
          <w:szCs w:val="24"/>
          <w:lang w:val="en-GB"/>
        </w:rPr>
        <w:t>and</w:t>
      </w:r>
      <w:r w:rsidRPr="00DB6C99">
        <w:rPr>
          <w:rFonts w:ascii="Garamond" w:eastAsia="Calibri" w:hAnsi="Garamond" w:cs="Times New Roman"/>
          <w:sz w:val="24"/>
          <w:szCs w:val="24"/>
          <w:lang w:val="en-GB"/>
        </w:rPr>
        <w:t xml:space="preserve"> Powell, 2012; </w:t>
      </w:r>
      <w:r w:rsidR="009241D9" w:rsidRPr="00DB6C99">
        <w:rPr>
          <w:rFonts w:ascii="Garamond" w:eastAsia="Calibri" w:hAnsi="Garamond" w:cs="Times New Roman"/>
          <w:sz w:val="24"/>
          <w:szCs w:val="24"/>
          <w:lang w:val="en-GB"/>
        </w:rPr>
        <w:t xml:space="preserve">García-Sánchez </w:t>
      </w:r>
      <w:r w:rsidR="009241D9" w:rsidRPr="00DB6C99">
        <w:rPr>
          <w:rFonts w:ascii="Garamond" w:eastAsia="Calibri" w:hAnsi="Garamond" w:cs="Times New Roman"/>
          <w:i/>
          <w:sz w:val="24"/>
          <w:szCs w:val="24"/>
          <w:lang w:val="en-GB"/>
        </w:rPr>
        <w:t>et al</w:t>
      </w:r>
      <w:r w:rsidR="009241D9" w:rsidRPr="00DB6C99">
        <w:rPr>
          <w:rFonts w:ascii="Garamond" w:eastAsia="Calibri" w:hAnsi="Garamond" w:cs="Times New Roman"/>
          <w:iCs/>
          <w:sz w:val="24"/>
          <w:szCs w:val="24"/>
          <w:lang w:val="en-GB"/>
        </w:rPr>
        <w:t>.,</w:t>
      </w:r>
      <w:r w:rsidR="009241D9" w:rsidRPr="00DB6C99">
        <w:rPr>
          <w:rFonts w:ascii="Garamond" w:eastAsia="Calibri" w:hAnsi="Garamond" w:cs="Times New Roman"/>
          <w:sz w:val="24"/>
          <w:szCs w:val="24"/>
          <w:lang w:val="en-GB"/>
        </w:rPr>
        <w:t xml:space="preserve"> 2022; </w:t>
      </w:r>
      <w:r w:rsidRPr="00DB6C99">
        <w:rPr>
          <w:rFonts w:ascii="Garamond" w:eastAsia="Calibri" w:hAnsi="Garamond" w:cs="Times New Roman"/>
          <w:sz w:val="24"/>
          <w:szCs w:val="24"/>
          <w:lang w:val="en-GB"/>
        </w:rPr>
        <w:t xml:space="preserve">Graafland </w:t>
      </w:r>
      <w:r w:rsidR="00130B39" w:rsidRPr="00DB6C99">
        <w:rPr>
          <w:rFonts w:ascii="Garamond" w:eastAsia="Calibri" w:hAnsi="Garamond" w:cs="Times New Roman"/>
          <w:sz w:val="24"/>
          <w:szCs w:val="24"/>
          <w:lang w:val="en-GB"/>
        </w:rPr>
        <w:t>and</w:t>
      </w:r>
      <w:r w:rsidRPr="00DB6C99">
        <w:rPr>
          <w:rFonts w:ascii="Garamond" w:eastAsia="Calibri" w:hAnsi="Garamond" w:cs="Times New Roman"/>
          <w:sz w:val="24"/>
          <w:szCs w:val="24"/>
          <w:lang w:val="en-GB"/>
        </w:rPr>
        <w:t xml:space="preserve"> Smid, 2019). </w:t>
      </w:r>
    </w:p>
    <w:p w14:paraId="4E3961E0" w14:textId="6E9A9241" w:rsidR="004A1788" w:rsidRPr="00DB6C99" w:rsidRDefault="00BE2C17" w:rsidP="004A1788">
      <w:pPr>
        <w:spacing w:line="360" w:lineRule="auto"/>
        <w:ind w:firstLine="720"/>
        <w:jc w:val="both"/>
        <w:rPr>
          <w:rFonts w:ascii="Garamond" w:eastAsia="Calibri" w:hAnsi="Garamond" w:cs="Times New Roman"/>
          <w:sz w:val="24"/>
          <w:szCs w:val="24"/>
          <w:lang w:val="en-GB"/>
        </w:rPr>
      </w:pPr>
      <w:r w:rsidRPr="00DB6C99">
        <w:rPr>
          <w:rFonts w:ascii="Garamond" w:eastAsia="Calibri" w:hAnsi="Garamond" w:cs="Times New Roman"/>
          <w:sz w:val="24"/>
          <w:szCs w:val="24"/>
          <w:lang w:val="en-GB"/>
        </w:rPr>
        <w:t>CSR decoupling</w:t>
      </w:r>
      <w:r w:rsidR="004A1788" w:rsidRPr="00DB6C99">
        <w:rPr>
          <w:rFonts w:ascii="Garamond" w:eastAsia="Calibri" w:hAnsi="Garamond" w:cs="Times New Roman"/>
          <w:sz w:val="24"/>
          <w:szCs w:val="24"/>
          <w:lang w:val="en-GB"/>
        </w:rPr>
        <w:t xml:space="preserve"> allows executives to deceive stakeholders about organizational practices, thereby </w:t>
      </w:r>
      <w:r w:rsidRPr="00DB6C99">
        <w:rPr>
          <w:rFonts w:ascii="Garamond" w:eastAsia="Calibri" w:hAnsi="Garamond" w:cs="Times New Roman"/>
          <w:sz w:val="24"/>
          <w:szCs w:val="24"/>
          <w:lang w:val="en-GB"/>
        </w:rPr>
        <w:t xml:space="preserve">enabling </w:t>
      </w:r>
      <w:r w:rsidR="004A1788" w:rsidRPr="00DB6C99">
        <w:rPr>
          <w:rFonts w:ascii="Garamond" w:eastAsia="Calibri" w:hAnsi="Garamond" w:cs="Times New Roman"/>
          <w:sz w:val="24"/>
          <w:szCs w:val="24"/>
          <w:lang w:val="en-GB"/>
        </w:rPr>
        <w:t xml:space="preserve">the company </w:t>
      </w:r>
      <w:r w:rsidRPr="00DB6C99">
        <w:rPr>
          <w:rFonts w:ascii="Garamond" w:eastAsia="Calibri" w:hAnsi="Garamond" w:cs="Times New Roman"/>
          <w:sz w:val="24"/>
          <w:szCs w:val="24"/>
          <w:lang w:val="en-GB"/>
        </w:rPr>
        <w:t xml:space="preserve">to </w:t>
      </w:r>
      <w:r w:rsidR="004A1788" w:rsidRPr="00DB6C99">
        <w:rPr>
          <w:rFonts w:ascii="Garamond" w:eastAsia="Calibri" w:hAnsi="Garamond" w:cs="Times New Roman"/>
          <w:sz w:val="24"/>
          <w:szCs w:val="24"/>
          <w:lang w:val="en-GB"/>
        </w:rPr>
        <w:t>gain stakeholder legitimacy, at least temporarily (e.g., Crilly</w:t>
      </w:r>
      <w:r w:rsidR="00E97CCB" w:rsidRPr="00DB6C99">
        <w:rPr>
          <w:rFonts w:ascii="Garamond" w:eastAsia="Calibri" w:hAnsi="Garamond" w:cs="Times New Roman"/>
          <w:sz w:val="24"/>
          <w:szCs w:val="24"/>
          <w:lang w:val="en-GB"/>
        </w:rPr>
        <w:t>, Zollo and Hansen</w:t>
      </w:r>
      <w:r w:rsidR="004A1788" w:rsidRPr="00DB6C99">
        <w:rPr>
          <w:rFonts w:ascii="Garamond" w:eastAsia="Calibri" w:hAnsi="Garamond" w:cs="Times New Roman"/>
          <w:iCs/>
          <w:sz w:val="24"/>
          <w:szCs w:val="24"/>
          <w:lang w:val="en-GB"/>
        </w:rPr>
        <w:t>,</w:t>
      </w:r>
      <w:r w:rsidR="006B2619" w:rsidRPr="00DB6C99">
        <w:rPr>
          <w:rFonts w:ascii="Garamond" w:eastAsia="Calibri" w:hAnsi="Garamond" w:cs="Times New Roman"/>
          <w:sz w:val="24"/>
          <w:szCs w:val="24"/>
          <w:lang w:val="en-GB"/>
        </w:rPr>
        <w:t xml:space="preserve"> 2012</w:t>
      </w:r>
      <w:r w:rsidR="004A1788" w:rsidRPr="00DB6C99">
        <w:rPr>
          <w:rFonts w:ascii="Garamond" w:eastAsia="Calibri" w:hAnsi="Garamond" w:cs="Times New Roman"/>
          <w:sz w:val="24"/>
          <w:szCs w:val="24"/>
          <w:lang w:val="en-GB"/>
        </w:rPr>
        <w:t>). Faced with rising stakeholder demands for fuel-efficient and green cars, Volkswagen (VW) promot</w:t>
      </w:r>
      <w:r w:rsidRPr="00DB6C99">
        <w:rPr>
          <w:rFonts w:ascii="Garamond" w:eastAsia="Calibri" w:hAnsi="Garamond" w:cs="Times New Roman"/>
          <w:sz w:val="24"/>
          <w:szCs w:val="24"/>
          <w:lang w:val="en-GB"/>
        </w:rPr>
        <w:t>ed</w:t>
      </w:r>
      <w:r w:rsidR="004A1788" w:rsidRPr="00DB6C99">
        <w:rPr>
          <w:rFonts w:ascii="Garamond" w:eastAsia="Calibri" w:hAnsi="Garamond" w:cs="Times New Roman"/>
          <w:sz w:val="24"/>
          <w:szCs w:val="24"/>
          <w:lang w:val="en-GB"/>
        </w:rPr>
        <w:t xml:space="preserve"> its Jetta TDI with a ‘</w:t>
      </w:r>
      <w:r w:rsidR="004A1788" w:rsidRPr="00DB6C99">
        <w:rPr>
          <w:rFonts w:ascii="Garamond" w:eastAsia="Calibri" w:hAnsi="Garamond" w:cs="Times New Roman"/>
          <w:iCs/>
          <w:sz w:val="24"/>
          <w:szCs w:val="24"/>
          <w:lang w:val="en-GB"/>
        </w:rPr>
        <w:t>Clean Diesel’</w:t>
      </w:r>
      <w:r w:rsidR="004A1788" w:rsidRPr="00DB6C99">
        <w:rPr>
          <w:rFonts w:ascii="Garamond" w:eastAsia="Calibri" w:hAnsi="Garamond" w:cs="Times New Roman"/>
          <w:sz w:val="24"/>
          <w:szCs w:val="24"/>
          <w:lang w:val="en-GB"/>
        </w:rPr>
        <w:t xml:space="preserve"> label. </w:t>
      </w:r>
      <w:r w:rsidR="00A56508" w:rsidRPr="00DB6C99">
        <w:rPr>
          <w:rFonts w:ascii="Garamond" w:eastAsia="Calibri" w:hAnsi="Garamond" w:cs="Times New Roman"/>
          <w:sz w:val="24"/>
          <w:szCs w:val="24"/>
          <w:lang w:val="en-GB"/>
        </w:rPr>
        <w:t xml:space="preserve">However, </w:t>
      </w:r>
      <w:r w:rsidR="004A1788" w:rsidRPr="00DB6C99">
        <w:rPr>
          <w:rFonts w:ascii="Garamond" w:eastAsia="Calibri" w:hAnsi="Garamond" w:cs="Times New Roman"/>
          <w:sz w:val="24"/>
          <w:szCs w:val="24"/>
          <w:lang w:val="en-GB"/>
        </w:rPr>
        <w:t xml:space="preserve">in 2015, VW was found guilty of installing defeat devices to cheat on emission tests. By misaligning </w:t>
      </w:r>
      <w:r w:rsidR="00A56508" w:rsidRPr="00DB6C99">
        <w:rPr>
          <w:rFonts w:ascii="Garamond" w:eastAsia="Calibri" w:hAnsi="Garamond" w:cs="Times New Roman"/>
          <w:sz w:val="24"/>
          <w:szCs w:val="24"/>
          <w:lang w:val="en-GB"/>
        </w:rPr>
        <w:t xml:space="preserve">its </w:t>
      </w:r>
      <w:r w:rsidR="004A1788" w:rsidRPr="00DB6C99">
        <w:rPr>
          <w:rFonts w:ascii="Garamond" w:eastAsia="Calibri" w:hAnsi="Garamond" w:cs="Times New Roman"/>
          <w:sz w:val="24"/>
          <w:szCs w:val="24"/>
          <w:lang w:val="en-GB"/>
        </w:rPr>
        <w:t xml:space="preserve">CSR actions, VW created </w:t>
      </w:r>
      <w:r w:rsidR="00A56508" w:rsidRPr="00DB6C99">
        <w:rPr>
          <w:rFonts w:ascii="Garamond" w:eastAsia="Calibri" w:hAnsi="Garamond" w:cs="Times New Roman"/>
          <w:sz w:val="24"/>
          <w:szCs w:val="24"/>
          <w:lang w:val="en-GB"/>
        </w:rPr>
        <w:t>the</w:t>
      </w:r>
      <w:r w:rsidR="004A1788" w:rsidRPr="00DB6C99">
        <w:rPr>
          <w:rFonts w:ascii="Garamond" w:eastAsia="Calibri" w:hAnsi="Garamond" w:cs="Times New Roman"/>
          <w:sz w:val="24"/>
          <w:szCs w:val="24"/>
          <w:lang w:val="en-GB"/>
        </w:rPr>
        <w:t xml:space="preserve"> temporary impression of a green company</w:t>
      </w:r>
      <w:r w:rsidRPr="00DB6C99">
        <w:rPr>
          <w:rFonts w:ascii="Garamond" w:eastAsia="Calibri" w:hAnsi="Garamond" w:cs="Times New Roman"/>
          <w:sz w:val="24"/>
          <w:szCs w:val="24"/>
          <w:lang w:val="en-GB"/>
        </w:rPr>
        <w:t>:</w:t>
      </w:r>
      <w:r w:rsidR="004A1788" w:rsidRPr="00DB6C99">
        <w:rPr>
          <w:rFonts w:ascii="Garamond" w:eastAsia="Calibri" w:hAnsi="Garamond" w:cs="Times New Roman"/>
          <w:sz w:val="24"/>
          <w:szCs w:val="24"/>
          <w:lang w:val="en-GB"/>
        </w:rPr>
        <w:t xml:space="preserve"> </w:t>
      </w:r>
      <w:r w:rsidRPr="00DB6C99">
        <w:rPr>
          <w:rFonts w:ascii="Garamond" w:eastAsia="Calibri" w:hAnsi="Garamond" w:cs="Times New Roman"/>
          <w:sz w:val="24"/>
          <w:szCs w:val="24"/>
          <w:lang w:val="en-GB"/>
        </w:rPr>
        <w:t xml:space="preserve">the </w:t>
      </w:r>
      <w:r w:rsidR="004A1788" w:rsidRPr="00DB6C99">
        <w:rPr>
          <w:rFonts w:ascii="Garamond" w:eastAsia="Calibri" w:hAnsi="Garamond" w:cs="Times New Roman"/>
          <w:sz w:val="24"/>
          <w:szCs w:val="24"/>
          <w:lang w:val="en-GB"/>
        </w:rPr>
        <w:t xml:space="preserve">Jetta TDI won the prestigious </w:t>
      </w:r>
      <w:r w:rsidR="004A1788" w:rsidRPr="00DB6C99">
        <w:rPr>
          <w:rFonts w:ascii="Garamond" w:eastAsia="Calibri" w:hAnsi="Garamond" w:cs="Times New Roman"/>
          <w:iCs/>
          <w:sz w:val="24"/>
          <w:szCs w:val="24"/>
          <w:lang w:val="en-GB"/>
        </w:rPr>
        <w:t xml:space="preserve">Green Car of the Year </w:t>
      </w:r>
      <w:r w:rsidR="00A56508" w:rsidRPr="00DB6C99">
        <w:rPr>
          <w:rFonts w:ascii="Garamond" w:eastAsia="Calibri" w:hAnsi="Garamond" w:cs="Times New Roman"/>
          <w:iCs/>
          <w:sz w:val="24"/>
          <w:szCs w:val="24"/>
          <w:lang w:val="en-GB"/>
        </w:rPr>
        <w:t>a</w:t>
      </w:r>
      <w:r w:rsidR="004A1788" w:rsidRPr="00DB6C99">
        <w:rPr>
          <w:rFonts w:ascii="Garamond" w:eastAsia="Calibri" w:hAnsi="Garamond" w:cs="Times New Roman"/>
          <w:iCs/>
          <w:sz w:val="24"/>
          <w:szCs w:val="24"/>
          <w:lang w:val="en-GB"/>
        </w:rPr>
        <w:t>ward</w:t>
      </w:r>
      <w:r w:rsidR="004A1788" w:rsidRPr="00DB6C99">
        <w:rPr>
          <w:rFonts w:ascii="Garamond" w:eastAsia="Calibri" w:hAnsi="Garamond" w:cs="Times New Roman"/>
          <w:sz w:val="24"/>
          <w:szCs w:val="24"/>
          <w:lang w:val="en-GB"/>
        </w:rPr>
        <w:t xml:space="preserve"> (Krall </w:t>
      </w:r>
      <w:r w:rsidR="00A56508" w:rsidRPr="00DB6C99">
        <w:rPr>
          <w:rFonts w:ascii="Garamond" w:eastAsia="Calibri" w:hAnsi="Garamond" w:cs="Times New Roman"/>
          <w:sz w:val="24"/>
          <w:szCs w:val="24"/>
          <w:lang w:val="en-GB"/>
        </w:rPr>
        <w:t>and</w:t>
      </w:r>
      <w:r w:rsidR="004A1788" w:rsidRPr="00DB6C99">
        <w:rPr>
          <w:rFonts w:ascii="Garamond" w:eastAsia="Calibri" w:hAnsi="Garamond" w:cs="Times New Roman"/>
          <w:sz w:val="24"/>
          <w:szCs w:val="24"/>
          <w:lang w:val="en-GB"/>
        </w:rPr>
        <w:t xml:space="preserve"> Peng, 2012). </w:t>
      </w:r>
      <w:r w:rsidR="00A56508" w:rsidRPr="00DB6C99">
        <w:rPr>
          <w:rFonts w:ascii="Garamond" w:eastAsia="Calibri" w:hAnsi="Garamond" w:cs="Times New Roman"/>
          <w:sz w:val="24"/>
          <w:szCs w:val="24"/>
          <w:lang w:val="en-GB"/>
        </w:rPr>
        <w:t xml:space="preserve">Such </w:t>
      </w:r>
      <w:r w:rsidR="00710B56" w:rsidRPr="00DB6C99">
        <w:rPr>
          <w:rFonts w:ascii="Garamond" w:eastAsia="Calibri" w:hAnsi="Garamond" w:cs="Times New Roman"/>
          <w:sz w:val="24"/>
          <w:szCs w:val="24"/>
          <w:lang w:val="en-GB"/>
        </w:rPr>
        <w:t xml:space="preserve">examples </w:t>
      </w:r>
      <w:r w:rsidR="004A1788" w:rsidRPr="00DB6C99">
        <w:rPr>
          <w:rFonts w:ascii="Garamond" w:eastAsia="Calibri" w:hAnsi="Garamond" w:cs="Times New Roman"/>
          <w:sz w:val="24"/>
          <w:szCs w:val="24"/>
          <w:lang w:val="en-GB"/>
        </w:rPr>
        <w:t xml:space="preserve">are not outliers. British Petroleum (BP) </w:t>
      </w:r>
      <w:r w:rsidRPr="00DB6C99">
        <w:rPr>
          <w:rFonts w:ascii="Garamond" w:eastAsia="Calibri" w:hAnsi="Garamond" w:cs="Times New Roman"/>
          <w:sz w:val="24"/>
          <w:szCs w:val="24"/>
          <w:lang w:val="en-GB"/>
        </w:rPr>
        <w:t xml:space="preserve">spent </w:t>
      </w:r>
      <w:r w:rsidR="004A1788" w:rsidRPr="00DB6C99">
        <w:rPr>
          <w:rFonts w:ascii="Garamond" w:eastAsia="Calibri" w:hAnsi="Garamond" w:cs="Times New Roman"/>
          <w:sz w:val="24"/>
          <w:szCs w:val="24"/>
          <w:lang w:val="en-GB"/>
        </w:rPr>
        <w:t>millions of dollars promotin</w:t>
      </w:r>
      <w:r w:rsidRPr="00DB6C99">
        <w:rPr>
          <w:rFonts w:ascii="Garamond" w:eastAsia="Calibri" w:hAnsi="Garamond" w:cs="Times New Roman"/>
          <w:sz w:val="24"/>
          <w:szCs w:val="24"/>
          <w:lang w:val="en-GB"/>
        </w:rPr>
        <w:t>g</w:t>
      </w:r>
      <w:r w:rsidR="004A1788" w:rsidRPr="00DB6C99">
        <w:rPr>
          <w:rFonts w:ascii="Garamond" w:eastAsia="Calibri" w:hAnsi="Garamond" w:cs="Times New Roman"/>
          <w:sz w:val="24"/>
          <w:szCs w:val="24"/>
          <w:lang w:val="en-GB"/>
        </w:rPr>
        <w:t xml:space="preserve"> </w:t>
      </w:r>
      <w:r w:rsidR="002A781E" w:rsidRPr="00DB6C99">
        <w:rPr>
          <w:rFonts w:ascii="Garamond" w:eastAsia="Calibri" w:hAnsi="Garamond" w:cs="Times New Roman"/>
          <w:sz w:val="24"/>
          <w:szCs w:val="24"/>
          <w:lang w:val="en-GB"/>
        </w:rPr>
        <w:t>its</w:t>
      </w:r>
      <w:r w:rsidR="004A1788" w:rsidRPr="00DB6C99">
        <w:rPr>
          <w:rFonts w:ascii="Garamond" w:eastAsia="Calibri" w:hAnsi="Garamond" w:cs="Times New Roman"/>
          <w:sz w:val="24"/>
          <w:szCs w:val="24"/>
          <w:lang w:val="en-GB"/>
        </w:rPr>
        <w:t xml:space="preserve"> ‘Beyond Petroleum’</w:t>
      </w:r>
      <w:r w:rsidRPr="00DB6C99">
        <w:rPr>
          <w:rFonts w:ascii="Garamond" w:eastAsia="Calibri" w:hAnsi="Garamond" w:cs="Times New Roman"/>
          <w:sz w:val="24"/>
          <w:szCs w:val="24"/>
          <w:lang w:val="en-GB"/>
        </w:rPr>
        <w:t xml:space="preserve"> rebrand</w:t>
      </w:r>
      <w:r w:rsidR="004A1788" w:rsidRPr="00DB6C99">
        <w:rPr>
          <w:rFonts w:ascii="Garamond" w:eastAsia="Calibri" w:hAnsi="Garamond" w:cs="Times New Roman"/>
          <w:sz w:val="24"/>
          <w:szCs w:val="24"/>
          <w:lang w:val="en-GB"/>
        </w:rPr>
        <w:t xml:space="preserve"> while investing significantly </w:t>
      </w:r>
      <w:r w:rsidR="00A56508" w:rsidRPr="00DB6C99">
        <w:rPr>
          <w:rFonts w:ascii="Garamond" w:eastAsia="Calibri" w:hAnsi="Garamond" w:cs="Times New Roman"/>
          <w:sz w:val="24"/>
          <w:szCs w:val="24"/>
          <w:lang w:val="en-GB"/>
        </w:rPr>
        <w:t xml:space="preserve">fewer </w:t>
      </w:r>
      <w:r w:rsidR="004A1788" w:rsidRPr="00DB6C99">
        <w:rPr>
          <w:rFonts w:ascii="Garamond" w:eastAsia="Calibri" w:hAnsi="Garamond" w:cs="Times New Roman"/>
          <w:sz w:val="24"/>
          <w:szCs w:val="24"/>
          <w:lang w:val="en-GB"/>
        </w:rPr>
        <w:t xml:space="preserve">funds </w:t>
      </w:r>
      <w:r w:rsidR="00A56508" w:rsidRPr="00DB6C99">
        <w:rPr>
          <w:rFonts w:ascii="Garamond" w:eastAsia="Calibri" w:hAnsi="Garamond" w:cs="Times New Roman"/>
          <w:sz w:val="24"/>
          <w:szCs w:val="24"/>
          <w:lang w:val="en-GB"/>
        </w:rPr>
        <w:t xml:space="preserve">in </w:t>
      </w:r>
      <w:r w:rsidR="00AA13C6" w:rsidRPr="00DB6C99">
        <w:rPr>
          <w:rFonts w:ascii="Garamond" w:eastAsia="Calibri" w:hAnsi="Garamond" w:cs="Times New Roman"/>
          <w:sz w:val="24"/>
          <w:szCs w:val="24"/>
          <w:lang w:val="en-GB"/>
        </w:rPr>
        <w:t>improv</w:t>
      </w:r>
      <w:r w:rsidR="00A56508" w:rsidRPr="00DB6C99">
        <w:rPr>
          <w:rFonts w:ascii="Garamond" w:eastAsia="Calibri" w:hAnsi="Garamond" w:cs="Times New Roman"/>
          <w:sz w:val="24"/>
          <w:szCs w:val="24"/>
          <w:lang w:val="en-GB"/>
        </w:rPr>
        <w:t>ing</w:t>
      </w:r>
      <w:r w:rsidR="00AA13C6" w:rsidRPr="00DB6C99">
        <w:rPr>
          <w:rFonts w:ascii="Garamond" w:eastAsia="Calibri" w:hAnsi="Garamond" w:cs="Times New Roman"/>
          <w:sz w:val="24"/>
          <w:szCs w:val="24"/>
          <w:lang w:val="en-GB"/>
        </w:rPr>
        <w:t xml:space="preserve"> </w:t>
      </w:r>
      <w:r w:rsidR="004A1788" w:rsidRPr="00DB6C99">
        <w:rPr>
          <w:rFonts w:ascii="Garamond" w:eastAsia="Calibri" w:hAnsi="Garamond" w:cs="Times New Roman"/>
          <w:sz w:val="24"/>
          <w:szCs w:val="24"/>
          <w:lang w:val="en-GB"/>
        </w:rPr>
        <w:t xml:space="preserve">its renewable energy strategy (Hawn </w:t>
      </w:r>
      <w:r w:rsidR="00A56508" w:rsidRPr="00DB6C99">
        <w:rPr>
          <w:rFonts w:ascii="Garamond" w:eastAsia="Calibri" w:hAnsi="Garamond" w:cs="Times New Roman"/>
          <w:sz w:val="24"/>
          <w:szCs w:val="24"/>
          <w:lang w:val="en-GB"/>
        </w:rPr>
        <w:t>and</w:t>
      </w:r>
      <w:r w:rsidR="004A1788" w:rsidRPr="00DB6C99">
        <w:rPr>
          <w:rFonts w:ascii="Garamond" w:eastAsia="Calibri" w:hAnsi="Garamond" w:cs="Times New Roman"/>
          <w:sz w:val="24"/>
          <w:szCs w:val="24"/>
          <w:lang w:val="en-GB"/>
        </w:rPr>
        <w:t xml:space="preserve"> Ioannou, 2016). </w:t>
      </w:r>
    </w:p>
    <w:p w14:paraId="0A6C9DF4" w14:textId="4B8A0566" w:rsidR="004A1788" w:rsidRPr="00DB6C99" w:rsidRDefault="004A1788" w:rsidP="004A1788">
      <w:pPr>
        <w:spacing w:line="360" w:lineRule="auto"/>
        <w:ind w:firstLine="720"/>
        <w:jc w:val="both"/>
        <w:rPr>
          <w:rFonts w:ascii="Garamond" w:eastAsia="Calibri" w:hAnsi="Garamond" w:cs="Times New Roman"/>
          <w:sz w:val="24"/>
          <w:szCs w:val="24"/>
          <w:lang w:val="en-GB"/>
        </w:rPr>
      </w:pPr>
      <w:r w:rsidRPr="00DB6C99">
        <w:rPr>
          <w:rFonts w:ascii="Garamond" w:eastAsia="Calibri" w:hAnsi="Garamond" w:cs="Times New Roman"/>
          <w:sz w:val="24"/>
          <w:szCs w:val="24"/>
          <w:lang w:val="en-GB"/>
        </w:rPr>
        <w:t xml:space="preserve">In the long run, false claims </w:t>
      </w:r>
      <w:r w:rsidR="00A56508" w:rsidRPr="00DB6C99">
        <w:rPr>
          <w:rFonts w:ascii="Garamond" w:eastAsia="Calibri" w:hAnsi="Garamond" w:cs="Times New Roman"/>
          <w:sz w:val="24"/>
          <w:szCs w:val="24"/>
          <w:lang w:val="en-GB"/>
        </w:rPr>
        <w:t>have high</w:t>
      </w:r>
      <w:r w:rsidRPr="00DB6C99">
        <w:rPr>
          <w:rFonts w:ascii="Garamond" w:eastAsia="Calibri" w:hAnsi="Garamond" w:cs="Times New Roman"/>
          <w:sz w:val="24"/>
          <w:szCs w:val="24"/>
          <w:lang w:val="en-GB"/>
        </w:rPr>
        <w:t xml:space="preserve"> cost</w:t>
      </w:r>
      <w:r w:rsidR="00A56508" w:rsidRPr="00DB6C99">
        <w:rPr>
          <w:rFonts w:ascii="Garamond" w:eastAsia="Calibri" w:hAnsi="Garamond" w:cs="Times New Roman"/>
          <w:sz w:val="24"/>
          <w:szCs w:val="24"/>
          <w:lang w:val="en-GB"/>
        </w:rPr>
        <w:t>s</w:t>
      </w:r>
      <w:r w:rsidRPr="00DB6C99">
        <w:rPr>
          <w:rFonts w:ascii="Garamond" w:eastAsia="Calibri" w:hAnsi="Garamond" w:cs="Times New Roman"/>
          <w:sz w:val="24"/>
          <w:szCs w:val="24"/>
          <w:lang w:val="en-GB"/>
        </w:rPr>
        <w:t xml:space="preserve"> </w:t>
      </w:r>
      <w:r w:rsidR="00A56508" w:rsidRPr="00DB6C99">
        <w:rPr>
          <w:rFonts w:ascii="Garamond" w:eastAsia="Calibri" w:hAnsi="Garamond" w:cs="Times New Roman"/>
          <w:sz w:val="24"/>
          <w:szCs w:val="24"/>
          <w:lang w:val="en-GB"/>
        </w:rPr>
        <w:t>f</w:t>
      </w:r>
      <w:r w:rsidRPr="00DB6C99">
        <w:rPr>
          <w:rFonts w:ascii="Garamond" w:eastAsia="Calibri" w:hAnsi="Garamond" w:cs="Times New Roman"/>
          <w:sz w:val="24"/>
          <w:szCs w:val="24"/>
          <w:lang w:val="en-GB"/>
        </w:rPr>
        <w:t>o</w:t>
      </w:r>
      <w:r w:rsidR="00A56508" w:rsidRPr="00DB6C99">
        <w:rPr>
          <w:rFonts w:ascii="Garamond" w:eastAsia="Calibri" w:hAnsi="Garamond" w:cs="Times New Roman"/>
          <w:sz w:val="24"/>
          <w:szCs w:val="24"/>
          <w:lang w:val="en-GB"/>
        </w:rPr>
        <w:t>r</w:t>
      </w:r>
      <w:r w:rsidRPr="00DB6C99">
        <w:rPr>
          <w:rFonts w:ascii="Garamond" w:eastAsia="Calibri" w:hAnsi="Garamond" w:cs="Times New Roman"/>
          <w:sz w:val="24"/>
          <w:szCs w:val="24"/>
          <w:lang w:val="en-GB"/>
        </w:rPr>
        <w:t xml:space="preserve"> firms</w:t>
      </w:r>
      <w:r w:rsidR="00BE2C17" w:rsidRPr="00DB6C99">
        <w:rPr>
          <w:rFonts w:ascii="Garamond" w:eastAsia="Calibri" w:hAnsi="Garamond" w:cs="Times New Roman"/>
          <w:sz w:val="24"/>
          <w:szCs w:val="24"/>
          <w:lang w:val="en-GB"/>
        </w:rPr>
        <w:t>: they</w:t>
      </w:r>
      <w:r w:rsidRPr="00DB6C99">
        <w:rPr>
          <w:rFonts w:ascii="Garamond" w:eastAsia="Calibri" w:hAnsi="Garamond" w:cs="Times New Roman"/>
          <w:sz w:val="24"/>
          <w:szCs w:val="24"/>
          <w:lang w:val="en-GB"/>
        </w:rPr>
        <w:t xml:space="preserve"> damage public reputation</w:t>
      </w:r>
      <w:r w:rsidR="00A56508" w:rsidRPr="00DB6C99">
        <w:rPr>
          <w:rFonts w:ascii="Garamond" w:eastAsia="Calibri" w:hAnsi="Garamond" w:cs="Times New Roman"/>
          <w:sz w:val="24"/>
          <w:szCs w:val="24"/>
          <w:lang w:val="en-GB"/>
        </w:rPr>
        <w:t>s</w:t>
      </w:r>
      <w:r w:rsidRPr="00DB6C99">
        <w:rPr>
          <w:rFonts w:ascii="Garamond" w:eastAsia="Calibri" w:hAnsi="Garamond" w:cs="Times New Roman"/>
          <w:sz w:val="24"/>
          <w:szCs w:val="24"/>
          <w:lang w:val="en-GB"/>
        </w:rPr>
        <w:t xml:space="preserve"> (Du, 2015), undermin</w:t>
      </w:r>
      <w:r w:rsidR="00BE2C17" w:rsidRPr="00DB6C99">
        <w:rPr>
          <w:rFonts w:ascii="Garamond" w:eastAsia="Calibri" w:hAnsi="Garamond" w:cs="Times New Roman"/>
          <w:sz w:val="24"/>
          <w:szCs w:val="24"/>
          <w:lang w:val="en-GB"/>
        </w:rPr>
        <w:t>e</w:t>
      </w:r>
      <w:r w:rsidRPr="00DB6C99">
        <w:rPr>
          <w:rFonts w:ascii="Garamond" w:eastAsia="Calibri" w:hAnsi="Garamond" w:cs="Times New Roman"/>
          <w:sz w:val="24"/>
          <w:szCs w:val="24"/>
          <w:lang w:val="en-GB"/>
        </w:rPr>
        <w:t xml:space="preserve"> stakeholder relationships (</w:t>
      </w:r>
      <w:r w:rsidR="005F6E78" w:rsidRPr="00DB6C99">
        <w:rPr>
          <w:rFonts w:ascii="Garamond" w:eastAsia="Calibri" w:hAnsi="Garamond" w:cs="Times New Roman"/>
          <w:sz w:val="24"/>
          <w:szCs w:val="24"/>
          <w:lang w:val="en-GB"/>
        </w:rPr>
        <w:t>Doh</w:t>
      </w:r>
      <w:r w:rsidRPr="00DB6C99">
        <w:rPr>
          <w:rFonts w:ascii="Garamond" w:eastAsia="Calibri" w:hAnsi="Garamond" w:cs="Times New Roman"/>
          <w:sz w:val="24"/>
          <w:szCs w:val="24"/>
          <w:lang w:val="en-GB"/>
        </w:rPr>
        <w:t xml:space="preserve"> </w:t>
      </w:r>
      <w:r w:rsidRPr="00DB6C99">
        <w:rPr>
          <w:rFonts w:ascii="Garamond" w:eastAsia="Calibri" w:hAnsi="Garamond" w:cs="Times New Roman"/>
          <w:i/>
          <w:sz w:val="24"/>
          <w:szCs w:val="24"/>
          <w:lang w:val="en-GB"/>
        </w:rPr>
        <w:t>et al</w:t>
      </w:r>
      <w:r w:rsidRPr="00DB6C99">
        <w:rPr>
          <w:rFonts w:ascii="Garamond" w:eastAsia="Calibri" w:hAnsi="Garamond" w:cs="Times New Roman"/>
          <w:iCs/>
          <w:sz w:val="24"/>
          <w:szCs w:val="24"/>
          <w:lang w:val="en-GB"/>
        </w:rPr>
        <w:t>.,</w:t>
      </w:r>
      <w:r w:rsidR="00CE01B3" w:rsidRPr="00DB6C99">
        <w:rPr>
          <w:rFonts w:ascii="Garamond" w:eastAsia="Calibri" w:hAnsi="Garamond" w:cs="Times New Roman"/>
          <w:sz w:val="24"/>
          <w:szCs w:val="24"/>
          <w:lang w:val="en-GB"/>
        </w:rPr>
        <w:t xml:space="preserve"> </w:t>
      </w:r>
      <w:r w:rsidRPr="00DB6C99">
        <w:rPr>
          <w:rFonts w:ascii="Garamond" w:eastAsia="Calibri" w:hAnsi="Garamond" w:cs="Times New Roman"/>
          <w:sz w:val="24"/>
          <w:szCs w:val="24"/>
          <w:lang w:val="en-GB"/>
        </w:rPr>
        <w:t xml:space="preserve">2010; Schuler </w:t>
      </w:r>
      <w:r w:rsidR="00A56508" w:rsidRPr="00DB6C99">
        <w:rPr>
          <w:rFonts w:ascii="Garamond" w:eastAsia="Calibri" w:hAnsi="Garamond" w:cs="Times New Roman"/>
          <w:sz w:val="24"/>
          <w:szCs w:val="24"/>
          <w:lang w:val="en-GB"/>
        </w:rPr>
        <w:t>and</w:t>
      </w:r>
      <w:r w:rsidRPr="00DB6C99">
        <w:rPr>
          <w:rFonts w:ascii="Garamond" w:eastAsia="Calibri" w:hAnsi="Garamond" w:cs="Times New Roman"/>
          <w:sz w:val="24"/>
          <w:szCs w:val="24"/>
          <w:lang w:val="en-GB"/>
        </w:rPr>
        <w:t xml:space="preserve"> Cording, 2006), </w:t>
      </w:r>
      <w:r w:rsidR="008E45BA" w:rsidRPr="00DB6C99">
        <w:rPr>
          <w:rFonts w:ascii="Garamond" w:eastAsia="Calibri" w:hAnsi="Garamond" w:cs="Times New Roman"/>
          <w:sz w:val="24"/>
          <w:szCs w:val="24"/>
          <w:lang w:val="en-GB"/>
        </w:rPr>
        <w:t>challenge</w:t>
      </w:r>
      <w:r w:rsidRPr="00DB6C99">
        <w:rPr>
          <w:rFonts w:ascii="Garamond" w:eastAsia="Calibri" w:hAnsi="Garamond" w:cs="Times New Roman"/>
          <w:sz w:val="24"/>
          <w:szCs w:val="24"/>
          <w:lang w:val="en-GB"/>
        </w:rPr>
        <w:t xml:space="preserve"> the license to operate (Zhang</w:t>
      </w:r>
      <w:r w:rsidR="00815C32" w:rsidRPr="00DB6C99">
        <w:rPr>
          <w:rFonts w:ascii="Garamond" w:eastAsia="Calibri" w:hAnsi="Garamond" w:cs="Times New Roman"/>
          <w:sz w:val="24"/>
          <w:szCs w:val="24"/>
          <w:lang w:val="en-GB"/>
        </w:rPr>
        <w:t>, Zhu and Ding</w:t>
      </w:r>
      <w:r w:rsidRPr="00DB6C99">
        <w:rPr>
          <w:rFonts w:ascii="Garamond" w:eastAsia="Calibri" w:hAnsi="Garamond" w:cs="Times New Roman"/>
          <w:iCs/>
          <w:sz w:val="24"/>
          <w:szCs w:val="24"/>
          <w:lang w:val="en-GB"/>
        </w:rPr>
        <w:t xml:space="preserve">, </w:t>
      </w:r>
      <w:r w:rsidRPr="00DB6C99">
        <w:rPr>
          <w:rFonts w:ascii="Garamond" w:eastAsia="Calibri" w:hAnsi="Garamond" w:cs="Times New Roman"/>
          <w:sz w:val="24"/>
          <w:szCs w:val="24"/>
          <w:lang w:val="en-GB"/>
        </w:rPr>
        <w:t>2013)</w:t>
      </w:r>
      <w:r w:rsidR="00A56508" w:rsidRPr="00DB6C99">
        <w:rPr>
          <w:rFonts w:ascii="Garamond" w:eastAsia="Calibri" w:hAnsi="Garamond" w:cs="Times New Roman"/>
          <w:sz w:val="24"/>
          <w:szCs w:val="24"/>
          <w:lang w:val="en-GB"/>
        </w:rPr>
        <w:t xml:space="preserve"> and</w:t>
      </w:r>
      <w:r w:rsidRPr="00DB6C99">
        <w:rPr>
          <w:rFonts w:ascii="Garamond" w:eastAsia="Calibri" w:hAnsi="Garamond" w:cs="Times New Roman"/>
          <w:sz w:val="24"/>
          <w:szCs w:val="24"/>
          <w:lang w:val="en-GB"/>
        </w:rPr>
        <w:t xml:space="preserve"> increas</w:t>
      </w:r>
      <w:r w:rsidR="00BE2C17" w:rsidRPr="00DB6C99">
        <w:rPr>
          <w:rFonts w:ascii="Garamond" w:eastAsia="Calibri" w:hAnsi="Garamond" w:cs="Times New Roman"/>
          <w:sz w:val="24"/>
          <w:szCs w:val="24"/>
          <w:lang w:val="en-GB"/>
        </w:rPr>
        <w:t>e</w:t>
      </w:r>
      <w:r w:rsidRPr="00DB6C99">
        <w:rPr>
          <w:rFonts w:ascii="Garamond" w:eastAsia="Calibri" w:hAnsi="Garamond" w:cs="Times New Roman"/>
          <w:sz w:val="24"/>
          <w:szCs w:val="24"/>
          <w:lang w:val="en-GB"/>
        </w:rPr>
        <w:t xml:space="preserve"> regulatory oversights (Gelles, 2015) and regulatory penalties (MacLean </w:t>
      </w:r>
      <w:r w:rsidR="00A56508" w:rsidRPr="00DB6C99">
        <w:rPr>
          <w:rFonts w:ascii="Garamond" w:eastAsia="Calibri" w:hAnsi="Garamond" w:cs="Times New Roman"/>
          <w:sz w:val="24"/>
          <w:szCs w:val="24"/>
          <w:lang w:val="en-GB"/>
        </w:rPr>
        <w:t>and</w:t>
      </w:r>
      <w:r w:rsidRPr="00DB6C99">
        <w:rPr>
          <w:rFonts w:ascii="Garamond" w:eastAsia="Calibri" w:hAnsi="Garamond" w:cs="Times New Roman"/>
          <w:sz w:val="24"/>
          <w:szCs w:val="24"/>
          <w:lang w:val="en-GB"/>
        </w:rPr>
        <w:t xml:space="preserve"> Behnam, 2010). Recent research provides compelling evidence that CSR decoupling negatively impacts firm performance (Hawn </w:t>
      </w:r>
      <w:r w:rsidR="00A56508" w:rsidRPr="00DB6C99">
        <w:rPr>
          <w:rFonts w:ascii="Garamond" w:eastAsia="Calibri" w:hAnsi="Garamond" w:cs="Times New Roman"/>
          <w:sz w:val="24"/>
          <w:szCs w:val="24"/>
          <w:lang w:val="en-GB"/>
        </w:rPr>
        <w:t>and</w:t>
      </w:r>
      <w:r w:rsidRPr="00DB6C99">
        <w:rPr>
          <w:rFonts w:ascii="Garamond" w:eastAsia="Calibri" w:hAnsi="Garamond" w:cs="Times New Roman"/>
          <w:sz w:val="24"/>
          <w:szCs w:val="24"/>
          <w:lang w:val="en-GB"/>
        </w:rPr>
        <w:t xml:space="preserve"> Ioannou, 2016) and limits </w:t>
      </w:r>
      <w:r w:rsidR="00BE2C17" w:rsidRPr="00DB6C99">
        <w:rPr>
          <w:rFonts w:ascii="Garamond" w:eastAsia="Calibri" w:hAnsi="Garamond" w:cs="Times New Roman"/>
          <w:sz w:val="24"/>
          <w:szCs w:val="24"/>
          <w:lang w:val="en-GB"/>
        </w:rPr>
        <w:t xml:space="preserve">firms’ </w:t>
      </w:r>
      <w:r w:rsidRPr="00DB6C99">
        <w:rPr>
          <w:rFonts w:ascii="Garamond" w:eastAsia="Calibri" w:hAnsi="Garamond" w:cs="Times New Roman"/>
          <w:sz w:val="24"/>
          <w:szCs w:val="24"/>
          <w:lang w:val="en-GB"/>
        </w:rPr>
        <w:t xml:space="preserve">ability to access finance (García-Sánchez </w:t>
      </w:r>
      <w:r w:rsidRPr="00DB6C99">
        <w:rPr>
          <w:rFonts w:ascii="Garamond" w:eastAsia="Calibri" w:hAnsi="Garamond" w:cs="Times New Roman"/>
          <w:i/>
          <w:sz w:val="24"/>
          <w:szCs w:val="24"/>
          <w:lang w:val="en-GB"/>
        </w:rPr>
        <w:t>et al</w:t>
      </w:r>
      <w:r w:rsidRPr="00DB6C99">
        <w:rPr>
          <w:rFonts w:ascii="Garamond" w:eastAsia="Calibri" w:hAnsi="Garamond" w:cs="Times New Roman"/>
          <w:iCs/>
          <w:sz w:val="24"/>
          <w:szCs w:val="24"/>
          <w:lang w:val="en-GB"/>
        </w:rPr>
        <w:t>.,</w:t>
      </w:r>
      <w:r w:rsidRPr="00DB6C99">
        <w:rPr>
          <w:rFonts w:ascii="Garamond" w:eastAsia="Calibri" w:hAnsi="Garamond" w:cs="Times New Roman"/>
          <w:sz w:val="24"/>
          <w:szCs w:val="24"/>
          <w:lang w:val="en-GB"/>
        </w:rPr>
        <w:t xml:space="preserve"> 2021). </w:t>
      </w:r>
      <w:r w:rsidR="00710B56" w:rsidRPr="00DB6C99">
        <w:rPr>
          <w:rFonts w:ascii="Garamond" w:eastAsia="Calibri" w:hAnsi="Garamond" w:cs="Times New Roman"/>
          <w:sz w:val="24"/>
          <w:szCs w:val="24"/>
          <w:lang w:val="en-GB"/>
        </w:rPr>
        <w:t>S</w:t>
      </w:r>
      <w:r w:rsidRPr="00DB6C99">
        <w:rPr>
          <w:rFonts w:ascii="Garamond" w:eastAsia="Calibri" w:hAnsi="Garamond" w:cs="Times New Roman"/>
          <w:sz w:val="24"/>
          <w:szCs w:val="24"/>
          <w:lang w:val="en-GB"/>
        </w:rPr>
        <w:t xml:space="preserve">cholars </w:t>
      </w:r>
      <w:r w:rsidR="00710B56" w:rsidRPr="00DB6C99">
        <w:rPr>
          <w:rFonts w:ascii="Garamond" w:eastAsia="Calibri" w:hAnsi="Garamond" w:cs="Times New Roman"/>
          <w:sz w:val="24"/>
          <w:szCs w:val="24"/>
          <w:lang w:val="en-GB"/>
        </w:rPr>
        <w:t xml:space="preserve">agree </w:t>
      </w:r>
      <w:r w:rsidRPr="00DB6C99">
        <w:rPr>
          <w:rFonts w:ascii="Garamond" w:eastAsia="Calibri" w:hAnsi="Garamond" w:cs="Times New Roman"/>
          <w:sz w:val="24"/>
          <w:szCs w:val="24"/>
          <w:lang w:val="en-GB"/>
        </w:rPr>
        <w:t xml:space="preserve">that CSR decoupling is harmful for firms and must be avoided for normative and instrumental reasons. </w:t>
      </w:r>
    </w:p>
    <w:p w14:paraId="03F44960" w14:textId="2329A0BD" w:rsidR="004A1788" w:rsidRPr="00DB6C99" w:rsidRDefault="00E456DC" w:rsidP="004A1788">
      <w:pPr>
        <w:spacing w:line="360" w:lineRule="auto"/>
        <w:ind w:firstLine="720"/>
        <w:jc w:val="both"/>
        <w:rPr>
          <w:rFonts w:ascii="Garamond" w:eastAsia="Calibri" w:hAnsi="Garamond" w:cs="Times New Roman"/>
          <w:sz w:val="24"/>
          <w:szCs w:val="24"/>
          <w:lang w:val="en-GB"/>
        </w:rPr>
      </w:pPr>
      <w:r w:rsidRPr="00DB6C99">
        <w:rPr>
          <w:rFonts w:ascii="Garamond" w:eastAsia="Calibri" w:hAnsi="Garamond" w:cs="Times New Roman"/>
          <w:sz w:val="24"/>
          <w:szCs w:val="24"/>
          <w:lang w:val="en-GB"/>
        </w:rPr>
        <w:t>W</w:t>
      </w:r>
      <w:r w:rsidR="004A1788" w:rsidRPr="00DB6C99">
        <w:rPr>
          <w:rFonts w:ascii="Garamond" w:eastAsia="Calibri" w:hAnsi="Garamond" w:cs="Times New Roman"/>
          <w:sz w:val="24"/>
          <w:szCs w:val="24"/>
          <w:lang w:val="en-GB"/>
        </w:rPr>
        <w:t>hat should be done to curb such practices</w:t>
      </w:r>
      <w:r w:rsidRPr="00DB6C99">
        <w:rPr>
          <w:rFonts w:ascii="Garamond" w:eastAsia="Calibri" w:hAnsi="Garamond" w:cs="Times New Roman"/>
          <w:sz w:val="24"/>
          <w:szCs w:val="24"/>
          <w:lang w:val="en-GB"/>
        </w:rPr>
        <w:t>?</w:t>
      </w:r>
      <w:r w:rsidR="004A1788" w:rsidRPr="00DB6C99">
        <w:rPr>
          <w:rFonts w:ascii="Garamond" w:eastAsia="Calibri" w:hAnsi="Garamond" w:cs="Times New Roman"/>
          <w:sz w:val="24"/>
          <w:szCs w:val="24"/>
          <w:lang w:val="en-GB"/>
        </w:rPr>
        <w:t xml:space="preserve"> </w:t>
      </w:r>
      <w:r w:rsidR="00BE2C17" w:rsidRPr="00DB6C99">
        <w:rPr>
          <w:rFonts w:ascii="Garamond" w:eastAsia="Calibri" w:hAnsi="Garamond" w:cs="Times New Roman"/>
          <w:sz w:val="24"/>
          <w:szCs w:val="24"/>
          <w:lang w:val="en-GB"/>
        </w:rPr>
        <w:t>C</w:t>
      </w:r>
      <w:r w:rsidR="004A1788" w:rsidRPr="00DB6C99">
        <w:rPr>
          <w:rFonts w:ascii="Garamond" w:eastAsia="Calibri" w:hAnsi="Garamond" w:cs="Times New Roman"/>
          <w:sz w:val="24"/>
          <w:szCs w:val="24"/>
          <w:lang w:val="en-GB"/>
        </w:rPr>
        <w:t xml:space="preserve">orporate governance (hereafter CG) literature suggests that boards of directors can monitor firms’ activities and identifies the characteristics of strong monitoring boards. It is </w:t>
      </w:r>
      <w:r w:rsidR="00EA042B" w:rsidRPr="00DB6C99">
        <w:rPr>
          <w:rFonts w:ascii="Garamond" w:eastAsia="Calibri" w:hAnsi="Garamond" w:cs="Times New Roman"/>
          <w:sz w:val="24"/>
          <w:szCs w:val="24"/>
          <w:lang w:val="en-GB"/>
        </w:rPr>
        <w:t xml:space="preserve">generally </w:t>
      </w:r>
      <w:r w:rsidR="004A1788" w:rsidRPr="00DB6C99">
        <w:rPr>
          <w:rFonts w:ascii="Garamond" w:eastAsia="Calibri" w:hAnsi="Garamond" w:cs="Times New Roman"/>
          <w:sz w:val="24"/>
          <w:szCs w:val="24"/>
          <w:lang w:val="en-GB"/>
        </w:rPr>
        <w:t>advocated that female directors are more effective monitors of managerial behavio</w:t>
      </w:r>
      <w:r w:rsidR="00E13B13" w:rsidRPr="00DB6C99">
        <w:rPr>
          <w:rFonts w:ascii="Garamond" w:eastAsia="Calibri" w:hAnsi="Garamond" w:cs="Times New Roman"/>
          <w:sz w:val="24"/>
          <w:szCs w:val="24"/>
          <w:lang w:val="en-GB"/>
        </w:rPr>
        <w:t>u</w:t>
      </w:r>
      <w:r w:rsidR="004A1788" w:rsidRPr="00DB6C99">
        <w:rPr>
          <w:rFonts w:ascii="Garamond" w:eastAsia="Calibri" w:hAnsi="Garamond" w:cs="Times New Roman"/>
          <w:sz w:val="24"/>
          <w:szCs w:val="24"/>
          <w:lang w:val="en-GB"/>
        </w:rPr>
        <w:t>r (</w:t>
      </w:r>
      <w:r w:rsidR="00DA5BD3" w:rsidRPr="00DB6C99">
        <w:rPr>
          <w:rFonts w:ascii="Garamond" w:eastAsia="Calibri" w:hAnsi="Garamond" w:cs="Times New Roman"/>
          <w:sz w:val="24"/>
          <w:szCs w:val="24"/>
          <w:lang w:val="en-GB"/>
        </w:rPr>
        <w:t xml:space="preserve">Adams </w:t>
      </w:r>
      <w:r w:rsidR="00E13B13" w:rsidRPr="00DB6C99">
        <w:rPr>
          <w:rFonts w:ascii="Garamond" w:eastAsia="Calibri" w:hAnsi="Garamond" w:cs="Times New Roman"/>
          <w:sz w:val="24"/>
          <w:szCs w:val="24"/>
          <w:lang w:val="en-GB"/>
        </w:rPr>
        <w:t>and</w:t>
      </w:r>
      <w:r w:rsidR="00DA5BD3" w:rsidRPr="00DB6C99">
        <w:rPr>
          <w:rFonts w:ascii="Garamond" w:eastAsia="Calibri" w:hAnsi="Garamond" w:cs="Times New Roman"/>
          <w:sz w:val="24"/>
          <w:szCs w:val="24"/>
          <w:lang w:val="en-GB"/>
        </w:rPr>
        <w:t xml:space="preserve"> Ferr</w:t>
      </w:r>
      <w:r w:rsidR="008B0906" w:rsidRPr="00DB6C99">
        <w:rPr>
          <w:rFonts w:ascii="Garamond" w:eastAsia="Calibri" w:hAnsi="Garamond" w:cs="Times New Roman"/>
          <w:sz w:val="24"/>
          <w:szCs w:val="24"/>
          <w:lang w:val="en-GB"/>
        </w:rPr>
        <w:t>e</w:t>
      </w:r>
      <w:r w:rsidR="00DA5BD3" w:rsidRPr="00DB6C99">
        <w:rPr>
          <w:rFonts w:ascii="Garamond" w:eastAsia="Calibri" w:hAnsi="Garamond" w:cs="Times New Roman"/>
          <w:sz w:val="24"/>
          <w:szCs w:val="24"/>
          <w:lang w:val="en-GB"/>
        </w:rPr>
        <w:t>ira, 2009; Buse</w:t>
      </w:r>
      <w:r w:rsidR="00171487" w:rsidRPr="00DB6C99">
        <w:rPr>
          <w:rFonts w:ascii="Garamond" w:eastAsia="Calibri" w:hAnsi="Garamond" w:cs="Times New Roman"/>
          <w:sz w:val="24"/>
          <w:szCs w:val="24"/>
          <w:lang w:val="en-GB"/>
        </w:rPr>
        <w:t>, Ber</w:t>
      </w:r>
      <w:r w:rsidR="00E97CCB" w:rsidRPr="00DB6C99">
        <w:rPr>
          <w:rFonts w:ascii="Garamond" w:eastAsia="Calibri" w:hAnsi="Garamond" w:cs="Times New Roman"/>
          <w:sz w:val="24"/>
          <w:szCs w:val="24"/>
          <w:lang w:val="en-GB"/>
        </w:rPr>
        <w:t>n</w:t>
      </w:r>
      <w:r w:rsidR="00171487" w:rsidRPr="00DB6C99">
        <w:rPr>
          <w:rFonts w:ascii="Garamond" w:eastAsia="Calibri" w:hAnsi="Garamond" w:cs="Times New Roman"/>
          <w:sz w:val="24"/>
          <w:szCs w:val="24"/>
          <w:lang w:val="en-GB"/>
        </w:rPr>
        <w:t>stein</w:t>
      </w:r>
      <w:r w:rsidR="00E97CCB" w:rsidRPr="00DB6C99">
        <w:rPr>
          <w:rFonts w:ascii="Garamond" w:eastAsia="Calibri" w:hAnsi="Garamond" w:cs="Times New Roman"/>
          <w:sz w:val="24"/>
          <w:szCs w:val="24"/>
          <w:lang w:val="en-GB"/>
        </w:rPr>
        <w:t xml:space="preserve"> and Bilimoria</w:t>
      </w:r>
      <w:r w:rsidR="00DA5BD3" w:rsidRPr="00DB6C99">
        <w:rPr>
          <w:rFonts w:ascii="Garamond" w:eastAsia="Calibri" w:hAnsi="Garamond" w:cs="Times New Roman"/>
          <w:iCs/>
          <w:sz w:val="24"/>
          <w:szCs w:val="24"/>
          <w:lang w:val="en-GB"/>
        </w:rPr>
        <w:t>,</w:t>
      </w:r>
      <w:r w:rsidR="00DA5BD3" w:rsidRPr="00DB6C99">
        <w:rPr>
          <w:rFonts w:ascii="Garamond" w:eastAsia="Calibri" w:hAnsi="Garamond" w:cs="Times New Roman"/>
          <w:sz w:val="24"/>
          <w:szCs w:val="24"/>
          <w:lang w:val="en-GB"/>
        </w:rPr>
        <w:t xml:space="preserve"> 2016;</w:t>
      </w:r>
      <w:r w:rsidR="004A1788" w:rsidRPr="00DB6C99">
        <w:rPr>
          <w:rFonts w:ascii="Garamond" w:eastAsia="Calibri" w:hAnsi="Garamond" w:cs="Times New Roman"/>
          <w:sz w:val="24"/>
          <w:szCs w:val="24"/>
          <w:lang w:val="en-GB"/>
        </w:rPr>
        <w:t xml:space="preserve"> </w:t>
      </w:r>
      <w:r w:rsidR="00187BC9" w:rsidRPr="00DB6C99">
        <w:rPr>
          <w:rFonts w:ascii="Garamond" w:eastAsia="Calibri" w:hAnsi="Garamond" w:cs="Times New Roman"/>
          <w:sz w:val="24"/>
          <w:szCs w:val="24"/>
          <w:lang w:val="en-GB"/>
        </w:rPr>
        <w:t xml:space="preserve">Hussain </w:t>
      </w:r>
      <w:r w:rsidR="00187BC9" w:rsidRPr="00DB6C99">
        <w:rPr>
          <w:rFonts w:ascii="Garamond" w:eastAsia="Calibri" w:hAnsi="Garamond" w:cs="Times New Roman"/>
          <w:i/>
          <w:sz w:val="24"/>
          <w:szCs w:val="24"/>
          <w:lang w:val="en-GB"/>
        </w:rPr>
        <w:t xml:space="preserve">et </w:t>
      </w:r>
      <w:r w:rsidR="00187BC9" w:rsidRPr="00DB6C99">
        <w:rPr>
          <w:rFonts w:ascii="Garamond" w:eastAsia="Calibri" w:hAnsi="Garamond" w:cs="Times New Roman"/>
          <w:i/>
          <w:sz w:val="24"/>
          <w:szCs w:val="24"/>
          <w:lang w:val="en-GB"/>
        </w:rPr>
        <w:lastRenderedPageBreak/>
        <w:t>al</w:t>
      </w:r>
      <w:r w:rsidR="00187BC9" w:rsidRPr="00DB6C99">
        <w:rPr>
          <w:rFonts w:ascii="Garamond" w:eastAsia="Calibri" w:hAnsi="Garamond" w:cs="Times New Roman"/>
          <w:iCs/>
          <w:sz w:val="24"/>
          <w:szCs w:val="24"/>
          <w:lang w:val="en-GB"/>
        </w:rPr>
        <w:t>.,</w:t>
      </w:r>
      <w:r w:rsidR="00187BC9" w:rsidRPr="00DB6C99">
        <w:rPr>
          <w:rFonts w:ascii="Garamond" w:eastAsia="Calibri" w:hAnsi="Garamond" w:cs="Times New Roman"/>
          <w:sz w:val="24"/>
          <w:szCs w:val="24"/>
          <w:lang w:val="en-GB"/>
        </w:rPr>
        <w:t xml:space="preserve"> 2021</w:t>
      </w:r>
      <w:r w:rsidR="00E13B13" w:rsidRPr="00DB6C99">
        <w:rPr>
          <w:rFonts w:ascii="Garamond" w:eastAsia="Calibri" w:hAnsi="Garamond" w:cs="Times New Roman"/>
          <w:sz w:val="24"/>
          <w:szCs w:val="24"/>
          <w:lang w:val="en-GB"/>
        </w:rPr>
        <w:t>; Nielsen and Huse, 2010</w:t>
      </w:r>
      <w:r w:rsidR="00934600" w:rsidRPr="00DB6C99">
        <w:rPr>
          <w:rFonts w:ascii="Garamond" w:eastAsia="Calibri" w:hAnsi="Garamond" w:cs="Times New Roman"/>
          <w:sz w:val="24"/>
          <w:szCs w:val="24"/>
          <w:lang w:val="en-GB"/>
        </w:rPr>
        <w:t xml:space="preserve">), </w:t>
      </w:r>
      <w:r w:rsidR="004A1788" w:rsidRPr="00DB6C99">
        <w:rPr>
          <w:rFonts w:ascii="Garamond" w:eastAsia="Calibri" w:hAnsi="Garamond" w:cs="Times New Roman"/>
          <w:sz w:val="24"/>
          <w:szCs w:val="24"/>
          <w:lang w:val="en-GB"/>
        </w:rPr>
        <w:t>more likely to detect financial frauds (Cumming</w:t>
      </w:r>
      <w:r w:rsidR="00E97CCB" w:rsidRPr="00DB6C99">
        <w:rPr>
          <w:rFonts w:ascii="Garamond" w:eastAsia="Calibri" w:hAnsi="Garamond" w:cs="Times New Roman"/>
          <w:sz w:val="24"/>
          <w:szCs w:val="24"/>
          <w:lang w:val="en-GB"/>
        </w:rPr>
        <w:t>, Leung and Rui</w:t>
      </w:r>
      <w:r w:rsidR="004A1788" w:rsidRPr="00DB6C99">
        <w:rPr>
          <w:rFonts w:ascii="Garamond" w:eastAsia="Calibri" w:hAnsi="Garamond" w:cs="Times New Roman"/>
          <w:iCs/>
          <w:sz w:val="24"/>
          <w:szCs w:val="24"/>
          <w:lang w:val="en-GB"/>
        </w:rPr>
        <w:t xml:space="preserve">, </w:t>
      </w:r>
      <w:r w:rsidR="004A1788" w:rsidRPr="00DB6C99">
        <w:rPr>
          <w:rFonts w:ascii="Garamond" w:eastAsia="Calibri" w:hAnsi="Garamond" w:cs="Times New Roman"/>
          <w:sz w:val="24"/>
          <w:szCs w:val="24"/>
          <w:lang w:val="en-GB"/>
        </w:rPr>
        <w:t>2015)</w:t>
      </w:r>
      <w:r w:rsidR="00934600" w:rsidRPr="00DB6C99">
        <w:rPr>
          <w:rFonts w:ascii="Garamond" w:eastAsia="Calibri" w:hAnsi="Garamond" w:cs="Times New Roman"/>
          <w:sz w:val="24"/>
          <w:szCs w:val="24"/>
          <w:lang w:val="en-GB"/>
        </w:rPr>
        <w:t xml:space="preserve"> and improve financial performance (Ararat</w:t>
      </w:r>
      <w:r w:rsidR="00261CA4" w:rsidRPr="00DB6C99">
        <w:rPr>
          <w:rFonts w:ascii="Garamond" w:eastAsia="Calibri" w:hAnsi="Garamond" w:cs="Times New Roman"/>
          <w:sz w:val="24"/>
          <w:szCs w:val="24"/>
          <w:lang w:val="en-GB"/>
        </w:rPr>
        <w:t xml:space="preserve"> </w:t>
      </w:r>
      <w:r w:rsidR="00E13B13" w:rsidRPr="00DB6C99">
        <w:rPr>
          <w:rFonts w:ascii="Garamond" w:eastAsia="Calibri" w:hAnsi="Garamond" w:cs="Times New Roman"/>
          <w:sz w:val="24"/>
          <w:szCs w:val="24"/>
          <w:lang w:val="en-GB"/>
        </w:rPr>
        <w:t>and</w:t>
      </w:r>
      <w:r w:rsidR="00934600" w:rsidRPr="00DB6C99">
        <w:rPr>
          <w:rFonts w:ascii="Garamond" w:eastAsia="Calibri" w:hAnsi="Garamond" w:cs="Times New Roman"/>
          <w:sz w:val="24"/>
          <w:szCs w:val="24"/>
          <w:lang w:val="en-GB"/>
        </w:rPr>
        <w:t xml:space="preserve"> Yurtoglu, 2021</w:t>
      </w:r>
      <w:r w:rsidR="00261CA4" w:rsidRPr="00DB6C99">
        <w:rPr>
          <w:rFonts w:ascii="Garamond" w:eastAsia="Calibri" w:hAnsi="Garamond" w:cs="Times New Roman"/>
          <w:sz w:val="24"/>
          <w:szCs w:val="24"/>
          <w:lang w:val="en-GB"/>
        </w:rPr>
        <w:t>; Brahma</w:t>
      </w:r>
      <w:r w:rsidR="00171487" w:rsidRPr="00DB6C99">
        <w:rPr>
          <w:rFonts w:ascii="Garamond" w:eastAsia="Calibri" w:hAnsi="Garamond" w:cs="Times New Roman"/>
          <w:sz w:val="24"/>
          <w:szCs w:val="24"/>
          <w:lang w:val="en-GB"/>
        </w:rPr>
        <w:t>, Nwafor and Boateng</w:t>
      </w:r>
      <w:r w:rsidR="00261CA4" w:rsidRPr="00DB6C99">
        <w:rPr>
          <w:rFonts w:ascii="Garamond" w:eastAsia="Calibri" w:hAnsi="Garamond" w:cs="Times New Roman"/>
          <w:sz w:val="24"/>
          <w:szCs w:val="24"/>
          <w:lang w:val="en-GB"/>
        </w:rPr>
        <w:t xml:space="preserve">, 2021; </w:t>
      </w:r>
      <w:r w:rsidR="00E97CCB" w:rsidRPr="00DB6C99">
        <w:rPr>
          <w:rFonts w:ascii="Garamond" w:hAnsi="Garamond" w:cs="Arial"/>
          <w:sz w:val="24"/>
          <w:szCs w:val="20"/>
          <w:shd w:val="clear" w:color="auto" w:fill="FFFFFF"/>
        </w:rPr>
        <w:t>Đăng</w:t>
      </w:r>
      <w:r w:rsidR="00261CA4" w:rsidRPr="00DB6C99">
        <w:rPr>
          <w:rFonts w:ascii="Garamond" w:eastAsia="Calibri" w:hAnsi="Garamond" w:cs="Times New Roman"/>
          <w:sz w:val="24"/>
          <w:szCs w:val="24"/>
          <w:lang w:val="en-GB"/>
        </w:rPr>
        <w:t xml:space="preserve"> </w:t>
      </w:r>
      <w:r w:rsidR="00261CA4" w:rsidRPr="00DB6C99">
        <w:rPr>
          <w:rFonts w:ascii="Garamond" w:eastAsia="Calibri" w:hAnsi="Garamond" w:cs="Times New Roman"/>
          <w:i/>
          <w:iCs/>
          <w:sz w:val="24"/>
          <w:szCs w:val="24"/>
          <w:lang w:val="en-GB"/>
        </w:rPr>
        <w:t>et al</w:t>
      </w:r>
      <w:r w:rsidR="00261CA4" w:rsidRPr="00DB6C99">
        <w:rPr>
          <w:rFonts w:ascii="Garamond" w:eastAsia="Calibri" w:hAnsi="Garamond" w:cs="Times New Roman"/>
          <w:sz w:val="24"/>
          <w:szCs w:val="24"/>
          <w:lang w:val="en-GB"/>
        </w:rPr>
        <w:t>., 2020</w:t>
      </w:r>
      <w:r w:rsidR="00934600" w:rsidRPr="00DB6C99">
        <w:rPr>
          <w:rFonts w:ascii="Garamond" w:eastAsia="Calibri" w:hAnsi="Garamond" w:cs="Times New Roman"/>
          <w:sz w:val="24"/>
          <w:szCs w:val="24"/>
          <w:lang w:val="en-GB"/>
        </w:rPr>
        <w:t>)</w:t>
      </w:r>
      <w:r w:rsidR="004A1788" w:rsidRPr="00DB6C99">
        <w:rPr>
          <w:rFonts w:ascii="Garamond" w:eastAsia="Calibri" w:hAnsi="Garamond" w:cs="Times New Roman"/>
          <w:sz w:val="24"/>
          <w:szCs w:val="24"/>
          <w:lang w:val="en-GB"/>
        </w:rPr>
        <w:t xml:space="preserve">. Evidence shows that firms with female directors on boards enjoy superior CSR performance (e.g., </w:t>
      </w:r>
      <w:r w:rsidR="00E13B13" w:rsidRPr="00DB6C99">
        <w:rPr>
          <w:rFonts w:ascii="Garamond" w:eastAsia="Calibri" w:hAnsi="Garamond" w:cs="Times New Roman"/>
          <w:sz w:val="24"/>
          <w:szCs w:val="24"/>
          <w:lang w:val="en-GB"/>
        </w:rPr>
        <w:t xml:space="preserve">Atif </w:t>
      </w:r>
      <w:r w:rsidR="00E13B13" w:rsidRPr="00DB6C99">
        <w:rPr>
          <w:rFonts w:ascii="Garamond" w:eastAsia="Calibri" w:hAnsi="Garamond" w:cs="Times New Roman"/>
          <w:i/>
          <w:sz w:val="24"/>
          <w:szCs w:val="24"/>
          <w:lang w:val="en-GB"/>
        </w:rPr>
        <w:t>et al</w:t>
      </w:r>
      <w:r w:rsidR="00E13B13" w:rsidRPr="00DB6C99">
        <w:rPr>
          <w:rFonts w:ascii="Garamond" w:eastAsia="Calibri" w:hAnsi="Garamond" w:cs="Times New Roman"/>
          <w:iCs/>
          <w:sz w:val="24"/>
          <w:szCs w:val="24"/>
          <w:lang w:val="en-GB"/>
        </w:rPr>
        <w:t xml:space="preserve">., </w:t>
      </w:r>
      <w:r w:rsidR="00E13B13" w:rsidRPr="00DB6C99">
        <w:rPr>
          <w:rFonts w:ascii="Garamond" w:eastAsia="Calibri" w:hAnsi="Garamond" w:cs="Times New Roman"/>
          <w:sz w:val="24"/>
          <w:szCs w:val="24"/>
          <w:lang w:val="en-GB"/>
        </w:rPr>
        <w:t xml:space="preserve">2020; Jain and Zaman, 2020; </w:t>
      </w:r>
      <w:r w:rsidR="004A1788" w:rsidRPr="00DB6C99">
        <w:rPr>
          <w:rFonts w:ascii="Garamond" w:eastAsia="Calibri" w:hAnsi="Garamond" w:cs="Times New Roman"/>
          <w:sz w:val="24"/>
          <w:szCs w:val="24"/>
          <w:lang w:val="en-GB"/>
        </w:rPr>
        <w:t>Post</w:t>
      </w:r>
      <w:r w:rsidR="005C7218" w:rsidRPr="00DB6C99">
        <w:rPr>
          <w:rFonts w:ascii="Garamond" w:eastAsia="Calibri" w:hAnsi="Garamond" w:cs="Times New Roman"/>
          <w:sz w:val="24"/>
          <w:szCs w:val="24"/>
          <w:lang w:val="en-GB"/>
        </w:rPr>
        <w:t>, Rahman and Rubow</w:t>
      </w:r>
      <w:r w:rsidR="00E13B13" w:rsidRPr="00DB6C99">
        <w:rPr>
          <w:rFonts w:ascii="Garamond" w:eastAsia="Calibri" w:hAnsi="Garamond" w:cs="Times New Roman"/>
          <w:iCs/>
          <w:sz w:val="24"/>
          <w:szCs w:val="24"/>
          <w:lang w:val="en-GB"/>
        </w:rPr>
        <w:t>,</w:t>
      </w:r>
      <w:r w:rsidR="004A1788" w:rsidRPr="00DB6C99">
        <w:rPr>
          <w:rFonts w:ascii="Garamond" w:eastAsia="Calibri" w:hAnsi="Garamond" w:cs="Times New Roman"/>
          <w:iCs/>
          <w:sz w:val="24"/>
          <w:szCs w:val="24"/>
          <w:lang w:val="en-GB"/>
        </w:rPr>
        <w:t xml:space="preserve"> </w:t>
      </w:r>
      <w:r w:rsidR="004A1788" w:rsidRPr="00DB6C99">
        <w:rPr>
          <w:rFonts w:ascii="Garamond" w:eastAsia="Calibri" w:hAnsi="Garamond" w:cs="Times New Roman"/>
          <w:sz w:val="24"/>
          <w:szCs w:val="24"/>
          <w:lang w:val="en-GB"/>
        </w:rPr>
        <w:t xml:space="preserve">2011) and higher CSR reporting quality (Al-Shaer </w:t>
      </w:r>
      <w:r w:rsidR="00E13B13" w:rsidRPr="00DB6C99">
        <w:rPr>
          <w:rFonts w:ascii="Garamond" w:eastAsia="Calibri" w:hAnsi="Garamond" w:cs="Times New Roman"/>
          <w:sz w:val="24"/>
          <w:szCs w:val="24"/>
          <w:lang w:val="en-GB"/>
        </w:rPr>
        <w:t>and</w:t>
      </w:r>
      <w:r w:rsidR="004A1788" w:rsidRPr="00DB6C99">
        <w:rPr>
          <w:rFonts w:ascii="Garamond" w:eastAsia="Calibri" w:hAnsi="Garamond" w:cs="Times New Roman"/>
          <w:sz w:val="24"/>
          <w:szCs w:val="24"/>
          <w:lang w:val="en-GB"/>
        </w:rPr>
        <w:t xml:space="preserve"> Zaman, 2016). However, very little is known about whether female directors also curb CSR decoupling by aligning internal CSR activities with external CSR communications. </w:t>
      </w:r>
      <w:r w:rsidRPr="00DB6C99">
        <w:rPr>
          <w:rFonts w:ascii="Garamond" w:eastAsia="Calibri" w:hAnsi="Garamond" w:cs="Times New Roman"/>
          <w:sz w:val="24"/>
          <w:szCs w:val="24"/>
          <w:lang w:val="en-GB"/>
        </w:rPr>
        <w:t>T</w:t>
      </w:r>
      <w:r w:rsidR="004A1788" w:rsidRPr="00DB6C99">
        <w:rPr>
          <w:rFonts w:ascii="Garamond" w:eastAsia="Calibri" w:hAnsi="Garamond" w:cs="Times New Roman"/>
          <w:sz w:val="24"/>
          <w:szCs w:val="24"/>
          <w:lang w:val="en-GB"/>
        </w:rPr>
        <w:t>his is an important gap in the board gender diversity (hereafter BGD) and CSR literature. A positive relationship between BGD and CSR disclosure (</w:t>
      </w:r>
      <w:r w:rsidR="00C72580" w:rsidRPr="00DB6C99">
        <w:rPr>
          <w:rFonts w:ascii="Garamond" w:eastAsia="Calibri" w:hAnsi="Garamond" w:cs="Times New Roman"/>
          <w:sz w:val="24"/>
          <w:szCs w:val="24"/>
          <w:lang w:val="en-GB"/>
        </w:rPr>
        <w:t>Liao</w:t>
      </w:r>
      <w:r w:rsidR="00F5602F" w:rsidRPr="00DB6C99">
        <w:rPr>
          <w:rFonts w:ascii="Garamond" w:eastAsia="Calibri" w:hAnsi="Garamond" w:cs="Times New Roman"/>
          <w:sz w:val="24"/>
          <w:szCs w:val="24"/>
          <w:lang w:val="en-GB"/>
        </w:rPr>
        <w:t>, Luo and Tang</w:t>
      </w:r>
      <w:r w:rsidR="00C72580" w:rsidRPr="00DB6C99">
        <w:rPr>
          <w:rFonts w:ascii="Garamond" w:eastAsia="Calibri" w:hAnsi="Garamond" w:cs="Times New Roman"/>
          <w:iCs/>
          <w:sz w:val="24"/>
          <w:szCs w:val="24"/>
          <w:lang w:val="en-GB"/>
        </w:rPr>
        <w:t xml:space="preserve">, </w:t>
      </w:r>
      <w:r w:rsidR="00C72580" w:rsidRPr="00DB6C99">
        <w:rPr>
          <w:rFonts w:ascii="Garamond" w:eastAsia="Calibri" w:hAnsi="Garamond" w:cs="Times New Roman"/>
          <w:sz w:val="24"/>
          <w:szCs w:val="24"/>
          <w:lang w:val="en-GB"/>
        </w:rPr>
        <w:t xml:space="preserve">2015; </w:t>
      </w:r>
      <w:r w:rsidR="004A1788" w:rsidRPr="00DB6C99">
        <w:rPr>
          <w:rFonts w:ascii="Garamond" w:eastAsia="Calibri" w:hAnsi="Garamond" w:cs="Times New Roman"/>
          <w:sz w:val="24"/>
          <w:szCs w:val="24"/>
          <w:lang w:val="en-GB"/>
        </w:rPr>
        <w:t>Rupley</w:t>
      </w:r>
      <w:r w:rsidR="005A2DF4" w:rsidRPr="00DB6C99">
        <w:rPr>
          <w:rFonts w:ascii="Garamond" w:eastAsia="Calibri" w:hAnsi="Garamond" w:cs="Times New Roman"/>
          <w:sz w:val="24"/>
          <w:szCs w:val="24"/>
          <w:lang w:val="en-GB"/>
        </w:rPr>
        <w:t>, Brown and Marshall</w:t>
      </w:r>
      <w:r w:rsidR="004A1788" w:rsidRPr="00DB6C99">
        <w:rPr>
          <w:rFonts w:ascii="Garamond" w:eastAsia="Calibri" w:hAnsi="Garamond" w:cs="Times New Roman"/>
          <w:iCs/>
          <w:sz w:val="24"/>
          <w:szCs w:val="24"/>
          <w:lang w:val="en-GB"/>
        </w:rPr>
        <w:t>,</w:t>
      </w:r>
      <w:r w:rsidR="004A1788" w:rsidRPr="00DB6C99">
        <w:rPr>
          <w:rFonts w:ascii="Garamond" w:eastAsia="Calibri" w:hAnsi="Garamond" w:cs="Times New Roman"/>
          <w:sz w:val="24"/>
          <w:szCs w:val="24"/>
          <w:lang w:val="en-GB"/>
        </w:rPr>
        <w:t xml:space="preserve"> 2012; Zaman </w:t>
      </w:r>
      <w:r w:rsidR="004A1788" w:rsidRPr="00DB6C99">
        <w:rPr>
          <w:rFonts w:ascii="Garamond" w:eastAsia="Calibri" w:hAnsi="Garamond" w:cs="Times New Roman"/>
          <w:i/>
          <w:sz w:val="24"/>
          <w:szCs w:val="24"/>
          <w:lang w:val="en-GB"/>
        </w:rPr>
        <w:t>et al</w:t>
      </w:r>
      <w:r w:rsidR="004A1788" w:rsidRPr="00DB6C99">
        <w:rPr>
          <w:rFonts w:ascii="Garamond" w:eastAsia="Calibri" w:hAnsi="Garamond" w:cs="Times New Roman"/>
          <w:iCs/>
          <w:sz w:val="24"/>
          <w:szCs w:val="24"/>
          <w:lang w:val="en-GB"/>
        </w:rPr>
        <w:t>.,</w:t>
      </w:r>
      <w:r w:rsidR="004A1788" w:rsidRPr="00DB6C99">
        <w:rPr>
          <w:rFonts w:ascii="Garamond" w:eastAsia="Calibri" w:hAnsi="Garamond" w:cs="Times New Roman"/>
          <w:sz w:val="24"/>
          <w:szCs w:val="24"/>
          <w:lang w:val="en-GB"/>
        </w:rPr>
        <w:t xml:space="preserve"> 2020) is well established. BGD </w:t>
      </w:r>
      <w:r w:rsidRPr="00DB6C99">
        <w:rPr>
          <w:rFonts w:ascii="Garamond" w:eastAsia="Calibri" w:hAnsi="Garamond" w:cs="Times New Roman"/>
          <w:sz w:val="24"/>
          <w:szCs w:val="24"/>
          <w:lang w:val="en-GB"/>
        </w:rPr>
        <w:t xml:space="preserve">also </w:t>
      </w:r>
      <w:r w:rsidR="004A1788" w:rsidRPr="00DB6C99">
        <w:rPr>
          <w:rFonts w:ascii="Garamond" w:eastAsia="Calibri" w:hAnsi="Garamond" w:cs="Times New Roman"/>
          <w:sz w:val="24"/>
          <w:szCs w:val="24"/>
          <w:lang w:val="en-GB"/>
        </w:rPr>
        <w:t xml:space="preserve">increases financial performance and the transparency of financial performance information (Krishnan </w:t>
      </w:r>
      <w:r w:rsidR="00C72580" w:rsidRPr="00DB6C99">
        <w:rPr>
          <w:rFonts w:ascii="Garamond" w:eastAsia="Calibri" w:hAnsi="Garamond" w:cs="Times New Roman"/>
          <w:sz w:val="24"/>
          <w:szCs w:val="24"/>
          <w:lang w:val="en-GB"/>
        </w:rPr>
        <w:t>and</w:t>
      </w:r>
      <w:r w:rsidR="004A1788" w:rsidRPr="00DB6C99">
        <w:rPr>
          <w:rFonts w:ascii="Garamond" w:eastAsia="Calibri" w:hAnsi="Garamond" w:cs="Times New Roman"/>
          <w:sz w:val="24"/>
          <w:szCs w:val="24"/>
          <w:lang w:val="en-GB"/>
        </w:rPr>
        <w:t xml:space="preserve"> Parsons, 2008). However, there is limited evidence concerning BGD</w:t>
      </w:r>
      <w:r w:rsidRPr="00DB6C99">
        <w:rPr>
          <w:rFonts w:ascii="Garamond" w:eastAsia="Calibri" w:hAnsi="Garamond" w:cs="Times New Roman"/>
          <w:sz w:val="24"/>
          <w:szCs w:val="24"/>
          <w:lang w:val="en-GB"/>
        </w:rPr>
        <w:t>’s effect</w:t>
      </w:r>
      <w:r w:rsidR="004A1788" w:rsidRPr="00DB6C99">
        <w:rPr>
          <w:rFonts w:ascii="Garamond" w:eastAsia="Calibri" w:hAnsi="Garamond" w:cs="Times New Roman"/>
          <w:sz w:val="24"/>
          <w:szCs w:val="24"/>
          <w:lang w:val="en-GB"/>
        </w:rPr>
        <w:t xml:space="preserve"> on </w:t>
      </w:r>
      <w:r w:rsidR="00C72580" w:rsidRPr="00DB6C99">
        <w:rPr>
          <w:rFonts w:ascii="Garamond" w:eastAsia="Calibri" w:hAnsi="Garamond" w:cs="Times New Roman"/>
          <w:sz w:val="24"/>
          <w:szCs w:val="24"/>
          <w:lang w:val="en-GB"/>
        </w:rPr>
        <w:t xml:space="preserve">the </w:t>
      </w:r>
      <w:r w:rsidR="004A1788" w:rsidRPr="00DB6C99">
        <w:rPr>
          <w:rFonts w:ascii="Garamond" w:eastAsia="Calibri" w:hAnsi="Garamond" w:cs="Times New Roman"/>
          <w:sz w:val="24"/>
          <w:szCs w:val="24"/>
          <w:lang w:val="en-GB"/>
        </w:rPr>
        <w:t xml:space="preserve">transparency of CSR information. </w:t>
      </w:r>
    </w:p>
    <w:p w14:paraId="4DAF9009" w14:textId="714F8E37" w:rsidR="004A1788" w:rsidRPr="00DB6C99" w:rsidRDefault="004A1788" w:rsidP="004A1788">
      <w:pPr>
        <w:spacing w:line="360" w:lineRule="auto"/>
        <w:ind w:firstLine="720"/>
        <w:jc w:val="both"/>
        <w:rPr>
          <w:rFonts w:ascii="Garamond" w:eastAsia="Calibri" w:hAnsi="Garamond" w:cs="Times New Roman"/>
          <w:sz w:val="24"/>
          <w:szCs w:val="24"/>
          <w:lang w:val="en-GB"/>
        </w:rPr>
      </w:pPr>
      <w:r w:rsidRPr="00DB6C99">
        <w:rPr>
          <w:rFonts w:ascii="Garamond" w:eastAsia="Calibri" w:hAnsi="Garamond" w:cs="Times New Roman"/>
          <w:sz w:val="24"/>
          <w:szCs w:val="24"/>
          <w:lang w:val="en-GB"/>
        </w:rPr>
        <w:t>The information asymmetry between executives and stakeholders provides managers with an opportunity to intentionally fake CSR actions (Crilly</w:t>
      </w:r>
      <w:r w:rsidR="009A6BE7" w:rsidRPr="00DB6C99">
        <w:rPr>
          <w:rFonts w:ascii="Garamond" w:eastAsia="Calibri" w:hAnsi="Garamond" w:cs="Times New Roman"/>
          <w:sz w:val="24"/>
          <w:szCs w:val="24"/>
          <w:lang w:val="en-GB"/>
        </w:rPr>
        <w:t>, Zollo and Hansen</w:t>
      </w:r>
      <w:r w:rsidRPr="00DB6C99">
        <w:rPr>
          <w:rFonts w:ascii="Garamond" w:eastAsia="Calibri" w:hAnsi="Garamond" w:cs="Times New Roman"/>
          <w:sz w:val="24"/>
          <w:szCs w:val="24"/>
          <w:lang w:val="en-GB"/>
        </w:rPr>
        <w:t xml:space="preserve">, 2012; </w:t>
      </w:r>
      <w:r w:rsidRPr="00DB6C99">
        <w:rPr>
          <w:rFonts w:ascii="Garamond" w:eastAsia="Calibri" w:hAnsi="Garamond" w:cs="Times New Roman"/>
          <w:sz w:val="24"/>
          <w:szCs w:val="24"/>
          <w:shd w:val="clear" w:color="auto" w:fill="FFFFFF"/>
          <w:lang w:val="en-GB"/>
        </w:rPr>
        <w:t>Marquis</w:t>
      </w:r>
      <w:r w:rsidR="008C5670" w:rsidRPr="00DB6C99">
        <w:rPr>
          <w:rFonts w:ascii="Garamond" w:eastAsia="Calibri" w:hAnsi="Garamond" w:cs="Times New Roman"/>
          <w:sz w:val="24"/>
          <w:szCs w:val="24"/>
          <w:shd w:val="clear" w:color="auto" w:fill="FFFFFF"/>
          <w:lang w:val="en-GB"/>
        </w:rPr>
        <w:t>, Toffel and Zhou</w:t>
      </w:r>
      <w:r w:rsidRPr="00DB6C99">
        <w:rPr>
          <w:rFonts w:ascii="Garamond" w:eastAsia="Calibri" w:hAnsi="Garamond" w:cs="Times New Roman"/>
          <w:iCs/>
          <w:sz w:val="24"/>
          <w:szCs w:val="24"/>
          <w:shd w:val="clear" w:color="auto" w:fill="FFFFFF"/>
          <w:lang w:val="en-GB"/>
        </w:rPr>
        <w:t xml:space="preserve">, </w:t>
      </w:r>
      <w:r w:rsidRPr="00DB6C99">
        <w:rPr>
          <w:rFonts w:ascii="Garamond" w:eastAsia="Calibri" w:hAnsi="Garamond" w:cs="Times New Roman"/>
          <w:sz w:val="24"/>
          <w:szCs w:val="24"/>
          <w:shd w:val="clear" w:color="auto" w:fill="FFFFFF"/>
          <w:lang w:val="en-GB"/>
        </w:rPr>
        <w:t>2016</w:t>
      </w:r>
      <w:r w:rsidRPr="00DB6C99">
        <w:rPr>
          <w:rFonts w:ascii="Garamond" w:eastAsia="Calibri" w:hAnsi="Garamond" w:cs="Times New Roman"/>
          <w:sz w:val="24"/>
          <w:szCs w:val="24"/>
          <w:lang w:val="en-GB"/>
        </w:rPr>
        <w:t xml:space="preserve">). </w:t>
      </w:r>
      <w:r w:rsidR="00070B12" w:rsidRPr="00DB6C99">
        <w:rPr>
          <w:rFonts w:ascii="Garamond" w:eastAsia="Calibri" w:hAnsi="Garamond" w:cs="Times New Roman"/>
          <w:sz w:val="24"/>
          <w:szCs w:val="24"/>
          <w:lang w:val="en-GB"/>
        </w:rPr>
        <w:t>F</w:t>
      </w:r>
      <w:r w:rsidRPr="00DB6C99">
        <w:rPr>
          <w:rFonts w:ascii="Garamond" w:eastAsia="Calibri" w:hAnsi="Garamond" w:cs="Times New Roman"/>
          <w:sz w:val="24"/>
          <w:szCs w:val="24"/>
          <w:lang w:val="en-GB"/>
        </w:rPr>
        <w:t xml:space="preserve">emale directors reduce information asymmetry, monitor executives effectively and are more likely to question and report incidents of fraudulent reporting (Kaplan </w:t>
      </w:r>
      <w:r w:rsidRPr="00DB6C99">
        <w:rPr>
          <w:rFonts w:ascii="Garamond" w:eastAsia="Calibri" w:hAnsi="Garamond" w:cs="Times New Roman"/>
          <w:i/>
          <w:iCs/>
          <w:sz w:val="24"/>
          <w:szCs w:val="24"/>
          <w:lang w:val="en-GB"/>
        </w:rPr>
        <w:t>et al</w:t>
      </w:r>
      <w:r w:rsidRPr="00DB6C99">
        <w:rPr>
          <w:rFonts w:ascii="Garamond" w:eastAsia="Calibri" w:hAnsi="Garamond" w:cs="Times New Roman"/>
          <w:sz w:val="24"/>
          <w:szCs w:val="24"/>
          <w:lang w:val="en-GB"/>
        </w:rPr>
        <w:t>., 2009)</w:t>
      </w:r>
      <w:r w:rsidR="00070B12" w:rsidRPr="00DB6C99">
        <w:rPr>
          <w:rFonts w:ascii="Garamond" w:eastAsia="Calibri" w:hAnsi="Garamond" w:cs="Times New Roman"/>
          <w:sz w:val="24"/>
          <w:szCs w:val="24"/>
          <w:lang w:val="en-GB"/>
        </w:rPr>
        <w:t>; thus</w:t>
      </w:r>
      <w:r w:rsidRPr="00DB6C99">
        <w:rPr>
          <w:rFonts w:ascii="Garamond" w:eastAsia="Calibri" w:hAnsi="Garamond" w:cs="Times New Roman"/>
          <w:sz w:val="24"/>
          <w:szCs w:val="24"/>
          <w:lang w:val="en-GB"/>
        </w:rPr>
        <w:t xml:space="preserve">, we argue that </w:t>
      </w:r>
      <w:r w:rsidR="00070B12" w:rsidRPr="00DB6C99">
        <w:rPr>
          <w:rFonts w:ascii="Garamond" w:eastAsia="Calibri" w:hAnsi="Garamond" w:cs="Times New Roman"/>
          <w:sz w:val="24"/>
          <w:szCs w:val="24"/>
          <w:lang w:val="en-GB"/>
        </w:rPr>
        <w:t>they</w:t>
      </w:r>
      <w:r w:rsidRPr="00DB6C99">
        <w:rPr>
          <w:rFonts w:ascii="Garamond" w:eastAsia="Calibri" w:hAnsi="Garamond" w:cs="Times New Roman"/>
          <w:sz w:val="24"/>
          <w:szCs w:val="24"/>
          <w:lang w:val="en-GB"/>
        </w:rPr>
        <w:t xml:space="preserve"> are likely to improve CSR information transparency and reduce the gap between CSR disclosure and performance. CSR decoupling research is still emerging and has so far focused on its antecedents at the firm</w:t>
      </w:r>
      <w:r w:rsidR="00C72580" w:rsidRPr="00DB6C99">
        <w:rPr>
          <w:rFonts w:ascii="Garamond" w:eastAsia="Calibri" w:hAnsi="Garamond" w:cs="Times New Roman"/>
          <w:sz w:val="24"/>
          <w:szCs w:val="24"/>
          <w:lang w:val="en-GB"/>
        </w:rPr>
        <w:t xml:space="preserve"> </w:t>
      </w:r>
      <w:r w:rsidRPr="00DB6C99">
        <w:rPr>
          <w:rFonts w:ascii="Garamond" w:eastAsia="Calibri" w:hAnsi="Garamond" w:cs="Times New Roman"/>
          <w:sz w:val="24"/>
          <w:szCs w:val="24"/>
          <w:lang w:val="en-GB"/>
        </w:rPr>
        <w:t>level (</w:t>
      </w:r>
      <w:r w:rsidRPr="00DB6C99">
        <w:rPr>
          <w:rFonts w:ascii="Garamond" w:eastAsia="Calibri" w:hAnsi="Garamond" w:cs="Times New Roman"/>
          <w:sz w:val="24"/>
          <w:szCs w:val="24"/>
          <w:shd w:val="clear" w:color="auto" w:fill="FFFFFF"/>
          <w:lang w:val="en-GB"/>
        </w:rPr>
        <w:t xml:space="preserve">Delmas </w:t>
      </w:r>
      <w:r w:rsidR="00C72580" w:rsidRPr="00DB6C99">
        <w:rPr>
          <w:rFonts w:ascii="Garamond" w:eastAsia="Calibri" w:hAnsi="Garamond" w:cs="Times New Roman"/>
          <w:sz w:val="24"/>
          <w:szCs w:val="24"/>
          <w:shd w:val="clear" w:color="auto" w:fill="FFFFFF"/>
          <w:lang w:val="en-GB"/>
        </w:rPr>
        <w:t>and</w:t>
      </w:r>
      <w:r w:rsidRPr="00DB6C99">
        <w:rPr>
          <w:rFonts w:ascii="Garamond" w:eastAsia="Calibri" w:hAnsi="Garamond" w:cs="Times New Roman"/>
          <w:sz w:val="24"/>
          <w:szCs w:val="24"/>
          <w:shd w:val="clear" w:color="auto" w:fill="FFFFFF"/>
          <w:lang w:val="en-GB"/>
        </w:rPr>
        <w:t xml:space="preserve"> Burbano, 2011; </w:t>
      </w:r>
      <w:r w:rsidRPr="00DB6C99">
        <w:rPr>
          <w:rFonts w:ascii="Garamond" w:eastAsia="Calibri" w:hAnsi="Garamond" w:cs="Times New Roman"/>
          <w:sz w:val="24"/>
          <w:szCs w:val="24"/>
          <w:lang w:val="en-GB" w:eastAsia="en-NZ"/>
        </w:rPr>
        <w:t xml:space="preserve">Sauerwald </w:t>
      </w:r>
      <w:r w:rsidR="00C72580" w:rsidRPr="00DB6C99">
        <w:rPr>
          <w:rFonts w:ascii="Garamond" w:eastAsia="Calibri" w:hAnsi="Garamond" w:cs="Times New Roman"/>
          <w:sz w:val="24"/>
          <w:szCs w:val="24"/>
          <w:lang w:val="en-GB" w:eastAsia="en-NZ"/>
        </w:rPr>
        <w:t>and</w:t>
      </w:r>
      <w:r w:rsidRPr="00DB6C99">
        <w:rPr>
          <w:rFonts w:ascii="Garamond" w:eastAsia="Calibri" w:hAnsi="Garamond" w:cs="Times New Roman"/>
          <w:sz w:val="24"/>
          <w:szCs w:val="24"/>
          <w:lang w:val="en-GB" w:eastAsia="en-NZ"/>
        </w:rPr>
        <w:t xml:space="preserve"> Su, 2019</w:t>
      </w:r>
      <w:r w:rsidRPr="00DB6C99">
        <w:rPr>
          <w:rFonts w:ascii="Garamond" w:eastAsia="Calibri" w:hAnsi="Garamond" w:cs="Times New Roman"/>
          <w:sz w:val="24"/>
          <w:szCs w:val="24"/>
          <w:lang w:val="en-GB"/>
        </w:rPr>
        <w:t>), market</w:t>
      </w:r>
      <w:r w:rsidR="00C72580" w:rsidRPr="00DB6C99">
        <w:rPr>
          <w:rFonts w:ascii="Garamond" w:eastAsia="Calibri" w:hAnsi="Garamond" w:cs="Times New Roman"/>
          <w:sz w:val="24"/>
          <w:szCs w:val="24"/>
          <w:lang w:val="en-GB"/>
        </w:rPr>
        <w:t xml:space="preserve"> </w:t>
      </w:r>
      <w:r w:rsidRPr="00DB6C99">
        <w:rPr>
          <w:rFonts w:ascii="Garamond" w:eastAsia="Calibri" w:hAnsi="Garamond" w:cs="Times New Roman"/>
          <w:sz w:val="24"/>
          <w:szCs w:val="24"/>
          <w:lang w:val="en-GB"/>
        </w:rPr>
        <w:t>level (Garc</w:t>
      </w:r>
      <w:r w:rsidR="005A2DF4" w:rsidRPr="00DB6C99">
        <w:rPr>
          <w:rFonts w:ascii="Garamond" w:eastAsia="Calibri" w:hAnsi="Garamond" w:cs="Times New Roman"/>
          <w:sz w:val="24"/>
          <w:szCs w:val="24"/>
          <w:lang w:val="en-GB"/>
        </w:rPr>
        <w:t>í</w:t>
      </w:r>
      <w:r w:rsidRPr="00DB6C99">
        <w:rPr>
          <w:rFonts w:ascii="Garamond" w:eastAsia="Calibri" w:hAnsi="Garamond" w:cs="Times New Roman"/>
          <w:sz w:val="24"/>
          <w:szCs w:val="24"/>
          <w:lang w:val="en-GB"/>
        </w:rPr>
        <w:t>a-S</w:t>
      </w:r>
      <w:r w:rsidR="005A2DF4" w:rsidRPr="00DB6C99">
        <w:rPr>
          <w:rFonts w:ascii="Garamond" w:eastAsia="Calibri" w:hAnsi="Garamond" w:cs="Times New Roman"/>
          <w:sz w:val="24"/>
          <w:szCs w:val="24"/>
          <w:lang w:val="en-GB"/>
        </w:rPr>
        <w:t>á</w:t>
      </w:r>
      <w:r w:rsidRPr="00DB6C99">
        <w:rPr>
          <w:rFonts w:ascii="Garamond" w:eastAsia="Calibri" w:hAnsi="Garamond" w:cs="Times New Roman"/>
          <w:sz w:val="24"/>
          <w:szCs w:val="24"/>
          <w:lang w:val="en-GB"/>
        </w:rPr>
        <w:t xml:space="preserve">nchez </w:t>
      </w:r>
      <w:r w:rsidRPr="00DB6C99">
        <w:rPr>
          <w:rFonts w:ascii="Garamond" w:eastAsia="Calibri" w:hAnsi="Garamond" w:cs="Times New Roman"/>
          <w:i/>
          <w:iCs/>
          <w:sz w:val="24"/>
          <w:szCs w:val="24"/>
          <w:lang w:val="en-GB"/>
        </w:rPr>
        <w:t>et al</w:t>
      </w:r>
      <w:r w:rsidRPr="00DB6C99">
        <w:rPr>
          <w:rFonts w:ascii="Garamond" w:eastAsia="Calibri" w:hAnsi="Garamond" w:cs="Times New Roman"/>
          <w:sz w:val="24"/>
          <w:szCs w:val="24"/>
          <w:lang w:val="en-GB"/>
        </w:rPr>
        <w:t>., 2021) and institutional</w:t>
      </w:r>
      <w:r w:rsidR="00070B12" w:rsidRPr="00DB6C99">
        <w:rPr>
          <w:rFonts w:ascii="Garamond" w:eastAsia="Calibri" w:hAnsi="Garamond" w:cs="Times New Roman"/>
          <w:sz w:val="24"/>
          <w:szCs w:val="24"/>
          <w:lang w:val="en-GB"/>
        </w:rPr>
        <w:t xml:space="preserve"> </w:t>
      </w:r>
      <w:r w:rsidRPr="00DB6C99">
        <w:rPr>
          <w:rFonts w:ascii="Garamond" w:eastAsia="Calibri" w:hAnsi="Garamond" w:cs="Times New Roman"/>
          <w:sz w:val="24"/>
          <w:szCs w:val="24"/>
          <w:lang w:val="en-GB"/>
        </w:rPr>
        <w:t>level (</w:t>
      </w:r>
      <w:r w:rsidR="00C72580" w:rsidRPr="00DB6C99">
        <w:rPr>
          <w:rFonts w:ascii="Garamond" w:eastAsia="Calibri" w:hAnsi="Garamond" w:cs="Times New Roman"/>
          <w:sz w:val="24"/>
          <w:szCs w:val="24"/>
          <w:lang w:val="en-GB" w:eastAsia="en-NZ"/>
        </w:rPr>
        <w:t>Jain, 2017; Luo</w:t>
      </w:r>
      <w:r w:rsidR="00F5602F" w:rsidRPr="00DB6C99">
        <w:rPr>
          <w:rFonts w:ascii="Garamond" w:eastAsia="Calibri" w:hAnsi="Garamond" w:cs="Times New Roman"/>
          <w:sz w:val="24"/>
          <w:szCs w:val="24"/>
          <w:lang w:val="en-GB" w:eastAsia="en-NZ"/>
        </w:rPr>
        <w:t>, Wang and Zhang</w:t>
      </w:r>
      <w:r w:rsidR="00C72580" w:rsidRPr="00DB6C99">
        <w:rPr>
          <w:rFonts w:ascii="Garamond" w:eastAsia="Calibri" w:hAnsi="Garamond" w:cs="Times New Roman"/>
          <w:sz w:val="24"/>
          <w:szCs w:val="24"/>
          <w:lang w:val="en-GB" w:eastAsia="en-NZ"/>
        </w:rPr>
        <w:t xml:space="preserve">, 2017; </w:t>
      </w:r>
      <w:r w:rsidRPr="00DB6C99">
        <w:rPr>
          <w:rFonts w:ascii="Garamond" w:eastAsia="Calibri" w:hAnsi="Garamond" w:cs="Times New Roman"/>
          <w:sz w:val="24"/>
          <w:szCs w:val="24"/>
          <w:lang w:val="en-GB" w:eastAsia="en-NZ"/>
        </w:rPr>
        <w:t xml:space="preserve">Marquis </w:t>
      </w:r>
      <w:r w:rsidR="00C72580" w:rsidRPr="00DB6C99">
        <w:rPr>
          <w:rFonts w:ascii="Garamond" w:eastAsia="Calibri" w:hAnsi="Garamond" w:cs="Times New Roman"/>
          <w:sz w:val="24"/>
          <w:szCs w:val="24"/>
          <w:lang w:val="en-GB" w:eastAsia="en-NZ"/>
        </w:rPr>
        <w:t>and</w:t>
      </w:r>
      <w:r w:rsidRPr="00DB6C99">
        <w:rPr>
          <w:rFonts w:ascii="Garamond" w:eastAsia="Calibri" w:hAnsi="Garamond" w:cs="Times New Roman"/>
          <w:sz w:val="24"/>
          <w:szCs w:val="24"/>
          <w:lang w:val="en-GB" w:eastAsia="en-NZ"/>
        </w:rPr>
        <w:t xml:space="preserve"> Qian, 2014; Tashman</w:t>
      </w:r>
      <w:r w:rsidR="00815C32" w:rsidRPr="00DB6C99">
        <w:rPr>
          <w:rFonts w:ascii="Garamond" w:eastAsia="Calibri" w:hAnsi="Garamond" w:cs="Times New Roman"/>
          <w:sz w:val="24"/>
          <w:szCs w:val="24"/>
          <w:lang w:val="en-GB" w:eastAsia="en-NZ"/>
        </w:rPr>
        <w:t>, Marano and Kostova</w:t>
      </w:r>
      <w:r w:rsidRPr="00DB6C99">
        <w:rPr>
          <w:rFonts w:ascii="Garamond" w:eastAsia="Calibri" w:hAnsi="Garamond" w:cs="Times New Roman"/>
          <w:sz w:val="24"/>
          <w:szCs w:val="24"/>
          <w:lang w:val="en-GB" w:eastAsia="en-NZ"/>
        </w:rPr>
        <w:t>, 2018</w:t>
      </w:r>
      <w:r w:rsidRPr="00DB6C99">
        <w:rPr>
          <w:rFonts w:ascii="Garamond" w:eastAsia="Calibri" w:hAnsi="Garamond" w:cs="Times New Roman"/>
          <w:sz w:val="24"/>
          <w:szCs w:val="24"/>
          <w:lang w:val="en-GB"/>
        </w:rPr>
        <w:t>)</w:t>
      </w:r>
      <w:r w:rsidR="00070B12"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 xml:space="preserve"> </w:t>
      </w:r>
      <w:r w:rsidR="00070B12" w:rsidRPr="00DB6C99">
        <w:rPr>
          <w:rFonts w:ascii="Garamond" w:eastAsia="Calibri" w:hAnsi="Garamond" w:cs="Times New Roman"/>
          <w:sz w:val="24"/>
          <w:szCs w:val="24"/>
          <w:lang w:val="en-GB"/>
        </w:rPr>
        <w:t>T</w:t>
      </w:r>
      <w:r w:rsidR="00C72580" w:rsidRPr="00DB6C99">
        <w:rPr>
          <w:rFonts w:ascii="Garamond" w:eastAsia="Calibri" w:hAnsi="Garamond" w:cs="Times New Roman"/>
          <w:sz w:val="24"/>
          <w:szCs w:val="24"/>
          <w:lang w:val="en-GB"/>
        </w:rPr>
        <w:t xml:space="preserve">he </w:t>
      </w:r>
      <w:r w:rsidRPr="00DB6C99">
        <w:rPr>
          <w:rFonts w:ascii="Garamond" w:eastAsia="Calibri" w:hAnsi="Garamond" w:cs="Times New Roman"/>
          <w:sz w:val="24"/>
          <w:szCs w:val="24"/>
          <w:lang w:val="en-GB"/>
        </w:rPr>
        <w:t xml:space="preserve">CG determinants of CSR decoupling are </w:t>
      </w:r>
      <w:r w:rsidR="00307446" w:rsidRPr="00DB6C99">
        <w:rPr>
          <w:rFonts w:ascii="Garamond" w:eastAsia="Calibri" w:hAnsi="Garamond" w:cs="Times New Roman"/>
          <w:sz w:val="24"/>
          <w:szCs w:val="24"/>
          <w:lang w:val="en-GB"/>
        </w:rPr>
        <w:t xml:space="preserve">scantly </w:t>
      </w:r>
      <w:r w:rsidRPr="00DB6C99">
        <w:rPr>
          <w:rFonts w:ascii="Garamond" w:eastAsia="Calibri" w:hAnsi="Garamond" w:cs="Times New Roman"/>
          <w:sz w:val="24"/>
          <w:szCs w:val="24"/>
          <w:lang w:val="en-GB"/>
        </w:rPr>
        <w:t>explored</w:t>
      </w:r>
      <w:r w:rsidR="00316442" w:rsidRPr="00DB6C99">
        <w:rPr>
          <w:rFonts w:ascii="Garamond" w:eastAsia="Calibri" w:hAnsi="Garamond" w:cs="Times New Roman"/>
          <w:sz w:val="24"/>
          <w:szCs w:val="24"/>
          <w:lang w:val="en-GB"/>
        </w:rPr>
        <w:t>—</w:t>
      </w:r>
      <w:r w:rsidR="00307446" w:rsidRPr="00DB6C99">
        <w:rPr>
          <w:rFonts w:ascii="Garamond" w:eastAsia="Calibri" w:hAnsi="Garamond" w:cs="Times New Roman"/>
          <w:sz w:val="24"/>
          <w:szCs w:val="24"/>
          <w:lang w:val="en-GB"/>
        </w:rPr>
        <w:t xml:space="preserve">recent exceptions </w:t>
      </w:r>
      <w:r w:rsidR="00316442" w:rsidRPr="00DB6C99">
        <w:rPr>
          <w:rFonts w:ascii="Garamond" w:eastAsia="Calibri" w:hAnsi="Garamond" w:cs="Times New Roman"/>
          <w:sz w:val="24"/>
          <w:szCs w:val="24"/>
          <w:lang w:val="en-GB"/>
        </w:rPr>
        <w:t xml:space="preserve">being </w:t>
      </w:r>
      <w:r w:rsidR="00307446" w:rsidRPr="00DB6C99">
        <w:rPr>
          <w:rFonts w:ascii="Garamond" w:eastAsia="Calibri" w:hAnsi="Garamond" w:cs="Times New Roman"/>
          <w:sz w:val="24"/>
          <w:szCs w:val="24"/>
          <w:lang w:val="en-GB"/>
        </w:rPr>
        <w:t xml:space="preserve">Gull </w:t>
      </w:r>
      <w:r w:rsidR="00307446" w:rsidRPr="00DB6C99">
        <w:rPr>
          <w:rFonts w:ascii="Garamond" w:eastAsia="Calibri" w:hAnsi="Garamond" w:cs="Times New Roman"/>
          <w:i/>
          <w:sz w:val="24"/>
          <w:szCs w:val="24"/>
          <w:lang w:val="en-GB"/>
        </w:rPr>
        <w:t>et al</w:t>
      </w:r>
      <w:r w:rsidR="00307446" w:rsidRPr="00DB6C99">
        <w:rPr>
          <w:rFonts w:ascii="Garamond" w:eastAsia="Calibri" w:hAnsi="Garamond" w:cs="Times New Roman"/>
          <w:iCs/>
          <w:sz w:val="24"/>
          <w:szCs w:val="24"/>
          <w:lang w:val="en-GB"/>
        </w:rPr>
        <w:t>.</w:t>
      </w:r>
      <w:r w:rsidR="00307446" w:rsidRPr="00DB6C99">
        <w:rPr>
          <w:rFonts w:ascii="Garamond" w:eastAsia="Calibri" w:hAnsi="Garamond" w:cs="Times New Roman"/>
          <w:sz w:val="24"/>
          <w:szCs w:val="24"/>
          <w:lang w:val="en-GB"/>
        </w:rPr>
        <w:t xml:space="preserve"> (2022) and </w:t>
      </w:r>
      <w:r w:rsidR="00307446" w:rsidRPr="00DB6C99">
        <w:rPr>
          <w:rFonts w:ascii="Garamond" w:hAnsi="Garamond"/>
          <w:sz w:val="24"/>
          <w:szCs w:val="24"/>
          <w:shd w:val="clear" w:color="auto" w:fill="FFFFFF"/>
          <w:lang w:val="en-GB"/>
        </w:rPr>
        <w:t xml:space="preserve">García-Sánchez </w:t>
      </w:r>
      <w:r w:rsidR="00307446" w:rsidRPr="00DB6C99">
        <w:rPr>
          <w:rFonts w:ascii="Garamond" w:hAnsi="Garamond"/>
          <w:i/>
          <w:sz w:val="24"/>
          <w:szCs w:val="24"/>
          <w:shd w:val="clear" w:color="auto" w:fill="FFFFFF"/>
          <w:lang w:val="en-GB"/>
        </w:rPr>
        <w:t>et al</w:t>
      </w:r>
      <w:r w:rsidR="00307446" w:rsidRPr="00DB6C99">
        <w:rPr>
          <w:rFonts w:ascii="Garamond" w:hAnsi="Garamond"/>
          <w:iCs/>
          <w:sz w:val="24"/>
          <w:szCs w:val="24"/>
          <w:shd w:val="clear" w:color="auto" w:fill="FFFFFF"/>
          <w:lang w:val="en-GB"/>
        </w:rPr>
        <w:t>.</w:t>
      </w:r>
      <w:r w:rsidR="00307446" w:rsidRPr="00DB6C99">
        <w:rPr>
          <w:rFonts w:ascii="Garamond" w:hAnsi="Garamond"/>
          <w:sz w:val="24"/>
          <w:szCs w:val="24"/>
          <w:shd w:val="clear" w:color="auto" w:fill="FFFFFF"/>
          <w:lang w:val="en-GB"/>
        </w:rPr>
        <w:t xml:space="preserve"> (2022). Gull </w:t>
      </w:r>
      <w:r w:rsidR="00307446" w:rsidRPr="00DB6C99">
        <w:rPr>
          <w:rFonts w:ascii="Garamond" w:hAnsi="Garamond"/>
          <w:i/>
          <w:sz w:val="24"/>
          <w:szCs w:val="24"/>
          <w:shd w:val="clear" w:color="auto" w:fill="FFFFFF"/>
          <w:lang w:val="en-GB"/>
        </w:rPr>
        <w:t>et al</w:t>
      </w:r>
      <w:r w:rsidR="00307446" w:rsidRPr="00DB6C99">
        <w:rPr>
          <w:rFonts w:ascii="Garamond" w:hAnsi="Garamond"/>
          <w:iCs/>
          <w:sz w:val="24"/>
          <w:szCs w:val="24"/>
          <w:shd w:val="clear" w:color="auto" w:fill="FFFFFF"/>
          <w:lang w:val="en-GB"/>
        </w:rPr>
        <w:t>.</w:t>
      </w:r>
      <w:r w:rsidR="00307446" w:rsidRPr="00DB6C99">
        <w:rPr>
          <w:rFonts w:ascii="Garamond" w:hAnsi="Garamond"/>
          <w:sz w:val="24"/>
          <w:szCs w:val="24"/>
          <w:shd w:val="clear" w:color="auto" w:fill="FFFFFF"/>
          <w:lang w:val="en-GB"/>
        </w:rPr>
        <w:t xml:space="preserve"> (2022) </w:t>
      </w:r>
      <w:r w:rsidR="00DB6C99" w:rsidRPr="00DB6C99">
        <w:rPr>
          <w:rFonts w:ascii="Garamond" w:eastAsia="Calibri" w:hAnsi="Garamond" w:cs="Times New Roman"/>
          <w:sz w:val="24"/>
          <w:szCs w:val="24"/>
          <w:lang w:val="en-GB"/>
        </w:rPr>
        <w:t>note</w:t>
      </w:r>
      <w:r w:rsidR="00307446" w:rsidRPr="00DB6C99">
        <w:rPr>
          <w:rFonts w:ascii="Garamond" w:eastAsia="Calibri" w:hAnsi="Garamond" w:cs="Times New Roman"/>
          <w:sz w:val="24"/>
          <w:szCs w:val="24"/>
          <w:lang w:val="en-GB"/>
        </w:rPr>
        <w:t xml:space="preserve"> </w:t>
      </w:r>
      <w:r w:rsidR="00DB6C99" w:rsidRPr="00DB6C99">
        <w:rPr>
          <w:rFonts w:ascii="Garamond" w:eastAsia="Calibri" w:hAnsi="Garamond" w:cs="Times New Roman"/>
          <w:sz w:val="24"/>
          <w:szCs w:val="24"/>
          <w:lang w:val="en-GB"/>
        </w:rPr>
        <w:t xml:space="preserve">a </w:t>
      </w:r>
      <w:r w:rsidR="00461120" w:rsidRPr="00DB6C99">
        <w:rPr>
          <w:rFonts w:ascii="Garamond" w:eastAsia="Calibri" w:hAnsi="Garamond" w:cs="Times New Roman"/>
          <w:sz w:val="24"/>
          <w:szCs w:val="24"/>
          <w:lang w:val="en-GB"/>
        </w:rPr>
        <w:t>significant</w:t>
      </w:r>
      <w:r w:rsidR="000A7B98" w:rsidRPr="00DB6C99">
        <w:rPr>
          <w:rFonts w:ascii="Garamond" w:eastAsia="Calibri" w:hAnsi="Garamond" w:cs="Times New Roman"/>
          <w:sz w:val="24"/>
          <w:szCs w:val="24"/>
          <w:lang w:val="en-GB"/>
        </w:rPr>
        <w:t xml:space="preserve"> negative</w:t>
      </w:r>
      <w:r w:rsidR="00307446" w:rsidRPr="00DB6C99">
        <w:rPr>
          <w:rFonts w:ascii="Garamond" w:eastAsia="Calibri" w:hAnsi="Garamond" w:cs="Times New Roman"/>
          <w:sz w:val="24"/>
          <w:szCs w:val="24"/>
          <w:lang w:val="en-GB"/>
        </w:rPr>
        <w:t xml:space="preserve"> relationship between the existence of a CSR committee on the corporate board and </w:t>
      </w:r>
      <w:r w:rsidR="00C72580" w:rsidRPr="00DB6C99">
        <w:rPr>
          <w:rFonts w:ascii="Garamond" w:eastAsia="Calibri" w:hAnsi="Garamond" w:cs="Times New Roman"/>
          <w:sz w:val="24"/>
          <w:szCs w:val="24"/>
          <w:lang w:val="en-GB"/>
        </w:rPr>
        <w:t xml:space="preserve">a </w:t>
      </w:r>
      <w:r w:rsidR="00307446" w:rsidRPr="00DB6C99">
        <w:rPr>
          <w:rFonts w:ascii="Garamond" w:eastAsia="Calibri" w:hAnsi="Garamond" w:cs="Times New Roman"/>
          <w:sz w:val="24"/>
          <w:szCs w:val="24"/>
          <w:lang w:val="en-GB"/>
        </w:rPr>
        <w:t>CSR gap</w:t>
      </w:r>
      <w:r w:rsidR="00944D16" w:rsidRPr="00DB6C99">
        <w:rPr>
          <w:rFonts w:ascii="Garamond" w:eastAsia="Calibri" w:hAnsi="Garamond" w:cs="Times New Roman"/>
          <w:sz w:val="24"/>
          <w:szCs w:val="24"/>
          <w:lang w:val="en-GB"/>
        </w:rPr>
        <w:t>.</w:t>
      </w:r>
      <w:r w:rsidR="000A7B98" w:rsidRPr="00DB6C99">
        <w:rPr>
          <w:rFonts w:ascii="Garamond" w:eastAsia="Calibri" w:hAnsi="Garamond" w:cs="Times New Roman"/>
          <w:sz w:val="24"/>
          <w:szCs w:val="24"/>
          <w:lang w:val="en-GB"/>
        </w:rPr>
        <w:t xml:space="preserve"> </w:t>
      </w:r>
      <w:r w:rsidR="00944D16" w:rsidRPr="00DB6C99">
        <w:rPr>
          <w:rFonts w:ascii="Garamond" w:eastAsia="Calibri" w:hAnsi="Garamond" w:cs="Times New Roman"/>
          <w:sz w:val="24"/>
          <w:szCs w:val="24"/>
          <w:lang w:val="en-GB"/>
        </w:rPr>
        <w:t xml:space="preserve">Their findings also </w:t>
      </w:r>
      <w:r w:rsidR="00307446" w:rsidRPr="00DB6C99">
        <w:rPr>
          <w:rFonts w:ascii="Garamond" w:eastAsia="Calibri" w:hAnsi="Garamond" w:cs="Times New Roman"/>
          <w:sz w:val="24"/>
          <w:szCs w:val="24"/>
          <w:lang w:val="en-GB"/>
        </w:rPr>
        <w:t xml:space="preserve">reveal that structure of such committees </w:t>
      </w:r>
      <w:r w:rsidR="004672DC" w:rsidRPr="00DB6C99">
        <w:rPr>
          <w:rFonts w:ascii="Garamond" w:eastAsia="Calibri" w:hAnsi="Garamond" w:cs="Times New Roman"/>
          <w:sz w:val="24"/>
          <w:szCs w:val="24"/>
          <w:lang w:val="en-GB"/>
        </w:rPr>
        <w:t xml:space="preserve">also </w:t>
      </w:r>
      <w:r w:rsidR="00307446" w:rsidRPr="00DB6C99">
        <w:rPr>
          <w:rFonts w:ascii="Garamond" w:eastAsia="Calibri" w:hAnsi="Garamond" w:cs="Times New Roman"/>
          <w:sz w:val="24"/>
          <w:szCs w:val="24"/>
          <w:lang w:val="en-GB"/>
        </w:rPr>
        <w:t>play</w:t>
      </w:r>
      <w:r w:rsidR="00C72580" w:rsidRPr="00DB6C99">
        <w:rPr>
          <w:rFonts w:ascii="Garamond" w:eastAsia="Calibri" w:hAnsi="Garamond" w:cs="Times New Roman"/>
          <w:sz w:val="24"/>
          <w:szCs w:val="24"/>
          <w:lang w:val="en-GB"/>
        </w:rPr>
        <w:t>s</w:t>
      </w:r>
      <w:r w:rsidR="00307446" w:rsidRPr="00DB6C99">
        <w:rPr>
          <w:rFonts w:ascii="Garamond" w:eastAsia="Calibri" w:hAnsi="Garamond" w:cs="Times New Roman"/>
          <w:sz w:val="24"/>
          <w:szCs w:val="24"/>
          <w:lang w:val="en-GB"/>
        </w:rPr>
        <w:t xml:space="preserve"> a significant role in curbing decoupling practices. </w:t>
      </w:r>
      <w:r w:rsidR="00307446" w:rsidRPr="00DB6C99">
        <w:rPr>
          <w:rFonts w:ascii="Garamond" w:hAnsi="Garamond"/>
          <w:sz w:val="24"/>
          <w:szCs w:val="24"/>
          <w:shd w:val="clear" w:color="auto" w:fill="FFFFFF"/>
          <w:lang w:val="en-GB"/>
        </w:rPr>
        <w:t xml:space="preserve">García-Sánchez </w:t>
      </w:r>
      <w:r w:rsidR="00307446" w:rsidRPr="00DB6C99">
        <w:rPr>
          <w:rFonts w:ascii="Garamond" w:hAnsi="Garamond"/>
          <w:i/>
          <w:sz w:val="24"/>
          <w:szCs w:val="24"/>
          <w:shd w:val="clear" w:color="auto" w:fill="FFFFFF"/>
          <w:lang w:val="en-GB"/>
        </w:rPr>
        <w:t>et al</w:t>
      </w:r>
      <w:r w:rsidR="00307446" w:rsidRPr="00DB6C99">
        <w:rPr>
          <w:rFonts w:ascii="Garamond" w:hAnsi="Garamond"/>
          <w:iCs/>
          <w:sz w:val="24"/>
          <w:szCs w:val="24"/>
          <w:shd w:val="clear" w:color="auto" w:fill="FFFFFF"/>
          <w:lang w:val="en-GB"/>
        </w:rPr>
        <w:t xml:space="preserve">. </w:t>
      </w:r>
      <w:r w:rsidR="00307446" w:rsidRPr="00DB6C99">
        <w:rPr>
          <w:rFonts w:ascii="Garamond" w:hAnsi="Garamond"/>
          <w:sz w:val="24"/>
          <w:szCs w:val="24"/>
          <w:shd w:val="clear" w:color="auto" w:fill="FFFFFF"/>
          <w:lang w:val="en-GB"/>
        </w:rPr>
        <w:t xml:space="preserve">(2022) use women on board as </w:t>
      </w:r>
      <w:r w:rsidR="009241D9" w:rsidRPr="00DB6C99">
        <w:rPr>
          <w:rFonts w:ascii="Garamond" w:hAnsi="Garamond"/>
          <w:sz w:val="24"/>
          <w:szCs w:val="24"/>
          <w:shd w:val="clear" w:color="auto" w:fill="FFFFFF"/>
          <w:lang w:val="en-GB"/>
        </w:rPr>
        <w:t>one of the</w:t>
      </w:r>
      <w:r w:rsidR="000C4956" w:rsidRPr="00DB6C99">
        <w:rPr>
          <w:rFonts w:ascii="Garamond" w:hAnsi="Garamond"/>
          <w:sz w:val="24"/>
          <w:szCs w:val="24"/>
          <w:shd w:val="clear" w:color="auto" w:fill="FFFFFF"/>
          <w:lang w:val="en-GB"/>
        </w:rPr>
        <w:t>ir</w:t>
      </w:r>
      <w:r w:rsidR="009241D9" w:rsidRPr="00DB6C99">
        <w:rPr>
          <w:rFonts w:ascii="Garamond" w:hAnsi="Garamond"/>
          <w:sz w:val="24"/>
          <w:szCs w:val="24"/>
          <w:shd w:val="clear" w:color="auto" w:fill="FFFFFF"/>
          <w:lang w:val="en-GB"/>
        </w:rPr>
        <w:t xml:space="preserve"> </w:t>
      </w:r>
      <w:r w:rsidR="00307446" w:rsidRPr="00DB6C99">
        <w:rPr>
          <w:rFonts w:ascii="Garamond" w:hAnsi="Garamond"/>
          <w:sz w:val="24"/>
          <w:szCs w:val="24"/>
          <w:shd w:val="clear" w:color="auto" w:fill="FFFFFF"/>
          <w:lang w:val="en-GB"/>
        </w:rPr>
        <w:t>control variable</w:t>
      </w:r>
      <w:r w:rsidR="009241D9" w:rsidRPr="00DB6C99">
        <w:rPr>
          <w:rFonts w:ascii="Garamond" w:hAnsi="Garamond"/>
          <w:sz w:val="24"/>
          <w:szCs w:val="24"/>
          <w:shd w:val="clear" w:color="auto" w:fill="FFFFFF"/>
          <w:lang w:val="en-GB"/>
        </w:rPr>
        <w:t>s</w:t>
      </w:r>
      <w:r w:rsidR="00307446" w:rsidRPr="00DB6C99">
        <w:rPr>
          <w:rFonts w:ascii="Garamond" w:hAnsi="Garamond"/>
          <w:sz w:val="24"/>
          <w:szCs w:val="24"/>
          <w:shd w:val="clear" w:color="auto" w:fill="FFFFFF"/>
          <w:lang w:val="en-GB"/>
        </w:rPr>
        <w:t xml:space="preserve"> </w:t>
      </w:r>
      <w:r w:rsidR="00B1532B" w:rsidRPr="00DB6C99">
        <w:rPr>
          <w:rFonts w:ascii="Garamond" w:hAnsi="Garamond"/>
          <w:sz w:val="24"/>
          <w:szCs w:val="24"/>
          <w:shd w:val="clear" w:color="auto" w:fill="FFFFFF"/>
          <w:lang w:val="en-GB"/>
        </w:rPr>
        <w:t>and</w:t>
      </w:r>
      <w:r w:rsidR="00307446" w:rsidRPr="00DB6C99">
        <w:rPr>
          <w:rFonts w:ascii="Garamond" w:hAnsi="Garamond"/>
          <w:sz w:val="24"/>
          <w:szCs w:val="24"/>
          <w:shd w:val="clear" w:color="auto" w:fill="FFFFFF"/>
          <w:lang w:val="en-GB"/>
        </w:rPr>
        <w:t xml:space="preserve"> </w:t>
      </w:r>
      <w:r w:rsidR="00070B12" w:rsidRPr="00DB6C99">
        <w:rPr>
          <w:rFonts w:ascii="Garamond" w:hAnsi="Garamond"/>
          <w:sz w:val="24"/>
          <w:szCs w:val="24"/>
          <w:shd w:val="clear" w:color="auto" w:fill="FFFFFF"/>
          <w:lang w:val="en-GB"/>
        </w:rPr>
        <w:t>seek</w:t>
      </w:r>
      <w:r w:rsidR="00307446" w:rsidRPr="00DB6C99">
        <w:rPr>
          <w:rFonts w:ascii="Garamond" w:hAnsi="Garamond"/>
          <w:sz w:val="24"/>
          <w:szCs w:val="24"/>
          <w:shd w:val="clear" w:color="auto" w:fill="FFFFFF"/>
          <w:lang w:val="en-GB"/>
        </w:rPr>
        <w:t xml:space="preserve"> to examine the impact on CSR decoupling of two credibility enhanc</w:t>
      </w:r>
      <w:r w:rsidR="00C72580" w:rsidRPr="00DB6C99">
        <w:rPr>
          <w:rFonts w:ascii="Garamond" w:hAnsi="Garamond"/>
          <w:sz w:val="24"/>
          <w:szCs w:val="24"/>
          <w:shd w:val="clear" w:color="auto" w:fill="FFFFFF"/>
          <w:lang w:val="en-GB"/>
        </w:rPr>
        <w:t>ing</w:t>
      </w:r>
      <w:r w:rsidR="00A623E0" w:rsidRPr="00DB6C99">
        <w:rPr>
          <w:rFonts w:ascii="Garamond" w:hAnsi="Garamond"/>
          <w:sz w:val="24"/>
          <w:szCs w:val="24"/>
          <w:shd w:val="clear" w:color="auto" w:fill="FFFFFF"/>
          <w:lang w:val="en-GB"/>
        </w:rPr>
        <w:t xml:space="preserve"> mechanisms, i.e., symbolic versus</w:t>
      </w:r>
      <w:r w:rsidR="00307446" w:rsidRPr="00DB6C99">
        <w:rPr>
          <w:rFonts w:ascii="Garamond" w:hAnsi="Garamond"/>
          <w:sz w:val="24"/>
          <w:szCs w:val="24"/>
          <w:shd w:val="clear" w:color="auto" w:fill="FFFFFF"/>
          <w:lang w:val="en-GB"/>
        </w:rPr>
        <w:t xml:space="preserve"> substantive use of external </w:t>
      </w:r>
      <w:r w:rsidR="003405A5" w:rsidRPr="00DB6C99">
        <w:rPr>
          <w:rFonts w:ascii="Garamond" w:hAnsi="Garamond"/>
          <w:sz w:val="24"/>
          <w:szCs w:val="24"/>
          <w:shd w:val="clear" w:color="auto" w:fill="FFFFFF"/>
          <w:lang w:val="en-GB"/>
        </w:rPr>
        <w:t xml:space="preserve">CSR </w:t>
      </w:r>
      <w:r w:rsidR="00307446" w:rsidRPr="00DB6C99">
        <w:rPr>
          <w:rFonts w:ascii="Garamond" w:hAnsi="Garamond"/>
          <w:sz w:val="24"/>
          <w:szCs w:val="24"/>
          <w:shd w:val="clear" w:color="auto" w:fill="FFFFFF"/>
          <w:lang w:val="en-GB"/>
        </w:rPr>
        <w:t>assurance and compliance with global reporting initiative</w:t>
      </w:r>
      <w:r w:rsidR="004672DC" w:rsidRPr="00DB6C99">
        <w:rPr>
          <w:rFonts w:ascii="Garamond" w:hAnsi="Garamond"/>
          <w:sz w:val="24"/>
          <w:szCs w:val="24"/>
          <w:shd w:val="clear" w:color="auto" w:fill="FFFFFF"/>
          <w:lang w:val="en-GB"/>
        </w:rPr>
        <w:t>’</w:t>
      </w:r>
      <w:r w:rsidR="00307446" w:rsidRPr="00DB6C99">
        <w:rPr>
          <w:rFonts w:ascii="Garamond" w:hAnsi="Garamond"/>
          <w:sz w:val="24"/>
          <w:szCs w:val="24"/>
          <w:shd w:val="clear" w:color="auto" w:fill="FFFFFF"/>
          <w:lang w:val="en-GB"/>
        </w:rPr>
        <w:t>s guidelines</w:t>
      </w:r>
      <w:r w:rsidR="00B1532B" w:rsidRPr="00DB6C99">
        <w:rPr>
          <w:rFonts w:ascii="Garamond" w:hAnsi="Garamond"/>
          <w:sz w:val="24"/>
          <w:szCs w:val="24"/>
          <w:shd w:val="clear" w:color="auto" w:fill="FFFFFF"/>
          <w:lang w:val="en-GB"/>
        </w:rPr>
        <w:t>. They find that women</w:t>
      </w:r>
      <w:r w:rsidR="00070B12" w:rsidRPr="00DB6C99">
        <w:rPr>
          <w:rFonts w:ascii="Garamond" w:hAnsi="Garamond"/>
          <w:sz w:val="24"/>
          <w:szCs w:val="24"/>
          <w:shd w:val="clear" w:color="auto" w:fill="FFFFFF"/>
          <w:lang w:val="en-GB"/>
        </w:rPr>
        <w:t>’s presence</w:t>
      </w:r>
      <w:r w:rsidR="00B1532B" w:rsidRPr="00DB6C99">
        <w:rPr>
          <w:rFonts w:ascii="Garamond" w:hAnsi="Garamond"/>
          <w:sz w:val="24"/>
          <w:szCs w:val="24"/>
          <w:shd w:val="clear" w:color="auto" w:fill="FFFFFF"/>
          <w:lang w:val="en-GB"/>
        </w:rPr>
        <w:t xml:space="preserve"> on board</w:t>
      </w:r>
      <w:r w:rsidR="00070B12" w:rsidRPr="00DB6C99">
        <w:rPr>
          <w:rFonts w:ascii="Garamond" w:hAnsi="Garamond"/>
          <w:sz w:val="24"/>
          <w:szCs w:val="24"/>
          <w:shd w:val="clear" w:color="auto" w:fill="FFFFFF"/>
          <w:lang w:val="en-GB"/>
        </w:rPr>
        <w:t>s</w:t>
      </w:r>
      <w:r w:rsidR="00B1532B" w:rsidRPr="00DB6C99">
        <w:rPr>
          <w:rFonts w:ascii="Garamond" w:hAnsi="Garamond"/>
          <w:sz w:val="24"/>
          <w:szCs w:val="24"/>
          <w:shd w:val="clear" w:color="auto" w:fill="FFFFFF"/>
          <w:lang w:val="en-GB"/>
        </w:rPr>
        <w:t xml:space="preserve"> increases </w:t>
      </w:r>
      <w:r w:rsidR="009241D9" w:rsidRPr="00DB6C99">
        <w:rPr>
          <w:rFonts w:ascii="Garamond" w:hAnsi="Garamond"/>
          <w:sz w:val="24"/>
          <w:szCs w:val="24"/>
          <w:shd w:val="clear" w:color="auto" w:fill="FFFFFF"/>
          <w:lang w:val="en-GB"/>
        </w:rPr>
        <w:t>the CSR gap</w:t>
      </w:r>
      <w:r w:rsidR="00C72580" w:rsidRPr="00DB6C99">
        <w:rPr>
          <w:rFonts w:ascii="Garamond" w:hAnsi="Garamond"/>
          <w:sz w:val="24"/>
          <w:szCs w:val="24"/>
          <w:shd w:val="clear" w:color="auto" w:fill="FFFFFF"/>
          <w:lang w:val="en-GB"/>
        </w:rPr>
        <w:t>,</w:t>
      </w:r>
      <w:r w:rsidR="009241D9" w:rsidRPr="00DB6C99">
        <w:rPr>
          <w:rFonts w:ascii="Garamond" w:hAnsi="Garamond"/>
          <w:sz w:val="24"/>
          <w:szCs w:val="24"/>
          <w:shd w:val="clear" w:color="auto" w:fill="FFFFFF"/>
          <w:lang w:val="en-GB"/>
        </w:rPr>
        <w:t xml:space="preserve"> which contrasts </w:t>
      </w:r>
      <w:r w:rsidR="00C72580" w:rsidRPr="00DB6C99">
        <w:rPr>
          <w:rFonts w:ascii="Garamond" w:hAnsi="Garamond"/>
          <w:sz w:val="24"/>
          <w:szCs w:val="24"/>
          <w:shd w:val="clear" w:color="auto" w:fill="FFFFFF"/>
          <w:lang w:val="en-GB"/>
        </w:rPr>
        <w:t xml:space="preserve">with </w:t>
      </w:r>
      <w:r w:rsidR="009241D9" w:rsidRPr="00DB6C99">
        <w:rPr>
          <w:rFonts w:ascii="Garamond" w:hAnsi="Garamond"/>
          <w:sz w:val="24"/>
          <w:szCs w:val="24"/>
          <w:shd w:val="clear" w:color="auto" w:fill="FFFFFF"/>
          <w:lang w:val="en-GB"/>
        </w:rPr>
        <w:t>the dominant belief that female directors improve CSR</w:t>
      </w:r>
      <w:r w:rsidR="00C035CA" w:rsidRPr="00DB6C99">
        <w:rPr>
          <w:rFonts w:ascii="Garamond" w:hAnsi="Garamond"/>
          <w:sz w:val="24"/>
          <w:szCs w:val="24"/>
          <w:shd w:val="clear" w:color="auto" w:fill="FFFFFF"/>
          <w:lang w:val="en-GB"/>
        </w:rPr>
        <w:t>-</w:t>
      </w:r>
      <w:r w:rsidR="009241D9" w:rsidRPr="00DB6C99">
        <w:rPr>
          <w:rFonts w:ascii="Garamond" w:hAnsi="Garamond"/>
          <w:sz w:val="24"/>
          <w:szCs w:val="24"/>
          <w:shd w:val="clear" w:color="auto" w:fill="FFFFFF"/>
          <w:lang w:val="en-GB"/>
        </w:rPr>
        <w:t>related corporate transparency. In the presence of such contrasting evidence related to BGD and CSR decoupling, it is pertinent to further examine th</w:t>
      </w:r>
      <w:r w:rsidR="00EF11E3" w:rsidRPr="00DB6C99">
        <w:rPr>
          <w:rFonts w:ascii="Garamond" w:hAnsi="Garamond"/>
          <w:sz w:val="24"/>
          <w:szCs w:val="24"/>
          <w:shd w:val="clear" w:color="auto" w:fill="FFFFFF"/>
          <w:lang w:val="en-GB"/>
        </w:rPr>
        <w:t>is</w:t>
      </w:r>
      <w:r w:rsidR="009241D9" w:rsidRPr="00DB6C99">
        <w:rPr>
          <w:rFonts w:ascii="Garamond" w:hAnsi="Garamond"/>
          <w:sz w:val="24"/>
          <w:szCs w:val="24"/>
          <w:shd w:val="clear" w:color="auto" w:fill="FFFFFF"/>
          <w:lang w:val="en-GB"/>
        </w:rPr>
        <w:t xml:space="preserve"> relationship</w:t>
      </w:r>
      <w:r w:rsidR="00EF11E3" w:rsidRPr="00DB6C99">
        <w:rPr>
          <w:rFonts w:ascii="Garamond" w:hAnsi="Garamond"/>
          <w:sz w:val="24"/>
          <w:szCs w:val="24"/>
          <w:shd w:val="clear" w:color="auto" w:fill="FFFFFF"/>
          <w:lang w:val="en-GB"/>
        </w:rPr>
        <w:t>.</w:t>
      </w:r>
      <w:r w:rsidR="009241D9" w:rsidRPr="00DB6C99">
        <w:rPr>
          <w:rFonts w:ascii="Garamond" w:hAnsi="Garamond"/>
          <w:sz w:val="24"/>
          <w:szCs w:val="24"/>
          <w:highlight w:val="yellow"/>
          <w:shd w:val="clear" w:color="auto" w:fill="FFFFFF"/>
          <w:lang w:val="en-GB"/>
        </w:rPr>
        <w:t xml:space="preserve">  </w:t>
      </w:r>
    </w:p>
    <w:p w14:paraId="633590E5" w14:textId="7882D768" w:rsidR="004A1788" w:rsidRPr="00DB6C99" w:rsidRDefault="00C035CA" w:rsidP="004A1788">
      <w:pPr>
        <w:spacing w:line="360" w:lineRule="auto"/>
        <w:ind w:firstLine="720"/>
        <w:jc w:val="both"/>
        <w:rPr>
          <w:rFonts w:ascii="Garamond" w:eastAsia="Calibri" w:hAnsi="Garamond" w:cs="Times New Roman"/>
          <w:sz w:val="24"/>
          <w:szCs w:val="24"/>
          <w:lang w:val="en-GB"/>
        </w:rPr>
      </w:pPr>
      <w:r w:rsidRPr="00DB6C99">
        <w:rPr>
          <w:rFonts w:ascii="Garamond" w:eastAsia="Calibri" w:hAnsi="Garamond" w:cs="Times New Roman"/>
          <w:sz w:val="24"/>
          <w:szCs w:val="24"/>
          <w:lang w:val="en-GB"/>
        </w:rPr>
        <w:lastRenderedPageBreak/>
        <w:t>W</w:t>
      </w:r>
      <w:r w:rsidR="004A1788" w:rsidRPr="00DB6C99">
        <w:rPr>
          <w:rFonts w:ascii="Garamond" w:eastAsia="Calibri" w:hAnsi="Garamond" w:cs="Times New Roman"/>
          <w:sz w:val="24"/>
          <w:szCs w:val="24"/>
          <w:lang w:val="en-GB"/>
        </w:rPr>
        <w:t>e adopt a CG perspective to examine the association between BGD and CSR decoupling.</w:t>
      </w:r>
      <w:r w:rsidR="004A1788" w:rsidRPr="00DB6C99" w:rsidDel="0055324C">
        <w:rPr>
          <w:rFonts w:ascii="Garamond" w:eastAsia="Calibri" w:hAnsi="Garamond" w:cs="Times New Roman"/>
          <w:sz w:val="24"/>
          <w:szCs w:val="24"/>
          <w:lang w:val="en-GB"/>
        </w:rPr>
        <w:t xml:space="preserve"> </w:t>
      </w:r>
      <w:r w:rsidR="004A1788" w:rsidRPr="00DB6C99">
        <w:rPr>
          <w:rFonts w:ascii="Garamond" w:eastAsia="Calibri" w:hAnsi="Garamond" w:cs="Times New Roman"/>
          <w:sz w:val="24"/>
          <w:szCs w:val="24"/>
          <w:lang w:val="en-GB"/>
        </w:rPr>
        <w:t>We assembled data for non-financial US firms for the period 2002</w:t>
      </w:r>
      <w:r w:rsidRPr="00DB6C99">
        <w:rPr>
          <w:rFonts w:ascii="Garamond" w:eastAsia="Calibri" w:hAnsi="Garamond" w:cs="Times New Roman"/>
          <w:sz w:val="24"/>
          <w:szCs w:val="24"/>
          <w:lang w:val="en-GB"/>
        </w:rPr>
        <w:t>–</w:t>
      </w:r>
      <w:r w:rsidR="004A1788" w:rsidRPr="00DB6C99">
        <w:rPr>
          <w:rFonts w:ascii="Garamond" w:eastAsia="Calibri" w:hAnsi="Garamond" w:cs="Times New Roman"/>
          <w:sz w:val="24"/>
          <w:szCs w:val="24"/>
          <w:lang w:val="en-GB"/>
        </w:rPr>
        <w:t>2017 and tested the association between BGD and CSR decoupling using a battery of sophisticated analyses. The results confirm that BGD is significantly and negatively associated with CSR decoupling, with independent women directors being more effective moni</w:t>
      </w:r>
      <w:r w:rsidR="006B2619" w:rsidRPr="00DB6C99">
        <w:rPr>
          <w:rFonts w:ascii="Garamond" w:eastAsia="Calibri" w:hAnsi="Garamond" w:cs="Times New Roman"/>
          <w:sz w:val="24"/>
          <w:szCs w:val="24"/>
          <w:lang w:val="en-GB"/>
        </w:rPr>
        <w:t xml:space="preserve">tors than executive directors. </w:t>
      </w:r>
      <w:r w:rsidR="00FF19FC" w:rsidRPr="00DB6C99">
        <w:rPr>
          <w:rFonts w:ascii="Garamond" w:eastAsia="Calibri" w:hAnsi="Garamond" w:cs="Times New Roman"/>
          <w:sz w:val="24"/>
          <w:szCs w:val="24"/>
          <w:lang w:val="en-GB"/>
        </w:rPr>
        <w:t>T</w:t>
      </w:r>
      <w:r w:rsidR="006B2619" w:rsidRPr="00DB6C99">
        <w:rPr>
          <w:rFonts w:ascii="Garamond" w:eastAsia="Calibri" w:hAnsi="Garamond" w:cs="Times New Roman"/>
          <w:sz w:val="24"/>
          <w:szCs w:val="24"/>
          <w:lang w:val="en-GB"/>
        </w:rPr>
        <w:t>he relationship between B</w:t>
      </w:r>
      <w:r w:rsidR="00CE6A4F" w:rsidRPr="00DB6C99">
        <w:rPr>
          <w:rFonts w:ascii="Garamond" w:eastAsia="Calibri" w:hAnsi="Garamond" w:cs="Times New Roman"/>
          <w:sz w:val="24"/>
          <w:szCs w:val="24"/>
          <w:lang w:val="en-GB"/>
        </w:rPr>
        <w:t>GD</w:t>
      </w:r>
      <w:r w:rsidR="006B2619" w:rsidRPr="00DB6C99">
        <w:rPr>
          <w:rFonts w:ascii="Garamond" w:eastAsia="Calibri" w:hAnsi="Garamond" w:cs="Times New Roman"/>
          <w:sz w:val="24"/>
          <w:szCs w:val="24"/>
          <w:lang w:val="en-GB"/>
        </w:rPr>
        <w:t xml:space="preserve"> and CSR decoupling is stronger when overall governance is weak. Th</w:t>
      </w:r>
      <w:r w:rsidR="000C4956" w:rsidRPr="00DB6C99">
        <w:rPr>
          <w:rFonts w:ascii="Garamond" w:eastAsia="Calibri" w:hAnsi="Garamond" w:cs="Times New Roman"/>
          <w:sz w:val="24"/>
          <w:szCs w:val="24"/>
          <w:lang w:val="en-GB"/>
        </w:rPr>
        <w:t>u</w:t>
      </w:r>
      <w:r w:rsidR="006B2619" w:rsidRPr="00DB6C99">
        <w:rPr>
          <w:rFonts w:ascii="Garamond" w:eastAsia="Calibri" w:hAnsi="Garamond" w:cs="Times New Roman"/>
          <w:sz w:val="24"/>
          <w:szCs w:val="24"/>
          <w:lang w:val="en-GB"/>
        </w:rPr>
        <w:t>s</w:t>
      </w:r>
      <w:r w:rsidR="000C4956" w:rsidRPr="00DB6C99">
        <w:rPr>
          <w:rFonts w:ascii="Garamond" w:eastAsia="Calibri" w:hAnsi="Garamond" w:cs="Times New Roman"/>
          <w:sz w:val="24"/>
          <w:szCs w:val="24"/>
          <w:lang w:val="en-GB"/>
        </w:rPr>
        <w:t>,</w:t>
      </w:r>
      <w:r w:rsidR="006B2619" w:rsidRPr="00DB6C99">
        <w:rPr>
          <w:rFonts w:ascii="Garamond" w:eastAsia="Calibri" w:hAnsi="Garamond" w:cs="Times New Roman"/>
          <w:sz w:val="24"/>
          <w:szCs w:val="24"/>
          <w:lang w:val="en-GB"/>
        </w:rPr>
        <w:t xml:space="preserve"> gender-diverse boards can act as a substitute mechanism for weak governance.</w:t>
      </w:r>
    </w:p>
    <w:p w14:paraId="1904830D" w14:textId="35D568FA" w:rsidR="004A1788" w:rsidRPr="00DB6C99" w:rsidRDefault="004A1788" w:rsidP="00563E2B">
      <w:pPr>
        <w:spacing w:line="360" w:lineRule="auto"/>
        <w:ind w:firstLine="720"/>
        <w:jc w:val="both"/>
        <w:rPr>
          <w:rFonts w:ascii="Garamond" w:eastAsia="Calibri" w:hAnsi="Garamond" w:cs="Times New Roman"/>
          <w:sz w:val="24"/>
          <w:szCs w:val="24"/>
          <w:lang w:val="en-GB"/>
        </w:rPr>
      </w:pPr>
      <w:r w:rsidRPr="00DB6C99">
        <w:rPr>
          <w:rFonts w:ascii="Garamond" w:eastAsia="Calibri" w:hAnsi="Garamond" w:cs="Times New Roman"/>
          <w:sz w:val="24"/>
          <w:szCs w:val="24"/>
          <w:lang w:val="en-GB"/>
        </w:rPr>
        <w:t>Our finding</w:t>
      </w:r>
      <w:r w:rsidR="00C035CA" w:rsidRPr="00DB6C99">
        <w:rPr>
          <w:rFonts w:ascii="Garamond" w:eastAsia="Calibri" w:hAnsi="Garamond" w:cs="Times New Roman"/>
          <w:sz w:val="24"/>
          <w:szCs w:val="24"/>
          <w:lang w:val="en-GB"/>
        </w:rPr>
        <w:t>s</w:t>
      </w:r>
      <w:r w:rsidRPr="00DB6C99">
        <w:rPr>
          <w:rFonts w:ascii="Garamond" w:eastAsia="Calibri" w:hAnsi="Garamond" w:cs="Times New Roman"/>
          <w:sz w:val="24"/>
          <w:szCs w:val="24"/>
          <w:lang w:val="en-GB"/>
        </w:rPr>
        <w:t xml:space="preserve"> contribute to extant literature in several ways. </w:t>
      </w:r>
      <w:r w:rsidRPr="00DB6C99">
        <w:rPr>
          <w:rFonts w:ascii="Garamond" w:eastAsia="Calibri" w:hAnsi="Garamond" w:cs="Times New Roman"/>
          <w:i/>
          <w:iCs/>
          <w:sz w:val="24"/>
          <w:szCs w:val="24"/>
          <w:lang w:val="en-GB"/>
        </w:rPr>
        <w:t>First</w:t>
      </w:r>
      <w:r w:rsidRPr="00DB6C99">
        <w:rPr>
          <w:rFonts w:ascii="Garamond" w:eastAsia="Calibri" w:hAnsi="Garamond" w:cs="Times New Roman"/>
          <w:sz w:val="24"/>
          <w:szCs w:val="24"/>
          <w:lang w:val="en-GB"/>
        </w:rPr>
        <w:t>, while extant CG and gender studies suggest that women directors play a key role in protecting shareholders from managerial opportunism (i.e., Cumming</w:t>
      </w:r>
      <w:r w:rsidR="00E97CCB" w:rsidRPr="00DB6C99">
        <w:rPr>
          <w:rFonts w:ascii="Garamond" w:eastAsia="Calibri" w:hAnsi="Garamond" w:cs="Times New Roman"/>
          <w:sz w:val="24"/>
          <w:szCs w:val="24"/>
          <w:lang w:val="en-GB"/>
        </w:rPr>
        <w:t>, Leung and Rui</w:t>
      </w:r>
      <w:r w:rsidRPr="00DB6C99">
        <w:rPr>
          <w:rFonts w:ascii="Garamond" w:eastAsia="Calibri" w:hAnsi="Garamond" w:cs="Times New Roman"/>
          <w:iCs/>
          <w:sz w:val="24"/>
          <w:szCs w:val="24"/>
          <w:lang w:val="en-GB"/>
        </w:rPr>
        <w:t xml:space="preserve">, </w:t>
      </w:r>
      <w:r w:rsidRPr="00DB6C99">
        <w:rPr>
          <w:rFonts w:ascii="Garamond" w:eastAsia="Calibri" w:hAnsi="Garamond" w:cs="Times New Roman"/>
          <w:sz w:val="24"/>
          <w:szCs w:val="24"/>
          <w:lang w:val="en-GB"/>
        </w:rPr>
        <w:t xml:space="preserve">2015; Lara </w:t>
      </w:r>
      <w:r w:rsidRPr="00DB6C99">
        <w:rPr>
          <w:rFonts w:ascii="Garamond" w:eastAsia="Calibri" w:hAnsi="Garamond" w:cs="Times New Roman"/>
          <w:i/>
          <w:sz w:val="24"/>
          <w:szCs w:val="24"/>
          <w:lang w:val="en-GB"/>
        </w:rPr>
        <w:t>et al</w:t>
      </w:r>
      <w:r w:rsidRPr="00DB6C99">
        <w:rPr>
          <w:rFonts w:ascii="Garamond" w:eastAsia="Calibri" w:hAnsi="Garamond" w:cs="Times New Roman"/>
          <w:iCs/>
          <w:sz w:val="24"/>
          <w:szCs w:val="24"/>
          <w:lang w:val="en-GB"/>
        </w:rPr>
        <w:t xml:space="preserve">., </w:t>
      </w:r>
      <w:r w:rsidRPr="00DB6C99">
        <w:rPr>
          <w:rFonts w:ascii="Garamond" w:eastAsia="Calibri" w:hAnsi="Garamond" w:cs="Times New Roman"/>
          <w:sz w:val="24"/>
          <w:szCs w:val="24"/>
          <w:lang w:val="en-GB"/>
        </w:rPr>
        <w:t>2017), our study show</w:t>
      </w:r>
      <w:r w:rsidR="00FF7C93" w:rsidRPr="00DB6C99">
        <w:rPr>
          <w:rFonts w:ascii="Garamond" w:eastAsia="Calibri" w:hAnsi="Garamond" w:cs="Times New Roman"/>
          <w:sz w:val="24"/>
          <w:szCs w:val="24"/>
          <w:lang w:val="en-GB"/>
        </w:rPr>
        <w:t>s</w:t>
      </w:r>
      <w:r w:rsidRPr="00DB6C99">
        <w:rPr>
          <w:rFonts w:ascii="Garamond" w:eastAsia="Calibri" w:hAnsi="Garamond" w:cs="Times New Roman"/>
          <w:sz w:val="24"/>
          <w:szCs w:val="24"/>
          <w:lang w:val="en-GB"/>
        </w:rPr>
        <w:t xml:space="preserve"> that women directors minimize the gap between CSR talk and walk, thereby avoiding the risks of decoupling (Garc</w:t>
      </w:r>
      <w:r w:rsidR="005A2DF4" w:rsidRPr="00DB6C99">
        <w:rPr>
          <w:rFonts w:ascii="Garamond" w:eastAsia="Calibri" w:hAnsi="Garamond" w:cs="Times New Roman"/>
          <w:sz w:val="24"/>
          <w:szCs w:val="24"/>
          <w:lang w:val="en-GB"/>
        </w:rPr>
        <w:t>í</w:t>
      </w:r>
      <w:r w:rsidRPr="00DB6C99">
        <w:rPr>
          <w:rFonts w:ascii="Garamond" w:eastAsia="Calibri" w:hAnsi="Garamond" w:cs="Times New Roman"/>
          <w:sz w:val="24"/>
          <w:szCs w:val="24"/>
          <w:lang w:val="en-GB"/>
        </w:rPr>
        <w:t>a-S</w:t>
      </w:r>
      <w:r w:rsidR="005A2DF4" w:rsidRPr="00DB6C99">
        <w:rPr>
          <w:rFonts w:ascii="Garamond" w:eastAsia="Calibri" w:hAnsi="Garamond" w:cs="Times New Roman"/>
          <w:sz w:val="24"/>
          <w:szCs w:val="24"/>
          <w:lang w:val="en-GB"/>
        </w:rPr>
        <w:t>á</w:t>
      </w:r>
      <w:r w:rsidRPr="00DB6C99">
        <w:rPr>
          <w:rFonts w:ascii="Garamond" w:eastAsia="Calibri" w:hAnsi="Garamond" w:cs="Times New Roman"/>
          <w:sz w:val="24"/>
          <w:szCs w:val="24"/>
          <w:lang w:val="en-GB"/>
        </w:rPr>
        <w:t xml:space="preserve">nchez </w:t>
      </w:r>
      <w:r w:rsidRPr="00DB6C99">
        <w:rPr>
          <w:rFonts w:ascii="Garamond" w:eastAsia="Calibri" w:hAnsi="Garamond" w:cs="Times New Roman"/>
          <w:i/>
          <w:sz w:val="24"/>
          <w:szCs w:val="24"/>
          <w:lang w:val="en-GB"/>
        </w:rPr>
        <w:t>et al</w:t>
      </w:r>
      <w:r w:rsidRPr="00DB6C99">
        <w:rPr>
          <w:rFonts w:ascii="Garamond" w:eastAsia="Calibri" w:hAnsi="Garamond" w:cs="Times New Roman"/>
          <w:iCs/>
          <w:sz w:val="24"/>
          <w:szCs w:val="24"/>
          <w:lang w:val="en-GB"/>
        </w:rPr>
        <w:t>.,</w:t>
      </w:r>
      <w:r w:rsidRPr="00DB6C99">
        <w:rPr>
          <w:rFonts w:ascii="Garamond" w:eastAsia="Calibri" w:hAnsi="Garamond" w:cs="Times New Roman"/>
          <w:sz w:val="24"/>
          <w:szCs w:val="24"/>
          <w:lang w:val="en-GB"/>
        </w:rPr>
        <w:t xml:space="preserve"> 2021). </w:t>
      </w:r>
      <w:r w:rsidR="00C035CA" w:rsidRPr="00DB6C99">
        <w:rPr>
          <w:rFonts w:ascii="Garamond" w:eastAsia="Calibri" w:hAnsi="Garamond" w:cs="Times New Roman"/>
          <w:sz w:val="24"/>
          <w:szCs w:val="24"/>
          <w:lang w:val="en-GB"/>
        </w:rPr>
        <w:t>Thus</w:t>
      </w:r>
      <w:r w:rsidRPr="00DB6C99">
        <w:rPr>
          <w:rFonts w:ascii="Garamond" w:eastAsia="Calibri" w:hAnsi="Garamond" w:cs="Times New Roman"/>
          <w:sz w:val="24"/>
          <w:szCs w:val="24"/>
          <w:lang w:val="en-GB"/>
        </w:rPr>
        <w:t xml:space="preserve">, our findings fill the </w:t>
      </w:r>
      <w:r w:rsidR="006B2619" w:rsidRPr="00DB6C99">
        <w:rPr>
          <w:rFonts w:ascii="Garamond" w:eastAsia="Calibri" w:hAnsi="Garamond" w:cs="Times New Roman"/>
          <w:sz w:val="24"/>
          <w:szCs w:val="24"/>
          <w:lang w:val="en-GB"/>
        </w:rPr>
        <w:t>literature</w:t>
      </w:r>
      <w:r w:rsidRPr="00DB6C99">
        <w:rPr>
          <w:rFonts w:ascii="Garamond" w:eastAsia="Calibri" w:hAnsi="Garamond" w:cs="Times New Roman"/>
          <w:sz w:val="24"/>
          <w:szCs w:val="24"/>
          <w:lang w:val="en-GB"/>
        </w:rPr>
        <w:t xml:space="preserve"> void and confirm that board monitoring dynamics impact firms’ ability to engage in symbolic CSR actions.</w:t>
      </w:r>
      <w:r w:rsidR="00EF11E3" w:rsidRPr="00DB6C99">
        <w:rPr>
          <w:rFonts w:ascii="Garamond" w:eastAsia="Calibri" w:hAnsi="Garamond" w:cs="Times New Roman"/>
          <w:sz w:val="24"/>
          <w:szCs w:val="24"/>
          <w:lang w:val="en-GB"/>
        </w:rPr>
        <w:t xml:space="preserve"> </w:t>
      </w:r>
      <w:r w:rsidR="00FF7C93" w:rsidRPr="00DB6C99">
        <w:rPr>
          <w:rFonts w:ascii="Garamond" w:eastAsia="Calibri" w:hAnsi="Garamond" w:cs="Times New Roman"/>
          <w:sz w:val="24"/>
          <w:szCs w:val="24"/>
          <w:lang w:val="en-GB"/>
        </w:rPr>
        <w:t>A</w:t>
      </w:r>
      <w:r w:rsidR="00EF11E3" w:rsidRPr="00DB6C99">
        <w:rPr>
          <w:rFonts w:ascii="Garamond" w:eastAsia="Calibri" w:hAnsi="Garamond" w:cs="Times New Roman"/>
          <w:sz w:val="24"/>
          <w:szCs w:val="24"/>
          <w:lang w:val="en-GB"/>
        </w:rPr>
        <w:t xml:space="preserve"> handful of </w:t>
      </w:r>
      <w:r w:rsidR="00FF7C93" w:rsidRPr="00DB6C99">
        <w:rPr>
          <w:rFonts w:ascii="Garamond" w:eastAsia="Calibri" w:hAnsi="Garamond" w:cs="Times New Roman"/>
          <w:sz w:val="24"/>
          <w:szCs w:val="24"/>
          <w:lang w:val="en-GB"/>
        </w:rPr>
        <w:t xml:space="preserve">recent </w:t>
      </w:r>
      <w:r w:rsidR="00EF11E3" w:rsidRPr="00DB6C99">
        <w:rPr>
          <w:rFonts w:ascii="Garamond" w:eastAsia="Calibri" w:hAnsi="Garamond" w:cs="Times New Roman"/>
          <w:sz w:val="24"/>
          <w:szCs w:val="24"/>
          <w:lang w:val="en-GB"/>
        </w:rPr>
        <w:t xml:space="preserve">studies </w:t>
      </w:r>
      <w:r w:rsidR="00C035CA" w:rsidRPr="00DB6C99">
        <w:rPr>
          <w:rFonts w:ascii="Garamond" w:eastAsia="Calibri" w:hAnsi="Garamond" w:cs="Times New Roman"/>
          <w:sz w:val="24"/>
          <w:szCs w:val="24"/>
          <w:lang w:val="en-GB"/>
        </w:rPr>
        <w:t xml:space="preserve">have </w:t>
      </w:r>
      <w:r w:rsidR="00EF11E3" w:rsidRPr="00DB6C99">
        <w:rPr>
          <w:rFonts w:ascii="Garamond" w:eastAsia="Calibri" w:hAnsi="Garamond" w:cs="Times New Roman"/>
          <w:sz w:val="24"/>
          <w:szCs w:val="24"/>
          <w:lang w:val="en-GB"/>
        </w:rPr>
        <w:t>provide</w:t>
      </w:r>
      <w:r w:rsidR="00C035CA" w:rsidRPr="00DB6C99">
        <w:rPr>
          <w:rFonts w:ascii="Garamond" w:eastAsia="Calibri" w:hAnsi="Garamond" w:cs="Times New Roman"/>
          <w:sz w:val="24"/>
          <w:szCs w:val="24"/>
          <w:lang w:val="en-GB"/>
        </w:rPr>
        <w:t>d</w:t>
      </w:r>
      <w:r w:rsidR="00EF11E3" w:rsidRPr="00DB6C99">
        <w:rPr>
          <w:rFonts w:ascii="Garamond" w:eastAsia="Calibri" w:hAnsi="Garamond" w:cs="Times New Roman"/>
          <w:sz w:val="24"/>
          <w:szCs w:val="24"/>
          <w:lang w:val="en-GB"/>
        </w:rPr>
        <w:t xml:space="preserve"> empirical evidence </w:t>
      </w:r>
      <w:r w:rsidR="005E6C6B" w:rsidRPr="00DB6C99">
        <w:rPr>
          <w:rFonts w:ascii="Garamond" w:eastAsia="Calibri" w:hAnsi="Garamond" w:cs="Times New Roman"/>
          <w:sz w:val="24"/>
          <w:szCs w:val="24"/>
          <w:lang w:val="en-GB"/>
        </w:rPr>
        <w:t>for</w:t>
      </w:r>
      <w:r w:rsidR="00EF11E3" w:rsidRPr="00DB6C99">
        <w:rPr>
          <w:rFonts w:ascii="Garamond" w:eastAsia="Calibri" w:hAnsi="Garamond" w:cs="Times New Roman"/>
          <w:sz w:val="24"/>
          <w:szCs w:val="24"/>
          <w:lang w:val="en-GB"/>
        </w:rPr>
        <w:t xml:space="preserve"> the relationship between BGD and CSR decoupling</w:t>
      </w:r>
      <w:r w:rsidR="00FF7C93" w:rsidRPr="00DB6C99">
        <w:rPr>
          <w:rFonts w:ascii="Garamond" w:eastAsia="Calibri" w:hAnsi="Garamond" w:cs="Times New Roman"/>
          <w:sz w:val="24"/>
          <w:szCs w:val="24"/>
          <w:lang w:val="en-GB"/>
        </w:rPr>
        <w:t>, with</w:t>
      </w:r>
      <w:r w:rsidR="00EF11E3" w:rsidRPr="00DB6C99">
        <w:rPr>
          <w:rFonts w:ascii="Garamond" w:eastAsia="Calibri" w:hAnsi="Garamond" w:cs="Times New Roman"/>
          <w:sz w:val="24"/>
          <w:szCs w:val="24"/>
          <w:lang w:val="en-GB"/>
        </w:rPr>
        <w:t xml:space="preserve"> contrasting results. Gull </w:t>
      </w:r>
      <w:r w:rsidR="00EF11E3" w:rsidRPr="00DB6C99">
        <w:rPr>
          <w:rFonts w:ascii="Garamond" w:eastAsia="Calibri" w:hAnsi="Garamond" w:cs="Times New Roman"/>
          <w:i/>
          <w:sz w:val="24"/>
          <w:szCs w:val="24"/>
          <w:lang w:val="en-GB"/>
        </w:rPr>
        <w:t>et al</w:t>
      </w:r>
      <w:r w:rsidR="00EF11E3" w:rsidRPr="00DB6C99">
        <w:rPr>
          <w:rFonts w:ascii="Garamond" w:eastAsia="Calibri" w:hAnsi="Garamond" w:cs="Times New Roman"/>
          <w:iCs/>
          <w:sz w:val="24"/>
          <w:szCs w:val="24"/>
          <w:lang w:val="en-GB"/>
        </w:rPr>
        <w:t xml:space="preserve">. </w:t>
      </w:r>
      <w:r w:rsidR="00EF11E3" w:rsidRPr="00DB6C99">
        <w:rPr>
          <w:rFonts w:ascii="Garamond" w:eastAsia="Calibri" w:hAnsi="Garamond" w:cs="Times New Roman"/>
          <w:sz w:val="24"/>
          <w:szCs w:val="24"/>
          <w:lang w:val="en-GB"/>
        </w:rPr>
        <w:t xml:space="preserve">(2022) note an insignificant relationship between </w:t>
      </w:r>
      <w:r w:rsidR="00934600" w:rsidRPr="00DB6C99">
        <w:rPr>
          <w:rFonts w:ascii="Garamond" w:eastAsia="Calibri" w:hAnsi="Garamond" w:cs="Times New Roman"/>
          <w:sz w:val="24"/>
          <w:szCs w:val="24"/>
          <w:lang w:val="en-GB"/>
        </w:rPr>
        <w:t xml:space="preserve">the </w:t>
      </w:r>
      <w:r w:rsidR="00EF11E3" w:rsidRPr="00DB6C99">
        <w:rPr>
          <w:rFonts w:ascii="Garamond" w:eastAsia="Calibri" w:hAnsi="Garamond" w:cs="Times New Roman"/>
          <w:sz w:val="24"/>
          <w:szCs w:val="24"/>
          <w:lang w:val="en-GB"/>
        </w:rPr>
        <w:t>presence of female director</w:t>
      </w:r>
      <w:r w:rsidR="00FF7C93" w:rsidRPr="00DB6C99">
        <w:rPr>
          <w:rFonts w:ascii="Garamond" w:eastAsia="Calibri" w:hAnsi="Garamond" w:cs="Times New Roman"/>
          <w:sz w:val="24"/>
          <w:szCs w:val="24"/>
          <w:lang w:val="en-GB"/>
        </w:rPr>
        <w:t>s</w:t>
      </w:r>
      <w:r w:rsidR="00EF11E3" w:rsidRPr="00DB6C99">
        <w:rPr>
          <w:rFonts w:ascii="Garamond" w:eastAsia="Calibri" w:hAnsi="Garamond" w:cs="Times New Roman"/>
          <w:sz w:val="24"/>
          <w:szCs w:val="24"/>
          <w:lang w:val="en-GB"/>
        </w:rPr>
        <w:t xml:space="preserve"> on </w:t>
      </w:r>
      <w:r w:rsidR="00934600" w:rsidRPr="00DB6C99">
        <w:rPr>
          <w:rFonts w:ascii="Garamond" w:eastAsia="Calibri" w:hAnsi="Garamond" w:cs="Times New Roman"/>
          <w:sz w:val="24"/>
          <w:szCs w:val="24"/>
          <w:lang w:val="en-GB"/>
        </w:rPr>
        <w:t>the CSR committee and CSR decoupling</w:t>
      </w:r>
      <w:r w:rsidR="00FF7C93" w:rsidRPr="00DB6C99">
        <w:rPr>
          <w:rFonts w:ascii="Garamond" w:eastAsia="Calibri" w:hAnsi="Garamond" w:cs="Times New Roman"/>
          <w:sz w:val="24"/>
          <w:szCs w:val="24"/>
          <w:lang w:val="en-GB"/>
        </w:rPr>
        <w:t>;</w:t>
      </w:r>
      <w:r w:rsidR="00934600" w:rsidRPr="00DB6C99">
        <w:rPr>
          <w:rFonts w:ascii="Garamond" w:eastAsia="Calibri" w:hAnsi="Garamond" w:cs="Times New Roman"/>
          <w:sz w:val="24"/>
          <w:szCs w:val="24"/>
          <w:lang w:val="en-GB"/>
        </w:rPr>
        <w:t xml:space="preserve"> Garc</w:t>
      </w:r>
      <w:r w:rsidR="005A2DF4" w:rsidRPr="00DB6C99">
        <w:rPr>
          <w:rFonts w:ascii="Garamond" w:eastAsia="Calibri" w:hAnsi="Garamond" w:cs="Times New Roman"/>
          <w:sz w:val="24"/>
          <w:szCs w:val="24"/>
          <w:lang w:val="en-GB"/>
        </w:rPr>
        <w:t>í</w:t>
      </w:r>
      <w:r w:rsidR="00934600" w:rsidRPr="00DB6C99">
        <w:rPr>
          <w:rFonts w:ascii="Garamond" w:eastAsia="Calibri" w:hAnsi="Garamond" w:cs="Times New Roman"/>
          <w:sz w:val="24"/>
          <w:szCs w:val="24"/>
          <w:lang w:val="en-GB"/>
        </w:rPr>
        <w:t>a-S</w:t>
      </w:r>
      <w:r w:rsidR="005A2DF4" w:rsidRPr="00DB6C99">
        <w:rPr>
          <w:rFonts w:ascii="Garamond" w:eastAsia="Calibri" w:hAnsi="Garamond" w:cs="Times New Roman"/>
          <w:sz w:val="24"/>
          <w:szCs w:val="24"/>
          <w:lang w:val="en-GB"/>
        </w:rPr>
        <w:t>á</w:t>
      </w:r>
      <w:r w:rsidR="00934600" w:rsidRPr="00DB6C99">
        <w:rPr>
          <w:rFonts w:ascii="Garamond" w:eastAsia="Calibri" w:hAnsi="Garamond" w:cs="Times New Roman"/>
          <w:sz w:val="24"/>
          <w:szCs w:val="24"/>
          <w:lang w:val="en-GB"/>
        </w:rPr>
        <w:t xml:space="preserve">nchez </w:t>
      </w:r>
      <w:r w:rsidR="00934600" w:rsidRPr="00DB6C99">
        <w:rPr>
          <w:rFonts w:ascii="Garamond" w:eastAsia="Calibri" w:hAnsi="Garamond" w:cs="Times New Roman"/>
          <w:i/>
          <w:sz w:val="24"/>
          <w:szCs w:val="24"/>
          <w:lang w:val="en-GB"/>
        </w:rPr>
        <w:t>et al</w:t>
      </w:r>
      <w:r w:rsidR="00934600" w:rsidRPr="00DB6C99">
        <w:rPr>
          <w:rFonts w:ascii="Garamond" w:eastAsia="Calibri" w:hAnsi="Garamond" w:cs="Times New Roman"/>
          <w:iCs/>
          <w:sz w:val="24"/>
          <w:szCs w:val="24"/>
          <w:lang w:val="en-GB"/>
        </w:rPr>
        <w:t>.</w:t>
      </w:r>
      <w:r w:rsidR="00934600" w:rsidRPr="00DB6C99">
        <w:rPr>
          <w:rFonts w:ascii="Garamond" w:eastAsia="Calibri" w:hAnsi="Garamond" w:cs="Times New Roman"/>
          <w:sz w:val="24"/>
          <w:szCs w:val="24"/>
          <w:lang w:val="en-GB"/>
        </w:rPr>
        <w:t xml:space="preserve"> </w:t>
      </w:r>
      <w:r w:rsidR="00C035CA" w:rsidRPr="00DB6C99">
        <w:rPr>
          <w:rFonts w:ascii="Garamond" w:eastAsia="Calibri" w:hAnsi="Garamond" w:cs="Times New Roman"/>
          <w:sz w:val="24"/>
          <w:szCs w:val="24"/>
          <w:lang w:val="en-GB"/>
        </w:rPr>
        <w:t>(</w:t>
      </w:r>
      <w:r w:rsidR="00934600" w:rsidRPr="00DB6C99">
        <w:rPr>
          <w:rFonts w:ascii="Garamond" w:eastAsia="Calibri" w:hAnsi="Garamond" w:cs="Times New Roman"/>
          <w:sz w:val="24"/>
          <w:szCs w:val="24"/>
          <w:lang w:val="en-GB"/>
        </w:rPr>
        <w:t>2022</w:t>
      </w:r>
      <w:r w:rsidR="00C035CA" w:rsidRPr="00DB6C99">
        <w:rPr>
          <w:rFonts w:ascii="Garamond" w:eastAsia="Calibri" w:hAnsi="Garamond" w:cs="Times New Roman"/>
          <w:sz w:val="24"/>
          <w:szCs w:val="24"/>
          <w:lang w:val="en-GB"/>
        </w:rPr>
        <w:t>)</w:t>
      </w:r>
      <w:r w:rsidR="00934600" w:rsidRPr="00DB6C99">
        <w:rPr>
          <w:rFonts w:ascii="Garamond" w:eastAsia="Calibri" w:hAnsi="Garamond" w:cs="Times New Roman"/>
          <w:sz w:val="24"/>
          <w:szCs w:val="24"/>
          <w:lang w:val="en-GB"/>
        </w:rPr>
        <w:t xml:space="preserve"> note a positive relationship between BGD and CSR decoupling. </w:t>
      </w:r>
      <w:r w:rsidR="00EF11E3" w:rsidRPr="00DB6C99">
        <w:rPr>
          <w:rFonts w:ascii="Garamond" w:eastAsia="Calibri" w:hAnsi="Garamond" w:cs="Times New Roman"/>
          <w:sz w:val="24"/>
          <w:szCs w:val="24"/>
          <w:lang w:val="en-GB"/>
        </w:rPr>
        <w:t xml:space="preserve">We therefore </w:t>
      </w:r>
      <w:r w:rsidR="00FF19FC" w:rsidRPr="00DB6C99">
        <w:rPr>
          <w:rFonts w:ascii="Garamond" w:eastAsia="Calibri" w:hAnsi="Garamond" w:cs="Times New Roman"/>
          <w:sz w:val="24"/>
          <w:szCs w:val="24"/>
          <w:lang w:val="en-GB"/>
        </w:rPr>
        <w:t>provide</w:t>
      </w:r>
      <w:r w:rsidR="00934600" w:rsidRPr="00DB6C99">
        <w:rPr>
          <w:rFonts w:ascii="Garamond" w:eastAsia="Calibri" w:hAnsi="Garamond" w:cs="Times New Roman"/>
          <w:sz w:val="24"/>
          <w:szCs w:val="24"/>
          <w:lang w:val="en-GB"/>
        </w:rPr>
        <w:t xml:space="preserve"> </w:t>
      </w:r>
      <w:r w:rsidR="00FF7C93" w:rsidRPr="00DB6C99">
        <w:rPr>
          <w:rFonts w:ascii="Garamond" w:eastAsia="Calibri" w:hAnsi="Garamond" w:cs="Times New Roman"/>
          <w:sz w:val="24"/>
          <w:szCs w:val="24"/>
          <w:lang w:val="en-GB"/>
        </w:rPr>
        <w:t xml:space="preserve">a </w:t>
      </w:r>
      <w:r w:rsidR="00934600" w:rsidRPr="00DB6C99">
        <w:rPr>
          <w:rFonts w:ascii="Garamond" w:eastAsia="Calibri" w:hAnsi="Garamond" w:cs="Times New Roman"/>
          <w:sz w:val="24"/>
          <w:szCs w:val="24"/>
          <w:lang w:val="en-GB"/>
        </w:rPr>
        <w:t>more nuance</w:t>
      </w:r>
      <w:r w:rsidR="00FF19FC" w:rsidRPr="00DB6C99">
        <w:rPr>
          <w:rFonts w:ascii="Garamond" w:eastAsia="Calibri" w:hAnsi="Garamond" w:cs="Times New Roman"/>
          <w:sz w:val="24"/>
          <w:szCs w:val="24"/>
          <w:lang w:val="en-GB"/>
        </w:rPr>
        <w:t>d</w:t>
      </w:r>
      <w:r w:rsidR="00934600" w:rsidRPr="00DB6C99">
        <w:rPr>
          <w:rFonts w:ascii="Garamond" w:eastAsia="Calibri" w:hAnsi="Garamond" w:cs="Times New Roman"/>
          <w:sz w:val="24"/>
          <w:szCs w:val="24"/>
          <w:lang w:val="en-GB"/>
        </w:rPr>
        <w:t xml:space="preserve"> understand</w:t>
      </w:r>
      <w:r w:rsidR="00C035CA" w:rsidRPr="00DB6C99">
        <w:rPr>
          <w:rFonts w:ascii="Garamond" w:eastAsia="Calibri" w:hAnsi="Garamond" w:cs="Times New Roman"/>
          <w:sz w:val="24"/>
          <w:szCs w:val="24"/>
          <w:lang w:val="en-GB"/>
        </w:rPr>
        <w:t>ing of</w:t>
      </w:r>
      <w:r w:rsidR="00934600" w:rsidRPr="00DB6C99">
        <w:rPr>
          <w:rFonts w:ascii="Garamond" w:eastAsia="Calibri" w:hAnsi="Garamond" w:cs="Times New Roman"/>
          <w:sz w:val="24"/>
          <w:szCs w:val="24"/>
          <w:lang w:val="en-GB"/>
        </w:rPr>
        <w:t xml:space="preserve"> the underlying relationship between BGD and CSR decoupling.</w:t>
      </w:r>
      <w:r w:rsidR="00EF11E3" w:rsidRPr="00DB6C99">
        <w:rPr>
          <w:rFonts w:ascii="Garamond" w:eastAsia="Calibri" w:hAnsi="Garamond" w:cs="Times New Roman"/>
          <w:sz w:val="24"/>
          <w:szCs w:val="24"/>
          <w:lang w:val="en-GB"/>
        </w:rPr>
        <w:t xml:space="preserve"> </w:t>
      </w:r>
      <w:r w:rsidRPr="00DB6C99">
        <w:rPr>
          <w:rFonts w:ascii="Garamond" w:eastAsia="Calibri" w:hAnsi="Garamond" w:cs="Times New Roman"/>
          <w:i/>
          <w:sz w:val="24"/>
          <w:szCs w:val="24"/>
          <w:lang w:val="en-GB"/>
        </w:rPr>
        <w:t>Second</w:t>
      </w:r>
      <w:r w:rsidRPr="00DB6C99">
        <w:rPr>
          <w:rFonts w:ascii="Garamond" w:eastAsia="Calibri" w:hAnsi="Garamond" w:cs="Times New Roman"/>
          <w:sz w:val="24"/>
          <w:szCs w:val="24"/>
          <w:lang w:val="en-GB"/>
        </w:rPr>
        <w:t xml:space="preserve">, </w:t>
      </w:r>
      <w:r w:rsidR="00824480" w:rsidRPr="00DB6C99">
        <w:rPr>
          <w:rFonts w:ascii="Garamond" w:eastAsia="Calibri" w:hAnsi="Garamond" w:cs="Times New Roman"/>
          <w:sz w:val="24"/>
          <w:szCs w:val="24"/>
          <w:lang w:val="en-GB"/>
        </w:rPr>
        <w:t xml:space="preserve">we support and add to critical mass theory by examining the effect of skewed, tilted and balanced boards. Our findings reveal the effect of </w:t>
      </w:r>
      <w:r w:rsidR="00C035CA" w:rsidRPr="00DB6C99">
        <w:rPr>
          <w:rFonts w:ascii="Garamond" w:eastAsia="Calibri" w:hAnsi="Garamond" w:cs="Times New Roman"/>
          <w:sz w:val="24"/>
          <w:szCs w:val="24"/>
          <w:lang w:val="en-GB"/>
        </w:rPr>
        <w:t xml:space="preserve">a </w:t>
      </w:r>
      <w:r w:rsidR="00824480" w:rsidRPr="00DB6C99">
        <w:rPr>
          <w:rFonts w:ascii="Garamond" w:eastAsia="Calibri" w:hAnsi="Garamond" w:cs="Times New Roman"/>
          <w:sz w:val="24"/>
          <w:szCs w:val="24"/>
          <w:lang w:val="en-GB"/>
        </w:rPr>
        <w:t xml:space="preserve">differential increase in the proportion of female directors on </w:t>
      </w:r>
      <w:r w:rsidR="00C035CA" w:rsidRPr="00DB6C99">
        <w:rPr>
          <w:rFonts w:ascii="Garamond" w:eastAsia="Calibri" w:hAnsi="Garamond" w:cs="Times New Roman"/>
          <w:sz w:val="24"/>
          <w:szCs w:val="24"/>
          <w:lang w:val="en-GB"/>
        </w:rPr>
        <w:t xml:space="preserve">the </w:t>
      </w:r>
      <w:r w:rsidR="00824480" w:rsidRPr="00DB6C99">
        <w:rPr>
          <w:rFonts w:ascii="Garamond" w:eastAsia="Calibri" w:hAnsi="Garamond" w:cs="Times New Roman"/>
          <w:sz w:val="24"/>
          <w:szCs w:val="24"/>
          <w:lang w:val="en-GB"/>
        </w:rPr>
        <w:t>CSR gap.</w:t>
      </w:r>
      <w:r w:rsidRPr="00DB6C99">
        <w:rPr>
          <w:rFonts w:ascii="Garamond" w:eastAsia="Calibri" w:hAnsi="Garamond" w:cs="Times New Roman"/>
          <w:sz w:val="24"/>
          <w:szCs w:val="24"/>
          <w:lang w:val="en-GB"/>
        </w:rPr>
        <w:t xml:space="preserve"> </w:t>
      </w:r>
      <w:r w:rsidR="00A66277" w:rsidRPr="00DB6C99">
        <w:rPr>
          <w:rFonts w:ascii="Garamond" w:eastAsia="Calibri" w:hAnsi="Garamond" w:cs="Times New Roman"/>
          <w:i/>
          <w:sz w:val="24"/>
          <w:szCs w:val="24"/>
          <w:lang w:val="en-GB"/>
        </w:rPr>
        <w:t>Third</w:t>
      </w:r>
      <w:r w:rsidR="00A66277" w:rsidRPr="00DB6C99">
        <w:rPr>
          <w:rFonts w:ascii="Garamond" w:eastAsia="Calibri" w:hAnsi="Garamond" w:cs="Times New Roman"/>
          <w:sz w:val="24"/>
          <w:szCs w:val="24"/>
          <w:lang w:val="en-GB"/>
        </w:rPr>
        <w:t xml:space="preserve">, </w:t>
      </w:r>
      <w:r w:rsidR="009E3BD2" w:rsidRPr="00DB6C99">
        <w:rPr>
          <w:rFonts w:ascii="Garamond" w:eastAsia="Calibri" w:hAnsi="Garamond" w:cs="Times New Roman"/>
          <w:sz w:val="24"/>
          <w:szCs w:val="24"/>
          <w:lang w:val="en-GB"/>
        </w:rPr>
        <w:t>the</w:t>
      </w:r>
      <w:r w:rsidR="00A66277" w:rsidRPr="00DB6C99">
        <w:rPr>
          <w:rFonts w:ascii="Garamond" w:eastAsia="Calibri" w:hAnsi="Garamond" w:cs="Times New Roman"/>
          <w:sz w:val="24"/>
          <w:szCs w:val="24"/>
          <w:lang w:val="en-GB"/>
        </w:rPr>
        <w:t xml:space="preserve"> in-depth investigation of BGD</w:t>
      </w:r>
      <w:r w:rsidR="00C035CA" w:rsidRPr="00DB6C99">
        <w:rPr>
          <w:rFonts w:ascii="Garamond" w:eastAsia="Calibri" w:hAnsi="Garamond" w:cs="Times New Roman"/>
          <w:sz w:val="24"/>
          <w:szCs w:val="24"/>
          <w:lang w:val="en-GB"/>
        </w:rPr>
        <w:t>–</w:t>
      </w:r>
      <w:r w:rsidR="00A66277" w:rsidRPr="00DB6C99">
        <w:rPr>
          <w:rFonts w:ascii="Garamond" w:eastAsia="Calibri" w:hAnsi="Garamond" w:cs="Times New Roman"/>
          <w:sz w:val="24"/>
          <w:szCs w:val="24"/>
          <w:lang w:val="en-GB"/>
        </w:rPr>
        <w:t>CSR decoupling</w:t>
      </w:r>
      <w:r w:rsidR="0043693D" w:rsidRPr="00DB6C99">
        <w:rPr>
          <w:rFonts w:ascii="Garamond" w:eastAsia="Calibri" w:hAnsi="Garamond" w:cs="Times New Roman"/>
          <w:sz w:val="24"/>
          <w:szCs w:val="24"/>
          <w:lang w:val="en-GB"/>
        </w:rPr>
        <w:t xml:space="preserve"> </w:t>
      </w:r>
      <w:r w:rsidR="00A66277" w:rsidRPr="00DB6C99">
        <w:rPr>
          <w:rFonts w:ascii="Garamond" w:eastAsia="Calibri" w:hAnsi="Garamond" w:cs="Times New Roman"/>
          <w:sz w:val="24"/>
          <w:szCs w:val="24"/>
          <w:lang w:val="en-GB"/>
        </w:rPr>
        <w:t xml:space="preserve">shows that </w:t>
      </w:r>
      <w:r w:rsidR="0043693D" w:rsidRPr="00DB6C99">
        <w:rPr>
          <w:rFonts w:ascii="Garamond" w:eastAsia="Calibri" w:hAnsi="Garamond" w:cs="Times New Roman"/>
          <w:sz w:val="24"/>
          <w:szCs w:val="24"/>
          <w:lang w:val="en-GB"/>
        </w:rPr>
        <w:t xml:space="preserve">female directors are more effective </w:t>
      </w:r>
      <w:r w:rsidR="009E3BD2" w:rsidRPr="00DB6C99">
        <w:rPr>
          <w:rFonts w:ascii="Garamond" w:eastAsia="Calibri" w:hAnsi="Garamond" w:cs="Times New Roman"/>
          <w:sz w:val="24"/>
          <w:szCs w:val="24"/>
          <w:lang w:val="en-GB"/>
        </w:rPr>
        <w:t>in reducing</w:t>
      </w:r>
      <w:r w:rsidR="0043693D" w:rsidRPr="00DB6C99">
        <w:rPr>
          <w:rFonts w:ascii="Garamond" w:eastAsia="Calibri" w:hAnsi="Garamond" w:cs="Times New Roman"/>
          <w:sz w:val="24"/>
          <w:szCs w:val="24"/>
          <w:lang w:val="en-GB"/>
        </w:rPr>
        <w:t xml:space="preserve"> decoupling when</w:t>
      </w:r>
      <w:r w:rsidR="00A66277" w:rsidRPr="00DB6C99">
        <w:rPr>
          <w:rFonts w:ascii="Garamond" w:eastAsia="Calibri" w:hAnsi="Garamond" w:cs="Times New Roman"/>
          <w:sz w:val="24"/>
          <w:szCs w:val="24"/>
          <w:lang w:val="en-GB"/>
        </w:rPr>
        <w:t xml:space="preserve"> firms </w:t>
      </w:r>
      <w:r w:rsidR="0043693D" w:rsidRPr="00DB6C99">
        <w:rPr>
          <w:rFonts w:ascii="Garamond" w:eastAsia="Calibri" w:hAnsi="Garamond" w:cs="Times New Roman"/>
          <w:sz w:val="24"/>
          <w:szCs w:val="24"/>
          <w:lang w:val="en-GB"/>
        </w:rPr>
        <w:t>have</w:t>
      </w:r>
      <w:r w:rsidR="00A66277" w:rsidRPr="00DB6C99">
        <w:rPr>
          <w:rFonts w:ascii="Garamond" w:eastAsia="Calibri" w:hAnsi="Garamond" w:cs="Times New Roman"/>
          <w:sz w:val="24"/>
          <w:szCs w:val="24"/>
          <w:lang w:val="en-GB"/>
        </w:rPr>
        <w:t xml:space="preserve"> low CG quality</w:t>
      </w:r>
      <w:r w:rsidR="0043693D" w:rsidRPr="00DB6C99">
        <w:rPr>
          <w:rFonts w:ascii="Garamond" w:eastAsia="Calibri" w:hAnsi="Garamond" w:cs="Times New Roman"/>
          <w:sz w:val="24"/>
          <w:szCs w:val="24"/>
          <w:lang w:val="en-GB"/>
        </w:rPr>
        <w:t>.</w:t>
      </w:r>
      <w:r w:rsidR="00A66277" w:rsidRPr="00DB6C99">
        <w:rPr>
          <w:rFonts w:ascii="Garamond" w:eastAsia="Calibri" w:hAnsi="Garamond" w:cs="Times New Roman"/>
          <w:sz w:val="24"/>
          <w:szCs w:val="24"/>
          <w:lang w:val="en-GB"/>
        </w:rPr>
        <w:t xml:space="preserve"> </w:t>
      </w:r>
      <w:r w:rsidR="0043693D" w:rsidRPr="00DB6C99">
        <w:rPr>
          <w:rFonts w:ascii="Garamond" w:eastAsia="Calibri" w:hAnsi="Garamond" w:cs="Times New Roman"/>
          <w:sz w:val="24"/>
          <w:szCs w:val="24"/>
          <w:lang w:val="en-GB"/>
        </w:rPr>
        <w:t xml:space="preserve">We therefore </w:t>
      </w:r>
      <w:r w:rsidR="00A66277" w:rsidRPr="00DB6C99">
        <w:rPr>
          <w:rFonts w:ascii="Garamond" w:eastAsia="Calibri" w:hAnsi="Garamond" w:cs="Times New Roman"/>
          <w:sz w:val="24"/>
          <w:szCs w:val="24"/>
          <w:lang w:val="en-GB"/>
        </w:rPr>
        <w:t>expand existing empirical evidence on the subjec</w:t>
      </w:r>
      <w:r w:rsidR="00787043" w:rsidRPr="00DB6C99">
        <w:rPr>
          <w:rFonts w:ascii="Garamond" w:eastAsia="Calibri" w:hAnsi="Garamond" w:cs="Times New Roman"/>
          <w:sz w:val="24"/>
          <w:szCs w:val="24"/>
          <w:lang w:val="en-GB"/>
        </w:rPr>
        <w:t xml:space="preserve">t (e.g., Adams </w:t>
      </w:r>
      <w:r w:rsidR="00D46A72" w:rsidRPr="00DB6C99">
        <w:rPr>
          <w:rFonts w:ascii="Garamond" w:eastAsia="Calibri" w:hAnsi="Garamond" w:cs="Times New Roman"/>
          <w:sz w:val="24"/>
          <w:szCs w:val="24"/>
          <w:lang w:val="en-GB"/>
        </w:rPr>
        <w:t>and</w:t>
      </w:r>
      <w:r w:rsidR="00787043" w:rsidRPr="00DB6C99">
        <w:rPr>
          <w:rFonts w:ascii="Garamond" w:eastAsia="Calibri" w:hAnsi="Garamond" w:cs="Times New Roman"/>
          <w:sz w:val="24"/>
          <w:szCs w:val="24"/>
          <w:lang w:val="en-GB"/>
        </w:rPr>
        <w:t xml:space="preserve"> Ferreira, 2009;</w:t>
      </w:r>
      <w:r w:rsidR="00A66277" w:rsidRPr="00DB6C99">
        <w:rPr>
          <w:rFonts w:ascii="Garamond" w:eastAsia="Calibri" w:hAnsi="Garamond" w:cs="Times New Roman"/>
          <w:sz w:val="24"/>
          <w:szCs w:val="24"/>
          <w:lang w:val="en-GB"/>
        </w:rPr>
        <w:t xml:space="preserve"> Wahid, 2019). These results </w:t>
      </w:r>
      <w:r w:rsidR="0043693D" w:rsidRPr="00DB6C99">
        <w:rPr>
          <w:rFonts w:ascii="Garamond" w:eastAsia="Calibri" w:hAnsi="Garamond" w:cs="Times New Roman"/>
          <w:sz w:val="24"/>
          <w:szCs w:val="24"/>
          <w:lang w:val="en-GB"/>
        </w:rPr>
        <w:t>contribute to the</w:t>
      </w:r>
      <w:r w:rsidR="00A66277" w:rsidRPr="00DB6C99">
        <w:rPr>
          <w:rFonts w:ascii="Garamond" w:eastAsia="Calibri" w:hAnsi="Garamond" w:cs="Times New Roman"/>
          <w:sz w:val="24"/>
          <w:szCs w:val="24"/>
          <w:lang w:val="en-GB"/>
        </w:rPr>
        <w:t xml:space="preserve"> literature </w:t>
      </w:r>
      <w:r w:rsidR="0043693D" w:rsidRPr="00DB6C99">
        <w:rPr>
          <w:rFonts w:ascii="Garamond" w:eastAsia="Calibri" w:hAnsi="Garamond" w:cs="Times New Roman"/>
          <w:sz w:val="24"/>
          <w:szCs w:val="24"/>
          <w:lang w:val="en-GB"/>
        </w:rPr>
        <w:t>argu</w:t>
      </w:r>
      <w:r w:rsidR="00FF7C93" w:rsidRPr="00DB6C99">
        <w:rPr>
          <w:rFonts w:ascii="Garamond" w:eastAsia="Calibri" w:hAnsi="Garamond" w:cs="Times New Roman"/>
          <w:sz w:val="24"/>
          <w:szCs w:val="24"/>
          <w:lang w:val="en-GB"/>
        </w:rPr>
        <w:t>ing</w:t>
      </w:r>
      <w:r w:rsidR="00A66277" w:rsidRPr="00DB6C99">
        <w:rPr>
          <w:rFonts w:ascii="Garamond" w:eastAsia="Calibri" w:hAnsi="Garamond" w:cs="Times New Roman"/>
          <w:sz w:val="24"/>
          <w:szCs w:val="24"/>
          <w:lang w:val="en-GB"/>
        </w:rPr>
        <w:t xml:space="preserve"> that gender-diverse boards could act as a substitute mechanism for </w:t>
      </w:r>
      <w:r w:rsidR="0043693D" w:rsidRPr="00DB6C99">
        <w:rPr>
          <w:rFonts w:ascii="Garamond" w:eastAsia="Calibri" w:hAnsi="Garamond" w:cs="Times New Roman"/>
          <w:sz w:val="24"/>
          <w:szCs w:val="24"/>
          <w:lang w:val="en-GB"/>
        </w:rPr>
        <w:t>effective CG</w:t>
      </w:r>
      <w:r w:rsidR="00A66277" w:rsidRPr="00DB6C99">
        <w:rPr>
          <w:rFonts w:ascii="Garamond" w:eastAsia="Calibri" w:hAnsi="Garamond" w:cs="Times New Roman"/>
          <w:sz w:val="24"/>
          <w:szCs w:val="24"/>
          <w:lang w:val="en-GB"/>
        </w:rPr>
        <w:t xml:space="preserve"> that would be weak </w:t>
      </w:r>
      <w:r w:rsidR="009D751A" w:rsidRPr="00DB6C99">
        <w:rPr>
          <w:rFonts w:ascii="Garamond" w:eastAsia="Calibri" w:hAnsi="Garamond" w:cs="Times New Roman"/>
          <w:sz w:val="24"/>
          <w:szCs w:val="24"/>
          <w:lang w:val="en-GB"/>
        </w:rPr>
        <w:t xml:space="preserve">otherwise </w:t>
      </w:r>
      <w:r w:rsidR="00A66277" w:rsidRPr="00DB6C99">
        <w:rPr>
          <w:rFonts w:ascii="Garamond" w:eastAsia="Calibri" w:hAnsi="Garamond" w:cs="Times New Roman"/>
          <w:sz w:val="24"/>
          <w:szCs w:val="24"/>
          <w:lang w:val="en-GB"/>
        </w:rPr>
        <w:t>(Gul</w:t>
      </w:r>
      <w:r w:rsidR="005F6A3C" w:rsidRPr="00DB6C99">
        <w:rPr>
          <w:rFonts w:ascii="Garamond" w:eastAsia="Calibri" w:hAnsi="Garamond" w:cs="Times New Roman"/>
          <w:sz w:val="24"/>
          <w:szCs w:val="24"/>
          <w:lang w:val="en-GB"/>
        </w:rPr>
        <w:t>, Srinidhi and N</w:t>
      </w:r>
      <w:r w:rsidR="005F6A3C" w:rsidRPr="00DB6C99">
        <w:rPr>
          <w:rFonts w:ascii="Garamond" w:eastAsia="Calibri" w:hAnsi="Garamond" w:cs="Times New Roman"/>
          <w:iCs/>
          <w:sz w:val="24"/>
          <w:szCs w:val="24"/>
          <w:lang w:val="en-GB"/>
        </w:rPr>
        <w:t>g</w:t>
      </w:r>
      <w:r w:rsidR="00A66277" w:rsidRPr="00DB6C99">
        <w:rPr>
          <w:rFonts w:ascii="Garamond" w:eastAsia="Calibri" w:hAnsi="Garamond" w:cs="Times New Roman"/>
          <w:iCs/>
          <w:sz w:val="24"/>
          <w:szCs w:val="24"/>
          <w:lang w:val="en-GB"/>
        </w:rPr>
        <w:t xml:space="preserve">, </w:t>
      </w:r>
      <w:r w:rsidR="00A66277" w:rsidRPr="00DB6C99">
        <w:rPr>
          <w:rFonts w:ascii="Garamond" w:eastAsia="Calibri" w:hAnsi="Garamond" w:cs="Times New Roman"/>
          <w:sz w:val="24"/>
          <w:szCs w:val="24"/>
          <w:lang w:val="en-GB"/>
        </w:rPr>
        <w:t xml:space="preserve">2011). </w:t>
      </w:r>
      <w:r w:rsidRPr="00DB6C99">
        <w:rPr>
          <w:rFonts w:ascii="Garamond" w:eastAsia="Calibri" w:hAnsi="Garamond" w:cs="Times New Roman"/>
          <w:i/>
          <w:sz w:val="24"/>
          <w:szCs w:val="24"/>
          <w:lang w:val="en-GB"/>
        </w:rPr>
        <w:t>Finally</w:t>
      </w:r>
      <w:r w:rsidRPr="00DB6C99">
        <w:rPr>
          <w:rFonts w:ascii="Garamond" w:eastAsia="Calibri" w:hAnsi="Garamond" w:cs="Times New Roman"/>
          <w:sz w:val="24"/>
          <w:szCs w:val="24"/>
          <w:lang w:val="en-GB"/>
        </w:rPr>
        <w:t xml:space="preserve">, our </w:t>
      </w:r>
      <w:r w:rsidR="00563E2B" w:rsidRPr="00DB6C99">
        <w:rPr>
          <w:rFonts w:ascii="Garamond" w:eastAsia="Calibri" w:hAnsi="Garamond" w:cs="Times New Roman"/>
          <w:sz w:val="24"/>
          <w:szCs w:val="24"/>
          <w:lang w:val="en-GB"/>
        </w:rPr>
        <w:t>results</w:t>
      </w:r>
      <w:r w:rsidRPr="00DB6C99">
        <w:rPr>
          <w:rFonts w:ascii="Garamond" w:eastAsia="Calibri" w:hAnsi="Garamond" w:cs="Times New Roman"/>
          <w:sz w:val="24"/>
          <w:szCs w:val="24"/>
          <w:lang w:val="en-GB"/>
        </w:rPr>
        <w:t xml:space="preserve"> </w:t>
      </w:r>
      <w:r w:rsidR="00563E2B" w:rsidRPr="00DB6C99">
        <w:rPr>
          <w:rFonts w:ascii="Garamond" w:eastAsia="Calibri" w:hAnsi="Garamond" w:cs="Times New Roman"/>
          <w:sz w:val="24"/>
          <w:szCs w:val="24"/>
          <w:lang w:val="en-GB"/>
        </w:rPr>
        <w:t xml:space="preserve">concerning the negative association between </w:t>
      </w:r>
      <w:r w:rsidR="00D46A72" w:rsidRPr="00DB6C99">
        <w:rPr>
          <w:rFonts w:ascii="Garamond" w:eastAsia="Calibri" w:hAnsi="Garamond" w:cs="Times New Roman"/>
          <w:sz w:val="24"/>
          <w:szCs w:val="24"/>
          <w:lang w:val="en-GB"/>
        </w:rPr>
        <w:t xml:space="preserve">the </w:t>
      </w:r>
      <w:r w:rsidR="00563E2B" w:rsidRPr="00DB6C99">
        <w:rPr>
          <w:rFonts w:ascii="Garamond" w:eastAsia="Calibri" w:hAnsi="Garamond" w:cs="Times New Roman"/>
          <w:sz w:val="24"/>
          <w:szCs w:val="24"/>
          <w:lang w:val="en-GB"/>
        </w:rPr>
        <w:t xml:space="preserve">independence of female directors and CSR decoupling </w:t>
      </w:r>
      <w:r w:rsidRPr="00DB6C99">
        <w:rPr>
          <w:rFonts w:ascii="Garamond" w:eastAsia="Calibri" w:hAnsi="Garamond" w:cs="Times New Roman"/>
          <w:sz w:val="24"/>
          <w:szCs w:val="24"/>
          <w:lang w:val="en-GB"/>
        </w:rPr>
        <w:t>offer important practical implications for policy makers</w:t>
      </w:r>
      <w:r w:rsidR="00563E2B"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 xml:space="preserve"> </w:t>
      </w:r>
      <w:r w:rsidR="00563E2B" w:rsidRPr="00DB6C99">
        <w:rPr>
          <w:rFonts w:ascii="Garamond" w:eastAsia="Calibri" w:hAnsi="Garamond" w:cs="Times New Roman"/>
          <w:sz w:val="24"/>
          <w:szCs w:val="24"/>
          <w:lang w:val="en-GB"/>
        </w:rPr>
        <w:t>We</w:t>
      </w:r>
      <w:r w:rsidRPr="00DB6C99">
        <w:rPr>
          <w:rFonts w:ascii="Garamond" w:eastAsia="Calibri" w:hAnsi="Garamond" w:cs="Times New Roman"/>
          <w:sz w:val="24"/>
          <w:szCs w:val="24"/>
          <w:lang w:val="en-GB"/>
        </w:rPr>
        <w:t xml:space="preserve"> </w:t>
      </w:r>
      <w:r w:rsidR="00563E2B" w:rsidRPr="00DB6C99">
        <w:rPr>
          <w:rFonts w:ascii="Garamond" w:eastAsia="Calibri" w:hAnsi="Garamond" w:cs="Times New Roman"/>
          <w:sz w:val="24"/>
          <w:szCs w:val="24"/>
          <w:lang w:val="en-GB"/>
        </w:rPr>
        <w:t>demonstrate</w:t>
      </w:r>
      <w:r w:rsidRPr="00DB6C99">
        <w:rPr>
          <w:rFonts w:ascii="Garamond" w:eastAsia="Calibri" w:hAnsi="Garamond" w:cs="Times New Roman"/>
          <w:sz w:val="24"/>
          <w:szCs w:val="24"/>
          <w:lang w:val="en-GB"/>
        </w:rPr>
        <w:t xml:space="preserve"> that beyond a blanket gender quota for boards, emphasis needs to be accorded to the monitoring role played by female directors.</w:t>
      </w:r>
    </w:p>
    <w:p w14:paraId="57292073" w14:textId="3DAE1958" w:rsidR="009D67AF" w:rsidRPr="00DB6C99" w:rsidRDefault="009D67AF" w:rsidP="00563E2B">
      <w:pPr>
        <w:spacing w:line="360" w:lineRule="auto"/>
        <w:ind w:firstLine="720"/>
        <w:jc w:val="both"/>
        <w:rPr>
          <w:rFonts w:ascii="Garamond" w:eastAsia="Calibri" w:hAnsi="Garamond" w:cs="Times New Roman"/>
          <w:sz w:val="24"/>
          <w:szCs w:val="24"/>
          <w:lang w:val="en-GB"/>
        </w:rPr>
      </w:pPr>
    </w:p>
    <w:p w14:paraId="5B0F1FDB" w14:textId="77777777" w:rsidR="009D67AF" w:rsidRPr="00DB6C99" w:rsidRDefault="009D67AF" w:rsidP="00563E2B">
      <w:pPr>
        <w:spacing w:line="360" w:lineRule="auto"/>
        <w:ind w:firstLine="720"/>
        <w:jc w:val="both"/>
        <w:rPr>
          <w:rFonts w:ascii="Garamond" w:eastAsia="Calibri" w:hAnsi="Garamond" w:cs="Times New Roman"/>
          <w:sz w:val="24"/>
          <w:szCs w:val="24"/>
          <w:lang w:val="en-GB"/>
        </w:rPr>
      </w:pPr>
    </w:p>
    <w:p w14:paraId="5D2445BD" w14:textId="682B846E" w:rsidR="004A1788" w:rsidRPr="00DB6C99" w:rsidRDefault="004A1788" w:rsidP="004A1788">
      <w:pPr>
        <w:spacing w:line="360" w:lineRule="auto"/>
        <w:jc w:val="both"/>
        <w:rPr>
          <w:rFonts w:ascii="Garamond" w:eastAsia="Calibri" w:hAnsi="Garamond" w:cs="Times New Roman"/>
          <w:b/>
          <w:sz w:val="28"/>
          <w:szCs w:val="24"/>
          <w:lang w:val="en-GB"/>
        </w:rPr>
      </w:pPr>
      <w:r w:rsidRPr="00DB6C99">
        <w:rPr>
          <w:rFonts w:ascii="Garamond" w:eastAsia="Calibri" w:hAnsi="Garamond" w:cs="Times New Roman"/>
          <w:b/>
          <w:sz w:val="28"/>
          <w:szCs w:val="24"/>
          <w:lang w:val="en-GB"/>
        </w:rPr>
        <w:lastRenderedPageBreak/>
        <w:t>Theory, Literature and Hypotheses</w:t>
      </w:r>
    </w:p>
    <w:p w14:paraId="53945075" w14:textId="77777777" w:rsidR="004A1788" w:rsidRPr="00DB6C99" w:rsidRDefault="004A1788" w:rsidP="004A1788">
      <w:pPr>
        <w:spacing w:line="360" w:lineRule="auto"/>
        <w:jc w:val="both"/>
        <w:rPr>
          <w:rFonts w:ascii="Garamond" w:eastAsia="Calibri" w:hAnsi="Garamond" w:cs="Times New Roman"/>
          <w:b/>
          <w:i/>
          <w:sz w:val="24"/>
          <w:szCs w:val="24"/>
          <w:lang w:val="en-GB"/>
        </w:rPr>
      </w:pPr>
      <w:r w:rsidRPr="00DB6C99">
        <w:rPr>
          <w:rFonts w:ascii="Garamond" w:eastAsia="Calibri" w:hAnsi="Garamond" w:cs="Times New Roman"/>
          <w:b/>
          <w:i/>
          <w:sz w:val="24"/>
          <w:szCs w:val="24"/>
          <w:lang w:val="en-GB"/>
        </w:rPr>
        <w:t xml:space="preserve">CSR decoupling </w:t>
      </w:r>
    </w:p>
    <w:p w14:paraId="7BDF6873" w14:textId="059F1B70" w:rsidR="004A1788" w:rsidRPr="00DB6C99" w:rsidRDefault="004A1788" w:rsidP="004A1788">
      <w:pPr>
        <w:spacing w:line="360" w:lineRule="auto"/>
        <w:ind w:firstLine="720"/>
        <w:jc w:val="both"/>
        <w:rPr>
          <w:rFonts w:ascii="Garamond" w:eastAsia="Calibri" w:hAnsi="Garamond" w:cs="Times New Roman"/>
          <w:sz w:val="24"/>
          <w:szCs w:val="24"/>
          <w:lang w:val="en-GB"/>
        </w:rPr>
      </w:pPr>
      <w:r w:rsidRPr="00DB6C99">
        <w:rPr>
          <w:rFonts w:ascii="Garamond" w:eastAsia="Calibri" w:hAnsi="Garamond" w:cs="Times New Roman"/>
          <w:sz w:val="24"/>
          <w:szCs w:val="24"/>
          <w:lang w:val="en-GB"/>
        </w:rPr>
        <w:t>The European Commission (2011</w:t>
      </w:r>
      <w:r w:rsidR="00027110" w:rsidRPr="00DB6C99">
        <w:rPr>
          <w:rFonts w:ascii="Garamond" w:eastAsia="Calibri" w:hAnsi="Garamond" w:cs="Times New Roman"/>
          <w:sz w:val="24"/>
          <w:szCs w:val="24"/>
          <w:lang w:val="en-GB"/>
        </w:rPr>
        <w:t>, p. 6</w:t>
      </w:r>
      <w:r w:rsidRPr="00DB6C99">
        <w:rPr>
          <w:rFonts w:ascii="Garamond" w:eastAsia="Calibri" w:hAnsi="Garamond" w:cs="Times New Roman"/>
          <w:sz w:val="24"/>
          <w:szCs w:val="24"/>
          <w:lang w:val="en-GB"/>
        </w:rPr>
        <w:t xml:space="preserve">) defines CSR as </w:t>
      </w:r>
      <w:r w:rsidR="00027110"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the responsibility of enterprises for their impacts on society</w:t>
      </w:r>
      <w:r w:rsidR="00027110" w:rsidRPr="00DB6C99">
        <w:rPr>
          <w:rFonts w:ascii="Garamond" w:eastAsia="Calibri" w:hAnsi="Garamond" w:cs="Times New Roman"/>
          <w:sz w:val="24"/>
          <w:szCs w:val="24"/>
          <w:lang w:val="en-GB"/>
        </w:rPr>
        <w:t>’</w:t>
      </w:r>
      <w:r w:rsidR="00FF7C93"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 xml:space="preserve"> impl</w:t>
      </w:r>
      <w:r w:rsidR="00FF7C93" w:rsidRPr="00DB6C99">
        <w:rPr>
          <w:rFonts w:ascii="Garamond" w:eastAsia="Calibri" w:hAnsi="Garamond" w:cs="Times New Roman"/>
          <w:sz w:val="24"/>
          <w:szCs w:val="24"/>
          <w:lang w:val="en-GB"/>
        </w:rPr>
        <w:t>ying</w:t>
      </w:r>
      <w:r w:rsidRPr="00DB6C99">
        <w:rPr>
          <w:rFonts w:ascii="Garamond" w:eastAsia="Calibri" w:hAnsi="Garamond" w:cs="Times New Roman"/>
          <w:sz w:val="24"/>
          <w:szCs w:val="24"/>
          <w:lang w:val="en-GB"/>
        </w:rPr>
        <w:t xml:space="preserve"> that firms’ responsibilities lie not only towards stockholders but a wide range of internal and external stakeholders. As also advocated by stakeholder theorists, firms’ survival depends on their management of stakeholder relationships (</w:t>
      </w:r>
      <w:r w:rsidR="00027110" w:rsidRPr="00DB6C99">
        <w:rPr>
          <w:rFonts w:ascii="Garamond" w:eastAsia="Calibri" w:hAnsi="Garamond" w:cs="Times New Roman"/>
          <w:sz w:val="24"/>
          <w:szCs w:val="24"/>
          <w:lang w:val="en-GB"/>
        </w:rPr>
        <w:t xml:space="preserve">Branco and Rodriguez, 2008; </w:t>
      </w:r>
      <w:r w:rsidRPr="00DB6C99">
        <w:rPr>
          <w:rFonts w:ascii="Garamond" w:eastAsia="Calibri" w:hAnsi="Garamond" w:cs="Times New Roman"/>
          <w:sz w:val="24"/>
          <w:szCs w:val="24"/>
          <w:lang w:val="en-GB"/>
        </w:rPr>
        <w:t>Freeman, 1984). CSR activities are often associated with improved financial performance (Friede</w:t>
      </w:r>
      <w:r w:rsidR="002A2ED3" w:rsidRPr="00DB6C99">
        <w:rPr>
          <w:rFonts w:ascii="Garamond" w:eastAsia="Calibri" w:hAnsi="Garamond" w:cs="Times New Roman"/>
          <w:sz w:val="24"/>
          <w:szCs w:val="24"/>
          <w:lang w:val="en-GB"/>
        </w:rPr>
        <w:t>, Busch and Bassen</w:t>
      </w:r>
      <w:r w:rsidRPr="00DB6C99">
        <w:rPr>
          <w:rFonts w:ascii="Garamond" w:eastAsia="Calibri" w:hAnsi="Garamond" w:cs="Times New Roman"/>
          <w:iCs/>
          <w:sz w:val="24"/>
          <w:szCs w:val="24"/>
          <w:lang w:val="en-GB"/>
        </w:rPr>
        <w:t>,</w:t>
      </w:r>
      <w:r w:rsidRPr="00DB6C99">
        <w:rPr>
          <w:rFonts w:ascii="Garamond" w:eastAsia="Calibri" w:hAnsi="Garamond" w:cs="Times New Roman"/>
          <w:sz w:val="24"/>
          <w:szCs w:val="24"/>
          <w:lang w:val="en-GB"/>
        </w:rPr>
        <w:t xml:space="preserve"> 2015</w:t>
      </w:r>
      <w:r w:rsidR="00027110" w:rsidRPr="00DB6C99">
        <w:rPr>
          <w:rFonts w:ascii="Garamond" w:eastAsia="Calibri" w:hAnsi="Garamond" w:cs="Times New Roman"/>
          <w:sz w:val="24"/>
          <w:szCs w:val="24"/>
          <w:lang w:val="en-GB"/>
        </w:rPr>
        <w:t>; Waddock and Graves, 1997</w:t>
      </w:r>
      <w:r w:rsidRPr="00DB6C99">
        <w:rPr>
          <w:rFonts w:ascii="Garamond" w:eastAsia="Calibri" w:hAnsi="Garamond" w:cs="Times New Roman"/>
          <w:sz w:val="24"/>
          <w:szCs w:val="24"/>
          <w:lang w:val="en-GB"/>
        </w:rPr>
        <w:t>) and legitimacy (Hussain</w:t>
      </w:r>
      <w:r w:rsidR="00DF1957" w:rsidRPr="00DB6C99">
        <w:rPr>
          <w:rFonts w:ascii="Garamond" w:eastAsia="Calibri" w:hAnsi="Garamond" w:cs="Times New Roman"/>
          <w:sz w:val="24"/>
          <w:szCs w:val="24"/>
          <w:lang w:val="en-GB"/>
        </w:rPr>
        <w:t>, Rigoni and Orij</w:t>
      </w:r>
      <w:r w:rsidRPr="00DB6C99">
        <w:rPr>
          <w:rFonts w:ascii="Garamond" w:eastAsia="Calibri" w:hAnsi="Garamond" w:cs="Times New Roman"/>
          <w:iCs/>
          <w:sz w:val="24"/>
          <w:szCs w:val="24"/>
          <w:lang w:val="en-GB"/>
        </w:rPr>
        <w:t xml:space="preserve">, </w:t>
      </w:r>
      <w:r w:rsidRPr="00DB6C99">
        <w:rPr>
          <w:rFonts w:ascii="Garamond" w:eastAsia="Calibri" w:hAnsi="Garamond" w:cs="Times New Roman"/>
          <w:sz w:val="24"/>
          <w:szCs w:val="24"/>
          <w:lang w:val="en-GB"/>
        </w:rPr>
        <w:t>2018). Therefore, stakeholders are interested in knowing about firms</w:t>
      </w:r>
      <w:r w:rsidR="00027110"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 xml:space="preserve"> CSR engagements (Sauerwald </w:t>
      </w:r>
      <w:r w:rsidR="00027110" w:rsidRPr="00DB6C99">
        <w:rPr>
          <w:rFonts w:ascii="Garamond" w:eastAsia="Calibri" w:hAnsi="Garamond" w:cs="Times New Roman"/>
          <w:sz w:val="24"/>
          <w:szCs w:val="24"/>
          <w:lang w:val="en-GB"/>
        </w:rPr>
        <w:t>and</w:t>
      </w:r>
      <w:r w:rsidRPr="00DB6C99">
        <w:rPr>
          <w:rFonts w:ascii="Garamond" w:eastAsia="Calibri" w:hAnsi="Garamond" w:cs="Times New Roman"/>
          <w:sz w:val="24"/>
          <w:szCs w:val="24"/>
          <w:lang w:val="en-GB"/>
        </w:rPr>
        <w:t xml:space="preserve"> Su, 2019) and so firms issue reports inform</w:t>
      </w:r>
      <w:r w:rsidR="00027110" w:rsidRPr="00DB6C99">
        <w:rPr>
          <w:rFonts w:ascii="Garamond" w:eastAsia="Calibri" w:hAnsi="Garamond" w:cs="Times New Roman"/>
          <w:sz w:val="24"/>
          <w:szCs w:val="24"/>
          <w:lang w:val="en-GB"/>
        </w:rPr>
        <w:t>ing</w:t>
      </w:r>
      <w:r w:rsidRPr="00DB6C99">
        <w:rPr>
          <w:rFonts w:ascii="Garamond" w:eastAsia="Calibri" w:hAnsi="Garamond" w:cs="Times New Roman"/>
          <w:sz w:val="24"/>
          <w:szCs w:val="24"/>
          <w:lang w:val="en-GB"/>
        </w:rPr>
        <w:t xml:space="preserve"> them about such activities (</w:t>
      </w:r>
      <w:r w:rsidR="0074257D" w:rsidRPr="00DB6C99">
        <w:rPr>
          <w:rFonts w:ascii="Garamond" w:eastAsia="Calibri" w:hAnsi="Garamond" w:cs="Times New Roman"/>
          <w:sz w:val="24"/>
          <w:szCs w:val="24"/>
          <w:lang w:val="en-GB"/>
        </w:rPr>
        <w:t>Prado-Lorenzo</w:t>
      </w:r>
      <w:r w:rsidR="005A2DF4" w:rsidRPr="00DB6C99">
        <w:rPr>
          <w:rFonts w:ascii="Garamond" w:eastAsia="Calibri" w:hAnsi="Garamond" w:cs="Times New Roman"/>
          <w:sz w:val="24"/>
          <w:szCs w:val="24"/>
          <w:lang w:val="en-GB"/>
        </w:rPr>
        <w:t>, Gallego-Álvarez and García-Sánchez</w:t>
      </w:r>
      <w:r w:rsidR="0074257D" w:rsidRPr="00DB6C99">
        <w:rPr>
          <w:rFonts w:ascii="Garamond" w:eastAsia="Calibri" w:hAnsi="Garamond" w:cs="Times New Roman"/>
          <w:iCs/>
          <w:sz w:val="24"/>
          <w:szCs w:val="24"/>
          <w:lang w:val="en-GB"/>
        </w:rPr>
        <w:t xml:space="preserve">, </w:t>
      </w:r>
      <w:r w:rsidR="0074257D" w:rsidRPr="00DB6C99">
        <w:rPr>
          <w:rFonts w:ascii="Garamond" w:eastAsia="Calibri" w:hAnsi="Garamond" w:cs="Times New Roman"/>
          <w:sz w:val="24"/>
          <w:szCs w:val="24"/>
          <w:lang w:val="en-GB"/>
        </w:rPr>
        <w:t>2009</w:t>
      </w:r>
      <w:r w:rsidRPr="00DB6C99">
        <w:rPr>
          <w:rFonts w:ascii="Garamond" w:eastAsia="Calibri" w:hAnsi="Garamond" w:cs="Times New Roman"/>
          <w:sz w:val="24"/>
          <w:szCs w:val="24"/>
          <w:lang w:val="en-GB"/>
        </w:rPr>
        <w:t xml:space="preserve">). While CSR reports should </w:t>
      </w:r>
      <w:r w:rsidR="00027110" w:rsidRPr="00DB6C99">
        <w:rPr>
          <w:rFonts w:ascii="Garamond" w:eastAsia="Calibri" w:hAnsi="Garamond" w:cs="Times New Roman"/>
          <w:sz w:val="24"/>
          <w:szCs w:val="24"/>
          <w:lang w:val="en-GB"/>
        </w:rPr>
        <w:t xml:space="preserve">ideally </w:t>
      </w:r>
      <w:r w:rsidRPr="00DB6C99">
        <w:rPr>
          <w:rFonts w:ascii="Garamond" w:eastAsia="Calibri" w:hAnsi="Garamond" w:cs="Times New Roman"/>
          <w:sz w:val="24"/>
          <w:szCs w:val="24"/>
          <w:lang w:val="en-GB"/>
        </w:rPr>
        <w:t xml:space="preserve">be based on reliable and accurate information, managers often misinform stakeholders by distorting or hiding actual information (Tata </w:t>
      </w:r>
      <w:r w:rsidR="00027110" w:rsidRPr="00DB6C99">
        <w:rPr>
          <w:rFonts w:ascii="Garamond" w:eastAsia="Calibri" w:hAnsi="Garamond" w:cs="Times New Roman"/>
          <w:sz w:val="24"/>
          <w:szCs w:val="24"/>
          <w:lang w:val="en-GB"/>
        </w:rPr>
        <w:t>and</w:t>
      </w:r>
      <w:r w:rsidRPr="00DB6C99">
        <w:rPr>
          <w:rFonts w:ascii="Garamond" w:eastAsia="Calibri" w:hAnsi="Garamond" w:cs="Times New Roman"/>
          <w:sz w:val="24"/>
          <w:szCs w:val="24"/>
          <w:lang w:val="en-GB"/>
        </w:rPr>
        <w:t xml:space="preserve"> Prasad, 2014), generally for symbolic or opportunistic reasons. Furthermore, firms can accumulate </w:t>
      </w:r>
      <w:r w:rsidR="00027110" w:rsidRPr="00DB6C99">
        <w:rPr>
          <w:rFonts w:ascii="Garamond" w:eastAsia="Calibri" w:hAnsi="Garamond" w:cs="Times New Roman"/>
          <w:sz w:val="24"/>
          <w:szCs w:val="24"/>
          <w:lang w:val="en-GB"/>
        </w:rPr>
        <w:t xml:space="preserve">the </w:t>
      </w:r>
      <w:r w:rsidRPr="00DB6C99">
        <w:rPr>
          <w:rFonts w:ascii="Garamond" w:eastAsia="Calibri" w:hAnsi="Garamond" w:cs="Times New Roman"/>
          <w:sz w:val="24"/>
          <w:szCs w:val="24"/>
          <w:lang w:val="en-GB"/>
        </w:rPr>
        <w:t xml:space="preserve">benefits of legitimacy relatively quicker in the case of external CSR actions (Hawn </w:t>
      </w:r>
      <w:r w:rsidR="00027110" w:rsidRPr="00DB6C99">
        <w:rPr>
          <w:rFonts w:ascii="Garamond" w:eastAsia="Calibri" w:hAnsi="Garamond" w:cs="Times New Roman"/>
          <w:sz w:val="24"/>
          <w:szCs w:val="24"/>
          <w:lang w:val="en-GB"/>
        </w:rPr>
        <w:t>and</w:t>
      </w:r>
      <w:r w:rsidRPr="00DB6C99">
        <w:rPr>
          <w:rFonts w:ascii="Garamond" w:eastAsia="Calibri" w:hAnsi="Garamond" w:cs="Times New Roman"/>
          <w:sz w:val="24"/>
          <w:szCs w:val="24"/>
          <w:lang w:val="en-GB"/>
        </w:rPr>
        <w:t xml:space="preserve"> Ioannou, 2016), hence creat</w:t>
      </w:r>
      <w:r w:rsidR="00027110" w:rsidRPr="00DB6C99">
        <w:rPr>
          <w:rFonts w:ascii="Garamond" w:eastAsia="Calibri" w:hAnsi="Garamond" w:cs="Times New Roman"/>
          <w:sz w:val="24"/>
          <w:szCs w:val="24"/>
          <w:lang w:val="en-GB"/>
        </w:rPr>
        <w:t>ing</w:t>
      </w:r>
      <w:r w:rsidRPr="00DB6C99">
        <w:rPr>
          <w:rFonts w:ascii="Garamond" w:eastAsia="Calibri" w:hAnsi="Garamond" w:cs="Times New Roman"/>
          <w:sz w:val="24"/>
          <w:szCs w:val="24"/>
          <w:lang w:val="en-GB"/>
        </w:rPr>
        <w:t xml:space="preserve"> a gap between reported sustainability information and actual performance, referred to as </w:t>
      </w:r>
      <w:r w:rsidR="00027110" w:rsidRPr="00DB6C99">
        <w:rPr>
          <w:rFonts w:ascii="Garamond" w:eastAsia="Calibri" w:hAnsi="Garamond" w:cs="Times New Roman"/>
          <w:sz w:val="24"/>
          <w:szCs w:val="24"/>
          <w:lang w:val="en-GB"/>
        </w:rPr>
        <w:t xml:space="preserve">a </w:t>
      </w:r>
      <w:r w:rsidRPr="00DB6C99">
        <w:rPr>
          <w:rFonts w:ascii="Garamond" w:eastAsia="Calibri" w:hAnsi="Garamond" w:cs="Times New Roman"/>
          <w:sz w:val="24"/>
          <w:szCs w:val="24"/>
          <w:lang w:val="en-GB"/>
        </w:rPr>
        <w:t>CSR gap or decoupling (</w:t>
      </w:r>
      <w:r w:rsidR="00027110" w:rsidRPr="00DB6C99">
        <w:rPr>
          <w:rFonts w:ascii="Garamond" w:eastAsia="Calibri" w:hAnsi="Garamond" w:cs="Times New Roman"/>
          <w:sz w:val="24"/>
          <w:szCs w:val="24"/>
          <w:lang w:val="en-GB"/>
        </w:rPr>
        <w:t xml:space="preserve">Sauerwald and Su, 2019; </w:t>
      </w:r>
      <w:r w:rsidRPr="00DB6C99">
        <w:rPr>
          <w:rFonts w:ascii="Garamond" w:eastAsia="Calibri" w:hAnsi="Garamond" w:cs="Times New Roman"/>
          <w:sz w:val="24"/>
          <w:szCs w:val="24"/>
          <w:lang w:val="en-GB"/>
        </w:rPr>
        <w:t>Tashman</w:t>
      </w:r>
      <w:r w:rsidR="00815C32" w:rsidRPr="00DB6C99">
        <w:rPr>
          <w:rFonts w:ascii="Garamond" w:eastAsia="Calibri" w:hAnsi="Garamond" w:cs="Times New Roman"/>
          <w:sz w:val="24"/>
          <w:szCs w:val="24"/>
          <w:lang w:val="en-GB"/>
        </w:rPr>
        <w:t>, Marano and Kostova</w:t>
      </w:r>
      <w:r w:rsidRPr="00DB6C99">
        <w:rPr>
          <w:rFonts w:ascii="Garamond" w:eastAsia="Calibri" w:hAnsi="Garamond" w:cs="Times New Roman"/>
          <w:iCs/>
          <w:sz w:val="24"/>
          <w:szCs w:val="24"/>
          <w:lang w:val="en-GB"/>
        </w:rPr>
        <w:t xml:space="preserve">, </w:t>
      </w:r>
      <w:r w:rsidRPr="00DB6C99">
        <w:rPr>
          <w:rFonts w:ascii="Garamond" w:eastAsia="Calibri" w:hAnsi="Garamond" w:cs="Times New Roman"/>
          <w:sz w:val="24"/>
          <w:szCs w:val="24"/>
          <w:lang w:val="en-GB"/>
        </w:rPr>
        <w:t xml:space="preserve">2019). </w:t>
      </w:r>
    </w:p>
    <w:p w14:paraId="44B6FCB6" w14:textId="45D59031" w:rsidR="004A1788" w:rsidRPr="00DB6C99" w:rsidRDefault="004A1788" w:rsidP="004A1788">
      <w:pPr>
        <w:spacing w:line="360" w:lineRule="auto"/>
        <w:ind w:firstLine="720"/>
        <w:jc w:val="both"/>
        <w:rPr>
          <w:rFonts w:ascii="Garamond" w:eastAsia="Calibri" w:hAnsi="Garamond" w:cs="Times New Roman"/>
          <w:sz w:val="24"/>
          <w:szCs w:val="24"/>
          <w:lang w:val="en-GB"/>
        </w:rPr>
      </w:pPr>
      <w:r w:rsidRPr="00DB6C99">
        <w:rPr>
          <w:rFonts w:ascii="Garamond" w:eastAsia="Calibri" w:hAnsi="Garamond" w:cs="Times New Roman"/>
          <w:sz w:val="24"/>
          <w:szCs w:val="24"/>
          <w:lang w:val="en-GB"/>
        </w:rPr>
        <w:t>Prior studies argue that firms facing stakeholder pressures may disconnect policy from actual practice (e.g., Crilly</w:t>
      </w:r>
      <w:r w:rsidR="009A6BE7" w:rsidRPr="00DB6C99">
        <w:rPr>
          <w:rFonts w:ascii="Garamond" w:eastAsia="Calibri" w:hAnsi="Garamond" w:cs="Times New Roman"/>
          <w:sz w:val="24"/>
          <w:szCs w:val="24"/>
          <w:lang w:val="en-GB"/>
        </w:rPr>
        <w:t>, Zollo and Hansen</w:t>
      </w:r>
      <w:r w:rsidRPr="00DB6C99">
        <w:rPr>
          <w:rFonts w:ascii="Garamond" w:eastAsia="Calibri" w:hAnsi="Garamond" w:cs="Times New Roman"/>
          <w:sz w:val="24"/>
          <w:szCs w:val="24"/>
          <w:lang w:val="en-GB"/>
        </w:rPr>
        <w:t xml:space="preserve">, 2012). For example, firms deceive their stakeholders by faking their practices when there is information asymmetry between the management and stakeholders. This stream of the literature suggests that managers opportunistically </w:t>
      </w:r>
      <w:r w:rsidR="00991BE3" w:rsidRPr="00DB6C99">
        <w:rPr>
          <w:rFonts w:ascii="Garamond" w:eastAsia="Calibri" w:hAnsi="Garamond" w:cs="Times New Roman"/>
          <w:sz w:val="24"/>
          <w:szCs w:val="24"/>
          <w:lang w:val="en-GB"/>
        </w:rPr>
        <w:t xml:space="preserve">engage </w:t>
      </w:r>
      <w:r w:rsidRPr="00DB6C99">
        <w:rPr>
          <w:rFonts w:ascii="Garamond" w:eastAsia="Calibri" w:hAnsi="Garamond" w:cs="Times New Roman"/>
          <w:sz w:val="24"/>
          <w:szCs w:val="24"/>
          <w:lang w:val="en-GB"/>
        </w:rPr>
        <w:t>in calculated deception to pursue their own interests</w:t>
      </w:r>
      <w:r w:rsidR="00027110" w:rsidRPr="00DB6C99">
        <w:rPr>
          <w:rFonts w:ascii="Garamond" w:eastAsia="Calibri" w:hAnsi="Garamond" w:cs="Times New Roman"/>
          <w:sz w:val="24"/>
          <w:szCs w:val="24"/>
          <w:lang w:val="en-GB"/>
        </w:rPr>
        <w:t xml:space="preserve"> because stakeholders have limited knowledge of a firm’s internal operations</w:t>
      </w:r>
      <w:r w:rsidRPr="00DB6C99">
        <w:rPr>
          <w:rFonts w:ascii="Garamond" w:eastAsia="Calibri" w:hAnsi="Garamond" w:cs="Times New Roman"/>
          <w:sz w:val="24"/>
          <w:szCs w:val="24"/>
          <w:lang w:val="en-GB"/>
        </w:rPr>
        <w:t xml:space="preserve">. An existing concept similar to faking as a function of information asymmetry is greenwashing, which focuses on the environmental aspects of CSR and is </w:t>
      </w:r>
      <w:r w:rsidR="00027110" w:rsidRPr="00DB6C99">
        <w:rPr>
          <w:rFonts w:ascii="Garamond" w:eastAsia="Calibri" w:hAnsi="Garamond" w:cs="Times New Roman"/>
          <w:sz w:val="24"/>
          <w:szCs w:val="24"/>
          <w:lang w:val="en-GB"/>
        </w:rPr>
        <w:t>the</w:t>
      </w:r>
      <w:r w:rsidRPr="00DB6C99">
        <w:rPr>
          <w:rFonts w:ascii="Garamond" w:eastAsia="Calibri" w:hAnsi="Garamond" w:cs="Times New Roman"/>
          <w:sz w:val="24"/>
          <w:szCs w:val="24"/>
          <w:lang w:val="en-GB"/>
        </w:rPr>
        <w:t xml:space="preserve"> result of an intersection between positive communication about environmental performance and poor environmental performance (Delmas </w:t>
      </w:r>
      <w:r w:rsidR="00027110" w:rsidRPr="00DB6C99">
        <w:rPr>
          <w:rFonts w:ascii="Garamond" w:eastAsia="Calibri" w:hAnsi="Garamond" w:cs="Times New Roman"/>
          <w:sz w:val="24"/>
          <w:szCs w:val="24"/>
          <w:lang w:val="en-GB"/>
        </w:rPr>
        <w:t>and</w:t>
      </w:r>
      <w:r w:rsidRPr="00DB6C99">
        <w:rPr>
          <w:rFonts w:ascii="Garamond" w:eastAsia="Calibri" w:hAnsi="Garamond" w:cs="Times New Roman"/>
          <w:sz w:val="24"/>
          <w:szCs w:val="24"/>
          <w:lang w:val="en-GB"/>
        </w:rPr>
        <w:t xml:space="preserve"> Burbano, 2011)</w:t>
      </w:r>
      <w:r w:rsidR="00F532C6"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 xml:space="preserve"> </w:t>
      </w:r>
      <w:r w:rsidR="00F532C6" w:rsidRPr="00DB6C99">
        <w:rPr>
          <w:rFonts w:ascii="Garamond" w:eastAsia="Calibri" w:hAnsi="Garamond" w:cs="Times New Roman"/>
          <w:sz w:val="24"/>
          <w:szCs w:val="24"/>
          <w:lang w:val="en-GB"/>
        </w:rPr>
        <w:t>A</w:t>
      </w:r>
      <w:r w:rsidRPr="00DB6C99">
        <w:rPr>
          <w:rFonts w:ascii="Garamond" w:eastAsia="Calibri" w:hAnsi="Garamond" w:cs="Times New Roman"/>
          <w:sz w:val="24"/>
          <w:szCs w:val="24"/>
          <w:lang w:val="en-GB"/>
        </w:rPr>
        <w:t xml:space="preserve">n increased gap could also be </w:t>
      </w:r>
      <w:r w:rsidR="00AC23D4" w:rsidRPr="00DB6C99">
        <w:rPr>
          <w:rFonts w:ascii="Garamond" w:eastAsia="Calibri" w:hAnsi="Garamond" w:cs="Times New Roman"/>
          <w:sz w:val="24"/>
          <w:szCs w:val="24"/>
          <w:lang w:val="en-GB"/>
        </w:rPr>
        <w:t>the</w:t>
      </w:r>
      <w:r w:rsidRPr="00DB6C99">
        <w:rPr>
          <w:rFonts w:ascii="Garamond" w:eastAsia="Calibri" w:hAnsi="Garamond" w:cs="Times New Roman"/>
          <w:sz w:val="24"/>
          <w:szCs w:val="24"/>
          <w:lang w:val="en-GB"/>
        </w:rPr>
        <w:t xml:space="preserve"> result of unrealized greening</w:t>
      </w:r>
      <w:r w:rsidR="00AC23D4"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 xml:space="preserve"> </w:t>
      </w:r>
      <w:r w:rsidR="00AC23D4" w:rsidRPr="00DB6C99">
        <w:rPr>
          <w:rFonts w:ascii="Garamond" w:eastAsia="Calibri" w:hAnsi="Garamond" w:cs="Times New Roman"/>
          <w:sz w:val="24"/>
          <w:szCs w:val="24"/>
          <w:lang w:val="en-GB"/>
        </w:rPr>
        <w:t xml:space="preserve">which </w:t>
      </w:r>
      <w:r w:rsidRPr="00DB6C99">
        <w:rPr>
          <w:rFonts w:ascii="Garamond" w:eastAsia="Calibri" w:hAnsi="Garamond" w:cs="Times New Roman"/>
          <w:sz w:val="24"/>
          <w:szCs w:val="24"/>
          <w:lang w:val="en-GB"/>
        </w:rPr>
        <w:t xml:space="preserve">happens when the top management shows a high level of commitment to environmental policies while internally the firm lacks a proactive approach to implementation (Winn </w:t>
      </w:r>
      <w:r w:rsidR="00AC23D4" w:rsidRPr="00DB6C99">
        <w:rPr>
          <w:rFonts w:ascii="Garamond" w:eastAsia="Calibri" w:hAnsi="Garamond" w:cs="Times New Roman"/>
          <w:sz w:val="24"/>
          <w:szCs w:val="24"/>
          <w:lang w:val="en-GB"/>
        </w:rPr>
        <w:t>and</w:t>
      </w:r>
      <w:r w:rsidRPr="00DB6C99">
        <w:rPr>
          <w:rFonts w:ascii="Garamond" w:eastAsia="Calibri" w:hAnsi="Garamond" w:cs="Times New Roman"/>
          <w:sz w:val="24"/>
          <w:szCs w:val="24"/>
          <w:lang w:val="en-GB"/>
        </w:rPr>
        <w:t xml:space="preserve"> Angell, 2000)</w:t>
      </w:r>
      <w:r w:rsidR="00AC23D4"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 xml:space="preserve"> </w:t>
      </w:r>
      <w:r w:rsidR="00AC23D4" w:rsidRPr="00DB6C99">
        <w:rPr>
          <w:rFonts w:ascii="Garamond" w:eastAsia="Calibri" w:hAnsi="Garamond" w:cs="Times New Roman"/>
          <w:sz w:val="24"/>
          <w:szCs w:val="24"/>
          <w:lang w:val="en-GB"/>
        </w:rPr>
        <w:t>F</w:t>
      </w:r>
      <w:r w:rsidRPr="00DB6C99">
        <w:rPr>
          <w:rFonts w:ascii="Garamond" w:eastAsia="Calibri" w:hAnsi="Garamond" w:cs="Times New Roman"/>
          <w:sz w:val="24"/>
          <w:szCs w:val="24"/>
          <w:lang w:val="en-GB"/>
        </w:rPr>
        <w:t>irms may also decouple by muddling through CSR practices to satisfy contrasting stakeholder demands (Crilly</w:t>
      </w:r>
      <w:r w:rsidR="009A6BE7" w:rsidRPr="00DB6C99">
        <w:rPr>
          <w:rFonts w:ascii="Garamond" w:eastAsia="Calibri" w:hAnsi="Garamond" w:cs="Times New Roman"/>
          <w:iCs/>
          <w:sz w:val="24"/>
          <w:szCs w:val="24"/>
          <w:lang w:val="en-GB"/>
        </w:rPr>
        <w:t>, Zollo and Hansen</w:t>
      </w:r>
      <w:r w:rsidRPr="00DB6C99">
        <w:rPr>
          <w:rFonts w:ascii="Garamond" w:eastAsia="Calibri" w:hAnsi="Garamond" w:cs="Times New Roman"/>
          <w:sz w:val="24"/>
          <w:szCs w:val="24"/>
          <w:lang w:val="en-GB"/>
        </w:rPr>
        <w:t xml:space="preserve">, 2012). </w:t>
      </w:r>
    </w:p>
    <w:p w14:paraId="25702981" w14:textId="2489D218" w:rsidR="00060F13" w:rsidRPr="00DB6C99" w:rsidRDefault="004A1788" w:rsidP="006C78EB">
      <w:pPr>
        <w:spacing w:line="360" w:lineRule="auto"/>
        <w:ind w:firstLine="720"/>
        <w:jc w:val="both"/>
        <w:rPr>
          <w:rFonts w:ascii="Garamond" w:eastAsia="Calibri" w:hAnsi="Garamond" w:cs="Times New Roman"/>
          <w:sz w:val="24"/>
          <w:szCs w:val="24"/>
          <w:lang w:val="en-GB"/>
        </w:rPr>
      </w:pPr>
      <w:r w:rsidRPr="00DB6C99">
        <w:rPr>
          <w:rFonts w:ascii="Garamond" w:eastAsia="Calibri" w:hAnsi="Garamond" w:cs="Times New Roman"/>
          <w:sz w:val="24"/>
          <w:szCs w:val="24"/>
          <w:lang w:val="en-GB"/>
        </w:rPr>
        <w:lastRenderedPageBreak/>
        <w:t xml:space="preserve">Decoupling is typically distinguished into two types (Graafland </w:t>
      </w:r>
      <w:r w:rsidR="00AC23D4" w:rsidRPr="00DB6C99">
        <w:rPr>
          <w:rFonts w:ascii="Garamond" w:eastAsia="Calibri" w:hAnsi="Garamond" w:cs="Times New Roman"/>
          <w:sz w:val="24"/>
          <w:szCs w:val="24"/>
          <w:lang w:val="en-GB"/>
        </w:rPr>
        <w:t>and</w:t>
      </w:r>
      <w:r w:rsidRPr="00DB6C99">
        <w:rPr>
          <w:rFonts w:ascii="Garamond" w:eastAsia="Calibri" w:hAnsi="Garamond" w:cs="Times New Roman"/>
          <w:sz w:val="24"/>
          <w:szCs w:val="24"/>
          <w:lang w:val="en-GB"/>
        </w:rPr>
        <w:t xml:space="preserve"> Smid, 2019)</w:t>
      </w:r>
      <w:r w:rsidR="00F63B91"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 xml:space="preserve"> policy-practice and mean-ends decoupling (Bromley </w:t>
      </w:r>
      <w:r w:rsidR="00AC23D4" w:rsidRPr="00DB6C99">
        <w:rPr>
          <w:rFonts w:ascii="Garamond" w:eastAsia="Calibri" w:hAnsi="Garamond" w:cs="Times New Roman"/>
          <w:sz w:val="24"/>
          <w:szCs w:val="24"/>
          <w:lang w:val="en-GB"/>
        </w:rPr>
        <w:t>and</w:t>
      </w:r>
      <w:r w:rsidRPr="00DB6C99">
        <w:rPr>
          <w:rFonts w:ascii="Garamond" w:eastAsia="Calibri" w:hAnsi="Garamond" w:cs="Times New Roman"/>
          <w:sz w:val="24"/>
          <w:szCs w:val="24"/>
          <w:lang w:val="en-GB"/>
        </w:rPr>
        <w:t xml:space="preserve"> Powell, 2012). The </w:t>
      </w:r>
      <w:r w:rsidR="00AC23D4" w:rsidRPr="00DB6C99">
        <w:rPr>
          <w:rFonts w:ascii="Garamond" w:eastAsia="Calibri" w:hAnsi="Garamond" w:cs="Times New Roman"/>
          <w:sz w:val="24"/>
          <w:szCs w:val="24"/>
          <w:lang w:val="en-GB"/>
        </w:rPr>
        <w:t xml:space="preserve">former </w:t>
      </w:r>
      <w:r w:rsidRPr="00DB6C99">
        <w:rPr>
          <w:rFonts w:ascii="Garamond" w:eastAsia="Calibri" w:hAnsi="Garamond" w:cs="Times New Roman"/>
          <w:sz w:val="24"/>
          <w:szCs w:val="24"/>
          <w:lang w:val="en-GB"/>
        </w:rPr>
        <w:t>occurs when the relationship between corporate policies and practice is non-existent or inconsistent</w:t>
      </w:r>
      <w:r w:rsidR="00AC23D4"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 xml:space="preserve"> the latter occurs when a policy is implemented with an uncertain relationship to its impacts (Bromley </w:t>
      </w:r>
      <w:r w:rsidR="00AC23D4" w:rsidRPr="00DB6C99">
        <w:rPr>
          <w:rFonts w:ascii="Garamond" w:eastAsia="Calibri" w:hAnsi="Garamond" w:cs="Times New Roman"/>
          <w:sz w:val="24"/>
          <w:szCs w:val="24"/>
          <w:lang w:val="en-GB"/>
        </w:rPr>
        <w:t>and</w:t>
      </w:r>
      <w:r w:rsidRPr="00DB6C99">
        <w:rPr>
          <w:rFonts w:ascii="Garamond" w:eastAsia="Calibri" w:hAnsi="Garamond" w:cs="Times New Roman"/>
          <w:sz w:val="24"/>
          <w:szCs w:val="24"/>
          <w:lang w:val="en-GB"/>
        </w:rPr>
        <w:t xml:space="preserve"> Powell, 2012). CSR decoupling can have severe economic, social and environmental consequences. For instance, </w:t>
      </w:r>
      <w:r w:rsidR="00AC23D4" w:rsidRPr="00DB6C99">
        <w:rPr>
          <w:rFonts w:ascii="Garamond" w:eastAsia="Calibri" w:hAnsi="Garamond" w:cs="Times New Roman"/>
          <w:sz w:val="24"/>
          <w:szCs w:val="24"/>
          <w:lang w:val="en-GB"/>
        </w:rPr>
        <w:t xml:space="preserve">the </w:t>
      </w:r>
      <w:r w:rsidRPr="00DB6C99">
        <w:rPr>
          <w:rFonts w:ascii="Garamond" w:eastAsia="Calibri" w:hAnsi="Garamond" w:cs="Times New Roman"/>
          <w:sz w:val="24"/>
          <w:szCs w:val="24"/>
          <w:lang w:val="en-GB"/>
        </w:rPr>
        <w:t xml:space="preserve">Kia and Hyundai auto manufacturers were fined US$300 million by the US Justice Department and Environmental Protection Agency for overstating their fuel efficiency (Gelles, 2015). </w:t>
      </w:r>
      <w:r w:rsidR="00F63B91" w:rsidRPr="00DB6C99">
        <w:rPr>
          <w:rFonts w:ascii="Garamond" w:eastAsia="Calibri" w:hAnsi="Garamond" w:cs="Times New Roman"/>
          <w:sz w:val="24"/>
          <w:szCs w:val="24"/>
          <w:lang w:val="en-GB"/>
        </w:rPr>
        <w:t>C</w:t>
      </w:r>
      <w:r w:rsidRPr="00DB6C99">
        <w:rPr>
          <w:rFonts w:ascii="Garamond" w:eastAsia="Calibri" w:hAnsi="Garamond" w:cs="Times New Roman"/>
          <w:sz w:val="24"/>
          <w:szCs w:val="24"/>
          <w:lang w:val="en-GB"/>
        </w:rPr>
        <w:t xml:space="preserve">ompanies can also face negative outcomes in the form of low CSR ratings (Doh </w:t>
      </w:r>
      <w:r w:rsidRPr="00DB6C99">
        <w:rPr>
          <w:rFonts w:ascii="Garamond" w:eastAsia="Calibri" w:hAnsi="Garamond" w:cs="Times New Roman"/>
          <w:i/>
          <w:sz w:val="24"/>
          <w:szCs w:val="24"/>
          <w:lang w:val="en-GB"/>
        </w:rPr>
        <w:t>et al</w:t>
      </w:r>
      <w:r w:rsidRPr="00DB6C99">
        <w:rPr>
          <w:rFonts w:ascii="Garamond" w:eastAsia="Calibri" w:hAnsi="Garamond" w:cs="Times New Roman"/>
          <w:iCs/>
          <w:sz w:val="24"/>
          <w:szCs w:val="24"/>
          <w:lang w:val="en-GB"/>
        </w:rPr>
        <w:t xml:space="preserve">., </w:t>
      </w:r>
      <w:r w:rsidRPr="00DB6C99">
        <w:rPr>
          <w:rFonts w:ascii="Garamond" w:eastAsia="Calibri" w:hAnsi="Garamond" w:cs="Times New Roman"/>
          <w:sz w:val="24"/>
          <w:szCs w:val="24"/>
          <w:lang w:val="en-GB"/>
        </w:rPr>
        <w:t xml:space="preserve">2010). By extension, decoupling can result in a legitimacy façade whereby the firm may lose external legitimacy in the eyes of stakeholders for not being honest and committed to stated ethical standards (MacLean </w:t>
      </w:r>
      <w:r w:rsidR="00AC23D4" w:rsidRPr="00DB6C99">
        <w:rPr>
          <w:rFonts w:ascii="Garamond" w:eastAsia="Calibri" w:hAnsi="Garamond" w:cs="Times New Roman"/>
          <w:sz w:val="24"/>
          <w:szCs w:val="24"/>
          <w:lang w:val="en-GB"/>
        </w:rPr>
        <w:t>and</w:t>
      </w:r>
      <w:r w:rsidRPr="00DB6C99">
        <w:rPr>
          <w:rFonts w:ascii="Garamond" w:eastAsia="Calibri" w:hAnsi="Garamond" w:cs="Times New Roman"/>
          <w:sz w:val="24"/>
          <w:szCs w:val="24"/>
          <w:lang w:val="en-GB"/>
        </w:rPr>
        <w:t xml:space="preserve"> Behnam, 2010). Finally, empirical evidence suggests that CSR decoupling results in increased analyst forecast error, greater cost of capital and reduced access </w:t>
      </w:r>
      <w:r w:rsidR="00AC23D4" w:rsidRPr="00DB6C99">
        <w:rPr>
          <w:rFonts w:ascii="Garamond" w:eastAsia="Calibri" w:hAnsi="Garamond" w:cs="Times New Roman"/>
          <w:sz w:val="24"/>
          <w:szCs w:val="24"/>
          <w:lang w:val="en-GB"/>
        </w:rPr>
        <w:t xml:space="preserve">to </w:t>
      </w:r>
      <w:r w:rsidRPr="00DB6C99">
        <w:rPr>
          <w:rFonts w:ascii="Garamond" w:eastAsia="Calibri" w:hAnsi="Garamond" w:cs="Times New Roman"/>
          <w:sz w:val="24"/>
          <w:szCs w:val="24"/>
          <w:lang w:val="en-GB"/>
        </w:rPr>
        <w:t>finance (Garc</w:t>
      </w:r>
      <w:r w:rsidR="005A2DF4" w:rsidRPr="00DB6C99">
        <w:rPr>
          <w:rFonts w:ascii="Garamond" w:eastAsia="Calibri" w:hAnsi="Garamond" w:cs="Times New Roman"/>
          <w:sz w:val="24"/>
          <w:szCs w:val="24"/>
          <w:lang w:val="en-GB"/>
        </w:rPr>
        <w:t>í</w:t>
      </w:r>
      <w:r w:rsidRPr="00DB6C99">
        <w:rPr>
          <w:rFonts w:ascii="Garamond" w:eastAsia="Calibri" w:hAnsi="Garamond" w:cs="Times New Roman"/>
          <w:sz w:val="24"/>
          <w:szCs w:val="24"/>
          <w:lang w:val="en-GB"/>
        </w:rPr>
        <w:t xml:space="preserve">a-Sánchez </w:t>
      </w:r>
      <w:r w:rsidRPr="00DB6C99">
        <w:rPr>
          <w:rFonts w:ascii="Garamond" w:eastAsia="Calibri" w:hAnsi="Garamond" w:cs="Times New Roman"/>
          <w:i/>
          <w:sz w:val="24"/>
          <w:szCs w:val="24"/>
          <w:lang w:val="en-GB"/>
        </w:rPr>
        <w:t>et al</w:t>
      </w:r>
      <w:r w:rsidRPr="00DB6C99">
        <w:rPr>
          <w:rFonts w:ascii="Garamond" w:eastAsia="Calibri" w:hAnsi="Garamond" w:cs="Times New Roman"/>
          <w:iCs/>
          <w:sz w:val="24"/>
          <w:szCs w:val="24"/>
          <w:lang w:val="en-GB"/>
        </w:rPr>
        <w:t>.,</w:t>
      </w:r>
      <w:r w:rsidRPr="00DB6C99">
        <w:rPr>
          <w:rFonts w:ascii="Garamond" w:eastAsia="Calibri" w:hAnsi="Garamond" w:cs="Times New Roman"/>
          <w:sz w:val="24"/>
          <w:szCs w:val="24"/>
          <w:lang w:val="en-GB"/>
        </w:rPr>
        <w:t xml:space="preserve"> 2020). Collectively, CSR decoupling is value destroying for firms a</w:t>
      </w:r>
      <w:r w:rsidR="00F63B91" w:rsidRPr="00DB6C99">
        <w:rPr>
          <w:rFonts w:ascii="Garamond" w:eastAsia="Calibri" w:hAnsi="Garamond" w:cs="Times New Roman"/>
          <w:sz w:val="24"/>
          <w:szCs w:val="24"/>
          <w:lang w:val="en-GB"/>
        </w:rPr>
        <w:t>nd</w:t>
      </w:r>
      <w:r w:rsidRPr="00DB6C99">
        <w:rPr>
          <w:rFonts w:ascii="Garamond" w:eastAsia="Calibri" w:hAnsi="Garamond" w:cs="Times New Roman"/>
          <w:sz w:val="24"/>
          <w:szCs w:val="24"/>
          <w:lang w:val="en-GB"/>
        </w:rPr>
        <w:t xml:space="preserve"> stakeholders. </w:t>
      </w:r>
    </w:p>
    <w:p w14:paraId="7E139C4B" w14:textId="439D6AFE" w:rsidR="004A1788" w:rsidRPr="00DB6C99" w:rsidRDefault="004A1788" w:rsidP="004A1788">
      <w:pPr>
        <w:spacing w:line="360" w:lineRule="auto"/>
        <w:jc w:val="both"/>
        <w:rPr>
          <w:rFonts w:ascii="Garamond" w:eastAsia="Calibri" w:hAnsi="Garamond" w:cs="Times New Roman"/>
          <w:b/>
          <w:i/>
          <w:sz w:val="24"/>
          <w:szCs w:val="24"/>
          <w:lang w:val="en-GB"/>
        </w:rPr>
      </w:pPr>
      <w:r w:rsidRPr="00DB6C99">
        <w:rPr>
          <w:rFonts w:ascii="Garamond" w:eastAsia="Calibri" w:hAnsi="Garamond" w:cs="Times New Roman"/>
          <w:b/>
          <w:i/>
          <w:sz w:val="24"/>
          <w:szCs w:val="24"/>
          <w:lang w:val="en-GB"/>
        </w:rPr>
        <w:t>B</w:t>
      </w:r>
      <w:r w:rsidR="00577A03" w:rsidRPr="00DB6C99">
        <w:rPr>
          <w:rFonts w:ascii="Garamond" w:eastAsia="Calibri" w:hAnsi="Garamond" w:cs="Times New Roman"/>
          <w:b/>
          <w:i/>
          <w:sz w:val="24"/>
          <w:szCs w:val="24"/>
          <w:lang w:val="en-GB"/>
        </w:rPr>
        <w:t>GD</w:t>
      </w:r>
      <w:r w:rsidRPr="00DB6C99">
        <w:rPr>
          <w:rFonts w:ascii="Garamond" w:eastAsia="Calibri" w:hAnsi="Garamond" w:cs="Times New Roman"/>
          <w:b/>
          <w:i/>
          <w:sz w:val="24"/>
          <w:szCs w:val="24"/>
          <w:lang w:val="en-GB"/>
        </w:rPr>
        <w:t xml:space="preserve"> and CSR decoupling</w:t>
      </w:r>
    </w:p>
    <w:p w14:paraId="515FD79D" w14:textId="1BBF8D93" w:rsidR="004A1788" w:rsidRPr="00DB6C99" w:rsidRDefault="004A1788" w:rsidP="004A1788">
      <w:pPr>
        <w:spacing w:line="360" w:lineRule="auto"/>
        <w:ind w:firstLine="720"/>
        <w:jc w:val="both"/>
        <w:rPr>
          <w:rFonts w:ascii="Garamond" w:eastAsia="Calibri" w:hAnsi="Garamond" w:cs="Times New Roman"/>
          <w:sz w:val="24"/>
          <w:szCs w:val="24"/>
          <w:lang w:val="en-GB"/>
        </w:rPr>
      </w:pPr>
      <w:r w:rsidRPr="00DB6C99">
        <w:rPr>
          <w:rFonts w:ascii="Garamond" w:eastAsia="Calibri" w:hAnsi="Garamond" w:cs="Times New Roman"/>
          <w:sz w:val="24"/>
          <w:szCs w:val="24"/>
          <w:lang w:val="en-GB"/>
        </w:rPr>
        <w:t xml:space="preserve">Recent legislative initiatives have attracted enormous academic attention to investigating the business case </w:t>
      </w:r>
      <w:r w:rsidR="000202E5" w:rsidRPr="00DB6C99">
        <w:rPr>
          <w:rFonts w:ascii="Garamond" w:eastAsia="Calibri" w:hAnsi="Garamond" w:cs="Times New Roman"/>
          <w:sz w:val="24"/>
          <w:szCs w:val="24"/>
          <w:lang w:val="en-GB"/>
        </w:rPr>
        <w:t>for</w:t>
      </w:r>
      <w:r w:rsidRPr="00DB6C99">
        <w:rPr>
          <w:rFonts w:ascii="Garamond" w:eastAsia="Calibri" w:hAnsi="Garamond" w:cs="Times New Roman"/>
          <w:sz w:val="24"/>
          <w:szCs w:val="24"/>
          <w:lang w:val="en-GB"/>
        </w:rPr>
        <w:t xml:space="preserve"> BGD</w:t>
      </w:r>
      <w:r w:rsidR="000202E5"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 xml:space="preserve"> i.e., whether or not BGD is value relevant (Nadeem, 2020). Existing studies can be divided into two broad categories: studies examining </w:t>
      </w:r>
      <w:r w:rsidRPr="00DB6C99">
        <w:rPr>
          <w:rFonts w:ascii="Garamond" w:eastAsia="Calibri" w:hAnsi="Garamond" w:cs="Times New Roman"/>
          <w:iCs/>
          <w:sz w:val="24"/>
          <w:szCs w:val="24"/>
          <w:lang w:val="en-GB"/>
        </w:rPr>
        <w:t>(a)</w:t>
      </w:r>
      <w:r w:rsidRPr="00DB6C99">
        <w:rPr>
          <w:rFonts w:ascii="Garamond" w:eastAsia="Calibri" w:hAnsi="Garamond" w:cs="Times New Roman"/>
          <w:sz w:val="24"/>
          <w:szCs w:val="24"/>
          <w:lang w:val="en-GB"/>
        </w:rPr>
        <w:t xml:space="preserve"> the risk and return implications and </w:t>
      </w:r>
      <w:r w:rsidRPr="00DB6C99">
        <w:rPr>
          <w:rFonts w:ascii="Garamond" w:eastAsia="Calibri" w:hAnsi="Garamond" w:cs="Times New Roman"/>
          <w:iCs/>
          <w:sz w:val="24"/>
          <w:szCs w:val="24"/>
          <w:lang w:val="en-GB"/>
        </w:rPr>
        <w:t>(b)</w:t>
      </w:r>
      <w:r w:rsidRPr="00DB6C99">
        <w:rPr>
          <w:rFonts w:ascii="Garamond" w:eastAsia="Calibri" w:hAnsi="Garamond" w:cs="Times New Roman"/>
          <w:sz w:val="24"/>
          <w:szCs w:val="24"/>
          <w:lang w:val="en-GB"/>
        </w:rPr>
        <w:t xml:space="preserve"> the non-financial implications of BGD. Whilst inconclusive evidence exists regarding the association between BGD and a firm’s financial performance and risk</w:t>
      </w:r>
      <w:r w:rsidRPr="00DB6C99" w:rsidDel="005F7388">
        <w:rPr>
          <w:rFonts w:ascii="Garamond" w:eastAsia="Calibri" w:hAnsi="Garamond" w:cs="Times New Roman"/>
          <w:sz w:val="24"/>
          <w:szCs w:val="24"/>
          <w:lang w:val="en-GB"/>
        </w:rPr>
        <w:t xml:space="preserve"> </w:t>
      </w:r>
      <w:r w:rsidRPr="00DB6C99">
        <w:rPr>
          <w:rFonts w:ascii="Garamond" w:eastAsia="Calibri" w:hAnsi="Garamond" w:cs="Times New Roman"/>
          <w:sz w:val="24"/>
          <w:szCs w:val="24"/>
          <w:lang w:val="en-GB"/>
        </w:rPr>
        <w:t xml:space="preserve">(e.g., </w:t>
      </w:r>
      <w:r w:rsidR="000202E5" w:rsidRPr="00DB6C99">
        <w:rPr>
          <w:rFonts w:ascii="Garamond" w:eastAsia="Calibri" w:hAnsi="Garamond" w:cs="Times New Roman"/>
          <w:sz w:val="24"/>
          <w:szCs w:val="24"/>
          <w:lang w:val="en-GB"/>
        </w:rPr>
        <w:t xml:space="preserve">Lara </w:t>
      </w:r>
      <w:r w:rsidR="000202E5" w:rsidRPr="00DB6C99">
        <w:rPr>
          <w:rFonts w:ascii="Garamond" w:eastAsia="Calibri" w:hAnsi="Garamond" w:cs="Times New Roman"/>
          <w:i/>
          <w:sz w:val="24"/>
          <w:szCs w:val="24"/>
          <w:lang w:val="en-GB"/>
        </w:rPr>
        <w:t>et al</w:t>
      </w:r>
      <w:r w:rsidR="000202E5" w:rsidRPr="00DB6C99">
        <w:rPr>
          <w:rFonts w:ascii="Garamond" w:eastAsia="Calibri" w:hAnsi="Garamond" w:cs="Times New Roman"/>
          <w:iCs/>
          <w:sz w:val="24"/>
          <w:szCs w:val="24"/>
          <w:lang w:val="en-GB"/>
        </w:rPr>
        <w:t xml:space="preserve">., </w:t>
      </w:r>
      <w:r w:rsidR="000202E5" w:rsidRPr="00DB6C99">
        <w:rPr>
          <w:rFonts w:ascii="Garamond" w:eastAsia="Calibri" w:hAnsi="Garamond" w:cs="Times New Roman"/>
          <w:sz w:val="24"/>
          <w:szCs w:val="24"/>
          <w:lang w:val="en-GB"/>
        </w:rPr>
        <w:t xml:space="preserve">2017; </w:t>
      </w:r>
      <w:r w:rsidRPr="00DB6C99">
        <w:rPr>
          <w:rFonts w:ascii="Garamond" w:eastAsia="Calibri" w:hAnsi="Garamond" w:cs="Times New Roman"/>
          <w:sz w:val="24"/>
          <w:szCs w:val="24"/>
          <w:lang w:val="en-GB"/>
        </w:rPr>
        <w:t>Levi</w:t>
      </w:r>
      <w:r w:rsidR="00F5602F" w:rsidRPr="00DB6C99">
        <w:rPr>
          <w:rFonts w:ascii="Garamond" w:eastAsia="Calibri" w:hAnsi="Garamond" w:cs="Times New Roman"/>
          <w:sz w:val="24"/>
          <w:szCs w:val="24"/>
          <w:lang w:val="en-GB"/>
        </w:rPr>
        <w:t>, Li and Zhang</w:t>
      </w:r>
      <w:r w:rsidRPr="00DB6C99">
        <w:rPr>
          <w:rFonts w:ascii="Garamond" w:eastAsia="Calibri" w:hAnsi="Garamond" w:cs="Times New Roman"/>
          <w:sz w:val="24"/>
          <w:szCs w:val="24"/>
          <w:lang w:val="en-GB"/>
        </w:rPr>
        <w:t>, 2014; Sila</w:t>
      </w:r>
      <w:r w:rsidR="005A2DF4" w:rsidRPr="00DB6C99">
        <w:rPr>
          <w:rFonts w:ascii="Garamond" w:eastAsia="Calibri" w:hAnsi="Garamond" w:cs="Times New Roman"/>
          <w:sz w:val="24"/>
          <w:szCs w:val="24"/>
          <w:lang w:val="en-GB"/>
        </w:rPr>
        <w:t>, Gonzalez and Hagendorff</w:t>
      </w:r>
      <w:r w:rsidRPr="00DB6C99">
        <w:rPr>
          <w:rFonts w:ascii="Garamond" w:eastAsia="Calibri" w:hAnsi="Garamond" w:cs="Times New Roman"/>
          <w:iCs/>
          <w:sz w:val="24"/>
          <w:szCs w:val="24"/>
          <w:lang w:val="en-GB"/>
        </w:rPr>
        <w:t xml:space="preserve">, </w:t>
      </w:r>
      <w:r w:rsidRPr="00DB6C99">
        <w:rPr>
          <w:rFonts w:ascii="Garamond" w:eastAsia="Calibri" w:hAnsi="Garamond" w:cs="Times New Roman"/>
          <w:sz w:val="24"/>
          <w:szCs w:val="24"/>
          <w:lang w:val="en-GB"/>
        </w:rPr>
        <w:t>2016), the majority of studies on non-financial implications concur that BGD is positively associat</w:t>
      </w:r>
      <w:r w:rsidR="00F3506E" w:rsidRPr="00DB6C99">
        <w:rPr>
          <w:rFonts w:ascii="Garamond" w:eastAsia="Calibri" w:hAnsi="Garamond" w:cs="Times New Roman"/>
          <w:sz w:val="24"/>
          <w:szCs w:val="24"/>
          <w:lang w:val="en-GB"/>
        </w:rPr>
        <w:t xml:space="preserve">ed with CSR performance (e.g., </w:t>
      </w:r>
      <w:r w:rsidR="000202E5" w:rsidRPr="00DB6C99">
        <w:rPr>
          <w:rFonts w:ascii="Garamond" w:eastAsia="Calibri" w:hAnsi="Garamond" w:cs="Times New Roman"/>
          <w:sz w:val="24"/>
          <w:szCs w:val="24"/>
          <w:lang w:val="en-GB"/>
        </w:rPr>
        <w:t xml:space="preserve">Atif </w:t>
      </w:r>
      <w:r w:rsidR="000202E5" w:rsidRPr="00DB6C99">
        <w:rPr>
          <w:rFonts w:ascii="Garamond" w:eastAsia="Calibri" w:hAnsi="Garamond" w:cs="Times New Roman"/>
          <w:i/>
          <w:sz w:val="24"/>
          <w:szCs w:val="24"/>
          <w:lang w:val="en-GB"/>
        </w:rPr>
        <w:t>et al</w:t>
      </w:r>
      <w:r w:rsidR="000202E5" w:rsidRPr="00DB6C99">
        <w:rPr>
          <w:rFonts w:ascii="Garamond" w:eastAsia="Calibri" w:hAnsi="Garamond" w:cs="Times New Roman"/>
          <w:iCs/>
          <w:sz w:val="24"/>
          <w:szCs w:val="24"/>
          <w:lang w:val="en-GB"/>
        </w:rPr>
        <w:t xml:space="preserve">., </w:t>
      </w:r>
      <w:r w:rsidR="000202E5" w:rsidRPr="00DB6C99">
        <w:rPr>
          <w:rFonts w:ascii="Garamond" w:eastAsia="Calibri" w:hAnsi="Garamond" w:cs="Times New Roman"/>
          <w:sz w:val="24"/>
          <w:szCs w:val="24"/>
          <w:lang w:val="en-GB"/>
        </w:rPr>
        <w:t xml:space="preserve">2020; </w:t>
      </w:r>
      <w:r w:rsidRPr="00DB6C99">
        <w:rPr>
          <w:rFonts w:ascii="Garamond" w:eastAsia="Calibri" w:hAnsi="Garamond" w:cs="Times New Roman"/>
          <w:sz w:val="24"/>
          <w:szCs w:val="24"/>
          <w:lang w:val="en-GB"/>
        </w:rPr>
        <w:t>Post</w:t>
      </w:r>
      <w:r w:rsidR="005C7218" w:rsidRPr="00DB6C99">
        <w:rPr>
          <w:rFonts w:ascii="Garamond" w:eastAsia="Calibri" w:hAnsi="Garamond" w:cs="Times New Roman"/>
          <w:sz w:val="24"/>
          <w:szCs w:val="24"/>
          <w:lang w:val="en-GB"/>
        </w:rPr>
        <w:t>, Rahman and Rubow</w:t>
      </w:r>
      <w:r w:rsidRPr="00DB6C99">
        <w:rPr>
          <w:rFonts w:ascii="Garamond" w:eastAsia="Calibri" w:hAnsi="Garamond" w:cs="Times New Roman"/>
          <w:iCs/>
          <w:sz w:val="24"/>
          <w:szCs w:val="24"/>
          <w:lang w:val="en-GB"/>
        </w:rPr>
        <w:t xml:space="preserve">, </w:t>
      </w:r>
      <w:r w:rsidRPr="00DB6C99">
        <w:rPr>
          <w:rFonts w:ascii="Garamond" w:eastAsia="Calibri" w:hAnsi="Garamond" w:cs="Times New Roman"/>
          <w:sz w:val="24"/>
          <w:szCs w:val="24"/>
          <w:lang w:val="en-GB"/>
        </w:rPr>
        <w:t xml:space="preserve">2011) and CSR disclosures (e.g., </w:t>
      </w:r>
      <w:r w:rsidR="000202E5" w:rsidRPr="00DB6C99">
        <w:rPr>
          <w:rFonts w:ascii="Garamond" w:eastAsia="Calibri" w:hAnsi="Garamond" w:cs="Times New Roman"/>
          <w:sz w:val="24"/>
          <w:szCs w:val="24"/>
          <w:lang w:val="en-GB"/>
        </w:rPr>
        <w:t>Hussain</w:t>
      </w:r>
      <w:r w:rsidR="00DF1957" w:rsidRPr="00DB6C99">
        <w:rPr>
          <w:rFonts w:ascii="Garamond" w:eastAsia="Calibri" w:hAnsi="Garamond" w:cs="Times New Roman"/>
          <w:sz w:val="24"/>
          <w:szCs w:val="24"/>
          <w:lang w:val="en-GB"/>
        </w:rPr>
        <w:t>, Rigoni and Orij</w:t>
      </w:r>
      <w:r w:rsidR="000202E5" w:rsidRPr="00DB6C99">
        <w:rPr>
          <w:rFonts w:ascii="Garamond" w:eastAsia="Calibri" w:hAnsi="Garamond" w:cs="Times New Roman"/>
          <w:iCs/>
          <w:sz w:val="24"/>
          <w:szCs w:val="24"/>
          <w:lang w:val="en-GB"/>
        </w:rPr>
        <w:t xml:space="preserve">, </w:t>
      </w:r>
      <w:r w:rsidR="000202E5" w:rsidRPr="00DB6C99">
        <w:rPr>
          <w:rFonts w:ascii="Garamond" w:eastAsia="Calibri" w:hAnsi="Garamond" w:cs="Times New Roman"/>
          <w:sz w:val="24"/>
          <w:szCs w:val="24"/>
          <w:lang w:val="en-GB"/>
        </w:rPr>
        <w:t>2018; Liao</w:t>
      </w:r>
      <w:r w:rsidR="00F5602F" w:rsidRPr="00DB6C99">
        <w:rPr>
          <w:rFonts w:ascii="Garamond" w:eastAsia="Calibri" w:hAnsi="Garamond" w:cs="Times New Roman"/>
          <w:sz w:val="24"/>
          <w:szCs w:val="24"/>
          <w:lang w:val="en-GB"/>
        </w:rPr>
        <w:t>, Luo and Tang</w:t>
      </w:r>
      <w:r w:rsidR="000202E5" w:rsidRPr="00DB6C99">
        <w:rPr>
          <w:rFonts w:ascii="Garamond" w:eastAsia="Calibri" w:hAnsi="Garamond" w:cs="Times New Roman"/>
          <w:iCs/>
          <w:sz w:val="24"/>
          <w:szCs w:val="24"/>
          <w:lang w:val="en-GB"/>
        </w:rPr>
        <w:t>,</w:t>
      </w:r>
      <w:r w:rsidR="000202E5" w:rsidRPr="00DB6C99">
        <w:rPr>
          <w:rFonts w:ascii="Garamond" w:eastAsia="Calibri" w:hAnsi="Garamond" w:cs="Times New Roman"/>
          <w:sz w:val="24"/>
          <w:szCs w:val="24"/>
          <w:lang w:val="en-GB"/>
        </w:rPr>
        <w:t xml:space="preserve"> 2015; </w:t>
      </w:r>
      <w:r w:rsidRPr="00DB6C99">
        <w:rPr>
          <w:rFonts w:ascii="Garamond" w:eastAsia="Calibri" w:hAnsi="Garamond" w:cs="Times New Roman"/>
          <w:sz w:val="24"/>
          <w:szCs w:val="24"/>
          <w:lang w:val="en-GB"/>
        </w:rPr>
        <w:t>Rupley</w:t>
      </w:r>
      <w:r w:rsidR="005A2DF4" w:rsidRPr="00DB6C99">
        <w:rPr>
          <w:rFonts w:ascii="Garamond" w:eastAsia="Calibri" w:hAnsi="Garamond" w:cs="Times New Roman"/>
          <w:sz w:val="24"/>
          <w:szCs w:val="24"/>
          <w:lang w:val="en-GB"/>
        </w:rPr>
        <w:t>, Brown and Marshall</w:t>
      </w:r>
      <w:r w:rsidRPr="00DB6C99">
        <w:rPr>
          <w:rFonts w:ascii="Garamond" w:eastAsia="Calibri" w:hAnsi="Garamond" w:cs="Times New Roman"/>
          <w:iCs/>
          <w:sz w:val="24"/>
          <w:szCs w:val="24"/>
          <w:lang w:val="en-GB"/>
        </w:rPr>
        <w:t>,</w:t>
      </w:r>
      <w:r w:rsidRPr="00DB6C99">
        <w:rPr>
          <w:rFonts w:ascii="Garamond" w:eastAsia="Calibri" w:hAnsi="Garamond" w:cs="Times New Roman"/>
          <w:sz w:val="24"/>
          <w:szCs w:val="24"/>
          <w:lang w:val="en-GB"/>
        </w:rPr>
        <w:t xml:space="preserve"> 2012; Zaman </w:t>
      </w:r>
      <w:r w:rsidRPr="00DB6C99">
        <w:rPr>
          <w:rFonts w:ascii="Garamond" w:eastAsia="Calibri" w:hAnsi="Garamond" w:cs="Times New Roman"/>
          <w:i/>
          <w:sz w:val="24"/>
          <w:szCs w:val="24"/>
          <w:lang w:val="en-GB"/>
        </w:rPr>
        <w:t>et al</w:t>
      </w:r>
      <w:r w:rsidRPr="00DB6C99">
        <w:rPr>
          <w:rFonts w:ascii="Garamond" w:eastAsia="Calibri" w:hAnsi="Garamond" w:cs="Times New Roman"/>
          <w:iCs/>
          <w:sz w:val="24"/>
          <w:szCs w:val="24"/>
          <w:lang w:val="en-GB"/>
        </w:rPr>
        <w:t xml:space="preserve">., </w:t>
      </w:r>
      <w:r w:rsidRPr="00DB6C99">
        <w:rPr>
          <w:rFonts w:ascii="Garamond" w:eastAsia="Calibri" w:hAnsi="Garamond" w:cs="Times New Roman"/>
          <w:sz w:val="24"/>
          <w:szCs w:val="24"/>
          <w:lang w:val="en-GB"/>
        </w:rPr>
        <w:t>2020).</w:t>
      </w:r>
    </w:p>
    <w:p w14:paraId="64DF914D" w14:textId="1AD9A706" w:rsidR="004A1788" w:rsidRPr="00DB6C99" w:rsidRDefault="000202E5" w:rsidP="004A1788">
      <w:pPr>
        <w:spacing w:line="360" w:lineRule="auto"/>
        <w:ind w:firstLine="720"/>
        <w:jc w:val="both"/>
        <w:rPr>
          <w:rFonts w:ascii="Garamond" w:eastAsia="Calibri" w:hAnsi="Garamond" w:cs="Times New Roman"/>
          <w:sz w:val="24"/>
          <w:szCs w:val="24"/>
          <w:lang w:val="en-GB"/>
        </w:rPr>
      </w:pPr>
      <w:r w:rsidRPr="00DB6C99">
        <w:rPr>
          <w:rFonts w:ascii="Garamond" w:eastAsia="Calibri" w:hAnsi="Garamond" w:cs="Times New Roman"/>
          <w:sz w:val="24"/>
          <w:szCs w:val="24"/>
          <w:lang w:val="en-GB"/>
        </w:rPr>
        <w:t>R</w:t>
      </w:r>
      <w:r w:rsidR="004A1788" w:rsidRPr="00DB6C99">
        <w:rPr>
          <w:rFonts w:ascii="Garamond" w:eastAsia="Calibri" w:hAnsi="Garamond" w:cs="Times New Roman"/>
          <w:sz w:val="24"/>
          <w:szCs w:val="24"/>
          <w:lang w:val="en-GB"/>
        </w:rPr>
        <w:t>esearch on the CSR implications of BGD is often built on the premise that men and women differ because of their early gender socialization, i.e., a different orientation toward</w:t>
      </w:r>
      <w:r w:rsidRPr="00DB6C99">
        <w:rPr>
          <w:rFonts w:ascii="Garamond" w:eastAsia="Calibri" w:hAnsi="Garamond" w:cs="Times New Roman"/>
          <w:sz w:val="24"/>
          <w:szCs w:val="24"/>
          <w:lang w:val="en-GB"/>
        </w:rPr>
        <w:t>s</w:t>
      </w:r>
      <w:r w:rsidR="004A1788" w:rsidRPr="00DB6C99">
        <w:rPr>
          <w:rFonts w:ascii="Garamond" w:eastAsia="Calibri" w:hAnsi="Garamond" w:cs="Times New Roman"/>
          <w:sz w:val="24"/>
          <w:szCs w:val="24"/>
          <w:lang w:val="en-GB"/>
        </w:rPr>
        <w:t xml:space="preserve"> moral and ethical values </w:t>
      </w:r>
      <w:r w:rsidR="00DA31FE" w:rsidRPr="00DB6C99">
        <w:rPr>
          <w:rFonts w:ascii="Garamond" w:eastAsia="Calibri" w:hAnsi="Garamond" w:cs="Times New Roman"/>
          <w:sz w:val="24"/>
          <w:szCs w:val="24"/>
          <w:lang w:val="en-GB"/>
        </w:rPr>
        <w:t>resulting from</w:t>
      </w:r>
      <w:r w:rsidR="004A1788" w:rsidRPr="00DB6C99">
        <w:rPr>
          <w:rFonts w:ascii="Garamond" w:eastAsia="Calibri" w:hAnsi="Garamond" w:cs="Times New Roman"/>
          <w:sz w:val="24"/>
          <w:szCs w:val="24"/>
          <w:lang w:val="en-GB"/>
        </w:rPr>
        <w:t xml:space="preserve"> </w:t>
      </w:r>
      <w:r w:rsidR="00AD2FCE" w:rsidRPr="00DB6C99">
        <w:rPr>
          <w:rFonts w:ascii="Garamond" w:eastAsia="Calibri" w:hAnsi="Garamond" w:cs="Times New Roman"/>
          <w:sz w:val="24"/>
          <w:szCs w:val="24"/>
          <w:lang w:val="en-GB"/>
        </w:rPr>
        <w:t xml:space="preserve">social interactions during </w:t>
      </w:r>
      <w:r w:rsidR="004A1788" w:rsidRPr="00DB6C99">
        <w:rPr>
          <w:rFonts w:ascii="Garamond" w:eastAsia="Calibri" w:hAnsi="Garamond" w:cs="Times New Roman"/>
          <w:sz w:val="24"/>
          <w:szCs w:val="24"/>
          <w:lang w:val="en-GB"/>
        </w:rPr>
        <w:t>their early experiences and upbringing (Gilligan 1977</w:t>
      </w:r>
      <w:r w:rsidR="00AD2FCE" w:rsidRPr="00DB6C99">
        <w:rPr>
          <w:rFonts w:ascii="Garamond" w:eastAsia="Calibri" w:hAnsi="Garamond" w:cs="Times New Roman"/>
          <w:sz w:val="24"/>
          <w:szCs w:val="24"/>
          <w:lang w:val="en-GB"/>
        </w:rPr>
        <w:t>,</w:t>
      </w:r>
      <w:r w:rsidR="004A1788" w:rsidRPr="00DB6C99">
        <w:rPr>
          <w:rFonts w:ascii="Garamond" w:eastAsia="Calibri" w:hAnsi="Garamond" w:cs="Times New Roman"/>
          <w:sz w:val="24"/>
          <w:szCs w:val="24"/>
          <w:lang w:val="en-GB"/>
        </w:rPr>
        <w:t xml:space="preserve"> 1982; Post</w:t>
      </w:r>
      <w:r w:rsidR="005C7218" w:rsidRPr="00DB6C99">
        <w:rPr>
          <w:rFonts w:ascii="Garamond" w:eastAsia="Calibri" w:hAnsi="Garamond" w:cs="Times New Roman"/>
          <w:sz w:val="24"/>
          <w:szCs w:val="24"/>
          <w:lang w:val="en-GB"/>
        </w:rPr>
        <w:t>, Rahman and Rubow</w:t>
      </w:r>
      <w:r w:rsidR="004A1788" w:rsidRPr="00DB6C99">
        <w:rPr>
          <w:rFonts w:ascii="Garamond" w:eastAsia="Calibri" w:hAnsi="Garamond" w:cs="Times New Roman"/>
          <w:iCs/>
          <w:sz w:val="24"/>
          <w:szCs w:val="24"/>
          <w:lang w:val="en-GB"/>
        </w:rPr>
        <w:t xml:space="preserve">, </w:t>
      </w:r>
      <w:r w:rsidR="004A1788" w:rsidRPr="00DB6C99">
        <w:rPr>
          <w:rFonts w:ascii="Garamond" w:eastAsia="Calibri" w:hAnsi="Garamond" w:cs="Times New Roman"/>
          <w:sz w:val="24"/>
          <w:szCs w:val="24"/>
          <w:lang w:val="en-GB"/>
        </w:rPr>
        <w:t xml:space="preserve">2011). This research suggests that daintiness, affection and expressive language are appropriated for females, </w:t>
      </w:r>
      <w:r w:rsidR="00AD2FCE" w:rsidRPr="00DB6C99">
        <w:rPr>
          <w:rFonts w:ascii="Garamond" w:eastAsia="Calibri" w:hAnsi="Garamond" w:cs="Times New Roman"/>
          <w:sz w:val="24"/>
          <w:szCs w:val="24"/>
          <w:lang w:val="en-GB"/>
        </w:rPr>
        <w:t xml:space="preserve">who </w:t>
      </w:r>
      <w:r w:rsidR="004A1788" w:rsidRPr="00DB6C99">
        <w:rPr>
          <w:rFonts w:ascii="Garamond" w:eastAsia="Calibri" w:hAnsi="Garamond" w:cs="Times New Roman"/>
          <w:sz w:val="24"/>
          <w:szCs w:val="24"/>
          <w:lang w:val="en-GB"/>
        </w:rPr>
        <w:t xml:space="preserve">are socialized into communal values embedded in selflessness, concern for others and ethical sensitivity </w:t>
      </w:r>
      <w:r w:rsidR="00AD2FCE" w:rsidRPr="00DB6C99">
        <w:rPr>
          <w:rFonts w:ascii="Garamond" w:eastAsia="Calibri" w:hAnsi="Garamond" w:cs="Times New Roman"/>
          <w:sz w:val="24"/>
          <w:szCs w:val="24"/>
          <w:lang w:val="en-GB"/>
        </w:rPr>
        <w:t xml:space="preserve">during their formative years </w:t>
      </w:r>
      <w:r w:rsidR="004A1788" w:rsidRPr="00DB6C99">
        <w:rPr>
          <w:rFonts w:ascii="Garamond" w:eastAsia="Calibri" w:hAnsi="Garamond" w:cs="Times New Roman"/>
          <w:sz w:val="24"/>
          <w:szCs w:val="24"/>
          <w:lang w:val="en-GB"/>
        </w:rPr>
        <w:t xml:space="preserve">(Mason </w:t>
      </w:r>
      <w:r w:rsidR="00AD2FCE" w:rsidRPr="00DB6C99">
        <w:rPr>
          <w:rFonts w:ascii="Garamond" w:eastAsia="Calibri" w:hAnsi="Garamond" w:cs="Times New Roman"/>
          <w:sz w:val="24"/>
          <w:szCs w:val="24"/>
          <w:lang w:val="en-GB"/>
        </w:rPr>
        <w:t>and</w:t>
      </w:r>
      <w:r w:rsidR="004A1788" w:rsidRPr="00DB6C99">
        <w:rPr>
          <w:rFonts w:ascii="Garamond" w:eastAsia="Calibri" w:hAnsi="Garamond" w:cs="Times New Roman"/>
          <w:sz w:val="24"/>
          <w:szCs w:val="24"/>
          <w:lang w:val="en-GB"/>
        </w:rPr>
        <w:t xml:space="preserve"> Mudrack, 1996), while males exhibit agentic goals and seek competition and hierarchy (Eagly, 2005). </w:t>
      </w:r>
      <w:r w:rsidR="004A1788" w:rsidRPr="00DB6C99">
        <w:rPr>
          <w:rFonts w:ascii="Garamond" w:eastAsia="Calibri" w:hAnsi="Garamond" w:cs="Times New Roman"/>
          <w:sz w:val="24"/>
          <w:szCs w:val="24"/>
          <w:lang w:val="en-GB"/>
        </w:rPr>
        <w:lastRenderedPageBreak/>
        <w:t xml:space="preserve">Therefore, female directors show more sensitivity to societal welfare (Atif </w:t>
      </w:r>
      <w:r w:rsidR="004A1788" w:rsidRPr="00DB6C99">
        <w:rPr>
          <w:rFonts w:ascii="Garamond" w:eastAsia="Calibri" w:hAnsi="Garamond" w:cs="Times New Roman"/>
          <w:i/>
          <w:sz w:val="24"/>
          <w:szCs w:val="24"/>
          <w:lang w:val="en-GB"/>
        </w:rPr>
        <w:t>et al</w:t>
      </w:r>
      <w:r w:rsidR="004A1788" w:rsidRPr="00DB6C99">
        <w:rPr>
          <w:rFonts w:ascii="Garamond" w:eastAsia="Calibri" w:hAnsi="Garamond" w:cs="Times New Roman"/>
          <w:iCs/>
          <w:sz w:val="24"/>
          <w:szCs w:val="24"/>
          <w:lang w:val="en-GB"/>
        </w:rPr>
        <w:t>.,</w:t>
      </w:r>
      <w:r w:rsidR="004A1788" w:rsidRPr="00DB6C99">
        <w:rPr>
          <w:rFonts w:ascii="Garamond" w:eastAsia="Calibri" w:hAnsi="Garamond" w:cs="Times New Roman"/>
          <w:sz w:val="24"/>
          <w:szCs w:val="24"/>
          <w:lang w:val="en-GB"/>
        </w:rPr>
        <w:t xml:space="preserve"> 2020) and are better at managing stakeholder relationships (McGuinness</w:t>
      </w:r>
      <w:r w:rsidR="008C5670" w:rsidRPr="00DB6C99">
        <w:rPr>
          <w:rFonts w:ascii="Garamond" w:eastAsia="Calibri" w:hAnsi="Garamond" w:cs="Times New Roman"/>
          <w:sz w:val="24"/>
          <w:szCs w:val="24"/>
          <w:lang w:val="en-GB"/>
        </w:rPr>
        <w:t>, Vieito and Wang</w:t>
      </w:r>
      <w:r w:rsidR="004A1788" w:rsidRPr="00DB6C99">
        <w:rPr>
          <w:rFonts w:ascii="Garamond" w:eastAsia="Calibri" w:hAnsi="Garamond" w:cs="Times New Roman"/>
          <w:iCs/>
          <w:sz w:val="24"/>
          <w:szCs w:val="24"/>
          <w:lang w:val="en-GB"/>
        </w:rPr>
        <w:t xml:space="preserve">, </w:t>
      </w:r>
      <w:r w:rsidR="004A1788" w:rsidRPr="00DB6C99">
        <w:rPr>
          <w:rFonts w:ascii="Garamond" w:eastAsia="Calibri" w:hAnsi="Garamond" w:cs="Times New Roman"/>
          <w:sz w:val="24"/>
          <w:szCs w:val="24"/>
          <w:lang w:val="en-GB"/>
        </w:rPr>
        <w:t xml:space="preserve">2017). </w:t>
      </w:r>
    </w:p>
    <w:p w14:paraId="6FD62D0F" w14:textId="56E74494" w:rsidR="004A1788" w:rsidRPr="00DB6C99" w:rsidRDefault="00DA31FE" w:rsidP="004A1788">
      <w:pPr>
        <w:spacing w:line="360" w:lineRule="auto"/>
        <w:ind w:firstLine="720"/>
        <w:jc w:val="both"/>
        <w:rPr>
          <w:rFonts w:ascii="Garamond" w:eastAsia="Calibri" w:hAnsi="Garamond" w:cs="Times New Roman"/>
          <w:sz w:val="24"/>
          <w:szCs w:val="24"/>
          <w:lang w:val="en-GB"/>
        </w:rPr>
      </w:pPr>
      <w:r w:rsidRPr="00DB6C99">
        <w:rPr>
          <w:rFonts w:ascii="Garamond" w:eastAsia="Calibri" w:hAnsi="Garamond" w:cs="Times New Roman"/>
          <w:sz w:val="24"/>
          <w:szCs w:val="24"/>
          <w:lang w:val="en-GB"/>
        </w:rPr>
        <w:t xml:space="preserve">Female directors’ </w:t>
      </w:r>
      <w:r w:rsidR="004A1788" w:rsidRPr="00DB6C99">
        <w:rPr>
          <w:rFonts w:ascii="Garamond" w:eastAsia="Calibri" w:hAnsi="Garamond" w:cs="Times New Roman"/>
          <w:sz w:val="24"/>
          <w:szCs w:val="24"/>
          <w:lang w:val="en-GB"/>
        </w:rPr>
        <w:t>attention to stakeholders is not limited to their empathetic and ethical nature; their monitoring role is also crucial. Boards of directors perform two main functions, i.e., advis</w:t>
      </w:r>
      <w:r w:rsidR="00AD2FCE" w:rsidRPr="00DB6C99">
        <w:rPr>
          <w:rFonts w:ascii="Garamond" w:eastAsia="Calibri" w:hAnsi="Garamond" w:cs="Times New Roman"/>
          <w:sz w:val="24"/>
          <w:szCs w:val="24"/>
          <w:lang w:val="en-GB"/>
        </w:rPr>
        <w:t>ing</w:t>
      </w:r>
      <w:r w:rsidR="004A1788" w:rsidRPr="00DB6C99">
        <w:rPr>
          <w:rFonts w:ascii="Garamond" w:eastAsia="Calibri" w:hAnsi="Garamond" w:cs="Times New Roman"/>
          <w:sz w:val="24"/>
          <w:szCs w:val="24"/>
          <w:lang w:val="en-GB"/>
        </w:rPr>
        <w:t xml:space="preserve"> and monitoring. A corporate board, through its monitoring function, is one of the most important internal CG mechanisms for aligning managerial interests with those of stakeholders. This is in line with agency theory (Jensen </w:t>
      </w:r>
      <w:r w:rsidR="00AD2FCE" w:rsidRPr="00DB6C99">
        <w:rPr>
          <w:rFonts w:ascii="Garamond" w:eastAsia="Calibri" w:hAnsi="Garamond" w:cs="Times New Roman"/>
          <w:sz w:val="24"/>
          <w:szCs w:val="24"/>
          <w:lang w:val="en-GB"/>
        </w:rPr>
        <w:t>and</w:t>
      </w:r>
      <w:r w:rsidR="004A1788" w:rsidRPr="00DB6C99">
        <w:rPr>
          <w:rFonts w:ascii="Garamond" w:eastAsia="Calibri" w:hAnsi="Garamond" w:cs="Times New Roman"/>
          <w:sz w:val="24"/>
          <w:szCs w:val="24"/>
          <w:lang w:val="en-GB"/>
        </w:rPr>
        <w:t xml:space="preserve"> Meckling, 1976)</w:t>
      </w:r>
      <w:r w:rsidR="00AD2FCE" w:rsidRPr="00DB6C99">
        <w:rPr>
          <w:rFonts w:ascii="Garamond" w:eastAsia="Calibri" w:hAnsi="Garamond" w:cs="Times New Roman"/>
          <w:sz w:val="24"/>
          <w:szCs w:val="24"/>
          <w:lang w:val="en-GB"/>
        </w:rPr>
        <w:t>, which</w:t>
      </w:r>
      <w:r w:rsidR="004A1788" w:rsidRPr="00DB6C99">
        <w:rPr>
          <w:rFonts w:ascii="Garamond" w:eastAsia="Calibri" w:hAnsi="Garamond" w:cs="Times New Roman"/>
          <w:sz w:val="24"/>
          <w:szCs w:val="24"/>
          <w:lang w:val="en-GB"/>
        </w:rPr>
        <w:t xml:space="preserve"> postulates that shareholders appoint boards to monitor managers who behave opportunistically against the economic interests of shareholders (</w:t>
      </w:r>
      <w:r w:rsidR="00AD2FCE" w:rsidRPr="00DB6C99">
        <w:rPr>
          <w:rFonts w:ascii="Garamond" w:eastAsia="Calibri" w:hAnsi="Garamond" w:cs="Times New Roman"/>
          <w:sz w:val="24"/>
          <w:szCs w:val="24"/>
          <w:lang w:val="en-GB"/>
        </w:rPr>
        <w:t xml:space="preserve">Beetsma and Peters, 2000; </w:t>
      </w:r>
      <w:r w:rsidR="004A1788" w:rsidRPr="00DB6C99">
        <w:rPr>
          <w:rFonts w:ascii="Garamond" w:eastAsia="Calibri" w:hAnsi="Garamond" w:cs="Times New Roman"/>
          <w:sz w:val="24"/>
          <w:szCs w:val="24"/>
          <w:lang w:val="en-GB"/>
        </w:rPr>
        <w:t xml:space="preserve">Fama </w:t>
      </w:r>
      <w:r w:rsidR="00AD2FCE" w:rsidRPr="00DB6C99">
        <w:rPr>
          <w:rFonts w:ascii="Garamond" w:eastAsia="Calibri" w:hAnsi="Garamond" w:cs="Times New Roman"/>
          <w:sz w:val="24"/>
          <w:szCs w:val="24"/>
          <w:lang w:val="en-GB"/>
        </w:rPr>
        <w:t>and</w:t>
      </w:r>
      <w:r w:rsidR="004A1788" w:rsidRPr="00DB6C99">
        <w:rPr>
          <w:rFonts w:ascii="Garamond" w:eastAsia="Calibri" w:hAnsi="Garamond" w:cs="Times New Roman"/>
          <w:sz w:val="24"/>
          <w:szCs w:val="24"/>
          <w:lang w:val="en-GB"/>
        </w:rPr>
        <w:t xml:space="preserve"> Jensen, 1983). Studies confirm that female directors are more active in oversight activities such as asking for managerial accountability and audits (e.g., </w:t>
      </w:r>
      <w:r w:rsidR="00AD2FCE" w:rsidRPr="00DB6C99">
        <w:rPr>
          <w:rFonts w:ascii="Garamond" w:eastAsia="Calibri" w:hAnsi="Garamond" w:cs="Times New Roman"/>
          <w:sz w:val="24"/>
          <w:szCs w:val="24"/>
          <w:lang w:val="en-GB"/>
        </w:rPr>
        <w:t xml:space="preserve">Adams and Ferreira, 2009; </w:t>
      </w:r>
      <w:r w:rsidR="004A1788" w:rsidRPr="00DB6C99">
        <w:rPr>
          <w:rFonts w:ascii="Garamond" w:eastAsia="Calibri" w:hAnsi="Garamond" w:cs="Times New Roman"/>
          <w:sz w:val="24"/>
          <w:szCs w:val="24"/>
          <w:lang w:val="en-GB"/>
        </w:rPr>
        <w:t>Gul</w:t>
      </w:r>
      <w:r w:rsidR="005F6A3C" w:rsidRPr="00DB6C99">
        <w:rPr>
          <w:rFonts w:ascii="Garamond" w:eastAsia="Calibri" w:hAnsi="Garamond" w:cs="Times New Roman"/>
          <w:sz w:val="24"/>
          <w:szCs w:val="24"/>
          <w:lang w:val="en-GB"/>
        </w:rPr>
        <w:t>, Srinidhi and Tsui</w:t>
      </w:r>
      <w:r w:rsidR="004A1788" w:rsidRPr="00DB6C99">
        <w:rPr>
          <w:rFonts w:ascii="Garamond" w:eastAsia="Calibri" w:hAnsi="Garamond" w:cs="Times New Roman"/>
          <w:iCs/>
          <w:sz w:val="24"/>
          <w:szCs w:val="24"/>
          <w:lang w:val="en-GB"/>
        </w:rPr>
        <w:t xml:space="preserve">, </w:t>
      </w:r>
      <w:r w:rsidR="004A1788" w:rsidRPr="00DB6C99">
        <w:rPr>
          <w:rFonts w:ascii="Garamond" w:eastAsia="Calibri" w:hAnsi="Garamond" w:cs="Times New Roman"/>
          <w:sz w:val="24"/>
          <w:szCs w:val="24"/>
          <w:lang w:val="en-GB"/>
        </w:rPr>
        <w:t xml:space="preserve">2008). </w:t>
      </w:r>
    </w:p>
    <w:p w14:paraId="068B7C7B" w14:textId="5520B3FA" w:rsidR="004A1788" w:rsidRPr="00DB6C99" w:rsidRDefault="00D87DE0" w:rsidP="004A1788">
      <w:pPr>
        <w:spacing w:line="360" w:lineRule="auto"/>
        <w:ind w:firstLine="720"/>
        <w:jc w:val="both"/>
        <w:rPr>
          <w:rFonts w:ascii="Garamond" w:eastAsia="Calibri" w:hAnsi="Garamond" w:cs="Times New Roman"/>
          <w:sz w:val="24"/>
          <w:szCs w:val="24"/>
          <w:lang w:val="en-GB"/>
        </w:rPr>
      </w:pPr>
      <w:r w:rsidRPr="00DB6C99">
        <w:rPr>
          <w:rFonts w:ascii="Garamond" w:eastAsia="Calibri" w:hAnsi="Garamond" w:cs="Times New Roman"/>
          <w:sz w:val="24"/>
          <w:szCs w:val="24"/>
          <w:lang w:val="en-GB"/>
        </w:rPr>
        <w:t>T</w:t>
      </w:r>
      <w:r w:rsidR="004A1788" w:rsidRPr="00DB6C99">
        <w:rPr>
          <w:rFonts w:ascii="Garamond" w:eastAsia="Calibri" w:hAnsi="Garamond" w:cs="Times New Roman"/>
          <w:sz w:val="24"/>
          <w:szCs w:val="24"/>
          <w:lang w:val="en-GB"/>
        </w:rPr>
        <w:t xml:space="preserve">he role played by gender-diverse boards in enabling firms to assume responsibility beyond </w:t>
      </w:r>
      <w:r w:rsidR="00EA2802" w:rsidRPr="00DB6C99">
        <w:rPr>
          <w:rFonts w:ascii="Garamond" w:eastAsia="Calibri" w:hAnsi="Garamond" w:cs="Times New Roman"/>
          <w:sz w:val="24"/>
          <w:szCs w:val="24"/>
          <w:lang w:val="en-GB"/>
        </w:rPr>
        <w:t>securing</w:t>
      </w:r>
      <w:r w:rsidR="004A1788" w:rsidRPr="00DB6C99">
        <w:rPr>
          <w:rFonts w:ascii="Garamond" w:eastAsia="Calibri" w:hAnsi="Garamond" w:cs="Times New Roman"/>
          <w:sz w:val="24"/>
          <w:szCs w:val="24"/>
          <w:lang w:val="en-GB"/>
        </w:rPr>
        <w:t xml:space="preserve"> stakeholder value creation is much emphasized (Williams, 2003). Ibrahim</w:t>
      </w:r>
      <w:r w:rsidR="00DF1957" w:rsidRPr="00DB6C99">
        <w:rPr>
          <w:rFonts w:ascii="Garamond" w:eastAsia="Calibri" w:hAnsi="Garamond" w:cs="Times New Roman"/>
          <w:sz w:val="24"/>
          <w:szCs w:val="24"/>
          <w:lang w:val="en-GB"/>
        </w:rPr>
        <w:t>, Angelidis and Tomic</w:t>
      </w:r>
      <w:r w:rsidR="004A1788" w:rsidRPr="00DB6C99">
        <w:rPr>
          <w:rFonts w:ascii="Garamond" w:eastAsia="Calibri" w:hAnsi="Garamond" w:cs="Times New Roman"/>
          <w:iCs/>
          <w:sz w:val="24"/>
          <w:szCs w:val="24"/>
          <w:lang w:val="en-GB"/>
        </w:rPr>
        <w:t xml:space="preserve"> </w:t>
      </w:r>
      <w:r w:rsidR="004A1788" w:rsidRPr="00DB6C99">
        <w:rPr>
          <w:rFonts w:ascii="Garamond" w:eastAsia="Calibri" w:hAnsi="Garamond" w:cs="Times New Roman"/>
          <w:sz w:val="24"/>
          <w:szCs w:val="24"/>
          <w:lang w:val="en-GB"/>
        </w:rPr>
        <w:t xml:space="preserve">(2009) found that female directors demonstrate a </w:t>
      </w:r>
      <w:r w:rsidR="00EA2802" w:rsidRPr="00DB6C99">
        <w:rPr>
          <w:rFonts w:ascii="Garamond" w:eastAsia="Calibri" w:hAnsi="Garamond" w:cs="Times New Roman"/>
          <w:sz w:val="24"/>
          <w:szCs w:val="24"/>
          <w:lang w:val="en-GB"/>
        </w:rPr>
        <w:t xml:space="preserve">superior </w:t>
      </w:r>
      <w:r w:rsidR="004A1788" w:rsidRPr="00DB6C99">
        <w:rPr>
          <w:rFonts w:ascii="Garamond" w:eastAsia="Calibri" w:hAnsi="Garamond" w:cs="Times New Roman"/>
          <w:sz w:val="24"/>
          <w:szCs w:val="24"/>
          <w:lang w:val="en-GB"/>
        </w:rPr>
        <w:t xml:space="preserve">code of ethics than their male counterparts. Meta-analyses confirm that women are more likely to use care reasoning, feel a sense of responsibility (Jaffee </w:t>
      </w:r>
      <w:r w:rsidR="000F3AC9" w:rsidRPr="00DB6C99">
        <w:rPr>
          <w:rFonts w:ascii="Garamond" w:eastAsia="Calibri" w:hAnsi="Garamond" w:cs="Times New Roman"/>
          <w:sz w:val="24"/>
          <w:szCs w:val="24"/>
          <w:lang w:val="en-GB"/>
        </w:rPr>
        <w:t>and</w:t>
      </w:r>
      <w:r w:rsidR="004A1788" w:rsidRPr="00DB6C99">
        <w:rPr>
          <w:rFonts w:ascii="Garamond" w:eastAsia="Calibri" w:hAnsi="Garamond" w:cs="Times New Roman"/>
          <w:sz w:val="24"/>
          <w:szCs w:val="24"/>
          <w:lang w:val="en-GB"/>
        </w:rPr>
        <w:t xml:space="preserve"> Hyde, 2000), identify situations needing ethical judgement and behave more ethically (Albaum </w:t>
      </w:r>
      <w:r w:rsidR="000F3AC9" w:rsidRPr="00DB6C99">
        <w:rPr>
          <w:rFonts w:ascii="Garamond" w:eastAsia="Calibri" w:hAnsi="Garamond" w:cs="Times New Roman"/>
          <w:sz w:val="24"/>
          <w:szCs w:val="24"/>
          <w:lang w:val="en-GB"/>
        </w:rPr>
        <w:t>and</w:t>
      </w:r>
      <w:r w:rsidR="004A1788" w:rsidRPr="00DB6C99">
        <w:rPr>
          <w:rFonts w:ascii="Garamond" w:eastAsia="Calibri" w:hAnsi="Garamond" w:cs="Times New Roman"/>
          <w:sz w:val="24"/>
          <w:szCs w:val="24"/>
          <w:lang w:val="en-GB"/>
        </w:rPr>
        <w:t xml:space="preserve"> Peterson, 2006; Burton </w:t>
      </w:r>
      <w:r w:rsidR="000F3AC9" w:rsidRPr="00DB6C99">
        <w:rPr>
          <w:rFonts w:ascii="Garamond" w:eastAsia="Calibri" w:hAnsi="Garamond" w:cs="Times New Roman"/>
          <w:sz w:val="24"/>
          <w:szCs w:val="24"/>
          <w:lang w:val="en-GB"/>
        </w:rPr>
        <w:t>and</w:t>
      </w:r>
      <w:r w:rsidR="004A1788" w:rsidRPr="00DB6C99">
        <w:rPr>
          <w:rFonts w:ascii="Garamond" w:eastAsia="Calibri" w:hAnsi="Garamond" w:cs="Times New Roman"/>
          <w:sz w:val="24"/>
          <w:szCs w:val="24"/>
          <w:lang w:val="en-GB"/>
        </w:rPr>
        <w:t xml:space="preserve"> Hegarty, 1999; Forte, 2004). Recent empirical studies reveal that BGD is negatively associated with securities fraud (Cumming</w:t>
      </w:r>
      <w:r w:rsidR="00E97CCB" w:rsidRPr="00DB6C99">
        <w:rPr>
          <w:rFonts w:ascii="Garamond" w:eastAsia="Calibri" w:hAnsi="Garamond" w:cs="Times New Roman"/>
          <w:sz w:val="24"/>
          <w:szCs w:val="24"/>
          <w:lang w:val="en-GB"/>
        </w:rPr>
        <w:t>, Leung and Rui</w:t>
      </w:r>
      <w:r w:rsidR="004A1788" w:rsidRPr="00DB6C99">
        <w:rPr>
          <w:rFonts w:ascii="Garamond" w:eastAsia="Calibri" w:hAnsi="Garamond" w:cs="Times New Roman"/>
          <w:iCs/>
          <w:sz w:val="24"/>
          <w:szCs w:val="24"/>
          <w:lang w:val="en-GB"/>
        </w:rPr>
        <w:t xml:space="preserve">, </w:t>
      </w:r>
      <w:r w:rsidR="004A1788" w:rsidRPr="00DB6C99">
        <w:rPr>
          <w:rFonts w:ascii="Garamond" w:eastAsia="Calibri" w:hAnsi="Garamond" w:cs="Times New Roman"/>
          <w:sz w:val="24"/>
          <w:szCs w:val="24"/>
          <w:lang w:val="en-GB"/>
        </w:rPr>
        <w:t xml:space="preserve">2015), environmental violations (Liu, 2018), earnings management (Gull </w:t>
      </w:r>
      <w:r w:rsidR="004A1788" w:rsidRPr="00DB6C99">
        <w:rPr>
          <w:rFonts w:ascii="Garamond" w:eastAsia="Calibri" w:hAnsi="Garamond" w:cs="Times New Roman"/>
          <w:i/>
          <w:sz w:val="24"/>
          <w:szCs w:val="24"/>
          <w:lang w:val="en-GB"/>
        </w:rPr>
        <w:t>et al</w:t>
      </w:r>
      <w:r w:rsidR="004A1788" w:rsidRPr="00DB6C99">
        <w:rPr>
          <w:rFonts w:ascii="Garamond" w:eastAsia="Calibri" w:hAnsi="Garamond" w:cs="Times New Roman"/>
          <w:iCs/>
          <w:sz w:val="24"/>
          <w:szCs w:val="24"/>
          <w:lang w:val="en-GB"/>
        </w:rPr>
        <w:t xml:space="preserve">., </w:t>
      </w:r>
      <w:r w:rsidR="004A1788" w:rsidRPr="00DB6C99">
        <w:rPr>
          <w:rFonts w:ascii="Garamond" w:eastAsia="Calibri" w:hAnsi="Garamond" w:cs="Times New Roman"/>
          <w:sz w:val="24"/>
          <w:szCs w:val="24"/>
          <w:lang w:val="en-GB"/>
        </w:rPr>
        <w:t xml:space="preserve">2018) and corporate irresponsibility (Jain </w:t>
      </w:r>
      <w:r w:rsidR="000F3AC9" w:rsidRPr="00DB6C99">
        <w:rPr>
          <w:rFonts w:ascii="Garamond" w:eastAsia="Calibri" w:hAnsi="Garamond" w:cs="Times New Roman"/>
          <w:sz w:val="24"/>
          <w:szCs w:val="24"/>
          <w:lang w:val="en-GB"/>
        </w:rPr>
        <w:t>and</w:t>
      </w:r>
      <w:r w:rsidR="004A1788" w:rsidRPr="00DB6C99">
        <w:rPr>
          <w:rFonts w:ascii="Garamond" w:eastAsia="Calibri" w:hAnsi="Garamond" w:cs="Times New Roman"/>
          <w:sz w:val="24"/>
          <w:szCs w:val="24"/>
          <w:lang w:val="en-GB"/>
        </w:rPr>
        <w:t xml:space="preserve"> Zaman, 2020).</w:t>
      </w:r>
    </w:p>
    <w:p w14:paraId="3033410B" w14:textId="38F9AC0B" w:rsidR="004A1788" w:rsidRPr="00DB6C99" w:rsidRDefault="00EA2802" w:rsidP="004A1788">
      <w:pPr>
        <w:spacing w:line="360" w:lineRule="auto"/>
        <w:ind w:firstLine="720"/>
        <w:jc w:val="both"/>
        <w:rPr>
          <w:rFonts w:ascii="Garamond" w:eastAsia="Calibri" w:hAnsi="Garamond" w:cs="Times New Roman"/>
          <w:sz w:val="24"/>
          <w:szCs w:val="24"/>
          <w:lang w:val="en-GB"/>
        </w:rPr>
      </w:pPr>
      <w:r w:rsidRPr="00DB6C99">
        <w:rPr>
          <w:rFonts w:ascii="Garamond" w:eastAsia="Calibri" w:hAnsi="Garamond" w:cs="Times New Roman"/>
          <w:sz w:val="24"/>
          <w:szCs w:val="24"/>
          <w:lang w:val="en-GB"/>
        </w:rPr>
        <w:t>W</w:t>
      </w:r>
      <w:r w:rsidR="004A1788" w:rsidRPr="00DB6C99">
        <w:rPr>
          <w:rFonts w:ascii="Garamond" w:eastAsia="Calibri" w:hAnsi="Garamond" w:cs="Times New Roman"/>
          <w:sz w:val="24"/>
          <w:szCs w:val="24"/>
          <w:lang w:val="en-GB"/>
        </w:rPr>
        <w:t xml:space="preserve">e contend that female representation on boards has implications for CSR decoupling. CSR decoupling is value destroying for firms (Hawn </w:t>
      </w:r>
      <w:r w:rsidR="000F3AC9" w:rsidRPr="00DB6C99">
        <w:rPr>
          <w:rFonts w:ascii="Garamond" w:eastAsia="Calibri" w:hAnsi="Garamond" w:cs="Times New Roman"/>
          <w:sz w:val="24"/>
          <w:szCs w:val="24"/>
          <w:lang w:val="en-GB"/>
        </w:rPr>
        <w:t>and</w:t>
      </w:r>
      <w:r w:rsidR="004A1788" w:rsidRPr="00DB6C99">
        <w:rPr>
          <w:rFonts w:ascii="Garamond" w:eastAsia="Calibri" w:hAnsi="Garamond" w:cs="Times New Roman"/>
          <w:sz w:val="24"/>
          <w:szCs w:val="24"/>
          <w:lang w:val="en-GB"/>
        </w:rPr>
        <w:t xml:space="preserve"> Ioannou, 2016)</w:t>
      </w:r>
      <w:r w:rsidR="000F3AC9" w:rsidRPr="00DB6C99">
        <w:rPr>
          <w:rFonts w:ascii="Garamond" w:eastAsia="Calibri" w:hAnsi="Garamond" w:cs="Times New Roman"/>
          <w:sz w:val="24"/>
          <w:szCs w:val="24"/>
          <w:lang w:val="en-GB"/>
        </w:rPr>
        <w:t>,</w:t>
      </w:r>
      <w:r w:rsidR="004A1788" w:rsidRPr="00DB6C99">
        <w:rPr>
          <w:rFonts w:ascii="Garamond" w:eastAsia="Calibri" w:hAnsi="Garamond" w:cs="Times New Roman"/>
          <w:sz w:val="24"/>
          <w:szCs w:val="24"/>
          <w:lang w:val="en-GB"/>
        </w:rPr>
        <w:t xml:space="preserve"> as it results in monetary costs in the form of fines and penalties (Garc</w:t>
      </w:r>
      <w:r w:rsidR="005A2DF4" w:rsidRPr="00DB6C99">
        <w:rPr>
          <w:rFonts w:ascii="Garamond" w:eastAsia="Calibri" w:hAnsi="Garamond" w:cs="Times New Roman"/>
          <w:sz w:val="24"/>
          <w:szCs w:val="24"/>
          <w:lang w:val="en-GB"/>
        </w:rPr>
        <w:t>í</w:t>
      </w:r>
      <w:r w:rsidR="004A1788" w:rsidRPr="00DB6C99">
        <w:rPr>
          <w:rFonts w:ascii="Garamond" w:eastAsia="Calibri" w:hAnsi="Garamond" w:cs="Times New Roman"/>
          <w:sz w:val="24"/>
          <w:szCs w:val="24"/>
          <w:lang w:val="en-GB"/>
        </w:rPr>
        <w:t>a-S</w:t>
      </w:r>
      <w:r w:rsidR="005A2DF4" w:rsidRPr="00DB6C99">
        <w:rPr>
          <w:rFonts w:ascii="Garamond" w:eastAsia="Calibri" w:hAnsi="Garamond" w:cs="Times New Roman"/>
          <w:sz w:val="24"/>
          <w:szCs w:val="24"/>
          <w:lang w:val="en-GB"/>
        </w:rPr>
        <w:t>á</w:t>
      </w:r>
      <w:r w:rsidR="004A1788" w:rsidRPr="00DB6C99">
        <w:rPr>
          <w:rFonts w:ascii="Garamond" w:eastAsia="Calibri" w:hAnsi="Garamond" w:cs="Times New Roman"/>
          <w:sz w:val="24"/>
          <w:szCs w:val="24"/>
          <w:lang w:val="en-GB"/>
        </w:rPr>
        <w:t xml:space="preserve">nchez </w:t>
      </w:r>
      <w:r w:rsidR="004A1788" w:rsidRPr="00DB6C99">
        <w:rPr>
          <w:rFonts w:ascii="Garamond" w:eastAsia="Calibri" w:hAnsi="Garamond" w:cs="Times New Roman"/>
          <w:i/>
          <w:iCs/>
          <w:sz w:val="24"/>
          <w:szCs w:val="24"/>
          <w:lang w:val="en-GB"/>
        </w:rPr>
        <w:t>et al</w:t>
      </w:r>
      <w:r w:rsidR="004A1788" w:rsidRPr="00DB6C99">
        <w:rPr>
          <w:rFonts w:ascii="Garamond" w:eastAsia="Calibri" w:hAnsi="Garamond" w:cs="Times New Roman"/>
          <w:sz w:val="24"/>
          <w:szCs w:val="24"/>
          <w:lang w:val="en-GB"/>
        </w:rPr>
        <w:t xml:space="preserve">., 2021). Hence, female directors might find it risky to circulate corporate CSR claims that are inconsistent with actions and might increase the risk of public scrutiny, litigation or regulatory oversights. </w:t>
      </w:r>
      <w:r w:rsidR="000F3AC9" w:rsidRPr="00DB6C99">
        <w:rPr>
          <w:rFonts w:ascii="Garamond" w:eastAsia="Calibri" w:hAnsi="Garamond" w:cs="Times New Roman"/>
          <w:sz w:val="24"/>
          <w:szCs w:val="24"/>
          <w:lang w:val="en-GB"/>
        </w:rPr>
        <w:t xml:space="preserve">Due to </w:t>
      </w:r>
      <w:r w:rsidR="004A1788" w:rsidRPr="00DB6C99">
        <w:rPr>
          <w:rFonts w:ascii="Garamond" w:eastAsia="Calibri" w:hAnsi="Garamond" w:cs="Times New Roman"/>
          <w:sz w:val="24"/>
          <w:szCs w:val="24"/>
          <w:lang w:val="en-GB"/>
        </w:rPr>
        <w:t xml:space="preserve">their higher risk aversion (Gull </w:t>
      </w:r>
      <w:r w:rsidR="004A1788" w:rsidRPr="00DB6C99">
        <w:rPr>
          <w:rFonts w:ascii="Garamond" w:eastAsia="Calibri" w:hAnsi="Garamond" w:cs="Times New Roman"/>
          <w:i/>
          <w:iCs/>
          <w:sz w:val="24"/>
          <w:szCs w:val="24"/>
          <w:lang w:val="en-GB"/>
        </w:rPr>
        <w:t>et al</w:t>
      </w:r>
      <w:r w:rsidR="004A1788" w:rsidRPr="00DB6C99">
        <w:rPr>
          <w:rFonts w:ascii="Garamond" w:eastAsia="Calibri" w:hAnsi="Garamond" w:cs="Times New Roman"/>
          <w:sz w:val="24"/>
          <w:szCs w:val="24"/>
          <w:lang w:val="en-GB"/>
        </w:rPr>
        <w:t>., 2018) and ability to detect fraud (Cumming</w:t>
      </w:r>
      <w:r w:rsidR="00E97CCB" w:rsidRPr="00DB6C99">
        <w:rPr>
          <w:rFonts w:ascii="Garamond" w:eastAsia="Calibri" w:hAnsi="Garamond" w:cs="Times New Roman"/>
          <w:sz w:val="24"/>
          <w:szCs w:val="24"/>
          <w:lang w:val="en-GB"/>
        </w:rPr>
        <w:t>, Leung and Rui</w:t>
      </w:r>
      <w:r w:rsidR="004A1788" w:rsidRPr="00DB6C99">
        <w:rPr>
          <w:rFonts w:ascii="Garamond" w:eastAsia="Calibri" w:hAnsi="Garamond" w:cs="Times New Roman"/>
          <w:iCs/>
          <w:sz w:val="24"/>
          <w:szCs w:val="24"/>
          <w:lang w:val="en-GB"/>
        </w:rPr>
        <w:t>,</w:t>
      </w:r>
      <w:r w:rsidR="004A1788" w:rsidRPr="00DB6C99">
        <w:rPr>
          <w:rFonts w:ascii="Garamond" w:eastAsia="Calibri" w:hAnsi="Garamond" w:cs="Times New Roman"/>
          <w:sz w:val="24"/>
          <w:szCs w:val="24"/>
          <w:lang w:val="en-GB"/>
        </w:rPr>
        <w:t xml:space="preserve"> 2015), female directors are more likely to diligently perform their monitoring duties (Post </w:t>
      </w:r>
      <w:r w:rsidR="000F3AC9" w:rsidRPr="00DB6C99">
        <w:rPr>
          <w:rFonts w:ascii="Garamond" w:eastAsia="Calibri" w:hAnsi="Garamond" w:cs="Times New Roman"/>
          <w:sz w:val="24"/>
          <w:szCs w:val="24"/>
          <w:lang w:val="en-GB"/>
        </w:rPr>
        <w:t>and</w:t>
      </w:r>
      <w:r w:rsidR="004A1788" w:rsidRPr="00DB6C99">
        <w:rPr>
          <w:rFonts w:ascii="Garamond" w:eastAsia="Calibri" w:hAnsi="Garamond" w:cs="Times New Roman"/>
          <w:sz w:val="24"/>
          <w:szCs w:val="24"/>
          <w:lang w:val="en-GB"/>
        </w:rPr>
        <w:t xml:space="preserve"> Byron, 2015), ask stricter questions</w:t>
      </w:r>
      <w:r w:rsidR="000F3AC9" w:rsidRPr="00DB6C99">
        <w:rPr>
          <w:rFonts w:ascii="Garamond" w:eastAsia="Calibri" w:hAnsi="Garamond" w:cs="Times New Roman"/>
          <w:sz w:val="24"/>
          <w:szCs w:val="24"/>
          <w:lang w:val="en-GB"/>
        </w:rPr>
        <w:t xml:space="preserve"> and</w:t>
      </w:r>
      <w:r w:rsidR="004A1788" w:rsidRPr="00DB6C99">
        <w:rPr>
          <w:rFonts w:ascii="Garamond" w:eastAsia="Calibri" w:hAnsi="Garamond" w:cs="Times New Roman"/>
          <w:sz w:val="24"/>
          <w:szCs w:val="24"/>
          <w:lang w:val="en-GB"/>
        </w:rPr>
        <w:t xml:space="preserve"> identify and restrict incidences of irresponsible management behaviour (Jain </w:t>
      </w:r>
      <w:r w:rsidR="000F3AC9" w:rsidRPr="00DB6C99">
        <w:rPr>
          <w:rFonts w:ascii="Garamond" w:eastAsia="Calibri" w:hAnsi="Garamond" w:cs="Times New Roman"/>
          <w:sz w:val="24"/>
          <w:szCs w:val="24"/>
          <w:lang w:val="en-GB"/>
        </w:rPr>
        <w:t>and</w:t>
      </w:r>
      <w:r w:rsidR="004A1788" w:rsidRPr="00DB6C99">
        <w:rPr>
          <w:rFonts w:ascii="Garamond" w:eastAsia="Calibri" w:hAnsi="Garamond" w:cs="Times New Roman"/>
          <w:sz w:val="24"/>
          <w:szCs w:val="24"/>
          <w:lang w:val="en-GB"/>
        </w:rPr>
        <w:t xml:space="preserve"> Zaman, 2020). We argue that higher representation of women on the board will result in increased transparency of CSR information and reduced information asymmetry</w:t>
      </w:r>
      <w:r w:rsidR="000F3AC9" w:rsidRPr="00DB6C99">
        <w:rPr>
          <w:rFonts w:ascii="Garamond" w:eastAsia="Calibri" w:hAnsi="Garamond" w:cs="Times New Roman"/>
          <w:sz w:val="24"/>
          <w:szCs w:val="24"/>
          <w:lang w:val="en-GB"/>
        </w:rPr>
        <w:t>,</w:t>
      </w:r>
      <w:r w:rsidR="004A1788" w:rsidRPr="00DB6C99">
        <w:rPr>
          <w:rFonts w:ascii="Garamond" w:eastAsia="Calibri" w:hAnsi="Garamond" w:cs="Times New Roman"/>
          <w:sz w:val="24"/>
          <w:szCs w:val="24"/>
          <w:lang w:val="en-GB"/>
        </w:rPr>
        <w:t xml:space="preserve"> which will eventually close the gap between firms’ CSR talk and walk. Accordingly, we hypothesize: </w:t>
      </w:r>
    </w:p>
    <w:p w14:paraId="39530BFA" w14:textId="77777777" w:rsidR="004A1788" w:rsidRPr="00DB6C99" w:rsidRDefault="004A1788" w:rsidP="004A1788">
      <w:pPr>
        <w:spacing w:line="360" w:lineRule="auto"/>
        <w:jc w:val="both"/>
        <w:rPr>
          <w:rFonts w:ascii="Garamond" w:eastAsia="Calibri" w:hAnsi="Garamond" w:cs="Times New Roman"/>
          <w:i/>
          <w:sz w:val="24"/>
          <w:szCs w:val="24"/>
          <w:lang w:val="en-GB"/>
        </w:rPr>
      </w:pPr>
      <w:r w:rsidRPr="00DB6C99">
        <w:rPr>
          <w:rFonts w:ascii="Garamond" w:eastAsia="Calibri" w:hAnsi="Garamond" w:cs="Times New Roman"/>
          <w:i/>
          <w:sz w:val="24"/>
          <w:szCs w:val="24"/>
          <w:lang w:val="en-GB"/>
        </w:rPr>
        <w:lastRenderedPageBreak/>
        <w:t xml:space="preserve">H1: BGD is negatively associated with CSR decoupling. </w:t>
      </w:r>
    </w:p>
    <w:p w14:paraId="41FF4C83" w14:textId="77777777" w:rsidR="004A1788" w:rsidRPr="00DB6C99" w:rsidRDefault="004A1788" w:rsidP="004A1788">
      <w:pPr>
        <w:spacing w:line="360" w:lineRule="auto"/>
        <w:jc w:val="both"/>
        <w:rPr>
          <w:rFonts w:ascii="Garamond" w:eastAsia="Calibri" w:hAnsi="Garamond" w:cs="Times New Roman"/>
          <w:b/>
          <w:i/>
          <w:sz w:val="24"/>
          <w:szCs w:val="24"/>
          <w:lang w:val="en-GB"/>
        </w:rPr>
      </w:pPr>
      <w:r w:rsidRPr="00DB6C99">
        <w:rPr>
          <w:rFonts w:ascii="Garamond" w:eastAsia="Calibri" w:hAnsi="Garamond" w:cs="Times New Roman"/>
          <w:b/>
          <w:i/>
          <w:sz w:val="24"/>
          <w:szCs w:val="24"/>
          <w:lang w:val="en-GB"/>
        </w:rPr>
        <w:t xml:space="preserve">Independent women directors and CSR decoupling </w:t>
      </w:r>
    </w:p>
    <w:p w14:paraId="7A271D7F" w14:textId="664CE43B" w:rsidR="004A1788" w:rsidRPr="00DB6C99" w:rsidRDefault="004A1788" w:rsidP="004A1788">
      <w:pPr>
        <w:spacing w:line="360" w:lineRule="auto"/>
        <w:ind w:firstLine="720"/>
        <w:jc w:val="both"/>
        <w:rPr>
          <w:rFonts w:ascii="Garamond" w:eastAsia="Calibri" w:hAnsi="Garamond" w:cs="Times New Roman"/>
          <w:sz w:val="24"/>
          <w:szCs w:val="24"/>
          <w:lang w:val="en-GB"/>
        </w:rPr>
      </w:pPr>
      <w:r w:rsidRPr="00DB6C99">
        <w:rPr>
          <w:rFonts w:ascii="Garamond" w:eastAsia="Calibri" w:hAnsi="Garamond" w:cs="Times New Roman"/>
          <w:sz w:val="24"/>
          <w:szCs w:val="24"/>
          <w:lang w:val="en-GB"/>
        </w:rPr>
        <w:t xml:space="preserve">The literature suggests that </w:t>
      </w:r>
      <w:r w:rsidR="00E07288" w:rsidRPr="00DB6C99">
        <w:rPr>
          <w:rFonts w:ascii="Garamond" w:eastAsia="Calibri" w:hAnsi="Garamond" w:cs="Times New Roman"/>
          <w:sz w:val="24"/>
          <w:szCs w:val="24"/>
          <w:lang w:val="en-GB"/>
        </w:rPr>
        <w:t xml:space="preserve">a corporate board’s </w:t>
      </w:r>
      <w:r w:rsidRPr="00DB6C99">
        <w:rPr>
          <w:rFonts w:ascii="Garamond" w:eastAsia="Calibri" w:hAnsi="Garamond" w:cs="Times New Roman"/>
          <w:sz w:val="24"/>
          <w:szCs w:val="24"/>
          <w:lang w:val="en-GB"/>
        </w:rPr>
        <w:t>monitoring function is more effective when its advice is impartial</w:t>
      </w:r>
      <w:r w:rsidR="000F3AC9"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 xml:space="preserve"> this is more </w:t>
      </w:r>
      <w:r w:rsidR="000F3AC9" w:rsidRPr="00DB6C99">
        <w:rPr>
          <w:rFonts w:ascii="Garamond" w:eastAsia="Calibri" w:hAnsi="Garamond" w:cs="Times New Roman"/>
          <w:sz w:val="24"/>
          <w:szCs w:val="24"/>
          <w:lang w:val="en-GB"/>
        </w:rPr>
        <w:t xml:space="preserve">likely </w:t>
      </w:r>
      <w:r w:rsidRPr="00DB6C99">
        <w:rPr>
          <w:rFonts w:ascii="Garamond" w:eastAsia="Calibri" w:hAnsi="Garamond" w:cs="Times New Roman"/>
          <w:sz w:val="24"/>
          <w:szCs w:val="24"/>
          <w:lang w:val="en-GB"/>
        </w:rPr>
        <w:t>when the majority of board members are independent (Gul</w:t>
      </w:r>
      <w:r w:rsidR="005F6A3C" w:rsidRPr="00DB6C99">
        <w:rPr>
          <w:rFonts w:ascii="Garamond" w:eastAsia="Calibri" w:hAnsi="Garamond" w:cs="Times New Roman"/>
          <w:sz w:val="24"/>
          <w:szCs w:val="24"/>
          <w:lang w:val="en-GB"/>
        </w:rPr>
        <w:t>, Srinidhi and Ng</w:t>
      </w:r>
      <w:r w:rsidRPr="00DB6C99">
        <w:rPr>
          <w:rFonts w:ascii="Garamond" w:eastAsia="Calibri" w:hAnsi="Garamond" w:cs="Times New Roman"/>
          <w:iCs/>
          <w:sz w:val="24"/>
          <w:szCs w:val="24"/>
          <w:lang w:val="en-GB"/>
        </w:rPr>
        <w:t>,</w:t>
      </w:r>
      <w:r w:rsidRPr="00DB6C99">
        <w:rPr>
          <w:rFonts w:ascii="Garamond" w:eastAsia="Calibri" w:hAnsi="Garamond" w:cs="Times New Roman"/>
          <w:sz w:val="24"/>
          <w:szCs w:val="24"/>
          <w:lang w:val="en-GB"/>
        </w:rPr>
        <w:t xml:space="preserve"> 2011; Hussain</w:t>
      </w:r>
      <w:r w:rsidR="00DF1957" w:rsidRPr="00DB6C99">
        <w:rPr>
          <w:rFonts w:ascii="Garamond" w:eastAsia="Calibri" w:hAnsi="Garamond" w:cs="Times New Roman"/>
          <w:sz w:val="24"/>
          <w:szCs w:val="24"/>
          <w:lang w:val="en-GB"/>
        </w:rPr>
        <w:t>, Rigoni and Orij</w:t>
      </w:r>
      <w:r w:rsidRPr="00DB6C99">
        <w:rPr>
          <w:rFonts w:ascii="Garamond" w:eastAsia="Calibri" w:hAnsi="Garamond" w:cs="Times New Roman"/>
          <w:iCs/>
          <w:sz w:val="24"/>
          <w:szCs w:val="24"/>
          <w:lang w:val="en-GB"/>
        </w:rPr>
        <w:t>,</w:t>
      </w:r>
      <w:r w:rsidRPr="00DB6C99">
        <w:rPr>
          <w:rFonts w:ascii="Garamond" w:eastAsia="Calibri" w:hAnsi="Garamond" w:cs="Times New Roman"/>
          <w:sz w:val="24"/>
          <w:szCs w:val="24"/>
          <w:lang w:val="en-GB"/>
        </w:rPr>
        <w:t xml:space="preserve"> 2018). Independent directors are more concerned about their reputation, face less pressure from the management and are more likely to take actions to promote corporate transparency. Indeed, empirical evidence demonstrates that board independence enhances transparency through increased disclosures (Cerbioni </w:t>
      </w:r>
      <w:r w:rsidR="00D909F4" w:rsidRPr="00DB6C99">
        <w:rPr>
          <w:rFonts w:ascii="Garamond" w:eastAsia="Calibri" w:hAnsi="Garamond" w:cs="Times New Roman"/>
          <w:sz w:val="24"/>
          <w:szCs w:val="24"/>
          <w:lang w:val="en-GB"/>
        </w:rPr>
        <w:t>and</w:t>
      </w:r>
      <w:r w:rsidRPr="00DB6C99">
        <w:rPr>
          <w:rFonts w:ascii="Garamond" w:eastAsia="Calibri" w:hAnsi="Garamond" w:cs="Times New Roman"/>
          <w:sz w:val="24"/>
          <w:szCs w:val="24"/>
          <w:lang w:val="en-GB"/>
        </w:rPr>
        <w:t xml:space="preserve"> Parbonetti, 2007). A recent meta-analysis of 135 studies shows that the independence of directors reduces the likelihood of corporate misconduct (Neville </w:t>
      </w:r>
      <w:r w:rsidRPr="00DB6C99">
        <w:rPr>
          <w:rFonts w:ascii="Garamond" w:eastAsia="Calibri" w:hAnsi="Garamond" w:cs="Times New Roman"/>
          <w:i/>
          <w:sz w:val="24"/>
          <w:szCs w:val="24"/>
          <w:lang w:val="en-GB"/>
        </w:rPr>
        <w:t>et al.</w:t>
      </w:r>
      <w:r w:rsidRPr="00DB6C99">
        <w:rPr>
          <w:rFonts w:ascii="Garamond" w:eastAsia="Calibri" w:hAnsi="Garamond" w:cs="Times New Roman"/>
          <w:sz w:val="24"/>
          <w:szCs w:val="24"/>
          <w:lang w:val="en-GB"/>
        </w:rPr>
        <w:t xml:space="preserve">, 2019). </w:t>
      </w:r>
    </w:p>
    <w:p w14:paraId="49A37E28" w14:textId="4A16C9F7" w:rsidR="004A1788" w:rsidRPr="00DB6C99" w:rsidRDefault="004A1788" w:rsidP="004A1788">
      <w:pPr>
        <w:spacing w:line="360" w:lineRule="auto"/>
        <w:ind w:firstLine="720"/>
        <w:jc w:val="both"/>
        <w:rPr>
          <w:rFonts w:ascii="Garamond" w:eastAsia="Calibri" w:hAnsi="Garamond" w:cs="Times New Roman"/>
          <w:sz w:val="24"/>
          <w:szCs w:val="24"/>
          <w:lang w:val="en-GB"/>
        </w:rPr>
      </w:pPr>
      <w:r w:rsidRPr="00DB6C99">
        <w:rPr>
          <w:rFonts w:ascii="Garamond" w:eastAsia="Calibri" w:hAnsi="Garamond" w:cs="Times New Roman"/>
          <w:sz w:val="24"/>
          <w:szCs w:val="24"/>
          <w:lang w:val="en-GB"/>
        </w:rPr>
        <w:t xml:space="preserve">Independent women directors are found to bring diverse experience and problem-solving skills to the board necessary for the resolution of complex issues (Broadbridge </w:t>
      </w:r>
      <w:r w:rsidR="00D909F4" w:rsidRPr="00DB6C99">
        <w:rPr>
          <w:rFonts w:ascii="Garamond" w:eastAsia="Calibri" w:hAnsi="Garamond" w:cs="Times New Roman"/>
          <w:sz w:val="24"/>
          <w:szCs w:val="24"/>
          <w:lang w:val="en-GB"/>
        </w:rPr>
        <w:t>and</w:t>
      </w:r>
      <w:r w:rsidRPr="00DB6C99">
        <w:rPr>
          <w:rFonts w:ascii="Garamond" w:eastAsia="Calibri" w:hAnsi="Garamond" w:cs="Times New Roman"/>
          <w:sz w:val="24"/>
          <w:szCs w:val="24"/>
          <w:lang w:val="en-GB"/>
        </w:rPr>
        <w:t xml:space="preserve"> Hearn, 2006). </w:t>
      </w:r>
      <w:r w:rsidR="00427DED" w:rsidRPr="00DB6C99">
        <w:rPr>
          <w:rFonts w:ascii="Garamond" w:eastAsia="Calibri" w:hAnsi="Garamond" w:cs="Times New Roman"/>
          <w:sz w:val="24"/>
          <w:szCs w:val="24"/>
          <w:lang w:val="en-GB"/>
        </w:rPr>
        <w:t xml:space="preserve">As </w:t>
      </w:r>
      <w:r w:rsidRPr="00DB6C99">
        <w:rPr>
          <w:rFonts w:ascii="Garamond" w:eastAsia="Calibri" w:hAnsi="Garamond" w:cs="Times New Roman"/>
          <w:sz w:val="24"/>
          <w:szCs w:val="24"/>
          <w:lang w:val="en-GB"/>
        </w:rPr>
        <w:t>non-members of ‘old</w:t>
      </w:r>
      <w:r w:rsidR="00C10275" w:rsidRPr="00DB6C99">
        <w:rPr>
          <w:rFonts w:ascii="Garamond" w:eastAsia="Calibri" w:hAnsi="Garamond" w:cs="Times New Roman"/>
          <w:sz w:val="24"/>
          <w:szCs w:val="24"/>
          <w:lang w:val="en-GB"/>
        </w:rPr>
        <w:t xml:space="preserve"> </w:t>
      </w:r>
      <w:r w:rsidRPr="00DB6C99">
        <w:rPr>
          <w:rFonts w:ascii="Garamond" w:eastAsia="Calibri" w:hAnsi="Garamond" w:cs="Times New Roman"/>
          <w:sz w:val="24"/>
          <w:szCs w:val="24"/>
          <w:lang w:val="en-GB"/>
        </w:rPr>
        <w:t xml:space="preserve">boys clubs’ (Adams </w:t>
      </w:r>
      <w:r w:rsidR="00D909F4" w:rsidRPr="00DB6C99">
        <w:rPr>
          <w:rFonts w:ascii="Garamond" w:eastAsia="Calibri" w:hAnsi="Garamond" w:cs="Times New Roman"/>
          <w:sz w:val="24"/>
          <w:szCs w:val="24"/>
          <w:lang w:val="en-GB"/>
        </w:rPr>
        <w:t>and</w:t>
      </w:r>
      <w:r w:rsidRPr="00DB6C99">
        <w:rPr>
          <w:rFonts w:ascii="Garamond" w:eastAsia="Calibri" w:hAnsi="Garamond" w:cs="Times New Roman"/>
          <w:sz w:val="24"/>
          <w:szCs w:val="24"/>
          <w:lang w:val="en-GB"/>
        </w:rPr>
        <w:t xml:space="preserve"> Ferreira, 2009), they increase boards’ oversight ability by increasing board independence (Carter</w:t>
      </w:r>
      <w:r w:rsidR="00E97CCB" w:rsidRPr="00DB6C99">
        <w:rPr>
          <w:rFonts w:ascii="Garamond" w:eastAsia="Calibri" w:hAnsi="Garamond" w:cs="Times New Roman"/>
          <w:sz w:val="24"/>
          <w:szCs w:val="24"/>
          <w:lang w:val="en-GB"/>
        </w:rPr>
        <w:t>, Simkins and Simpson</w:t>
      </w:r>
      <w:r w:rsidR="00D909F4"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 xml:space="preserve"> 2003) and promoting independent thinking. They wield greater monitoring effort</w:t>
      </w:r>
      <w:r w:rsidR="00427DED" w:rsidRPr="00DB6C99">
        <w:rPr>
          <w:rFonts w:ascii="Garamond" w:eastAsia="Calibri" w:hAnsi="Garamond" w:cs="Times New Roman"/>
          <w:sz w:val="24"/>
          <w:szCs w:val="24"/>
          <w:lang w:val="en-GB"/>
        </w:rPr>
        <w:t>s</w:t>
      </w:r>
      <w:r w:rsidRPr="00DB6C99">
        <w:rPr>
          <w:rFonts w:ascii="Garamond" w:eastAsia="Calibri" w:hAnsi="Garamond" w:cs="Times New Roman"/>
          <w:sz w:val="24"/>
          <w:szCs w:val="24"/>
          <w:lang w:val="en-GB"/>
        </w:rPr>
        <w:t xml:space="preserve"> in their board roles compared to men (Adams </w:t>
      </w:r>
      <w:r w:rsidR="00D909F4" w:rsidRPr="00DB6C99">
        <w:rPr>
          <w:rFonts w:ascii="Garamond" w:eastAsia="Calibri" w:hAnsi="Garamond" w:cs="Times New Roman"/>
          <w:sz w:val="24"/>
          <w:szCs w:val="24"/>
          <w:lang w:val="en-GB"/>
        </w:rPr>
        <w:t>and</w:t>
      </w:r>
      <w:r w:rsidRPr="00DB6C99">
        <w:rPr>
          <w:rFonts w:ascii="Garamond" w:eastAsia="Calibri" w:hAnsi="Garamond" w:cs="Times New Roman"/>
          <w:sz w:val="24"/>
          <w:szCs w:val="24"/>
          <w:lang w:val="en-GB"/>
        </w:rPr>
        <w:t xml:space="preserve"> Ferreira, 2009) by attending more committee meetings (Jain </w:t>
      </w:r>
      <w:r w:rsidR="00D909F4" w:rsidRPr="00DB6C99">
        <w:rPr>
          <w:rFonts w:ascii="Garamond" w:eastAsia="Calibri" w:hAnsi="Garamond" w:cs="Times New Roman"/>
          <w:sz w:val="24"/>
          <w:szCs w:val="24"/>
          <w:lang w:val="en-GB"/>
        </w:rPr>
        <w:t>and</w:t>
      </w:r>
      <w:r w:rsidRPr="00DB6C99">
        <w:rPr>
          <w:rFonts w:ascii="Garamond" w:eastAsia="Calibri" w:hAnsi="Garamond" w:cs="Times New Roman"/>
          <w:sz w:val="24"/>
          <w:szCs w:val="24"/>
          <w:lang w:val="en-GB"/>
        </w:rPr>
        <w:t xml:space="preserve"> Zaman, 2020). Indeed, independent women directors are linked to fewer occurrences of corporate fraud, increased transparency and reduced agency costs (Cumming</w:t>
      </w:r>
      <w:r w:rsidR="00E97CCB" w:rsidRPr="00DB6C99">
        <w:rPr>
          <w:rFonts w:ascii="Garamond" w:eastAsia="Calibri" w:hAnsi="Garamond" w:cs="Times New Roman"/>
          <w:sz w:val="24"/>
          <w:szCs w:val="24"/>
          <w:lang w:val="en-GB"/>
        </w:rPr>
        <w:t>, Leung and Rui</w:t>
      </w:r>
      <w:r w:rsidRPr="00DB6C99">
        <w:rPr>
          <w:rFonts w:ascii="Garamond" w:eastAsia="Calibri" w:hAnsi="Garamond" w:cs="Times New Roman"/>
          <w:sz w:val="24"/>
          <w:szCs w:val="24"/>
          <w:lang w:val="en-GB"/>
        </w:rPr>
        <w:t>, 2015; Nadeem, 2020</w:t>
      </w:r>
      <w:r w:rsidR="00D909F4" w:rsidRPr="00DB6C99">
        <w:rPr>
          <w:rFonts w:ascii="Garamond" w:eastAsia="Calibri" w:hAnsi="Garamond" w:cs="Times New Roman"/>
          <w:sz w:val="24"/>
          <w:szCs w:val="24"/>
          <w:lang w:val="en-GB"/>
        </w:rPr>
        <w:t>; Wahid, 2019</w:t>
      </w:r>
      <w:r w:rsidRPr="00DB6C99">
        <w:rPr>
          <w:rFonts w:ascii="Garamond" w:eastAsia="Calibri" w:hAnsi="Garamond" w:cs="Times New Roman"/>
          <w:sz w:val="24"/>
          <w:szCs w:val="24"/>
          <w:lang w:val="en-GB"/>
        </w:rPr>
        <w:t xml:space="preserve">). </w:t>
      </w:r>
    </w:p>
    <w:p w14:paraId="202BA976" w14:textId="26D77D97" w:rsidR="004A1788" w:rsidRPr="00DB6C99" w:rsidRDefault="004A1788" w:rsidP="004A1788">
      <w:pPr>
        <w:spacing w:line="360" w:lineRule="auto"/>
        <w:ind w:firstLine="720"/>
        <w:jc w:val="both"/>
        <w:rPr>
          <w:rFonts w:ascii="Garamond" w:eastAsia="Calibri" w:hAnsi="Garamond" w:cs="Times New Roman"/>
          <w:sz w:val="24"/>
          <w:szCs w:val="24"/>
          <w:lang w:val="en-GB"/>
        </w:rPr>
      </w:pPr>
      <w:r w:rsidRPr="00DB6C99">
        <w:rPr>
          <w:rFonts w:ascii="Garamond" w:eastAsia="Calibri" w:hAnsi="Garamond" w:cs="Times New Roman"/>
          <w:sz w:val="24"/>
          <w:szCs w:val="24"/>
          <w:lang w:val="en-GB"/>
        </w:rPr>
        <w:t>Conversely, female executive directors are members of old</w:t>
      </w:r>
      <w:r w:rsidR="00C10275" w:rsidRPr="00DB6C99">
        <w:rPr>
          <w:rFonts w:ascii="Garamond" w:eastAsia="Calibri" w:hAnsi="Garamond" w:cs="Times New Roman"/>
          <w:sz w:val="24"/>
          <w:szCs w:val="24"/>
          <w:lang w:val="en-GB"/>
        </w:rPr>
        <w:t xml:space="preserve"> </w:t>
      </w:r>
      <w:r w:rsidRPr="00DB6C99">
        <w:rPr>
          <w:rFonts w:ascii="Garamond" w:eastAsia="Calibri" w:hAnsi="Garamond" w:cs="Times New Roman"/>
          <w:sz w:val="24"/>
          <w:szCs w:val="24"/>
          <w:lang w:val="en-GB"/>
        </w:rPr>
        <w:t xml:space="preserve">boys clubs. They have </w:t>
      </w:r>
      <w:r w:rsidR="00D909F4" w:rsidRPr="00DB6C99">
        <w:rPr>
          <w:rFonts w:ascii="Garamond" w:eastAsia="Calibri" w:hAnsi="Garamond" w:cs="Times New Roman"/>
          <w:sz w:val="24"/>
          <w:szCs w:val="24"/>
          <w:lang w:val="en-GB"/>
        </w:rPr>
        <w:t xml:space="preserve">greater </w:t>
      </w:r>
      <w:r w:rsidRPr="00DB6C99">
        <w:rPr>
          <w:rFonts w:ascii="Garamond" w:eastAsia="Calibri" w:hAnsi="Garamond" w:cs="Times New Roman"/>
          <w:sz w:val="24"/>
          <w:szCs w:val="24"/>
          <w:lang w:val="en-GB"/>
        </w:rPr>
        <w:t>influence over corporate policies through their executive roles (</w:t>
      </w:r>
      <w:r w:rsidR="00D909F4" w:rsidRPr="00DB6C99">
        <w:rPr>
          <w:rFonts w:ascii="Garamond" w:eastAsia="Calibri" w:hAnsi="Garamond" w:cs="Times New Roman"/>
          <w:sz w:val="24"/>
          <w:szCs w:val="24"/>
          <w:lang w:val="en-GB"/>
        </w:rPr>
        <w:t xml:space="preserve">Atif </w:t>
      </w:r>
      <w:r w:rsidR="00D909F4" w:rsidRPr="00DB6C99">
        <w:rPr>
          <w:rFonts w:ascii="Garamond" w:eastAsia="Calibri" w:hAnsi="Garamond" w:cs="Times New Roman"/>
          <w:i/>
          <w:iCs/>
          <w:sz w:val="24"/>
          <w:szCs w:val="24"/>
          <w:lang w:val="en-GB"/>
        </w:rPr>
        <w:t>et al</w:t>
      </w:r>
      <w:r w:rsidR="00D909F4" w:rsidRPr="00DB6C99">
        <w:rPr>
          <w:rFonts w:ascii="Garamond" w:eastAsia="Calibri" w:hAnsi="Garamond" w:cs="Times New Roman"/>
          <w:sz w:val="24"/>
          <w:szCs w:val="24"/>
          <w:lang w:val="en-GB"/>
        </w:rPr>
        <w:t xml:space="preserve">., 2020; </w:t>
      </w:r>
      <w:r w:rsidRPr="00DB6C99">
        <w:rPr>
          <w:rFonts w:ascii="Garamond" w:eastAsia="Calibri" w:hAnsi="Garamond" w:cs="Times New Roman"/>
          <w:sz w:val="24"/>
          <w:szCs w:val="24"/>
          <w:lang w:val="en-GB"/>
        </w:rPr>
        <w:t xml:space="preserve">Liu, 2018; Zalata </w:t>
      </w:r>
      <w:r w:rsidRPr="00DB6C99">
        <w:rPr>
          <w:rFonts w:ascii="Garamond" w:eastAsia="Calibri" w:hAnsi="Garamond" w:cs="Times New Roman"/>
          <w:i/>
          <w:iCs/>
          <w:sz w:val="24"/>
          <w:szCs w:val="24"/>
          <w:lang w:val="en-GB"/>
        </w:rPr>
        <w:t>et al</w:t>
      </w:r>
      <w:r w:rsidRPr="00DB6C99">
        <w:rPr>
          <w:rFonts w:ascii="Garamond" w:eastAsia="Calibri" w:hAnsi="Garamond" w:cs="Times New Roman"/>
          <w:sz w:val="24"/>
          <w:szCs w:val="24"/>
          <w:lang w:val="en-GB"/>
        </w:rPr>
        <w:t>., 2019). Liu</w:t>
      </w:r>
      <w:r w:rsidR="00F5602F" w:rsidRPr="00DB6C99">
        <w:rPr>
          <w:rFonts w:ascii="Garamond" w:eastAsia="Calibri" w:hAnsi="Garamond" w:cs="Times New Roman"/>
          <w:sz w:val="24"/>
          <w:szCs w:val="24"/>
          <w:lang w:val="en-GB"/>
        </w:rPr>
        <w:t>, Wei and Xie</w:t>
      </w:r>
      <w:r w:rsidRPr="00DB6C99">
        <w:rPr>
          <w:rFonts w:ascii="Garamond" w:eastAsia="Calibri" w:hAnsi="Garamond" w:cs="Times New Roman"/>
          <w:sz w:val="24"/>
          <w:szCs w:val="24"/>
          <w:lang w:val="en-GB"/>
        </w:rPr>
        <w:t xml:space="preserve"> (2014) argue that they use executive channels, thanks to their executive power and skills, to impact firm performance. This is mainly due to their involvement in the management of and close proximity to business operations. Being part of top management itself, however, weakens their ability to perform oversight activities and curb self-serving managerial behaviour (Arun</w:t>
      </w:r>
      <w:r w:rsidR="00171487" w:rsidRPr="00DB6C99">
        <w:rPr>
          <w:rFonts w:ascii="Garamond" w:eastAsia="Calibri" w:hAnsi="Garamond" w:cs="Times New Roman"/>
          <w:sz w:val="24"/>
          <w:szCs w:val="24"/>
          <w:lang w:val="en-GB"/>
        </w:rPr>
        <w:t>, Almahrog and Aribi</w:t>
      </w:r>
      <w:r w:rsidRPr="00DB6C99">
        <w:rPr>
          <w:rFonts w:ascii="Garamond" w:eastAsia="Calibri" w:hAnsi="Garamond" w:cs="Times New Roman"/>
          <w:iCs/>
          <w:sz w:val="24"/>
          <w:szCs w:val="24"/>
          <w:lang w:val="en-GB"/>
        </w:rPr>
        <w:t xml:space="preserve">, </w:t>
      </w:r>
      <w:r w:rsidRPr="00DB6C99">
        <w:rPr>
          <w:rFonts w:ascii="Garamond" w:eastAsia="Calibri" w:hAnsi="Garamond" w:cs="Times New Roman"/>
          <w:sz w:val="24"/>
          <w:szCs w:val="24"/>
          <w:lang w:val="en-GB"/>
        </w:rPr>
        <w:t xml:space="preserve">2015). Indeed, stringent oversight is needed to reduce CSR decoupling. </w:t>
      </w:r>
    </w:p>
    <w:p w14:paraId="4610E10B" w14:textId="1DF3790C" w:rsidR="004A1788" w:rsidRPr="00DB6C99" w:rsidRDefault="00427DED" w:rsidP="004A1788">
      <w:pPr>
        <w:spacing w:line="360" w:lineRule="auto"/>
        <w:ind w:firstLine="720"/>
        <w:jc w:val="both"/>
        <w:rPr>
          <w:rFonts w:ascii="Garamond" w:eastAsia="Calibri" w:hAnsi="Garamond" w:cs="Times New Roman"/>
          <w:sz w:val="24"/>
          <w:szCs w:val="24"/>
          <w:lang w:val="en-GB"/>
        </w:rPr>
      </w:pPr>
      <w:r w:rsidRPr="00DB6C99">
        <w:rPr>
          <w:rFonts w:ascii="Garamond" w:eastAsia="Calibri" w:hAnsi="Garamond" w:cs="Times New Roman"/>
          <w:sz w:val="24"/>
          <w:szCs w:val="24"/>
          <w:lang w:val="en-GB"/>
        </w:rPr>
        <w:t>W</w:t>
      </w:r>
      <w:r w:rsidR="004A1788" w:rsidRPr="00DB6C99">
        <w:rPr>
          <w:rFonts w:ascii="Garamond" w:eastAsia="Calibri" w:hAnsi="Garamond" w:cs="Times New Roman"/>
          <w:sz w:val="24"/>
          <w:szCs w:val="24"/>
          <w:lang w:val="en-GB"/>
        </w:rPr>
        <w:t xml:space="preserve">e argue that independent female directors ensure </w:t>
      </w:r>
      <w:r w:rsidR="00D909F4" w:rsidRPr="00DB6C99">
        <w:rPr>
          <w:rFonts w:ascii="Garamond" w:eastAsia="Calibri" w:hAnsi="Garamond" w:cs="Times New Roman"/>
          <w:sz w:val="24"/>
          <w:szCs w:val="24"/>
          <w:lang w:val="en-GB"/>
        </w:rPr>
        <w:t xml:space="preserve">the </w:t>
      </w:r>
      <w:r w:rsidR="004A1788" w:rsidRPr="00DB6C99">
        <w:rPr>
          <w:rFonts w:ascii="Garamond" w:eastAsia="Calibri" w:hAnsi="Garamond" w:cs="Times New Roman"/>
          <w:sz w:val="24"/>
          <w:szCs w:val="24"/>
          <w:lang w:val="en-GB"/>
        </w:rPr>
        <w:t xml:space="preserve">transparency of CSR information through intensive monitoring because independence allows them to simultaneously reduce information asymmetry between the firm and its stakeholders and align managerial actions with stakeholder interests. Accordingly, we posit that: </w:t>
      </w:r>
    </w:p>
    <w:p w14:paraId="10964049" w14:textId="77777777" w:rsidR="004A1788" w:rsidRPr="00DB6C99" w:rsidRDefault="004A1788" w:rsidP="004A1788">
      <w:pPr>
        <w:spacing w:line="360" w:lineRule="auto"/>
        <w:jc w:val="both"/>
        <w:rPr>
          <w:rFonts w:ascii="Garamond" w:eastAsia="Calibri" w:hAnsi="Garamond" w:cs="Times New Roman"/>
          <w:i/>
          <w:sz w:val="24"/>
          <w:szCs w:val="24"/>
          <w:lang w:val="en-GB"/>
        </w:rPr>
      </w:pPr>
      <w:r w:rsidRPr="00DB6C99">
        <w:rPr>
          <w:rFonts w:ascii="Garamond" w:eastAsia="Calibri" w:hAnsi="Garamond" w:cs="Times New Roman"/>
          <w:i/>
          <w:sz w:val="24"/>
          <w:szCs w:val="24"/>
          <w:lang w:val="en-GB"/>
        </w:rPr>
        <w:lastRenderedPageBreak/>
        <w:t>H2: The presence of independent women directors on boards is negatively associated with CSR decoupling.</w:t>
      </w:r>
    </w:p>
    <w:p w14:paraId="6F2CE976" w14:textId="5D99E135" w:rsidR="004A1788" w:rsidRPr="00DB6C99" w:rsidRDefault="004A1788" w:rsidP="004A1788">
      <w:pPr>
        <w:spacing w:line="360" w:lineRule="auto"/>
        <w:jc w:val="both"/>
        <w:rPr>
          <w:rFonts w:ascii="Garamond" w:eastAsia="Calibri" w:hAnsi="Garamond" w:cs="Times New Roman"/>
          <w:b/>
          <w:i/>
          <w:sz w:val="24"/>
          <w:szCs w:val="24"/>
          <w:lang w:val="en-GB"/>
        </w:rPr>
      </w:pPr>
      <w:r w:rsidRPr="00DB6C99">
        <w:rPr>
          <w:rFonts w:ascii="Garamond" w:eastAsia="Calibri" w:hAnsi="Garamond" w:cs="Times New Roman"/>
          <w:b/>
          <w:i/>
          <w:sz w:val="24"/>
          <w:szCs w:val="24"/>
          <w:lang w:val="en-GB"/>
        </w:rPr>
        <w:t xml:space="preserve">Critical mass </w:t>
      </w:r>
      <w:r w:rsidR="00334623" w:rsidRPr="00DB6C99">
        <w:rPr>
          <w:rFonts w:ascii="Garamond" w:eastAsia="Calibri" w:hAnsi="Garamond" w:cs="Times New Roman"/>
          <w:b/>
          <w:i/>
          <w:sz w:val="24"/>
          <w:szCs w:val="24"/>
          <w:lang w:val="en-GB"/>
        </w:rPr>
        <w:t>of women directors</w:t>
      </w:r>
      <w:r w:rsidRPr="00DB6C99">
        <w:rPr>
          <w:rFonts w:ascii="Garamond" w:eastAsia="Calibri" w:hAnsi="Garamond" w:cs="Times New Roman"/>
          <w:b/>
          <w:i/>
          <w:sz w:val="24"/>
          <w:szCs w:val="24"/>
          <w:lang w:val="en-GB"/>
        </w:rPr>
        <w:t xml:space="preserve"> and CSR decoupling </w:t>
      </w:r>
    </w:p>
    <w:p w14:paraId="290555DF" w14:textId="7813FA46" w:rsidR="004A1788" w:rsidRPr="00DB6C99" w:rsidRDefault="004A1788" w:rsidP="004A1788">
      <w:pPr>
        <w:spacing w:line="360" w:lineRule="auto"/>
        <w:ind w:firstLine="720"/>
        <w:jc w:val="both"/>
        <w:rPr>
          <w:rFonts w:ascii="Garamond" w:eastAsia="Calibri" w:hAnsi="Garamond" w:cs="Times New Roman"/>
          <w:sz w:val="24"/>
          <w:szCs w:val="24"/>
          <w:lang w:val="en-GB"/>
        </w:rPr>
      </w:pPr>
      <w:r w:rsidRPr="00DB6C99">
        <w:rPr>
          <w:rFonts w:ascii="Garamond" w:eastAsia="Calibri" w:hAnsi="Garamond" w:cs="Times New Roman"/>
          <w:sz w:val="24"/>
          <w:szCs w:val="24"/>
          <w:lang w:val="en-GB"/>
        </w:rPr>
        <w:t xml:space="preserve">Based on our main argument that female directors reduce CSR decoupling, </w:t>
      </w:r>
      <w:r w:rsidR="00D909F4" w:rsidRPr="00DB6C99">
        <w:rPr>
          <w:rFonts w:ascii="Garamond" w:eastAsia="Calibri" w:hAnsi="Garamond" w:cs="Times New Roman"/>
          <w:sz w:val="24"/>
          <w:szCs w:val="24"/>
          <w:lang w:val="en-GB"/>
        </w:rPr>
        <w:t xml:space="preserve">the </w:t>
      </w:r>
      <w:r w:rsidRPr="00DB6C99">
        <w:rPr>
          <w:rFonts w:ascii="Garamond" w:eastAsia="Calibri" w:hAnsi="Garamond" w:cs="Times New Roman"/>
          <w:sz w:val="24"/>
          <w:szCs w:val="24"/>
          <w:lang w:val="en-GB"/>
        </w:rPr>
        <w:t xml:space="preserve">critical mass of this link also warrants investigation. Critical mass theory argues that a lone female director on the board may be reduced to </w:t>
      </w:r>
      <w:r w:rsidRPr="00DB6C99">
        <w:rPr>
          <w:rFonts w:ascii="Garamond" w:eastAsia="Calibri" w:hAnsi="Garamond" w:cs="Times New Roman"/>
          <w:i/>
          <w:sz w:val="24"/>
          <w:szCs w:val="24"/>
          <w:lang w:val="en-GB"/>
        </w:rPr>
        <w:t>tokenism</w:t>
      </w:r>
      <w:r w:rsidRPr="00DB6C99">
        <w:rPr>
          <w:rFonts w:ascii="Garamond" w:eastAsia="Calibri" w:hAnsi="Garamond" w:cs="Times New Roman"/>
          <w:sz w:val="24"/>
          <w:szCs w:val="24"/>
          <w:lang w:val="en-GB"/>
        </w:rPr>
        <w:t>, thereby negatively affecting the impact of such a minority group on board</w:t>
      </w:r>
      <w:r w:rsidR="00D909F4"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level decision</w:t>
      </w:r>
      <w:r w:rsidR="004F73D1"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making (</w:t>
      </w:r>
      <w:r w:rsidR="00D909F4" w:rsidRPr="00DB6C99">
        <w:rPr>
          <w:rFonts w:ascii="Garamond" w:eastAsia="Calibri" w:hAnsi="Garamond" w:cs="Times New Roman"/>
          <w:sz w:val="24"/>
          <w:szCs w:val="24"/>
          <w:lang w:val="en-GB"/>
        </w:rPr>
        <w:t xml:space="preserve">Goldenhar </w:t>
      </w:r>
      <w:r w:rsidR="00D909F4" w:rsidRPr="00DB6C99">
        <w:rPr>
          <w:rFonts w:ascii="Garamond" w:eastAsia="Calibri" w:hAnsi="Garamond" w:cs="Times New Roman"/>
          <w:i/>
          <w:sz w:val="24"/>
          <w:szCs w:val="24"/>
          <w:lang w:val="en-GB"/>
        </w:rPr>
        <w:t>et al</w:t>
      </w:r>
      <w:r w:rsidR="00D909F4" w:rsidRPr="00DB6C99">
        <w:rPr>
          <w:rFonts w:ascii="Garamond" w:eastAsia="Calibri" w:hAnsi="Garamond" w:cs="Times New Roman"/>
          <w:iCs/>
          <w:sz w:val="24"/>
          <w:szCs w:val="24"/>
          <w:lang w:val="en-GB"/>
        </w:rPr>
        <w:t xml:space="preserve">., </w:t>
      </w:r>
      <w:r w:rsidR="00D909F4" w:rsidRPr="00DB6C99">
        <w:rPr>
          <w:rFonts w:ascii="Garamond" w:eastAsia="Calibri" w:hAnsi="Garamond" w:cs="Times New Roman"/>
          <w:sz w:val="24"/>
          <w:szCs w:val="24"/>
          <w:lang w:val="en-GB"/>
        </w:rPr>
        <w:t xml:space="preserve">1998; </w:t>
      </w:r>
      <w:r w:rsidRPr="00DB6C99">
        <w:rPr>
          <w:rFonts w:ascii="Garamond" w:eastAsia="Calibri" w:hAnsi="Garamond" w:cs="Times New Roman"/>
          <w:sz w:val="24"/>
          <w:szCs w:val="24"/>
          <w:lang w:val="en-GB"/>
        </w:rPr>
        <w:t xml:space="preserve">Maass </w:t>
      </w:r>
      <w:r w:rsidR="00D909F4" w:rsidRPr="00DB6C99">
        <w:rPr>
          <w:rFonts w:ascii="Garamond" w:eastAsia="Calibri" w:hAnsi="Garamond" w:cs="Times New Roman"/>
          <w:sz w:val="24"/>
          <w:szCs w:val="24"/>
          <w:lang w:val="en-GB"/>
        </w:rPr>
        <w:t>and</w:t>
      </w:r>
      <w:r w:rsidRPr="00DB6C99">
        <w:rPr>
          <w:rFonts w:ascii="Garamond" w:eastAsia="Calibri" w:hAnsi="Garamond" w:cs="Times New Roman"/>
          <w:sz w:val="24"/>
          <w:szCs w:val="24"/>
          <w:lang w:val="en-GB"/>
        </w:rPr>
        <w:t xml:space="preserve"> Clark, 1984). This </w:t>
      </w:r>
      <w:r w:rsidR="00597267" w:rsidRPr="00DB6C99">
        <w:rPr>
          <w:rFonts w:ascii="Garamond" w:eastAsia="Calibri" w:hAnsi="Garamond" w:cs="Times New Roman"/>
          <w:sz w:val="24"/>
          <w:szCs w:val="24"/>
          <w:lang w:val="en-GB"/>
        </w:rPr>
        <w:t xml:space="preserve">indicates </w:t>
      </w:r>
      <w:r w:rsidRPr="00DB6C99">
        <w:rPr>
          <w:rFonts w:ascii="Garamond" w:eastAsia="Calibri" w:hAnsi="Garamond" w:cs="Times New Roman"/>
          <w:sz w:val="24"/>
          <w:szCs w:val="24"/>
          <w:lang w:val="en-GB"/>
        </w:rPr>
        <w:t xml:space="preserve">that </w:t>
      </w:r>
      <w:r w:rsidR="00597267" w:rsidRPr="00DB6C99">
        <w:rPr>
          <w:rFonts w:ascii="Garamond" w:eastAsia="Calibri" w:hAnsi="Garamond" w:cs="Times New Roman"/>
          <w:sz w:val="24"/>
          <w:szCs w:val="24"/>
          <w:lang w:val="en-GB"/>
        </w:rPr>
        <w:t xml:space="preserve">women’s </w:t>
      </w:r>
      <w:r w:rsidRPr="00DB6C99">
        <w:rPr>
          <w:rFonts w:ascii="Garamond" w:eastAsia="Calibri" w:hAnsi="Garamond" w:cs="Times New Roman"/>
          <w:sz w:val="24"/>
          <w:szCs w:val="24"/>
          <w:lang w:val="en-GB"/>
        </w:rPr>
        <w:t>voice</w:t>
      </w:r>
      <w:r w:rsidR="00597267" w:rsidRPr="00DB6C99">
        <w:rPr>
          <w:rFonts w:ascii="Garamond" w:eastAsia="Calibri" w:hAnsi="Garamond" w:cs="Times New Roman"/>
          <w:sz w:val="24"/>
          <w:szCs w:val="24"/>
          <w:lang w:val="en-GB"/>
        </w:rPr>
        <w:t>s</w:t>
      </w:r>
      <w:r w:rsidRPr="00DB6C99">
        <w:rPr>
          <w:rFonts w:ascii="Garamond" w:eastAsia="Calibri" w:hAnsi="Garamond" w:cs="Times New Roman"/>
          <w:sz w:val="24"/>
          <w:szCs w:val="24"/>
          <w:lang w:val="en-GB"/>
        </w:rPr>
        <w:t xml:space="preserve"> </w:t>
      </w:r>
      <w:r w:rsidR="00597267" w:rsidRPr="00DB6C99">
        <w:rPr>
          <w:rFonts w:ascii="Garamond" w:eastAsia="Calibri" w:hAnsi="Garamond" w:cs="Times New Roman"/>
          <w:sz w:val="24"/>
          <w:szCs w:val="24"/>
          <w:lang w:val="en-GB"/>
        </w:rPr>
        <w:t xml:space="preserve">are </w:t>
      </w:r>
      <w:r w:rsidRPr="00DB6C99">
        <w:rPr>
          <w:rFonts w:ascii="Garamond" w:eastAsia="Calibri" w:hAnsi="Garamond" w:cs="Times New Roman"/>
          <w:sz w:val="24"/>
          <w:szCs w:val="24"/>
          <w:lang w:val="en-GB"/>
        </w:rPr>
        <w:t>not heard if female directors are fewer in number, which is in line with Kristie’s (2011</w:t>
      </w:r>
      <w:r w:rsidR="004F73D1" w:rsidRPr="00DB6C99">
        <w:rPr>
          <w:rFonts w:ascii="Garamond" w:eastAsia="Calibri" w:hAnsi="Garamond" w:cs="Times New Roman"/>
          <w:sz w:val="24"/>
          <w:szCs w:val="24"/>
          <w:lang w:val="en-GB"/>
        </w:rPr>
        <w:t>, p. 22</w:t>
      </w:r>
      <w:r w:rsidRPr="00DB6C99">
        <w:rPr>
          <w:rFonts w:ascii="Garamond" w:eastAsia="Calibri" w:hAnsi="Garamond" w:cs="Times New Roman"/>
          <w:sz w:val="24"/>
          <w:szCs w:val="24"/>
          <w:lang w:val="en-GB"/>
        </w:rPr>
        <w:t xml:space="preserve">) statement: </w:t>
      </w:r>
      <w:r w:rsidR="00597267"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one is token, two is a presence, and three is a voice</w:t>
      </w:r>
      <w:r w:rsidR="00597267"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 xml:space="preserve">. Kanter (1977) argues that the image of the female </w:t>
      </w:r>
      <w:r w:rsidR="00597267" w:rsidRPr="00DB6C99">
        <w:rPr>
          <w:rFonts w:ascii="Garamond" w:eastAsia="Calibri" w:hAnsi="Garamond" w:cs="Times New Roman"/>
          <w:sz w:val="24"/>
          <w:szCs w:val="24"/>
          <w:lang w:val="en-GB"/>
        </w:rPr>
        <w:t>‘</w:t>
      </w:r>
      <w:r w:rsidRPr="00DB6C99">
        <w:rPr>
          <w:rFonts w:ascii="Garamond" w:eastAsia="Calibri" w:hAnsi="Garamond" w:cs="Times New Roman"/>
          <w:i/>
          <w:sz w:val="24"/>
          <w:szCs w:val="24"/>
          <w:lang w:val="en-GB"/>
        </w:rPr>
        <w:t>token</w:t>
      </w:r>
      <w:r w:rsidRPr="00DB6C99">
        <w:rPr>
          <w:rFonts w:ascii="Garamond" w:eastAsia="Calibri" w:hAnsi="Garamond" w:cs="Times New Roman"/>
          <w:iCs/>
          <w:sz w:val="24"/>
          <w:szCs w:val="24"/>
          <w:lang w:val="en-GB"/>
        </w:rPr>
        <w:t xml:space="preserve">’ </w:t>
      </w:r>
      <w:r w:rsidRPr="00DB6C99">
        <w:rPr>
          <w:rFonts w:ascii="Garamond" w:eastAsia="Calibri" w:hAnsi="Garamond" w:cs="Times New Roman"/>
          <w:sz w:val="24"/>
          <w:szCs w:val="24"/>
          <w:lang w:val="en-GB"/>
        </w:rPr>
        <w:t xml:space="preserve">leader is often twisted </w:t>
      </w:r>
      <w:r w:rsidR="004F73D1" w:rsidRPr="00DB6C99">
        <w:rPr>
          <w:rFonts w:ascii="Garamond" w:eastAsia="Calibri" w:hAnsi="Garamond" w:cs="Times New Roman"/>
          <w:sz w:val="24"/>
          <w:szCs w:val="24"/>
          <w:lang w:val="en-GB"/>
        </w:rPr>
        <w:t>to be</w:t>
      </w:r>
      <w:r w:rsidRPr="00DB6C99">
        <w:rPr>
          <w:rFonts w:ascii="Garamond" w:eastAsia="Calibri" w:hAnsi="Garamond" w:cs="Times New Roman"/>
          <w:sz w:val="24"/>
          <w:szCs w:val="24"/>
          <w:lang w:val="en-GB"/>
        </w:rPr>
        <w:t xml:space="preserve"> closely linked to femininity rather than leadership qualities. Therefore, a lone female director may have a limited impact on corporate decisions (Liu</w:t>
      </w:r>
      <w:r w:rsidR="00F5602F" w:rsidRPr="00DB6C99">
        <w:rPr>
          <w:rFonts w:ascii="Garamond" w:eastAsia="Calibri" w:hAnsi="Garamond" w:cs="Times New Roman"/>
          <w:sz w:val="24"/>
          <w:szCs w:val="24"/>
          <w:lang w:val="en-GB"/>
        </w:rPr>
        <w:t>, Wei and Xie</w:t>
      </w:r>
      <w:r w:rsidRPr="00DB6C99">
        <w:rPr>
          <w:rFonts w:ascii="Garamond" w:eastAsia="Calibri" w:hAnsi="Garamond" w:cs="Times New Roman"/>
          <w:sz w:val="24"/>
          <w:szCs w:val="24"/>
          <w:lang w:val="en-GB"/>
        </w:rPr>
        <w:t xml:space="preserve">, 2014). Although emerging scholarship questions </w:t>
      </w:r>
      <w:r w:rsidR="00597267" w:rsidRPr="00DB6C99">
        <w:rPr>
          <w:rFonts w:ascii="Garamond" w:eastAsia="Calibri" w:hAnsi="Garamond" w:cs="Times New Roman"/>
          <w:sz w:val="24"/>
          <w:szCs w:val="24"/>
          <w:lang w:val="en-GB"/>
        </w:rPr>
        <w:t xml:space="preserve">interpreting the </w:t>
      </w:r>
      <w:r w:rsidRPr="00DB6C99">
        <w:rPr>
          <w:rFonts w:ascii="Garamond" w:eastAsia="Calibri" w:hAnsi="Garamond" w:cs="Times New Roman"/>
          <w:sz w:val="24"/>
          <w:szCs w:val="24"/>
          <w:lang w:val="en-GB"/>
        </w:rPr>
        <w:t>numerical under</w:t>
      </w:r>
      <w:r w:rsidR="00597267"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representation of women directors as an implicit signal of tokenism (</w:t>
      </w:r>
      <w:r w:rsidR="00597267" w:rsidRPr="00DB6C99">
        <w:rPr>
          <w:rFonts w:ascii="Garamond" w:eastAsia="Calibri" w:hAnsi="Garamond" w:cs="Times New Roman"/>
          <w:sz w:val="24"/>
          <w:szCs w:val="24"/>
          <w:lang w:val="en-GB"/>
        </w:rPr>
        <w:t xml:space="preserve">Jain and Ahern, 2020; </w:t>
      </w:r>
      <w:r w:rsidRPr="00DB6C99">
        <w:rPr>
          <w:rFonts w:ascii="Garamond" w:eastAsia="Calibri" w:hAnsi="Garamond" w:cs="Times New Roman"/>
          <w:sz w:val="24"/>
          <w:szCs w:val="24"/>
          <w:lang w:val="en-GB"/>
        </w:rPr>
        <w:t xml:space="preserve">Nielsen </w:t>
      </w:r>
      <w:r w:rsidR="00597267" w:rsidRPr="00DB6C99">
        <w:rPr>
          <w:rFonts w:ascii="Garamond" w:eastAsia="Calibri" w:hAnsi="Garamond" w:cs="Times New Roman"/>
          <w:sz w:val="24"/>
          <w:szCs w:val="24"/>
          <w:lang w:val="en-GB"/>
        </w:rPr>
        <w:t>and</w:t>
      </w:r>
      <w:r w:rsidRPr="00DB6C99">
        <w:rPr>
          <w:rFonts w:ascii="Garamond" w:eastAsia="Calibri" w:hAnsi="Garamond" w:cs="Times New Roman"/>
          <w:sz w:val="24"/>
          <w:szCs w:val="24"/>
          <w:lang w:val="en-GB"/>
        </w:rPr>
        <w:t xml:space="preserve"> Huse, 2010), empirical evidence largely shows that female directors have optimal effects on corporate decision</w:t>
      </w:r>
      <w:r w:rsidR="004F73D1"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 xml:space="preserve">making when critical mass is achieved (e.g., </w:t>
      </w:r>
      <w:r w:rsidR="00597267" w:rsidRPr="00DB6C99">
        <w:rPr>
          <w:rFonts w:ascii="Garamond" w:eastAsia="Times New Roman" w:hAnsi="Garamond" w:cs="Times New Roman"/>
          <w:sz w:val="24"/>
          <w:szCs w:val="24"/>
          <w:lang w:val="en-GB"/>
        </w:rPr>
        <w:t xml:space="preserve">Cook and Glass, 2018; Dahlerup, 2006; </w:t>
      </w:r>
      <w:r w:rsidRPr="00DB6C99">
        <w:rPr>
          <w:rFonts w:ascii="Garamond" w:eastAsia="Calibri" w:hAnsi="Garamond" w:cs="Times New Roman"/>
          <w:sz w:val="24"/>
          <w:szCs w:val="24"/>
          <w:lang w:val="en-GB"/>
        </w:rPr>
        <w:t xml:space="preserve">King </w:t>
      </w:r>
      <w:r w:rsidRPr="00DB6C99">
        <w:rPr>
          <w:rFonts w:ascii="Garamond" w:eastAsia="Calibri" w:hAnsi="Garamond" w:cs="Times New Roman"/>
          <w:i/>
          <w:sz w:val="24"/>
          <w:szCs w:val="24"/>
          <w:lang w:val="en-GB"/>
        </w:rPr>
        <w:t>et al</w:t>
      </w:r>
      <w:r w:rsidRPr="00DB6C99">
        <w:rPr>
          <w:rFonts w:ascii="Garamond" w:eastAsia="Calibri" w:hAnsi="Garamond" w:cs="Times New Roman"/>
          <w:iCs/>
          <w:sz w:val="24"/>
          <w:szCs w:val="24"/>
          <w:lang w:val="en-GB"/>
        </w:rPr>
        <w:t xml:space="preserve">., </w:t>
      </w:r>
      <w:r w:rsidRPr="00DB6C99">
        <w:rPr>
          <w:rFonts w:ascii="Garamond" w:eastAsia="Calibri" w:hAnsi="Garamond" w:cs="Times New Roman"/>
          <w:sz w:val="24"/>
          <w:szCs w:val="24"/>
          <w:lang w:val="en-GB"/>
        </w:rPr>
        <w:t xml:space="preserve">2010; Seebeck </w:t>
      </w:r>
      <w:r w:rsidR="00597267" w:rsidRPr="00DB6C99">
        <w:rPr>
          <w:rFonts w:ascii="Garamond" w:eastAsia="Calibri" w:hAnsi="Garamond" w:cs="Times New Roman"/>
          <w:sz w:val="24"/>
          <w:szCs w:val="24"/>
          <w:lang w:val="en-GB"/>
        </w:rPr>
        <w:t>and</w:t>
      </w:r>
      <w:r w:rsidRPr="00DB6C99">
        <w:rPr>
          <w:rFonts w:ascii="Garamond" w:eastAsia="Calibri" w:hAnsi="Garamond" w:cs="Times New Roman"/>
          <w:sz w:val="24"/>
          <w:szCs w:val="24"/>
          <w:lang w:val="en-GB"/>
        </w:rPr>
        <w:t xml:space="preserve"> Vetter, 2021). </w:t>
      </w:r>
    </w:p>
    <w:p w14:paraId="4CBC052E" w14:textId="1EAE68DE" w:rsidR="004A1788" w:rsidRPr="00DB6C99" w:rsidRDefault="004A1788" w:rsidP="004A1788">
      <w:pPr>
        <w:spacing w:line="360" w:lineRule="auto"/>
        <w:ind w:firstLine="720"/>
        <w:jc w:val="both"/>
        <w:rPr>
          <w:rFonts w:ascii="Garamond" w:eastAsia="Calibri" w:hAnsi="Garamond" w:cs="Times New Roman"/>
          <w:sz w:val="24"/>
          <w:szCs w:val="24"/>
          <w:lang w:val="en-GB"/>
        </w:rPr>
      </w:pPr>
      <w:r w:rsidRPr="00DB6C99">
        <w:rPr>
          <w:rFonts w:ascii="Garamond" w:eastAsia="Calibri" w:hAnsi="Garamond" w:cs="Times New Roman"/>
          <w:sz w:val="24"/>
          <w:szCs w:val="24"/>
          <w:lang w:val="en-GB"/>
        </w:rPr>
        <w:t>CSR program</w:t>
      </w:r>
      <w:r w:rsidR="0003712B" w:rsidRPr="00DB6C99">
        <w:rPr>
          <w:rFonts w:ascii="Garamond" w:eastAsia="Calibri" w:hAnsi="Garamond" w:cs="Times New Roman"/>
          <w:sz w:val="24"/>
          <w:szCs w:val="24"/>
          <w:lang w:val="en-GB"/>
        </w:rPr>
        <w:t>me</w:t>
      </w:r>
      <w:r w:rsidRPr="00DB6C99">
        <w:rPr>
          <w:rFonts w:ascii="Garamond" w:eastAsia="Calibri" w:hAnsi="Garamond" w:cs="Times New Roman"/>
          <w:sz w:val="24"/>
          <w:szCs w:val="24"/>
          <w:lang w:val="en-GB"/>
        </w:rPr>
        <w:t>s require huge investments and, therefore, remain an important discussion point during board meetings (Hussain</w:t>
      </w:r>
      <w:r w:rsidR="00DF1957" w:rsidRPr="00DB6C99">
        <w:rPr>
          <w:rFonts w:ascii="Garamond" w:eastAsia="Calibri" w:hAnsi="Garamond" w:cs="Times New Roman"/>
          <w:sz w:val="24"/>
          <w:szCs w:val="24"/>
          <w:lang w:val="en-GB"/>
        </w:rPr>
        <w:t>, Rigoni and Orij</w:t>
      </w:r>
      <w:r w:rsidRPr="00DB6C99">
        <w:rPr>
          <w:rFonts w:ascii="Garamond" w:eastAsia="Calibri" w:hAnsi="Garamond" w:cs="Times New Roman"/>
          <w:iCs/>
          <w:sz w:val="24"/>
          <w:szCs w:val="24"/>
          <w:lang w:val="en-GB"/>
        </w:rPr>
        <w:t xml:space="preserve">, </w:t>
      </w:r>
      <w:r w:rsidRPr="00DB6C99">
        <w:rPr>
          <w:rFonts w:ascii="Garamond" w:eastAsia="Calibri" w:hAnsi="Garamond" w:cs="Times New Roman"/>
          <w:sz w:val="24"/>
          <w:szCs w:val="24"/>
          <w:lang w:val="en-GB"/>
        </w:rPr>
        <w:t xml:space="preserve">2018). </w:t>
      </w:r>
      <w:r w:rsidR="00597267" w:rsidRPr="00DB6C99">
        <w:rPr>
          <w:rFonts w:ascii="Garamond" w:eastAsia="Calibri" w:hAnsi="Garamond" w:cs="Times New Roman"/>
          <w:sz w:val="24"/>
          <w:szCs w:val="24"/>
          <w:lang w:val="en-GB"/>
        </w:rPr>
        <w:t xml:space="preserve">Due to women’s </w:t>
      </w:r>
      <w:r w:rsidRPr="00DB6C99">
        <w:rPr>
          <w:rFonts w:ascii="Garamond" w:eastAsia="Calibri" w:hAnsi="Garamond" w:cs="Times New Roman"/>
          <w:sz w:val="24"/>
          <w:szCs w:val="24"/>
          <w:lang w:val="en-GB"/>
        </w:rPr>
        <w:t>prosocial nature and effective monitoring role, higher female representation on boards is more likely to favour CSR-related decision</w:t>
      </w:r>
      <w:r w:rsidR="004F73D1"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 xml:space="preserve">making and improved CSR engagement versus minority female representation (Byron </w:t>
      </w:r>
      <w:r w:rsidR="00597267" w:rsidRPr="00DB6C99">
        <w:rPr>
          <w:rFonts w:ascii="Garamond" w:eastAsia="Calibri" w:hAnsi="Garamond" w:cs="Times New Roman"/>
          <w:sz w:val="24"/>
          <w:szCs w:val="24"/>
          <w:lang w:val="en-GB"/>
        </w:rPr>
        <w:t>and</w:t>
      </w:r>
      <w:r w:rsidRPr="00DB6C99">
        <w:rPr>
          <w:rFonts w:ascii="Garamond" w:eastAsia="Calibri" w:hAnsi="Garamond" w:cs="Times New Roman"/>
          <w:sz w:val="24"/>
          <w:szCs w:val="24"/>
          <w:lang w:val="en-GB"/>
        </w:rPr>
        <w:t xml:space="preserve"> Post, 2016). Existing studies confirm th</w:t>
      </w:r>
      <w:r w:rsidR="00597267" w:rsidRPr="00DB6C99">
        <w:rPr>
          <w:rFonts w:ascii="Garamond" w:eastAsia="Calibri" w:hAnsi="Garamond" w:cs="Times New Roman"/>
          <w:sz w:val="24"/>
          <w:szCs w:val="24"/>
          <w:lang w:val="en-GB"/>
        </w:rPr>
        <w:t xml:space="preserve">is: </w:t>
      </w:r>
      <w:r w:rsidRPr="00DB6C99">
        <w:rPr>
          <w:rFonts w:ascii="Garamond" w:eastAsia="Calibri" w:hAnsi="Garamond" w:cs="Times New Roman"/>
          <w:sz w:val="24"/>
          <w:szCs w:val="24"/>
          <w:lang w:val="en-GB"/>
        </w:rPr>
        <w:t xml:space="preserve">Atif </w:t>
      </w:r>
      <w:r w:rsidRPr="00DB6C99">
        <w:rPr>
          <w:rFonts w:ascii="Garamond" w:eastAsia="Calibri" w:hAnsi="Garamond" w:cs="Times New Roman"/>
          <w:i/>
          <w:sz w:val="24"/>
          <w:szCs w:val="24"/>
          <w:lang w:val="en-GB"/>
        </w:rPr>
        <w:t>et al</w:t>
      </w:r>
      <w:r w:rsidRPr="00DB6C99">
        <w:rPr>
          <w:rFonts w:ascii="Garamond" w:eastAsia="Calibri" w:hAnsi="Garamond" w:cs="Times New Roman"/>
          <w:iCs/>
          <w:sz w:val="24"/>
          <w:szCs w:val="24"/>
          <w:lang w:val="en-GB"/>
        </w:rPr>
        <w:t xml:space="preserve">. </w:t>
      </w:r>
      <w:r w:rsidRPr="00DB6C99">
        <w:rPr>
          <w:rFonts w:ascii="Garamond" w:eastAsia="Calibri" w:hAnsi="Garamond" w:cs="Times New Roman"/>
          <w:sz w:val="24"/>
          <w:szCs w:val="24"/>
          <w:lang w:val="en-GB"/>
        </w:rPr>
        <w:t>(2020) report that the presence of two or more female directors on the board has a strong effect on sustainable investment, while Post</w:t>
      </w:r>
      <w:r w:rsidR="005C7218" w:rsidRPr="00DB6C99">
        <w:rPr>
          <w:rFonts w:ascii="Garamond" w:eastAsia="Calibri" w:hAnsi="Garamond" w:cs="Times New Roman"/>
          <w:sz w:val="24"/>
          <w:szCs w:val="24"/>
          <w:lang w:val="en-GB"/>
        </w:rPr>
        <w:t>, Rahman and Rubow</w:t>
      </w:r>
      <w:r w:rsidRPr="00DB6C99">
        <w:rPr>
          <w:rFonts w:ascii="Garamond" w:eastAsia="Calibri" w:hAnsi="Garamond" w:cs="Times New Roman"/>
          <w:iCs/>
          <w:sz w:val="24"/>
          <w:szCs w:val="24"/>
          <w:lang w:val="en-GB"/>
        </w:rPr>
        <w:t xml:space="preserve"> </w:t>
      </w:r>
      <w:r w:rsidRPr="00DB6C99">
        <w:rPr>
          <w:rFonts w:ascii="Garamond" w:eastAsia="Calibri" w:hAnsi="Garamond" w:cs="Times New Roman"/>
          <w:sz w:val="24"/>
          <w:szCs w:val="24"/>
          <w:lang w:val="en-GB"/>
        </w:rPr>
        <w:t>(2011) show that firms with three or more female directors exhibit better environmental performance. Similarly, higher female representation is positively associated with sustainability disclosure (Liao</w:t>
      </w:r>
      <w:r w:rsidR="00F5602F" w:rsidRPr="00DB6C99">
        <w:rPr>
          <w:rFonts w:ascii="Garamond" w:eastAsia="Calibri" w:hAnsi="Garamond" w:cs="Times New Roman"/>
          <w:sz w:val="24"/>
          <w:szCs w:val="24"/>
          <w:lang w:val="en-GB"/>
        </w:rPr>
        <w:t>, Luo and Tang</w:t>
      </w:r>
      <w:r w:rsidRPr="00DB6C99">
        <w:rPr>
          <w:rFonts w:ascii="Garamond" w:eastAsia="Calibri" w:hAnsi="Garamond" w:cs="Times New Roman"/>
          <w:iCs/>
          <w:sz w:val="24"/>
          <w:szCs w:val="24"/>
          <w:lang w:val="en-GB"/>
        </w:rPr>
        <w:t xml:space="preserve">, </w:t>
      </w:r>
      <w:r w:rsidRPr="00DB6C99">
        <w:rPr>
          <w:rFonts w:ascii="Garamond" w:eastAsia="Calibri" w:hAnsi="Garamond" w:cs="Times New Roman"/>
          <w:sz w:val="24"/>
          <w:szCs w:val="24"/>
          <w:lang w:val="en-GB"/>
        </w:rPr>
        <w:t xml:space="preserve">2015) and the quality of such disclosure (Al-Shaer </w:t>
      </w:r>
      <w:r w:rsidR="00597267" w:rsidRPr="00DB6C99">
        <w:rPr>
          <w:rFonts w:ascii="Garamond" w:eastAsia="Calibri" w:hAnsi="Garamond" w:cs="Times New Roman"/>
          <w:sz w:val="24"/>
          <w:szCs w:val="24"/>
          <w:lang w:val="en-GB"/>
        </w:rPr>
        <w:t>and</w:t>
      </w:r>
      <w:r w:rsidRPr="00DB6C99">
        <w:rPr>
          <w:rFonts w:ascii="Garamond" w:eastAsia="Calibri" w:hAnsi="Garamond" w:cs="Times New Roman"/>
          <w:sz w:val="24"/>
          <w:szCs w:val="24"/>
          <w:lang w:val="en-GB"/>
        </w:rPr>
        <w:t xml:space="preserve"> Zaman, 2016). </w:t>
      </w:r>
      <w:r w:rsidR="00597267" w:rsidRPr="00DB6C99">
        <w:rPr>
          <w:rFonts w:ascii="Garamond" w:eastAsia="Calibri" w:hAnsi="Garamond" w:cs="Times New Roman"/>
          <w:sz w:val="24"/>
          <w:szCs w:val="24"/>
          <w:lang w:val="en-GB"/>
        </w:rPr>
        <w:t>S</w:t>
      </w:r>
      <w:r w:rsidRPr="00DB6C99">
        <w:rPr>
          <w:rFonts w:ascii="Garamond" w:eastAsia="Calibri" w:hAnsi="Garamond" w:cs="Times New Roman"/>
          <w:sz w:val="24"/>
          <w:szCs w:val="24"/>
          <w:lang w:val="en-GB"/>
        </w:rPr>
        <w:t xml:space="preserve">ince CSR decoupling affects firm outcomes negatively, we assume that the critical mass of female directors on a board may effectively reduce managerial misbehaviour and ensure transparent CSR information. </w:t>
      </w:r>
      <w:r w:rsidR="00836E6B" w:rsidRPr="00DB6C99">
        <w:rPr>
          <w:rFonts w:ascii="Garamond" w:eastAsia="Calibri" w:hAnsi="Garamond" w:cs="Times New Roman"/>
          <w:sz w:val="24"/>
          <w:szCs w:val="24"/>
          <w:lang w:val="en-GB"/>
        </w:rPr>
        <w:t>W</w:t>
      </w:r>
      <w:r w:rsidRPr="00DB6C99">
        <w:rPr>
          <w:rFonts w:ascii="Garamond" w:eastAsia="Calibri" w:hAnsi="Garamond" w:cs="Times New Roman"/>
          <w:sz w:val="24"/>
          <w:szCs w:val="24"/>
          <w:lang w:val="en-GB"/>
        </w:rPr>
        <w:t xml:space="preserve">e also argue that the proportion of female directors is more relevant than the actual size of the female (minority) group to clarify the actual role of critical female masses on CSR-related decisions. Thus, we hypothesize the following: </w:t>
      </w:r>
    </w:p>
    <w:p w14:paraId="641FA640" w14:textId="23F9BEC7" w:rsidR="004A1788" w:rsidRPr="00DB6C99" w:rsidRDefault="004A1788" w:rsidP="004A1788">
      <w:pPr>
        <w:spacing w:line="360" w:lineRule="auto"/>
        <w:jc w:val="both"/>
        <w:rPr>
          <w:rFonts w:ascii="Garamond" w:eastAsia="Calibri" w:hAnsi="Garamond" w:cs="Times New Roman"/>
          <w:i/>
          <w:sz w:val="24"/>
          <w:szCs w:val="24"/>
          <w:lang w:val="en-GB"/>
        </w:rPr>
      </w:pPr>
      <w:r w:rsidRPr="00DB6C99">
        <w:rPr>
          <w:rFonts w:ascii="Garamond" w:eastAsia="Calibri" w:hAnsi="Garamond" w:cs="Times New Roman"/>
          <w:i/>
          <w:sz w:val="24"/>
          <w:szCs w:val="24"/>
          <w:lang w:val="en-GB"/>
        </w:rPr>
        <w:t xml:space="preserve">H3: </w:t>
      </w:r>
      <w:r w:rsidR="00597267" w:rsidRPr="00DB6C99">
        <w:rPr>
          <w:rFonts w:ascii="Garamond" w:eastAsia="Calibri" w:hAnsi="Garamond" w:cs="Times New Roman"/>
          <w:i/>
          <w:sz w:val="24"/>
          <w:szCs w:val="24"/>
          <w:lang w:val="en-GB"/>
        </w:rPr>
        <w:t>The c</w:t>
      </w:r>
      <w:r w:rsidRPr="00DB6C99">
        <w:rPr>
          <w:rFonts w:ascii="Garamond" w:eastAsia="Calibri" w:hAnsi="Garamond" w:cs="Times New Roman"/>
          <w:i/>
          <w:sz w:val="24"/>
          <w:szCs w:val="24"/>
          <w:lang w:val="en-GB"/>
        </w:rPr>
        <w:t>ritical mass of women directors on boards is negatively associated with CSR decoupling.</w:t>
      </w:r>
    </w:p>
    <w:p w14:paraId="2D39DEB6" w14:textId="2D382F87" w:rsidR="004A1788" w:rsidRPr="00DB6C99" w:rsidRDefault="004A1788" w:rsidP="004A1788">
      <w:pPr>
        <w:spacing w:line="360" w:lineRule="auto"/>
        <w:jc w:val="both"/>
        <w:rPr>
          <w:rFonts w:ascii="Garamond" w:eastAsia="Calibri" w:hAnsi="Garamond" w:cs="Times New Roman"/>
          <w:b/>
          <w:bCs/>
          <w:sz w:val="24"/>
          <w:szCs w:val="24"/>
          <w:lang w:val="en-GB"/>
        </w:rPr>
      </w:pPr>
      <w:r w:rsidRPr="00DB6C99">
        <w:rPr>
          <w:rFonts w:ascii="Garamond" w:eastAsia="Calibri" w:hAnsi="Garamond" w:cs="Times New Roman"/>
          <w:b/>
          <w:bCs/>
          <w:sz w:val="24"/>
          <w:szCs w:val="24"/>
          <w:lang w:val="en-GB"/>
        </w:rPr>
        <w:lastRenderedPageBreak/>
        <w:t>Methodology</w:t>
      </w:r>
    </w:p>
    <w:p w14:paraId="2021B074" w14:textId="77777777" w:rsidR="004A1788" w:rsidRPr="00DB6C99" w:rsidRDefault="004A1788" w:rsidP="004A1788">
      <w:pPr>
        <w:spacing w:line="360" w:lineRule="auto"/>
        <w:ind w:firstLine="720"/>
        <w:jc w:val="both"/>
        <w:rPr>
          <w:rFonts w:ascii="Garamond" w:eastAsia="Calibri" w:hAnsi="Garamond" w:cs="Times New Roman"/>
          <w:b/>
          <w:bCs/>
          <w:i/>
          <w:iCs/>
          <w:sz w:val="24"/>
          <w:szCs w:val="24"/>
          <w:lang w:val="en-GB"/>
        </w:rPr>
      </w:pPr>
      <w:r w:rsidRPr="00DB6C99">
        <w:rPr>
          <w:rFonts w:ascii="Garamond" w:eastAsia="Calibri" w:hAnsi="Garamond" w:cs="Times New Roman"/>
          <w:b/>
          <w:bCs/>
          <w:i/>
          <w:iCs/>
          <w:sz w:val="24"/>
          <w:szCs w:val="24"/>
          <w:lang w:val="en-GB"/>
        </w:rPr>
        <w:t>Data and sample</w:t>
      </w:r>
    </w:p>
    <w:p w14:paraId="477B1ECB" w14:textId="6E7FC056" w:rsidR="004A1788" w:rsidRPr="00DB6C99" w:rsidRDefault="004A1788" w:rsidP="004A1788">
      <w:pPr>
        <w:spacing w:line="360" w:lineRule="auto"/>
        <w:ind w:firstLine="720"/>
        <w:jc w:val="both"/>
        <w:rPr>
          <w:rFonts w:ascii="Garamond" w:eastAsia="Calibri" w:hAnsi="Garamond" w:cs="Times New Roman"/>
          <w:sz w:val="24"/>
          <w:szCs w:val="24"/>
          <w:lang w:val="en-GB"/>
        </w:rPr>
      </w:pPr>
      <w:r w:rsidRPr="00DB6C99">
        <w:rPr>
          <w:rFonts w:ascii="Garamond" w:eastAsia="Calibri" w:hAnsi="Garamond" w:cs="Times New Roman"/>
          <w:sz w:val="24"/>
          <w:szCs w:val="24"/>
          <w:lang w:val="en-GB"/>
        </w:rPr>
        <w:t xml:space="preserve">We collected data on US firms from 2002 to 2017. CSR decoupling was calculated using data from Asset4, while other </w:t>
      </w:r>
      <w:r w:rsidR="00D62904" w:rsidRPr="00DB6C99">
        <w:rPr>
          <w:rFonts w:ascii="Garamond" w:eastAsia="Calibri" w:hAnsi="Garamond" w:cs="Times New Roman"/>
          <w:sz w:val="24"/>
          <w:szCs w:val="24"/>
          <w:lang w:val="en-GB"/>
        </w:rPr>
        <w:t>CG</w:t>
      </w:r>
      <w:r w:rsidRPr="00DB6C99">
        <w:rPr>
          <w:rFonts w:ascii="Garamond" w:eastAsia="Calibri" w:hAnsi="Garamond" w:cs="Times New Roman"/>
          <w:sz w:val="24"/>
          <w:szCs w:val="24"/>
          <w:lang w:val="en-GB"/>
        </w:rPr>
        <w:t xml:space="preserve"> and financial data were collected from BoardEx and Worldscope, respectively. We then merged data from different sources and eliminated firm-years with missing information. Consistent with prior studies (e.g., </w:t>
      </w:r>
      <w:r w:rsidR="00D62904" w:rsidRPr="00DB6C99">
        <w:rPr>
          <w:rFonts w:ascii="Garamond" w:eastAsia="Calibri" w:hAnsi="Garamond" w:cs="Times New Roman"/>
          <w:sz w:val="24"/>
          <w:szCs w:val="24"/>
          <w:lang w:val="en-GB"/>
        </w:rPr>
        <w:t xml:space="preserve">Atif </w:t>
      </w:r>
      <w:r w:rsidR="00D62904" w:rsidRPr="00DB6C99">
        <w:rPr>
          <w:rFonts w:ascii="Garamond" w:eastAsia="Calibri" w:hAnsi="Garamond" w:cs="Times New Roman"/>
          <w:i/>
          <w:sz w:val="24"/>
          <w:szCs w:val="24"/>
          <w:lang w:val="en-GB"/>
        </w:rPr>
        <w:t>et al.</w:t>
      </w:r>
      <w:r w:rsidR="00D62904" w:rsidRPr="00DB6C99">
        <w:rPr>
          <w:rFonts w:ascii="Garamond" w:eastAsia="Calibri" w:hAnsi="Garamond" w:cs="Times New Roman"/>
          <w:sz w:val="24"/>
          <w:szCs w:val="24"/>
          <w:lang w:val="en-GB"/>
        </w:rPr>
        <w:t xml:space="preserve">, 2020; </w:t>
      </w:r>
      <w:r w:rsidRPr="00DB6C99">
        <w:rPr>
          <w:rFonts w:ascii="Garamond" w:eastAsia="Calibri" w:hAnsi="Garamond" w:cs="Times New Roman"/>
          <w:sz w:val="24"/>
          <w:szCs w:val="24"/>
          <w:lang w:val="en-GB"/>
        </w:rPr>
        <w:t>Liu</w:t>
      </w:r>
      <w:r w:rsidR="00F5602F" w:rsidRPr="00DB6C99">
        <w:rPr>
          <w:rFonts w:ascii="Garamond" w:eastAsia="Calibri" w:hAnsi="Garamond" w:cs="Times New Roman"/>
          <w:sz w:val="24"/>
          <w:szCs w:val="24"/>
          <w:lang w:val="en-GB"/>
        </w:rPr>
        <w:t>, Wei and Xie</w:t>
      </w:r>
      <w:r w:rsidRPr="00DB6C99">
        <w:rPr>
          <w:rFonts w:ascii="Garamond" w:eastAsia="Calibri" w:hAnsi="Garamond" w:cs="Times New Roman"/>
          <w:sz w:val="24"/>
          <w:szCs w:val="24"/>
          <w:lang w:val="en-GB"/>
        </w:rPr>
        <w:t>, 2014), we excluded financial firms (SIC codes 6000</w:t>
      </w:r>
      <w:r w:rsidR="00D62904"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 xml:space="preserve">6999) from our sample due to their unique regulatory environment. </w:t>
      </w:r>
      <w:r w:rsidR="00D62904" w:rsidRPr="00DB6C99">
        <w:rPr>
          <w:rFonts w:ascii="Garamond" w:eastAsia="Calibri" w:hAnsi="Garamond" w:cs="Times New Roman"/>
          <w:sz w:val="24"/>
          <w:szCs w:val="24"/>
          <w:lang w:val="en-GB"/>
        </w:rPr>
        <w:t>O</w:t>
      </w:r>
      <w:r w:rsidRPr="00DB6C99">
        <w:rPr>
          <w:rFonts w:ascii="Garamond" w:eastAsia="Calibri" w:hAnsi="Garamond" w:cs="Times New Roman"/>
          <w:sz w:val="24"/>
          <w:szCs w:val="24"/>
          <w:lang w:val="en-GB"/>
        </w:rPr>
        <w:t>ur final sample consisted of an unbalanced panel of 9,276 firm-year observations.</w:t>
      </w:r>
    </w:p>
    <w:p w14:paraId="5959249E" w14:textId="721445AD" w:rsidR="004A1788" w:rsidRPr="00DB6C99" w:rsidRDefault="004A1788" w:rsidP="006C78EB">
      <w:pPr>
        <w:spacing w:line="360" w:lineRule="auto"/>
        <w:ind w:firstLine="720"/>
        <w:jc w:val="both"/>
        <w:rPr>
          <w:rFonts w:ascii="Garamond" w:eastAsia="Calibri" w:hAnsi="Garamond" w:cs="Times New Roman"/>
          <w:b/>
          <w:bCs/>
          <w:i/>
          <w:iCs/>
          <w:sz w:val="24"/>
          <w:szCs w:val="24"/>
          <w:lang w:val="en-GB"/>
        </w:rPr>
      </w:pPr>
      <w:r w:rsidRPr="00DB6C99">
        <w:rPr>
          <w:rFonts w:ascii="Garamond" w:eastAsia="Calibri" w:hAnsi="Garamond" w:cs="Times New Roman"/>
          <w:b/>
          <w:bCs/>
          <w:i/>
          <w:iCs/>
          <w:sz w:val="24"/>
          <w:szCs w:val="24"/>
          <w:lang w:val="en-GB"/>
        </w:rPr>
        <w:t>Measurement of the main variables</w:t>
      </w:r>
    </w:p>
    <w:p w14:paraId="4BDE9731" w14:textId="77777777" w:rsidR="004A1788" w:rsidRPr="00DB6C99" w:rsidRDefault="004A1788" w:rsidP="004A1788">
      <w:pPr>
        <w:spacing w:line="360" w:lineRule="auto"/>
        <w:ind w:firstLine="720"/>
        <w:jc w:val="both"/>
        <w:rPr>
          <w:rFonts w:ascii="Garamond" w:eastAsia="Calibri" w:hAnsi="Garamond" w:cs="Times New Roman"/>
          <w:i/>
          <w:iCs/>
          <w:sz w:val="24"/>
          <w:szCs w:val="24"/>
          <w:lang w:val="en-GB"/>
        </w:rPr>
      </w:pPr>
      <w:r w:rsidRPr="00DB6C99">
        <w:rPr>
          <w:rFonts w:ascii="Garamond" w:eastAsia="Calibri" w:hAnsi="Garamond" w:cs="Times New Roman"/>
          <w:i/>
          <w:iCs/>
          <w:sz w:val="24"/>
          <w:szCs w:val="24"/>
          <w:lang w:val="en-GB"/>
        </w:rPr>
        <w:t>CSR decoupling</w:t>
      </w:r>
    </w:p>
    <w:p w14:paraId="355B0BD1" w14:textId="3602A2C5" w:rsidR="004A1788" w:rsidRPr="00DB6C99" w:rsidRDefault="004A1788" w:rsidP="004A1788">
      <w:pPr>
        <w:spacing w:line="360" w:lineRule="auto"/>
        <w:ind w:firstLine="720"/>
        <w:jc w:val="both"/>
        <w:rPr>
          <w:rFonts w:ascii="Garamond" w:eastAsia="Calibri" w:hAnsi="Garamond" w:cs="Times New Roman"/>
          <w:sz w:val="24"/>
          <w:szCs w:val="24"/>
          <w:lang w:val="en-GB"/>
        </w:rPr>
      </w:pPr>
      <w:r w:rsidRPr="00DB6C99">
        <w:rPr>
          <w:rFonts w:ascii="Garamond" w:eastAsia="Calibri" w:hAnsi="Garamond" w:cs="Times New Roman"/>
          <w:sz w:val="24"/>
          <w:szCs w:val="24"/>
          <w:lang w:val="en-GB"/>
        </w:rPr>
        <w:t>Our dependent variable, CSR decoupling (</w:t>
      </w:r>
      <w:r w:rsidRPr="00DB6C99">
        <w:rPr>
          <w:rFonts w:ascii="Garamond" w:eastAsia="Calibri" w:hAnsi="Garamond" w:cs="Times New Roman"/>
          <w:i/>
          <w:iCs/>
          <w:sz w:val="24"/>
          <w:szCs w:val="24"/>
          <w:lang w:val="en-GB"/>
        </w:rPr>
        <w:t>GAP</w:t>
      </w:r>
      <w:r w:rsidRPr="00DB6C99">
        <w:rPr>
          <w:rFonts w:ascii="Garamond" w:eastAsia="Calibri" w:hAnsi="Garamond" w:cs="Times New Roman"/>
          <w:sz w:val="24"/>
          <w:szCs w:val="24"/>
          <w:lang w:val="en-GB"/>
        </w:rPr>
        <w:t>)</w:t>
      </w:r>
      <w:r w:rsidR="00D62904" w:rsidRPr="00DB6C99">
        <w:rPr>
          <w:rFonts w:ascii="Garamond" w:eastAsia="Calibri" w:hAnsi="Garamond" w:cs="Times New Roman"/>
          <w:sz w:val="24"/>
          <w:szCs w:val="24"/>
          <w:lang w:val="en-GB"/>
        </w:rPr>
        <w:t>,</w:t>
      </w:r>
      <w:r w:rsidRPr="00DB6C99">
        <w:rPr>
          <w:rFonts w:ascii="Garamond" w:eastAsia="Calibri" w:hAnsi="Garamond" w:cs="Times New Roman"/>
          <w:sz w:val="24"/>
          <w:szCs w:val="24"/>
          <w:vertAlign w:val="superscript"/>
          <w:lang w:val="en-GB"/>
        </w:rPr>
        <w:footnoteReference w:id="2"/>
      </w:r>
      <w:r w:rsidRPr="00DB6C99">
        <w:rPr>
          <w:rFonts w:ascii="Garamond" w:eastAsia="Calibri" w:hAnsi="Garamond" w:cs="Times New Roman"/>
          <w:sz w:val="24"/>
          <w:szCs w:val="24"/>
          <w:lang w:val="en-GB"/>
        </w:rPr>
        <w:t xml:space="preserve"> is measured as the difference between current external CSR actions and lagged internal CSR actions scaled by the logged value of total assets (Hawn </w:t>
      </w:r>
      <w:r w:rsidR="00D62904" w:rsidRPr="00DB6C99">
        <w:rPr>
          <w:rFonts w:ascii="Garamond" w:eastAsia="Calibri" w:hAnsi="Garamond" w:cs="Times New Roman"/>
          <w:sz w:val="24"/>
          <w:szCs w:val="24"/>
          <w:lang w:val="en-GB"/>
        </w:rPr>
        <w:t>and</w:t>
      </w:r>
      <w:r w:rsidRPr="00DB6C99">
        <w:rPr>
          <w:rFonts w:ascii="Garamond" w:eastAsia="Calibri" w:hAnsi="Garamond" w:cs="Times New Roman"/>
          <w:sz w:val="24"/>
          <w:szCs w:val="24"/>
          <w:lang w:val="en-GB"/>
        </w:rPr>
        <w:t xml:space="preserve"> Ioannou, 2016). </w:t>
      </w:r>
    </w:p>
    <w:p w14:paraId="00E122AD" w14:textId="77777777" w:rsidR="004A1788" w:rsidRPr="00DB6C99" w:rsidRDefault="004A1788" w:rsidP="004A1788">
      <w:pPr>
        <w:spacing w:line="360" w:lineRule="auto"/>
        <w:ind w:firstLine="720"/>
        <w:jc w:val="both"/>
        <w:rPr>
          <w:rFonts w:ascii="Garamond" w:eastAsia="Calibri" w:hAnsi="Garamond" w:cs="Times New Roman"/>
          <w:i/>
          <w:iCs/>
          <w:sz w:val="24"/>
          <w:szCs w:val="24"/>
          <w:lang w:val="en-GB"/>
        </w:rPr>
      </w:pPr>
      <w:r w:rsidRPr="00DB6C99">
        <w:rPr>
          <w:rFonts w:ascii="Garamond" w:eastAsia="Calibri" w:hAnsi="Garamond" w:cs="Times New Roman"/>
          <w:i/>
          <w:iCs/>
          <w:sz w:val="24"/>
          <w:szCs w:val="24"/>
          <w:lang w:val="en-GB"/>
        </w:rPr>
        <w:t>BGD</w:t>
      </w:r>
    </w:p>
    <w:p w14:paraId="4C47734F" w14:textId="766CDF32" w:rsidR="006C78EB" w:rsidRPr="00DB6C99" w:rsidRDefault="004A1788" w:rsidP="004A1E6A">
      <w:pPr>
        <w:spacing w:line="360" w:lineRule="auto"/>
        <w:ind w:firstLine="720"/>
        <w:jc w:val="both"/>
        <w:rPr>
          <w:rFonts w:ascii="Garamond" w:eastAsia="Calibri" w:hAnsi="Garamond" w:cs="Times New Roman"/>
          <w:sz w:val="24"/>
          <w:szCs w:val="24"/>
          <w:lang w:val="en-GB"/>
        </w:rPr>
      </w:pPr>
      <w:r w:rsidRPr="00DB6C99">
        <w:rPr>
          <w:rFonts w:ascii="Garamond" w:eastAsia="Calibri" w:hAnsi="Garamond" w:cs="Times New Roman"/>
          <w:sz w:val="24"/>
          <w:szCs w:val="24"/>
          <w:lang w:val="en-GB"/>
        </w:rPr>
        <w:t>To test H1, we measure the participation of female directors as the proportion of female directors on the board (</w:t>
      </w:r>
      <w:r w:rsidRPr="00DB6C99">
        <w:rPr>
          <w:rFonts w:ascii="Garamond" w:eastAsia="Calibri" w:hAnsi="Garamond" w:cs="Times New Roman"/>
          <w:i/>
          <w:iCs/>
          <w:sz w:val="24"/>
          <w:szCs w:val="24"/>
          <w:lang w:val="en-GB"/>
        </w:rPr>
        <w:t>FPRO</w:t>
      </w:r>
      <w:r w:rsidRPr="00DB6C99">
        <w:rPr>
          <w:rFonts w:ascii="Garamond" w:eastAsia="Calibri" w:hAnsi="Garamond" w:cs="Times New Roman"/>
          <w:sz w:val="24"/>
          <w:szCs w:val="24"/>
          <w:lang w:val="en-GB"/>
        </w:rPr>
        <w:t xml:space="preserve">). Following </w:t>
      </w:r>
      <w:r w:rsidR="00D62904" w:rsidRPr="00DB6C99">
        <w:rPr>
          <w:rFonts w:ascii="Garamond" w:eastAsia="Calibri" w:hAnsi="Garamond" w:cs="Times New Roman"/>
          <w:sz w:val="24"/>
          <w:szCs w:val="24"/>
          <w:lang w:val="en-GB"/>
        </w:rPr>
        <w:t>Atif</w:t>
      </w:r>
      <w:r w:rsidR="00171487" w:rsidRPr="00DB6C99">
        <w:rPr>
          <w:rFonts w:ascii="Garamond" w:eastAsia="Calibri" w:hAnsi="Garamond" w:cs="Times New Roman"/>
          <w:sz w:val="24"/>
          <w:szCs w:val="24"/>
          <w:lang w:val="en-GB"/>
        </w:rPr>
        <w:t>, Liu and Huang</w:t>
      </w:r>
      <w:r w:rsidR="00D62904" w:rsidRPr="00DB6C99">
        <w:rPr>
          <w:rFonts w:ascii="Garamond" w:eastAsia="Calibri" w:hAnsi="Garamond" w:cs="Times New Roman"/>
          <w:iCs/>
          <w:sz w:val="24"/>
          <w:szCs w:val="24"/>
          <w:lang w:val="en-GB"/>
        </w:rPr>
        <w:t xml:space="preserve"> </w:t>
      </w:r>
      <w:r w:rsidR="00D62904" w:rsidRPr="00DB6C99">
        <w:rPr>
          <w:rFonts w:ascii="Garamond" w:eastAsia="Calibri" w:hAnsi="Garamond" w:cs="Times New Roman"/>
          <w:sz w:val="24"/>
          <w:szCs w:val="24"/>
          <w:lang w:val="en-GB"/>
        </w:rPr>
        <w:t xml:space="preserve">(2019), </w:t>
      </w:r>
      <w:r w:rsidR="002806E6" w:rsidRPr="00DB6C99">
        <w:rPr>
          <w:rFonts w:ascii="Garamond" w:eastAsia="Calibri" w:hAnsi="Garamond" w:cs="Times New Roman"/>
          <w:sz w:val="24"/>
          <w:szCs w:val="24"/>
          <w:lang w:val="en-GB"/>
        </w:rPr>
        <w:t>Gull</w:t>
      </w:r>
      <w:r w:rsidR="008E45BA" w:rsidRPr="00DB6C99">
        <w:rPr>
          <w:rFonts w:ascii="Garamond" w:eastAsia="Calibri" w:hAnsi="Garamond" w:cs="Times New Roman"/>
          <w:i/>
          <w:iCs/>
          <w:sz w:val="24"/>
          <w:szCs w:val="24"/>
          <w:lang w:val="en-GB"/>
        </w:rPr>
        <w:t xml:space="preserve">, </w:t>
      </w:r>
      <w:r w:rsidR="008E45BA" w:rsidRPr="00DB6C99">
        <w:rPr>
          <w:rFonts w:ascii="Garamond" w:eastAsia="Calibri" w:hAnsi="Garamond" w:cs="Times New Roman"/>
          <w:iCs/>
          <w:sz w:val="24"/>
          <w:szCs w:val="24"/>
          <w:lang w:val="en-GB"/>
        </w:rPr>
        <w:t>Atif and Hussain</w:t>
      </w:r>
      <w:r w:rsidR="002806E6" w:rsidRPr="00DB6C99">
        <w:rPr>
          <w:rFonts w:ascii="Garamond" w:eastAsia="Calibri" w:hAnsi="Garamond" w:cs="Times New Roman"/>
          <w:sz w:val="24"/>
          <w:szCs w:val="24"/>
          <w:lang w:val="en-GB"/>
        </w:rPr>
        <w:t>. (2022)</w:t>
      </w:r>
      <w:r w:rsidR="00D62904" w:rsidRPr="00DB6C99">
        <w:rPr>
          <w:rFonts w:ascii="Garamond" w:eastAsia="Calibri" w:hAnsi="Garamond" w:cs="Times New Roman"/>
          <w:sz w:val="24"/>
          <w:szCs w:val="24"/>
          <w:lang w:val="en-GB"/>
        </w:rPr>
        <w:t xml:space="preserve"> and</w:t>
      </w:r>
      <w:r w:rsidR="002806E6" w:rsidRPr="00DB6C99">
        <w:rPr>
          <w:rFonts w:ascii="Garamond" w:eastAsia="Calibri" w:hAnsi="Garamond" w:cs="Times New Roman"/>
          <w:sz w:val="24"/>
          <w:szCs w:val="24"/>
          <w:lang w:val="en-GB"/>
        </w:rPr>
        <w:t xml:space="preserve"> Nekhili</w:t>
      </w:r>
      <w:r w:rsidR="008C5670" w:rsidRPr="00DB6C99">
        <w:rPr>
          <w:rFonts w:ascii="Garamond" w:eastAsia="Calibri" w:hAnsi="Garamond" w:cs="Times New Roman"/>
          <w:sz w:val="24"/>
          <w:szCs w:val="24"/>
          <w:lang w:val="en-GB"/>
        </w:rPr>
        <w:t>, Bennouri and Nagati</w:t>
      </w:r>
      <w:r w:rsidR="002806E6" w:rsidRPr="00DB6C99">
        <w:rPr>
          <w:rFonts w:ascii="Garamond" w:eastAsia="Calibri" w:hAnsi="Garamond" w:cs="Times New Roman"/>
          <w:iCs/>
          <w:sz w:val="24"/>
          <w:szCs w:val="24"/>
          <w:lang w:val="en-GB"/>
        </w:rPr>
        <w:t xml:space="preserve"> </w:t>
      </w:r>
      <w:r w:rsidR="002806E6" w:rsidRPr="00DB6C99">
        <w:rPr>
          <w:rFonts w:ascii="Garamond" w:eastAsia="Calibri" w:hAnsi="Garamond" w:cs="Times New Roman"/>
          <w:sz w:val="24"/>
          <w:szCs w:val="24"/>
          <w:lang w:val="en-GB"/>
        </w:rPr>
        <w:t>(202</w:t>
      </w:r>
      <w:r w:rsidR="0060668C" w:rsidRPr="00DB6C99">
        <w:rPr>
          <w:rFonts w:ascii="Garamond" w:eastAsia="Calibri" w:hAnsi="Garamond" w:cs="Times New Roman"/>
          <w:sz w:val="24"/>
          <w:szCs w:val="24"/>
          <w:lang w:val="en-GB"/>
        </w:rPr>
        <w:t>2</w:t>
      </w:r>
      <w:r w:rsidR="002806E6"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 we further split the proportion of female directors into the proportion of executive and independent female directors (</w:t>
      </w:r>
      <w:r w:rsidRPr="00DB6C99">
        <w:rPr>
          <w:rFonts w:ascii="Garamond" w:eastAsia="Calibri" w:hAnsi="Garamond" w:cs="Times New Roman"/>
          <w:i/>
          <w:iCs/>
          <w:sz w:val="24"/>
          <w:szCs w:val="24"/>
          <w:lang w:val="en-GB"/>
        </w:rPr>
        <w:t>FNEDPRO</w:t>
      </w:r>
      <w:r w:rsidRPr="00DB6C99">
        <w:rPr>
          <w:rFonts w:ascii="Garamond" w:eastAsia="Calibri" w:hAnsi="Garamond" w:cs="Times New Roman"/>
          <w:sz w:val="24"/>
          <w:szCs w:val="24"/>
          <w:lang w:val="en-GB"/>
        </w:rPr>
        <w:t xml:space="preserve"> and </w:t>
      </w:r>
      <w:r w:rsidRPr="00DB6C99">
        <w:rPr>
          <w:rFonts w:ascii="Garamond" w:eastAsia="Calibri" w:hAnsi="Garamond" w:cs="Times New Roman"/>
          <w:i/>
          <w:iCs/>
          <w:sz w:val="24"/>
          <w:szCs w:val="24"/>
          <w:lang w:val="en-GB"/>
        </w:rPr>
        <w:t>FEDPRO</w:t>
      </w:r>
      <w:r w:rsidRPr="00DB6C99">
        <w:rPr>
          <w:rFonts w:ascii="Garamond" w:eastAsia="Calibri" w:hAnsi="Garamond" w:cs="Times New Roman"/>
          <w:sz w:val="24"/>
          <w:szCs w:val="24"/>
          <w:lang w:val="en-GB"/>
        </w:rPr>
        <w:t>,</w:t>
      </w:r>
      <w:r w:rsidRPr="00DB6C99">
        <w:rPr>
          <w:rFonts w:ascii="Garamond" w:eastAsia="Calibri" w:hAnsi="Garamond" w:cs="Times New Roman"/>
          <w:i/>
          <w:iCs/>
          <w:sz w:val="24"/>
          <w:szCs w:val="24"/>
          <w:lang w:val="en-GB"/>
        </w:rPr>
        <w:t xml:space="preserve"> </w:t>
      </w:r>
      <w:r w:rsidRPr="00DB6C99">
        <w:rPr>
          <w:rFonts w:ascii="Garamond" w:eastAsia="Calibri" w:hAnsi="Garamond" w:cs="Times New Roman"/>
          <w:iCs/>
          <w:sz w:val="24"/>
          <w:szCs w:val="24"/>
          <w:lang w:val="en-GB"/>
        </w:rPr>
        <w:t>respectively</w:t>
      </w:r>
      <w:r w:rsidRPr="00DB6C99">
        <w:rPr>
          <w:rFonts w:ascii="Garamond" w:eastAsia="Calibri" w:hAnsi="Garamond" w:cs="Times New Roman"/>
          <w:sz w:val="24"/>
          <w:szCs w:val="24"/>
          <w:lang w:val="en-GB"/>
        </w:rPr>
        <w:t xml:space="preserve">) to test H2. Finally, to test H3, we focus on three different board types as proposed by prior studies (see Kanter, 1977; Seebeck </w:t>
      </w:r>
      <w:r w:rsidR="00D62904" w:rsidRPr="00DB6C99">
        <w:rPr>
          <w:rFonts w:ascii="Garamond" w:eastAsia="Calibri" w:hAnsi="Garamond" w:cs="Times New Roman"/>
          <w:sz w:val="24"/>
          <w:szCs w:val="24"/>
          <w:lang w:val="en-GB"/>
        </w:rPr>
        <w:t>and</w:t>
      </w:r>
      <w:r w:rsidRPr="00DB6C99">
        <w:rPr>
          <w:rFonts w:ascii="Garamond" w:eastAsia="Calibri" w:hAnsi="Garamond" w:cs="Times New Roman"/>
          <w:sz w:val="24"/>
          <w:szCs w:val="24"/>
          <w:lang w:val="en-GB"/>
        </w:rPr>
        <w:t xml:space="preserve"> Vetter, 2021). These board types include skewed boards—typically male dominated and therefore likely to place female directors in a position where they are unable to play an active role in the decision-making process; tilted boards—where female directors can form in-groups and are likely to have a greater impact on decision-making as opposed to skewed boards; and balanced boards—where the gender effect on participation fades because gender differences are evened out. We argue that this categorization better captures the expected positive effect of female directors on board-level decision-making </w:t>
      </w:r>
      <w:r w:rsidRPr="00DB6C99">
        <w:rPr>
          <w:rFonts w:ascii="Garamond" w:eastAsia="Calibri" w:hAnsi="Garamond" w:cs="Times New Roman"/>
          <w:iCs/>
          <w:sz w:val="24"/>
          <w:szCs w:val="24"/>
          <w:lang w:val="en-GB"/>
        </w:rPr>
        <w:t>as their proportion (</w:t>
      </w:r>
      <w:r w:rsidRPr="00DB6C99">
        <w:rPr>
          <w:rFonts w:ascii="Garamond" w:eastAsia="Calibri" w:hAnsi="Garamond" w:cs="Times New Roman"/>
          <w:i/>
          <w:sz w:val="24"/>
          <w:szCs w:val="24"/>
          <w:lang w:val="en-GB"/>
        </w:rPr>
        <w:t>FPRO</w:t>
      </w:r>
      <w:r w:rsidRPr="00DB6C99">
        <w:rPr>
          <w:rFonts w:ascii="Garamond" w:eastAsia="Calibri" w:hAnsi="Garamond" w:cs="Times New Roman"/>
          <w:iCs/>
          <w:sz w:val="24"/>
          <w:szCs w:val="24"/>
          <w:lang w:val="en-GB"/>
        </w:rPr>
        <w:t>) on the board increases</w:t>
      </w:r>
      <w:r w:rsidRPr="00DB6C99">
        <w:rPr>
          <w:rFonts w:ascii="Garamond" w:eastAsia="Calibri" w:hAnsi="Garamond" w:cs="Times New Roman"/>
          <w:sz w:val="24"/>
          <w:szCs w:val="24"/>
          <w:lang w:val="en-GB"/>
        </w:rPr>
        <w:t xml:space="preserve">. To </w:t>
      </w:r>
      <w:r w:rsidRPr="00DB6C99">
        <w:rPr>
          <w:rFonts w:ascii="Garamond" w:eastAsia="Calibri" w:hAnsi="Garamond" w:cs="Times New Roman"/>
          <w:sz w:val="24"/>
          <w:szCs w:val="24"/>
          <w:lang w:val="en-GB"/>
        </w:rPr>
        <w:lastRenderedPageBreak/>
        <w:t xml:space="preserve">operationalize these measures, we follow Seebeck and Vetter (2021) and create three dummy variables, namely </w:t>
      </w:r>
      <w:r w:rsidRPr="00DB6C99">
        <w:rPr>
          <w:rFonts w:ascii="Garamond" w:eastAsia="Calibri" w:hAnsi="Garamond" w:cs="Times New Roman"/>
          <w:i/>
          <w:iCs/>
          <w:sz w:val="24"/>
          <w:szCs w:val="24"/>
          <w:lang w:val="en-GB"/>
        </w:rPr>
        <w:t>SKEWED</w:t>
      </w:r>
      <w:r w:rsidRPr="00DB6C99">
        <w:rPr>
          <w:rFonts w:ascii="Garamond" w:eastAsia="Calibri" w:hAnsi="Garamond" w:cs="Times New Roman"/>
          <w:sz w:val="24"/>
          <w:szCs w:val="24"/>
          <w:lang w:val="en-GB"/>
        </w:rPr>
        <w:t xml:space="preserve">, </w:t>
      </w:r>
      <w:r w:rsidRPr="00DB6C99">
        <w:rPr>
          <w:rFonts w:ascii="Garamond" w:eastAsia="Calibri" w:hAnsi="Garamond" w:cs="Times New Roman"/>
          <w:i/>
          <w:iCs/>
          <w:sz w:val="24"/>
          <w:szCs w:val="24"/>
          <w:lang w:val="en-GB"/>
        </w:rPr>
        <w:t>TILTED</w:t>
      </w:r>
      <w:r w:rsidRPr="00DB6C99">
        <w:rPr>
          <w:rFonts w:ascii="Garamond" w:eastAsia="Calibri" w:hAnsi="Garamond" w:cs="Times New Roman"/>
          <w:sz w:val="24"/>
          <w:szCs w:val="24"/>
          <w:lang w:val="en-GB"/>
        </w:rPr>
        <w:t xml:space="preserve"> and </w:t>
      </w:r>
      <w:r w:rsidRPr="00DB6C99">
        <w:rPr>
          <w:rFonts w:ascii="Garamond" w:eastAsia="Calibri" w:hAnsi="Garamond" w:cs="Times New Roman"/>
          <w:i/>
          <w:iCs/>
          <w:sz w:val="24"/>
          <w:szCs w:val="24"/>
          <w:lang w:val="en-GB"/>
        </w:rPr>
        <w:t>BALANCED</w:t>
      </w:r>
      <w:r w:rsidRPr="00DB6C99">
        <w:rPr>
          <w:rFonts w:ascii="Garamond" w:eastAsia="Calibri" w:hAnsi="Garamond" w:cs="Times New Roman"/>
          <w:sz w:val="24"/>
          <w:szCs w:val="24"/>
          <w:lang w:val="en-GB"/>
        </w:rPr>
        <w:t xml:space="preserve">. </w:t>
      </w:r>
      <w:r w:rsidRPr="00DB6C99">
        <w:rPr>
          <w:rFonts w:ascii="Garamond" w:eastAsia="Calibri" w:hAnsi="Garamond" w:cs="Times New Roman"/>
          <w:i/>
          <w:iCs/>
          <w:sz w:val="24"/>
          <w:szCs w:val="24"/>
          <w:lang w:val="en-GB"/>
        </w:rPr>
        <w:t>SKEWED</w:t>
      </w:r>
      <w:r w:rsidRPr="00DB6C99">
        <w:rPr>
          <w:rFonts w:ascii="Garamond" w:eastAsia="Calibri" w:hAnsi="Garamond" w:cs="Times New Roman"/>
          <w:sz w:val="24"/>
          <w:szCs w:val="24"/>
          <w:lang w:val="en-GB"/>
        </w:rPr>
        <w:t xml:space="preserve"> is coded 1 if </w:t>
      </w:r>
      <w:r w:rsidRPr="00DB6C99">
        <w:rPr>
          <w:rFonts w:ascii="Garamond" w:eastAsia="Calibri" w:hAnsi="Garamond" w:cs="Times New Roman"/>
          <w:i/>
          <w:iCs/>
          <w:sz w:val="24"/>
          <w:szCs w:val="24"/>
          <w:lang w:val="en-GB"/>
        </w:rPr>
        <w:t>FPRO</w:t>
      </w:r>
      <w:r w:rsidRPr="00DB6C99">
        <w:rPr>
          <w:rFonts w:ascii="Garamond" w:eastAsia="Calibri" w:hAnsi="Garamond" w:cs="Times New Roman"/>
          <w:sz w:val="24"/>
          <w:szCs w:val="24"/>
          <w:lang w:val="en-GB"/>
        </w:rPr>
        <w:t xml:space="preserve"> is up to 20% and 0 otherwise. </w:t>
      </w:r>
      <w:r w:rsidRPr="00DB6C99">
        <w:rPr>
          <w:rFonts w:ascii="Garamond" w:eastAsia="Calibri" w:hAnsi="Garamond" w:cs="Times New Roman"/>
          <w:i/>
          <w:iCs/>
          <w:sz w:val="24"/>
          <w:szCs w:val="24"/>
          <w:lang w:val="en-GB"/>
        </w:rPr>
        <w:t>TILTED</w:t>
      </w:r>
      <w:r w:rsidRPr="00DB6C99">
        <w:rPr>
          <w:rFonts w:ascii="Garamond" w:eastAsia="Calibri" w:hAnsi="Garamond" w:cs="Times New Roman"/>
          <w:sz w:val="24"/>
          <w:szCs w:val="24"/>
          <w:lang w:val="en-GB"/>
        </w:rPr>
        <w:t xml:space="preserve"> is coded 1 if </w:t>
      </w:r>
      <w:r w:rsidRPr="00DB6C99">
        <w:rPr>
          <w:rFonts w:ascii="Garamond" w:eastAsia="Calibri" w:hAnsi="Garamond" w:cs="Times New Roman"/>
          <w:i/>
          <w:iCs/>
          <w:sz w:val="24"/>
          <w:szCs w:val="24"/>
          <w:lang w:val="en-GB"/>
        </w:rPr>
        <w:t>FPRO</w:t>
      </w:r>
      <w:r w:rsidRPr="00DB6C99">
        <w:rPr>
          <w:rFonts w:ascii="Garamond" w:eastAsia="Calibri" w:hAnsi="Garamond" w:cs="Times New Roman"/>
          <w:sz w:val="24"/>
          <w:szCs w:val="24"/>
          <w:lang w:val="en-GB"/>
        </w:rPr>
        <w:t xml:space="preserve"> is more than 20% but less than or equal to 40% and 0 otherwise. </w:t>
      </w:r>
      <w:r w:rsidRPr="00DB6C99">
        <w:rPr>
          <w:rFonts w:ascii="Garamond" w:eastAsia="Calibri" w:hAnsi="Garamond" w:cs="Times New Roman"/>
          <w:i/>
          <w:iCs/>
          <w:sz w:val="24"/>
          <w:szCs w:val="24"/>
          <w:lang w:val="en-GB"/>
        </w:rPr>
        <w:t>BALANCED</w:t>
      </w:r>
      <w:r w:rsidRPr="00DB6C99">
        <w:rPr>
          <w:rFonts w:ascii="Garamond" w:eastAsia="Calibri" w:hAnsi="Garamond" w:cs="Times New Roman"/>
          <w:sz w:val="24"/>
          <w:szCs w:val="24"/>
          <w:lang w:val="en-GB"/>
        </w:rPr>
        <w:t xml:space="preserve"> is coded 1 if </w:t>
      </w:r>
      <w:r w:rsidRPr="00DB6C99">
        <w:rPr>
          <w:rFonts w:ascii="Garamond" w:eastAsia="Calibri" w:hAnsi="Garamond" w:cs="Times New Roman"/>
          <w:i/>
          <w:iCs/>
          <w:sz w:val="24"/>
          <w:szCs w:val="24"/>
          <w:lang w:val="en-GB"/>
        </w:rPr>
        <w:t>FPRO</w:t>
      </w:r>
      <w:r w:rsidRPr="00DB6C99">
        <w:rPr>
          <w:rFonts w:ascii="Garamond" w:eastAsia="Calibri" w:hAnsi="Garamond" w:cs="Times New Roman"/>
          <w:sz w:val="24"/>
          <w:szCs w:val="24"/>
          <w:lang w:val="en-GB"/>
        </w:rPr>
        <w:t xml:space="preserve"> is more than 40% but less than or equal to 60% and 0 otherwise.</w:t>
      </w:r>
    </w:p>
    <w:p w14:paraId="79B92892" w14:textId="09563BF9" w:rsidR="004A1788" w:rsidRPr="00DB6C99" w:rsidRDefault="004A1788" w:rsidP="004A1788">
      <w:pPr>
        <w:spacing w:line="360" w:lineRule="auto"/>
        <w:ind w:firstLine="720"/>
        <w:jc w:val="both"/>
        <w:rPr>
          <w:rFonts w:ascii="Garamond" w:eastAsia="Calibri" w:hAnsi="Garamond" w:cs="Times New Roman"/>
          <w:b/>
          <w:bCs/>
          <w:i/>
          <w:iCs/>
          <w:sz w:val="24"/>
          <w:szCs w:val="24"/>
          <w:lang w:val="en-GB"/>
        </w:rPr>
      </w:pPr>
      <w:r w:rsidRPr="00DB6C99">
        <w:rPr>
          <w:rFonts w:ascii="Garamond" w:eastAsia="Calibri" w:hAnsi="Garamond" w:cs="Times New Roman"/>
          <w:b/>
          <w:bCs/>
          <w:i/>
          <w:iCs/>
          <w:sz w:val="24"/>
          <w:szCs w:val="24"/>
          <w:lang w:val="en-GB"/>
        </w:rPr>
        <w:t>Estimation techniques</w:t>
      </w:r>
    </w:p>
    <w:p w14:paraId="4F5666FE" w14:textId="77777777" w:rsidR="004A1788" w:rsidRPr="00DB6C99" w:rsidRDefault="004A1788" w:rsidP="004A1788">
      <w:pPr>
        <w:spacing w:line="360" w:lineRule="auto"/>
        <w:ind w:firstLine="630"/>
        <w:jc w:val="both"/>
        <w:rPr>
          <w:rFonts w:ascii="Garamond" w:eastAsia="Calibri" w:hAnsi="Garamond" w:cs="Times New Roman"/>
          <w:sz w:val="24"/>
          <w:szCs w:val="24"/>
          <w:lang w:val="en-GB"/>
        </w:rPr>
      </w:pPr>
      <w:r w:rsidRPr="00DB6C99">
        <w:rPr>
          <w:rFonts w:ascii="Garamond" w:eastAsia="Calibri" w:hAnsi="Garamond" w:cs="Times New Roman"/>
          <w:sz w:val="24"/>
          <w:szCs w:val="24"/>
          <w:lang w:val="en-GB"/>
        </w:rPr>
        <w:t>To investigate the impact of BGD on CSR decoupling, we run regression models as specified below:</w:t>
      </w:r>
    </w:p>
    <w:p w14:paraId="40BA0526" w14:textId="11C2F333" w:rsidR="004A1788" w:rsidRPr="00DB6C99" w:rsidRDefault="004A1788" w:rsidP="004A1788">
      <w:pPr>
        <w:spacing w:line="360" w:lineRule="auto"/>
        <w:ind w:left="630" w:hanging="630"/>
        <w:jc w:val="both"/>
        <w:rPr>
          <w:rFonts w:ascii="Garamond" w:eastAsia="Calibri" w:hAnsi="Garamond" w:cs="Times New Roman"/>
          <w:sz w:val="24"/>
          <w:szCs w:val="24"/>
          <w:lang w:val="en-GB"/>
        </w:rPr>
      </w:pPr>
      <w:r w:rsidRPr="00DB6C99">
        <w:rPr>
          <w:rFonts w:ascii="Garamond" w:eastAsia="Calibri" w:hAnsi="Garamond" w:cs="Times New Roman"/>
          <w:i/>
          <w:iCs/>
          <w:sz w:val="24"/>
          <w:szCs w:val="24"/>
          <w:lang w:val="en-GB"/>
        </w:rPr>
        <w:t>GAP</w:t>
      </w:r>
      <w:r w:rsidRPr="00DB6C99">
        <w:rPr>
          <w:rFonts w:ascii="Garamond" w:eastAsia="Calibri" w:hAnsi="Garamond" w:cs="Times New Roman"/>
          <w:i/>
          <w:iCs/>
          <w:sz w:val="24"/>
          <w:szCs w:val="24"/>
          <w:vertAlign w:val="subscript"/>
          <w:lang w:val="en-GB"/>
        </w:rPr>
        <w:t xml:space="preserve">i,t </w:t>
      </w:r>
      <w:r w:rsidRPr="00DB6C99">
        <w:rPr>
          <w:rFonts w:ascii="Garamond" w:eastAsia="Calibri" w:hAnsi="Garamond" w:cs="Times New Roman"/>
          <w:i/>
          <w:iCs/>
          <w:sz w:val="24"/>
          <w:szCs w:val="24"/>
          <w:lang w:val="en-GB"/>
        </w:rPr>
        <w:t>= β</w:t>
      </w:r>
      <w:r w:rsidRPr="00DB6C99">
        <w:rPr>
          <w:rFonts w:ascii="Garamond" w:eastAsia="Calibri" w:hAnsi="Garamond" w:cs="Times New Roman"/>
          <w:i/>
          <w:iCs/>
          <w:sz w:val="24"/>
          <w:szCs w:val="24"/>
          <w:vertAlign w:val="subscript"/>
          <w:lang w:val="en-GB"/>
        </w:rPr>
        <w:t>0</w:t>
      </w:r>
      <w:r w:rsidRPr="00DB6C99">
        <w:rPr>
          <w:rFonts w:ascii="Garamond" w:eastAsia="Calibri" w:hAnsi="Garamond" w:cs="Times New Roman"/>
          <w:i/>
          <w:iCs/>
          <w:sz w:val="24"/>
          <w:szCs w:val="24"/>
          <w:lang w:val="en-GB"/>
        </w:rPr>
        <w:t xml:space="preserve"> + β</w:t>
      </w:r>
      <w:r w:rsidRPr="00DB6C99">
        <w:rPr>
          <w:rFonts w:ascii="Garamond" w:eastAsia="Calibri" w:hAnsi="Garamond" w:cs="Times New Roman"/>
          <w:i/>
          <w:iCs/>
          <w:sz w:val="24"/>
          <w:szCs w:val="24"/>
          <w:vertAlign w:val="subscript"/>
          <w:lang w:val="en-GB"/>
        </w:rPr>
        <w:t>1</w:t>
      </w:r>
      <w:r w:rsidRPr="00DB6C99">
        <w:rPr>
          <w:rFonts w:ascii="Garamond" w:eastAsia="Calibri" w:hAnsi="Garamond" w:cs="Times New Roman"/>
          <w:i/>
          <w:iCs/>
          <w:sz w:val="24"/>
          <w:szCs w:val="24"/>
          <w:lang w:val="en-GB"/>
        </w:rPr>
        <w:t>(FPRO)</w:t>
      </w:r>
      <w:r w:rsidRPr="00DB6C99">
        <w:rPr>
          <w:rFonts w:ascii="Garamond" w:eastAsia="Calibri" w:hAnsi="Garamond" w:cs="Times New Roman"/>
          <w:i/>
          <w:iCs/>
          <w:sz w:val="24"/>
          <w:szCs w:val="24"/>
          <w:vertAlign w:val="subscript"/>
          <w:lang w:val="en-GB"/>
        </w:rPr>
        <w:t>i,t</w:t>
      </w:r>
      <w:r w:rsidRPr="00DB6C99">
        <w:rPr>
          <w:rFonts w:ascii="Garamond" w:eastAsia="Calibri" w:hAnsi="Garamond" w:cs="Times New Roman"/>
          <w:i/>
          <w:iCs/>
          <w:sz w:val="24"/>
          <w:szCs w:val="24"/>
          <w:lang w:val="en-GB"/>
        </w:rPr>
        <w:t xml:space="preserve"> + β</w:t>
      </w:r>
      <w:r w:rsidRPr="00DB6C99">
        <w:rPr>
          <w:rFonts w:ascii="Garamond" w:eastAsia="Calibri" w:hAnsi="Garamond" w:cs="Times New Roman"/>
          <w:i/>
          <w:iCs/>
          <w:sz w:val="24"/>
          <w:szCs w:val="24"/>
          <w:vertAlign w:val="subscript"/>
          <w:lang w:val="en-GB"/>
        </w:rPr>
        <w:t>2</w:t>
      </w:r>
      <w:r w:rsidRPr="00DB6C99">
        <w:rPr>
          <w:rFonts w:ascii="Garamond" w:eastAsia="Calibri" w:hAnsi="Garamond" w:cs="Times New Roman"/>
          <w:i/>
          <w:iCs/>
          <w:sz w:val="24"/>
          <w:szCs w:val="24"/>
          <w:lang w:val="en-GB"/>
        </w:rPr>
        <w:t>(board characteristics)</w:t>
      </w:r>
      <w:r w:rsidRPr="00DB6C99">
        <w:rPr>
          <w:rFonts w:ascii="Garamond" w:eastAsia="Calibri" w:hAnsi="Garamond" w:cs="Times New Roman"/>
          <w:i/>
          <w:iCs/>
          <w:sz w:val="24"/>
          <w:szCs w:val="24"/>
          <w:vertAlign w:val="subscript"/>
          <w:lang w:val="en-GB"/>
        </w:rPr>
        <w:t>i,t</w:t>
      </w:r>
      <w:r w:rsidRPr="00DB6C99">
        <w:rPr>
          <w:rFonts w:ascii="Garamond" w:eastAsia="Calibri" w:hAnsi="Garamond" w:cs="Times New Roman"/>
          <w:i/>
          <w:iCs/>
          <w:sz w:val="24"/>
          <w:szCs w:val="24"/>
          <w:lang w:val="en-GB"/>
        </w:rPr>
        <w:t xml:space="preserve"> + β</w:t>
      </w:r>
      <w:r w:rsidRPr="00DB6C99">
        <w:rPr>
          <w:rFonts w:ascii="Garamond" w:eastAsia="Calibri" w:hAnsi="Garamond" w:cs="Times New Roman"/>
          <w:i/>
          <w:iCs/>
          <w:sz w:val="24"/>
          <w:szCs w:val="24"/>
          <w:vertAlign w:val="subscript"/>
          <w:lang w:val="en-GB"/>
        </w:rPr>
        <w:t>3</w:t>
      </w:r>
      <w:r w:rsidRPr="00DB6C99">
        <w:rPr>
          <w:rFonts w:ascii="Garamond" w:eastAsia="Calibri" w:hAnsi="Garamond" w:cs="Times New Roman"/>
          <w:i/>
          <w:iCs/>
          <w:sz w:val="24"/>
          <w:szCs w:val="24"/>
          <w:lang w:val="en-GB"/>
        </w:rPr>
        <w:t>(firm characteristics)</w:t>
      </w:r>
      <w:r w:rsidRPr="00DB6C99">
        <w:rPr>
          <w:rFonts w:ascii="Garamond" w:eastAsia="Calibri" w:hAnsi="Garamond" w:cs="Times New Roman"/>
          <w:i/>
          <w:iCs/>
          <w:sz w:val="24"/>
          <w:szCs w:val="24"/>
          <w:vertAlign w:val="subscript"/>
          <w:lang w:val="en-GB"/>
        </w:rPr>
        <w:t>i,t</w:t>
      </w:r>
      <w:r w:rsidRPr="00DB6C99">
        <w:rPr>
          <w:rFonts w:ascii="Garamond" w:eastAsia="Calibri" w:hAnsi="Garamond" w:cs="Times New Roman"/>
          <w:i/>
          <w:iCs/>
          <w:sz w:val="24"/>
          <w:szCs w:val="24"/>
          <w:lang w:val="en-GB"/>
        </w:rPr>
        <w:t xml:space="preserve"> + β</w:t>
      </w:r>
      <w:r w:rsidRPr="00DB6C99">
        <w:rPr>
          <w:rFonts w:ascii="Garamond" w:eastAsia="Calibri" w:hAnsi="Garamond" w:cs="Times New Roman"/>
          <w:i/>
          <w:iCs/>
          <w:sz w:val="24"/>
          <w:szCs w:val="24"/>
          <w:vertAlign w:val="subscript"/>
          <w:lang w:val="en-GB"/>
        </w:rPr>
        <w:t>4</w:t>
      </w:r>
      <w:r w:rsidRPr="00DB6C99">
        <w:rPr>
          <w:rFonts w:ascii="Garamond" w:eastAsia="Calibri" w:hAnsi="Garamond" w:cs="Times New Roman"/>
          <w:i/>
          <w:iCs/>
          <w:sz w:val="24"/>
          <w:szCs w:val="24"/>
          <w:lang w:val="en-GB"/>
        </w:rPr>
        <w:t>∑(industry)</w:t>
      </w:r>
      <w:r w:rsidRPr="00DB6C99">
        <w:rPr>
          <w:rFonts w:ascii="Garamond" w:eastAsia="Calibri" w:hAnsi="Garamond" w:cs="Times New Roman"/>
          <w:i/>
          <w:iCs/>
          <w:sz w:val="24"/>
          <w:szCs w:val="24"/>
          <w:vertAlign w:val="subscript"/>
          <w:lang w:val="en-GB"/>
        </w:rPr>
        <w:t xml:space="preserve">i </w:t>
      </w:r>
      <w:r w:rsidRPr="00DB6C99">
        <w:rPr>
          <w:rFonts w:ascii="Garamond" w:eastAsia="Calibri" w:hAnsi="Garamond" w:cs="Times New Roman"/>
          <w:i/>
          <w:iCs/>
          <w:sz w:val="24"/>
          <w:szCs w:val="24"/>
          <w:lang w:val="en-GB"/>
        </w:rPr>
        <w:t>+ β</w:t>
      </w:r>
      <w:r w:rsidRPr="00DB6C99">
        <w:rPr>
          <w:rFonts w:ascii="Garamond" w:eastAsia="Calibri" w:hAnsi="Garamond" w:cs="Times New Roman"/>
          <w:i/>
          <w:iCs/>
          <w:sz w:val="24"/>
          <w:szCs w:val="24"/>
          <w:vertAlign w:val="subscript"/>
          <w:lang w:val="en-GB"/>
        </w:rPr>
        <w:t>5</w:t>
      </w:r>
      <w:r w:rsidRPr="00DB6C99">
        <w:rPr>
          <w:rFonts w:ascii="Garamond" w:eastAsia="Calibri" w:hAnsi="Garamond" w:cs="Times New Roman"/>
          <w:i/>
          <w:iCs/>
          <w:sz w:val="24"/>
          <w:szCs w:val="24"/>
          <w:lang w:val="en-GB"/>
        </w:rPr>
        <w:t>∑(year)</w:t>
      </w:r>
      <w:r w:rsidRPr="00DB6C99">
        <w:rPr>
          <w:rFonts w:ascii="Garamond" w:eastAsia="Calibri" w:hAnsi="Garamond" w:cs="Times New Roman"/>
          <w:i/>
          <w:iCs/>
          <w:sz w:val="24"/>
          <w:szCs w:val="24"/>
          <w:vertAlign w:val="subscript"/>
          <w:lang w:val="en-GB"/>
        </w:rPr>
        <w:t>t</w:t>
      </w:r>
      <w:r w:rsidRPr="00DB6C99">
        <w:rPr>
          <w:rFonts w:ascii="Garamond" w:eastAsia="Calibri" w:hAnsi="Garamond" w:cs="Times New Roman"/>
          <w:i/>
          <w:iCs/>
          <w:sz w:val="24"/>
          <w:szCs w:val="24"/>
          <w:lang w:val="en-GB"/>
        </w:rPr>
        <w:t xml:space="preserve"> + ε</w:t>
      </w:r>
      <w:r w:rsidRPr="00DB6C99">
        <w:rPr>
          <w:rFonts w:ascii="Garamond" w:eastAsia="Calibri" w:hAnsi="Garamond" w:cs="Times New Roman"/>
          <w:i/>
          <w:iCs/>
          <w:sz w:val="24"/>
          <w:szCs w:val="24"/>
          <w:vertAlign w:val="subscript"/>
          <w:lang w:val="en-GB"/>
        </w:rPr>
        <w:t>i,t</w:t>
      </w:r>
      <w:r w:rsidRPr="00DB6C99">
        <w:rPr>
          <w:rFonts w:ascii="Garamond" w:eastAsia="Calibri" w:hAnsi="Garamond" w:cs="Times New Roman"/>
          <w:sz w:val="24"/>
          <w:szCs w:val="24"/>
          <w:vertAlign w:val="subscript"/>
          <w:lang w:val="en-GB"/>
        </w:rPr>
        <w:tab/>
      </w:r>
      <w:r w:rsidRPr="00DB6C99">
        <w:rPr>
          <w:rFonts w:ascii="Garamond" w:eastAsia="Calibri" w:hAnsi="Garamond" w:cs="Times New Roman"/>
          <w:sz w:val="24"/>
          <w:szCs w:val="24"/>
          <w:vertAlign w:val="subscript"/>
          <w:lang w:val="en-GB"/>
        </w:rPr>
        <w:tab/>
      </w:r>
      <w:r w:rsidRPr="00DB6C99">
        <w:rPr>
          <w:rFonts w:ascii="Garamond" w:eastAsia="Calibri" w:hAnsi="Garamond" w:cs="Times New Roman"/>
          <w:sz w:val="24"/>
          <w:szCs w:val="24"/>
          <w:vertAlign w:val="subscript"/>
          <w:lang w:val="en-GB"/>
        </w:rPr>
        <w:tab/>
      </w:r>
      <w:r w:rsidRPr="00DB6C99">
        <w:rPr>
          <w:rFonts w:ascii="Garamond" w:eastAsia="Calibri" w:hAnsi="Garamond" w:cs="Times New Roman"/>
          <w:sz w:val="24"/>
          <w:szCs w:val="24"/>
          <w:vertAlign w:val="subscript"/>
          <w:lang w:val="en-GB"/>
        </w:rPr>
        <w:tab/>
      </w:r>
      <w:r w:rsidRPr="00DB6C99">
        <w:rPr>
          <w:rFonts w:ascii="Garamond" w:eastAsia="Calibri" w:hAnsi="Garamond" w:cs="Times New Roman"/>
          <w:sz w:val="24"/>
          <w:szCs w:val="24"/>
          <w:vertAlign w:val="subscript"/>
          <w:lang w:val="en-GB"/>
        </w:rPr>
        <w:tab/>
      </w:r>
      <w:r w:rsidRPr="00DB6C99">
        <w:rPr>
          <w:rFonts w:ascii="Garamond" w:eastAsia="Calibri" w:hAnsi="Garamond" w:cs="Times New Roman"/>
          <w:sz w:val="24"/>
          <w:szCs w:val="24"/>
          <w:vertAlign w:val="subscript"/>
          <w:lang w:val="en-GB"/>
        </w:rPr>
        <w:tab/>
      </w:r>
      <w:r w:rsidRPr="00DB6C99">
        <w:rPr>
          <w:rFonts w:ascii="Garamond" w:eastAsia="Calibri" w:hAnsi="Garamond" w:cs="Times New Roman"/>
          <w:sz w:val="24"/>
          <w:szCs w:val="24"/>
          <w:vertAlign w:val="subscript"/>
          <w:lang w:val="en-GB"/>
        </w:rPr>
        <w:tab/>
      </w:r>
      <w:r w:rsidRPr="00DB6C99">
        <w:rPr>
          <w:rFonts w:ascii="Garamond" w:eastAsia="Calibri" w:hAnsi="Garamond" w:cs="Times New Roman"/>
          <w:sz w:val="24"/>
          <w:szCs w:val="24"/>
          <w:lang w:val="en-GB"/>
        </w:rPr>
        <w:t>(1)</w:t>
      </w:r>
    </w:p>
    <w:p w14:paraId="3B646BB4" w14:textId="236E95BC" w:rsidR="004A1788" w:rsidRPr="00DB6C99" w:rsidRDefault="004A1788" w:rsidP="004A1788">
      <w:pPr>
        <w:spacing w:line="360" w:lineRule="auto"/>
        <w:ind w:left="630" w:hanging="630"/>
        <w:jc w:val="both"/>
        <w:rPr>
          <w:rFonts w:ascii="Garamond" w:eastAsia="Calibri" w:hAnsi="Garamond" w:cs="Times New Roman"/>
          <w:sz w:val="24"/>
          <w:szCs w:val="24"/>
          <w:lang w:val="en-GB"/>
        </w:rPr>
      </w:pPr>
      <w:r w:rsidRPr="00DB6C99">
        <w:rPr>
          <w:rFonts w:ascii="Garamond" w:eastAsia="Calibri" w:hAnsi="Garamond" w:cs="Times New Roman"/>
          <w:i/>
          <w:iCs/>
          <w:sz w:val="24"/>
          <w:szCs w:val="24"/>
          <w:lang w:val="en-GB"/>
        </w:rPr>
        <w:t>GAP</w:t>
      </w:r>
      <w:r w:rsidRPr="00DB6C99">
        <w:rPr>
          <w:rFonts w:ascii="Garamond" w:eastAsia="Calibri" w:hAnsi="Garamond" w:cs="Times New Roman"/>
          <w:i/>
          <w:iCs/>
          <w:sz w:val="24"/>
          <w:szCs w:val="24"/>
          <w:vertAlign w:val="subscript"/>
          <w:lang w:val="en-GB"/>
        </w:rPr>
        <w:t xml:space="preserve">i,t </w:t>
      </w:r>
      <w:r w:rsidRPr="00DB6C99">
        <w:rPr>
          <w:rFonts w:ascii="Garamond" w:eastAsia="Calibri" w:hAnsi="Garamond" w:cs="Times New Roman"/>
          <w:i/>
          <w:iCs/>
          <w:sz w:val="24"/>
          <w:szCs w:val="24"/>
          <w:lang w:val="en-GB"/>
        </w:rPr>
        <w:t>= β</w:t>
      </w:r>
      <w:r w:rsidRPr="00DB6C99">
        <w:rPr>
          <w:rFonts w:ascii="Garamond" w:eastAsia="Calibri" w:hAnsi="Garamond" w:cs="Times New Roman"/>
          <w:i/>
          <w:iCs/>
          <w:sz w:val="24"/>
          <w:szCs w:val="24"/>
          <w:vertAlign w:val="subscript"/>
          <w:lang w:val="en-GB"/>
        </w:rPr>
        <w:t>0</w:t>
      </w:r>
      <w:r w:rsidRPr="00DB6C99">
        <w:rPr>
          <w:rFonts w:ascii="Garamond" w:eastAsia="Calibri" w:hAnsi="Garamond" w:cs="Times New Roman"/>
          <w:i/>
          <w:iCs/>
          <w:sz w:val="24"/>
          <w:szCs w:val="24"/>
          <w:lang w:val="en-GB"/>
        </w:rPr>
        <w:t xml:space="preserve"> + β</w:t>
      </w:r>
      <w:r w:rsidRPr="00DB6C99">
        <w:rPr>
          <w:rFonts w:ascii="Garamond" w:eastAsia="Calibri" w:hAnsi="Garamond" w:cs="Times New Roman"/>
          <w:i/>
          <w:iCs/>
          <w:sz w:val="24"/>
          <w:szCs w:val="24"/>
          <w:vertAlign w:val="subscript"/>
          <w:lang w:val="en-GB"/>
        </w:rPr>
        <w:t>1</w:t>
      </w:r>
      <w:r w:rsidRPr="00DB6C99">
        <w:rPr>
          <w:rFonts w:ascii="Garamond" w:eastAsia="Calibri" w:hAnsi="Garamond" w:cs="Times New Roman"/>
          <w:i/>
          <w:iCs/>
          <w:sz w:val="24"/>
          <w:szCs w:val="24"/>
          <w:lang w:val="en-GB"/>
        </w:rPr>
        <w:t>(FNEDPRO)</w:t>
      </w:r>
      <w:r w:rsidRPr="00DB6C99">
        <w:rPr>
          <w:rFonts w:ascii="Garamond" w:eastAsia="Calibri" w:hAnsi="Garamond" w:cs="Times New Roman"/>
          <w:i/>
          <w:iCs/>
          <w:sz w:val="24"/>
          <w:szCs w:val="24"/>
          <w:vertAlign w:val="subscript"/>
          <w:lang w:val="en-GB"/>
        </w:rPr>
        <w:t>i,t</w:t>
      </w:r>
      <w:r w:rsidRPr="00DB6C99">
        <w:rPr>
          <w:rFonts w:ascii="Garamond" w:eastAsia="Calibri" w:hAnsi="Garamond" w:cs="Times New Roman"/>
          <w:i/>
          <w:iCs/>
          <w:sz w:val="24"/>
          <w:szCs w:val="24"/>
          <w:lang w:val="en-GB"/>
        </w:rPr>
        <w:t xml:space="preserve"> + β</w:t>
      </w:r>
      <w:r w:rsidRPr="00DB6C99">
        <w:rPr>
          <w:rFonts w:ascii="Garamond" w:eastAsia="Calibri" w:hAnsi="Garamond" w:cs="Times New Roman"/>
          <w:i/>
          <w:iCs/>
          <w:sz w:val="24"/>
          <w:szCs w:val="24"/>
          <w:vertAlign w:val="subscript"/>
          <w:lang w:val="en-GB"/>
        </w:rPr>
        <w:t>2</w:t>
      </w:r>
      <w:r w:rsidRPr="00DB6C99">
        <w:rPr>
          <w:rFonts w:ascii="Garamond" w:eastAsia="Calibri" w:hAnsi="Garamond" w:cs="Times New Roman"/>
          <w:i/>
          <w:iCs/>
          <w:sz w:val="24"/>
          <w:szCs w:val="24"/>
          <w:lang w:val="en-GB"/>
        </w:rPr>
        <w:t>(FEDPRO)</w:t>
      </w:r>
      <w:r w:rsidRPr="00DB6C99">
        <w:rPr>
          <w:rFonts w:ascii="Garamond" w:eastAsia="Calibri" w:hAnsi="Garamond" w:cs="Times New Roman"/>
          <w:i/>
          <w:iCs/>
          <w:sz w:val="24"/>
          <w:szCs w:val="24"/>
          <w:vertAlign w:val="subscript"/>
          <w:lang w:val="en-GB"/>
        </w:rPr>
        <w:t>i,t</w:t>
      </w:r>
      <w:r w:rsidRPr="00DB6C99">
        <w:rPr>
          <w:rFonts w:ascii="Garamond" w:eastAsia="Calibri" w:hAnsi="Garamond" w:cs="Times New Roman"/>
          <w:i/>
          <w:iCs/>
          <w:sz w:val="24"/>
          <w:szCs w:val="24"/>
          <w:lang w:val="en-GB"/>
        </w:rPr>
        <w:t xml:space="preserve"> + β</w:t>
      </w:r>
      <w:r w:rsidRPr="00DB6C99">
        <w:rPr>
          <w:rFonts w:ascii="Garamond" w:eastAsia="Calibri" w:hAnsi="Garamond" w:cs="Times New Roman"/>
          <w:i/>
          <w:iCs/>
          <w:sz w:val="24"/>
          <w:szCs w:val="24"/>
          <w:vertAlign w:val="subscript"/>
          <w:lang w:val="en-GB"/>
        </w:rPr>
        <w:t>3</w:t>
      </w:r>
      <w:r w:rsidRPr="00DB6C99">
        <w:rPr>
          <w:rFonts w:ascii="Garamond" w:eastAsia="Calibri" w:hAnsi="Garamond" w:cs="Times New Roman"/>
          <w:i/>
          <w:iCs/>
          <w:sz w:val="24"/>
          <w:szCs w:val="24"/>
          <w:lang w:val="en-GB"/>
        </w:rPr>
        <w:t>(board characteristics)</w:t>
      </w:r>
      <w:r w:rsidRPr="00DB6C99">
        <w:rPr>
          <w:rFonts w:ascii="Garamond" w:eastAsia="Calibri" w:hAnsi="Garamond" w:cs="Times New Roman"/>
          <w:i/>
          <w:iCs/>
          <w:sz w:val="24"/>
          <w:szCs w:val="24"/>
          <w:vertAlign w:val="subscript"/>
          <w:lang w:val="en-GB"/>
        </w:rPr>
        <w:t>i,t</w:t>
      </w:r>
      <w:r w:rsidRPr="00DB6C99">
        <w:rPr>
          <w:rFonts w:ascii="Garamond" w:eastAsia="Calibri" w:hAnsi="Garamond" w:cs="Times New Roman"/>
          <w:i/>
          <w:iCs/>
          <w:sz w:val="24"/>
          <w:szCs w:val="24"/>
          <w:lang w:val="en-GB"/>
        </w:rPr>
        <w:t xml:space="preserve"> + β</w:t>
      </w:r>
      <w:r w:rsidRPr="00DB6C99">
        <w:rPr>
          <w:rFonts w:ascii="Garamond" w:eastAsia="Calibri" w:hAnsi="Garamond" w:cs="Times New Roman"/>
          <w:i/>
          <w:iCs/>
          <w:sz w:val="24"/>
          <w:szCs w:val="24"/>
          <w:vertAlign w:val="subscript"/>
          <w:lang w:val="en-GB"/>
        </w:rPr>
        <w:t>4</w:t>
      </w:r>
      <w:r w:rsidRPr="00DB6C99">
        <w:rPr>
          <w:rFonts w:ascii="Garamond" w:eastAsia="Calibri" w:hAnsi="Garamond" w:cs="Times New Roman"/>
          <w:i/>
          <w:iCs/>
          <w:sz w:val="24"/>
          <w:szCs w:val="24"/>
          <w:lang w:val="en-GB"/>
        </w:rPr>
        <w:t>(firm characteristics)</w:t>
      </w:r>
      <w:r w:rsidRPr="00DB6C99">
        <w:rPr>
          <w:rFonts w:ascii="Garamond" w:eastAsia="Calibri" w:hAnsi="Garamond" w:cs="Times New Roman"/>
          <w:i/>
          <w:iCs/>
          <w:sz w:val="24"/>
          <w:szCs w:val="24"/>
          <w:vertAlign w:val="subscript"/>
          <w:lang w:val="en-GB"/>
        </w:rPr>
        <w:t>i,t</w:t>
      </w:r>
      <w:r w:rsidRPr="00DB6C99">
        <w:rPr>
          <w:rFonts w:ascii="Garamond" w:eastAsia="Calibri" w:hAnsi="Garamond" w:cs="Times New Roman"/>
          <w:i/>
          <w:iCs/>
          <w:sz w:val="24"/>
          <w:szCs w:val="24"/>
          <w:lang w:val="en-GB"/>
        </w:rPr>
        <w:t xml:space="preserve"> + β</w:t>
      </w:r>
      <w:r w:rsidRPr="00DB6C99">
        <w:rPr>
          <w:rFonts w:ascii="Garamond" w:eastAsia="Calibri" w:hAnsi="Garamond" w:cs="Times New Roman"/>
          <w:i/>
          <w:iCs/>
          <w:sz w:val="24"/>
          <w:szCs w:val="24"/>
          <w:vertAlign w:val="subscript"/>
          <w:lang w:val="en-GB"/>
        </w:rPr>
        <w:t>5</w:t>
      </w:r>
      <w:r w:rsidRPr="00DB6C99">
        <w:rPr>
          <w:rFonts w:ascii="Garamond" w:eastAsia="Calibri" w:hAnsi="Garamond" w:cs="Times New Roman"/>
          <w:i/>
          <w:iCs/>
          <w:sz w:val="24"/>
          <w:szCs w:val="24"/>
          <w:lang w:val="en-GB"/>
        </w:rPr>
        <w:t>∑(industry)</w:t>
      </w:r>
      <w:r w:rsidRPr="00DB6C99">
        <w:rPr>
          <w:rFonts w:ascii="Garamond" w:eastAsia="Calibri" w:hAnsi="Garamond" w:cs="Times New Roman"/>
          <w:i/>
          <w:iCs/>
          <w:sz w:val="24"/>
          <w:szCs w:val="24"/>
          <w:vertAlign w:val="subscript"/>
          <w:lang w:val="en-GB"/>
        </w:rPr>
        <w:t xml:space="preserve">i </w:t>
      </w:r>
      <w:r w:rsidRPr="00DB6C99">
        <w:rPr>
          <w:rFonts w:ascii="Garamond" w:eastAsia="Calibri" w:hAnsi="Garamond" w:cs="Times New Roman"/>
          <w:i/>
          <w:iCs/>
          <w:sz w:val="24"/>
          <w:szCs w:val="24"/>
          <w:lang w:val="en-GB"/>
        </w:rPr>
        <w:t>+ β</w:t>
      </w:r>
      <w:r w:rsidRPr="00DB6C99">
        <w:rPr>
          <w:rFonts w:ascii="Garamond" w:eastAsia="Calibri" w:hAnsi="Garamond" w:cs="Times New Roman"/>
          <w:i/>
          <w:iCs/>
          <w:sz w:val="24"/>
          <w:szCs w:val="24"/>
          <w:vertAlign w:val="subscript"/>
          <w:lang w:val="en-GB"/>
        </w:rPr>
        <w:t>6</w:t>
      </w:r>
      <w:r w:rsidRPr="00DB6C99">
        <w:rPr>
          <w:rFonts w:ascii="Garamond" w:eastAsia="Calibri" w:hAnsi="Garamond" w:cs="Times New Roman"/>
          <w:i/>
          <w:iCs/>
          <w:sz w:val="24"/>
          <w:szCs w:val="24"/>
          <w:lang w:val="en-GB"/>
        </w:rPr>
        <w:t>∑(year)</w:t>
      </w:r>
      <w:r w:rsidRPr="00DB6C99">
        <w:rPr>
          <w:rFonts w:ascii="Garamond" w:eastAsia="Calibri" w:hAnsi="Garamond" w:cs="Times New Roman"/>
          <w:i/>
          <w:iCs/>
          <w:sz w:val="24"/>
          <w:szCs w:val="24"/>
          <w:vertAlign w:val="subscript"/>
          <w:lang w:val="en-GB"/>
        </w:rPr>
        <w:t>t</w:t>
      </w:r>
      <w:r w:rsidRPr="00DB6C99">
        <w:rPr>
          <w:rFonts w:ascii="Garamond" w:eastAsia="Calibri" w:hAnsi="Garamond" w:cs="Times New Roman"/>
          <w:i/>
          <w:iCs/>
          <w:sz w:val="24"/>
          <w:szCs w:val="24"/>
          <w:lang w:val="en-GB"/>
        </w:rPr>
        <w:t xml:space="preserve"> + ε</w:t>
      </w:r>
      <w:r w:rsidRPr="00DB6C99">
        <w:rPr>
          <w:rFonts w:ascii="Garamond" w:eastAsia="Calibri" w:hAnsi="Garamond" w:cs="Times New Roman"/>
          <w:i/>
          <w:iCs/>
          <w:sz w:val="24"/>
          <w:szCs w:val="24"/>
          <w:vertAlign w:val="subscript"/>
          <w:lang w:val="en-GB"/>
        </w:rPr>
        <w:t>i,t</w:t>
      </w:r>
      <w:r w:rsidRPr="00DB6C99">
        <w:rPr>
          <w:rFonts w:ascii="Garamond" w:eastAsia="Calibri" w:hAnsi="Garamond" w:cs="Times New Roman"/>
          <w:sz w:val="24"/>
          <w:szCs w:val="24"/>
          <w:vertAlign w:val="subscript"/>
          <w:lang w:val="en-GB"/>
        </w:rPr>
        <w:tab/>
      </w:r>
      <w:r w:rsidRPr="00DB6C99">
        <w:rPr>
          <w:rFonts w:ascii="Garamond" w:eastAsia="Calibri" w:hAnsi="Garamond" w:cs="Times New Roman"/>
          <w:sz w:val="24"/>
          <w:szCs w:val="24"/>
          <w:vertAlign w:val="subscript"/>
          <w:lang w:val="en-GB"/>
        </w:rPr>
        <w:tab/>
      </w:r>
      <w:r w:rsidRPr="00DB6C99">
        <w:rPr>
          <w:rFonts w:ascii="Garamond" w:eastAsia="Calibri" w:hAnsi="Garamond" w:cs="Times New Roman"/>
          <w:sz w:val="24"/>
          <w:szCs w:val="24"/>
          <w:vertAlign w:val="subscript"/>
          <w:lang w:val="en-GB"/>
        </w:rPr>
        <w:tab/>
      </w:r>
      <w:r w:rsidRPr="00DB6C99">
        <w:rPr>
          <w:rFonts w:ascii="Garamond" w:eastAsia="Calibri" w:hAnsi="Garamond" w:cs="Times New Roman"/>
          <w:sz w:val="24"/>
          <w:szCs w:val="24"/>
          <w:vertAlign w:val="subscript"/>
          <w:lang w:val="en-GB"/>
        </w:rPr>
        <w:tab/>
      </w:r>
      <w:r w:rsidRPr="00DB6C99">
        <w:rPr>
          <w:rFonts w:ascii="Garamond" w:eastAsia="Calibri" w:hAnsi="Garamond" w:cs="Times New Roman"/>
          <w:sz w:val="24"/>
          <w:szCs w:val="24"/>
          <w:lang w:val="en-GB"/>
        </w:rPr>
        <w:t>(2)</w:t>
      </w:r>
    </w:p>
    <w:p w14:paraId="1684BD9F" w14:textId="2E4FD6CE" w:rsidR="004A1788" w:rsidRPr="00DB6C99" w:rsidRDefault="004A1788" w:rsidP="004A1788">
      <w:pPr>
        <w:spacing w:line="360" w:lineRule="auto"/>
        <w:ind w:left="630" w:hanging="630"/>
        <w:jc w:val="both"/>
        <w:rPr>
          <w:rFonts w:ascii="Garamond" w:eastAsia="Calibri" w:hAnsi="Garamond" w:cs="Times New Roman"/>
          <w:sz w:val="24"/>
          <w:szCs w:val="24"/>
          <w:lang w:val="en-GB"/>
        </w:rPr>
      </w:pPr>
      <w:r w:rsidRPr="00DB6C99">
        <w:rPr>
          <w:rFonts w:ascii="Garamond" w:eastAsia="Calibri" w:hAnsi="Garamond" w:cs="Times New Roman"/>
          <w:i/>
          <w:iCs/>
          <w:sz w:val="24"/>
          <w:szCs w:val="24"/>
          <w:lang w:val="en-GB"/>
        </w:rPr>
        <w:t>GAP</w:t>
      </w:r>
      <w:r w:rsidRPr="00DB6C99">
        <w:rPr>
          <w:rFonts w:ascii="Garamond" w:eastAsia="Calibri" w:hAnsi="Garamond" w:cs="Times New Roman"/>
          <w:i/>
          <w:iCs/>
          <w:sz w:val="24"/>
          <w:szCs w:val="24"/>
          <w:vertAlign w:val="subscript"/>
          <w:lang w:val="en-GB"/>
        </w:rPr>
        <w:t xml:space="preserve">i,t </w:t>
      </w:r>
      <w:r w:rsidRPr="00DB6C99">
        <w:rPr>
          <w:rFonts w:ascii="Garamond" w:eastAsia="Calibri" w:hAnsi="Garamond" w:cs="Times New Roman"/>
          <w:i/>
          <w:iCs/>
          <w:sz w:val="24"/>
          <w:szCs w:val="24"/>
          <w:lang w:val="en-GB"/>
        </w:rPr>
        <w:t>= β</w:t>
      </w:r>
      <w:r w:rsidRPr="00DB6C99">
        <w:rPr>
          <w:rFonts w:ascii="Garamond" w:eastAsia="Calibri" w:hAnsi="Garamond" w:cs="Times New Roman"/>
          <w:i/>
          <w:iCs/>
          <w:sz w:val="24"/>
          <w:szCs w:val="24"/>
          <w:vertAlign w:val="subscript"/>
          <w:lang w:val="en-GB"/>
        </w:rPr>
        <w:t>0</w:t>
      </w:r>
      <w:r w:rsidRPr="00DB6C99">
        <w:rPr>
          <w:rFonts w:ascii="Garamond" w:eastAsia="Calibri" w:hAnsi="Garamond" w:cs="Times New Roman"/>
          <w:i/>
          <w:iCs/>
          <w:sz w:val="24"/>
          <w:szCs w:val="24"/>
          <w:lang w:val="en-GB"/>
        </w:rPr>
        <w:t xml:space="preserve"> + β</w:t>
      </w:r>
      <w:r w:rsidRPr="00DB6C99">
        <w:rPr>
          <w:rFonts w:ascii="Garamond" w:eastAsia="Calibri" w:hAnsi="Garamond" w:cs="Times New Roman"/>
          <w:i/>
          <w:iCs/>
          <w:sz w:val="24"/>
          <w:szCs w:val="24"/>
          <w:vertAlign w:val="subscript"/>
          <w:lang w:val="en-GB"/>
        </w:rPr>
        <w:t>1</w:t>
      </w:r>
      <w:r w:rsidRPr="00DB6C99">
        <w:rPr>
          <w:rFonts w:ascii="Garamond" w:eastAsia="Calibri" w:hAnsi="Garamond" w:cs="Times New Roman"/>
          <w:i/>
          <w:iCs/>
          <w:sz w:val="24"/>
          <w:szCs w:val="24"/>
          <w:lang w:val="en-GB"/>
        </w:rPr>
        <w:t>(SKEWED)</w:t>
      </w:r>
      <w:r w:rsidRPr="00DB6C99">
        <w:rPr>
          <w:rFonts w:ascii="Garamond" w:eastAsia="Calibri" w:hAnsi="Garamond" w:cs="Times New Roman"/>
          <w:i/>
          <w:iCs/>
          <w:sz w:val="24"/>
          <w:szCs w:val="24"/>
          <w:vertAlign w:val="subscript"/>
          <w:lang w:val="en-GB"/>
        </w:rPr>
        <w:t>i,t</w:t>
      </w:r>
      <w:r w:rsidRPr="00DB6C99">
        <w:rPr>
          <w:rFonts w:ascii="Garamond" w:eastAsia="Calibri" w:hAnsi="Garamond" w:cs="Times New Roman"/>
          <w:i/>
          <w:iCs/>
          <w:sz w:val="24"/>
          <w:szCs w:val="24"/>
          <w:lang w:val="en-GB"/>
        </w:rPr>
        <w:t xml:space="preserve"> + β</w:t>
      </w:r>
      <w:r w:rsidRPr="00DB6C99">
        <w:rPr>
          <w:rFonts w:ascii="Garamond" w:eastAsia="Calibri" w:hAnsi="Garamond" w:cs="Times New Roman"/>
          <w:i/>
          <w:iCs/>
          <w:sz w:val="24"/>
          <w:szCs w:val="24"/>
          <w:vertAlign w:val="subscript"/>
          <w:lang w:val="en-GB"/>
        </w:rPr>
        <w:t>2</w:t>
      </w:r>
      <w:r w:rsidRPr="00DB6C99">
        <w:rPr>
          <w:rFonts w:ascii="Garamond" w:eastAsia="Calibri" w:hAnsi="Garamond" w:cs="Times New Roman"/>
          <w:i/>
          <w:iCs/>
          <w:sz w:val="24"/>
          <w:szCs w:val="24"/>
          <w:lang w:val="en-GB"/>
        </w:rPr>
        <w:t>(TILTED)</w:t>
      </w:r>
      <w:r w:rsidRPr="00DB6C99">
        <w:rPr>
          <w:rFonts w:ascii="Garamond" w:eastAsia="Calibri" w:hAnsi="Garamond" w:cs="Times New Roman"/>
          <w:i/>
          <w:iCs/>
          <w:sz w:val="24"/>
          <w:szCs w:val="24"/>
          <w:vertAlign w:val="subscript"/>
          <w:lang w:val="en-GB"/>
        </w:rPr>
        <w:t>i,t</w:t>
      </w:r>
      <w:r w:rsidRPr="00DB6C99">
        <w:rPr>
          <w:rFonts w:ascii="Garamond" w:eastAsia="Calibri" w:hAnsi="Garamond" w:cs="Times New Roman"/>
          <w:i/>
          <w:iCs/>
          <w:sz w:val="24"/>
          <w:szCs w:val="24"/>
          <w:lang w:val="en-GB"/>
        </w:rPr>
        <w:t xml:space="preserve"> + β</w:t>
      </w:r>
      <w:r w:rsidRPr="00DB6C99">
        <w:rPr>
          <w:rFonts w:ascii="Garamond" w:eastAsia="Calibri" w:hAnsi="Garamond" w:cs="Times New Roman"/>
          <w:i/>
          <w:iCs/>
          <w:sz w:val="24"/>
          <w:szCs w:val="24"/>
          <w:vertAlign w:val="subscript"/>
          <w:lang w:val="en-GB"/>
        </w:rPr>
        <w:t>3</w:t>
      </w:r>
      <w:r w:rsidRPr="00DB6C99">
        <w:rPr>
          <w:rFonts w:ascii="Garamond" w:eastAsia="Calibri" w:hAnsi="Garamond" w:cs="Times New Roman"/>
          <w:i/>
          <w:iCs/>
          <w:sz w:val="24"/>
          <w:szCs w:val="24"/>
          <w:lang w:val="en-GB"/>
        </w:rPr>
        <w:t>(BALANCED)</w:t>
      </w:r>
      <w:r w:rsidRPr="00DB6C99">
        <w:rPr>
          <w:rFonts w:ascii="Garamond" w:eastAsia="Calibri" w:hAnsi="Garamond" w:cs="Times New Roman"/>
          <w:i/>
          <w:iCs/>
          <w:sz w:val="24"/>
          <w:szCs w:val="24"/>
          <w:vertAlign w:val="subscript"/>
          <w:lang w:val="en-GB"/>
        </w:rPr>
        <w:t>i,t</w:t>
      </w:r>
      <w:r w:rsidRPr="00DB6C99">
        <w:rPr>
          <w:rFonts w:ascii="Garamond" w:eastAsia="Calibri" w:hAnsi="Garamond" w:cs="Times New Roman"/>
          <w:i/>
          <w:iCs/>
          <w:sz w:val="24"/>
          <w:szCs w:val="24"/>
          <w:lang w:val="en-GB"/>
        </w:rPr>
        <w:t xml:space="preserve"> + β</w:t>
      </w:r>
      <w:r w:rsidRPr="00DB6C99">
        <w:rPr>
          <w:rFonts w:ascii="Garamond" w:eastAsia="Calibri" w:hAnsi="Garamond" w:cs="Times New Roman"/>
          <w:i/>
          <w:iCs/>
          <w:sz w:val="24"/>
          <w:szCs w:val="24"/>
          <w:vertAlign w:val="subscript"/>
          <w:lang w:val="en-GB"/>
        </w:rPr>
        <w:t>4</w:t>
      </w:r>
      <w:r w:rsidRPr="00DB6C99">
        <w:rPr>
          <w:rFonts w:ascii="Garamond" w:eastAsia="Calibri" w:hAnsi="Garamond" w:cs="Times New Roman"/>
          <w:i/>
          <w:iCs/>
          <w:sz w:val="24"/>
          <w:szCs w:val="24"/>
          <w:lang w:val="en-GB"/>
        </w:rPr>
        <w:t>(board characteristics)</w:t>
      </w:r>
      <w:r w:rsidRPr="00DB6C99">
        <w:rPr>
          <w:rFonts w:ascii="Garamond" w:eastAsia="Calibri" w:hAnsi="Garamond" w:cs="Times New Roman"/>
          <w:i/>
          <w:iCs/>
          <w:sz w:val="24"/>
          <w:szCs w:val="24"/>
          <w:vertAlign w:val="subscript"/>
          <w:lang w:val="en-GB"/>
        </w:rPr>
        <w:t>i,t</w:t>
      </w:r>
      <w:r w:rsidRPr="00DB6C99">
        <w:rPr>
          <w:rFonts w:ascii="Garamond" w:eastAsia="Calibri" w:hAnsi="Garamond" w:cs="Times New Roman"/>
          <w:i/>
          <w:iCs/>
          <w:sz w:val="24"/>
          <w:szCs w:val="24"/>
          <w:lang w:val="en-GB"/>
        </w:rPr>
        <w:t xml:space="preserve"> + β</w:t>
      </w:r>
      <w:r w:rsidRPr="00DB6C99">
        <w:rPr>
          <w:rFonts w:ascii="Garamond" w:eastAsia="Calibri" w:hAnsi="Garamond" w:cs="Times New Roman"/>
          <w:i/>
          <w:iCs/>
          <w:sz w:val="24"/>
          <w:szCs w:val="24"/>
          <w:vertAlign w:val="subscript"/>
          <w:lang w:val="en-GB"/>
        </w:rPr>
        <w:t>5</w:t>
      </w:r>
      <w:r w:rsidRPr="00DB6C99">
        <w:rPr>
          <w:rFonts w:ascii="Garamond" w:eastAsia="Calibri" w:hAnsi="Garamond" w:cs="Times New Roman"/>
          <w:i/>
          <w:iCs/>
          <w:sz w:val="24"/>
          <w:szCs w:val="24"/>
          <w:lang w:val="en-GB"/>
        </w:rPr>
        <w:t>(firm characteristics)</w:t>
      </w:r>
      <w:r w:rsidRPr="00DB6C99">
        <w:rPr>
          <w:rFonts w:ascii="Garamond" w:eastAsia="Calibri" w:hAnsi="Garamond" w:cs="Times New Roman"/>
          <w:i/>
          <w:iCs/>
          <w:sz w:val="24"/>
          <w:szCs w:val="24"/>
          <w:vertAlign w:val="subscript"/>
          <w:lang w:val="en-GB"/>
        </w:rPr>
        <w:t>i,t</w:t>
      </w:r>
      <w:r w:rsidRPr="00DB6C99">
        <w:rPr>
          <w:rFonts w:ascii="Garamond" w:eastAsia="Calibri" w:hAnsi="Garamond" w:cs="Times New Roman"/>
          <w:i/>
          <w:iCs/>
          <w:sz w:val="24"/>
          <w:szCs w:val="24"/>
          <w:lang w:val="en-GB"/>
        </w:rPr>
        <w:t xml:space="preserve"> + β</w:t>
      </w:r>
      <w:r w:rsidRPr="00DB6C99">
        <w:rPr>
          <w:rFonts w:ascii="Garamond" w:eastAsia="Calibri" w:hAnsi="Garamond" w:cs="Times New Roman"/>
          <w:i/>
          <w:iCs/>
          <w:sz w:val="24"/>
          <w:szCs w:val="24"/>
          <w:vertAlign w:val="subscript"/>
          <w:lang w:val="en-GB"/>
        </w:rPr>
        <w:t>6</w:t>
      </w:r>
      <w:r w:rsidRPr="00DB6C99">
        <w:rPr>
          <w:rFonts w:ascii="Garamond" w:eastAsia="Calibri" w:hAnsi="Garamond" w:cs="Times New Roman"/>
          <w:i/>
          <w:iCs/>
          <w:sz w:val="24"/>
          <w:szCs w:val="24"/>
          <w:lang w:val="en-GB"/>
        </w:rPr>
        <w:t>∑(industry)</w:t>
      </w:r>
      <w:r w:rsidRPr="00DB6C99">
        <w:rPr>
          <w:rFonts w:ascii="Garamond" w:eastAsia="Calibri" w:hAnsi="Garamond" w:cs="Times New Roman"/>
          <w:i/>
          <w:iCs/>
          <w:sz w:val="24"/>
          <w:szCs w:val="24"/>
          <w:vertAlign w:val="subscript"/>
          <w:lang w:val="en-GB"/>
        </w:rPr>
        <w:t xml:space="preserve">i </w:t>
      </w:r>
      <w:r w:rsidRPr="00DB6C99">
        <w:rPr>
          <w:rFonts w:ascii="Garamond" w:eastAsia="Calibri" w:hAnsi="Garamond" w:cs="Times New Roman"/>
          <w:i/>
          <w:iCs/>
          <w:sz w:val="24"/>
          <w:szCs w:val="24"/>
          <w:lang w:val="en-GB"/>
        </w:rPr>
        <w:t>+ β</w:t>
      </w:r>
      <w:r w:rsidRPr="00DB6C99">
        <w:rPr>
          <w:rFonts w:ascii="Garamond" w:eastAsia="Calibri" w:hAnsi="Garamond" w:cs="Times New Roman"/>
          <w:i/>
          <w:iCs/>
          <w:sz w:val="24"/>
          <w:szCs w:val="24"/>
          <w:vertAlign w:val="subscript"/>
          <w:lang w:val="en-GB"/>
        </w:rPr>
        <w:t>7</w:t>
      </w:r>
      <w:r w:rsidRPr="00DB6C99">
        <w:rPr>
          <w:rFonts w:ascii="Garamond" w:eastAsia="Calibri" w:hAnsi="Garamond" w:cs="Times New Roman"/>
          <w:i/>
          <w:iCs/>
          <w:sz w:val="24"/>
          <w:szCs w:val="24"/>
          <w:lang w:val="en-GB"/>
        </w:rPr>
        <w:t>∑(year)</w:t>
      </w:r>
      <w:r w:rsidRPr="00DB6C99">
        <w:rPr>
          <w:rFonts w:ascii="Garamond" w:eastAsia="Calibri" w:hAnsi="Garamond" w:cs="Times New Roman"/>
          <w:i/>
          <w:iCs/>
          <w:sz w:val="24"/>
          <w:szCs w:val="24"/>
          <w:vertAlign w:val="subscript"/>
          <w:lang w:val="en-GB"/>
        </w:rPr>
        <w:t>t</w:t>
      </w:r>
      <w:r w:rsidRPr="00DB6C99">
        <w:rPr>
          <w:rFonts w:ascii="Garamond" w:eastAsia="Calibri" w:hAnsi="Garamond" w:cs="Times New Roman"/>
          <w:i/>
          <w:iCs/>
          <w:sz w:val="24"/>
          <w:szCs w:val="24"/>
          <w:lang w:val="en-GB"/>
        </w:rPr>
        <w:t xml:space="preserve"> + ε</w:t>
      </w:r>
      <w:r w:rsidRPr="00DB6C99">
        <w:rPr>
          <w:rFonts w:ascii="Garamond" w:eastAsia="Calibri" w:hAnsi="Garamond" w:cs="Times New Roman"/>
          <w:i/>
          <w:iCs/>
          <w:sz w:val="24"/>
          <w:szCs w:val="24"/>
          <w:vertAlign w:val="subscript"/>
          <w:lang w:val="en-GB"/>
        </w:rPr>
        <w:t>i,t</w:t>
      </w:r>
      <w:r w:rsidRPr="00DB6C99">
        <w:rPr>
          <w:rFonts w:ascii="Garamond" w:eastAsia="Calibri" w:hAnsi="Garamond" w:cs="Times New Roman"/>
          <w:sz w:val="24"/>
          <w:szCs w:val="24"/>
          <w:vertAlign w:val="subscript"/>
          <w:lang w:val="en-GB"/>
        </w:rPr>
        <w:tab/>
      </w:r>
      <w:r w:rsidRPr="00DB6C99">
        <w:rPr>
          <w:rFonts w:ascii="Garamond" w:eastAsia="Calibri" w:hAnsi="Garamond" w:cs="Times New Roman"/>
          <w:sz w:val="24"/>
          <w:szCs w:val="24"/>
          <w:vertAlign w:val="subscript"/>
          <w:lang w:val="en-GB"/>
        </w:rPr>
        <w:tab/>
      </w:r>
      <w:r w:rsidRPr="00DB6C99">
        <w:rPr>
          <w:rFonts w:ascii="Garamond" w:eastAsia="Calibri" w:hAnsi="Garamond" w:cs="Times New Roman"/>
          <w:sz w:val="24"/>
          <w:szCs w:val="24"/>
          <w:lang w:val="en-GB"/>
        </w:rPr>
        <w:t>(3)</w:t>
      </w:r>
    </w:p>
    <w:p w14:paraId="7D6B3F72" w14:textId="5C4C60AB" w:rsidR="004A1788" w:rsidRPr="00DB6C99" w:rsidRDefault="004A1788" w:rsidP="004A1788">
      <w:pPr>
        <w:spacing w:line="360" w:lineRule="auto"/>
        <w:ind w:firstLine="630"/>
        <w:jc w:val="both"/>
        <w:rPr>
          <w:rFonts w:ascii="Garamond" w:eastAsia="Calibri" w:hAnsi="Garamond" w:cs="Times New Roman"/>
          <w:sz w:val="24"/>
          <w:szCs w:val="24"/>
          <w:lang w:val="en-GB"/>
        </w:rPr>
      </w:pPr>
      <w:r w:rsidRPr="00DB6C99">
        <w:rPr>
          <w:rFonts w:ascii="Garamond" w:eastAsia="Calibri" w:hAnsi="Garamond" w:cs="Times New Roman"/>
          <w:sz w:val="24"/>
          <w:szCs w:val="24"/>
          <w:lang w:val="en-GB"/>
        </w:rPr>
        <w:t>To test H1, we focus on the coefficient on β</w:t>
      </w:r>
      <w:r w:rsidRPr="00DB6C99">
        <w:rPr>
          <w:rFonts w:ascii="Garamond" w:eastAsia="Calibri" w:hAnsi="Garamond" w:cs="Times New Roman"/>
          <w:sz w:val="24"/>
          <w:szCs w:val="24"/>
          <w:vertAlign w:val="subscript"/>
          <w:lang w:val="en-GB"/>
        </w:rPr>
        <w:t>1</w:t>
      </w:r>
      <w:r w:rsidRPr="00DB6C99">
        <w:rPr>
          <w:rFonts w:ascii="Garamond" w:eastAsia="Calibri" w:hAnsi="Garamond" w:cs="Times New Roman"/>
          <w:sz w:val="24"/>
          <w:szCs w:val="24"/>
          <w:lang w:val="en-GB"/>
        </w:rPr>
        <w:t xml:space="preserve"> of Equation (1). If gender-diverse boards reduce CSR decoupling, then the coefficient on </w:t>
      </w:r>
      <w:r w:rsidRPr="00DB6C99">
        <w:rPr>
          <w:rFonts w:ascii="Garamond" w:eastAsia="Calibri" w:hAnsi="Garamond" w:cs="Times New Roman"/>
          <w:i/>
          <w:iCs/>
          <w:sz w:val="24"/>
          <w:szCs w:val="24"/>
          <w:lang w:val="en-GB"/>
        </w:rPr>
        <w:t xml:space="preserve">FPRO </w:t>
      </w:r>
      <w:r w:rsidRPr="00DB6C99">
        <w:rPr>
          <w:rFonts w:ascii="Garamond" w:eastAsia="Calibri" w:hAnsi="Garamond" w:cs="Times New Roman"/>
          <w:sz w:val="24"/>
          <w:szCs w:val="24"/>
          <w:lang w:val="en-GB"/>
        </w:rPr>
        <w:t>(β</w:t>
      </w:r>
      <w:r w:rsidRPr="00DB6C99">
        <w:rPr>
          <w:rFonts w:ascii="Garamond" w:eastAsia="Calibri" w:hAnsi="Garamond" w:cs="Times New Roman"/>
          <w:sz w:val="24"/>
          <w:szCs w:val="24"/>
          <w:vertAlign w:val="subscript"/>
          <w:lang w:val="en-GB"/>
        </w:rPr>
        <w:t>1</w:t>
      </w:r>
      <w:r w:rsidRPr="00DB6C99">
        <w:rPr>
          <w:rFonts w:ascii="Garamond" w:eastAsia="Calibri" w:hAnsi="Garamond" w:cs="Times New Roman"/>
          <w:sz w:val="24"/>
          <w:szCs w:val="24"/>
          <w:lang w:val="en-GB"/>
        </w:rPr>
        <w:t>) should be negative and significant. To test H2, we focus on the coefficient on β</w:t>
      </w:r>
      <w:r w:rsidRPr="00DB6C99">
        <w:rPr>
          <w:rFonts w:ascii="Garamond" w:eastAsia="Calibri" w:hAnsi="Garamond" w:cs="Times New Roman"/>
          <w:sz w:val="24"/>
          <w:szCs w:val="24"/>
          <w:vertAlign w:val="subscript"/>
          <w:lang w:val="en-GB"/>
        </w:rPr>
        <w:t>1</w:t>
      </w:r>
      <w:r w:rsidRPr="00DB6C99">
        <w:rPr>
          <w:rFonts w:ascii="Garamond" w:eastAsia="Calibri" w:hAnsi="Garamond" w:cs="Times New Roman"/>
          <w:sz w:val="24"/>
          <w:szCs w:val="24"/>
          <w:lang w:val="en-GB"/>
        </w:rPr>
        <w:t xml:space="preserve"> and β</w:t>
      </w:r>
      <w:r w:rsidRPr="00DB6C99">
        <w:rPr>
          <w:rFonts w:ascii="Garamond" w:eastAsia="Calibri" w:hAnsi="Garamond" w:cs="Times New Roman"/>
          <w:sz w:val="24"/>
          <w:szCs w:val="24"/>
          <w:vertAlign w:val="subscript"/>
          <w:lang w:val="en-GB"/>
        </w:rPr>
        <w:t>2</w:t>
      </w:r>
      <w:r w:rsidRPr="00DB6C99">
        <w:rPr>
          <w:rFonts w:ascii="Garamond" w:eastAsia="Calibri" w:hAnsi="Garamond" w:cs="Times New Roman"/>
          <w:sz w:val="24"/>
          <w:szCs w:val="24"/>
          <w:lang w:val="en-GB"/>
        </w:rPr>
        <w:t xml:space="preserve"> of Equation (2). If female independent directors are better monitors than female executive directors, then the coefficient on </w:t>
      </w:r>
      <w:r w:rsidRPr="00DB6C99">
        <w:rPr>
          <w:rFonts w:ascii="Garamond" w:eastAsia="Calibri" w:hAnsi="Garamond" w:cs="Times New Roman"/>
          <w:i/>
          <w:iCs/>
          <w:sz w:val="24"/>
          <w:szCs w:val="24"/>
          <w:lang w:val="en-GB"/>
        </w:rPr>
        <w:t>FNEDPRO</w:t>
      </w:r>
      <w:r w:rsidRPr="00DB6C99">
        <w:rPr>
          <w:rFonts w:ascii="Garamond" w:eastAsia="Calibri" w:hAnsi="Garamond" w:cs="Times New Roman"/>
          <w:sz w:val="24"/>
          <w:szCs w:val="24"/>
          <w:lang w:val="en-GB"/>
        </w:rPr>
        <w:t xml:space="preserve"> (β</w:t>
      </w:r>
      <w:r w:rsidRPr="00DB6C99">
        <w:rPr>
          <w:rFonts w:ascii="Garamond" w:eastAsia="Calibri" w:hAnsi="Garamond" w:cs="Times New Roman"/>
          <w:sz w:val="24"/>
          <w:szCs w:val="24"/>
          <w:vertAlign w:val="subscript"/>
          <w:lang w:val="en-GB"/>
        </w:rPr>
        <w:t>1</w:t>
      </w:r>
      <w:r w:rsidRPr="00DB6C99">
        <w:rPr>
          <w:rFonts w:ascii="Garamond" w:eastAsia="Calibri" w:hAnsi="Garamond" w:cs="Times New Roman"/>
          <w:sz w:val="24"/>
          <w:szCs w:val="24"/>
          <w:lang w:val="en-GB"/>
        </w:rPr>
        <w:t xml:space="preserve">) should be highly negative </w:t>
      </w:r>
      <w:r w:rsidR="00311ED0" w:rsidRPr="00DB6C99">
        <w:rPr>
          <w:rFonts w:ascii="Garamond" w:eastAsia="Calibri" w:hAnsi="Garamond" w:cs="Times New Roman"/>
          <w:sz w:val="24"/>
          <w:szCs w:val="24"/>
          <w:lang w:val="en-GB"/>
        </w:rPr>
        <w:t xml:space="preserve">compared to </w:t>
      </w:r>
      <w:r w:rsidRPr="00DB6C99">
        <w:rPr>
          <w:rFonts w:ascii="Garamond" w:eastAsia="Calibri" w:hAnsi="Garamond" w:cs="Times New Roman"/>
          <w:sz w:val="24"/>
          <w:szCs w:val="24"/>
          <w:lang w:val="en-GB"/>
        </w:rPr>
        <w:t xml:space="preserve">the coefficient on </w:t>
      </w:r>
      <w:r w:rsidRPr="00DB6C99">
        <w:rPr>
          <w:rFonts w:ascii="Garamond" w:eastAsia="Calibri" w:hAnsi="Garamond" w:cs="Times New Roman"/>
          <w:i/>
          <w:iCs/>
          <w:sz w:val="24"/>
          <w:szCs w:val="24"/>
          <w:lang w:val="en-GB"/>
        </w:rPr>
        <w:t>FEDPRO</w:t>
      </w:r>
      <w:r w:rsidRPr="00DB6C99">
        <w:rPr>
          <w:rFonts w:ascii="Garamond" w:eastAsia="Calibri" w:hAnsi="Garamond" w:cs="Times New Roman"/>
          <w:sz w:val="24"/>
          <w:szCs w:val="24"/>
          <w:lang w:val="en-GB"/>
        </w:rPr>
        <w:t xml:space="preserve"> (β</w:t>
      </w:r>
      <w:r w:rsidRPr="00DB6C99">
        <w:rPr>
          <w:rFonts w:ascii="Garamond" w:eastAsia="Calibri" w:hAnsi="Garamond" w:cs="Times New Roman"/>
          <w:sz w:val="24"/>
          <w:szCs w:val="24"/>
          <w:vertAlign w:val="subscript"/>
          <w:lang w:val="en-GB"/>
        </w:rPr>
        <w:t>2</w:t>
      </w:r>
      <w:r w:rsidRPr="00DB6C99">
        <w:rPr>
          <w:rFonts w:ascii="Garamond" w:eastAsia="Calibri" w:hAnsi="Garamond" w:cs="Times New Roman"/>
          <w:sz w:val="24"/>
          <w:szCs w:val="24"/>
          <w:lang w:val="en-GB"/>
        </w:rPr>
        <w:t>). To test H3, we focus on the coefficients β</w:t>
      </w:r>
      <w:r w:rsidRPr="00DB6C99">
        <w:rPr>
          <w:rFonts w:ascii="Garamond" w:eastAsia="Calibri" w:hAnsi="Garamond" w:cs="Times New Roman"/>
          <w:sz w:val="24"/>
          <w:szCs w:val="24"/>
          <w:vertAlign w:val="subscript"/>
          <w:lang w:val="en-GB"/>
        </w:rPr>
        <w:t>1</w:t>
      </w:r>
      <w:r w:rsidRPr="00DB6C99">
        <w:rPr>
          <w:rFonts w:ascii="Garamond" w:eastAsia="Calibri" w:hAnsi="Garamond" w:cs="Times New Roman"/>
          <w:sz w:val="24"/>
          <w:szCs w:val="24"/>
          <w:lang w:val="en-GB"/>
        </w:rPr>
        <w:t>, β</w:t>
      </w:r>
      <w:r w:rsidRPr="00DB6C99">
        <w:rPr>
          <w:rFonts w:ascii="Garamond" w:eastAsia="Calibri" w:hAnsi="Garamond" w:cs="Times New Roman"/>
          <w:sz w:val="24"/>
          <w:szCs w:val="24"/>
          <w:vertAlign w:val="subscript"/>
          <w:lang w:val="en-GB"/>
        </w:rPr>
        <w:t xml:space="preserve">2 </w:t>
      </w:r>
      <w:r w:rsidRPr="00DB6C99">
        <w:rPr>
          <w:rFonts w:ascii="Garamond" w:eastAsia="Calibri" w:hAnsi="Garamond" w:cs="Times New Roman"/>
          <w:sz w:val="24"/>
          <w:szCs w:val="24"/>
          <w:lang w:val="en-GB"/>
        </w:rPr>
        <w:t>and β</w:t>
      </w:r>
      <w:r w:rsidRPr="00DB6C99">
        <w:rPr>
          <w:rFonts w:ascii="Garamond" w:eastAsia="Calibri" w:hAnsi="Garamond" w:cs="Times New Roman"/>
          <w:sz w:val="24"/>
          <w:szCs w:val="24"/>
          <w:vertAlign w:val="subscript"/>
          <w:lang w:val="en-GB"/>
        </w:rPr>
        <w:t>3</w:t>
      </w:r>
      <w:r w:rsidRPr="00DB6C99">
        <w:rPr>
          <w:rFonts w:ascii="Garamond" w:eastAsia="Calibri" w:hAnsi="Garamond" w:cs="Times New Roman"/>
          <w:sz w:val="24"/>
          <w:szCs w:val="24"/>
          <w:lang w:val="en-GB"/>
        </w:rPr>
        <w:t xml:space="preserve"> of Equation (3). Consistent with the predictions of critical mass theory (Seebeck </w:t>
      </w:r>
      <w:r w:rsidR="00311ED0" w:rsidRPr="00DB6C99">
        <w:rPr>
          <w:rFonts w:ascii="Garamond" w:eastAsia="Calibri" w:hAnsi="Garamond" w:cs="Times New Roman"/>
          <w:sz w:val="24"/>
          <w:szCs w:val="24"/>
          <w:lang w:val="en-GB"/>
        </w:rPr>
        <w:t>and</w:t>
      </w:r>
      <w:r w:rsidRPr="00DB6C99">
        <w:rPr>
          <w:rFonts w:ascii="Garamond" w:eastAsia="Calibri" w:hAnsi="Garamond" w:cs="Times New Roman"/>
          <w:sz w:val="24"/>
          <w:szCs w:val="24"/>
          <w:lang w:val="en-GB"/>
        </w:rPr>
        <w:t xml:space="preserve"> Vetter, 2021), if the influence of female directors on CSR decoupling increases with an increase in their representation on the board, then the coefficient on </w:t>
      </w:r>
      <w:r w:rsidRPr="00DB6C99">
        <w:rPr>
          <w:rFonts w:ascii="Garamond" w:eastAsia="Calibri" w:hAnsi="Garamond" w:cs="Times New Roman"/>
          <w:i/>
          <w:iCs/>
          <w:sz w:val="24"/>
          <w:szCs w:val="24"/>
          <w:lang w:val="en-GB"/>
        </w:rPr>
        <w:t xml:space="preserve">SKEWED </w:t>
      </w:r>
      <w:r w:rsidRPr="00DB6C99">
        <w:rPr>
          <w:rFonts w:ascii="Garamond" w:eastAsia="Calibri" w:hAnsi="Garamond" w:cs="Times New Roman"/>
          <w:sz w:val="24"/>
          <w:szCs w:val="24"/>
          <w:lang w:val="en-GB"/>
        </w:rPr>
        <w:t>(β</w:t>
      </w:r>
      <w:r w:rsidRPr="00DB6C99">
        <w:rPr>
          <w:rFonts w:ascii="Garamond" w:eastAsia="Calibri" w:hAnsi="Garamond" w:cs="Times New Roman"/>
          <w:sz w:val="24"/>
          <w:szCs w:val="24"/>
          <w:vertAlign w:val="subscript"/>
          <w:lang w:val="en-GB"/>
        </w:rPr>
        <w:t>1</w:t>
      </w:r>
      <w:r w:rsidRPr="00DB6C99">
        <w:rPr>
          <w:rFonts w:ascii="Garamond" w:eastAsia="Calibri" w:hAnsi="Garamond" w:cs="Times New Roman"/>
          <w:sz w:val="24"/>
          <w:szCs w:val="24"/>
          <w:lang w:val="en-GB"/>
        </w:rPr>
        <w:t xml:space="preserve">), </w:t>
      </w:r>
      <w:r w:rsidRPr="00DB6C99">
        <w:rPr>
          <w:rFonts w:ascii="Garamond" w:eastAsia="Calibri" w:hAnsi="Garamond" w:cs="Times New Roman"/>
          <w:i/>
          <w:iCs/>
          <w:sz w:val="24"/>
          <w:szCs w:val="24"/>
          <w:lang w:val="en-GB"/>
        </w:rPr>
        <w:t xml:space="preserve">TILTED </w:t>
      </w:r>
      <w:r w:rsidRPr="00DB6C99">
        <w:rPr>
          <w:rFonts w:ascii="Garamond" w:eastAsia="Calibri" w:hAnsi="Garamond" w:cs="Times New Roman"/>
          <w:sz w:val="24"/>
          <w:szCs w:val="24"/>
          <w:lang w:val="en-GB"/>
        </w:rPr>
        <w:t>(β</w:t>
      </w:r>
      <w:r w:rsidRPr="00DB6C99">
        <w:rPr>
          <w:rFonts w:ascii="Garamond" w:eastAsia="Calibri" w:hAnsi="Garamond" w:cs="Times New Roman"/>
          <w:sz w:val="24"/>
          <w:szCs w:val="24"/>
          <w:vertAlign w:val="subscript"/>
          <w:lang w:val="en-GB"/>
        </w:rPr>
        <w:t>2</w:t>
      </w:r>
      <w:r w:rsidRPr="00DB6C99">
        <w:rPr>
          <w:rFonts w:ascii="Garamond" w:eastAsia="Calibri" w:hAnsi="Garamond" w:cs="Times New Roman"/>
          <w:sz w:val="24"/>
          <w:szCs w:val="24"/>
          <w:lang w:val="en-GB"/>
        </w:rPr>
        <w:t xml:space="preserve">) and </w:t>
      </w:r>
      <w:r w:rsidRPr="00DB6C99">
        <w:rPr>
          <w:rFonts w:ascii="Garamond" w:eastAsia="Calibri" w:hAnsi="Garamond" w:cs="Times New Roman"/>
          <w:i/>
          <w:iCs/>
          <w:sz w:val="24"/>
          <w:szCs w:val="24"/>
          <w:lang w:val="en-GB"/>
        </w:rPr>
        <w:t xml:space="preserve">BALANCED </w:t>
      </w:r>
      <w:r w:rsidRPr="00DB6C99">
        <w:rPr>
          <w:rFonts w:ascii="Garamond" w:eastAsia="Calibri" w:hAnsi="Garamond" w:cs="Times New Roman"/>
          <w:sz w:val="24"/>
          <w:szCs w:val="24"/>
          <w:lang w:val="en-GB"/>
        </w:rPr>
        <w:t>(β</w:t>
      </w:r>
      <w:r w:rsidRPr="00DB6C99">
        <w:rPr>
          <w:rFonts w:ascii="Garamond" w:eastAsia="Calibri" w:hAnsi="Garamond" w:cs="Times New Roman"/>
          <w:sz w:val="24"/>
          <w:szCs w:val="24"/>
          <w:vertAlign w:val="subscript"/>
          <w:lang w:val="en-GB"/>
        </w:rPr>
        <w:t>3</w:t>
      </w:r>
      <w:r w:rsidRPr="00DB6C99">
        <w:rPr>
          <w:rFonts w:ascii="Garamond" w:eastAsia="Calibri" w:hAnsi="Garamond" w:cs="Times New Roman"/>
          <w:sz w:val="24"/>
          <w:szCs w:val="24"/>
          <w:lang w:val="en-GB"/>
        </w:rPr>
        <w:t>) should also increase. We control for board</w:t>
      </w:r>
      <w:r w:rsidR="00311ED0"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 xml:space="preserve"> and firm</w:t>
      </w:r>
      <w:r w:rsidR="00311ED0"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level variables that may impact CSR decoupling</w:t>
      </w:r>
      <w:r w:rsidR="00311ED0"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 xml:space="preserve"> as highlighted in the prior literature (e.g., </w:t>
      </w:r>
      <w:r w:rsidR="00311ED0" w:rsidRPr="00DB6C99">
        <w:rPr>
          <w:rFonts w:ascii="Garamond" w:eastAsia="Calibri" w:hAnsi="Garamond" w:cs="Times New Roman"/>
          <w:sz w:val="24"/>
          <w:szCs w:val="24"/>
          <w:lang w:val="en-GB"/>
        </w:rPr>
        <w:t xml:space="preserve">García-Sánchez </w:t>
      </w:r>
      <w:r w:rsidR="00311ED0" w:rsidRPr="00DB6C99">
        <w:rPr>
          <w:rFonts w:ascii="Garamond" w:eastAsia="Calibri" w:hAnsi="Garamond" w:cs="Times New Roman"/>
          <w:i/>
          <w:sz w:val="24"/>
          <w:szCs w:val="24"/>
          <w:lang w:val="en-GB"/>
        </w:rPr>
        <w:t>et al.</w:t>
      </w:r>
      <w:r w:rsidR="00311ED0" w:rsidRPr="00DB6C99">
        <w:rPr>
          <w:rFonts w:ascii="Garamond" w:eastAsia="Calibri" w:hAnsi="Garamond" w:cs="Times New Roman"/>
          <w:sz w:val="24"/>
          <w:szCs w:val="24"/>
          <w:lang w:val="en-GB"/>
        </w:rPr>
        <w:t xml:space="preserve">, 2021; Jain and Zaman, 2020; </w:t>
      </w:r>
      <w:r w:rsidRPr="00DB6C99">
        <w:rPr>
          <w:rFonts w:ascii="Garamond" w:eastAsia="Calibri" w:hAnsi="Garamond" w:cs="Times New Roman"/>
          <w:sz w:val="24"/>
          <w:szCs w:val="24"/>
          <w:lang w:val="en-GB"/>
        </w:rPr>
        <w:t xml:space="preserve">Sauerwald </w:t>
      </w:r>
      <w:r w:rsidR="00311ED0" w:rsidRPr="00DB6C99">
        <w:rPr>
          <w:rFonts w:ascii="Garamond" w:eastAsia="Calibri" w:hAnsi="Garamond" w:cs="Times New Roman"/>
          <w:sz w:val="24"/>
          <w:szCs w:val="24"/>
          <w:lang w:val="en-GB"/>
        </w:rPr>
        <w:t>and</w:t>
      </w:r>
      <w:r w:rsidRPr="00DB6C99">
        <w:rPr>
          <w:rFonts w:ascii="Garamond" w:eastAsia="Calibri" w:hAnsi="Garamond" w:cs="Times New Roman"/>
          <w:sz w:val="24"/>
          <w:szCs w:val="24"/>
          <w:lang w:val="en-GB"/>
        </w:rPr>
        <w:t xml:space="preserve"> Su, 2019; Tashman</w:t>
      </w:r>
      <w:r w:rsidR="00815C32" w:rsidRPr="00DB6C99">
        <w:rPr>
          <w:rFonts w:ascii="Garamond" w:eastAsia="Calibri" w:hAnsi="Garamond" w:cs="Times New Roman"/>
          <w:sz w:val="24"/>
          <w:szCs w:val="24"/>
          <w:lang w:val="en-GB"/>
        </w:rPr>
        <w:t>, Marano and Kostova</w:t>
      </w:r>
      <w:r w:rsidRPr="00DB6C99">
        <w:rPr>
          <w:rFonts w:ascii="Garamond" w:eastAsia="Calibri" w:hAnsi="Garamond" w:cs="Times New Roman"/>
          <w:sz w:val="24"/>
          <w:szCs w:val="24"/>
          <w:lang w:val="en-GB"/>
        </w:rPr>
        <w:t>, 2019). These variables are board size (</w:t>
      </w:r>
      <w:r w:rsidRPr="00DB6C99">
        <w:rPr>
          <w:rFonts w:ascii="Garamond" w:eastAsia="Calibri" w:hAnsi="Garamond" w:cs="Times New Roman"/>
          <w:i/>
          <w:iCs/>
          <w:sz w:val="24"/>
          <w:szCs w:val="24"/>
          <w:lang w:val="en-GB"/>
        </w:rPr>
        <w:t>BSIZE</w:t>
      </w:r>
      <w:r w:rsidRPr="00DB6C99">
        <w:rPr>
          <w:rFonts w:ascii="Garamond" w:eastAsia="Calibri" w:hAnsi="Garamond" w:cs="Times New Roman"/>
          <w:sz w:val="24"/>
          <w:szCs w:val="24"/>
          <w:lang w:val="en-GB"/>
        </w:rPr>
        <w:t>), board independence (</w:t>
      </w:r>
      <w:r w:rsidRPr="00DB6C99">
        <w:rPr>
          <w:rFonts w:ascii="Garamond" w:eastAsia="Calibri" w:hAnsi="Garamond" w:cs="Times New Roman"/>
          <w:i/>
          <w:iCs/>
          <w:sz w:val="24"/>
          <w:szCs w:val="24"/>
          <w:lang w:val="en-GB"/>
        </w:rPr>
        <w:t>BIND</w:t>
      </w:r>
      <w:r w:rsidRPr="00DB6C99">
        <w:rPr>
          <w:rFonts w:ascii="Garamond" w:eastAsia="Calibri" w:hAnsi="Garamond" w:cs="Times New Roman"/>
          <w:sz w:val="24"/>
          <w:szCs w:val="24"/>
          <w:lang w:val="en-GB"/>
        </w:rPr>
        <w:t>), board meetings (</w:t>
      </w:r>
      <w:r w:rsidRPr="00DB6C99">
        <w:rPr>
          <w:rFonts w:ascii="Garamond" w:eastAsia="Calibri" w:hAnsi="Garamond" w:cs="Times New Roman"/>
          <w:i/>
          <w:iCs/>
          <w:sz w:val="24"/>
          <w:szCs w:val="24"/>
          <w:lang w:val="en-GB"/>
        </w:rPr>
        <w:t>BMEET</w:t>
      </w:r>
      <w:r w:rsidRPr="00DB6C99">
        <w:rPr>
          <w:rFonts w:ascii="Garamond" w:eastAsia="Calibri" w:hAnsi="Garamond" w:cs="Times New Roman"/>
          <w:sz w:val="24"/>
          <w:szCs w:val="24"/>
          <w:lang w:val="en-GB"/>
        </w:rPr>
        <w:t>), CEO duality (</w:t>
      </w:r>
      <w:r w:rsidRPr="00DB6C99">
        <w:rPr>
          <w:rFonts w:ascii="Garamond" w:eastAsia="Calibri" w:hAnsi="Garamond" w:cs="Times New Roman"/>
          <w:i/>
          <w:iCs/>
          <w:sz w:val="24"/>
          <w:szCs w:val="24"/>
          <w:lang w:val="en-GB"/>
        </w:rPr>
        <w:t>DUAL</w:t>
      </w:r>
      <w:r w:rsidRPr="00DB6C99">
        <w:rPr>
          <w:rFonts w:ascii="Garamond" w:eastAsia="Calibri" w:hAnsi="Garamond" w:cs="Times New Roman"/>
          <w:sz w:val="24"/>
          <w:szCs w:val="24"/>
          <w:lang w:val="en-GB"/>
        </w:rPr>
        <w:t>), profitability (</w:t>
      </w:r>
      <w:r w:rsidRPr="00DB6C99">
        <w:rPr>
          <w:rFonts w:ascii="Garamond" w:eastAsia="Calibri" w:hAnsi="Garamond" w:cs="Times New Roman"/>
          <w:i/>
          <w:iCs/>
          <w:sz w:val="24"/>
          <w:szCs w:val="24"/>
          <w:lang w:val="en-GB"/>
        </w:rPr>
        <w:t>ROA</w:t>
      </w:r>
      <w:r w:rsidRPr="00DB6C99">
        <w:rPr>
          <w:rFonts w:ascii="Garamond" w:eastAsia="Calibri" w:hAnsi="Garamond" w:cs="Times New Roman"/>
          <w:sz w:val="24"/>
          <w:szCs w:val="24"/>
          <w:lang w:val="en-GB"/>
        </w:rPr>
        <w:t>), profit margin (</w:t>
      </w:r>
      <w:r w:rsidRPr="00DB6C99">
        <w:rPr>
          <w:rFonts w:ascii="Garamond" w:eastAsia="Calibri" w:hAnsi="Garamond" w:cs="Times New Roman"/>
          <w:i/>
          <w:iCs/>
          <w:sz w:val="24"/>
          <w:szCs w:val="24"/>
          <w:lang w:val="en-GB"/>
        </w:rPr>
        <w:t>PM</w:t>
      </w:r>
      <w:r w:rsidRPr="00DB6C99">
        <w:rPr>
          <w:rFonts w:ascii="Garamond" w:eastAsia="Calibri" w:hAnsi="Garamond" w:cs="Times New Roman"/>
          <w:sz w:val="24"/>
          <w:szCs w:val="24"/>
          <w:lang w:val="en-GB"/>
        </w:rPr>
        <w:t>), capital intensity (</w:t>
      </w:r>
      <w:r w:rsidRPr="00DB6C99">
        <w:rPr>
          <w:rFonts w:ascii="Garamond" w:eastAsia="Calibri" w:hAnsi="Garamond" w:cs="Times New Roman"/>
          <w:i/>
          <w:iCs/>
          <w:sz w:val="24"/>
          <w:szCs w:val="24"/>
          <w:lang w:val="en-GB"/>
        </w:rPr>
        <w:t>CI</w:t>
      </w:r>
      <w:r w:rsidRPr="00DB6C99">
        <w:rPr>
          <w:rFonts w:ascii="Garamond" w:eastAsia="Calibri" w:hAnsi="Garamond" w:cs="Times New Roman"/>
          <w:sz w:val="24"/>
          <w:szCs w:val="24"/>
          <w:lang w:val="en-GB"/>
        </w:rPr>
        <w:t>), research and development (</w:t>
      </w:r>
      <w:r w:rsidRPr="00DB6C99">
        <w:rPr>
          <w:rFonts w:ascii="Garamond" w:eastAsia="Calibri" w:hAnsi="Garamond" w:cs="Times New Roman"/>
          <w:i/>
          <w:iCs/>
          <w:sz w:val="24"/>
          <w:szCs w:val="24"/>
          <w:lang w:val="en-GB"/>
        </w:rPr>
        <w:t>R&amp;D</w:t>
      </w:r>
      <w:r w:rsidRPr="00DB6C99">
        <w:rPr>
          <w:rFonts w:ascii="Garamond" w:eastAsia="Calibri" w:hAnsi="Garamond" w:cs="Times New Roman"/>
          <w:sz w:val="24"/>
          <w:szCs w:val="24"/>
          <w:lang w:val="en-GB"/>
        </w:rPr>
        <w:t>), analyst forecast error (</w:t>
      </w:r>
      <w:r w:rsidRPr="00DB6C99">
        <w:rPr>
          <w:rFonts w:ascii="Garamond" w:eastAsia="Calibri" w:hAnsi="Garamond" w:cs="Times New Roman"/>
          <w:i/>
          <w:iCs/>
          <w:sz w:val="24"/>
          <w:szCs w:val="24"/>
          <w:lang w:val="en-GB"/>
        </w:rPr>
        <w:t>AFE</w:t>
      </w:r>
      <w:r w:rsidRPr="00DB6C99">
        <w:rPr>
          <w:rFonts w:ascii="Garamond" w:eastAsia="Calibri" w:hAnsi="Garamond" w:cs="Times New Roman"/>
          <w:sz w:val="24"/>
          <w:szCs w:val="24"/>
          <w:lang w:val="en-GB"/>
        </w:rPr>
        <w:t>), organizational slack (</w:t>
      </w:r>
      <w:r w:rsidRPr="00DB6C99">
        <w:rPr>
          <w:rFonts w:ascii="Garamond" w:eastAsia="Calibri" w:hAnsi="Garamond" w:cs="Times New Roman"/>
          <w:i/>
          <w:iCs/>
          <w:sz w:val="24"/>
          <w:szCs w:val="24"/>
          <w:lang w:val="en-GB"/>
        </w:rPr>
        <w:t>SLACK</w:t>
      </w:r>
      <w:r w:rsidRPr="00DB6C99">
        <w:rPr>
          <w:rFonts w:ascii="Garamond" w:eastAsia="Calibri" w:hAnsi="Garamond" w:cs="Times New Roman"/>
          <w:sz w:val="24"/>
          <w:szCs w:val="24"/>
          <w:lang w:val="en-GB"/>
        </w:rPr>
        <w:t>), cost of debt (</w:t>
      </w:r>
      <w:r w:rsidRPr="00DB6C99">
        <w:rPr>
          <w:rFonts w:ascii="Garamond" w:eastAsia="Calibri" w:hAnsi="Garamond" w:cs="Times New Roman"/>
          <w:i/>
          <w:iCs/>
          <w:sz w:val="24"/>
          <w:szCs w:val="24"/>
          <w:lang w:val="en-GB"/>
        </w:rPr>
        <w:t>COD</w:t>
      </w:r>
      <w:r w:rsidRPr="00DB6C99">
        <w:rPr>
          <w:rFonts w:ascii="Garamond" w:eastAsia="Calibri" w:hAnsi="Garamond" w:cs="Times New Roman"/>
          <w:sz w:val="24"/>
          <w:szCs w:val="24"/>
          <w:lang w:val="en-GB"/>
        </w:rPr>
        <w:t>), institutional ownership (</w:t>
      </w:r>
      <w:r w:rsidRPr="00DB6C99">
        <w:rPr>
          <w:rFonts w:ascii="Garamond" w:eastAsia="Calibri" w:hAnsi="Garamond" w:cs="Times New Roman"/>
          <w:i/>
          <w:iCs/>
          <w:sz w:val="24"/>
          <w:szCs w:val="24"/>
          <w:lang w:val="en-GB"/>
        </w:rPr>
        <w:t>INST</w:t>
      </w:r>
      <w:r w:rsidRPr="00DB6C99">
        <w:rPr>
          <w:rFonts w:ascii="Garamond" w:eastAsia="Calibri" w:hAnsi="Garamond" w:cs="Times New Roman"/>
          <w:sz w:val="24"/>
          <w:szCs w:val="24"/>
          <w:lang w:val="en-GB"/>
        </w:rPr>
        <w:t xml:space="preserve">), state </w:t>
      </w:r>
      <w:r w:rsidRPr="00DB6C99">
        <w:rPr>
          <w:rFonts w:ascii="Garamond" w:eastAsia="Calibri" w:hAnsi="Garamond" w:cs="Times New Roman"/>
          <w:sz w:val="24"/>
          <w:szCs w:val="24"/>
          <w:lang w:val="en-GB"/>
        </w:rPr>
        <w:lastRenderedPageBreak/>
        <w:t>ownership (</w:t>
      </w:r>
      <w:r w:rsidRPr="00DB6C99">
        <w:rPr>
          <w:rFonts w:ascii="Garamond" w:eastAsia="Calibri" w:hAnsi="Garamond" w:cs="Times New Roman"/>
          <w:i/>
          <w:iCs/>
          <w:sz w:val="24"/>
          <w:szCs w:val="24"/>
          <w:lang w:val="en-GB"/>
        </w:rPr>
        <w:t>STATE</w:t>
      </w:r>
      <w:r w:rsidRPr="00DB6C99">
        <w:rPr>
          <w:rFonts w:ascii="Garamond" w:eastAsia="Calibri" w:hAnsi="Garamond" w:cs="Times New Roman"/>
          <w:sz w:val="24"/>
          <w:szCs w:val="24"/>
          <w:lang w:val="en-GB"/>
        </w:rPr>
        <w:t>) and firm size (</w:t>
      </w:r>
      <w:r w:rsidRPr="00DB6C99">
        <w:rPr>
          <w:rFonts w:ascii="Garamond" w:eastAsia="Calibri" w:hAnsi="Garamond" w:cs="Times New Roman"/>
          <w:i/>
          <w:iCs/>
          <w:sz w:val="24"/>
          <w:szCs w:val="24"/>
          <w:lang w:val="en-GB"/>
        </w:rPr>
        <w:t>SIZE</w:t>
      </w:r>
      <w:r w:rsidRPr="00DB6C99">
        <w:rPr>
          <w:rFonts w:ascii="Garamond" w:eastAsia="Calibri" w:hAnsi="Garamond" w:cs="Times New Roman"/>
          <w:sz w:val="24"/>
          <w:szCs w:val="24"/>
          <w:lang w:val="en-GB"/>
        </w:rPr>
        <w:t>). Finally, we control for year and industry effects (</w:t>
      </w:r>
      <w:r w:rsidR="00104E77" w:rsidRPr="00DB6C99">
        <w:rPr>
          <w:rFonts w:ascii="Garamond" w:eastAsia="Calibri" w:hAnsi="Garamond" w:cs="Times New Roman"/>
          <w:sz w:val="24"/>
          <w:szCs w:val="24"/>
          <w:lang w:val="en-GB"/>
        </w:rPr>
        <w:t>using</w:t>
      </w:r>
      <w:r w:rsidRPr="00DB6C99">
        <w:rPr>
          <w:rFonts w:ascii="Garamond" w:eastAsia="Calibri" w:hAnsi="Garamond" w:cs="Times New Roman"/>
          <w:sz w:val="24"/>
          <w:szCs w:val="24"/>
          <w:lang w:val="en-GB"/>
        </w:rPr>
        <w:t xml:space="preserve"> four-digit SIC code</w:t>
      </w:r>
      <w:r w:rsidR="00311ED0" w:rsidRPr="00DB6C99">
        <w:rPr>
          <w:rFonts w:ascii="Garamond" w:eastAsia="Calibri" w:hAnsi="Garamond" w:cs="Times New Roman"/>
          <w:sz w:val="24"/>
          <w:szCs w:val="24"/>
          <w:lang w:val="en-GB"/>
        </w:rPr>
        <w:t>s</w:t>
      </w:r>
      <w:r w:rsidRPr="00DB6C99">
        <w:rPr>
          <w:rFonts w:ascii="Garamond" w:eastAsia="Calibri" w:hAnsi="Garamond" w:cs="Times New Roman"/>
          <w:sz w:val="24"/>
          <w:szCs w:val="24"/>
          <w:lang w:val="en-GB"/>
        </w:rPr>
        <w:t>). All variables are defined in Table 1.</w:t>
      </w:r>
    </w:p>
    <w:p w14:paraId="166DEB95" w14:textId="77777777" w:rsidR="004A1788" w:rsidRPr="00DB6C99" w:rsidRDefault="004A1788" w:rsidP="004A1788">
      <w:pPr>
        <w:spacing w:line="360" w:lineRule="auto"/>
        <w:jc w:val="center"/>
        <w:rPr>
          <w:rFonts w:ascii="Garamond" w:eastAsia="Calibri" w:hAnsi="Garamond" w:cs="Times New Roman"/>
          <w:b/>
          <w:bCs/>
          <w:sz w:val="24"/>
          <w:szCs w:val="24"/>
          <w:lang w:val="en-GB"/>
        </w:rPr>
      </w:pPr>
      <w:r w:rsidRPr="00DB6C99">
        <w:rPr>
          <w:rFonts w:ascii="Garamond" w:eastAsia="Calibri" w:hAnsi="Garamond" w:cs="Times New Roman"/>
          <w:b/>
          <w:bCs/>
          <w:sz w:val="24"/>
          <w:szCs w:val="24"/>
          <w:lang w:val="en-GB"/>
        </w:rPr>
        <w:t>[Insert Table 1 here]</w:t>
      </w:r>
    </w:p>
    <w:p w14:paraId="11F36DA7" w14:textId="77777777" w:rsidR="004A1788" w:rsidRPr="00DB6C99" w:rsidRDefault="004A1788" w:rsidP="004A1788">
      <w:pPr>
        <w:spacing w:line="360" w:lineRule="auto"/>
        <w:jc w:val="both"/>
        <w:rPr>
          <w:rFonts w:ascii="Garamond" w:eastAsia="Calibri" w:hAnsi="Garamond" w:cs="Times New Roman"/>
          <w:b/>
          <w:bCs/>
          <w:sz w:val="24"/>
          <w:szCs w:val="24"/>
          <w:lang w:val="en-GB"/>
        </w:rPr>
      </w:pPr>
      <w:r w:rsidRPr="00DB6C99">
        <w:rPr>
          <w:rFonts w:ascii="Garamond" w:eastAsia="Calibri" w:hAnsi="Garamond" w:cs="Times New Roman"/>
          <w:b/>
          <w:bCs/>
          <w:sz w:val="24"/>
          <w:szCs w:val="24"/>
          <w:lang w:val="en-GB"/>
        </w:rPr>
        <w:t>Results</w:t>
      </w:r>
    </w:p>
    <w:p w14:paraId="42C24DD3" w14:textId="77777777" w:rsidR="004A1788" w:rsidRPr="00DB6C99" w:rsidRDefault="004A1788" w:rsidP="004A1788">
      <w:pPr>
        <w:spacing w:line="360" w:lineRule="auto"/>
        <w:ind w:firstLine="720"/>
        <w:jc w:val="both"/>
        <w:rPr>
          <w:rFonts w:ascii="Garamond" w:eastAsia="Calibri" w:hAnsi="Garamond" w:cs="Times New Roman"/>
          <w:b/>
          <w:bCs/>
          <w:i/>
          <w:iCs/>
          <w:sz w:val="24"/>
          <w:szCs w:val="24"/>
          <w:lang w:val="en-GB"/>
        </w:rPr>
      </w:pPr>
      <w:r w:rsidRPr="00DB6C99">
        <w:rPr>
          <w:rFonts w:ascii="Garamond" w:eastAsia="Calibri" w:hAnsi="Garamond" w:cs="Times New Roman"/>
          <w:b/>
          <w:bCs/>
          <w:i/>
          <w:iCs/>
          <w:sz w:val="24"/>
          <w:szCs w:val="24"/>
          <w:lang w:val="en-GB"/>
        </w:rPr>
        <w:t>Univariate analysis</w:t>
      </w:r>
    </w:p>
    <w:p w14:paraId="33306D4C" w14:textId="1F2D1AC7" w:rsidR="004A1788" w:rsidRPr="00DB6C99" w:rsidRDefault="004A1788" w:rsidP="004A1788">
      <w:pPr>
        <w:spacing w:line="360" w:lineRule="auto"/>
        <w:ind w:firstLine="720"/>
        <w:jc w:val="both"/>
        <w:rPr>
          <w:rFonts w:ascii="Garamond" w:eastAsia="Calibri" w:hAnsi="Garamond" w:cs="Times New Roman"/>
          <w:sz w:val="24"/>
          <w:szCs w:val="24"/>
          <w:lang w:val="en-GB"/>
        </w:rPr>
      </w:pPr>
      <w:r w:rsidRPr="00DB6C99">
        <w:rPr>
          <w:rFonts w:ascii="Garamond" w:eastAsia="Calibri" w:hAnsi="Garamond" w:cs="Times New Roman"/>
          <w:sz w:val="24"/>
          <w:szCs w:val="24"/>
          <w:lang w:val="en-GB"/>
        </w:rPr>
        <w:t>Table 2 presents the summary statistics of our full sample. Among the main variables, the mean value of CSR decoupling (</w:t>
      </w:r>
      <w:r w:rsidRPr="00DB6C99">
        <w:rPr>
          <w:rFonts w:ascii="Garamond" w:eastAsia="Calibri" w:hAnsi="Garamond" w:cs="Times New Roman"/>
          <w:i/>
          <w:iCs/>
          <w:sz w:val="24"/>
          <w:szCs w:val="24"/>
          <w:lang w:val="en-GB"/>
        </w:rPr>
        <w:t>GAP</w:t>
      </w:r>
      <w:r w:rsidRPr="00DB6C99">
        <w:rPr>
          <w:rFonts w:ascii="Garamond" w:eastAsia="Calibri" w:hAnsi="Garamond" w:cs="Times New Roman"/>
          <w:sz w:val="24"/>
          <w:szCs w:val="24"/>
          <w:lang w:val="en-GB"/>
        </w:rPr>
        <w:t xml:space="preserve">) is -0.021, demonstrating a considerable gap between internal and external CSR actions. </w:t>
      </w:r>
      <w:r w:rsidR="00311ED0" w:rsidRPr="00DB6C99">
        <w:rPr>
          <w:rFonts w:ascii="Garamond" w:eastAsia="Calibri" w:hAnsi="Garamond" w:cs="Times New Roman"/>
          <w:sz w:val="24"/>
          <w:szCs w:val="24"/>
          <w:lang w:val="en-GB"/>
        </w:rPr>
        <w:t>R</w:t>
      </w:r>
      <w:r w:rsidRPr="00DB6C99">
        <w:rPr>
          <w:rFonts w:ascii="Garamond" w:eastAsia="Calibri" w:hAnsi="Garamond" w:cs="Times New Roman"/>
          <w:sz w:val="24"/>
          <w:szCs w:val="24"/>
          <w:lang w:val="en-GB"/>
        </w:rPr>
        <w:t>egard</w:t>
      </w:r>
      <w:r w:rsidR="00311ED0" w:rsidRPr="00DB6C99">
        <w:rPr>
          <w:rFonts w:ascii="Garamond" w:eastAsia="Calibri" w:hAnsi="Garamond" w:cs="Times New Roman"/>
          <w:sz w:val="24"/>
          <w:szCs w:val="24"/>
          <w:lang w:val="en-GB"/>
        </w:rPr>
        <w:t>ing</w:t>
      </w:r>
      <w:r w:rsidRPr="00DB6C99">
        <w:rPr>
          <w:rFonts w:ascii="Garamond" w:eastAsia="Calibri" w:hAnsi="Garamond" w:cs="Times New Roman"/>
          <w:sz w:val="24"/>
          <w:szCs w:val="24"/>
          <w:lang w:val="en-GB"/>
        </w:rPr>
        <w:t xml:space="preserve"> </w:t>
      </w:r>
      <w:r w:rsidR="00577A03" w:rsidRPr="00DB6C99">
        <w:rPr>
          <w:rFonts w:ascii="Garamond" w:eastAsia="Calibri" w:hAnsi="Garamond" w:cs="Times New Roman"/>
          <w:sz w:val="24"/>
          <w:szCs w:val="24"/>
          <w:lang w:val="en-GB"/>
        </w:rPr>
        <w:t>BGD</w:t>
      </w:r>
      <w:r w:rsidRPr="00DB6C99">
        <w:rPr>
          <w:rFonts w:ascii="Garamond" w:eastAsia="Calibri" w:hAnsi="Garamond" w:cs="Times New Roman"/>
          <w:sz w:val="24"/>
          <w:szCs w:val="24"/>
          <w:lang w:val="en-GB"/>
        </w:rPr>
        <w:t>, we find that the mean proportion of female directors (</w:t>
      </w:r>
      <w:r w:rsidRPr="00DB6C99">
        <w:rPr>
          <w:rFonts w:ascii="Garamond" w:eastAsia="Calibri" w:hAnsi="Garamond" w:cs="Times New Roman"/>
          <w:i/>
          <w:iCs/>
          <w:sz w:val="24"/>
          <w:szCs w:val="24"/>
          <w:lang w:val="en-GB"/>
        </w:rPr>
        <w:t>FPRO</w:t>
      </w:r>
      <w:r w:rsidRPr="00DB6C99">
        <w:rPr>
          <w:rFonts w:ascii="Garamond" w:eastAsia="Calibri" w:hAnsi="Garamond" w:cs="Times New Roman"/>
          <w:sz w:val="24"/>
          <w:szCs w:val="24"/>
          <w:lang w:val="en-GB"/>
        </w:rPr>
        <w:t>) is 15.5%. The mean values of the blau and shannon indices (</w:t>
      </w:r>
      <w:r w:rsidRPr="00DB6C99">
        <w:rPr>
          <w:rFonts w:ascii="Garamond" w:eastAsia="Calibri" w:hAnsi="Garamond" w:cs="Times New Roman"/>
          <w:i/>
          <w:iCs/>
          <w:sz w:val="24"/>
          <w:szCs w:val="24"/>
          <w:lang w:val="en-GB"/>
        </w:rPr>
        <w:t>BLAU</w:t>
      </w:r>
      <w:r w:rsidRPr="00DB6C99">
        <w:rPr>
          <w:rFonts w:ascii="Garamond" w:eastAsia="Calibri" w:hAnsi="Garamond" w:cs="Times New Roman"/>
          <w:sz w:val="24"/>
          <w:szCs w:val="24"/>
          <w:lang w:val="en-GB"/>
        </w:rPr>
        <w:t xml:space="preserve"> </w:t>
      </w:r>
      <w:r w:rsidRPr="00DB6C99">
        <w:rPr>
          <w:rFonts w:ascii="Garamond" w:eastAsia="Calibri" w:hAnsi="Garamond" w:cs="Times New Roman"/>
          <w:i/>
          <w:iCs/>
          <w:sz w:val="24"/>
          <w:szCs w:val="24"/>
          <w:lang w:val="en-GB"/>
        </w:rPr>
        <w:t>&amp; SHANNON</w:t>
      </w:r>
      <w:r w:rsidRPr="00DB6C99">
        <w:rPr>
          <w:rFonts w:ascii="Garamond" w:eastAsia="Calibri" w:hAnsi="Garamond" w:cs="Times New Roman"/>
          <w:sz w:val="24"/>
          <w:szCs w:val="24"/>
          <w:lang w:val="en-GB"/>
        </w:rPr>
        <w:t>) are 0.242 and 0.199, respectively. The average proportions of independent (</w:t>
      </w:r>
      <w:r w:rsidRPr="00DB6C99">
        <w:rPr>
          <w:rFonts w:ascii="Garamond" w:eastAsia="Calibri" w:hAnsi="Garamond" w:cs="Times New Roman"/>
          <w:i/>
          <w:iCs/>
          <w:sz w:val="24"/>
          <w:szCs w:val="24"/>
          <w:lang w:val="en-GB"/>
        </w:rPr>
        <w:t>FNEDPRO</w:t>
      </w:r>
      <w:r w:rsidRPr="00DB6C99">
        <w:rPr>
          <w:rFonts w:ascii="Garamond" w:eastAsia="Calibri" w:hAnsi="Garamond" w:cs="Times New Roman"/>
          <w:sz w:val="24"/>
          <w:szCs w:val="24"/>
          <w:lang w:val="en-GB"/>
        </w:rPr>
        <w:t>) and executive female directors (</w:t>
      </w:r>
      <w:r w:rsidRPr="00DB6C99">
        <w:rPr>
          <w:rFonts w:ascii="Garamond" w:eastAsia="Calibri" w:hAnsi="Garamond" w:cs="Times New Roman"/>
          <w:i/>
          <w:iCs/>
          <w:sz w:val="24"/>
          <w:szCs w:val="24"/>
          <w:lang w:val="en-GB"/>
        </w:rPr>
        <w:t>FEDPRO</w:t>
      </w:r>
      <w:r w:rsidRPr="00DB6C99">
        <w:rPr>
          <w:rFonts w:ascii="Garamond" w:eastAsia="Calibri" w:hAnsi="Garamond" w:cs="Times New Roman"/>
          <w:sz w:val="24"/>
          <w:szCs w:val="24"/>
          <w:lang w:val="en-GB"/>
        </w:rPr>
        <w:t>) are 14.9% and 0.6%, suggesting that US firms are more likely to appoint women as independent directors. Concerning the gender balance of the board of directors, we find that on average 5</w:t>
      </w:r>
      <w:r w:rsidR="006A1984" w:rsidRPr="00DB6C99">
        <w:rPr>
          <w:rFonts w:ascii="Garamond" w:eastAsia="Calibri" w:hAnsi="Garamond" w:cs="Times New Roman"/>
          <w:sz w:val="24"/>
          <w:szCs w:val="24"/>
          <w:lang w:val="en-GB"/>
        </w:rPr>
        <w:t>3</w:t>
      </w:r>
      <w:r w:rsidRPr="00DB6C99">
        <w:rPr>
          <w:rFonts w:ascii="Garamond" w:eastAsia="Calibri" w:hAnsi="Garamond" w:cs="Times New Roman"/>
          <w:sz w:val="24"/>
          <w:szCs w:val="24"/>
          <w:lang w:val="en-GB"/>
        </w:rPr>
        <w:t>.3%, 24.</w:t>
      </w:r>
      <w:r w:rsidR="006A1984" w:rsidRPr="00DB6C99">
        <w:rPr>
          <w:rFonts w:ascii="Garamond" w:eastAsia="Calibri" w:hAnsi="Garamond" w:cs="Times New Roman"/>
          <w:sz w:val="24"/>
          <w:szCs w:val="24"/>
          <w:lang w:val="en-GB"/>
        </w:rPr>
        <w:t>1</w:t>
      </w:r>
      <w:r w:rsidRPr="00DB6C99">
        <w:rPr>
          <w:rFonts w:ascii="Garamond" w:eastAsia="Calibri" w:hAnsi="Garamond" w:cs="Times New Roman"/>
          <w:sz w:val="24"/>
          <w:szCs w:val="24"/>
          <w:lang w:val="en-GB"/>
        </w:rPr>
        <w:t>% and 1.</w:t>
      </w:r>
      <w:r w:rsidR="006A1984" w:rsidRPr="00DB6C99">
        <w:rPr>
          <w:rFonts w:ascii="Garamond" w:eastAsia="Calibri" w:hAnsi="Garamond" w:cs="Times New Roman"/>
          <w:sz w:val="24"/>
          <w:szCs w:val="24"/>
          <w:lang w:val="en-GB"/>
        </w:rPr>
        <w:t>6</w:t>
      </w:r>
      <w:r w:rsidRPr="00DB6C99">
        <w:rPr>
          <w:rFonts w:ascii="Garamond" w:eastAsia="Calibri" w:hAnsi="Garamond" w:cs="Times New Roman"/>
          <w:sz w:val="24"/>
          <w:szCs w:val="24"/>
          <w:lang w:val="en-GB"/>
        </w:rPr>
        <w:t xml:space="preserve">% </w:t>
      </w:r>
      <w:r w:rsidR="002332A3" w:rsidRPr="00DB6C99">
        <w:rPr>
          <w:rFonts w:ascii="Garamond" w:eastAsia="Calibri" w:hAnsi="Garamond" w:cs="Times New Roman"/>
          <w:sz w:val="24"/>
          <w:szCs w:val="24"/>
          <w:lang w:val="en-GB"/>
        </w:rPr>
        <w:t xml:space="preserve">of the </w:t>
      </w:r>
      <w:r w:rsidRPr="00DB6C99">
        <w:rPr>
          <w:rFonts w:ascii="Garamond" w:eastAsia="Calibri" w:hAnsi="Garamond" w:cs="Times New Roman"/>
          <w:sz w:val="24"/>
          <w:szCs w:val="24"/>
          <w:lang w:val="en-GB"/>
        </w:rPr>
        <w:t>sample firms have skewed (</w:t>
      </w:r>
      <w:r w:rsidRPr="00DB6C99">
        <w:rPr>
          <w:rFonts w:ascii="Garamond" w:eastAsia="Calibri" w:hAnsi="Garamond" w:cs="Times New Roman"/>
          <w:i/>
          <w:iCs/>
          <w:sz w:val="24"/>
          <w:szCs w:val="24"/>
          <w:lang w:val="en-GB"/>
        </w:rPr>
        <w:t>SKEWED</w:t>
      </w:r>
      <w:r w:rsidRPr="00DB6C99">
        <w:rPr>
          <w:rFonts w:ascii="Garamond" w:eastAsia="Calibri" w:hAnsi="Garamond" w:cs="Times New Roman"/>
          <w:sz w:val="24"/>
          <w:szCs w:val="24"/>
          <w:lang w:val="en-GB"/>
        </w:rPr>
        <w:t>), tilted (</w:t>
      </w:r>
      <w:r w:rsidRPr="00DB6C99">
        <w:rPr>
          <w:rFonts w:ascii="Garamond" w:eastAsia="Calibri" w:hAnsi="Garamond" w:cs="Times New Roman"/>
          <w:i/>
          <w:iCs/>
          <w:sz w:val="24"/>
          <w:szCs w:val="24"/>
          <w:lang w:val="en-GB"/>
        </w:rPr>
        <w:t>TILTED</w:t>
      </w:r>
      <w:r w:rsidRPr="00DB6C99">
        <w:rPr>
          <w:rFonts w:ascii="Garamond" w:eastAsia="Calibri" w:hAnsi="Garamond" w:cs="Times New Roman"/>
          <w:sz w:val="24"/>
          <w:szCs w:val="24"/>
          <w:lang w:val="en-GB"/>
        </w:rPr>
        <w:t>) and balanced (</w:t>
      </w:r>
      <w:r w:rsidRPr="00DB6C99">
        <w:rPr>
          <w:rFonts w:ascii="Garamond" w:eastAsia="Calibri" w:hAnsi="Garamond" w:cs="Times New Roman"/>
          <w:i/>
          <w:iCs/>
          <w:sz w:val="24"/>
          <w:szCs w:val="24"/>
          <w:lang w:val="en-GB"/>
        </w:rPr>
        <w:t>BALANCED</w:t>
      </w:r>
      <w:r w:rsidRPr="00DB6C99">
        <w:rPr>
          <w:rFonts w:ascii="Garamond" w:eastAsia="Calibri" w:hAnsi="Garamond" w:cs="Times New Roman"/>
          <w:sz w:val="24"/>
          <w:szCs w:val="24"/>
          <w:lang w:val="en-GB"/>
        </w:rPr>
        <w:t>) boards, respectively. Overall, these statistics are comparable to US sample-based studies, such as Atif</w:t>
      </w:r>
      <w:r w:rsidR="00171487" w:rsidRPr="00DB6C99">
        <w:rPr>
          <w:rFonts w:ascii="Garamond" w:eastAsia="Calibri" w:hAnsi="Garamond" w:cs="Times New Roman"/>
          <w:sz w:val="24"/>
          <w:szCs w:val="24"/>
          <w:lang w:val="en-GB"/>
        </w:rPr>
        <w:t>, Liu and Huang</w:t>
      </w:r>
      <w:r w:rsidRPr="00DB6C99">
        <w:rPr>
          <w:rFonts w:ascii="Garamond" w:eastAsia="Calibri" w:hAnsi="Garamond" w:cs="Times New Roman"/>
          <w:iCs/>
          <w:sz w:val="24"/>
          <w:szCs w:val="24"/>
          <w:lang w:val="en-GB"/>
        </w:rPr>
        <w:t xml:space="preserve"> </w:t>
      </w:r>
      <w:r w:rsidRPr="00DB6C99">
        <w:rPr>
          <w:rFonts w:ascii="Garamond" w:eastAsia="Calibri" w:hAnsi="Garamond" w:cs="Times New Roman"/>
          <w:sz w:val="24"/>
          <w:szCs w:val="24"/>
          <w:lang w:val="en-GB"/>
        </w:rPr>
        <w:t xml:space="preserve">(2019) and Atif </w:t>
      </w:r>
      <w:r w:rsidRPr="00DB6C99">
        <w:rPr>
          <w:rFonts w:ascii="Garamond" w:eastAsia="Calibri" w:hAnsi="Garamond" w:cs="Times New Roman"/>
          <w:i/>
          <w:sz w:val="24"/>
          <w:szCs w:val="24"/>
          <w:lang w:val="en-GB"/>
        </w:rPr>
        <w:t>et al</w:t>
      </w:r>
      <w:r w:rsidRPr="00DB6C99">
        <w:rPr>
          <w:rFonts w:ascii="Garamond" w:eastAsia="Calibri" w:hAnsi="Garamond" w:cs="Times New Roman"/>
          <w:iCs/>
          <w:sz w:val="24"/>
          <w:szCs w:val="24"/>
          <w:lang w:val="en-GB"/>
        </w:rPr>
        <w:t>.</w:t>
      </w:r>
      <w:r w:rsidRPr="00DB6C99">
        <w:rPr>
          <w:rFonts w:ascii="Garamond" w:eastAsia="Calibri" w:hAnsi="Garamond" w:cs="Times New Roman"/>
          <w:sz w:val="24"/>
          <w:szCs w:val="24"/>
          <w:lang w:val="en-GB"/>
        </w:rPr>
        <w:t xml:space="preserve"> (2020) and demonstrate that female directors still constitute a minority group in the US. </w:t>
      </w:r>
    </w:p>
    <w:p w14:paraId="63DDC7B0" w14:textId="780FB10E" w:rsidR="004A1788" w:rsidRPr="00DB6C99" w:rsidRDefault="004A1788" w:rsidP="004A1788">
      <w:pPr>
        <w:spacing w:line="360" w:lineRule="auto"/>
        <w:ind w:firstLine="720"/>
        <w:jc w:val="both"/>
        <w:rPr>
          <w:rFonts w:ascii="Garamond" w:eastAsia="Calibri" w:hAnsi="Garamond" w:cs="Times New Roman"/>
          <w:sz w:val="24"/>
          <w:szCs w:val="24"/>
          <w:lang w:val="en-GB"/>
        </w:rPr>
      </w:pPr>
      <w:r w:rsidRPr="00DB6C99">
        <w:rPr>
          <w:rFonts w:ascii="Garamond" w:eastAsia="Calibri" w:hAnsi="Garamond" w:cs="Times New Roman"/>
          <w:sz w:val="24"/>
          <w:szCs w:val="24"/>
          <w:lang w:val="en-GB"/>
        </w:rPr>
        <w:t>Table 2 reports the mean comparison for the sub-samples of firms with and without female directors. It shows that 84.8% of our sample comprises firm-years with at least one female director. As expected, firms without female directors on boards are more likely to engage in CSR decoupling (</w:t>
      </w:r>
      <w:r w:rsidRPr="00DB6C99">
        <w:rPr>
          <w:rFonts w:ascii="Garamond" w:eastAsia="Calibri" w:hAnsi="Garamond" w:cs="Times New Roman"/>
          <w:i/>
          <w:iCs/>
          <w:sz w:val="24"/>
          <w:szCs w:val="24"/>
          <w:lang w:val="en-GB"/>
        </w:rPr>
        <w:t>GAP</w:t>
      </w:r>
      <w:r w:rsidRPr="00DB6C99">
        <w:rPr>
          <w:rFonts w:ascii="Garamond" w:eastAsia="Calibri" w:hAnsi="Garamond" w:cs="Times New Roman"/>
          <w:sz w:val="24"/>
          <w:szCs w:val="24"/>
          <w:lang w:val="en-GB"/>
        </w:rPr>
        <w:t>) than firms with female directors (-0.023 versus -0.021)</w:t>
      </w:r>
      <w:r w:rsidR="00311ED0"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 xml:space="preserve"> this difference is significant at the 1% level. The table also shows that both sub-samples differ across the board- and firm-level variables.</w:t>
      </w:r>
    </w:p>
    <w:p w14:paraId="4E4284ED" w14:textId="77777777" w:rsidR="004A1788" w:rsidRPr="00DB6C99" w:rsidRDefault="004A1788" w:rsidP="004A1788">
      <w:pPr>
        <w:spacing w:line="360" w:lineRule="auto"/>
        <w:jc w:val="center"/>
        <w:rPr>
          <w:rFonts w:ascii="Garamond" w:eastAsia="Calibri" w:hAnsi="Garamond" w:cs="Times New Roman"/>
          <w:b/>
          <w:bCs/>
          <w:sz w:val="24"/>
          <w:szCs w:val="24"/>
          <w:lang w:val="en-GB"/>
        </w:rPr>
      </w:pPr>
      <w:r w:rsidRPr="00DB6C99">
        <w:rPr>
          <w:rFonts w:ascii="Garamond" w:eastAsia="Calibri" w:hAnsi="Garamond" w:cs="Times New Roman"/>
          <w:b/>
          <w:bCs/>
          <w:sz w:val="24"/>
          <w:szCs w:val="24"/>
          <w:lang w:val="en-GB"/>
        </w:rPr>
        <w:t>[Insert Table 2 here]</w:t>
      </w:r>
    </w:p>
    <w:p w14:paraId="68F257B4" w14:textId="23BDDD68" w:rsidR="004A1788" w:rsidRPr="00DB6C99" w:rsidRDefault="004A1788" w:rsidP="004A1788">
      <w:pPr>
        <w:spacing w:line="360" w:lineRule="auto"/>
        <w:ind w:firstLine="720"/>
        <w:jc w:val="both"/>
        <w:rPr>
          <w:rFonts w:ascii="Garamond" w:eastAsia="Calibri" w:hAnsi="Garamond" w:cs="Times New Roman"/>
          <w:sz w:val="24"/>
          <w:szCs w:val="24"/>
          <w:lang w:val="en-GB"/>
        </w:rPr>
      </w:pPr>
      <w:r w:rsidRPr="00DB6C99">
        <w:rPr>
          <w:rFonts w:ascii="Garamond" w:eastAsia="Calibri" w:hAnsi="Garamond" w:cs="Times New Roman"/>
          <w:sz w:val="24"/>
          <w:szCs w:val="24"/>
          <w:lang w:val="en-GB"/>
        </w:rPr>
        <w:t xml:space="preserve">Table 3 shows the correlations between all </w:t>
      </w:r>
      <w:r w:rsidR="00577A03" w:rsidRPr="00DB6C99">
        <w:rPr>
          <w:rFonts w:ascii="Garamond" w:eastAsia="Calibri" w:hAnsi="Garamond" w:cs="Times New Roman"/>
          <w:sz w:val="24"/>
          <w:szCs w:val="24"/>
          <w:lang w:val="en-GB"/>
        </w:rPr>
        <w:t xml:space="preserve">the </w:t>
      </w:r>
      <w:r w:rsidRPr="00DB6C99">
        <w:rPr>
          <w:rFonts w:ascii="Garamond" w:eastAsia="Calibri" w:hAnsi="Garamond" w:cs="Times New Roman"/>
          <w:sz w:val="24"/>
          <w:szCs w:val="24"/>
          <w:lang w:val="en-GB"/>
        </w:rPr>
        <w:t xml:space="preserve">variables to examine the potential multicollinearity issue. The correlation among all </w:t>
      </w:r>
      <w:r w:rsidR="00311ED0" w:rsidRPr="00DB6C99">
        <w:rPr>
          <w:rFonts w:ascii="Garamond" w:eastAsia="Calibri" w:hAnsi="Garamond" w:cs="Times New Roman"/>
          <w:sz w:val="24"/>
          <w:szCs w:val="24"/>
          <w:lang w:val="en-GB"/>
        </w:rPr>
        <w:t xml:space="preserve">the </w:t>
      </w:r>
      <w:r w:rsidRPr="00DB6C99">
        <w:rPr>
          <w:rFonts w:ascii="Garamond" w:eastAsia="Calibri" w:hAnsi="Garamond" w:cs="Times New Roman"/>
          <w:sz w:val="24"/>
          <w:szCs w:val="24"/>
          <w:lang w:val="en-GB"/>
        </w:rPr>
        <w:t>variables is less than the threshold of 0.7 (</w:t>
      </w:r>
      <w:r w:rsidR="00311ED0" w:rsidRPr="00DB6C99">
        <w:rPr>
          <w:rFonts w:ascii="Garamond" w:eastAsia="Calibri" w:hAnsi="Garamond" w:cs="Times New Roman"/>
          <w:sz w:val="24"/>
          <w:szCs w:val="24"/>
          <w:lang w:val="en-GB"/>
        </w:rPr>
        <w:t>Atif</w:t>
      </w:r>
      <w:r w:rsidR="00171487" w:rsidRPr="00DB6C99">
        <w:rPr>
          <w:rFonts w:ascii="Garamond" w:eastAsia="Calibri" w:hAnsi="Garamond" w:cs="Times New Roman"/>
          <w:sz w:val="24"/>
          <w:szCs w:val="24"/>
          <w:lang w:val="en-GB"/>
        </w:rPr>
        <w:t>, Liu and Huang</w:t>
      </w:r>
      <w:r w:rsidR="00311ED0" w:rsidRPr="00DB6C99">
        <w:rPr>
          <w:rFonts w:ascii="Garamond" w:eastAsia="Calibri" w:hAnsi="Garamond" w:cs="Times New Roman"/>
          <w:iCs/>
          <w:sz w:val="24"/>
          <w:szCs w:val="24"/>
          <w:lang w:val="en-GB"/>
        </w:rPr>
        <w:t xml:space="preserve">, </w:t>
      </w:r>
      <w:r w:rsidR="00311ED0" w:rsidRPr="00DB6C99">
        <w:rPr>
          <w:rFonts w:ascii="Garamond" w:eastAsia="Calibri" w:hAnsi="Garamond" w:cs="Times New Roman"/>
          <w:sz w:val="24"/>
          <w:szCs w:val="24"/>
          <w:lang w:val="en-GB"/>
        </w:rPr>
        <w:t xml:space="preserve">2019; </w:t>
      </w:r>
      <w:r w:rsidRPr="00DB6C99">
        <w:rPr>
          <w:rFonts w:ascii="Garamond" w:eastAsia="Calibri" w:hAnsi="Garamond" w:cs="Times New Roman"/>
          <w:sz w:val="24"/>
          <w:szCs w:val="24"/>
          <w:lang w:val="en-GB"/>
        </w:rPr>
        <w:t>Liu</w:t>
      </w:r>
      <w:r w:rsidR="00F5602F" w:rsidRPr="00DB6C99">
        <w:rPr>
          <w:rFonts w:ascii="Garamond" w:eastAsia="Calibri" w:hAnsi="Garamond" w:cs="Times New Roman"/>
          <w:sz w:val="24"/>
          <w:szCs w:val="24"/>
          <w:lang w:val="en-GB"/>
        </w:rPr>
        <w:t>, Wei and Xie</w:t>
      </w:r>
      <w:r w:rsidRPr="00DB6C99">
        <w:rPr>
          <w:rFonts w:ascii="Garamond" w:eastAsia="Calibri" w:hAnsi="Garamond" w:cs="Times New Roman"/>
          <w:iCs/>
          <w:sz w:val="24"/>
          <w:szCs w:val="24"/>
          <w:lang w:val="en-GB"/>
        </w:rPr>
        <w:t xml:space="preserve">, </w:t>
      </w:r>
      <w:r w:rsidRPr="00DB6C99">
        <w:rPr>
          <w:rFonts w:ascii="Garamond" w:eastAsia="Calibri" w:hAnsi="Garamond" w:cs="Times New Roman"/>
          <w:sz w:val="24"/>
          <w:szCs w:val="24"/>
          <w:lang w:val="en-GB"/>
        </w:rPr>
        <w:t>2014) except for some BGD variables. We therefore refrain from using these variables in the same equation; thus, high correlations between these variables do not affect our results. We also calculate the variance inflation factors (VIFs) to further check the multicollinearity issue. The un-tabulated VIF value for all variables is less than 3, well below the threshold of 10, suggesting that multicollinearity is not an issue (</w:t>
      </w:r>
      <w:r w:rsidR="008C5670" w:rsidRPr="00DB6C99">
        <w:rPr>
          <w:rFonts w:ascii="Garamond" w:eastAsia="Times New Roman" w:hAnsi="Garamond" w:cs="Times New Roman"/>
          <w:sz w:val="24"/>
          <w:szCs w:val="24"/>
          <w:lang w:val="en-GB"/>
        </w:rPr>
        <w:t>Neter, Johnson and Leitch</w:t>
      </w:r>
      <w:r w:rsidRPr="00DB6C99">
        <w:rPr>
          <w:rFonts w:ascii="Garamond" w:eastAsia="Times New Roman" w:hAnsi="Garamond" w:cs="Times New Roman"/>
          <w:iCs/>
          <w:sz w:val="24"/>
          <w:szCs w:val="24"/>
          <w:lang w:val="en-GB"/>
        </w:rPr>
        <w:t>,</w:t>
      </w:r>
      <w:r w:rsidRPr="00DB6C99">
        <w:rPr>
          <w:rFonts w:ascii="Garamond" w:eastAsia="Times New Roman" w:hAnsi="Garamond" w:cs="Times New Roman"/>
          <w:sz w:val="24"/>
          <w:szCs w:val="24"/>
          <w:lang w:val="en-GB"/>
        </w:rPr>
        <w:t xml:space="preserve"> 1985)</w:t>
      </w:r>
      <w:r w:rsidRPr="00DB6C99">
        <w:rPr>
          <w:rFonts w:ascii="Garamond" w:eastAsia="Calibri" w:hAnsi="Garamond" w:cs="Times New Roman"/>
          <w:sz w:val="24"/>
          <w:szCs w:val="24"/>
          <w:lang w:val="en-GB"/>
        </w:rPr>
        <w:t>.</w:t>
      </w:r>
    </w:p>
    <w:p w14:paraId="341B8BE7" w14:textId="77777777" w:rsidR="004A1788" w:rsidRPr="00DB6C99" w:rsidRDefault="004A1788" w:rsidP="004A1788">
      <w:pPr>
        <w:spacing w:line="360" w:lineRule="auto"/>
        <w:jc w:val="center"/>
        <w:rPr>
          <w:rFonts w:ascii="Garamond" w:eastAsia="Calibri" w:hAnsi="Garamond" w:cs="Times New Roman"/>
          <w:b/>
          <w:bCs/>
          <w:sz w:val="24"/>
          <w:szCs w:val="24"/>
          <w:lang w:val="en-GB"/>
        </w:rPr>
      </w:pPr>
      <w:r w:rsidRPr="00DB6C99">
        <w:rPr>
          <w:rFonts w:ascii="Garamond" w:eastAsia="Calibri" w:hAnsi="Garamond" w:cs="Times New Roman"/>
          <w:b/>
          <w:bCs/>
          <w:sz w:val="24"/>
          <w:szCs w:val="24"/>
          <w:lang w:val="en-GB"/>
        </w:rPr>
        <w:lastRenderedPageBreak/>
        <w:t>[Insert Table 3 here]</w:t>
      </w:r>
    </w:p>
    <w:p w14:paraId="1FD2EBE5" w14:textId="77777777" w:rsidR="004A1788" w:rsidRPr="00DB6C99" w:rsidRDefault="004A1788" w:rsidP="004A1788">
      <w:pPr>
        <w:spacing w:line="360" w:lineRule="auto"/>
        <w:ind w:firstLine="720"/>
        <w:jc w:val="both"/>
        <w:rPr>
          <w:rFonts w:ascii="Garamond" w:eastAsia="Calibri" w:hAnsi="Garamond" w:cs="Times New Roman"/>
          <w:b/>
          <w:bCs/>
          <w:i/>
          <w:iCs/>
          <w:sz w:val="24"/>
          <w:szCs w:val="24"/>
          <w:lang w:val="en-GB"/>
        </w:rPr>
      </w:pPr>
      <w:r w:rsidRPr="00DB6C99">
        <w:rPr>
          <w:rFonts w:ascii="Garamond" w:eastAsia="Calibri" w:hAnsi="Garamond" w:cs="Times New Roman"/>
          <w:b/>
          <w:bCs/>
          <w:i/>
          <w:iCs/>
          <w:sz w:val="24"/>
          <w:szCs w:val="24"/>
          <w:lang w:val="en-GB"/>
        </w:rPr>
        <w:t>Multivariate analysis</w:t>
      </w:r>
    </w:p>
    <w:p w14:paraId="79B074E6" w14:textId="7E45E7C1" w:rsidR="004A1788" w:rsidRPr="00DB6C99" w:rsidRDefault="004A1788" w:rsidP="004A1788">
      <w:pPr>
        <w:spacing w:line="360" w:lineRule="auto"/>
        <w:ind w:firstLine="720"/>
        <w:jc w:val="both"/>
        <w:rPr>
          <w:rFonts w:ascii="Garamond" w:eastAsia="Calibri" w:hAnsi="Garamond" w:cs="Times New Roman"/>
          <w:sz w:val="24"/>
          <w:szCs w:val="24"/>
          <w:lang w:val="en-GB"/>
        </w:rPr>
      </w:pPr>
      <w:r w:rsidRPr="00DB6C99">
        <w:rPr>
          <w:rFonts w:ascii="Garamond" w:eastAsia="Calibri" w:hAnsi="Garamond" w:cs="Times New Roman"/>
          <w:sz w:val="24"/>
          <w:szCs w:val="24"/>
          <w:lang w:val="en-GB"/>
        </w:rPr>
        <w:t>To empirically test our hypotheses, we mainly rely on two econometric techniques largely used in CG studies, namely ordinary least square</w:t>
      </w:r>
      <w:r w:rsidR="000E7E7E" w:rsidRPr="00DB6C99">
        <w:rPr>
          <w:rFonts w:ascii="Garamond" w:eastAsia="Calibri" w:hAnsi="Garamond" w:cs="Times New Roman"/>
          <w:sz w:val="24"/>
          <w:szCs w:val="24"/>
          <w:lang w:val="en-GB"/>
        </w:rPr>
        <w:t>s</w:t>
      </w:r>
      <w:r w:rsidRPr="00DB6C99">
        <w:rPr>
          <w:rFonts w:ascii="Garamond" w:eastAsia="Calibri" w:hAnsi="Garamond" w:cs="Times New Roman"/>
          <w:sz w:val="24"/>
          <w:szCs w:val="24"/>
          <w:lang w:val="en-GB"/>
        </w:rPr>
        <w:t xml:space="preserve"> (OLS) regression </w:t>
      </w:r>
      <w:r w:rsidR="001409B1" w:rsidRPr="00DB6C99">
        <w:rPr>
          <w:rFonts w:ascii="Garamond" w:eastAsia="Calibri" w:hAnsi="Garamond" w:cs="Times New Roman"/>
          <w:sz w:val="24"/>
          <w:szCs w:val="24"/>
          <w:lang w:val="en-GB"/>
        </w:rPr>
        <w:t xml:space="preserve">and </w:t>
      </w:r>
      <w:r w:rsidRPr="00DB6C99">
        <w:rPr>
          <w:rFonts w:ascii="Garamond" w:eastAsia="Calibri" w:hAnsi="Garamond" w:cs="Times New Roman"/>
          <w:sz w:val="24"/>
          <w:szCs w:val="24"/>
          <w:lang w:val="en-GB"/>
        </w:rPr>
        <w:t>controlling for industry and firm fixed effects (FE)</w:t>
      </w:r>
      <w:r w:rsidR="000E7E7E"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 xml:space="preserve"> which allow us to overcome the issue of omitted variable bias and variations over time (</w:t>
      </w:r>
      <w:r w:rsidR="000E7E7E" w:rsidRPr="00DB6C99">
        <w:rPr>
          <w:rFonts w:ascii="Garamond" w:eastAsia="Calibri" w:hAnsi="Garamond" w:cs="Times New Roman"/>
          <w:sz w:val="24"/>
          <w:szCs w:val="24"/>
          <w:lang w:val="en-GB"/>
        </w:rPr>
        <w:t>Atif</w:t>
      </w:r>
      <w:r w:rsidR="00171487" w:rsidRPr="00DB6C99">
        <w:rPr>
          <w:rFonts w:ascii="Garamond" w:eastAsia="Calibri" w:hAnsi="Garamond" w:cs="Times New Roman"/>
          <w:sz w:val="24"/>
          <w:szCs w:val="24"/>
          <w:lang w:val="en-GB"/>
        </w:rPr>
        <w:t>, Liu and Huang</w:t>
      </w:r>
      <w:r w:rsidR="000E7E7E" w:rsidRPr="00DB6C99">
        <w:rPr>
          <w:rFonts w:ascii="Garamond" w:eastAsia="Calibri" w:hAnsi="Garamond" w:cs="Times New Roman"/>
          <w:iCs/>
          <w:sz w:val="24"/>
          <w:szCs w:val="24"/>
          <w:lang w:val="en-GB"/>
        </w:rPr>
        <w:t xml:space="preserve">, </w:t>
      </w:r>
      <w:r w:rsidR="000E7E7E" w:rsidRPr="00DB6C99">
        <w:rPr>
          <w:rFonts w:ascii="Garamond" w:eastAsia="Calibri" w:hAnsi="Garamond" w:cs="Times New Roman"/>
          <w:sz w:val="24"/>
          <w:szCs w:val="24"/>
          <w:lang w:val="en-GB"/>
        </w:rPr>
        <w:t xml:space="preserve">2019; </w:t>
      </w:r>
      <w:r w:rsidRPr="00DB6C99">
        <w:rPr>
          <w:rFonts w:ascii="Garamond" w:eastAsia="Calibri" w:hAnsi="Garamond" w:cs="Times New Roman"/>
          <w:sz w:val="24"/>
          <w:szCs w:val="24"/>
          <w:lang w:val="en-GB"/>
        </w:rPr>
        <w:t>Liu</w:t>
      </w:r>
      <w:r w:rsidR="00F5602F" w:rsidRPr="00DB6C99">
        <w:rPr>
          <w:rFonts w:ascii="Garamond" w:eastAsia="Calibri" w:hAnsi="Garamond" w:cs="Times New Roman"/>
          <w:sz w:val="24"/>
          <w:szCs w:val="24"/>
          <w:lang w:val="en-GB"/>
        </w:rPr>
        <w:t>, Wei and Xie</w:t>
      </w:r>
      <w:r w:rsidRPr="00DB6C99">
        <w:rPr>
          <w:rFonts w:ascii="Garamond" w:eastAsia="Calibri" w:hAnsi="Garamond" w:cs="Times New Roman"/>
          <w:iCs/>
          <w:sz w:val="24"/>
          <w:szCs w:val="24"/>
          <w:lang w:val="en-GB"/>
        </w:rPr>
        <w:t>,</w:t>
      </w:r>
      <w:r w:rsidRPr="00DB6C99">
        <w:rPr>
          <w:rFonts w:ascii="Garamond" w:eastAsia="Calibri" w:hAnsi="Garamond" w:cs="Times New Roman"/>
          <w:sz w:val="24"/>
          <w:szCs w:val="24"/>
          <w:lang w:val="en-GB"/>
        </w:rPr>
        <w:t xml:space="preserve"> 2014).</w:t>
      </w:r>
      <w:r w:rsidRPr="00DB6C99">
        <w:rPr>
          <w:rFonts w:ascii="Garamond" w:eastAsia="Calibri" w:hAnsi="Garamond" w:cs="Times New Roman"/>
          <w:sz w:val="24"/>
          <w:szCs w:val="24"/>
          <w:vertAlign w:val="superscript"/>
          <w:lang w:val="en-GB"/>
        </w:rPr>
        <w:footnoteReference w:id="3"/>
      </w:r>
      <w:r w:rsidRPr="00DB6C99">
        <w:rPr>
          <w:rFonts w:ascii="Garamond" w:eastAsia="Calibri" w:hAnsi="Garamond" w:cs="Times New Roman"/>
          <w:sz w:val="24"/>
          <w:szCs w:val="24"/>
          <w:lang w:val="en-GB"/>
        </w:rPr>
        <w:t xml:space="preserve"> Endogeneity is a potential issue in our setting because female directors may not be randomly appointed to the board of directors</w:t>
      </w:r>
      <w:r w:rsidR="000E7E7E"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 xml:space="preserve"> therefore</w:t>
      </w:r>
      <w:r w:rsidR="000E7E7E"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 xml:space="preserve"> female directors may join firms that are less likely to engage in CSR decoupling, which might result in the problem of reverse causality. Prior studies suggest the use of a lagged board variables approach to correct potential reverse causality (Atif </w:t>
      </w:r>
      <w:r w:rsidRPr="00DB6C99">
        <w:rPr>
          <w:rFonts w:ascii="Garamond" w:eastAsia="Calibri" w:hAnsi="Garamond" w:cs="Times New Roman"/>
          <w:i/>
          <w:sz w:val="24"/>
          <w:szCs w:val="24"/>
          <w:lang w:val="en-GB"/>
        </w:rPr>
        <w:t>et al</w:t>
      </w:r>
      <w:r w:rsidRPr="00DB6C99">
        <w:rPr>
          <w:rFonts w:ascii="Garamond" w:eastAsia="Calibri" w:hAnsi="Garamond" w:cs="Times New Roman"/>
          <w:iCs/>
          <w:sz w:val="24"/>
          <w:szCs w:val="24"/>
          <w:lang w:val="en-GB"/>
        </w:rPr>
        <w:t xml:space="preserve">., </w:t>
      </w:r>
      <w:r w:rsidRPr="00DB6C99">
        <w:rPr>
          <w:rFonts w:ascii="Garamond" w:eastAsia="Calibri" w:hAnsi="Garamond" w:cs="Times New Roman"/>
          <w:sz w:val="24"/>
          <w:szCs w:val="24"/>
          <w:lang w:val="en-GB"/>
        </w:rPr>
        <w:t>2020). Along with OLS and FE, we therefore use one-year lagged board variables</w:t>
      </w:r>
      <w:r w:rsidR="001409B1" w:rsidRPr="00DB6C99">
        <w:rPr>
          <w:rFonts w:ascii="Garamond" w:eastAsia="Calibri" w:hAnsi="Garamond" w:cs="Times New Roman"/>
          <w:sz w:val="24"/>
          <w:szCs w:val="24"/>
          <w:lang w:val="en-GB"/>
        </w:rPr>
        <w:t xml:space="preserve"> to</w:t>
      </w:r>
      <w:r w:rsidRPr="00DB6C99">
        <w:rPr>
          <w:rFonts w:ascii="Garamond" w:eastAsia="Calibri" w:hAnsi="Garamond" w:cs="Times New Roman"/>
          <w:sz w:val="24"/>
          <w:szCs w:val="24"/>
          <w:lang w:val="en-GB"/>
        </w:rPr>
        <w:t xml:space="preserve"> replac</w:t>
      </w:r>
      <w:r w:rsidR="001409B1" w:rsidRPr="00DB6C99">
        <w:rPr>
          <w:rFonts w:ascii="Garamond" w:eastAsia="Calibri" w:hAnsi="Garamond" w:cs="Times New Roman"/>
          <w:sz w:val="24"/>
          <w:szCs w:val="24"/>
          <w:lang w:val="en-GB"/>
        </w:rPr>
        <w:t>e</w:t>
      </w:r>
      <w:r w:rsidRPr="00DB6C99">
        <w:rPr>
          <w:rFonts w:ascii="Garamond" w:eastAsia="Calibri" w:hAnsi="Garamond" w:cs="Times New Roman"/>
          <w:sz w:val="24"/>
          <w:szCs w:val="24"/>
          <w:lang w:val="en-GB"/>
        </w:rPr>
        <w:t xml:space="preserve"> the contemporary variables.</w:t>
      </w:r>
    </w:p>
    <w:p w14:paraId="01818B0D" w14:textId="77777777" w:rsidR="004A1788" w:rsidRPr="00DB6C99" w:rsidRDefault="004A1788" w:rsidP="004A1788">
      <w:pPr>
        <w:spacing w:line="360" w:lineRule="auto"/>
        <w:ind w:firstLine="720"/>
        <w:jc w:val="both"/>
        <w:rPr>
          <w:rFonts w:ascii="Garamond" w:eastAsia="Calibri" w:hAnsi="Garamond" w:cs="Times New Roman"/>
          <w:sz w:val="24"/>
          <w:szCs w:val="24"/>
          <w:lang w:val="en-GB"/>
        </w:rPr>
      </w:pPr>
      <w:r w:rsidRPr="00DB6C99">
        <w:rPr>
          <w:rFonts w:ascii="Garamond" w:eastAsia="Calibri" w:hAnsi="Garamond" w:cs="Times New Roman"/>
          <w:i/>
          <w:iCs/>
          <w:sz w:val="24"/>
          <w:szCs w:val="24"/>
          <w:lang w:val="en-GB"/>
        </w:rPr>
        <w:t>BGD and CSR decoupling</w:t>
      </w:r>
    </w:p>
    <w:p w14:paraId="61C02FFD" w14:textId="049A8EB3" w:rsidR="004A1788" w:rsidRPr="00DB6C99" w:rsidRDefault="004A1788" w:rsidP="004A1788">
      <w:pPr>
        <w:spacing w:line="360" w:lineRule="auto"/>
        <w:ind w:firstLine="720"/>
        <w:jc w:val="both"/>
        <w:rPr>
          <w:rFonts w:ascii="Garamond" w:eastAsia="Calibri" w:hAnsi="Garamond" w:cs="Times New Roman"/>
          <w:sz w:val="24"/>
          <w:szCs w:val="24"/>
          <w:lang w:val="en-GB"/>
        </w:rPr>
      </w:pPr>
      <w:r w:rsidRPr="00DB6C99">
        <w:rPr>
          <w:rFonts w:ascii="Garamond" w:eastAsia="Calibri" w:hAnsi="Garamond" w:cs="Times New Roman"/>
          <w:sz w:val="24"/>
          <w:szCs w:val="24"/>
          <w:lang w:val="en-GB"/>
        </w:rPr>
        <w:t xml:space="preserve">Table 4 reports our analysis of whether BGD influences CSR decoupling based on Equation (1) using FE, lagged board FE, OLS and lagged board OLS. The FE and OLS regressions use contemporary board-level variables. </w:t>
      </w:r>
      <w:r w:rsidR="001409B1" w:rsidRPr="00DB6C99">
        <w:rPr>
          <w:rFonts w:ascii="Garamond" w:eastAsia="Calibri" w:hAnsi="Garamond" w:cs="Times New Roman"/>
          <w:sz w:val="24"/>
          <w:szCs w:val="24"/>
          <w:lang w:val="en-GB"/>
        </w:rPr>
        <w:t>I</w:t>
      </w:r>
      <w:r w:rsidRPr="00DB6C99">
        <w:rPr>
          <w:rFonts w:ascii="Garamond" w:eastAsia="Calibri" w:hAnsi="Garamond" w:cs="Times New Roman"/>
          <w:sz w:val="24"/>
          <w:szCs w:val="24"/>
          <w:lang w:val="en-GB"/>
        </w:rPr>
        <w:t xml:space="preserve">n </w:t>
      </w:r>
      <w:r w:rsidR="000E7E7E" w:rsidRPr="00DB6C99">
        <w:rPr>
          <w:rFonts w:ascii="Garamond" w:eastAsia="Calibri" w:hAnsi="Garamond" w:cs="Times New Roman"/>
          <w:sz w:val="24"/>
          <w:szCs w:val="24"/>
          <w:lang w:val="en-GB"/>
        </w:rPr>
        <w:t xml:space="preserve">the </w:t>
      </w:r>
      <w:r w:rsidRPr="00DB6C99">
        <w:rPr>
          <w:rFonts w:ascii="Garamond" w:eastAsia="Calibri" w:hAnsi="Garamond" w:cs="Times New Roman"/>
          <w:sz w:val="24"/>
          <w:szCs w:val="24"/>
          <w:lang w:val="en-GB"/>
        </w:rPr>
        <w:t>lagged board models, we replace contemporary board-level variables with one-year lagged board-level variables including the proportion of female directors. The results</w:t>
      </w:r>
      <w:r w:rsidR="000E7E7E"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 xml:space="preserve"> based on all specifications reported in Table </w:t>
      </w:r>
      <w:r w:rsidR="00632379" w:rsidRPr="00DB6C99">
        <w:rPr>
          <w:rFonts w:ascii="Garamond" w:eastAsia="Calibri" w:hAnsi="Garamond" w:cs="Times New Roman"/>
          <w:sz w:val="24"/>
          <w:szCs w:val="24"/>
          <w:lang w:val="en-GB"/>
        </w:rPr>
        <w:t>4</w:t>
      </w:r>
      <w:r w:rsidR="000E7E7E" w:rsidRPr="00DB6C99">
        <w:rPr>
          <w:rFonts w:ascii="Garamond" w:eastAsia="Calibri" w:hAnsi="Garamond" w:cs="Times New Roman"/>
          <w:sz w:val="24"/>
          <w:szCs w:val="24"/>
          <w:lang w:val="en-GB"/>
        </w:rPr>
        <w:t>,</w:t>
      </w:r>
      <w:r w:rsidR="00632379" w:rsidRPr="00DB6C99">
        <w:rPr>
          <w:rFonts w:ascii="Garamond" w:eastAsia="Calibri" w:hAnsi="Garamond" w:cs="Times New Roman"/>
          <w:sz w:val="24"/>
          <w:szCs w:val="24"/>
          <w:lang w:val="en-GB"/>
        </w:rPr>
        <w:t xml:space="preserve"> </w:t>
      </w:r>
      <w:r w:rsidRPr="00DB6C99">
        <w:rPr>
          <w:rFonts w:ascii="Garamond" w:eastAsia="Calibri" w:hAnsi="Garamond" w:cs="Times New Roman"/>
          <w:sz w:val="24"/>
          <w:szCs w:val="24"/>
          <w:lang w:val="en-GB"/>
        </w:rPr>
        <w:t>suggest that female directors have a negative and statistically significant impact on CSR decoupling</w:t>
      </w:r>
      <w:r w:rsidR="000E7E7E"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 xml:space="preserve"> demonstrating that BGD is associated with better alignment between internal and external CSR actions. Specifically, a one-percentage-point increase in the proportion of female directors is associated with 0.451, 0.648, 0.202 and 0.202 percentage-point decreases in CSR decoupling</w:t>
      </w:r>
      <w:r w:rsidR="000E7E7E"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 xml:space="preserve"> as demonstrated by the results of </w:t>
      </w:r>
      <w:r w:rsidR="000E7E7E" w:rsidRPr="00DB6C99">
        <w:rPr>
          <w:rFonts w:ascii="Garamond" w:eastAsia="Calibri" w:hAnsi="Garamond" w:cs="Times New Roman"/>
          <w:sz w:val="24"/>
          <w:szCs w:val="24"/>
          <w:lang w:val="en-GB"/>
        </w:rPr>
        <w:t xml:space="preserve">the </w:t>
      </w:r>
      <w:r w:rsidRPr="00DB6C99">
        <w:rPr>
          <w:rFonts w:ascii="Garamond" w:eastAsia="Calibri" w:hAnsi="Garamond" w:cs="Times New Roman"/>
          <w:sz w:val="24"/>
          <w:szCs w:val="24"/>
          <w:lang w:val="en-GB"/>
        </w:rPr>
        <w:t xml:space="preserve">FE, lagged-FE, OLS and lagged-OLS estimations, respectively. The economic significance of female directors </w:t>
      </w:r>
      <w:r w:rsidR="001409B1" w:rsidRPr="00DB6C99">
        <w:rPr>
          <w:rFonts w:ascii="Garamond" w:eastAsia="Calibri" w:hAnsi="Garamond" w:cs="Times New Roman"/>
          <w:sz w:val="24"/>
          <w:szCs w:val="24"/>
          <w:lang w:val="en-GB"/>
        </w:rPr>
        <w:t>for</w:t>
      </w:r>
      <w:r w:rsidRPr="00DB6C99">
        <w:rPr>
          <w:rFonts w:ascii="Garamond" w:eastAsia="Calibri" w:hAnsi="Garamond" w:cs="Times New Roman"/>
          <w:sz w:val="24"/>
          <w:szCs w:val="24"/>
          <w:lang w:val="en-GB"/>
        </w:rPr>
        <w:t xml:space="preserve"> CSR decoupling is imperative too. For instance, an increase in the proportion of female directors on the board by one (sample) standard deviation (as shown in Table 2) reduces CSR decoupling by approximately 3.32% in the FE method [</w:t>
      </w:r>
      <w:r w:rsidRPr="00DB6C99">
        <w:rPr>
          <w:rFonts w:ascii="Garamond" w:eastAsia="Calibri" w:hAnsi="Garamond" w:cs="Times New Roman"/>
          <w:i/>
          <w:iCs/>
          <w:sz w:val="24"/>
          <w:szCs w:val="24"/>
          <w:lang w:val="en-GB"/>
        </w:rPr>
        <w:t>FPRO</w:t>
      </w:r>
      <w:r w:rsidRPr="00DB6C99">
        <w:rPr>
          <w:rFonts w:ascii="Garamond" w:eastAsia="Calibri" w:hAnsi="Garamond" w:cs="Times New Roman"/>
          <w:sz w:val="24"/>
          <w:szCs w:val="24"/>
          <w:lang w:val="en-GB"/>
        </w:rPr>
        <w:t xml:space="preserve"> (0.155) × 0.451/ </w:t>
      </w:r>
      <w:r w:rsidRPr="00DB6C99">
        <w:rPr>
          <w:rFonts w:ascii="Garamond" w:eastAsia="Calibri" w:hAnsi="Garamond" w:cs="Times New Roman"/>
          <w:i/>
          <w:iCs/>
          <w:sz w:val="24"/>
          <w:szCs w:val="24"/>
          <w:lang w:val="en-GB"/>
        </w:rPr>
        <w:t>GAP</w:t>
      </w:r>
      <w:r w:rsidRPr="00DB6C99">
        <w:rPr>
          <w:rFonts w:ascii="Garamond" w:eastAsia="Calibri" w:hAnsi="Garamond" w:cs="Times New Roman"/>
          <w:sz w:val="24"/>
          <w:szCs w:val="24"/>
          <w:lang w:val="en-GB"/>
        </w:rPr>
        <w:t xml:space="preserve"> (0.021) = 3.32]. Overall, these findings strongly support H1.</w:t>
      </w:r>
    </w:p>
    <w:p w14:paraId="24FDD494" w14:textId="77777777" w:rsidR="004A1788" w:rsidRPr="00DB6C99" w:rsidRDefault="004A1788" w:rsidP="004A1788">
      <w:pPr>
        <w:spacing w:line="360" w:lineRule="auto"/>
        <w:jc w:val="center"/>
        <w:rPr>
          <w:rFonts w:ascii="Garamond" w:eastAsia="Calibri" w:hAnsi="Garamond" w:cs="Times New Roman"/>
          <w:b/>
          <w:bCs/>
          <w:sz w:val="24"/>
          <w:szCs w:val="24"/>
          <w:lang w:val="en-GB"/>
        </w:rPr>
      </w:pPr>
      <w:r w:rsidRPr="00DB6C99">
        <w:rPr>
          <w:rFonts w:ascii="Garamond" w:eastAsia="Calibri" w:hAnsi="Garamond" w:cs="Times New Roman"/>
          <w:b/>
          <w:bCs/>
          <w:sz w:val="24"/>
          <w:szCs w:val="24"/>
          <w:lang w:val="en-GB"/>
        </w:rPr>
        <w:t>[Insert Table 4 here]</w:t>
      </w:r>
    </w:p>
    <w:p w14:paraId="38D104A3" w14:textId="77777777" w:rsidR="004A1788" w:rsidRPr="00DB6C99" w:rsidRDefault="004A1788" w:rsidP="004A1788">
      <w:pPr>
        <w:spacing w:line="360" w:lineRule="auto"/>
        <w:ind w:firstLine="720"/>
        <w:jc w:val="both"/>
        <w:rPr>
          <w:rFonts w:ascii="Garamond" w:eastAsia="Calibri" w:hAnsi="Garamond" w:cs="Times New Roman"/>
          <w:i/>
          <w:iCs/>
          <w:sz w:val="24"/>
          <w:szCs w:val="24"/>
          <w:lang w:val="en-GB"/>
        </w:rPr>
      </w:pPr>
      <w:r w:rsidRPr="00DB6C99">
        <w:rPr>
          <w:rFonts w:ascii="Garamond" w:eastAsia="Calibri" w:hAnsi="Garamond" w:cs="Times New Roman"/>
          <w:i/>
          <w:iCs/>
          <w:sz w:val="24"/>
          <w:szCs w:val="24"/>
          <w:lang w:val="en-GB"/>
        </w:rPr>
        <w:lastRenderedPageBreak/>
        <w:t>Female independent vs executive directors and CSR decoupling</w:t>
      </w:r>
    </w:p>
    <w:p w14:paraId="45ABB702" w14:textId="072AF49B" w:rsidR="004A1788" w:rsidRPr="00DB6C99" w:rsidRDefault="004A1788" w:rsidP="004A1788">
      <w:pPr>
        <w:spacing w:line="360" w:lineRule="auto"/>
        <w:ind w:firstLine="720"/>
        <w:jc w:val="both"/>
        <w:rPr>
          <w:rFonts w:ascii="Garamond" w:eastAsia="Calibri" w:hAnsi="Garamond" w:cs="Times New Roman"/>
          <w:sz w:val="24"/>
          <w:szCs w:val="24"/>
          <w:lang w:val="en-GB"/>
        </w:rPr>
      </w:pPr>
      <w:r w:rsidRPr="00DB6C99">
        <w:rPr>
          <w:rFonts w:ascii="Garamond" w:eastAsia="Calibri" w:hAnsi="Garamond" w:cs="Times New Roman"/>
          <w:sz w:val="24"/>
          <w:szCs w:val="24"/>
          <w:lang w:val="en-GB"/>
        </w:rPr>
        <w:t xml:space="preserve">In Table 5, we report our analysis exploring the channel through which female directors influence CSR decoupling. </w:t>
      </w:r>
      <w:r w:rsidR="001409B1" w:rsidRPr="00DB6C99">
        <w:rPr>
          <w:rFonts w:ascii="Garamond" w:eastAsia="Calibri" w:hAnsi="Garamond" w:cs="Times New Roman"/>
          <w:sz w:val="24"/>
          <w:szCs w:val="24"/>
          <w:lang w:val="en-GB"/>
        </w:rPr>
        <w:t>W</w:t>
      </w:r>
      <w:r w:rsidRPr="00DB6C99">
        <w:rPr>
          <w:rFonts w:ascii="Garamond" w:eastAsia="Calibri" w:hAnsi="Garamond" w:cs="Times New Roman"/>
          <w:sz w:val="24"/>
          <w:szCs w:val="24"/>
          <w:lang w:val="en-GB"/>
        </w:rPr>
        <w:t>e try to disentangle the monitoring effect from the executive effect on CSR decoupling. To do so, we estimate Equation (2)</w:t>
      </w:r>
      <w:r w:rsidR="00190847"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 xml:space="preserve"> and consistent with H2, our results show that independent female directors significantly reduce CSR decoupling, </w:t>
      </w:r>
      <w:r w:rsidR="00190847" w:rsidRPr="00DB6C99">
        <w:rPr>
          <w:rFonts w:ascii="Garamond" w:eastAsia="Calibri" w:hAnsi="Garamond" w:cs="Times New Roman"/>
          <w:sz w:val="24"/>
          <w:szCs w:val="24"/>
          <w:lang w:val="en-GB"/>
        </w:rPr>
        <w:t xml:space="preserve">while </w:t>
      </w:r>
      <w:r w:rsidRPr="00DB6C99">
        <w:rPr>
          <w:rFonts w:ascii="Garamond" w:eastAsia="Calibri" w:hAnsi="Garamond" w:cs="Times New Roman"/>
          <w:sz w:val="24"/>
          <w:szCs w:val="24"/>
          <w:lang w:val="en-GB"/>
        </w:rPr>
        <w:t>executive female directors have no significant influence on CSR decoupling. These results imply that it is the role of female directors that matters</w:t>
      </w:r>
      <w:r w:rsidR="00002213"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 xml:space="preserve"> firms with more independent female directors can benefit more from BGD. </w:t>
      </w:r>
      <w:r w:rsidR="001409B1" w:rsidRPr="00DB6C99">
        <w:rPr>
          <w:rFonts w:ascii="Garamond" w:eastAsia="Calibri" w:hAnsi="Garamond" w:cs="Times New Roman"/>
          <w:sz w:val="24"/>
          <w:szCs w:val="24"/>
          <w:lang w:val="en-GB"/>
        </w:rPr>
        <w:t>A</w:t>
      </w:r>
      <w:r w:rsidRPr="00DB6C99">
        <w:rPr>
          <w:rFonts w:ascii="Garamond" w:eastAsia="Calibri" w:hAnsi="Garamond" w:cs="Times New Roman"/>
          <w:sz w:val="24"/>
          <w:szCs w:val="24"/>
          <w:lang w:val="en-GB"/>
        </w:rPr>
        <w:t xml:space="preserve"> one-percentage-point increase in the proportion of independent female directors is associated with 0.434, 0.615, 0.214 and 0.202 percentage-point decreases in CSR decoupling</w:t>
      </w:r>
      <w:r w:rsidR="00190847"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 xml:space="preserve"> as demonstrated by the results of </w:t>
      </w:r>
      <w:r w:rsidR="00190847" w:rsidRPr="00DB6C99">
        <w:rPr>
          <w:rFonts w:ascii="Garamond" w:eastAsia="Calibri" w:hAnsi="Garamond" w:cs="Times New Roman"/>
          <w:sz w:val="24"/>
          <w:szCs w:val="24"/>
          <w:lang w:val="en-GB"/>
        </w:rPr>
        <w:t xml:space="preserve">the </w:t>
      </w:r>
      <w:r w:rsidRPr="00DB6C99">
        <w:rPr>
          <w:rFonts w:ascii="Garamond" w:eastAsia="Calibri" w:hAnsi="Garamond" w:cs="Times New Roman"/>
          <w:sz w:val="24"/>
          <w:szCs w:val="24"/>
          <w:lang w:val="en-GB"/>
        </w:rPr>
        <w:t>FE, lagged-FE, OLS and lagged-OLS estimations, respectively.</w:t>
      </w:r>
    </w:p>
    <w:p w14:paraId="6798A0BD" w14:textId="77777777" w:rsidR="004A1788" w:rsidRPr="00DB6C99" w:rsidRDefault="004A1788" w:rsidP="004A1788">
      <w:pPr>
        <w:spacing w:line="360" w:lineRule="auto"/>
        <w:jc w:val="center"/>
        <w:rPr>
          <w:rFonts w:ascii="Garamond" w:eastAsia="Calibri" w:hAnsi="Garamond" w:cs="Times New Roman"/>
          <w:b/>
          <w:bCs/>
          <w:sz w:val="24"/>
          <w:szCs w:val="24"/>
          <w:lang w:val="en-GB"/>
        </w:rPr>
      </w:pPr>
      <w:r w:rsidRPr="00DB6C99">
        <w:rPr>
          <w:rFonts w:ascii="Garamond" w:eastAsia="Calibri" w:hAnsi="Garamond" w:cs="Times New Roman"/>
          <w:b/>
          <w:bCs/>
          <w:sz w:val="24"/>
          <w:szCs w:val="24"/>
          <w:lang w:val="en-GB"/>
        </w:rPr>
        <w:t>[Insert Table 5 here]</w:t>
      </w:r>
    </w:p>
    <w:p w14:paraId="655B6AC5" w14:textId="46FBCE82" w:rsidR="004A1788" w:rsidRPr="00DB6C99" w:rsidRDefault="004A1788" w:rsidP="004A1788">
      <w:pPr>
        <w:spacing w:line="360" w:lineRule="auto"/>
        <w:ind w:firstLine="720"/>
        <w:jc w:val="both"/>
        <w:rPr>
          <w:rFonts w:ascii="Garamond" w:eastAsia="Calibri" w:hAnsi="Garamond" w:cs="Times New Roman"/>
          <w:i/>
          <w:iCs/>
          <w:sz w:val="24"/>
          <w:szCs w:val="24"/>
          <w:lang w:val="en-GB"/>
        </w:rPr>
      </w:pPr>
      <w:r w:rsidRPr="00DB6C99">
        <w:rPr>
          <w:rFonts w:ascii="Garamond" w:eastAsia="Calibri" w:hAnsi="Garamond" w:cs="Times New Roman"/>
          <w:i/>
          <w:iCs/>
          <w:sz w:val="24"/>
          <w:szCs w:val="24"/>
          <w:lang w:val="en-GB"/>
        </w:rPr>
        <w:t>Critical mass of female directors and CSR decoupling</w:t>
      </w:r>
    </w:p>
    <w:p w14:paraId="7F1BE7EC" w14:textId="03152AAE" w:rsidR="004A1788" w:rsidRPr="00DB6C99" w:rsidRDefault="004A1788" w:rsidP="004A1788">
      <w:pPr>
        <w:spacing w:line="360" w:lineRule="auto"/>
        <w:ind w:firstLine="720"/>
        <w:jc w:val="both"/>
        <w:rPr>
          <w:rFonts w:ascii="Garamond" w:eastAsia="Calibri" w:hAnsi="Garamond" w:cs="Times New Roman"/>
          <w:sz w:val="24"/>
          <w:szCs w:val="24"/>
          <w:lang w:val="en-GB"/>
        </w:rPr>
      </w:pPr>
      <w:r w:rsidRPr="00DB6C99">
        <w:rPr>
          <w:rFonts w:ascii="Garamond" w:eastAsia="Calibri" w:hAnsi="Garamond" w:cs="Times New Roman"/>
          <w:sz w:val="24"/>
          <w:szCs w:val="24"/>
          <w:lang w:val="en-GB"/>
        </w:rPr>
        <w:t xml:space="preserve">To examine the impact of the critical mass of female directors on CSR decoupling, we follow Seebeck and Vetter (2021) and use three dummy variables, i.e., </w:t>
      </w:r>
      <w:r w:rsidRPr="00DB6C99">
        <w:rPr>
          <w:rFonts w:ascii="Garamond" w:eastAsia="Calibri" w:hAnsi="Garamond" w:cs="Times New Roman"/>
          <w:i/>
          <w:iCs/>
          <w:sz w:val="24"/>
          <w:szCs w:val="24"/>
          <w:lang w:val="en-GB"/>
        </w:rPr>
        <w:t>SKEWED</w:t>
      </w:r>
      <w:r w:rsidRPr="00DB6C99">
        <w:rPr>
          <w:rFonts w:ascii="Garamond" w:eastAsia="Calibri" w:hAnsi="Garamond" w:cs="Times New Roman"/>
          <w:sz w:val="24"/>
          <w:szCs w:val="24"/>
          <w:lang w:val="en-GB"/>
        </w:rPr>
        <w:t xml:space="preserve">, </w:t>
      </w:r>
      <w:r w:rsidRPr="00DB6C99">
        <w:rPr>
          <w:rFonts w:ascii="Garamond" w:eastAsia="Calibri" w:hAnsi="Garamond" w:cs="Times New Roman"/>
          <w:i/>
          <w:iCs/>
          <w:sz w:val="24"/>
          <w:szCs w:val="24"/>
          <w:lang w:val="en-GB"/>
        </w:rPr>
        <w:t>TILTED</w:t>
      </w:r>
      <w:r w:rsidRPr="00DB6C99">
        <w:rPr>
          <w:rFonts w:ascii="Garamond" w:eastAsia="Calibri" w:hAnsi="Garamond" w:cs="Times New Roman"/>
          <w:sz w:val="24"/>
          <w:szCs w:val="24"/>
          <w:lang w:val="en-GB"/>
        </w:rPr>
        <w:t xml:space="preserve"> </w:t>
      </w:r>
      <w:r w:rsidR="00002213" w:rsidRPr="00DB6C99">
        <w:rPr>
          <w:rFonts w:ascii="Garamond" w:eastAsia="Calibri" w:hAnsi="Garamond" w:cs="Times New Roman"/>
          <w:sz w:val="24"/>
          <w:szCs w:val="24"/>
          <w:lang w:val="en-GB"/>
        </w:rPr>
        <w:t>and</w:t>
      </w:r>
      <w:r w:rsidRPr="00DB6C99">
        <w:rPr>
          <w:rFonts w:ascii="Garamond" w:eastAsia="Calibri" w:hAnsi="Garamond" w:cs="Times New Roman"/>
          <w:sz w:val="24"/>
          <w:szCs w:val="24"/>
          <w:lang w:val="en-GB"/>
        </w:rPr>
        <w:t xml:space="preserve"> </w:t>
      </w:r>
      <w:r w:rsidRPr="00DB6C99">
        <w:rPr>
          <w:rFonts w:ascii="Garamond" w:eastAsia="Calibri" w:hAnsi="Garamond" w:cs="Times New Roman"/>
          <w:i/>
          <w:iCs/>
          <w:sz w:val="24"/>
          <w:szCs w:val="24"/>
          <w:lang w:val="en-GB"/>
        </w:rPr>
        <w:t>BALANCED</w:t>
      </w:r>
      <w:r w:rsidR="00190847"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 xml:space="preserve"> representing different types of boards based on differential gender balance. The results in Table 6 show that </w:t>
      </w:r>
      <w:r w:rsidRPr="00DB6C99">
        <w:rPr>
          <w:rFonts w:ascii="Garamond" w:eastAsia="Calibri" w:hAnsi="Garamond" w:cs="Times New Roman"/>
          <w:i/>
          <w:iCs/>
          <w:sz w:val="24"/>
          <w:szCs w:val="24"/>
          <w:lang w:val="en-GB"/>
        </w:rPr>
        <w:t>SKEWED</w:t>
      </w:r>
      <w:r w:rsidRPr="00DB6C99">
        <w:rPr>
          <w:rFonts w:ascii="Garamond" w:eastAsia="Calibri" w:hAnsi="Garamond" w:cs="Times New Roman"/>
          <w:sz w:val="24"/>
          <w:szCs w:val="24"/>
          <w:lang w:val="en-GB"/>
        </w:rPr>
        <w:t xml:space="preserve">, </w:t>
      </w:r>
      <w:r w:rsidRPr="00DB6C99">
        <w:rPr>
          <w:rFonts w:ascii="Garamond" w:eastAsia="Calibri" w:hAnsi="Garamond" w:cs="Times New Roman"/>
          <w:i/>
          <w:iCs/>
          <w:sz w:val="24"/>
          <w:szCs w:val="24"/>
          <w:lang w:val="en-GB"/>
        </w:rPr>
        <w:t>TILTED</w:t>
      </w:r>
      <w:r w:rsidRPr="00DB6C99">
        <w:rPr>
          <w:rFonts w:ascii="Garamond" w:eastAsia="Calibri" w:hAnsi="Garamond" w:cs="Times New Roman"/>
          <w:sz w:val="24"/>
          <w:szCs w:val="24"/>
          <w:lang w:val="en-GB"/>
        </w:rPr>
        <w:t xml:space="preserve"> and </w:t>
      </w:r>
      <w:r w:rsidRPr="00DB6C99">
        <w:rPr>
          <w:rFonts w:ascii="Garamond" w:eastAsia="Calibri" w:hAnsi="Garamond" w:cs="Times New Roman"/>
          <w:i/>
          <w:iCs/>
          <w:sz w:val="24"/>
          <w:szCs w:val="24"/>
          <w:lang w:val="en-GB"/>
        </w:rPr>
        <w:t xml:space="preserve">BALANCED </w:t>
      </w:r>
      <w:r w:rsidRPr="00DB6C99">
        <w:rPr>
          <w:rFonts w:ascii="Garamond" w:eastAsia="Calibri" w:hAnsi="Garamond" w:cs="Times New Roman"/>
          <w:sz w:val="24"/>
          <w:szCs w:val="24"/>
          <w:lang w:val="en-GB"/>
        </w:rPr>
        <w:t>are negatively and significantly associated with CSR decoupling in all specifications (i.e., FE, lagged-FE, OLS and lagged-OLS)</w:t>
      </w:r>
      <w:r w:rsidR="00190847"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 xml:space="preserve"> except the lagged-FE model where </w:t>
      </w:r>
      <w:r w:rsidRPr="00DB6C99">
        <w:rPr>
          <w:rFonts w:ascii="Garamond" w:eastAsia="Calibri" w:hAnsi="Garamond" w:cs="Times New Roman"/>
          <w:i/>
          <w:iCs/>
          <w:sz w:val="24"/>
          <w:szCs w:val="24"/>
          <w:lang w:val="en-GB"/>
        </w:rPr>
        <w:t>SKEWED</w:t>
      </w:r>
      <w:r w:rsidRPr="00DB6C99">
        <w:rPr>
          <w:rFonts w:ascii="Garamond" w:eastAsia="Calibri" w:hAnsi="Garamond" w:cs="Times New Roman"/>
          <w:sz w:val="24"/>
          <w:szCs w:val="24"/>
          <w:lang w:val="en-GB"/>
        </w:rPr>
        <w:t xml:space="preserve"> is negatively but insignificantly associated with CSR decoupling</w:t>
      </w:r>
      <w:r w:rsidR="00190847" w:rsidRPr="00DB6C99">
        <w:rPr>
          <w:rFonts w:ascii="Garamond" w:eastAsia="Calibri" w:hAnsi="Garamond" w:cs="Times New Roman"/>
          <w:sz w:val="24"/>
          <w:szCs w:val="24"/>
          <w:lang w:val="en-GB"/>
        </w:rPr>
        <w:t>. This</w:t>
      </w:r>
      <w:r w:rsidRPr="00DB6C99">
        <w:rPr>
          <w:rFonts w:ascii="Garamond" w:eastAsia="Calibri" w:hAnsi="Garamond" w:cs="Times New Roman"/>
          <w:sz w:val="24"/>
          <w:szCs w:val="24"/>
          <w:lang w:val="en-GB"/>
        </w:rPr>
        <w:t xml:space="preserve"> demonstrat</w:t>
      </w:r>
      <w:r w:rsidR="00190847" w:rsidRPr="00DB6C99">
        <w:rPr>
          <w:rFonts w:ascii="Garamond" w:eastAsia="Calibri" w:hAnsi="Garamond" w:cs="Times New Roman"/>
          <w:sz w:val="24"/>
          <w:szCs w:val="24"/>
          <w:lang w:val="en-GB"/>
        </w:rPr>
        <w:t>es</w:t>
      </w:r>
      <w:r w:rsidRPr="00DB6C99">
        <w:rPr>
          <w:rFonts w:ascii="Garamond" w:eastAsia="Calibri" w:hAnsi="Garamond" w:cs="Times New Roman"/>
          <w:sz w:val="24"/>
          <w:szCs w:val="24"/>
          <w:lang w:val="en-GB"/>
        </w:rPr>
        <w:t xml:space="preserve"> that while the impact of female directors becomes more salient and prominent with an increase in their representation on boards, consistent with critical mass theory, even when women directors are in a minority the benefit</w:t>
      </w:r>
      <w:r w:rsidR="007E42A8" w:rsidRPr="00DB6C99">
        <w:rPr>
          <w:rFonts w:ascii="Garamond" w:eastAsia="Calibri" w:hAnsi="Garamond" w:cs="Times New Roman"/>
          <w:sz w:val="24"/>
          <w:szCs w:val="24"/>
          <w:lang w:val="en-GB"/>
        </w:rPr>
        <w:t>s</w:t>
      </w:r>
      <w:r w:rsidRPr="00DB6C99">
        <w:rPr>
          <w:rFonts w:ascii="Garamond" w:eastAsia="Calibri" w:hAnsi="Garamond" w:cs="Times New Roman"/>
          <w:sz w:val="24"/>
          <w:szCs w:val="24"/>
          <w:lang w:val="en-GB"/>
        </w:rPr>
        <w:t xml:space="preserve"> of BGD </w:t>
      </w:r>
      <w:r w:rsidR="007E42A8" w:rsidRPr="00DB6C99">
        <w:rPr>
          <w:rFonts w:ascii="Garamond" w:eastAsia="Calibri" w:hAnsi="Garamond" w:cs="Times New Roman"/>
          <w:sz w:val="24"/>
          <w:szCs w:val="24"/>
          <w:lang w:val="en-GB"/>
        </w:rPr>
        <w:t>for</w:t>
      </w:r>
      <w:r w:rsidRPr="00DB6C99">
        <w:rPr>
          <w:rFonts w:ascii="Garamond" w:eastAsia="Calibri" w:hAnsi="Garamond" w:cs="Times New Roman"/>
          <w:sz w:val="24"/>
          <w:szCs w:val="24"/>
          <w:lang w:val="en-GB"/>
        </w:rPr>
        <w:t xml:space="preserve"> CSR decoupling holds. </w:t>
      </w:r>
      <w:r w:rsidR="00190847" w:rsidRPr="00DB6C99">
        <w:rPr>
          <w:rFonts w:ascii="Garamond" w:eastAsia="Calibri" w:hAnsi="Garamond" w:cs="Times New Roman"/>
          <w:sz w:val="24"/>
          <w:szCs w:val="24"/>
          <w:lang w:val="en-GB"/>
        </w:rPr>
        <w:t>I</w:t>
      </w:r>
      <w:r w:rsidRPr="00DB6C99">
        <w:rPr>
          <w:rFonts w:ascii="Garamond" w:eastAsia="Calibri" w:hAnsi="Garamond" w:cs="Times New Roman"/>
          <w:sz w:val="24"/>
          <w:szCs w:val="24"/>
          <w:lang w:val="en-GB"/>
        </w:rPr>
        <w:t>t is note</w:t>
      </w:r>
      <w:r w:rsidR="007E42A8" w:rsidRPr="00DB6C99">
        <w:rPr>
          <w:rFonts w:ascii="Garamond" w:eastAsia="Calibri" w:hAnsi="Garamond" w:cs="Times New Roman"/>
          <w:sz w:val="24"/>
          <w:szCs w:val="24"/>
          <w:lang w:val="en-GB"/>
        </w:rPr>
        <w:t>worthy</w:t>
      </w:r>
      <w:r w:rsidRPr="00DB6C99">
        <w:rPr>
          <w:rFonts w:ascii="Garamond" w:eastAsia="Calibri" w:hAnsi="Garamond" w:cs="Times New Roman"/>
          <w:sz w:val="24"/>
          <w:szCs w:val="24"/>
          <w:lang w:val="en-GB"/>
        </w:rPr>
        <w:t xml:space="preserve"> that a one-point increase in </w:t>
      </w:r>
      <w:r w:rsidRPr="00DB6C99">
        <w:rPr>
          <w:rFonts w:ascii="Garamond" w:eastAsia="Calibri" w:hAnsi="Garamond" w:cs="Times New Roman"/>
          <w:i/>
          <w:iCs/>
          <w:sz w:val="24"/>
          <w:szCs w:val="24"/>
          <w:lang w:val="en-GB"/>
        </w:rPr>
        <w:t>SKEWED</w:t>
      </w:r>
      <w:r w:rsidRPr="00DB6C99">
        <w:rPr>
          <w:rFonts w:ascii="Garamond" w:eastAsia="Calibri" w:hAnsi="Garamond" w:cs="Times New Roman"/>
          <w:sz w:val="24"/>
          <w:szCs w:val="24"/>
          <w:lang w:val="en-GB"/>
        </w:rPr>
        <w:t xml:space="preserve">, </w:t>
      </w:r>
      <w:r w:rsidRPr="00DB6C99">
        <w:rPr>
          <w:rFonts w:ascii="Garamond" w:eastAsia="Calibri" w:hAnsi="Garamond" w:cs="Times New Roman"/>
          <w:i/>
          <w:iCs/>
          <w:sz w:val="24"/>
          <w:szCs w:val="24"/>
          <w:lang w:val="en-GB"/>
        </w:rPr>
        <w:t>TILTED</w:t>
      </w:r>
      <w:r w:rsidRPr="00DB6C99">
        <w:rPr>
          <w:rFonts w:ascii="Garamond" w:eastAsia="Calibri" w:hAnsi="Garamond" w:cs="Times New Roman"/>
          <w:sz w:val="24"/>
          <w:szCs w:val="24"/>
          <w:lang w:val="en-GB"/>
        </w:rPr>
        <w:t xml:space="preserve"> and </w:t>
      </w:r>
      <w:r w:rsidRPr="00DB6C99">
        <w:rPr>
          <w:rFonts w:ascii="Garamond" w:eastAsia="Calibri" w:hAnsi="Garamond" w:cs="Times New Roman"/>
          <w:i/>
          <w:iCs/>
          <w:sz w:val="24"/>
          <w:szCs w:val="24"/>
          <w:lang w:val="en-GB"/>
        </w:rPr>
        <w:t xml:space="preserve">BALANCED </w:t>
      </w:r>
      <w:r w:rsidRPr="00DB6C99">
        <w:rPr>
          <w:rFonts w:ascii="Garamond" w:eastAsia="Calibri" w:hAnsi="Garamond" w:cs="Times New Roman"/>
          <w:iCs/>
          <w:sz w:val="24"/>
          <w:szCs w:val="24"/>
          <w:lang w:val="en-GB"/>
        </w:rPr>
        <w:t xml:space="preserve">boards </w:t>
      </w:r>
      <w:r w:rsidRPr="00DB6C99">
        <w:rPr>
          <w:rFonts w:ascii="Garamond" w:eastAsia="Calibri" w:hAnsi="Garamond" w:cs="Times New Roman"/>
          <w:sz w:val="24"/>
          <w:szCs w:val="24"/>
          <w:lang w:val="en-GB"/>
        </w:rPr>
        <w:t>is likely to result in 0.035-, 0.076- and 0.156-point reduction</w:t>
      </w:r>
      <w:r w:rsidR="00190847" w:rsidRPr="00DB6C99">
        <w:rPr>
          <w:rFonts w:ascii="Garamond" w:eastAsia="Calibri" w:hAnsi="Garamond" w:cs="Times New Roman"/>
          <w:sz w:val="24"/>
          <w:szCs w:val="24"/>
          <w:lang w:val="en-GB"/>
        </w:rPr>
        <w:t>s</w:t>
      </w:r>
      <w:r w:rsidRPr="00DB6C99">
        <w:rPr>
          <w:rFonts w:ascii="Garamond" w:eastAsia="Calibri" w:hAnsi="Garamond" w:cs="Times New Roman"/>
          <w:sz w:val="24"/>
          <w:szCs w:val="24"/>
          <w:lang w:val="en-GB"/>
        </w:rPr>
        <w:t xml:space="preserve"> in CSR decoupling (FE method), respectively. Collectively, these results indicate that the negative impact of BGD on CSR decoupling increases as the representation of female directors on the board increases. We also test for differences in the coefficients</w:t>
      </w:r>
      <w:r w:rsidR="00190847"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 xml:space="preserve"> and the result of an unreported Wald test shows that the coefficient on </w:t>
      </w:r>
      <w:r w:rsidRPr="00DB6C99">
        <w:rPr>
          <w:rFonts w:ascii="Garamond" w:eastAsia="Calibri" w:hAnsi="Garamond" w:cs="Times New Roman"/>
          <w:i/>
          <w:iCs/>
          <w:sz w:val="24"/>
          <w:szCs w:val="24"/>
          <w:lang w:val="en-GB"/>
        </w:rPr>
        <w:t>SKEWED</w:t>
      </w:r>
      <w:r w:rsidRPr="00DB6C99">
        <w:rPr>
          <w:rFonts w:ascii="Garamond" w:eastAsia="Calibri" w:hAnsi="Garamond" w:cs="Times New Roman"/>
          <w:sz w:val="24"/>
          <w:szCs w:val="24"/>
          <w:lang w:val="en-GB"/>
        </w:rPr>
        <w:t xml:space="preserve"> is significantly different from the coefficient on </w:t>
      </w:r>
      <w:r w:rsidRPr="00DB6C99">
        <w:rPr>
          <w:rFonts w:ascii="Garamond" w:eastAsia="Calibri" w:hAnsi="Garamond" w:cs="Times New Roman"/>
          <w:i/>
          <w:iCs/>
          <w:sz w:val="24"/>
          <w:szCs w:val="24"/>
          <w:lang w:val="en-GB"/>
        </w:rPr>
        <w:t>TILTED</w:t>
      </w:r>
      <w:r w:rsidR="00190847" w:rsidRPr="00DB6C99">
        <w:rPr>
          <w:rFonts w:ascii="Garamond" w:eastAsia="Calibri" w:hAnsi="Garamond" w:cs="Times New Roman"/>
          <w:sz w:val="24"/>
          <w:szCs w:val="24"/>
          <w:lang w:val="en-GB"/>
        </w:rPr>
        <w:t>, while</w:t>
      </w:r>
      <w:r w:rsidRPr="00DB6C99">
        <w:rPr>
          <w:rFonts w:ascii="Garamond" w:eastAsia="Calibri" w:hAnsi="Garamond" w:cs="Times New Roman"/>
          <w:sz w:val="24"/>
          <w:szCs w:val="24"/>
          <w:lang w:val="en-GB"/>
        </w:rPr>
        <w:t xml:space="preserve"> the coefficient on </w:t>
      </w:r>
      <w:r w:rsidRPr="00DB6C99">
        <w:rPr>
          <w:rFonts w:ascii="Garamond" w:eastAsia="Calibri" w:hAnsi="Garamond" w:cs="Times New Roman"/>
          <w:i/>
          <w:iCs/>
          <w:sz w:val="24"/>
          <w:szCs w:val="24"/>
          <w:lang w:val="en-GB"/>
        </w:rPr>
        <w:t>TILTED</w:t>
      </w:r>
      <w:r w:rsidRPr="00DB6C99">
        <w:rPr>
          <w:rFonts w:ascii="Garamond" w:eastAsia="Calibri" w:hAnsi="Garamond" w:cs="Times New Roman"/>
          <w:sz w:val="24"/>
          <w:szCs w:val="24"/>
          <w:lang w:val="en-GB"/>
        </w:rPr>
        <w:t xml:space="preserve"> is significantly different from the coefficient on </w:t>
      </w:r>
      <w:r w:rsidRPr="00DB6C99">
        <w:rPr>
          <w:rFonts w:ascii="Garamond" w:eastAsia="Calibri" w:hAnsi="Garamond" w:cs="Times New Roman"/>
          <w:i/>
          <w:iCs/>
          <w:sz w:val="24"/>
          <w:szCs w:val="24"/>
          <w:lang w:val="en-GB"/>
        </w:rPr>
        <w:t>BALANCED</w:t>
      </w:r>
      <w:r w:rsidRPr="00DB6C99">
        <w:rPr>
          <w:rFonts w:ascii="Garamond" w:eastAsia="Calibri" w:hAnsi="Garamond" w:cs="Times New Roman"/>
          <w:sz w:val="24"/>
          <w:szCs w:val="24"/>
          <w:lang w:val="en-GB"/>
        </w:rPr>
        <w:t xml:space="preserve"> in all specifications. Taken together, our results support H3 </w:t>
      </w:r>
      <w:r w:rsidR="00190847" w:rsidRPr="00DB6C99">
        <w:rPr>
          <w:rFonts w:ascii="Garamond" w:eastAsia="Calibri" w:hAnsi="Garamond" w:cs="Times New Roman"/>
          <w:sz w:val="24"/>
          <w:szCs w:val="24"/>
          <w:lang w:val="en-GB"/>
        </w:rPr>
        <w:t xml:space="preserve">regarding </w:t>
      </w:r>
      <w:r w:rsidRPr="00DB6C99">
        <w:rPr>
          <w:rFonts w:ascii="Garamond" w:eastAsia="Calibri" w:hAnsi="Garamond" w:cs="Times New Roman"/>
          <w:sz w:val="24"/>
          <w:szCs w:val="24"/>
          <w:lang w:val="en-GB"/>
        </w:rPr>
        <w:t>the economic significance of more women on the board.</w:t>
      </w:r>
    </w:p>
    <w:p w14:paraId="6C9D3933" w14:textId="77777777" w:rsidR="004A1788" w:rsidRPr="00DB6C99" w:rsidRDefault="004A1788" w:rsidP="004A1788">
      <w:pPr>
        <w:spacing w:line="360" w:lineRule="auto"/>
        <w:jc w:val="center"/>
        <w:rPr>
          <w:rFonts w:ascii="Garamond" w:eastAsia="Calibri" w:hAnsi="Garamond" w:cs="Times New Roman"/>
          <w:b/>
          <w:bCs/>
          <w:sz w:val="24"/>
          <w:szCs w:val="24"/>
          <w:lang w:val="en-GB"/>
        </w:rPr>
      </w:pPr>
      <w:r w:rsidRPr="00DB6C99">
        <w:rPr>
          <w:rFonts w:ascii="Garamond" w:eastAsia="Calibri" w:hAnsi="Garamond" w:cs="Times New Roman"/>
          <w:b/>
          <w:bCs/>
          <w:sz w:val="24"/>
          <w:szCs w:val="24"/>
          <w:lang w:val="en-GB"/>
        </w:rPr>
        <w:t>[Insert Table 6 here]</w:t>
      </w:r>
    </w:p>
    <w:p w14:paraId="66A84C17" w14:textId="5E130A09" w:rsidR="004A1788" w:rsidRPr="00DB6C99" w:rsidRDefault="004A1788" w:rsidP="004A1788">
      <w:pPr>
        <w:spacing w:line="360" w:lineRule="auto"/>
        <w:ind w:firstLine="720"/>
        <w:jc w:val="both"/>
        <w:rPr>
          <w:rFonts w:ascii="Garamond" w:eastAsia="Calibri" w:hAnsi="Garamond" w:cs="Times New Roman"/>
          <w:i/>
          <w:iCs/>
          <w:sz w:val="24"/>
          <w:szCs w:val="24"/>
          <w:lang w:val="en-GB"/>
        </w:rPr>
      </w:pPr>
      <w:r w:rsidRPr="00DB6C99">
        <w:rPr>
          <w:rFonts w:ascii="Garamond" w:eastAsia="Calibri" w:hAnsi="Garamond" w:cs="Times New Roman"/>
          <w:i/>
          <w:iCs/>
          <w:sz w:val="24"/>
          <w:szCs w:val="24"/>
          <w:lang w:val="en-GB"/>
        </w:rPr>
        <w:lastRenderedPageBreak/>
        <w:t>Female directors, information asymmetry and CSR decoupling</w:t>
      </w:r>
    </w:p>
    <w:p w14:paraId="617C0437" w14:textId="4EEF3F5F" w:rsidR="004A1788" w:rsidRPr="00DB6C99" w:rsidRDefault="004A1788" w:rsidP="004A1788">
      <w:pPr>
        <w:spacing w:line="360" w:lineRule="auto"/>
        <w:ind w:firstLine="720"/>
        <w:jc w:val="both"/>
        <w:rPr>
          <w:rFonts w:ascii="Garamond" w:eastAsia="Calibri" w:hAnsi="Garamond" w:cs="Times New Roman"/>
          <w:sz w:val="24"/>
          <w:szCs w:val="24"/>
          <w:lang w:val="en-GB"/>
        </w:rPr>
      </w:pPr>
      <w:r w:rsidRPr="00DB6C99">
        <w:rPr>
          <w:rFonts w:ascii="Garamond" w:eastAsia="Calibri" w:hAnsi="Garamond" w:cs="Times New Roman"/>
          <w:sz w:val="24"/>
          <w:szCs w:val="24"/>
          <w:lang w:val="en-GB"/>
        </w:rPr>
        <w:t xml:space="preserve">So far, our findings show that female directors reduce CSR decoupling. Here, we further examine whether female directors reduce CSR decoupling by reducing information asymmetry. Following related literature (Ball </w:t>
      </w:r>
      <w:r w:rsidR="00190847" w:rsidRPr="00DB6C99">
        <w:rPr>
          <w:rFonts w:ascii="Garamond" w:eastAsia="Calibri" w:hAnsi="Garamond" w:cs="Times New Roman"/>
          <w:sz w:val="24"/>
          <w:szCs w:val="24"/>
          <w:lang w:val="en-GB"/>
        </w:rPr>
        <w:t>and</w:t>
      </w:r>
      <w:r w:rsidRPr="00DB6C99">
        <w:rPr>
          <w:rFonts w:ascii="Garamond" w:eastAsia="Calibri" w:hAnsi="Garamond" w:cs="Times New Roman"/>
          <w:sz w:val="24"/>
          <w:szCs w:val="24"/>
          <w:lang w:val="en-GB"/>
        </w:rPr>
        <w:t xml:space="preserve"> Shivakumar, 2008; Kim</w:t>
      </w:r>
      <w:r w:rsidR="00DF1957" w:rsidRPr="00DB6C99">
        <w:rPr>
          <w:rFonts w:ascii="Garamond" w:eastAsia="Calibri" w:hAnsi="Garamond" w:cs="Times New Roman"/>
          <w:sz w:val="24"/>
          <w:szCs w:val="24"/>
          <w:lang w:val="en-GB"/>
        </w:rPr>
        <w:t>, Park and Wier</w:t>
      </w:r>
      <w:r w:rsidRPr="00DB6C99">
        <w:rPr>
          <w:rFonts w:ascii="Garamond" w:eastAsia="Calibri" w:hAnsi="Garamond" w:cs="Times New Roman"/>
          <w:iCs/>
          <w:sz w:val="24"/>
          <w:szCs w:val="24"/>
          <w:lang w:val="en-GB"/>
        </w:rPr>
        <w:t xml:space="preserve">, </w:t>
      </w:r>
      <w:r w:rsidRPr="00DB6C99">
        <w:rPr>
          <w:rFonts w:ascii="Garamond" w:eastAsia="Calibri" w:hAnsi="Garamond" w:cs="Times New Roman"/>
          <w:sz w:val="24"/>
          <w:szCs w:val="24"/>
          <w:lang w:val="en-GB"/>
        </w:rPr>
        <w:t>2012), we use earnings management (i.e., discretionary accruals)</w:t>
      </w:r>
      <w:r w:rsidRPr="00DB6C99">
        <w:rPr>
          <w:rFonts w:ascii="Garamond" w:eastAsia="Calibri" w:hAnsi="Garamond" w:cs="Times New Roman"/>
          <w:sz w:val="24"/>
          <w:szCs w:val="24"/>
          <w:vertAlign w:val="superscript"/>
          <w:lang w:val="en-GB"/>
        </w:rPr>
        <w:footnoteReference w:id="4"/>
      </w:r>
      <w:r w:rsidRPr="00DB6C99">
        <w:rPr>
          <w:rFonts w:ascii="Garamond" w:eastAsia="Calibri" w:hAnsi="Garamond" w:cs="Times New Roman"/>
          <w:sz w:val="24"/>
          <w:szCs w:val="24"/>
          <w:lang w:val="en-GB"/>
        </w:rPr>
        <w:t xml:space="preserve"> as a valid proxy for the information environment</w:t>
      </w:r>
      <w:r w:rsidR="00190847" w:rsidRPr="00DB6C99">
        <w:rPr>
          <w:rFonts w:ascii="Garamond" w:eastAsia="Calibri" w:hAnsi="Garamond" w:cs="Times New Roman"/>
          <w:sz w:val="24"/>
          <w:szCs w:val="24"/>
          <w:lang w:val="en-GB"/>
        </w:rPr>
        <w:t>.</w:t>
      </w:r>
      <w:r w:rsidR="00B410E6" w:rsidRPr="00DB6C99">
        <w:rPr>
          <w:rStyle w:val="FootnoteReference"/>
          <w:rFonts w:ascii="Garamond" w:eastAsia="Calibri" w:hAnsi="Garamond" w:cs="Times New Roman"/>
          <w:sz w:val="24"/>
          <w:szCs w:val="24"/>
          <w:lang w:val="en-GB"/>
        </w:rPr>
        <w:footnoteReference w:id="5"/>
      </w:r>
      <w:r w:rsidRPr="00DB6C99">
        <w:rPr>
          <w:rFonts w:ascii="Garamond" w:eastAsia="Calibri" w:hAnsi="Garamond" w:cs="Times New Roman"/>
          <w:sz w:val="24"/>
          <w:szCs w:val="24"/>
          <w:lang w:val="en-GB"/>
        </w:rPr>
        <w:t xml:space="preserve"> </w:t>
      </w:r>
      <w:r w:rsidR="007E42A8" w:rsidRPr="00DB6C99">
        <w:rPr>
          <w:rFonts w:ascii="Garamond" w:eastAsia="Calibri" w:hAnsi="Garamond" w:cs="Times New Roman"/>
          <w:sz w:val="24"/>
          <w:szCs w:val="24"/>
          <w:lang w:val="en-GB"/>
        </w:rPr>
        <w:t>W</w:t>
      </w:r>
      <w:r w:rsidRPr="00DB6C99">
        <w:rPr>
          <w:rFonts w:ascii="Garamond" w:eastAsia="Calibri" w:hAnsi="Garamond" w:cs="Times New Roman"/>
          <w:sz w:val="24"/>
          <w:szCs w:val="24"/>
          <w:lang w:val="en-GB"/>
        </w:rPr>
        <w:t xml:space="preserve">e first run regressions using </w:t>
      </w:r>
      <w:r w:rsidRPr="00DB6C99">
        <w:rPr>
          <w:rFonts w:ascii="Garamond" w:eastAsia="Calibri" w:hAnsi="Garamond" w:cs="Times New Roman"/>
          <w:i/>
          <w:iCs/>
          <w:sz w:val="24"/>
          <w:szCs w:val="24"/>
          <w:lang w:val="en-GB"/>
        </w:rPr>
        <w:t>AEM</w:t>
      </w:r>
      <w:r w:rsidRPr="00DB6C99">
        <w:rPr>
          <w:rFonts w:ascii="Garamond" w:eastAsia="Calibri" w:hAnsi="Garamond" w:cs="Times New Roman"/>
          <w:sz w:val="24"/>
          <w:szCs w:val="24"/>
          <w:lang w:val="en-GB"/>
        </w:rPr>
        <w:t xml:space="preserve"> as a dependent variable and </w:t>
      </w:r>
      <w:r w:rsidRPr="00DB6C99">
        <w:rPr>
          <w:rFonts w:ascii="Garamond" w:eastAsia="Calibri" w:hAnsi="Garamond" w:cs="Times New Roman"/>
          <w:i/>
          <w:iCs/>
          <w:sz w:val="24"/>
          <w:szCs w:val="24"/>
          <w:lang w:val="en-GB"/>
        </w:rPr>
        <w:t>FPRO</w:t>
      </w:r>
      <w:r w:rsidRPr="00DB6C99">
        <w:rPr>
          <w:rFonts w:ascii="Garamond" w:eastAsia="Calibri" w:hAnsi="Garamond" w:cs="Times New Roman"/>
          <w:sz w:val="24"/>
          <w:szCs w:val="24"/>
          <w:lang w:val="en-GB"/>
        </w:rPr>
        <w:t xml:space="preserve"> as an independent variable along with all the controls. The results reported under Column</w:t>
      </w:r>
      <w:r w:rsidR="00190847" w:rsidRPr="00DB6C99">
        <w:rPr>
          <w:rFonts w:ascii="Garamond" w:eastAsia="Calibri" w:hAnsi="Garamond" w:cs="Times New Roman"/>
          <w:sz w:val="24"/>
          <w:szCs w:val="24"/>
          <w:lang w:val="en-GB"/>
        </w:rPr>
        <w:t>s</w:t>
      </w:r>
      <w:r w:rsidRPr="00DB6C99">
        <w:rPr>
          <w:rFonts w:ascii="Garamond" w:eastAsia="Calibri" w:hAnsi="Garamond" w:cs="Times New Roman"/>
          <w:sz w:val="24"/>
          <w:szCs w:val="24"/>
          <w:lang w:val="en-GB"/>
        </w:rPr>
        <w:t xml:space="preserve"> 1, 3, 5 and 7 of Table 7 show that the coefficient on </w:t>
      </w:r>
      <w:r w:rsidRPr="00DB6C99">
        <w:rPr>
          <w:rFonts w:ascii="Garamond" w:eastAsia="Calibri" w:hAnsi="Garamond" w:cs="Times New Roman"/>
          <w:i/>
          <w:iCs/>
          <w:sz w:val="24"/>
          <w:szCs w:val="24"/>
          <w:lang w:val="en-GB"/>
        </w:rPr>
        <w:t>F_PRO</w:t>
      </w:r>
      <w:r w:rsidRPr="00DB6C99">
        <w:rPr>
          <w:rFonts w:ascii="Garamond" w:eastAsia="Calibri" w:hAnsi="Garamond" w:cs="Times New Roman"/>
          <w:sz w:val="24"/>
          <w:szCs w:val="24"/>
          <w:lang w:val="en-GB"/>
        </w:rPr>
        <w:t xml:space="preserve"> is negative and statistically significant, suggesting that firms with female directors are more likely to reduce information asymmetry. Then, we examine whether female directors reduce CSR decoupling through the information asymmetry</w:t>
      </w:r>
      <w:r w:rsidR="007E42A8" w:rsidRPr="00DB6C99">
        <w:rPr>
          <w:rFonts w:ascii="Garamond" w:eastAsia="Calibri" w:hAnsi="Garamond" w:cs="Times New Roman"/>
          <w:sz w:val="24"/>
          <w:szCs w:val="24"/>
          <w:lang w:val="en-GB"/>
        </w:rPr>
        <w:t xml:space="preserve"> channel</w:t>
      </w:r>
      <w:r w:rsidRPr="00DB6C99">
        <w:rPr>
          <w:rFonts w:ascii="Garamond" w:eastAsia="Calibri" w:hAnsi="Garamond" w:cs="Times New Roman"/>
          <w:sz w:val="24"/>
          <w:szCs w:val="24"/>
          <w:lang w:val="en-GB"/>
        </w:rPr>
        <w:t>. To perform this analysis, we create a new variable</w:t>
      </w:r>
      <w:r w:rsidR="00190847"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 xml:space="preserve"> </w:t>
      </w:r>
      <w:r w:rsidRPr="00DB6C99">
        <w:rPr>
          <w:rFonts w:ascii="Garamond" w:eastAsia="Calibri" w:hAnsi="Garamond" w:cs="Times New Roman"/>
          <w:i/>
          <w:iCs/>
          <w:sz w:val="24"/>
          <w:szCs w:val="24"/>
          <w:lang w:val="en-GB"/>
        </w:rPr>
        <w:t>FPRO X AEM</w:t>
      </w:r>
      <w:r w:rsidR="00190847" w:rsidRPr="00DB6C99">
        <w:rPr>
          <w:rFonts w:ascii="Garamond" w:eastAsia="Calibri" w:hAnsi="Garamond" w:cs="Times New Roman"/>
          <w:i/>
          <w:iCs/>
          <w:sz w:val="24"/>
          <w:szCs w:val="24"/>
          <w:lang w:val="en-GB"/>
        </w:rPr>
        <w:t>,</w:t>
      </w:r>
      <w:r w:rsidRPr="00DB6C99">
        <w:rPr>
          <w:rFonts w:ascii="Garamond" w:eastAsia="Calibri" w:hAnsi="Garamond" w:cs="Times New Roman"/>
          <w:sz w:val="24"/>
          <w:szCs w:val="24"/>
          <w:lang w:val="en-GB"/>
        </w:rPr>
        <w:t xml:space="preserve"> which is the interaction term between the proportion of female directors and the level of information asymmetry. We then include </w:t>
      </w:r>
      <w:r w:rsidRPr="00DB6C99">
        <w:rPr>
          <w:rFonts w:ascii="Garamond" w:eastAsia="Calibri" w:hAnsi="Garamond" w:cs="Times New Roman"/>
          <w:i/>
          <w:iCs/>
          <w:sz w:val="24"/>
          <w:szCs w:val="24"/>
          <w:lang w:val="en-GB"/>
        </w:rPr>
        <w:t>FPRO X AEM</w:t>
      </w:r>
      <w:r w:rsidRPr="00DB6C99">
        <w:rPr>
          <w:rFonts w:ascii="Garamond" w:eastAsia="Calibri" w:hAnsi="Garamond" w:cs="Times New Roman"/>
          <w:sz w:val="24"/>
          <w:szCs w:val="24"/>
          <w:lang w:val="en-GB"/>
        </w:rPr>
        <w:t xml:space="preserve"> and </w:t>
      </w:r>
      <w:r w:rsidRPr="00DB6C99">
        <w:rPr>
          <w:rFonts w:ascii="Garamond" w:eastAsia="Calibri" w:hAnsi="Garamond" w:cs="Times New Roman"/>
          <w:i/>
          <w:iCs/>
          <w:sz w:val="24"/>
          <w:szCs w:val="24"/>
          <w:lang w:val="en-GB"/>
        </w:rPr>
        <w:t>AEM</w:t>
      </w:r>
      <w:r w:rsidRPr="00DB6C99">
        <w:rPr>
          <w:rFonts w:ascii="Garamond" w:eastAsia="Calibri" w:hAnsi="Garamond" w:cs="Times New Roman"/>
          <w:sz w:val="24"/>
          <w:szCs w:val="24"/>
          <w:lang w:val="en-GB"/>
        </w:rPr>
        <w:t xml:space="preserve"> along with </w:t>
      </w:r>
      <w:r w:rsidRPr="00DB6C99">
        <w:rPr>
          <w:rFonts w:ascii="Garamond" w:eastAsia="Calibri" w:hAnsi="Garamond" w:cs="Times New Roman"/>
          <w:i/>
          <w:iCs/>
          <w:sz w:val="24"/>
          <w:szCs w:val="24"/>
          <w:lang w:val="en-GB"/>
        </w:rPr>
        <w:t>FPRO</w:t>
      </w:r>
      <w:r w:rsidRPr="00DB6C99">
        <w:rPr>
          <w:rFonts w:ascii="Garamond" w:eastAsia="Calibri" w:hAnsi="Garamond" w:cs="Times New Roman"/>
          <w:sz w:val="24"/>
          <w:szCs w:val="24"/>
          <w:lang w:val="en-GB"/>
        </w:rPr>
        <w:t xml:space="preserve"> and all </w:t>
      </w:r>
      <w:r w:rsidR="002426FF" w:rsidRPr="00DB6C99">
        <w:rPr>
          <w:rFonts w:ascii="Garamond" w:eastAsia="Calibri" w:hAnsi="Garamond" w:cs="Times New Roman"/>
          <w:sz w:val="24"/>
          <w:szCs w:val="24"/>
          <w:lang w:val="en-GB"/>
        </w:rPr>
        <w:t xml:space="preserve">the </w:t>
      </w:r>
      <w:r w:rsidRPr="00DB6C99">
        <w:rPr>
          <w:rFonts w:ascii="Garamond" w:eastAsia="Calibri" w:hAnsi="Garamond" w:cs="Times New Roman"/>
          <w:sz w:val="24"/>
          <w:szCs w:val="24"/>
          <w:lang w:val="en-GB"/>
        </w:rPr>
        <w:t xml:space="preserve">control variables in our model and re-estimate </w:t>
      </w:r>
      <w:r w:rsidR="007E42A8" w:rsidRPr="00DB6C99">
        <w:rPr>
          <w:rFonts w:ascii="Garamond" w:eastAsia="Calibri" w:hAnsi="Garamond" w:cs="Times New Roman"/>
          <w:sz w:val="24"/>
          <w:szCs w:val="24"/>
          <w:lang w:val="en-GB"/>
        </w:rPr>
        <w:t>E</w:t>
      </w:r>
      <w:r w:rsidRPr="00DB6C99">
        <w:rPr>
          <w:rFonts w:ascii="Garamond" w:eastAsia="Calibri" w:hAnsi="Garamond" w:cs="Times New Roman"/>
          <w:sz w:val="24"/>
          <w:szCs w:val="24"/>
          <w:lang w:val="en-GB"/>
        </w:rPr>
        <w:t xml:space="preserve">quation (1). The coefficient on </w:t>
      </w:r>
      <w:r w:rsidRPr="00DB6C99">
        <w:rPr>
          <w:rFonts w:ascii="Garamond" w:eastAsia="Calibri" w:hAnsi="Garamond" w:cs="Times New Roman"/>
          <w:i/>
          <w:iCs/>
          <w:sz w:val="24"/>
          <w:szCs w:val="24"/>
          <w:lang w:val="en-GB"/>
        </w:rPr>
        <w:t>FPRO X AEM</w:t>
      </w:r>
      <w:r w:rsidRPr="00DB6C99">
        <w:rPr>
          <w:rFonts w:ascii="Garamond" w:eastAsia="Calibri" w:hAnsi="Garamond" w:cs="Times New Roman"/>
          <w:sz w:val="24"/>
          <w:szCs w:val="24"/>
          <w:lang w:val="en-GB"/>
        </w:rPr>
        <w:t xml:space="preserve"> must be negatively significant if female directors influence CSR decoupling (</w:t>
      </w:r>
      <w:r w:rsidRPr="00DB6C99">
        <w:rPr>
          <w:rFonts w:ascii="Garamond" w:eastAsia="Calibri" w:hAnsi="Garamond" w:cs="Times New Roman"/>
          <w:i/>
          <w:iCs/>
          <w:sz w:val="24"/>
          <w:szCs w:val="24"/>
          <w:lang w:val="en-GB"/>
        </w:rPr>
        <w:t>GAP</w:t>
      </w:r>
      <w:r w:rsidRPr="00DB6C99">
        <w:rPr>
          <w:rFonts w:ascii="Garamond" w:eastAsia="Calibri" w:hAnsi="Garamond" w:cs="Times New Roman"/>
          <w:sz w:val="24"/>
          <w:szCs w:val="24"/>
          <w:lang w:val="en-GB"/>
        </w:rPr>
        <w:t>) through the information asymmetry</w:t>
      </w:r>
      <w:r w:rsidR="00CC04AF" w:rsidRPr="00DB6C99">
        <w:rPr>
          <w:rFonts w:ascii="Garamond" w:eastAsia="Calibri" w:hAnsi="Garamond" w:cs="Times New Roman"/>
          <w:sz w:val="24"/>
          <w:szCs w:val="24"/>
          <w:lang w:val="en-GB"/>
        </w:rPr>
        <w:t xml:space="preserve"> channel</w:t>
      </w:r>
      <w:r w:rsidRPr="00DB6C99">
        <w:rPr>
          <w:rFonts w:ascii="Garamond" w:eastAsia="Calibri" w:hAnsi="Garamond" w:cs="Times New Roman"/>
          <w:sz w:val="24"/>
          <w:szCs w:val="24"/>
          <w:lang w:val="en-GB"/>
        </w:rPr>
        <w:t>. The results of this analysis</w:t>
      </w:r>
      <w:r w:rsidR="00CC04AF"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 xml:space="preserve"> reported under Columns 2, 4, 6 and 8 of Table 7</w:t>
      </w:r>
      <w:r w:rsidR="00CC04AF"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 xml:space="preserve"> demonstrate that the coefficient on </w:t>
      </w:r>
      <w:r w:rsidRPr="00DB6C99">
        <w:rPr>
          <w:rFonts w:ascii="Garamond" w:eastAsia="Calibri" w:hAnsi="Garamond" w:cs="Times New Roman"/>
          <w:i/>
          <w:iCs/>
          <w:sz w:val="24"/>
          <w:szCs w:val="24"/>
          <w:lang w:val="en-GB"/>
        </w:rPr>
        <w:t>FPRO X AEM</w:t>
      </w:r>
      <w:r w:rsidRPr="00DB6C99">
        <w:rPr>
          <w:rFonts w:ascii="Garamond" w:eastAsia="Calibri" w:hAnsi="Garamond" w:cs="Times New Roman"/>
          <w:sz w:val="24"/>
          <w:szCs w:val="24"/>
          <w:lang w:val="en-GB"/>
        </w:rPr>
        <w:t xml:space="preserve"> is negatively significant, suggesting that female directors are likely to influence CSR decoupling by reducing information asymmetry.</w:t>
      </w:r>
    </w:p>
    <w:p w14:paraId="6DBAA777" w14:textId="77777777" w:rsidR="004A1788" w:rsidRPr="00DB6C99" w:rsidRDefault="004A1788" w:rsidP="004A1788">
      <w:pPr>
        <w:spacing w:line="360" w:lineRule="auto"/>
        <w:jc w:val="center"/>
        <w:rPr>
          <w:rFonts w:ascii="Garamond" w:eastAsia="Calibri" w:hAnsi="Garamond" w:cs="Times New Roman"/>
          <w:b/>
          <w:bCs/>
          <w:sz w:val="24"/>
          <w:szCs w:val="24"/>
          <w:lang w:val="en-GB"/>
        </w:rPr>
      </w:pPr>
      <w:r w:rsidRPr="00DB6C99">
        <w:rPr>
          <w:rFonts w:ascii="Garamond" w:eastAsia="Calibri" w:hAnsi="Garamond" w:cs="Times New Roman"/>
          <w:b/>
          <w:bCs/>
          <w:sz w:val="24"/>
          <w:szCs w:val="24"/>
          <w:lang w:val="en-GB"/>
        </w:rPr>
        <w:t>[Insert Table 7 here]</w:t>
      </w:r>
    </w:p>
    <w:p w14:paraId="2CB7793E" w14:textId="77777777" w:rsidR="004A1788" w:rsidRPr="00DB6C99" w:rsidRDefault="004A1788" w:rsidP="004A1788">
      <w:pPr>
        <w:spacing w:line="360" w:lineRule="auto"/>
        <w:ind w:firstLine="720"/>
        <w:jc w:val="both"/>
        <w:rPr>
          <w:rFonts w:ascii="Garamond" w:eastAsia="Calibri" w:hAnsi="Garamond" w:cs="Times New Roman"/>
          <w:b/>
          <w:bCs/>
          <w:i/>
          <w:iCs/>
          <w:sz w:val="24"/>
          <w:szCs w:val="24"/>
          <w:lang w:val="en-GB"/>
        </w:rPr>
      </w:pPr>
      <w:r w:rsidRPr="00DB6C99">
        <w:rPr>
          <w:rFonts w:ascii="Garamond" w:eastAsia="Calibri" w:hAnsi="Garamond" w:cs="Times New Roman"/>
          <w:b/>
          <w:bCs/>
          <w:i/>
          <w:iCs/>
          <w:sz w:val="24"/>
          <w:szCs w:val="24"/>
          <w:lang w:val="en-GB"/>
        </w:rPr>
        <w:t>Additional analysis</w:t>
      </w:r>
    </w:p>
    <w:p w14:paraId="15B3007D" w14:textId="77777777" w:rsidR="004A1788" w:rsidRPr="00DB6C99" w:rsidRDefault="004A1788" w:rsidP="004A1788">
      <w:pPr>
        <w:spacing w:line="360" w:lineRule="auto"/>
        <w:ind w:firstLine="720"/>
        <w:jc w:val="both"/>
        <w:rPr>
          <w:rFonts w:ascii="Garamond" w:eastAsia="Calibri" w:hAnsi="Garamond" w:cs="Times New Roman"/>
          <w:i/>
          <w:iCs/>
          <w:sz w:val="24"/>
          <w:szCs w:val="24"/>
          <w:lang w:val="en-GB"/>
        </w:rPr>
      </w:pPr>
      <w:r w:rsidRPr="00DB6C99">
        <w:rPr>
          <w:rFonts w:ascii="Garamond" w:eastAsia="Calibri" w:hAnsi="Garamond" w:cs="Times New Roman"/>
          <w:i/>
          <w:iCs/>
          <w:sz w:val="24"/>
          <w:szCs w:val="24"/>
          <w:lang w:val="en-GB"/>
        </w:rPr>
        <w:t>Controlling for governance quality</w:t>
      </w:r>
    </w:p>
    <w:p w14:paraId="0F268166" w14:textId="27DBE315" w:rsidR="004A1788" w:rsidRPr="00DB6C99" w:rsidRDefault="004A1788" w:rsidP="004A1788">
      <w:pPr>
        <w:spacing w:line="360" w:lineRule="auto"/>
        <w:ind w:firstLine="720"/>
        <w:jc w:val="both"/>
        <w:rPr>
          <w:rFonts w:ascii="Garamond" w:eastAsia="Calibri" w:hAnsi="Garamond" w:cs="Times New Roman"/>
          <w:sz w:val="24"/>
          <w:szCs w:val="24"/>
          <w:lang w:val="en-GB"/>
        </w:rPr>
      </w:pPr>
      <w:r w:rsidRPr="00DB6C99">
        <w:rPr>
          <w:rFonts w:ascii="Garamond" w:eastAsia="Calibri" w:hAnsi="Garamond" w:cs="Times New Roman"/>
          <w:sz w:val="24"/>
          <w:szCs w:val="24"/>
          <w:lang w:val="en-GB"/>
        </w:rPr>
        <w:t xml:space="preserve">Existing studies suggest that the impact of BGD on firm outcomes is contingent on firms’ governance quality (Jain </w:t>
      </w:r>
      <w:r w:rsidR="00824D87" w:rsidRPr="00DB6C99">
        <w:rPr>
          <w:rFonts w:ascii="Garamond" w:eastAsia="Calibri" w:hAnsi="Garamond" w:cs="Times New Roman"/>
          <w:sz w:val="24"/>
          <w:szCs w:val="24"/>
          <w:lang w:val="en-GB"/>
        </w:rPr>
        <w:t>and</w:t>
      </w:r>
      <w:r w:rsidRPr="00DB6C99">
        <w:rPr>
          <w:rFonts w:ascii="Garamond" w:eastAsia="Calibri" w:hAnsi="Garamond" w:cs="Times New Roman"/>
          <w:sz w:val="24"/>
          <w:szCs w:val="24"/>
          <w:lang w:val="en-GB"/>
        </w:rPr>
        <w:t xml:space="preserve"> Ahern, 2020; Zaman </w:t>
      </w:r>
      <w:r w:rsidRPr="00DB6C99">
        <w:rPr>
          <w:rFonts w:ascii="Garamond" w:eastAsia="Calibri" w:hAnsi="Garamond" w:cs="Times New Roman"/>
          <w:i/>
          <w:sz w:val="24"/>
          <w:szCs w:val="24"/>
          <w:lang w:val="en-GB"/>
        </w:rPr>
        <w:t>et al.</w:t>
      </w:r>
      <w:r w:rsidRPr="00DB6C99">
        <w:rPr>
          <w:rFonts w:ascii="Garamond" w:eastAsia="Calibri" w:hAnsi="Garamond" w:cs="Times New Roman"/>
          <w:sz w:val="24"/>
          <w:szCs w:val="24"/>
          <w:lang w:val="en-GB"/>
        </w:rPr>
        <w:t>, 2020)</w:t>
      </w:r>
      <w:r w:rsidR="00824D87"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 xml:space="preserve"> indeed</w:t>
      </w:r>
      <w:r w:rsidR="00824D87" w:rsidRPr="00DB6C99">
        <w:rPr>
          <w:rFonts w:ascii="Garamond" w:eastAsia="Calibri" w:hAnsi="Garamond" w:cs="Times New Roman"/>
          <w:sz w:val="24"/>
          <w:szCs w:val="24"/>
          <w:lang w:val="en-GB"/>
        </w:rPr>
        <w:t>, it</w:t>
      </w:r>
      <w:r w:rsidRPr="00DB6C99">
        <w:rPr>
          <w:rFonts w:ascii="Garamond" w:eastAsia="Calibri" w:hAnsi="Garamond" w:cs="Times New Roman"/>
          <w:sz w:val="24"/>
          <w:szCs w:val="24"/>
          <w:lang w:val="en-GB"/>
        </w:rPr>
        <w:t xml:space="preserve"> is more prominent in firms </w:t>
      </w:r>
      <w:r w:rsidRPr="00DB6C99">
        <w:rPr>
          <w:rFonts w:ascii="Garamond" w:eastAsia="Calibri" w:hAnsi="Garamond" w:cs="Times New Roman"/>
          <w:sz w:val="24"/>
          <w:szCs w:val="24"/>
          <w:lang w:val="en-GB"/>
        </w:rPr>
        <w:lastRenderedPageBreak/>
        <w:t xml:space="preserve">with weaker governance quality (Adams </w:t>
      </w:r>
      <w:r w:rsidR="00824D87" w:rsidRPr="00DB6C99">
        <w:rPr>
          <w:rFonts w:ascii="Garamond" w:eastAsia="Calibri" w:hAnsi="Garamond" w:cs="Times New Roman"/>
          <w:sz w:val="24"/>
          <w:szCs w:val="24"/>
          <w:lang w:val="en-GB"/>
        </w:rPr>
        <w:t>and</w:t>
      </w:r>
      <w:r w:rsidRPr="00DB6C99">
        <w:rPr>
          <w:rFonts w:ascii="Garamond" w:eastAsia="Calibri" w:hAnsi="Garamond" w:cs="Times New Roman"/>
          <w:sz w:val="24"/>
          <w:szCs w:val="24"/>
          <w:lang w:val="en-GB"/>
        </w:rPr>
        <w:t xml:space="preserve"> Ferreira, 2009). We therefore investigate whether the nexus of BGD and CSR decoupling is </w:t>
      </w:r>
      <w:r w:rsidR="00F053C4" w:rsidRPr="00DB6C99">
        <w:rPr>
          <w:rFonts w:ascii="Garamond" w:eastAsia="Calibri" w:hAnsi="Garamond" w:cs="Times New Roman"/>
          <w:sz w:val="24"/>
          <w:szCs w:val="24"/>
          <w:lang w:val="en-GB"/>
        </w:rPr>
        <w:t>impacted by</w:t>
      </w:r>
      <w:r w:rsidRPr="00DB6C99">
        <w:rPr>
          <w:rFonts w:ascii="Garamond" w:eastAsia="Calibri" w:hAnsi="Garamond" w:cs="Times New Roman"/>
          <w:sz w:val="24"/>
          <w:szCs w:val="24"/>
          <w:lang w:val="en-GB"/>
        </w:rPr>
        <w:t xml:space="preserve"> firm</w:t>
      </w:r>
      <w:r w:rsidR="00824D87"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level CG quality because firms with better CG mechanisms in place are more transparent (Byard</w:t>
      </w:r>
      <w:r w:rsidR="009A6BE7" w:rsidRPr="00DB6C99">
        <w:rPr>
          <w:rFonts w:ascii="Garamond" w:eastAsia="Calibri" w:hAnsi="Garamond" w:cs="Times New Roman"/>
          <w:sz w:val="24"/>
          <w:szCs w:val="24"/>
          <w:lang w:val="en-GB"/>
        </w:rPr>
        <w:t>, Li</w:t>
      </w:r>
      <w:r w:rsidRPr="00DB6C99">
        <w:rPr>
          <w:rFonts w:ascii="Garamond" w:eastAsia="Calibri" w:hAnsi="Garamond" w:cs="Times New Roman"/>
          <w:sz w:val="24"/>
          <w:szCs w:val="24"/>
          <w:lang w:val="en-GB"/>
        </w:rPr>
        <w:t xml:space="preserve"> </w:t>
      </w:r>
      <w:r w:rsidR="00824D87" w:rsidRPr="00DB6C99">
        <w:rPr>
          <w:rFonts w:ascii="Garamond" w:eastAsia="Calibri" w:hAnsi="Garamond" w:cs="Times New Roman"/>
          <w:sz w:val="24"/>
          <w:szCs w:val="24"/>
          <w:lang w:val="en-GB"/>
        </w:rPr>
        <w:t>and</w:t>
      </w:r>
      <w:r w:rsidRPr="00DB6C99">
        <w:rPr>
          <w:rFonts w:ascii="Garamond" w:eastAsia="Calibri" w:hAnsi="Garamond" w:cs="Times New Roman"/>
          <w:sz w:val="24"/>
          <w:szCs w:val="24"/>
          <w:lang w:val="en-GB"/>
        </w:rPr>
        <w:t xml:space="preserve"> Weintrop, 2006). We create two sub-samples</w:t>
      </w:r>
      <w:r w:rsidR="005E4E6A"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 xml:space="preserve"> high governance and low governance firms</w:t>
      </w:r>
      <w:r w:rsidR="005E4E6A"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 xml:space="preserve"> based on the industry-year average of the CG performance score from the A</w:t>
      </w:r>
      <w:r w:rsidR="00D62904" w:rsidRPr="00DB6C99">
        <w:rPr>
          <w:rFonts w:ascii="Garamond" w:eastAsia="Calibri" w:hAnsi="Garamond" w:cs="Times New Roman"/>
          <w:sz w:val="24"/>
          <w:szCs w:val="24"/>
          <w:lang w:val="en-GB"/>
        </w:rPr>
        <w:t>sset</w:t>
      </w:r>
      <w:r w:rsidRPr="00DB6C99">
        <w:rPr>
          <w:rFonts w:ascii="Garamond" w:eastAsia="Calibri" w:hAnsi="Garamond" w:cs="Times New Roman"/>
          <w:sz w:val="24"/>
          <w:szCs w:val="24"/>
          <w:lang w:val="en-GB"/>
        </w:rPr>
        <w:t xml:space="preserve">4 ESG database and re-estimate Equation (1). The sub-sample of high </w:t>
      </w:r>
      <w:r w:rsidR="00824D87" w:rsidRPr="00DB6C99">
        <w:rPr>
          <w:rFonts w:ascii="Garamond" w:eastAsia="Calibri" w:hAnsi="Garamond" w:cs="Times New Roman"/>
          <w:sz w:val="24"/>
          <w:szCs w:val="24"/>
          <w:lang w:val="en-GB"/>
        </w:rPr>
        <w:t xml:space="preserve">CG </w:t>
      </w:r>
      <w:r w:rsidRPr="00DB6C99">
        <w:rPr>
          <w:rFonts w:ascii="Garamond" w:eastAsia="Calibri" w:hAnsi="Garamond" w:cs="Times New Roman"/>
          <w:sz w:val="24"/>
          <w:szCs w:val="24"/>
          <w:lang w:val="en-GB"/>
        </w:rPr>
        <w:t>firms represents those firms in the top quartile based on the Asset4 CG performance score by industry-year average</w:t>
      </w:r>
      <w:r w:rsidR="00824D87"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 xml:space="preserve"> the sub-sample of low CG </w:t>
      </w:r>
      <w:r w:rsidR="00824D87" w:rsidRPr="00DB6C99">
        <w:rPr>
          <w:rFonts w:ascii="Garamond" w:eastAsia="Calibri" w:hAnsi="Garamond" w:cs="Times New Roman"/>
          <w:sz w:val="24"/>
          <w:szCs w:val="24"/>
          <w:lang w:val="en-GB"/>
        </w:rPr>
        <w:t xml:space="preserve">firms </w:t>
      </w:r>
      <w:r w:rsidRPr="00DB6C99">
        <w:rPr>
          <w:rFonts w:ascii="Garamond" w:eastAsia="Calibri" w:hAnsi="Garamond" w:cs="Times New Roman"/>
          <w:sz w:val="24"/>
          <w:szCs w:val="24"/>
          <w:lang w:val="en-GB"/>
        </w:rPr>
        <w:t xml:space="preserve">includes </w:t>
      </w:r>
      <w:r w:rsidR="00824D87" w:rsidRPr="00DB6C99">
        <w:rPr>
          <w:rFonts w:ascii="Garamond" w:eastAsia="Calibri" w:hAnsi="Garamond" w:cs="Times New Roman"/>
          <w:sz w:val="24"/>
          <w:szCs w:val="24"/>
          <w:lang w:val="en-GB"/>
        </w:rPr>
        <w:t xml:space="preserve">those </w:t>
      </w:r>
      <w:r w:rsidRPr="00DB6C99">
        <w:rPr>
          <w:rFonts w:ascii="Garamond" w:eastAsia="Calibri" w:hAnsi="Garamond" w:cs="Times New Roman"/>
          <w:sz w:val="24"/>
          <w:szCs w:val="24"/>
          <w:lang w:val="en-GB"/>
        </w:rPr>
        <w:t xml:space="preserve">in the bottom quartile based on the Asset4 CG performance score by industry-year average. As reported in Table 8, female directors appear to play a prominent and significant role in mitigating CSR decoupling only in a sub-sample of firms with low CG quality, hence complementing the findings of Adams and Ferreira (2009). </w:t>
      </w:r>
    </w:p>
    <w:p w14:paraId="533ECC31" w14:textId="77777777" w:rsidR="004A1788" w:rsidRPr="00DB6C99" w:rsidRDefault="004A1788" w:rsidP="004A1788">
      <w:pPr>
        <w:spacing w:line="360" w:lineRule="auto"/>
        <w:jc w:val="center"/>
        <w:rPr>
          <w:rFonts w:ascii="Garamond" w:eastAsia="Calibri" w:hAnsi="Garamond" w:cs="Times New Roman"/>
          <w:b/>
          <w:bCs/>
          <w:sz w:val="24"/>
          <w:szCs w:val="24"/>
          <w:lang w:val="en-GB"/>
        </w:rPr>
      </w:pPr>
      <w:r w:rsidRPr="00DB6C99">
        <w:rPr>
          <w:rFonts w:ascii="Garamond" w:eastAsia="Calibri" w:hAnsi="Garamond" w:cs="Times New Roman"/>
          <w:b/>
          <w:bCs/>
          <w:sz w:val="24"/>
          <w:szCs w:val="24"/>
          <w:lang w:val="en-GB"/>
        </w:rPr>
        <w:t>[Insert Table 8 here]</w:t>
      </w:r>
    </w:p>
    <w:p w14:paraId="2B2C5F1A" w14:textId="77777777" w:rsidR="004A1788" w:rsidRPr="00DB6C99" w:rsidRDefault="004A1788" w:rsidP="004A1788">
      <w:pPr>
        <w:spacing w:line="360" w:lineRule="auto"/>
        <w:ind w:firstLine="720"/>
        <w:jc w:val="both"/>
        <w:rPr>
          <w:rFonts w:ascii="Garamond" w:eastAsia="Calibri" w:hAnsi="Garamond" w:cs="Times New Roman"/>
          <w:b/>
          <w:bCs/>
          <w:i/>
          <w:iCs/>
          <w:sz w:val="24"/>
          <w:szCs w:val="24"/>
          <w:lang w:val="en-GB"/>
        </w:rPr>
      </w:pPr>
      <w:r w:rsidRPr="00DB6C99">
        <w:rPr>
          <w:rFonts w:ascii="Garamond" w:eastAsia="Calibri" w:hAnsi="Garamond" w:cs="Times New Roman"/>
          <w:b/>
          <w:bCs/>
          <w:i/>
          <w:iCs/>
          <w:sz w:val="24"/>
          <w:szCs w:val="24"/>
          <w:lang w:val="en-GB"/>
        </w:rPr>
        <w:t>Robustness analysis</w:t>
      </w:r>
    </w:p>
    <w:p w14:paraId="6049201E" w14:textId="77777777" w:rsidR="004A1788" w:rsidRPr="00DB6C99" w:rsidRDefault="004A1788" w:rsidP="004A1788">
      <w:pPr>
        <w:spacing w:line="360" w:lineRule="auto"/>
        <w:ind w:firstLine="720"/>
        <w:jc w:val="both"/>
        <w:rPr>
          <w:rFonts w:ascii="Garamond" w:eastAsia="Calibri" w:hAnsi="Garamond" w:cs="Times New Roman"/>
          <w:i/>
          <w:iCs/>
          <w:sz w:val="24"/>
          <w:szCs w:val="24"/>
          <w:lang w:val="en-GB"/>
        </w:rPr>
      </w:pPr>
      <w:r w:rsidRPr="00DB6C99">
        <w:rPr>
          <w:rFonts w:ascii="Garamond" w:eastAsia="Calibri" w:hAnsi="Garamond" w:cs="Times New Roman"/>
          <w:i/>
          <w:iCs/>
          <w:sz w:val="24"/>
          <w:szCs w:val="24"/>
          <w:lang w:val="en-GB"/>
        </w:rPr>
        <w:t>Alternate measure of CSR decoupling</w:t>
      </w:r>
    </w:p>
    <w:p w14:paraId="7061F729" w14:textId="0C6D6532" w:rsidR="004A1788" w:rsidRPr="00DB6C99" w:rsidRDefault="005E4E6A" w:rsidP="004A1788">
      <w:pPr>
        <w:spacing w:line="360" w:lineRule="auto"/>
        <w:ind w:firstLine="720"/>
        <w:jc w:val="both"/>
        <w:rPr>
          <w:rFonts w:ascii="Garamond" w:eastAsia="Calibri" w:hAnsi="Garamond" w:cs="Times New Roman"/>
          <w:sz w:val="24"/>
          <w:szCs w:val="24"/>
          <w:lang w:val="en-GB"/>
        </w:rPr>
      </w:pPr>
      <w:r w:rsidRPr="00DB6C99">
        <w:rPr>
          <w:rFonts w:ascii="Garamond" w:eastAsia="Calibri" w:hAnsi="Garamond" w:cs="Times New Roman"/>
          <w:sz w:val="24"/>
          <w:szCs w:val="24"/>
          <w:lang w:val="en-GB"/>
        </w:rPr>
        <w:t>O</w:t>
      </w:r>
      <w:r w:rsidR="004A1788" w:rsidRPr="00DB6C99">
        <w:rPr>
          <w:rFonts w:ascii="Garamond" w:eastAsia="Calibri" w:hAnsi="Garamond" w:cs="Times New Roman"/>
          <w:sz w:val="24"/>
          <w:szCs w:val="24"/>
          <w:lang w:val="en-GB"/>
        </w:rPr>
        <w:t>ur measure of CSR decoupling is conceptually strong</w:t>
      </w:r>
      <w:r w:rsidRPr="00DB6C99">
        <w:rPr>
          <w:rFonts w:ascii="Garamond" w:eastAsia="Calibri" w:hAnsi="Garamond" w:cs="Times New Roman"/>
          <w:sz w:val="24"/>
          <w:szCs w:val="24"/>
          <w:lang w:val="en-GB"/>
        </w:rPr>
        <w:t>; however</w:t>
      </w:r>
      <w:r w:rsidR="004A1788" w:rsidRPr="00DB6C99">
        <w:rPr>
          <w:rFonts w:ascii="Garamond" w:eastAsia="Calibri" w:hAnsi="Garamond" w:cs="Times New Roman"/>
          <w:sz w:val="24"/>
          <w:szCs w:val="24"/>
          <w:lang w:val="en-GB"/>
        </w:rPr>
        <w:t xml:space="preserve">, some recent studies (e.g., </w:t>
      </w:r>
      <w:r w:rsidR="00824D87" w:rsidRPr="00DB6C99">
        <w:rPr>
          <w:rFonts w:ascii="Garamond" w:eastAsia="Calibri" w:hAnsi="Garamond" w:cs="Times New Roman"/>
          <w:sz w:val="24"/>
          <w:szCs w:val="24"/>
          <w:lang w:val="en-GB"/>
        </w:rPr>
        <w:t>Garc</w:t>
      </w:r>
      <w:r w:rsidR="005A2DF4" w:rsidRPr="00DB6C99">
        <w:rPr>
          <w:rFonts w:ascii="Garamond" w:eastAsia="Calibri" w:hAnsi="Garamond" w:cs="Times New Roman"/>
          <w:sz w:val="24"/>
          <w:szCs w:val="24"/>
          <w:lang w:val="en-GB"/>
        </w:rPr>
        <w:t>í</w:t>
      </w:r>
      <w:r w:rsidR="00824D87" w:rsidRPr="00DB6C99">
        <w:rPr>
          <w:rFonts w:ascii="Garamond" w:eastAsia="Calibri" w:hAnsi="Garamond" w:cs="Times New Roman"/>
          <w:sz w:val="24"/>
          <w:szCs w:val="24"/>
          <w:lang w:val="en-GB"/>
        </w:rPr>
        <w:t xml:space="preserve">a-Sánchez </w:t>
      </w:r>
      <w:r w:rsidR="00824D87" w:rsidRPr="00DB6C99">
        <w:rPr>
          <w:rFonts w:ascii="Garamond" w:eastAsia="Calibri" w:hAnsi="Garamond" w:cs="Times New Roman"/>
          <w:i/>
          <w:sz w:val="24"/>
          <w:szCs w:val="24"/>
          <w:lang w:val="en-GB"/>
        </w:rPr>
        <w:t>et al.</w:t>
      </w:r>
      <w:r w:rsidR="00824D87" w:rsidRPr="00DB6C99">
        <w:rPr>
          <w:rFonts w:ascii="Garamond" w:eastAsia="Calibri" w:hAnsi="Garamond" w:cs="Times New Roman"/>
          <w:sz w:val="24"/>
          <w:szCs w:val="24"/>
          <w:lang w:val="en-GB"/>
        </w:rPr>
        <w:t xml:space="preserve">, 2020; </w:t>
      </w:r>
      <w:r w:rsidR="004A1788" w:rsidRPr="00DB6C99">
        <w:rPr>
          <w:rFonts w:ascii="Garamond" w:eastAsia="Calibri" w:hAnsi="Garamond" w:cs="Times New Roman"/>
          <w:sz w:val="24"/>
          <w:szCs w:val="24"/>
          <w:lang w:val="en-GB"/>
        </w:rPr>
        <w:t xml:space="preserve">Sauerwald </w:t>
      </w:r>
      <w:r w:rsidR="00824D87" w:rsidRPr="00DB6C99">
        <w:rPr>
          <w:rFonts w:ascii="Garamond" w:eastAsia="Calibri" w:hAnsi="Garamond" w:cs="Times New Roman"/>
          <w:sz w:val="24"/>
          <w:szCs w:val="24"/>
          <w:lang w:val="en-GB"/>
        </w:rPr>
        <w:t>and</w:t>
      </w:r>
      <w:r w:rsidR="004A1788" w:rsidRPr="00DB6C99">
        <w:rPr>
          <w:rFonts w:ascii="Garamond" w:eastAsia="Calibri" w:hAnsi="Garamond" w:cs="Times New Roman"/>
          <w:sz w:val="24"/>
          <w:szCs w:val="24"/>
          <w:lang w:val="en-GB"/>
        </w:rPr>
        <w:t xml:space="preserve"> Su, 2019; Tashman</w:t>
      </w:r>
      <w:r w:rsidR="00815C32" w:rsidRPr="00DB6C99">
        <w:rPr>
          <w:rFonts w:ascii="Garamond" w:eastAsia="Calibri" w:hAnsi="Garamond" w:cs="Times New Roman"/>
          <w:sz w:val="24"/>
          <w:szCs w:val="24"/>
          <w:lang w:val="en-GB"/>
        </w:rPr>
        <w:t>, Marano and Kostova</w:t>
      </w:r>
      <w:r w:rsidR="004A1788" w:rsidRPr="00DB6C99">
        <w:rPr>
          <w:rFonts w:ascii="Garamond" w:eastAsia="Calibri" w:hAnsi="Garamond" w:cs="Times New Roman"/>
          <w:sz w:val="24"/>
          <w:szCs w:val="24"/>
          <w:lang w:val="en-GB"/>
        </w:rPr>
        <w:t>, 2019) operationalize CSR decoupling as the difference between CSR reporting and performance. To ensure the robustness of our main findings, we calculate CSR decoupling (</w:t>
      </w:r>
      <w:r w:rsidR="004A1788" w:rsidRPr="00DB6C99">
        <w:rPr>
          <w:rFonts w:ascii="Garamond" w:eastAsia="Calibri" w:hAnsi="Garamond" w:cs="Times New Roman"/>
          <w:i/>
          <w:iCs/>
          <w:sz w:val="24"/>
          <w:szCs w:val="24"/>
          <w:lang w:val="en-GB"/>
        </w:rPr>
        <w:t>GAP1</w:t>
      </w:r>
      <w:r w:rsidR="004A1788" w:rsidRPr="00DB6C99">
        <w:rPr>
          <w:rFonts w:ascii="Garamond" w:eastAsia="Calibri" w:hAnsi="Garamond" w:cs="Times New Roman"/>
          <w:sz w:val="24"/>
          <w:szCs w:val="24"/>
          <w:lang w:val="en-GB"/>
        </w:rPr>
        <w:t>) as the difference between the current CSR disclosure score from Bloomberg and the lagged CSR performance score from Asset4 scaled by the logged value of total assets.</w:t>
      </w:r>
      <w:r w:rsidR="004A1788" w:rsidRPr="00DB6C99">
        <w:rPr>
          <w:rFonts w:ascii="Garamond" w:eastAsia="Calibri" w:hAnsi="Garamond" w:cs="Times New Roman"/>
          <w:sz w:val="24"/>
          <w:szCs w:val="24"/>
          <w:vertAlign w:val="superscript"/>
          <w:lang w:val="en-GB"/>
        </w:rPr>
        <w:footnoteReference w:id="6"/>
      </w:r>
      <w:r w:rsidR="004A1788" w:rsidRPr="00DB6C99">
        <w:rPr>
          <w:rFonts w:ascii="Garamond" w:eastAsia="Calibri" w:hAnsi="Garamond" w:cs="Times New Roman"/>
          <w:sz w:val="24"/>
          <w:szCs w:val="24"/>
          <w:lang w:val="en-GB"/>
        </w:rPr>
        <w:t xml:space="preserve"> This allows us to capture the difference between the actual performance score of a firm on CSR and </w:t>
      </w:r>
      <w:r w:rsidR="00824D87" w:rsidRPr="00DB6C99">
        <w:rPr>
          <w:rFonts w:ascii="Garamond" w:eastAsia="Calibri" w:hAnsi="Garamond" w:cs="Times New Roman"/>
          <w:sz w:val="24"/>
          <w:szCs w:val="24"/>
          <w:lang w:val="en-GB"/>
        </w:rPr>
        <w:t xml:space="preserve">its </w:t>
      </w:r>
      <w:r w:rsidR="004A1788" w:rsidRPr="00DB6C99">
        <w:rPr>
          <w:rFonts w:ascii="Garamond" w:eastAsia="Calibri" w:hAnsi="Garamond" w:cs="Times New Roman"/>
          <w:sz w:val="24"/>
          <w:szCs w:val="24"/>
          <w:lang w:val="en-GB"/>
        </w:rPr>
        <w:t>corresponding CSR disclosures. Using this measure, our reported results in Table 9 are qualitatively similar to those reported under the main analysis in Table 4, suggesting that our main findings are robust with the use of an alternate measure of CSR decoupling.</w:t>
      </w:r>
    </w:p>
    <w:p w14:paraId="7953DF0B" w14:textId="77777777" w:rsidR="004A1788" w:rsidRPr="00DB6C99" w:rsidRDefault="004A1788" w:rsidP="004A1788">
      <w:pPr>
        <w:spacing w:line="360" w:lineRule="auto"/>
        <w:jc w:val="center"/>
        <w:rPr>
          <w:rFonts w:ascii="Garamond" w:eastAsia="Calibri" w:hAnsi="Garamond" w:cs="Times New Roman"/>
          <w:b/>
          <w:bCs/>
          <w:sz w:val="24"/>
          <w:szCs w:val="24"/>
          <w:lang w:val="en-GB"/>
        </w:rPr>
      </w:pPr>
      <w:r w:rsidRPr="00DB6C99">
        <w:rPr>
          <w:rFonts w:ascii="Garamond" w:eastAsia="Calibri" w:hAnsi="Garamond" w:cs="Times New Roman"/>
          <w:b/>
          <w:bCs/>
          <w:sz w:val="24"/>
          <w:szCs w:val="24"/>
          <w:lang w:val="en-GB"/>
        </w:rPr>
        <w:t>[Insert Table 9 here]</w:t>
      </w:r>
    </w:p>
    <w:p w14:paraId="21A0B2A4" w14:textId="5BCFE363" w:rsidR="004A1788" w:rsidRPr="00DB6C99" w:rsidRDefault="004A1788" w:rsidP="004A1788">
      <w:pPr>
        <w:spacing w:line="360" w:lineRule="auto"/>
        <w:ind w:firstLine="720"/>
        <w:jc w:val="both"/>
        <w:rPr>
          <w:rFonts w:ascii="Garamond" w:eastAsia="Calibri" w:hAnsi="Garamond" w:cs="Times New Roman"/>
          <w:i/>
          <w:iCs/>
          <w:sz w:val="24"/>
          <w:szCs w:val="24"/>
          <w:lang w:val="en-GB"/>
        </w:rPr>
      </w:pPr>
      <w:r w:rsidRPr="00DB6C99">
        <w:rPr>
          <w:rFonts w:ascii="Garamond" w:eastAsia="Calibri" w:hAnsi="Garamond" w:cs="Times New Roman"/>
          <w:i/>
          <w:iCs/>
          <w:sz w:val="24"/>
          <w:szCs w:val="24"/>
          <w:lang w:val="en-GB"/>
        </w:rPr>
        <w:t xml:space="preserve">Alternate measures of </w:t>
      </w:r>
      <w:r w:rsidR="00577A03" w:rsidRPr="00DB6C99">
        <w:rPr>
          <w:rFonts w:ascii="Garamond" w:eastAsia="Calibri" w:hAnsi="Garamond" w:cs="Times New Roman"/>
          <w:i/>
          <w:iCs/>
          <w:sz w:val="24"/>
          <w:szCs w:val="24"/>
          <w:lang w:val="en-GB"/>
        </w:rPr>
        <w:t>BGD</w:t>
      </w:r>
    </w:p>
    <w:p w14:paraId="2CF20AFB" w14:textId="3DED09D5" w:rsidR="004A1788" w:rsidRPr="00DB6C99" w:rsidRDefault="004A1788" w:rsidP="004A1788">
      <w:pPr>
        <w:spacing w:line="360" w:lineRule="auto"/>
        <w:ind w:firstLine="720"/>
        <w:jc w:val="both"/>
        <w:rPr>
          <w:rFonts w:ascii="Garamond" w:eastAsia="Calibri" w:hAnsi="Garamond" w:cs="Times New Roman"/>
          <w:sz w:val="24"/>
          <w:szCs w:val="24"/>
          <w:lang w:val="en-GB"/>
        </w:rPr>
      </w:pPr>
      <w:r w:rsidRPr="00DB6C99">
        <w:rPr>
          <w:rFonts w:ascii="Garamond" w:eastAsia="Calibri" w:hAnsi="Garamond" w:cs="Times New Roman"/>
          <w:sz w:val="24"/>
          <w:szCs w:val="24"/>
          <w:lang w:val="en-GB"/>
        </w:rPr>
        <w:t xml:space="preserve">We also ensure the robustness of our main findings against different measures of </w:t>
      </w:r>
      <w:r w:rsidR="007D71F7" w:rsidRPr="00DB6C99">
        <w:rPr>
          <w:rFonts w:ascii="Garamond" w:eastAsia="Calibri" w:hAnsi="Garamond" w:cs="Times New Roman"/>
          <w:sz w:val="24"/>
          <w:szCs w:val="24"/>
          <w:lang w:val="en-GB"/>
        </w:rPr>
        <w:t>BGD</w:t>
      </w:r>
      <w:r w:rsidR="00824D87"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 xml:space="preserve"> </w:t>
      </w:r>
      <w:r w:rsidR="00824D87" w:rsidRPr="00DB6C99">
        <w:rPr>
          <w:rFonts w:ascii="Garamond" w:eastAsia="Calibri" w:hAnsi="Garamond" w:cs="Times New Roman"/>
          <w:sz w:val="24"/>
          <w:szCs w:val="24"/>
          <w:lang w:val="en-GB"/>
        </w:rPr>
        <w:t>W</w:t>
      </w:r>
      <w:r w:rsidRPr="00DB6C99">
        <w:rPr>
          <w:rFonts w:ascii="Garamond" w:eastAsia="Calibri" w:hAnsi="Garamond" w:cs="Times New Roman"/>
          <w:sz w:val="24"/>
          <w:szCs w:val="24"/>
          <w:lang w:val="en-GB"/>
        </w:rPr>
        <w:t>e replace our main proxy</w:t>
      </w:r>
      <w:r w:rsidR="00824D87"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 xml:space="preserve"> </w:t>
      </w:r>
      <w:r w:rsidRPr="00DB6C99">
        <w:rPr>
          <w:rFonts w:ascii="Garamond" w:eastAsia="Calibri" w:hAnsi="Garamond" w:cs="Times New Roman"/>
          <w:i/>
          <w:iCs/>
          <w:sz w:val="24"/>
          <w:szCs w:val="24"/>
          <w:lang w:val="en-GB"/>
        </w:rPr>
        <w:t>FPRO</w:t>
      </w:r>
      <w:r w:rsidR="00824D87"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 xml:space="preserve"> with alternate measures of BGD</w:t>
      </w:r>
      <w:r w:rsidR="00824D87"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 xml:space="preserve"> namely the blau (</w:t>
      </w:r>
      <w:r w:rsidRPr="00DB6C99">
        <w:rPr>
          <w:rFonts w:ascii="Garamond" w:eastAsia="Calibri" w:hAnsi="Garamond" w:cs="Times New Roman"/>
          <w:i/>
          <w:iCs/>
          <w:sz w:val="24"/>
          <w:szCs w:val="24"/>
          <w:lang w:val="en-GB"/>
        </w:rPr>
        <w:t>BLAU</w:t>
      </w:r>
      <w:r w:rsidRPr="00DB6C99">
        <w:rPr>
          <w:rFonts w:ascii="Garamond" w:eastAsia="Calibri" w:hAnsi="Garamond" w:cs="Times New Roman"/>
          <w:sz w:val="24"/>
          <w:szCs w:val="24"/>
          <w:lang w:val="en-GB"/>
        </w:rPr>
        <w:t xml:space="preserve">) and </w:t>
      </w:r>
      <w:r w:rsidRPr="00DB6C99">
        <w:rPr>
          <w:rFonts w:ascii="Garamond" w:eastAsia="Calibri" w:hAnsi="Garamond" w:cs="Times New Roman"/>
          <w:sz w:val="24"/>
          <w:szCs w:val="24"/>
          <w:lang w:val="en-GB"/>
        </w:rPr>
        <w:lastRenderedPageBreak/>
        <w:t>shannon (</w:t>
      </w:r>
      <w:r w:rsidRPr="00DB6C99">
        <w:rPr>
          <w:rFonts w:ascii="Garamond" w:eastAsia="Calibri" w:hAnsi="Garamond" w:cs="Times New Roman"/>
          <w:i/>
          <w:iCs/>
          <w:sz w:val="24"/>
          <w:szCs w:val="24"/>
          <w:lang w:val="en-GB"/>
        </w:rPr>
        <w:t>SHANNON</w:t>
      </w:r>
      <w:r w:rsidRPr="00DB6C99">
        <w:rPr>
          <w:rFonts w:ascii="Garamond" w:eastAsia="Calibri" w:hAnsi="Garamond" w:cs="Times New Roman"/>
          <w:sz w:val="24"/>
          <w:szCs w:val="24"/>
          <w:lang w:val="en-GB"/>
        </w:rPr>
        <w:t>) diversity indices</w:t>
      </w:r>
      <w:r w:rsidR="00774506"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 xml:space="preserve"> as defined in Table 1. The results reported in Table 10</w:t>
      </w:r>
      <w:r w:rsidR="00824D87" w:rsidRPr="00DB6C99">
        <w:rPr>
          <w:rFonts w:ascii="Garamond" w:eastAsia="Calibri" w:hAnsi="Garamond" w:cs="Times New Roman"/>
          <w:sz w:val="24"/>
          <w:szCs w:val="24"/>
          <w:lang w:val="en-GB"/>
        </w:rPr>
        <w:t xml:space="preserve"> </w:t>
      </w:r>
      <w:r w:rsidRPr="00DB6C99">
        <w:rPr>
          <w:rFonts w:ascii="Garamond" w:eastAsia="Calibri" w:hAnsi="Garamond" w:cs="Times New Roman"/>
          <w:sz w:val="24"/>
          <w:szCs w:val="24"/>
          <w:lang w:val="en-GB"/>
        </w:rPr>
        <w:t xml:space="preserve">show that </w:t>
      </w:r>
      <w:r w:rsidR="00824D87" w:rsidRPr="00DB6C99">
        <w:rPr>
          <w:rFonts w:ascii="Garamond" w:eastAsia="Calibri" w:hAnsi="Garamond" w:cs="Times New Roman"/>
          <w:sz w:val="24"/>
          <w:szCs w:val="24"/>
          <w:lang w:val="en-GB"/>
        </w:rPr>
        <w:t xml:space="preserve">these </w:t>
      </w:r>
      <w:r w:rsidRPr="00DB6C99">
        <w:rPr>
          <w:rFonts w:ascii="Garamond" w:eastAsia="Calibri" w:hAnsi="Garamond" w:cs="Times New Roman"/>
          <w:sz w:val="24"/>
          <w:szCs w:val="24"/>
          <w:lang w:val="en-GB"/>
        </w:rPr>
        <w:t xml:space="preserve">alternate measures of BGD confirm our main findings reported </w:t>
      </w:r>
      <w:r w:rsidR="005E4E6A" w:rsidRPr="00DB6C99">
        <w:rPr>
          <w:rFonts w:ascii="Garamond" w:eastAsia="Calibri" w:hAnsi="Garamond" w:cs="Times New Roman"/>
          <w:sz w:val="24"/>
          <w:szCs w:val="24"/>
          <w:lang w:val="en-GB"/>
        </w:rPr>
        <w:t xml:space="preserve">in </w:t>
      </w:r>
      <w:r w:rsidRPr="00DB6C99">
        <w:rPr>
          <w:rFonts w:ascii="Garamond" w:eastAsia="Calibri" w:hAnsi="Garamond" w:cs="Times New Roman"/>
          <w:sz w:val="24"/>
          <w:szCs w:val="24"/>
          <w:lang w:val="en-GB"/>
        </w:rPr>
        <w:t>Table 4.</w:t>
      </w:r>
      <w:r w:rsidRPr="00DB6C99">
        <w:rPr>
          <w:rFonts w:ascii="Garamond" w:eastAsia="Calibri" w:hAnsi="Garamond" w:cs="Times New Roman"/>
          <w:sz w:val="24"/>
          <w:szCs w:val="24"/>
          <w:vertAlign w:val="superscript"/>
          <w:lang w:val="en-GB"/>
        </w:rPr>
        <w:footnoteReference w:id="7"/>
      </w:r>
    </w:p>
    <w:p w14:paraId="627902FB" w14:textId="406A5424" w:rsidR="00060F13" w:rsidRPr="00DB6C99" w:rsidRDefault="004A1788" w:rsidP="004A1E6A">
      <w:pPr>
        <w:spacing w:line="360" w:lineRule="auto"/>
        <w:jc w:val="center"/>
        <w:rPr>
          <w:rFonts w:ascii="Garamond" w:eastAsia="Calibri" w:hAnsi="Garamond" w:cs="Times New Roman"/>
          <w:b/>
          <w:bCs/>
          <w:sz w:val="24"/>
          <w:szCs w:val="24"/>
          <w:lang w:val="en-GB"/>
        </w:rPr>
      </w:pPr>
      <w:r w:rsidRPr="00DB6C99">
        <w:rPr>
          <w:rFonts w:ascii="Garamond" w:eastAsia="Calibri" w:hAnsi="Garamond" w:cs="Times New Roman"/>
          <w:b/>
          <w:bCs/>
          <w:sz w:val="24"/>
          <w:szCs w:val="24"/>
          <w:lang w:val="en-GB"/>
        </w:rPr>
        <w:t>[Insert Table 10 here]</w:t>
      </w:r>
    </w:p>
    <w:p w14:paraId="695F4509" w14:textId="6E145E4B" w:rsidR="004A1788" w:rsidRPr="00DB6C99" w:rsidRDefault="004A1788" w:rsidP="004A1788">
      <w:pPr>
        <w:spacing w:line="360" w:lineRule="auto"/>
        <w:ind w:firstLine="720"/>
        <w:jc w:val="both"/>
        <w:rPr>
          <w:rFonts w:ascii="Garamond" w:eastAsia="Calibri" w:hAnsi="Garamond" w:cs="Times New Roman"/>
          <w:b/>
          <w:bCs/>
          <w:i/>
          <w:iCs/>
          <w:sz w:val="24"/>
          <w:szCs w:val="24"/>
          <w:lang w:val="en-GB"/>
        </w:rPr>
      </w:pPr>
      <w:r w:rsidRPr="00DB6C99">
        <w:rPr>
          <w:rFonts w:ascii="Garamond" w:eastAsia="Calibri" w:hAnsi="Garamond" w:cs="Times New Roman"/>
          <w:b/>
          <w:bCs/>
          <w:i/>
          <w:iCs/>
          <w:sz w:val="24"/>
          <w:szCs w:val="24"/>
          <w:lang w:val="en-GB"/>
        </w:rPr>
        <w:t>Endogeneity test</w:t>
      </w:r>
      <w:r w:rsidR="00993764" w:rsidRPr="00DB6C99">
        <w:rPr>
          <w:rFonts w:ascii="Garamond" w:eastAsia="Calibri" w:hAnsi="Garamond" w:cs="Times New Roman"/>
          <w:b/>
          <w:bCs/>
          <w:i/>
          <w:iCs/>
          <w:sz w:val="24"/>
          <w:szCs w:val="24"/>
          <w:lang w:val="en-GB"/>
        </w:rPr>
        <w:t>s</w:t>
      </w:r>
    </w:p>
    <w:p w14:paraId="06E84709" w14:textId="14619D85" w:rsidR="004A1788" w:rsidRPr="00DB6C99" w:rsidRDefault="004A1788" w:rsidP="004A1788">
      <w:pPr>
        <w:spacing w:line="360" w:lineRule="auto"/>
        <w:ind w:firstLine="720"/>
        <w:jc w:val="both"/>
        <w:rPr>
          <w:rFonts w:ascii="Garamond" w:eastAsia="Calibri" w:hAnsi="Garamond" w:cs="Times New Roman"/>
          <w:sz w:val="24"/>
          <w:szCs w:val="24"/>
          <w:lang w:val="en-GB"/>
        </w:rPr>
      </w:pPr>
      <w:r w:rsidRPr="00DB6C99">
        <w:rPr>
          <w:rFonts w:ascii="Garamond" w:eastAsia="Calibri" w:hAnsi="Garamond" w:cs="Times New Roman"/>
          <w:sz w:val="24"/>
          <w:szCs w:val="24"/>
          <w:lang w:val="en-GB"/>
        </w:rPr>
        <w:t xml:space="preserve">Although endogeneity </w:t>
      </w:r>
      <w:r w:rsidR="000B6A99" w:rsidRPr="00DB6C99">
        <w:rPr>
          <w:rFonts w:ascii="Garamond" w:eastAsia="Calibri" w:hAnsi="Garamond" w:cs="Times New Roman"/>
          <w:sz w:val="24"/>
          <w:szCs w:val="24"/>
          <w:lang w:val="en-GB"/>
        </w:rPr>
        <w:t>i</w:t>
      </w:r>
      <w:r w:rsidRPr="00DB6C99">
        <w:rPr>
          <w:rFonts w:ascii="Garamond" w:eastAsia="Calibri" w:hAnsi="Garamond" w:cs="Times New Roman"/>
          <w:sz w:val="24"/>
          <w:szCs w:val="24"/>
          <w:lang w:val="en-GB"/>
        </w:rPr>
        <w:t xml:space="preserve">s addressed </w:t>
      </w:r>
      <w:r w:rsidR="000B6A99" w:rsidRPr="00DB6C99">
        <w:rPr>
          <w:rFonts w:ascii="Garamond" w:eastAsia="Calibri" w:hAnsi="Garamond" w:cs="Times New Roman"/>
          <w:sz w:val="24"/>
          <w:szCs w:val="24"/>
          <w:lang w:val="en-GB"/>
        </w:rPr>
        <w:t>i</w:t>
      </w:r>
      <w:r w:rsidRPr="00DB6C99">
        <w:rPr>
          <w:rFonts w:ascii="Garamond" w:eastAsia="Calibri" w:hAnsi="Garamond" w:cs="Times New Roman"/>
          <w:sz w:val="24"/>
          <w:szCs w:val="24"/>
          <w:lang w:val="en-GB"/>
        </w:rPr>
        <w:t xml:space="preserve">n the main analysis by using multiple econometric specifications (i.e., </w:t>
      </w:r>
      <w:r w:rsidR="00824D87" w:rsidRPr="00DB6C99">
        <w:rPr>
          <w:rFonts w:ascii="Garamond" w:eastAsia="Calibri" w:hAnsi="Garamond" w:cs="Times New Roman"/>
          <w:sz w:val="24"/>
          <w:szCs w:val="24"/>
          <w:lang w:val="en-GB"/>
        </w:rPr>
        <w:t xml:space="preserve">the </w:t>
      </w:r>
      <w:r w:rsidRPr="00DB6C99">
        <w:rPr>
          <w:rFonts w:ascii="Garamond" w:eastAsia="Calibri" w:hAnsi="Garamond" w:cs="Times New Roman"/>
          <w:sz w:val="24"/>
          <w:szCs w:val="24"/>
          <w:lang w:val="en-GB"/>
        </w:rPr>
        <w:t xml:space="preserve">FE and lagged board approach), our results may still be subject to self-selection bias, sample-selection bias or unobservable heterogeneity. Consistent with the literature (e.g., </w:t>
      </w:r>
      <w:r w:rsidR="00824D87" w:rsidRPr="00DB6C99">
        <w:rPr>
          <w:rFonts w:ascii="Garamond" w:eastAsia="Calibri" w:hAnsi="Garamond" w:cs="Times New Roman"/>
          <w:sz w:val="24"/>
          <w:szCs w:val="24"/>
          <w:lang w:val="en-GB"/>
        </w:rPr>
        <w:t xml:space="preserve">Atif </w:t>
      </w:r>
      <w:r w:rsidR="00824D87" w:rsidRPr="00DB6C99">
        <w:rPr>
          <w:rFonts w:ascii="Garamond" w:eastAsia="Calibri" w:hAnsi="Garamond" w:cs="Times New Roman"/>
          <w:i/>
          <w:sz w:val="24"/>
          <w:szCs w:val="24"/>
          <w:lang w:val="en-GB"/>
        </w:rPr>
        <w:t>et al.</w:t>
      </w:r>
      <w:r w:rsidR="00824D87" w:rsidRPr="00DB6C99">
        <w:rPr>
          <w:rFonts w:ascii="Garamond" w:eastAsia="Calibri" w:hAnsi="Garamond" w:cs="Times New Roman"/>
          <w:sz w:val="24"/>
          <w:szCs w:val="24"/>
          <w:lang w:val="en-GB"/>
        </w:rPr>
        <w:t xml:space="preserve">, 2020; </w:t>
      </w:r>
      <w:r w:rsidRPr="00DB6C99">
        <w:rPr>
          <w:rFonts w:ascii="Garamond" w:eastAsia="Calibri" w:hAnsi="Garamond" w:cs="Times New Roman"/>
          <w:sz w:val="24"/>
          <w:szCs w:val="24"/>
          <w:lang w:val="en-GB"/>
        </w:rPr>
        <w:t xml:space="preserve">Gull </w:t>
      </w:r>
      <w:r w:rsidRPr="00DB6C99">
        <w:rPr>
          <w:rFonts w:ascii="Garamond" w:eastAsia="Calibri" w:hAnsi="Garamond" w:cs="Times New Roman"/>
          <w:i/>
          <w:iCs/>
          <w:sz w:val="24"/>
          <w:szCs w:val="24"/>
          <w:lang w:val="en-GB"/>
        </w:rPr>
        <w:t>et al</w:t>
      </w:r>
      <w:r w:rsidRPr="00DB6C99">
        <w:rPr>
          <w:rFonts w:ascii="Garamond" w:eastAsia="Calibri" w:hAnsi="Garamond" w:cs="Times New Roman"/>
          <w:sz w:val="24"/>
          <w:szCs w:val="24"/>
          <w:lang w:val="en-GB"/>
        </w:rPr>
        <w:t xml:space="preserve">., 2018; Liu, 2018; </w:t>
      </w:r>
      <w:r w:rsidR="00824D87" w:rsidRPr="00DB6C99">
        <w:rPr>
          <w:rFonts w:ascii="Garamond" w:eastAsia="Calibri" w:hAnsi="Garamond" w:cs="Times New Roman"/>
          <w:sz w:val="24"/>
          <w:szCs w:val="24"/>
          <w:lang w:val="en-GB"/>
        </w:rPr>
        <w:t>Nekhili</w:t>
      </w:r>
      <w:r w:rsidR="008C5670" w:rsidRPr="00DB6C99">
        <w:rPr>
          <w:rFonts w:ascii="Garamond" w:eastAsia="Calibri" w:hAnsi="Garamond" w:cs="Times New Roman"/>
          <w:sz w:val="24"/>
          <w:szCs w:val="24"/>
          <w:lang w:val="en-GB"/>
        </w:rPr>
        <w:t>, Bennouri and Nagati</w:t>
      </w:r>
      <w:r w:rsidR="00824D87" w:rsidRPr="00DB6C99">
        <w:rPr>
          <w:rFonts w:ascii="Garamond" w:eastAsia="Calibri" w:hAnsi="Garamond" w:cs="Times New Roman"/>
          <w:sz w:val="24"/>
          <w:szCs w:val="24"/>
          <w:lang w:val="en-GB"/>
        </w:rPr>
        <w:t>, 202</w:t>
      </w:r>
      <w:r w:rsidR="0060668C" w:rsidRPr="00DB6C99">
        <w:rPr>
          <w:rFonts w:ascii="Garamond" w:eastAsia="Calibri" w:hAnsi="Garamond" w:cs="Times New Roman"/>
          <w:sz w:val="24"/>
          <w:szCs w:val="24"/>
          <w:lang w:val="en-GB"/>
        </w:rPr>
        <w:t>2</w:t>
      </w:r>
      <w:r w:rsidR="00824D87" w:rsidRPr="00DB6C99">
        <w:rPr>
          <w:rFonts w:ascii="Garamond" w:eastAsia="Calibri" w:hAnsi="Garamond" w:cs="Times New Roman"/>
          <w:sz w:val="24"/>
          <w:szCs w:val="24"/>
          <w:lang w:val="en-GB"/>
        </w:rPr>
        <w:t xml:space="preserve">; Sauerwald and Su, 2019; Shahab </w:t>
      </w:r>
      <w:r w:rsidR="00824D87" w:rsidRPr="00DB6C99">
        <w:rPr>
          <w:rFonts w:ascii="Garamond" w:eastAsia="Calibri" w:hAnsi="Garamond" w:cs="Times New Roman"/>
          <w:i/>
          <w:iCs/>
          <w:sz w:val="24"/>
          <w:szCs w:val="24"/>
          <w:lang w:val="en-GB"/>
        </w:rPr>
        <w:t>et al</w:t>
      </w:r>
      <w:r w:rsidR="00824D87" w:rsidRPr="00DB6C99">
        <w:rPr>
          <w:rFonts w:ascii="Garamond" w:eastAsia="Calibri" w:hAnsi="Garamond" w:cs="Times New Roman"/>
          <w:sz w:val="24"/>
          <w:szCs w:val="24"/>
          <w:lang w:val="en-GB"/>
        </w:rPr>
        <w:t xml:space="preserve">., 2022; </w:t>
      </w:r>
      <w:r w:rsidRPr="00DB6C99">
        <w:rPr>
          <w:rFonts w:ascii="Garamond" w:eastAsia="Calibri" w:hAnsi="Garamond" w:cs="Times New Roman"/>
          <w:sz w:val="24"/>
          <w:szCs w:val="24"/>
          <w:lang w:val="en-GB"/>
        </w:rPr>
        <w:t xml:space="preserve">Usman </w:t>
      </w:r>
      <w:r w:rsidRPr="00DB6C99">
        <w:rPr>
          <w:rFonts w:ascii="Garamond" w:eastAsia="Calibri" w:hAnsi="Garamond" w:cs="Times New Roman"/>
          <w:i/>
          <w:sz w:val="24"/>
          <w:szCs w:val="24"/>
          <w:lang w:val="en-GB"/>
        </w:rPr>
        <w:t>et al.</w:t>
      </w:r>
      <w:r w:rsidRPr="00DB6C99">
        <w:rPr>
          <w:rFonts w:ascii="Garamond" w:eastAsia="Calibri" w:hAnsi="Garamond" w:cs="Times New Roman"/>
          <w:sz w:val="24"/>
          <w:szCs w:val="24"/>
          <w:lang w:val="en-GB"/>
        </w:rPr>
        <w:t xml:space="preserve">, 2022; Zalata </w:t>
      </w:r>
      <w:r w:rsidRPr="00DB6C99">
        <w:rPr>
          <w:rFonts w:ascii="Garamond" w:eastAsia="Calibri" w:hAnsi="Garamond" w:cs="Times New Roman"/>
          <w:i/>
          <w:sz w:val="24"/>
          <w:szCs w:val="24"/>
          <w:lang w:val="en-GB"/>
        </w:rPr>
        <w:t>et al.</w:t>
      </w:r>
      <w:r w:rsidRPr="00DB6C99">
        <w:rPr>
          <w:rFonts w:ascii="Garamond" w:eastAsia="Calibri" w:hAnsi="Garamond" w:cs="Times New Roman"/>
          <w:sz w:val="24"/>
          <w:szCs w:val="24"/>
          <w:lang w:val="en-GB"/>
        </w:rPr>
        <w:t>, 201), we use propensity</w:t>
      </w:r>
      <w:r w:rsidR="00824D87" w:rsidRPr="00DB6C99">
        <w:rPr>
          <w:rFonts w:ascii="Garamond" w:eastAsia="Calibri" w:hAnsi="Garamond" w:cs="Times New Roman"/>
          <w:sz w:val="24"/>
          <w:szCs w:val="24"/>
          <w:lang w:val="en-GB"/>
        </w:rPr>
        <w:t xml:space="preserve"> </w:t>
      </w:r>
      <w:r w:rsidRPr="00DB6C99">
        <w:rPr>
          <w:rFonts w:ascii="Garamond" w:eastAsia="Calibri" w:hAnsi="Garamond" w:cs="Times New Roman"/>
          <w:sz w:val="24"/>
          <w:szCs w:val="24"/>
          <w:lang w:val="en-GB"/>
        </w:rPr>
        <w:t xml:space="preserve">score matching (PSM), </w:t>
      </w:r>
      <w:r w:rsidR="00824D87" w:rsidRPr="00DB6C99">
        <w:rPr>
          <w:rFonts w:ascii="Garamond" w:eastAsia="Calibri" w:hAnsi="Garamond" w:cs="Times New Roman"/>
          <w:sz w:val="24"/>
          <w:szCs w:val="24"/>
          <w:lang w:val="en-GB"/>
        </w:rPr>
        <w:t xml:space="preserve">the </w:t>
      </w:r>
      <w:r w:rsidRPr="00DB6C99">
        <w:rPr>
          <w:rFonts w:ascii="Garamond" w:eastAsia="Calibri" w:hAnsi="Garamond" w:cs="Times New Roman"/>
          <w:sz w:val="24"/>
          <w:szCs w:val="24"/>
          <w:lang w:val="en-GB"/>
        </w:rPr>
        <w:t>Heckman selection model and two-stage least squares (2SLS)</w:t>
      </w:r>
      <w:r w:rsidRPr="00DB6C99">
        <w:rPr>
          <w:rFonts w:ascii="Garamond" w:eastAsia="Calibri" w:hAnsi="Garamond" w:cs="Times New Roman"/>
          <w:i/>
          <w:iCs/>
          <w:sz w:val="24"/>
          <w:szCs w:val="24"/>
          <w:lang w:val="en-GB"/>
        </w:rPr>
        <w:t xml:space="preserve"> </w:t>
      </w:r>
      <w:r w:rsidRPr="00DB6C99">
        <w:rPr>
          <w:rFonts w:ascii="Garamond" w:eastAsia="Calibri" w:hAnsi="Garamond" w:cs="Times New Roman"/>
          <w:sz w:val="24"/>
          <w:szCs w:val="24"/>
          <w:lang w:val="en-GB"/>
        </w:rPr>
        <w:t>with an</w:t>
      </w:r>
      <w:r w:rsidRPr="00DB6C99">
        <w:rPr>
          <w:rFonts w:ascii="Garamond" w:eastAsia="Calibri" w:hAnsi="Garamond" w:cs="Times New Roman"/>
          <w:i/>
          <w:iCs/>
          <w:sz w:val="24"/>
          <w:szCs w:val="24"/>
          <w:lang w:val="en-GB"/>
        </w:rPr>
        <w:t xml:space="preserve"> </w:t>
      </w:r>
      <w:r w:rsidRPr="00DB6C99">
        <w:rPr>
          <w:rFonts w:ascii="Garamond" w:eastAsia="Calibri" w:hAnsi="Garamond" w:cs="Times New Roman"/>
          <w:sz w:val="24"/>
          <w:szCs w:val="24"/>
          <w:lang w:val="en-GB"/>
        </w:rPr>
        <w:t>instrumental variable approach to further address the issue of endogeneity.</w:t>
      </w:r>
    </w:p>
    <w:p w14:paraId="17F9D2CE" w14:textId="3C62D5D6" w:rsidR="004A1788" w:rsidRPr="00DB6C99" w:rsidRDefault="004A1788" w:rsidP="004A1788">
      <w:pPr>
        <w:spacing w:line="360" w:lineRule="auto"/>
        <w:ind w:firstLine="720"/>
        <w:jc w:val="both"/>
        <w:rPr>
          <w:rFonts w:ascii="Garamond" w:eastAsia="Calibri" w:hAnsi="Garamond" w:cs="Times New Roman"/>
          <w:sz w:val="24"/>
          <w:szCs w:val="24"/>
          <w:lang w:val="en-GB"/>
        </w:rPr>
      </w:pPr>
      <w:r w:rsidRPr="00DB6C99">
        <w:rPr>
          <w:rFonts w:ascii="Garamond" w:eastAsia="Calibri" w:hAnsi="Garamond" w:cs="Times New Roman"/>
          <w:i/>
          <w:iCs/>
          <w:sz w:val="24"/>
          <w:szCs w:val="24"/>
          <w:lang w:val="en-GB"/>
        </w:rPr>
        <w:t>PSM</w:t>
      </w:r>
    </w:p>
    <w:p w14:paraId="6618D498" w14:textId="23517F8D" w:rsidR="004A1788" w:rsidRPr="00DB6C99" w:rsidRDefault="004A1788" w:rsidP="004A1788">
      <w:pPr>
        <w:spacing w:line="360" w:lineRule="auto"/>
        <w:ind w:firstLine="720"/>
        <w:jc w:val="both"/>
        <w:rPr>
          <w:rFonts w:ascii="Garamond" w:eastAsia="Calibri" w:hAnsi="Garamond" w:cs="Times New Roman"/>
          <w:sz w:val="24"/>
          <w:szCs w:val="24"/>
          <w:lang w:val="en-GB"/>
        </w:rPr>
      </w:pPr>
      <w:r w:rsidRPr="00DB6C99">
        <w:rPr>
          <w:rFonts w:ascii="Garamond" w:eastAsia="Calibri" w:hAnsi="Garamond" w:cs="Times New Roman"/>
          <w:sz w:val="24"/>
          <w:szCs w:val="24"/>
          <w:lang w:val="en-GB"/>
        </w:rPr>
        <w:t xml:space="preserve">Following extant studies (e.g., Gull </w:t>
      </w:r>
      <w:r w:rsidRPr="00DB6C99">
        <w:rPr>
          <w:rFonts w:ascii="Garamond" w:eastAsia="Calibri" w:hAnsi="Garamond" w:cs="Times New Roman"/>
          <w:i/>
          <w:sz w:val="24"/>
          <w:szCs w:val="24"/>
          <w:lang w:val="en-GB"/>
        </w:rPr>
        <w:t>et al.</w:t>
      </w:r>
      <w:r w:rsidRPr="00DB6C99">
        <w:rPr>
          <w:rFonts w:ascii="Garamond" w:eastAsia="Calibri" w:hAnsi="Garamond" w:cs="Times New Roman"/>
          <w:sz w:val="24"/>
          <w:szCs w:val="24"/>
          <w:lang w:val="en-GB"/>
        </w:rPr>
        <w:t>, 2018; Nekhili</w:t>
      </w:r>
      <w:r w:rsidR="008C5670" w:rsidRPr="00DB6C99">
        <w:rPr>
          <w:rFonts w:ascii="Garamond" w:eastAsia="Calibri" w:hAnsi="Garamond" w:cs="Times New Roman"/>
          <w:sz w:val="24"/>
          <w:szCs w:val="24"/>
          <w:lang w:val="en-GB"/>
        </w:rPr>
        <w:t>, Bennouri and Nagati</w:t>
      </w:r>
      <w:r w:rsidRPr="00DB6C99">
        <w:rPr>
          <w:rFonts w:ascii="Garamond" w:eastAsia="Calibri" w:hAnsi="Garamond" w:cs="Times New Roman"/>
          <w:sz w:val="24"/>
          <w:szCs w:val="24"/>
          <w:lang w:val="en-GB"/>
        </w:rPr>
        <w:t>, 202</w:t>
      </w:r>
      <w:r w:rsidR="0060668C" w:rsidRPr="00DB6C99">
        <w:rPr>
          <w:rFonts w:ascii="Garamond" w:eastAsia="Calibri" w:hAnsi="Garamond" w:cs="Times New Roman"/>
          <w:sz w:val="24"/>
          <w:szCs w:val="24"/>
          <w:lang w:val="en-GB"/>
        </w:rPr>
        <w:t>2</w:t>
      </w:r>
      <w:r w:rsidR="009F2B5E" w:rsidRPr="00DB6C99">
        <w:rPr>
          <w:rFonts w:ascii="Garamond" w:eastAsia="Calibri" w:hAnsi="Garamond" w:cs="Times New Roman"/>
          <w:sz w:val="24"/>
          <w:szCs w:val="24"/>
          <w:lang w:val="en-GB"/>
        </w:rPr>
        <w:t xml:space="preserve">; Usman </w:t>
      </w:r>
      <w:r w:rsidR="009F2B5E" w:rsidRPr="00DB6C99">
        <w:rPr>
          <w:rFonts w:ascii="Garamond" w:eastAsia="Calibri" w:hAnsi="Garamond" w:cs="Times New Roman"/>
          <w:i/>
          <w:sz w:val="24"/>
          <w:szCs w:val="24"/>
          <w:lang w:val="en-GB"/>
        </w:rPr>
        <w:t>et al.</w:t>
      </w:r>
      <w:r w:rsidR="009F2B5E" w:rsidRPr="00DB6C99">
        <w:rPr>
          <w:rFonts w:ascii="Garamond" w:eastAsia="Calibri" w:hAnsi="Garamond" w:cs="Times New Roman"/>
          <w:sz w:val="24"/>
          <w:szCs w:val="24"/>
          <w:lang w:val="en-GB"/>
        </w:rPr>
        <w:t>, 2022</w:t>
      </w:r>
      <w:r w:rsidRPr="00DB6C99">
        <w:rPr>
          <w:rFonts w:ascii="Garamond" w:eastAsia="Calibri" w:hAnsi="Garamond" w:cs="Times New Roman"/>
          <w:sz w:val="24"/>
          <w:szCs w:val="24"/>
          <w:lang w:val="en-GB"/>
        </w:rPr>
        <w:t>), we use PSM to control for self-selection bias</w:t>
      </w:r>
      <w:r w:rsidR="009F2B5E"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 xml:space="preserve"> which refers to the possibility that </w:t>
      </w:r>
      <w:r w:rsidR="006F7C65" w:rsidRPr="00DB6C99">
        <w:rPr>
          <w:rFonts w:ascii="Garamond" w:eastAsia="Calibri" w:hAnsi="Garamond" w:cs="Times New Roman"/>
          <w:sz w:val="24"/>
          <w:szCs w:val="24"/>
          <w:lang w:val="en-GB"/>
        </w:rPr>
        <w:t>the</w:t>
      </w:r>
      <w:r w:rsidRPr="00DB6C99">
        <w:rPr>
          <w:rFonts w:ascii="Garamond" w:eastAsia="Calibri" w:hAnsi="Garamond" w:cs="Times New Roman"/>
          <w:sz w:val="24"/>
          <w:szCs w:val="24"/>
          <w:lang w:val="en-GB"/>
        </w:rPr>
        <w:t xml:space="preserve"> negative impact of female directors on CSR decoupling may be due to some unobservable factors that may simultaneously determine BGD and CSR decoupling. We therefore pair</w:t>
      </w:r>
      <w:r w:rsidR="009F2B5E" w:rsidRPr="00DB6C99">
        <w:rPr>
          <w:rFonts w:ascii="Garamond" w:eastAsia="Calibri" w:hAnsi="Garamond" w:cs="Times New Roman"/>
          <w:sz w:val="24"/>
          <w:szCs w:val="24"/>
          <w:lang w:val="en-GB"/>
        </w:rPr>
        <w:t xml:space="preserve"> </w:t>
      </w:r>
      <w:r w:rsidRPr="00DB6C99">
        <w:rPr>
          <w:rFonts w:ascii="Garamond" w:eastAsia="Calibri" w:hAnsi="Garamond" w:cs="Times New Roman"/>
          <w:sz w:val="24"/>
          <w:szCs w:val="24"/>
          <w:lang w:val="en-GB"/>
        </w:rPr>
        <w:t xml:space="preserve">match firm-year observations from the sub-samples with higher proportions of female directors </w:t>
      </w:r>
      <w:r w:rsidR="009F2B5E" w:rsidRPr="00DB6C99">
        <w:rPr>
          <w:rFonts w:ascii="Garamond" w:eastAsia="Calibri" w:hAnsi="Garamond" w:cs="Times New Roman"/>
          <w:sz w:val="24"/>
          <w:szCs w:val="24"/>
          <w:lang w:val="en-GB"/>
        </w:rPr>
        <w:t>with</w:t>
      </w:r>
      <w:r w:rsidRPr="00DB6C99">
        <w:rPr>
          <w:rFonts w:ascii="Garamond" w:eastAsia="Calibri" w:hAnsi="Garamond" w:cs="Times New Roman"/>
          <w:sz w:val="24"/>
          <w:szCs w:val="24"/>
          <w:lang w:val="en-GB"/>
        </w:rPr>
        <w:t xml:space="preserve"> firms with lower proportions of female directors within each year by industry and other firm-level matching criteria, including all </w:t>
      </w:r>
      <w:r w:rsidR="009F2B5E" w:rsidRPr="00DB6C99">
        <w:rPr>
          <w:rFonts w:ascii="Garamond" w:eastAsia="Calibri" w:hAnsi="Garamond" w:cs="Times New Roman"/>
          <w:sz w:val="24"/>
          <w:szCs w:val="24"/>
          <w:lang w:val="en-GB"/>
        </w:rPr>
        <w:t xml:space="preserve">the </w:t>
      </w:r>
      <w:r w:rsidRPr="00DB6C99">
        <w:rPr>
          <w:rFonts w:ascii="Garamond" w:eastAsia="Calibri" w:hAnsi="Garamond" w:cs="Times New Roman"/>
          <w:sz w:val="24"/>
          <w:szCs w:val="24"/>
          <w:lang w:val="en-GB"/>
        </w:rPr>
        <w:t xml:space="preserve">control variables. </w:t>
      </w:r>
      <w:r w:rsidR="009F2B5E" w:rsidRPr="00DB6C99">
        <w:rPr>
          <w:rFonts w:ascii="Garamond" w:eastAsia="Calibri" w:hAnsi="Garamond" w:cs="Times New Roman"/>
          <w:sz w:val="24"/>
          <w:szCs w:val="24"/>
          <w:lang w:val="en-GB"/>
        </w:rPr>
        <w:t>W</w:t>
      </w:r>
      <w:r w:rsidRPr="00DB6C99">
        <w:rPr>
          <w:rFonts w:ascii="Garamond" w:eastAsia="Calibri" w:hAnsi="Garamond" w:cs="Times New Roman"/>
          <w:sz w:val="24"/>
          <w:szCs w:val="24"/>
          <w:lang w:val="en-GB"/>
        </w:rPr>
        <w:t xml:space="preserve">e first run a probit model by regressing </w:t>
      </w:r>
      <w:r w:rsidRPr="00DB6C99">
        <w:rPr>
          <w:rFonts w:ascii="Garamond" w:eastAsia="Calibri" w:hAnsi="Garamond" w:cs="Times New Roman"/>
          <w:i/>
          <w:iCs/>
          <w:sz w:val="24"/>
          <w:szCs w:val="24"/>
          <w:lang w:val="en-GB"/>
        </w:rPr>
        <w:t>FPRO_DUMMY</w:t>
      </w:r>
      <w:r w:rsidRPr="00DB6C99">
        <w:rPr>
          <w:rFonts w:ascii="Garamond" w:eastAsia="Calibri" w:hAnsi="Garamond" w:cs="Times New Roman"/>
          <w:sz w:val="24"/>
          <w:szCs w:val="24"/>
          <w:vertAlign w:val="superscript"/>
          <w:lang w:val="en-GB"/>
        </w:rPr>
        <w:footnoteReference w:id="8"/>
      </w:r>
      <w:r w:rsidRPr="00DB6C99">
        <w:rPr>
          <w:rFonts w:ascii="Garamond" w:eastAsia="Calibri" w:hAnsi="Garamond" w:cs="Times New Roman"/>
          <w:sz w:val="24"/>
          <w:szCs w:val="24"/>
          <w:lang w:val="en-GB"/>
        </w:rPr>
        <w:t xml:space="preserve"> on all </w:t>
      </w:r>
      <w:r w:rsidR="009F2B5E" w:rsidRPr="00DB6C99">
        <w:rPr>
          <w:rFonts w:ascii="Garamond" w:eastAsia="Calibri" w:hAnsi="Garamond" w:cs="Times New Roman"/>
          <w:sz w:val="24"/>
          <w:szCs w:val="24"/>
          <w:lang w:val="en-GB"/>
        </w:rPr>
        <w:t xml:space="preserve">the </w:t>
      </w:r>
      <w:r w:rsidRPr="00DB6C99">
        <w:rPr>
          <w:rFonts w:ascii="Garamond" w:eastAsia="Calibri" w:hAnsi="Garamond" w:cs="Times New Roman"/>
          <w:sz w:val="24"/>
          <w:szCs w:val="24"/>
          <w:lang w:val="en-GB"/>
        </w:rPr>
        <w:t>control variables</w:t>
      </w:r>
      <w:r w:rsidR="009F2B5E"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 xml:space="preserve"> including year and industry effects, to estimate the predicted value of appointing female directors on the board.</w:t>
      </w:r>
      <w:r w:rsidRPr="00DB6C99">
        <w:rPr>
          <w:rFonts w:ascii="Garamond" w:eastAsia="Calibri" w:hAnsi="Garamond" w:cs="Times New Roman"/>
          <w:sz w:val="24"/>
          <w:szCs w:val="24"/>
          <w:vertAlign w:val="superscript"/>
          <w:lang w:val="en-GB"/>
        </w:rPr>
        <w:footnoteReference w:id="9"/>
      </w:r>
      <w:r w:rsidRPr="00DB6C99">
        <w:rPr>
          <w:rFonts w:ascii="Garamond" w:eastAsia="Calibri" w:hAnsi="Garamond" w:cs="Times New Roman"/>
          <w:sz w:val="24"/>
          <w:szCs w:val="24"/>
          <w:lang w:val="en-GB"/>
        </w:rPr>
        <w:t xml:space="preserve"> </w:t>
      </w:r>
      <w:r w:rsidR="000B6A99" w:rsidRPr="00DB6C99">
        <w:rPr>
          <w:rFonts w:ascii="Garamond" w:eastAsia="Calibri" w:hAnsi="Garamond" w:cs="Times New Roman"/>
          <w:sz w:val="24"/>
          <w:szCs w:val="24"/>
          <w:lang w:val="en-GB"/>
        </w:rPr>
        <w:t xml:space="preserve">Our </w:t>
      </w:r>
      <w:r w:rsidRPr="00DB6C99">
        <w:rPr>
          <w:rFonts w:ascii="Garamond" w:eastAsia="Calibri" w:hAnsi="Garamond" w:cs="Times New Roman"/>
          <w:sz w:val="24"/>
          <w:szCs w:val="24"/>
          <w:lang w:val="en-GB"/>
        </w:rPr>
        <w:t>matched sample consist</w:t>
      </w:r>
      <w:r w:rsidR="000B6A99" w:rsidRPr="00DB6C99">
        <w:rPr>
          <w:rFonts w:ascii="Garamond" w:eastAsia="Calibri" w:hAnsi="Garamond" w:cs="Times New Roman"/>
          <w:sz w:val="24"/>
          <w:szCs w:val="24"/>
          <w:lang w:val="en-GB"/>
        </w:rPr>
        <w:t>s</w:t>
      </w:r>
      <w:r w:rsidRPr="00DB6C99">
        <w:rPr>
          <w:rFonts w:ascii="Garamond" w:eastAsia="Calibri" w:hAnsi="Garamond" w:cs="Times New Roman"/>
          <w:sz w:val="24"/>
          <w:szCs w:val="24"/>
          <w:lang w:val="en-GB"/>
        </w:rPr>
        <w:t xml:space="preserve"> of 7,042 firm-year observations that is identical based on firm</w:t>
      </w:r>
      <w:r w:rsidR="009F2B5E"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level variables but different based on BGD.</w:t>
      </w:r>
    </w:p>
    <w:p w14:paraId="61A0A80E" w14:textId="64934228" w:rsidR="004A1788" w:rsidRPr="00DB6C99" w:rsidRDefault="009F2B5E" w:rsidP="004A1788">
      <w:pPr>
        <w:spacing w:line="360" w:lineRule="auto"/>
        <w:ind w:firstLine="720"/>
        <w:jc w:val="both"/>
        <w:rPr>
          <w:rFonts w:ascii="Garamond" w:eastAsia="Calibri" w:hAnsi="Garamond" w:cs="Times New Roman"/>
          <w:sz w:val="24"/>
          <w:szCs w:val="24"/>
          <w:lang w:val="en-GB" w:eastAsia="en-AU"/>
        </w:rPr>
      </w:pPr>
      <w:r w:rsidRPr="00DB6C99">
        <w:rPr>
          <w:rFonts w:ascii="Garamond" w:eastAsia="Calibri" w:hAnsi="Garamond" w:cs="Times New Roman"/>
          <w:sz w:val="24"/>
          <w:szCs w:val="24"/>
          <w:lang w:val="en-GB" w:eastAsia="en-AU"/>
        </w:rPr>
        <w:t>We perform two diagnostic tests t</w:t>
      </w:r>
      <w:r w:rsidR="004A1788" w:rsidRPr="00DB6C99">
        <w:rPr>
          <w:rFonts w:ascii="Garamond" w:eastAsia="Calibri" w:hAnsi="Garamond" w:cs="Times New Roman"/>
          <w:sz w:val="24"/>
          <w:szCs w:val="24"/>
          <w:lang w:val="en-GB" w:eastAsia="en-AU"/>
        </w:rPr>
        <w:t>o ensure that matching has been performed correctly. First, we re-estimate the probit regression using the post-match sample. The results (Column 2</w:t>
      </w:r>
      <w:r w:rsidR="000B6A99" w:rsidRPr="00DB6C99">
        <w:rPr>
          <w:rFonts w:ascii="Garamond" w:eastAsia="Calibri" w:hAnsi="Garamond" w:cs="Times New Roman"/>
          <w:sz w:val="24"/>
          <w:szCs w:val="24"/>
          <w:lang w:val="en-GB" w:eastAsia="en-AU"/>
        </w:rPr>
        <w:t>,</w:t>
      </w:r>
      <w:r w:rsidR="004A1788" w:rsidRPr="00DB6C99">
        <w:rPr>
          <w:rFonts w:ascii="Garamond" w:eastAsia="Calibri" w:hAnsi="Garamond" w:cs="Times New Roman"/>
          <w:sz w:val="24"/>
          <w:szCs w:val="24"/>
          <w:lang w:val="en-GB" w:eastAsia="en-AU"/>
        </w:rPr>
        <w:t xml:space="preserve"> Table 11) show that the coefficients on the explanatory variables are statistically insignificant, demonstrating that all the differences have been removed by PSM except the presence of female directors on the </w:t>
      </w:r>
      <w:r w:rsidR="004A1788" w:rsidRPr="00DB6C99">
        <w:rPr>
          <w:rFonts w:ascii="Garamond" w:eastAsia="Calibri" w:hAnsi="Garamond" w:cs="Times New Roman"/>
          <w:sz w:val="24"/>
          <w:szCs w:val="24"/>
          <w:lang w:val="en-GB" w:eastAsia="en-AU"/>
        </w:rPr>
        <w:lastRenderedPageBreak/>
        <w:t xml:space="preserve">board. Second, we test the differences in the mean of each observable characteristic between the treatment and the control firm-year observations using a post-match sample. Table 12 shows no significant differences in the observable characteristics between the treatment and control groups. Collectively, the results of </w:t>
      </w:r>
      <w:r w:rsidRPr="00DB6C99">
        <w:rPr>
          <w:rFonts w:ascii="Garamond" w:eastAsia="Calibri" w:hAnsi="Garamond" w:cs="Times New Roman"/>
          <w:sz w:val="24"/>
          <w:szCs w:val="24"/>
          <w:lang w:val="en-GB" w:eastAsia="en-AU"/>
        </w:rPr>
        <w:t xml:space="preserve">our </w:t>
      </w:r>
      <w:r w:rsidR="004A1788" w:rsidRPr="00DB6C99">
        <w:rPr>
          <w:rFonts w:ascii="Garamond" w:eastAsia="Calibri" w:hAnsi="Garamond" w:cs="Times New Roman"/>
          <w:sz w:val="24"/>
          <w:szCs w:val="24"/>
          <w:lang w:val="en-GB" w:eastAsia="en-AU"/>
        </w:rPr>
        <w:t>diagnostic tests confirm that PSM removes all the observable differences in the explanatory variables other than those related to BGD.</w:t>
      </w:r>
    </w:p>
    <w:p w14:paraId="6B5BFCF2" w14:textId="2FA35B67" w:rsidR="004A1788" w:rsidRPr="00DB6C99" w:rsidRDefault="004A1788" w:rsidP="004A1788">
      <w:pPr>
        <w:spacing w:line="360" w:lineRule="auto"/>
        <w:ind w:firstLine="720"/>
        <w:jc w:val="both"/>
        <w:rPr>
          <w:rFonts w:ascii="Garamond" w:eastAsia="Calibri" w:hAnsi="Garamond" w:cs="Times New Roman"/>
          <w:sz w:val="24"/>
          <w:szCs w:val="24"/>
          <w:lang w:val="en-GB"/>
        </w:rPr>
      </w:pPr>
      <w:r w:rsidRPr="00DB6C99">
        <w:rPr>
          <w:rFonts w:ascii="Garamond" w:eastAsia="Calibri" w:hAnsi="Garamond" w:cs="Times New Roman"/>
          <w:sz w:val="24"/>
          <w:szCs w:val="24"/>
          <w:lang w:val="en-GB"/>
        </w:rPr>
        <w:t xml:space="preserve">We then re-estimate Equation (1) on the matched sample using FE regression. The results </w:t>
      </w:r>
      <w:r w:rsidR="009F2B5E"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Table 11</w:t>
      </w:r>
      <w:r w:rsidR="009F2B5E"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 xml:space="preserve"> PSM column</w:t>
      </w:r>
      <w:r w:rsidR="009F2B5E"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 xml:space="preserve"> still show a negative association between BGD and CSR decoupling, confirming that our findings are free from self-selection bias.</w:t>
      </w:r>
    </w:p>
    <w:p w14:paraId="4303C447" w14:textId="77777777" w:rsidR="004A1788" w:rsidRPr="00DB6C99" w:rsidRDefault="004A1788" w:rsidP="004A1788">
      <w:pPr>
        <w:spacing w:line="360" w:lineRule="auto"/>
        <w:ind w:firstLine="720"/>
        <w:jc w:val="both"/>
        <w:rPr>
          <w:rFonts w:ascii="Garamond" w:eastAsia="Calibri" w:hAnsi="Garamond" w:cs="Times New Roman"/>
          <w:i/>
          <w:iCs/>
          <w:sz w:val="24"/>
          <w:szCs w:val="24"/>
          <w:lang w:val="en-GB"/>
        </w:rPr>
      </w:pPr>
      <w:r w:rsidRPr="00DB6C99">
        <w:rPr>
          <w:rFonts w:ascii="Garamond" w:eastAsia="Calibri" w:hAnsi="Garamond" w:cs="Times New Roman"/>
          <w:i/>
          <w:iCs/>
          <w:sz w:val="24"/>
          <w:szCs w:val="24"/>
          <w:lang w:val="en-GB"/>
        </w:rPr>
        <w:t>Heckman selection model</w:t>
      </w:r>
    </w:p>
    <w:p w14:paraId="028DB515" w14:textId="7BD16231" w:rsidR="004A1788" w:rsidRPr="00DB6C99" w:rsidRDefault="004A1788" w:rsidP="004A1788">
      <w:pPr>
        <w:spacing w:line="360" w:lineRule="auto"/>
        <w:ind w:firstLine="720"/>
        <w:jc w:val="both"/>
        <w:rPr>
          <w:rFonts w:ascii="Garamond" w:eastAsia="Calibri" w:hAnsi="Garamond" w:cs="Times New Roman"/>
          <w:sz w:val="24"/>
          <w:szCs w:val="24"/>
          <w:lang w:val="en-GB"/>
        </w:rPr>
      </w:pPr>
      <w:r w:rsidRPr="00DB6C99">
        <w:rPr>
          <w:rFonts w:ascii="Garamond" w:eastAsia="Calibri" w:hAnsi="Garamond" w:cs="Times New Roman"/>
          <w:sz w:val="24"/>
          <w:szCs w:val="24"/>
          <w:lang w:val="en-GB"/>
        </w:rPr>
        <w:t>Despite PSM, our reported findings may be subject to sample-selection bias</w:t>
      </w:r>
      <w:r w:rsidR="009F2B5E"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 xml:space="preserve"> as our dependent variable </w:t>
      </w:r>
      <w:r w:rsidR="009F2B5E"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i.e., CSR decoupling</w:t>
      </w:r>
      <w:r w:rsidR="009F2B5E"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 xml:space="preserve"> is unobservable (Sauerwald </w:t>
      </w:r>
      <w:r w:rsidR="009F2B5E" w:rsidRPr="00DB6C99">
        <w:rPr>
          <w:rFonts w:ascii="Garamond" w:eastAsia="Calibri" w:hAnsi="Garamond" w:cs="Times New Roman"/>
          <w:sz w:val="24"/>
          <w:szCs w:val="24"/>
          <w:lang w:val="en-GB"/>
        </w:rPr>
        <w:t>and</w:t>
      </w:r>
      <w:r w:rsidRPr="00DB6C99">
        <w:rPr>
          <w:rFonts w:ascii="Garamond" w:eastAsia="Calibri" w:hAnsi="Garamond" w:cs="Times New Roman"/>
          <w:sz w:val="24"/>
          <w:szCs w:val="24"/>
          <w:lang w:val="en-GB"/>
        </w:rPr>
        <w:t xml:space="preserve"> Su, 2019). We therefore use the two-stage model introduced by Heckman (1976) to address the issue of sample-selection bias (</w:t>
      </w:r>
      <w:r w:rsidR="009F2B5E" w:rsidRPr="00DB6C99">
        <w:rPr>
          <w:rFonts w:ascii="Garamond" w:eastAsia="Calibri" w:hAnsi="Garamond" w:cs="Times New Roman"/>
          <w:sz w:val="24"/>
          <w:szCs w:val="24"/>
          <w:lang w:val="en-GB"/>
        </w:rPr>
        <w:t>s</w:t>
      </w:r>
      <w:r w:rsidRPr="00DB6C99">
        <w:rPr>
          <w:rFonts w:ascii="Garamond" w:eastAsia="Calibri" w:hAnsi="Garamond" w:cs="Times New Roman"/>
          <w:sz w:val="24"/>
          <w:szCs w:val="24"/>
          <w:lang w:val="en-GB"/>
        </w:rPr>
        <w:t xml:space="preserve">ee Sauerwald </w:t>
      </w:r>
      <w:r w:rsidR="009F2B5E" w:rsidRPr="00DB6C99">
        <w:rPr>
          <w:rFonts w:ascii="Garamond" w:eastAsia="Calibri" w:hAnsi="Garamond" w:cs="Times New Roman"/>
          <w:sz w:val="24"/>
          <w:szCs w:val="24"/>
          <w:lang w:val="en-GB"/>
        </w:rPr>
        <w:t>and</w:t>
      </w:r>
      <w:r w:rsidRPr="00DB6C99">
        <w:rPr>
          <w:rFonts w:ascii="Garamond" w:eastAsia="Calibri" w:hAnsi="Garamond" w:cs="Times New Roman"/>
          <w:sz w:val="24"/>
          <w:szCs w:val="24"/>
          <w:lang w:val="en-GB"/>
        </w:rPr>
        <w:t xml:space="preserve"> Su, 2019). In the first stage, we run a probit model predicting the probability of hiring female directors. Following Adams and Ferreira (2009), we control for </w:t>
      </w:r>
      <w:r w:rsidRPr="00DB6C99">
        <w:rPr>
          <w:rFonts w:ascii="Garamond" w:eastAsia="Calibri" w:hAnsi="Garamond" w:cs="Times New Roman"/>
          <w:i/>
          <w:iCs/>
          <w:sz w:val="24"/>
          <w:szCs w:val="24"/>
          <w:lang w:val="en-GB"/>
        </w:rPr>
        <w:t>BOARD_CONNECT</w:t>
      </w:r>
      <w:r w:rsidR="00633885" w:rsidRPr="00DB6C99">
        <w:rPr>
          <w:rFonts w:ascii="Garamond" w:eastAsia="Calibri" w:hAnsi="Garamond" w:cs="Times New Roman"/>
          <w:i/>
          <w:iCs/>
          <w:sz w:val="24"/>
          <w:szCs w:val="24"/>
          <w:lang w:val="en-GB"/>
        </w:rPr>
        <w:t xml:space="preserve"> </w:t>
      </w:r>
      <w:r w:rsidR="00633885" w:rsidRPr="00DB6C99">
        <w:rPr>
          <w:rFonts w:ascii="Garamond" w:eastAsia="Calibri" w:hAnsi="Garamond" w:cs="Times New Roman"/>
          <w:sz w:val="24"/>
          <w:szCs w:val="24"/>
          <w:lang w:val="en-GB"/>
        </w:rPr>
        <w:t>in the probit model</w:t>
      </w:r>
      <w:r w:rsidRPr="00DB6C99">
        <w:rPr>
          <w:rFonts w:ascii="Garamond" w:eastAsia="Calibri" w:hAnsi="Garamond" w:cs="Times New Roman"/>
          <w:sz w:val="24"/>
          <w:szCs w:val="24"/>
          <w:lang w:val="en-GB"/>
        </w:rPr>
        <w:t>,</w:t>
      </w:r>
      <w:r w:rsidRPr="00DB6C99">
        <w:rPr>
          <w:rFonts w:ascii="Garamond" w:eastAsia="Calibri" w:hAnsi="Garamond" w:cs="Times New Roman"/>
          <w:i/>
          <w:iCs/>
          <w:sz w:val="24"/>
          <w:szCs w:val="24"/>
          <w:lang w:val="en-GB"/>
        </w:rPr>
        <w:t xml:space="preserve"> </w:t>
      </w:r>
      <w:r w:rsidRPr="00DB6C99">
        <w:rPr>
          <w:rFonts w:ascii="Garamond" w:eastAsia="Calibri" w:hAnsi="Garamond" w:cs="Times New Roman"/>
          <w:sz w:val="24"/>
          <w:szCs w:val="24"/>
          <w:lang w:val="en-GB"/>
        </w:rPr>
        <w:t>i.e.</w:t>
      </w:r>
      <w:r w:rsidR="009F2B5E" w:rsidRPr="00DB6C99">
        <w:rPr>
          <w:rFonts w:ascii="Garamond" w:eastAsia="Calibri" w:hAnsi="Garamond" w:cs="Times New Roman"/>
          <w:sz w:val="24"/>
          <w:szCs w:val="24"/>
          <w:lang w:val="en-GB"/>
        </w:rPr>
        <w:t>,</w:t>
      </w:r>
      <w:r w:rsidRPr="00DB6C99">
        <w:rPr>
          <w:rFonts w:ascii="Garamond" w:eastAsia="Calibri" w:hAnsi="Garamond" w:cs="Times New Roman"/>
          <w:i/>
          <w:iCs/>
          <w:sz w:val="24"/>
          <w:szCs w:val="24"/>
          <w:lang w:val="en-GB"/>
        </w:rPr>
        <w:t xml:space="preserve"> </w:t>
      </w:r>
      <w:r w:rsidRPr="00DB6C99">
        <w:rPr>
          <w:rFonts w:ascii="Garamond" w:eastAsia="Calibri" w:hAnsi="Garamond" w:cs="Times New Roman"/>
          <w:sz w:val="24"/>
          <w:szCs w:val="24"/>
          <w:lang w:val="en-GB"/>
        </w:rPr>
        <w:t xml:space="preserve">the number of male directors with board connections to women divided by the number of male directors on a board, because </w:t>
      </w:r>
      <w:r w:rsidR="00C45690" w:rsidRPr="00DB6C99">
        <w:rPr>
          <w:rFonts w:ascii="Garamond" w:eastAsia="Calibri" w:hAnsi="Garamond" w:cs="Times New Roman"/>
          <w:sz w:val="24"/>
          <w:szCs w:val="24"/>
          <w:lang w:val="en-GB"/>
        </w:rPr>
        <w:t>this</w:t>
      </w:r>
      <w:r w:rsidRPr="00DB6C99">
        <w:rPr>
          <w:rFonts w:ascii="Garamond" w:eastAsia="Calibri" w:hAnsi="Garamond" w:cs="Times New Roman"/>
          <w:i/>
          <w:iCs/>
          <w:sz w:val="24"/>
          <w:szCs w:val="24"/>
          <w:lang w:val="en-GB"/>
        </w:rPr>
        <w:t xml:space="preserve"> </w:t>
      </w:r>
      <w:r w:rsidRPr="00DB6C99">
        <w:rPr>
          <w:rFonts w:ascii="Garamond" w:eastAsia="Calibri" w:hAnsi="Garamond" w:cs="Times New Roman"/>
          <w:sz w:val="24"/>
          <w:szCs w:val="24"/>
          <w:lang w:val="en-GB"/>
        </w:rPr>
        <w:t xml:space="preserve">is likely to affect the appointment of female directors </w:t>
      </w:r>
      <w:r w:rsidR="009F2B5E" w:rsidRPr="00DB6C99">
        <w:rPr>
          <w:rFonts w:ascii="Garamond" w:eastAsia="Calibri" w:hAnsi="Garamond" w:cs="Times New Roman"/>
          <w:sz w:val="24"/>
          <w:szCs w:val="24"/>
          <w:lang w:val="en-GB"/>
        </w:rPr>
        <w:t xml:space="preserve">while </w:t>
      </w:r>
      <w:r w:rsidRPr="00DB6C99">
        <w:rPr>
          <w:rFonts w:ascii="Garamond" w:eastAsia="Calibri" w:hAnsi="Garamond" w:cs="Times New Roman"/>
          <w:sz w:val="24"/>
          <w:szCs w:val="24"/>
          <w:lang w:val="en-GB"/>
        </w:rPr>
        <w:t>not necessarily affect</w:t>
      </w:r>
      <w:r w:rsidR="009F2B5E" w:rsidRPr="00DB6C99">
        <w:rPr>
          <w:rFonts w:ascii="Garamond" w:eastAsia="Calibri" w:hAnsi="Garamond" w:cs="Times New Roman"/>
          <w:sz w:val="24"/>
          <w:szCs w:val="24"/>
          <w:lang w:val="en-GB"/>
        </w:rPr>
        <w:t>ing</w:t>
      </w:r>
      <w:r w:rsidRPr="00DB6C99">
        <w:rPr>
          <w:rFonts w:ascii="Garamond" w:eastAsia="Calibri" w:hAnsi="Garamond" w:cs="Times New Roman"/>
          <w:sz w:val="24"/>
          <w:szCs w:val="24"/>
          <w:lang w:val="en-GB"/>
        </w:rPr>
        <w:t xml:space="preserve"> our dependent variable</w:t>
      </w:r>
      <w:r w:rsidR="003A7172" w:rsidRPr="00DB6C99">
        <w:rPr>
          <w:rFonts w:ascii="Garamond" w:eastAsia="Calibri" w:hAnsi="Garamond" w:cs="Times New Roman"/>
          <w:sz w:val="24"/>
          <w:szCs w:val="24"/>
          <w:lang w:val="en-GB"/>
        </w:rPr>
        <w:t>. We</w:t>
      </w:r>
      <w:r w:rsidRPr="00DB6C99">
        <w:rPr>
          <w:rFonts w:ascii="Garamond" w:eastAsia="Calibri" w:hAnsi="Garamond" w:cs="Times New Roman"/>
          <w:sz w:val="24"/>
          <w:szCs w:val="24"/>
          <w:lang w:val="en-GB"/>
        </w:rPr>
        <w:t xml:space="preserve"> exclude </w:t>
      </w:r>
      <w:r w:rsidRPr="00DB6C99">
        <w:rPr>
          <w:rFonts w:ascii="Garamond" w:eastAsia="Calibri" w:hAnsi="Garamond" w:cs="Times New Roman"/>
          <w:i/>
          <w:iCs/>
          <w:sz w:val="24"/>
          <w:szCs w:val="24"/>
          <w:lang w:val="en-GB"/>
        </w:rPr>
        <w:t>BOARD_CONNECT</w:t>
      </w:r>
      <w:r w:rsidRPr="00DB6C99">
        <w:rPr>
          <w:rFonts w:ascii="Garamond" w:eastAsia="Calibri" w:hAnsi="Garamond" w:cs="Times New Roman"/>
          <w:sz w:val="24"/>
          <w:szCs w:val="24"/>
          <w:lang w:val="en-GB"/>
        </w:rPr>
        <w:t xml:space="preserve"> from the second</w:t>
      </w:r>
      <w:r w:rsidR="00633885"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 xml:space="preserve">stage model. In addition to </w:t>
      </w:r>
      <w:r w:rsidRPr="00DB6C99">
        <w:rPr>
          <w:rFonts w:ascii="Garamond" w:eastAsia="Calibri" w:hAnsi="Garamond" w:cs="Times New Roman"/>
          <w:i/>
          <w:iCs/>
          <w:sz w:val="24"/>
          <w:szCs w:val="24"/>
          <w:lang w:val="en-GB"/>
        </w:rPr>
        <w:t>BOARD_CONNECT</w:t>
      </w:r>
      <w:r w:rsidRPr="00DB6C99">
        <w:rPr>
          <w:rFonts w:ascii="Garamond" w:eastAsia="Calibri" w:hAnsi="Garamond" w:cs="Times New Roman"/>
          <w:sz w:val="24"/>
          <w:szCs w:val="24"/>
          <w:lang w:val="en-GB"/>
        </w:rPr>
        <w:t>, we also control for board</w:t>
      </w:r>
      <w:r w:rsidR="003A7172"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 xml:space="preserve"> and firm</w:t>
      </w:r>
      <w:r w:rsidR="003A7172"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level variables including year and industry in the first</w:t>
      </w:r>
      <w:r w:rsidR="00633885"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stage probit model. We then compute the inverse Mills ratio (</w:t>
      </w:r>
      <w:r w:rsidRPr="00DB6C99">
        <w:rPr>
          <w:rFonts w:ascii="Garamond" w:eastAsia="Calibri" w:hAnsi="Garamond" w:cs="Times New Roman"/>
          <w:i/>
          <w:iCs/>
          <w:sz w:val="24"/>
          <w:szCs w:val="24"/>
          <w:lang w:val="en-GB"/>
        </w:rPr>
        <w:t>Mills</w:t>
      </w:r>
      <w:r w:rsidRPr="00DB6C99">
        <w:rPr>
          <w:rFonts w:ascii="Garamond" w:eastAsia="Calibri" w:hAnsi="Garamond" w:cs="Times New Roman"/>
          <w:sz w:val="24"/>
          <w:szCs w:val="24"/>
          <w:lang w:val="en-GB"/>
        </w:rPr>
        <w:t xml:space="preserve">) and re-estimate Equation (1) using FE regression by including </w:t>
      </w:r>
      <w:r w:rsidRPr="00DB6C99">
        <w:rPr>
          <w:rFonts w:ascii="Garamond" w:eastAsia="Calibri" w:hAnsi="Garamond" w:cs="Times New Roman"/>
          <w:i/>
          <w:iCs/>
          <w:sz w:val="24"/>
          <w:szCs w:val="24"/>
          <w:lang w:val="en-GB"/>
        </w:rPr>
        <w:t>Mills</w:t>
      </w:r>
      <w:r w:rsidRPr="00DB6C99">
        <w:rPr>
          <w:rFonts w:ascii="Garamond" w:eastAsia="Calibri" w:hAnsi="Garamond" w:cs="Times New Roman"/>
          <w:sz w:val="24"/>
          <w:szCs w:val="24"/>
          <w:lang w:val="en-GB"/>
        </w:rPr>
        <w:t xml:space="preserve"> as an additional control variable to tackle the issue of sample-selection bias. The results</w:t>
      </w:r>
      <w:r w:rsidR="003A7172"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 xml:space="preserve"> reported in Table 11</w:t>
      </w:r>
      <w:r w:rsidR="003A7172"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 xml:space="preserve"> continue to reflect that BGD is negatively and significantly associated with CSR decoupling, confirming that sample-selection bias does not drive our main findings.</w:t>
      </w:r>
    </w:p>
    <w:p w14:paraId="11689F94" w14:textId="3A3AC7B4" w:rsidR="004A1788" w:rsidRPr="00DB6C99" w:rsidRDefault="004A1788" w:rsidP="00F307AC">
      <w:pPr>
        <w:spacing w:line="360" w:lineRule="auto"/>
        <w:ind w:firstLine="720"/>
        <w:jc w:val="both"/>
        <w:rPr>
          <w:rFonts w:ascii="Garamond" w:eastAsia="Calibri" w:hAnsi="Garamond" w:cs="Times New Roman"/>
          <w:sz w:val="24"/>
          <w:szCs w:val="24"/>
          <w:lang w:val="en-GB"/>
        </w:rPr>
      </w:pPr>
      <w:r w:rsidRPr="00DB6C99">
        <w:rPr>
          <w:rFonts w:ascii="Garamond" w:eastAsia="Calibri" w:hAnsi="Garamond" w:cs="Times New Roman"/>
          <w:i/>
          <w:iCs/>
          <w:sz w:val="24"/>
          <w:szCs w:val="24"/>
          <w:lang w:val="en-GB"/>
        </w:rPr>
        <w:t>2SLS</w:t>
      </w:r>
    </w:p>
    <w:p w14:paraId="75BEA60A" w14:textId="3E41ADF9" w:rsidR="004A1788" w:rsidRPr="00DB6C99" w:rsidRDefault="004A1788" w:rsidP="004A1788">
      <w:pPr>
        <w:spacing w:line="360" w:lineRule="auto"/>
        <w:ind w:firstLine="720"/>
        <w:jc w:val="both"/>
        <w:rPr>
          <w:rFonts w:ascii="Garamond" w:eastAsia="Calibri" w:hAnsi="Garamond" w:cs="Times New Roman"/>
          <w:sz w:val="24"/>
          <w:szCs w:val="24"/>
          <w:lang w:val="en-GB"/>
        </w:rPr>
      </w:pPr>
      <w:r w:rsidRPr="00DB6C99">
        <w:rPr>
          <w:rFonts w:ascii="Garamond" w:eastAsia="Calibri" w:hAnsi="Garamond" w:cs="Times New Roman"/>
          <w:sz w:val="24"/>
          <w:szCs w:val="24"/>
          <w:lang w:val="en-GB"/>
        </w:rPr>
        <w:t>Finally, we use the 2SLS estimation approach</w:t>
      </w:r>
      <w:r w:rsidR="003A7172"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 xml:space="preserve"> which is highly recommended to address the issue of endogeneity (see Adams </w:t>
      </w:r>
      <w:r w:rsidR="003A7172" w:rsidRPr="00DB6C99">
        <w:rPr>
          <w:rFonts w:ascii="Garamond" w:eastAsia="Calibri" w:hAnsi="Garamond" w:cs="Times New Roman"/>
          <w:sz w:val="24"/>
          <w:szCs w:val="24"/>
          <w:lang w:val="en-GB"/>
        </w:rPr>
        <w:t>and</w:t>
      </w:r>
      <w:r w:rsidRPr="00DB6C99">
        <w:rPr>
          <w:rFonts w:ascii="Garamond" w:eastAsia="Calibri" w:hAnsi="Garamond" w:cs="Times New Roman"/>
          <w:sz w:val="24"/>
          <w:szCs w:val="24"/>
          <w:lang w:val="en-GB"/>
        </w:rPr>
        <w:t xml:space="preserve"> Ferreira, 2009; Atif </w:t>
      </w:r>
      <w:r w:rsidRPr="00DB6C99">
        <w:rPr>
          <w:rFonts w:ascii="Garamond" w:eastAsia="Calibri" w:hAnsi="Garamond" w:cs="Times New Roman"/>
          <w:i/>
          <w:iCs/>
          <w:sz w:val="24"/>
          <w:szCs w:val="24"/>
          <w:lang w:val="en-GB"/>
        </w:rPr>
        <w:t>et al</w:t>
      </w:r>
      <w:r w:rsidRPr="00DB6C99">
        <w:rPr>
          <w:rFonts w:ascii="Garamond" w:eastAsia="Calibri" w:hAnsi="Garamond" w:cs="Times New Roman"/>
          <w:sz w:val="24"/>
          <w:szCs w:val="24"/>
          <w:lang w:val="en-GB"/>
        </w:rPr>
        <w:t xml:space="preserve">., 2020; Usman </w:t>
      </w:r>
      <w:r w:rsidRPr="00DB6C99">
        <w:rPr>
          <w:rFonts w:ascii="Garamond" w:eastAsia="Calibri" w:hAnsi="Garamond" w:cs="Times New Roman"/>
          <w:i/>
          <w:iCs/>
          <w:sz w:val="24"/>
          <w:szCs w:val="24"/>
          <w:lang w:val="en-GB"/>
        </w:rPr>
        <w:t>et al</w:t>
      </w:r>
      <w:r w:rsidRPr="00DB6C99">
        <w:rPr>
          <w:rFonts w:ascii="Garamond" w:eastAsia="Calibri" w:hAnsi="Garamond" w:cs="Times New Roman"/>
          <w:sz w:val="24"/>
          <w:szCs w:val="24"/>
          <w:lang w:val="en-GB"/>
        </w:rPr>
        <w:t>., 2022</w:t>
      </w:r>
      <w:r w:rsidR="003A7172" w:rsidRPr="00DB6C99">
        <w:rPr>
          <w:rFonts w:ascii="Garamond" w:eastAsia="Calibri" w:hAnsi="Garamond" w:cs="Times New Roman"/>
          <w:sz w:val="24"/>
          <w:szCs w:val="24"/>
          <w:lang w:val="en-GB"/>
        </w:rPr>
        <w:t xml:space="preserve">; Zalata </w:t>
      </w:r>
      <w:r w:rsidR="003A7172" w:rsidRPr="00DB6C99">
        <w:rPr>
          <w:rFonts w:ascii="Garamond" w:eastAsia="Calibri" w:hAnsi="Garamond" w:cs="Times New Roman"/>
          <w:i/>
          <w:iCs/>
          <w:sz w:val="24"/>
          <w:szCs w:val="24"/>
          <w:lang w:val="en-GB"/>
        </w:rPr>
        <w:t>et al</w:t>
      </w:r>
      <w:r w:rsidR="003A7172" w:rsidRPr="00DB6C99">
        <w:rPr>
          <w:rFonts w:ascii="Garamond" w:eastAsia="Calibri" w:hAnsi="Garamond" w:cs="Times New Roman"/>
          <w:sz w:val="24"/>
          <w:szCs w:val="24"/>
          <w:lang w:val="en-GB"/>
        </w:rPr>
        <w:t>., 2019</w:t>
      </w:r>
      <w:r w:rsidRPr="00DB6C99">
        <w:rPr>
          <w:rFonts w:ascii="Garamond" w:eastAsia="Calibri" w:hAnsi="Garamond" w:cs="Times New Roman"/>
          <w:sz w:val="24"/>
          <w:szCs w:val="24"/>
          <w:lang w:val="en-GB"/>
        </w:rPr>
        <w:t xml:space="preserve">). The main challenge is to find valid instruments </w:t>
      </w:r>
      <w:r w:rsidR="003A7172" w:rsidRPr="00DB6C99">
        <w:rPr>
          <w:rFonts w:ascii="Garamond" w:eastAsia="Calibri" w:hAnsi="Garamond" w:cs="Times New Roman"/>
          <w:sz w:val="24"/>
          <w:szCs w:val="24"/>
          <w:lang w:val="en-GB"/>
        </w:rPr>
        <w:t xml:space="preserve">that </w:t>
      </w:r>
      <w:r w:rsidRPr="00DB6C99">
        <w:rPr>
          <w:rFonts w:ascii="Garamond" w:eastAsia="Calibri" w:hAnsi="Garamond" w:cs="Times New Roman"/>
          <w:sz w:val="24"/>
          <w:szCs w:val="24"/>
          <w:lang w:val="en-GB"/>
        </w:rPr>
        <w:t xml:space="preserve">are neither directly nor indirectly associated with the dependent variable. Following </w:t>
      </w:r>
      <w:r w:rsidR="003A7172" w:rsidRPr="00DB6C99">
        <w:rPr>
          <w:rFonts w:ascii="Garamond" w:eastAsia="Calibri" w:hAnsi="Garamond" w:cs="Times New Roman"/>
          <w:sz w:val="24"/>
          <w:szCs w:val="24"/>
          <w:lang w:val="en-GB"/>
        </w:rPr>
        <w:t xml:space="preserve">extant </w:t>
      </w:r>
      <w:r w:rsidRPr="00DB6C99">
        <w:rPr>
          <w:rFonts w:ascii="Garamond" w:eastAsia="Calibri" w:hAnsi="Garamond" w:cs="Times New Roman"/>
          <w:sz w:val="24"/>
          <w:szCs w:val="24"/>
          <w:lang w:val="en-GB"/>
        </w:rPr>
        <w:t xml:space="preserve">literature (see Adams </w:t>
      </w:r>
      <w:r w:rsidR="003A7172" w:rsidRPr="00DB6C99">
        <w:rPr>
          <w:rFonts w:ascii="Garamond" w:eastAsia="Calibri" w:hAnsi="Garamond" w:cs="Times New Roman"/>
          <w:sz w:val="24"/>
          <w:szCs w:val="24"/>
          <w:lang w:val="en-GB"/>
        </w:rPr>
        <w:t>and</w:t>
      </w:r>
      <w:r w:rsidRPr="00DB6C99">
        <w:rPr>
          <w:rFonts w:ascii="Garamond" w:eastAsia="Calibri" w:hAnsi="Garamond" w:cs="Times New Roman"/>
          <w:sz w:val="24"/>
          <w:szCs w:val="24"/>
          <w:lang w:val="en-GB"/>
        </w:rPr>
        <w:t xml:space="preserve"> Ferreira, 2009; </w:t>
      </w:r>
      <w:r w:rsidR="008E45BA" w:rsidRPr="00DB6C99">
        <w:rPr>
          <w:rFonts w:ascii="Garamond" w:eastAsia="Calibri" w:hAnsi="Garamond" w:cs="Times New Roman"/>
          <w:sz w:val="24"/>
          <w:szCs w:val="24"/>
          <w:lang w:val="en-GB"/>
        </w:rPr>
        <w:t xml:space="preserve">Gull, Atif and Hussain, </w:t>
      </w:r>
      <w:r w:rsidR="003A7172" w:rsidRPr="00DB6C99">
        <w:rPr>
          <w:rFonts w:ascii="Garamond" w:eastAsia="Calibri" w:hAnsi="Garamond" w:cs="Times New Roman"/>
          <w:sz w:val="24"/>
          <w:szCs w:val="24"/>
          <w:lang w:val="en-GB"/>
        </w:rPr>
        <w:t xml:space="preserve">2022; </w:t>
      </w:r>
      <w:r w:rsidRPr="00DB6C99">
        <w:rPr>
          <w:rFonts w:ascii="Garamond" w:eastAsia="Calibri" w:hAnsi="Garamond" w:cs="Times New Roman"/>
          <w:sz w:val="24"/>
          <w:szCs w:val="24"/>
          <w:lang w:val="en-GB"/>
        </w:rPr>
        <w:t xml:space="preserve">Usman </w:t>
      </w:r>
      <w:r w:rsidRPr="00DB6C99">
        <w:rPr>
          <w:rFonts w:ascii="Garamond" w:eastAsia="Calibri" w:hAnsi="Garamond" w:cs="Times New Roman"/>
          <w:i/>
          <w:sz w:val="24"/>
          <w:szCs w:val="24"/>
          <w:lang w:val="en-GB"/>
        </w:rPr>
        <w:t>et al.</w:t>
      </w:r>
      <w:r w:rsidRPr="00DB6C99">
        <w:rPr>
          <w:rFonts w:ascii="Garamond" w:eastAsia="Calibri" w:hAnsi="Garamond" w:cs="Times New Roman"/>
          <w:sz w:val="24"/>
          <w:szCs w:val="24"/>
          <w:lang w:val="en-GB"/>
        </w:rPr>
        <w:t>, 2022), we use board connections with female directors (</w:t>
      </w:r>
      <w:r w:rsidRPr="00DB6C99">
        <w:rPr>
          <w:rFonts w:ascii="Garamond" w:eastAsia="Calibri" w:hAnsi="Garamond" w:cs="Times New Roman"/>
          <w:i/>
          <w:iCs/>
          <w:sz w:val="24"/>
          <w:szCs w:val="24"/>
          <w:lang w:val="en-GB"/>
        </w:rPr>
        <w:t>BOARD_CONNECT</w:t>
      </w:r>
      <w:r w:rsidRPr="00DB6C99">
        <w:rPr>
          <w:rFonts w:ascii="Garamond" w:eastAsia="Calibri" w:hAnsi="Garamond" w:cs="Times New Roman"/>
          <w:sz w:val="24"/>
          <w:szCs w:val="24"/>
          <w:lang w:val="en-GB"/>
        </w:rPr>
        <w:t>) and the female</w:t>
      </w:r>
      <w:r w:rsidR="003A7172"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to</w:t>
      </w:r>
      <w:r w:rsidR="003A7172"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male</w:t>
      </w:r>
      <w:r w:rsidR="003A7172"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directors</w:t>
      </w:r>
      <w:r w:rsidR="000D139C"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 xml:space="preserve"> ratio by headquarter city</w:t>
      </w:r>
      <w:r w:rsidRPr="00DB6C99">
        <w:rPr>
          <w:rFonts w:ascii="Garamond" w:eastAsia="Calibri" w:hAnsi="Garamond" w:cs="Times New Roman"/>
          <w:i/>
          <w:iCs/>
          <w:sz w:val="24"/>
          <w:szCs w:val="24"/>
          <w:lang w:val="en-GB"/>
        </w:rPr>
        <w:t xml:space="preserve"> </w:t>
      </w:r>
      <w:r w:rsidRPr="00DB6C99">
        <w:rPr>
          <w:rFonts w:ascii="Garamond" w:eastAsia="Calibri" w:hAnsi="Garamond" w:cs="Times New Roman"/>
          <w:sz w:val="24"/>
          <w:szCs w:val="24"/>
          <w:lang w:val="en-GB"/>
        </w:rPr>
        <w:lastRenderedPageBreak/>
        <w:t>(</w:t>
      </w:r>
      <w:r w:rsidRPr="00DB6C99">
        <w:rPr>
          <w:rFonts w:ascii="Garamond" w:eastAsia="Calibri" w:hAnsi="Garamond" w:cs="Times New Roman"/>
          <w:i/>
          <w:iCs/>
          <w:sz w:val="24"/>
          <w:szCs w:val="24"/>
          <w:lang w:val="en-GB"/>
        </w:rPr>
        <w:t>FEM/MALE_HQ</w:t>
      </w:r>
      <w:r w:rsidRPr="00DB6C99">
        <w:rPr>
          <w:rFonts w:ascii="Garamond" w:eastAsia="Calibri" w:hAnsi="Garamond" w:cs="Times New Roman"/>
          <w:sz w:val="24"/>
          <w:szCs w:val="24"/>
          <w:lang w:val="en-GB"/>
        </w:rPr>
        <w:t xml:space="preserve">), which are likely to affect the level of BGD but unlikely to be associated with our dependent variable. As expected, the first-stage regression results reported in Table 11 under </w:t>
      </w:r>
      <w:r w:rsidR="003A7172" w:rsidRPr="00DB6C99">
        <w:rPr>
          <w:rFonts w:ascii="Garamond" w:eastAsia="Calibri" w:hAnsi="Garamond" w:cs="Times New Roman"/>
          <w:sz w:val="24"/>
          <w:szCs w:val="24"/>
          <w:lang w:val="en-GB"/>
        </w:rPr>
        <w:t xml:space="preserve">the </w:t>
      </w:r>
      <w:r w:rsidRPr="00DB6C99">
        <w:rPr>
          <w:rFonts w:ascii="Garamond" w:eastAsia="Calibri" w:hAnsi="Garamond" w:cs="Times New Roman"/>
          <w:sz w:val="24"/>
          <w:szCs w:val="24"/>
          <w:lang w:val="en-GB"/>
        </w:rPr>
        <w:t xml:space="preserve">2SLS column show that the coefficient on </w:t>
      </w:r>
      <w:r w:rsidRPr="00DB6C99">
        <w:rPr>
          <w:rFonts w:ascii="Garamond" w:eastAsia="Calibri" w:hAnsi="Garamond" w:cs="Times New Roman"/>
          <w:i/>
          <w:iCs/>
          <w:sz w:val="24"/>
          <w:szCs w:val="24"/>
          <w:lang w:val="en-GB"/>
        </w:rPr>
        <w:t>BOARD_CONNECT</w:t>
      </w:r>
      <w:r w:rsidRPr="00DB6C99">
        <w:rPr>
          <w:rFonts w:ascii="Garamond" w:eastAsia="Calibri" w:hAnsi="Garamond" w:cs="Times New Roman"/>
          <w:sz w:val="24"/>
          <w:szCs w:val="24"/>
          <w:lang w:val="en-GB"/>
        </w:rPr>
        <w:t xml:space="preserve"> and </w:t>
      </w:r>
      <w:r w:rsidRPr="00DB6C99">
        <w:rPr>
          <w:rFonts w:ascii="Garamond" w:eastAsia="Calibri" w:hAnsi="Garamond" w:cs="Times New Roman"/>
          <w:i/>
          <w:iCs/>
          <w:sz w:val="24"/>
          <w:szCs w:val="24"/>
          <w:lang w:val="en-GB"/>
        </w:rPr>
        <w:t>FEM/MALE_HQ</w:t>
      </w:r>
      <w:r w:rsidRPr="00DB6C99">
        <w:rPr>
          <w:rFonts w:ascii="Garamond" w:eastAsia="Calibri" w:hAnsi="Garamond" w:cs="Times New Roman"/>
          <w:sz w:val="24"/>
          <w:szCs w:val="24"/>
          <w:lang w:val="en-GB"/>
        </w:rPr>
        <w:t xml:space="preserve"> is positive and highly significant. We test the validity of our instrument in several other ways. First, the </w:t>
      </w:r>
      <w:r w:rsidRPr="00DB6C99">
        <w:rPr>
          <w:rFonts w:ascii="Garamond" w:eastAsia="Calibri" w:hAnsi="Garamond" w:cs="Times New Roman"/>
          <w:i/>
          <w:iCs/>
          <w:sz w:val="24"/>
          <w:szCs w:val="24"/>
          <w:lang w:val="en-GB"/>
        </w:rPr>
        <w:t>F-statistic</w:t>
      </w:r>
      <w:r w:rsidRPr="00DB6C99">
        <w:rPr>
          <w:rFonts w:ascii="Garamond" w:eastAsia="Calibri" w:hAnsi="Garamond" w:cs="Times New Roman"/>
          <w:sz w:val="24"/>
          <w:szCs w:val="24"/>
          <w:lang w:val="en-GB"/>
        </w:rPr>
        <w:t xml:space="preserve"> of the first</w:t>
      </w:r>
      <w:r w:rsidR="00633885" w:rsidRPr="00DB6C99">
        <w:rPr>
          <w:rFonts w:ascii="Garamond" w:eastAsia="Calibri" w:hAnsi="Garamond" w:cs="Times New Roman"/>
          <w:sz w:val="24"/>
          <w:szCs w:val="24"/>
          <w:lang w:val="en-GB"/>
        </w:rPr>
        <w:t>-</w:t>
      </w:r>
      <w:r w:rsidR="009D67AF" w:rsidRPr="00DB6C99">
        <w:rPr>
          <w:rFonts w:ascii="Garamond" w:eastAsia="Calibri" w:hAnsi="Garamond" w:cs="Times New Roman"/>
          <w:sz w:val="24"/>
          <w:szCs w:val="24"/>
          <w:lang w:val="en-GB"/>
        </w:rPr>
        <w:t>stage regression is 23.06</w:t>
      </w:r>
      <w:r w:rsidR="003A7172"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 xml:space="preserve"> higher than the recommended value of 10. Second, the Kleibergen-Paap rk </w:t>
      </w:r>
      <w:r w:rsidRPr="00DB6C99">
        <w:rPr>
          <w:rFonts w:ascii="Garamond" w:eastAsia="Calibri" w:hAnsi="Garamond" w:cs="Times New Roman"/>
          <w:i/>
          <w:iCs/>
          <w:sz w:val="24"/>
          <w:szCs w:val="24"/>
          <w:lang w:val="en-GB"/>
        </w:rPr>
        <w:t>LM-statistic</w:t>
      </w:r>
      <w:r w:rsidRPr="00DB6C99">
        <w:rPr>
          <w:rFonts w:ascii="Garamond" w:eastAsia="Calibri" w:hAnsi="Garamond" w:cs="Times New Roman"/>
          <w:sz w:val="24"/>
          <w:szCs w:val="24"/>
          <w:lang w:val="en-GB"/>
        </w:rPr>
        <w:t xml:space="preserve"> </w:t>
      </w:r>
      <w:r w:rsidR="003A7172" w:rsidRPr="00DB6C99">
        <w:rPr>
          <w:rFonts w:ascii="Garamond" w:eastAsia="Calibri" w:hAnsi="Garamond" w:cs="Times New Roman"/>
          <w:sz w:val="24"/>
          <w:szCs w:val="24"/>
          <w:lang w:val="en-GB"/>
        </w:rPr>
        <w:t xml:space="preserve">(under-identification test) </w:t>
      </w:r>
      <w:r w:rsidRPr="00DB6C99">
        <w:rPr>
          <w:rFonts w:ascii="Garamond" w:eastAsia="Calibri" w:hAnsi="Garamond" w:cs="Times New Roman"/>
          <w:sz w:val="24"/>
          <w:szCs w:val="24"/>
          <w:lang w:val="en-GB"/>
        </w:rPr>
        <w:t xml:space="preserve">is statistically significant, suggesting the model is not under-identified. Third, the Cragg-Donald Wald </w:t>
      </w:r>
      <w:r w:rsidRPr="00DB6C99">
        <w:rPr>
          <w:rFonts w:ascii="Garamond" w:eastAsia="Calibri" w:hAnsi="Garamond" w:cs="Times New Roman"/>
          <w:i/>
          <w:iCs/>
          <w:sz w:val="24"/>
          <w:szCs w:val="24"/>
          <w:lang w:val="en-GB"/>
        </w:rPr>
        <w:t>F-statistic</w:t>
      </w:r>
      <w:r w:rsidRPr="00DB6C99">
        <w:rPr>
          <w:rFonts w:ascii="Garamond" w:eastAsia="Calibri" w:hAnsi="Garamond" w:cs="Times New Roman"/>
          <w:sz w:val="24"/>
          <w:szCs w:val="24"/>
          <w:lang w:val="en-GB"/>
        </w:rPr>
        <w:t xml:space="preserve"> is higher than </w:t>
      </w:r>
      <w:r w:rsidR="00EB67EB" w:rsidRPr="00DB6C99">
        <w:rPr>
          <w:rFonts w:ascii="Garamond" w:eastAsia="Calibri" w:hAnsi="Garamond" w:cs="Times New Roman"/>
          <w:sz w:val="24"/>
          <w:szCs w:val="24"/>
          <w:lang w:val="en-GB"/>
        </w:rPr>
        <w:t xml:space="preserve">the </w:t>
      </w:r>
      <w:r w:rsidRPr="00DB6C99">
        <w:rPr>
          <w:rFonts w:ascii="Garamond" w:eastAsia="Calibri" w:hAnsi="Garamond" w:cs="Times New Roman"/>
          <w:sz w:val="24"/>
          <w:szCs w:val="24"/>
          <w:lang w:val="en-GB"/>
        </w:rPr>
        <w:t xml:space="preserve">Stock-Yogo weak ID test critical value at </w:t>
      </w:r>
      <w:r w:rsidR="00221973" w:rsidRPr="00DB6C99">
        <w:rPr>
          <w:rFonts w:ascii="Garamond" w:eastAsia="Calibri" w:hAnsi="Garamond" w:cs="Times New Roman"/>
          <w:sz w:val="24"/>
          <w:szCs w:val="24"/>
          <w:lang w:val="en-GB"/>
        </w:rPr>
        <w:t xml:space="preserve">the </w:t>
      </w:r>
      <w:r w:rsidRPr="00DB6C99">
        <w:rPr>
          <w:rFonts w:ascii="Garamond" w:eastAsia="Calibri" w:hAnsi="Garamond" w:cs="Times New Roman"/>
          <w:sz w:val="24"/>
          <w:szCs w:val="24"/>
          <w:lang w:val="en-GB"/>
        </w:rPr>
        <w:t>10% IV size (weak identification test), suggesting that our instrument is not weak. Finally, the over-identification test of instruments</w:t>
      </w:r>
      <w:r w:rsidR="00221973"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 xml:space="preserve"> i.e., the insignificant Sargan (</w:t>
      </w:r>
      <w:r w:rsidRPr="00DB6C99">
        <w:rPr>
          <w:rFonts w:ascii="Garamond" w:eastAsia="Calibri" w:hAnsi="Garamond" w:cs="Times New Roman"/>
          <w:i/>
          <w:iCs/>
          <w:sz w:val="24"/>
          <w:szCs w:val="24"/>
          <w:lang w:val="en-GB"/>
        </w:rPr>
        <w:t>p-value</w:t>
      </w:r>
      <w:r w:rsidRPr="00DB6C99">
        <w:rPr>
          <w:rFonts w:ascii="Garamond" w:eastAsia="Calibri" w:hAnsi="Garamond" w:cs="Times New Roman"/>
          <w:sz w:val="24"/>
          <w:szCs w:val="24"/>
          <w:lang w:val="en-GB"/>
        </w:rPr>
        <w:t>)</w:t>
      </w:r>
      <w:r w:rsidR="00221973"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 xml:space="preserve"> confirms that </w:t>
      </w:r>
      <w:r w:rsidR="00221973" w:rsidRPr="00DB6C99">
        <w:rPr>
          <w:rFonts w:ascii="Garamond" w:eastAsia="Calibri" w:hAnsi="Garamond" w:cs="Times New Roman"/>
          <w:sz w:val="24"/>
          <w:szCs w:val="24"/>
          <w:lang w:val="en-GB"/>
        </w:rPr>
        <w:t xml:space="preserve">the </w:t>
      </w:r>
      <w:r w:rsidRPr="00DB6C99">
        <w:rPr>
          <w:rFonts w:ascii="Garamond" w:eastAsia="Calibri" w:hAnsi="Garamond" w:cs="Times New Roman"/>
          <w:sz w:val="24"/>
          <w:szCs w:val="24"/>
          <w:lang w:val="en-GB"/>
        </w:rPr>
        <w:t>instruments are not over-identified. The second</w:t>
      </w:r>
      <w:r w:rsidR="00633885"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 xml:space="preserve">stage results are reported in Table 11 under </w:t>
      </w:r>
      <w:r w:rsidR="00221973" w:rsidRPr="00DB6C99">
        <w:rPr>
          <w:rFonts w:ascii="Garamond" w:eastAsia="Calibri" w:hAnsi="Garamond" w:cs="Times New Roman"/>
          <w:sz w:val="24"/>
          <w:szCs w:val="24"/>
          <w:lang w:val="en-GB"/>
        </w:rPr>
        <w:t xml:space="preserve">the </w:t>
      </w:r>
      <w:r w:rsidRPr="00DB6C99">
        <w:rPr>
          <w:rFonts w:ascii="Garamond" w:eastAsia="Calibri" w:hAnsi="Garamond" w:cs="Times New Roman"/>
          <w:sz w:val="24"/>
          <w:szCs w:val="24"/>
          <w:lang w:val="en-GB"/>
        </w:rPr>
        <w:t xml:space="preserve">2SLS column. These show that the coefficient on </w:t>
      </w:r>
      <w:r w:rsidRPr="00DB6C99">
        <w:rPr>
          <w:rFonts w:ascii="Garamond" w:eastAsia="Calibri" w:hAnsi="Garamond" w:cs="Times New Roman"/>
          <w:i/>
          <w:iCs/>
          <w:sz w:val="24"/>
          <w:szCs w:val="24"/>
          <w:lang w:val="en-GB"/>
        </w:rPr>
        <w:t>FPRO</w:t>
      </w:r>
      <w:r w:rsidRPr="00DB6C99">
        <w:rPr>
          <w:rFonts w:ascii="Garamond" w:eastAsia="Calibri" w:hAnsi="Garamond" w:cs="Times New Roman"/>
          <w:sz w:val="24"/>
          <w:szCs w:val="24"/>
          <w:lang w:val="en-GB"/>
        </w:rPr>
        <w:t xml:space="preserve"> </w:t>
      </w:r>
      <w:r w:rsidR="00221973" w:rsidRPr="00DB6C99">
        <w:rPr>
          <w:rFonts w:ascii="Garamond" w:eastAsia="Calibri" w:hAnsi="Garamond" w:cs="Times New Roman"/>
          <w:sz w:val="24"/>
          <w:szCs w:val="24"/>
          <w:lang w:val="en-GB"/>
        </w:rPr>
        <w:t>remains</w:t>
      </w:r>
      <w:r w:rsidRPr="00DB6C99">
        <w:rPr>
          <w:rFonts w:ascii="Garamond" w:eastAsia="Calibri" w:hAnsi="Garamond" w:cs="Times New Roman"/>
          <w:sz w:val="24"/>
          <w:szCs w:val="24"/>
          <w:lang w:val="en-GB"/>
        </w:rPr>
        <w:t xml:space="preserve"> negative and statistically significant. </w:t>
      </w:r>
    </w:p>
    <w:p w14:paraId="2DF4C419" w14:textId="6DF94595" w:rsidR="004A1788" w:rsidRPr="00DB6C99" w:rsidRDefault="004A1788" w:rsidP="004A1788">
      <w:pPr>
        <w:spacing w:line="360" w:lineRule="auto"/>
        <w:jc w:val="center"/>
        <w:rPr>
          <w:rFonts w:ascii="Garamond" w:eastAsia="Calibri" w:hAnsi="Garamond" w:cs="Times New Roman"/>
          <w:sz w:val="24"/>
          <w:szCs w:val="24"/>
          <w:lang w:val="en-GB"/>
        </w:rPr>
      </w:pPr>
      <w:r w:rsidRPr="00DB6C99">
        <w:rPr>
          <w:rFonts w:ascii="Garamond" w:eastAsia="Calibri" w:hAnsi="Garamond" w:cs="Times New Roman"/>
          <w:b/>
          <w:bCs/>
          <w:sz w:val="24"/>
          <w:szCs w:val="24"/>
          <w:lang w:val="en-GB"/>
        </w:rPr>
        <w:t>[Insert Table</w:t>
      </w:r>
      <w:r w:rsidR="00221973" w:rsidRPr="00DB6C99">
        <w:rPr>
          <w:rFonts w:ascii="Garamond" w:eastAsia="Calibri" w:hAnsi="Garamond" w:cs="Times New Roman"/>
          <w:b/>
          <w:bCs/>
          <w:sz w:val="24"/>
          <w:szCs w:val="24"/>
          <w:lang w:val="en-GB"/>
        </w:rPr>
        <w:t>s</w:t>
      </w:r>
      <w:r w:rsidRPr="00DB6C99">
        <w:rPr>
          <w:rFonts w:ascii="Garamond" w:eastAsia="Calibri" w:hAnsi="Garamond" w:cs="Times New Roman"/>
          <w:b/>
          <w:bCs/>
          <w:sz w:val="24"/>
          <w:szCs w:val="24"/>
          <w:lang w:val="en-GB"/>
        </w:rPr>
        <w:t xml:space="preserve"> 11 &amp; 12 here]</w:t>
      </w:r>
    </w:p>
    <w:p w14:paraId="2213AD4E" w14:textId="65C482EF" w:rsidR="004A1788" w:rsidRPr="00DB6C99" w:rsidRDefault="004A1788" w:rsidP="004A1788">
      <w:pPr>
        <w:spacing w:line="360" w:lineRule="auto"/>
        <w:jc w:val="both"/>
        <w:rPr>
          <w:rFonts w:ascii="Garamond" w:eastAsia="Calibri" w:hAnsi="Garamond" w:cs="Times New Roman"/>
          <w:b/>
          <w:sz w:val="24"/>
          <w:szCs w:val="24"/>
          <w:lang w:val="en-GB"/>
        </w:rPr>
      </w:pPr>
      <w:r w:rsidRPr="00DB6C99">
        <w:rPr>
          <w:rFonts w:ascii="Garamond" w:eastAsia="Calibri" w:hAnsi="Garamond" w:cs="Times New Roman"/>
          <w:b/>
          <w:sz w:val="24"/>
          <w:szCs w:val="24"/>
          <w:lang w:val="en-GB"/>
        </w:rPr>
        <w:t xml:space="preserve">Discussion </w:t>
      </w:r>
      <w:r w:rsidR="00221973" w:rsidRPr="00DB6C99">
        <w:rPr>
          <w:rFonts w:ascii="Garamond" w:eastAsia="Calibri" w:hAnsi="Garamond" w:cs="Times New Roman"/>
          <w:b/>
          <w:sz w:val="24"/>
          <w:szCs w:val="24"/>
          <w:lang w:val="en-GB"/>
        </w:rPr>
        <w:t>and</w:t>
      </w:r>
      <w:r w:rsidRPr="00DB6C99">
        <w:rPr>
          <w:rFonts w:ascii="Garamond" w:eastAsia="Calibri" w:hAnsi="Garamond" w:cs="Times New Roman"/>
          <w:b/>
          <w:sz w:val="24"/>
          <w:szCs w:val="24"/>
          <w:lang w:val="en-GB"/>
        </w:rPr>
        <w:t xml:space="preserve"> Conclusions</w:t>
      </w:r>
    </w:p>
    <w:p w14:paraId="67EC41FB" w14:textId="0957D223" w:rsidR="004A1788" w:rsidRPr="00DB6C99" w:rsidRDefault="004A1788" w:rsidP="004A1788">
      <w:pPr>
        <w:spacing w:line="360" w:lineRule="auto"/>
        <w:ind w:firstLine="720"/>
        <w:jc w:val="both"/>
        <w:rPr>
          <w:rFonts w:ascii="Garamond" w:eastAsia="Calibri" w:hAnsi="Garamond" w:cs="Times New Roman"/>
          <w:sz w:val="24"/>
          <w:szCs w:val="24"/>
          <w:lang w:val="en-GB"/>
        </w:rPr>
      </w:pPr>
      <w:r w:rsidRPr="00DB6C99">
        <w:rPr>
          <w:rFonts w:ascii="Garamond" w:eastAsia="Calibri" w:hAnsi="Garamond" w:cs="Times New Roman"/>
          <w:sz w:val="24"/>
          <w:szCs w:val="24"/>
          <w:lang w:val="en-GB"/>
        </w:rPr>
        <w:t>The main objective of this study is to examine the relationship between BGD and CSR decoupling. It is well documented that firms often experience misalignment between internal CSR activities and external CSR communication</w:t>
      </w:r>
      <w:r w:rsidR="001052C0"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 xml:space="preserve"> which is value destroying for the firm and its stakeholders (Hawn </w:t>
      </w:r>
      <w:r w:rsidR="001052C0" w:rsidRPr="00DB6C99">
        <w:rPr>
          <w:rFonts w:ascii="Garamond" w:eastAsia="Calibri" w:hAnsi="Garamond" w:cs="Times New Roman"/>
          <w:sz w:val="24"/>
          <w:szCs w:val="24"/>
          <w:lang w:val="en-GB"/>
        </w:rPr>
        <w:t>and</w:t>
      </w:r>
      <w:r w:rsidRPr="00DB6C99">
        <w:rPr>
          <w:rFonts w:ascii="Garamond" w:eastAsia="Calibri" w:hAnsi="Garamond" w:cs="Times New Roman"/>
          <w:sz w:val="24"/>
          <w:szCs w:val="24"/>
          <w:lang w:val="en-GB"/>
        </w:rPr>
        <w:t xml:space="preserve"> Ioannou, 2016; Garc</w:t>
      </w:r>
      <w:r w:rsidR="005A2DF4" w:rsidRPr="00DB6C99">
        <w:rPr>
          <w:rFonts w:ascii="Garamond" w:eastAsia="Calibri" w:hAnsi="Garamond" w:cs="Times New Roman"/>
          <w:sz w:val="24"/>
          <w:szCs w:val="24"/>
          <w:lang w:val="en-GB"/>
        </w:rPr>
        <w:t>í</w:t>
      </w:r>
      <w:r w:rsidRPr="00DB6C99">
        <w:rPr>
          <w:rFonts w:ascii="Garamond" w:eastAsia="Calibri" w:hAnsi="Garamond" w:cs="Times New Roman"/>
          <w:sz w:val="24"/>
          <w:szCs w:val="24"/>
          <w:lang w:val="en-GB"/>
        </w:rPr>
        <w:t>a-S</w:t>
      </w:r>
      <w:r w:rsidR="005A2DF4" w:rsidRPr="00DB6C99">
        <w:rPr>
          <w:rFonts w:ascii="Garamond" w:eastAsia="Calibri" w:hAnsi="Garamond" w:cs="Times New Roman"/>
          <w:sz w:val="24"/>
          <w:szCs w:val="24"/>
          <w:lang w:val="en-GB"/>
        </w:rPr>
        <w:t>á</w:t>
      </w:r>
      <w:r w:rsidRPr="00DB6C99">
        <w:rPr>
          <w:rFonts w:ascii="Garamond" w:eastAsia="Calibri" w:hAnsi="Garamond" w:cs="Times New Roman"/>
          <w:sz w:val="24"/>
          <w:szCs w:val="24"/>
          <w:lang w:val="en-GB"/>
        </w:rPr>
        <w:t xml:space="preserve">nchez </w:t>
      </w:r>
      <w:r w:rsidRPr="00DB6C99">
        <w:rPr>
          <w:rFonts w:ascii="Garamond" w:eastAsia="Calibri" w:hAnsi="Garamond" w:cs="Times New Roman"/>
          <w:i/>
          <w:sz w:val="24"/>
          <w:szCs w:val="24"/>
          <w:lang w:val="en-GB"/>
        </w:rPr>
        <w:t>et al.</w:t>
      </w:r>
      <w:r w:rsidRPr="00DB6C99">
        <w:rPr>
          <w:rFonts w:ascii="Garamond" w:eastAsia="Calibri" w:hAnsi="Garamond" w:cs="Times New Roman"/>
          <w:sz w:val="24"/>
          <w:szCs w:val="24"/>
          <w:lang w:val="en-GB"/>
        </w:rPr>
        <w:t xml:space="preserve">, 2020). CSR decoupling can be viewed as managerial opportunism that arises due to </w:t>
      </w:r>
      <w:r w:rsidR="000B7189" w:rsidRPr="00DB6C99">
        <w:rPr>
          <w:rFonts w:ascii="Garamond" w:eastAsia="Calibri" w:hAnsi="Garamond" w:cs="Times New Roman"/>
          <w:sz w:val="24"/>
          <w:szCs w:val="24"/>
          <w:lang w:val="en-GB"/>
        </w:rPr>
        <w:t>the</w:t>
      </w:r>
      <w:r w:rsidRPr="00DB6C99">
        <w:rPr>
          <w:rFonts w:ascii="Garamond" w:eastAsia="Calibri" w:hAnsi="Garamond" w:cs="Times New Roman"/>
          <w:sz w:val="24"/>
          <w:szCs w:val="24"/>
          <w:lang w:val="en-GB"/>
        </w:rPr>
        <w:t xml:space="preserve"> exploitation of information asymmetry between firms and stakeholders (Jain, 2017). Despite </w:t>
      </w:r>
      <w:r w:rsidR="00C34008" w:rsidRPr="00DB6C99">
        <w:rPr>
          <w:rFonts w:ascii="Garamond" w:eastAsia="Calibri" w:hAnsi="Garamond" w:cs="Times New Roman"/>
          <w:sz w:val="24"/>
          <w:szCs w:val="24"/>
          <w:lang w:val="en-GB"/>
        </w:rPr>
        <w:t xml:space="preserve">its </w:t>
      </w:r>
      <w:r w:rsidRPr="00DB6C99">
        <w:rPr>
          <w:rFonts w:ascii="Garamond" w:eastAsia="Calibri" w:hAnsi="Garamond" w:cs="Times New Roman"/>
          <w:sz w:val="24"/>
          <w:szCs w:val="24"/>
          <w:lang w:val="en-GB"/>
        </w:rPr>
        <w:t>harmful consequence</w:t>
      </w:r>
      <w:r w:rsidR="000B7189" w:rsidRPr="00DB6C99">
        <w:rPr>
          <w:rFonts w:ascii="Garamond" w:eastAsia="Calibri" w:hAnsi="Garamond" w:cs="Times New Roman"/>
          <w:sz w:val="24"/>
          <w:szCs w:val="24"/>
          <w:lang w:val="en-GB"/>
        </w:rPr>
        <w:t>s</w:t>
      </w:r>
      <w:r w:rsidRPr="00DB6C99">
        <w:rPr>
          <w:rFonts w:ascii="Garamond" w:eastAsia="Calibri" w:hAnsi="Garamond" w:cs="Times New Roman"/>
          <w:sz w:val="24"/>
          <w:szCs w:val="24"/>
          <w:lang w:val="en-GB"/>
        </w:rPr>
        <w:t xml:space="preserve">, </w:t>
      </w:r>
      <w:r w:rsidR="009D67AF" w:rsidRPr="00DB6C99">
        <w:rPr>
          <w:rFonts w:ascii="Garamond" w:eastAsia="Calibri" w:hAnsi="Garamond" w:cs="Times New Roman"/>
          <w:sz w:val="24"/>
          <w:szCs w:val="24"/>
          <w:lang w:val="en-GB"/>
        </w:rPr>
        <w:t>the role of</w:t>
      </w:r>
      <w:r w:rsidRPr="00DB6C99">
        <w:rPr>
          <w:rFonts w:ascii="Garamond" w:eastAsia="Calibri" w:hAnsi="Garamond" w:cs="Times New Roman"/>
          <w:sz w:val="24"/>
          <w:szCs w:val="24"/>
          <w:lang w:val="en-GB"/>
        </w:rPr>
        <w:t xml:space="preserve"> internal CG monitoring</w:t>
      </w:r>
      <w:r w:rsidR="009D67AF" w:rsidRPr="00DB6C99">
        <w:rPr>
          <w:rFonts w:ascii="Garamond" w:eastAsia="Calibri" w:hAnsi="Garamond" w:cs="Times New Roman"/>
          <w:sz w:val="24"/>
          <w:szCs w:val="24"/>
          <w:lang w:val="en-GB"/>
        </w:rPr>
        <w:t xml:space="preserve"> in relation to CSR decoupling is</w:t>
      </w:r>
      <w:r w:rsidRPr="00DB6C99">
        <w:rPr>
          <w:rFonts w:ascii="Garamond" w:eastAsia="Calibri" w:hAnsi="Garamond" w:cs="Times New Roman"/>
          <w:sz w:val="24"/>
          <w:szCs w:val="24"/>
          <w:lang w:val="en-GB"/>
        </w:rPr>
        <w:t xml:space="preserve"> a black box. CG research suggests that women directors play a significant role in promoting firms’ </w:t>
      </w:r>
      <w:r w:rsidR="00C34008" w:rsidRPr="00DB6C99">
        <w:rPr>
          <w:rFonts w:ascii="Garamond" w:eastAsia="Calibri" w:hAnsi="Garamond" w:cs="Times New Roman"/>
          <w:sz w:val="24"/>
          <w:szCs w:val="24"/>
          <w:lang w:val="en-GB"/>
        </w:rPr>
        <w:t xml:space="preserve">internal and external </w:t>
      </w:r>
      <w:r w:rsidRPr="00DB6C99">
        <w:rPr>
          <w:rFonts w:ascii="Garamond" w:eastAsia="Calibri" w:hAnsi="Garamond" w:cs="Times New Roman"/>
          <w:sz w:val="24"/>
          <w:szCs w:val="24"/>
          <w:lang w:val="en-GB"/>
        </w:rPr>
        <w:t xml:space="preserve">CSR activities. Based on </w:t>
      </w:r>
      <w:r w:rsidR="000B7189" w:rsidRPr="00DB6C99">
        <w:rPr>
          <w:rFonts w:ascii="Garamond" w:eastAsia="Calibri" w:hAnsi="Garamond" w:cs="Times New Roman"/>
          <w:sz w:val="24"/>
          <w:szCs w:val="24"/>
          <w:lang w:val="en-GB"/>
        </w:rPr>
        <w:t xml:space="preserve">a </w:t>
      </w:r>
      <w:r w:rsidRPr="00DB6C99">
        <w:rPr>
          <w:rFonts w:ascii="Garamond" w:eastAsia="Calibri" w:hAnsi="Garamond" w:cs="Times New Roman"/>
          <w:sz w:val="24"/>
          <w:szCs w:val="24"/>
          <w:lang w:val="en-GB"/>
        </w:rPr>
        <w:t>US sample of 9,276 firm-year observations for the period 2002</w:t>
      </w:r>
      <w:r w:rsidR="001052C0"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 xml:space="preserve">2017, our results support the main hypothesis that women directors are instrumental in reducing CSR decoupling. </w:t>
      </w:r>
    </w:p>
    <w:p w14:paraId="6DAC204F" w14:textId="191611DA" w:rsidR="004A1788" w:rsidRPr="00DB6C99" w:rsidRDefault="004A1788" w:rsidP="004A1788">
      <w:pPr>
        <w:spacing w:line="360" w:lineRule="auto"/>
        <w:ind w:firstLine="720"/>
        <w:jc w:val="both"/>
        <w:rPr>
          <w:rFonts w:ascii="Garamond" w:eastAsia="Calibri" w:hAnsi="Garamond" w:cs="Times New Roman"/>
          <w:sz w:val="24"/>
          <w:szCs w:val="24"/>
          <w:lang w:val="en-GB"/>
        </w:rPr>
      </w:pPr>
      <w:r w:rsidRPr="00DB6C99">
        <w:rPr>
          <w:rFonts w:ascii="Garamond" w:eastAsia="Calibri" w:hAnsi="Garamond" w:cs="Times New Roman"/>
          <w:sz w:val="24"/>
          <w:szCs w:val="24"/>
          <w:lang w:val="en-GB"/>
        </w:rPr>
        <w:t xml:space="preserve">Our study contributes to the CG and CSR research stream by investigating whether and to what extent board structures, particularly </w:t>
      </w:r>
      <w:r w:rsidR="00E105D8" w:rsidRPr="00DB6C99">
        <w:rPr>
          <w:rFonts w:ascii="Garamond" w:eastAsia="Calibri" w:hAnsi="Garamond" w:cs="Times New Roman"/>
          <w:sz w:val="24"/>
          <w:szCs w:val="24"/>
          <w:lang w:val="en-GB"/>
        </w:rPr>
        <w:t>BGD</w:t>
      </w:r>
      <w:r w:rsidRPr="00DB6C99">
        <w:rPr>
          <w:rFonts w:ascii="Garamond" w:eastAsia="Calibri" w:hAnsi="Garamond" w:cs="Times New Roman"/>
          <w:sz w:val="24"/>
          <w:szCs w:val="24"/>
          <w:lang w:val="en-GB"/>
        </w:rPr>
        <w:t xml:space="preserve">, can limit CSR decoupling. Prior studies reveal that women are less likely to accept opportunistic behaviour, </w:t>
      </w:r>
      <w:r w:rsidR="00C34008" w:rsidRPr="00DB6C99">
        <w:rPr>
          <w:rFonts w:ascii="Garamond" w:eastAsia="Calibri" w:hAnsi="Garamond" w:cs="Times New Roman"/>
          <w:sz w:val="24"/>
          <w:szCs w:val="24"/>
          <w:lang w:val="en-GB"/>
        </w:rPr>
        <w:t>which</w:t>
      </w:r>
      <w:r w:rsidR="001052C0" w:rsidRPr="00DB6C99">
        <w:rPr>
          <w:rFonts w:ascii="Garamond" w:eastAsia="Calibri" w:hAnsi="Garamond" w:cs="Times New Roman"/>
          <w:sz w:val="24"/>
          <w:szCs w:val="24"/>
          <w:lang w:val="en-GB"/>
        </w:rPr>
        <w:t xml:space="preserve"> </w:t>
      </w:r>
      <w:r w:rsidRPr="00DB6C99">
        <w:rPr>
          <w:rFonts w:ascii="Garamond" w:eastAsia="Calibri" w:hAnsi="Garamond" w:cs="Times New Roman"/>
          <w:sz w:val="24"/>
          <w:szCs w:val="24"/>
          <w:lang w:val="en-GB"/>
        </w:rPr>
        <w:t>positively affect</w:t>
      </w:r>
      <w:r w:rsidR="00C34008" w:rsidRPr="00DB6C99">
        <w:rPr>
          <w:rFonts w:ascii="Garamond" w:eastAsia="Calibri" w:hAnsi="Garamond" w:cs="Times New Roman"/>
          <w:sz w:val="24"/>
          <w:szCs w:val="24"/>
          <w:lang w:val="en-GB"/>
        </w:rPr>
        <w:t>s</w:t>
      </w:r>
      <w:r w:rsidRPr="00DB6C99">
        <w:rPr>
          <w:rFonts w:ascii="Garamond" w:eastAsia="Calibri" w:hAnsi="Garamond" w:cs="Times New Roman"/>
          <w:sz w:val="24"/>
          <w:szCs w:val="24"/>
          <w:lang w:val="en-GB"/>
        </w:rPr>
        <w:t xml:space="preserve"> their oversight ability (Krishnan </w:t>
      </w:r>
      <w:r w:rsidR="001052C0" w:rsidRPr="00DB6C99">
        <w:rPr>
          <w:rFonts w:ascii="Garamond" w:eastAsia="Calibri" w:hAnsi="Garamond" w:cs="Times New Roman"/>
          <w:sz w:val="24"/>
          <w:szCs w:val="24"/>
          <w:lang w:val="en-GB"/>
        </w:rPr>
        <w:t>and</w:t>
      </w:r>
      <w:r w:rsidRPr="00DB6C99">
        <w:rPr>
          <w:rFonts w:ascii="Garamond" w:eastAsia="Calibri" w:hAnsi="Garamond" w:cs="Times New Roman"/>
          <w:sz w:val="24"/>
          <w:szCs w:val="24"/>
          <w:lang w:val="en-GB"/>
        </w:rPr>
        <w:t xml:space="preserve"> Parsons, 2008; Thorne</w:t>
      </w:r>
      <w:r w:rsidR="00815C32" w:rsidRPr="00DB6C99">
        <w:rPr>
          <w:rFonts w:ascii="Garamond" w:eastAsia="Calibri" w:hAnsi="Garamond" w:cs="Times New Roman"/>
          <w:sz w:val="24"/>
          <w:szCs w:val="24"/>
          <w:lang w:val="en-GB"/>
        </w:rPr>
        <w:t>, Massey and Magnan</w:t>
      </w:r>
      <w:r w:rsidRPr="00DB6C99">
        <w:rPr>
          <w:rFonts w:ascii="Garamond" w:eastAsia="Calibri" w:hAnsi="Garamond" w:cs="Times New Roman"/>
          <w:iCs/>
          <w:sz w:val="24"/>
          <w:szCs w:val="24"/>
          <w:lang w:val="en-GB"/>
        </w:rPr>
        <w:t>,</w:t>
      </w:r>
      <w:r w:rsidRPr="00DB6C99">
        <w:rPr>
          <w:rFonts w:ascii="Garamond" w:eastAsia="Calibri" w:hAnsi="Garamond" w:cs="Times New Roman"/>
          <w:sz w:val="24"/>
          <w:szCs w:val="24"/>
          <w:lang w:val="en-GB"/>
        </w:rPr>
        <w:t xml:space="preserve"> 2003). Based on the main premise of agency theory, we argue that monitoring would leave the management with fewer incentives to use decoupling as a convenient arrangement. Our argument strengthen</w:t>
      </w:r>
      <w:r w:rsidR="001052C0" w:rsidRPr="00DB6C99">
        <w:rPr>
          <w:rFonts w:ascii="Garamond" w:eastAsia="Calibri" w:hAnsi="Garamond" w:cs="Times New Roman"/>
          <w:sz w:val="24"/>
          <w:szCs w:val="24"/>
          <w:lang w:val="en-GB"/>
        </w:rPr>
        <w:t>s</w:t>
      </w:r>
      <w:r w:rsidRPr="00DB6C99">
        <w:rPr>
          <w:rFonts w:ascii="Garamond" w:eastAsia="Calibri" w:hAnsi="Garamond" w:cs="Times New Roman"/>
          <w:sz w:val="24"/>
          <w:szCs w:val="24"/>
          <w:lang w:val="en-GB"/>
        </w:rPr>
        <w:t xml:space="preserve"> the anecdotal evidence showing </w:t>
      </w:r>
      <w:r w:rsidRPr="00DB6C99">
        <w:rPr>
          <w:rFonts w:ascii="Garamond" w:eastAsia="Calibri" w:hAnsi="Garamond" w:cs="Times New Roman"/>
          <w:sz w:val="24"/>
          <w:szCs w:val="24"/>
          <w:lang w:val="en-GB"/>
        </w:rPr>
        <w:lastRenderedPageBreak/>
        <w:t>oversight improvement</w:t>
      </w:r>
      <w:r w:rsidR="000B7189" w:rsidRPr="00DB6C99">
        <w:rPr>
          <w:rFonts w:ascii="Garamond" w:eastAsia="Calibri" w:hAnsi="Garamond" w:cs="Times New Roman"/>
          <w:sz w:val="24"/>
          <w:szCs w:val="24"/>
          <w:lang w:val="en-GB"/>
        </w:rPr>
        <w:t>s</w:t>
      </w:r>
      <w:r w:rsidRPr="00DB6C99">
        <w:rPr>
          <w:rFonts w:ascii="Garamond" w:eastAsia="Calibri" w:hAnsi="Garamond" w:cs="Times New Roman"/>
          <w:sz w:val="24"/>
          <w:szCs w:val="24"/>
          <w:lang w:val="en-GB"/>
        </w:rPr>
        <w:t xml:space="preserve"> </w:t>
      </w:r>
      <w:r w:rsidR="00167E10" w:rsidRPr="00DB6C99">
        <w:rPr>
          <w:rFonts w:ascii="Garamond" w:eastAsia="Calibri" w:hAnsi="Garamond" w:cs="Times New Roman"/>
          <w:sz w:val="24"/>
          <w:szCs w:val="24"/>
          <w:lang w:val="en-GB"/>
        </w:rPr>
        <w:t>o</w:t>
      </w:r>
      <w:r w:rsidR="000B7189" w:rsidRPr="00DB6C99">
        <w:rPr>
          <w:rFonts w:ascii="Garamond" w:eastAsia="Calibri" w:hAnsi="Garamond" w:cs="Times New Roman"/>
          <w:sz w:val="24"/>
          <w:szCs w:val="24"/>
          <w:lang w:val="en-GB"/>
        </w:rPr>
        <w:t xml:space="preserve">n </w:t>
      </w:r>
      <w:r w:rsidRPr="00DB6C99">
        <w:rPr>
          <w:rFonts w:ascii="Garamond" w:eastAsia="Calibri" w:hAnsi="Garamond" w:cs="Times New Roman"/>
          <w:sz w:val="24"/>
          <w:szCs w:val="24"/>
          <w:lang w:val="en-GB"/>
        </w:rPr>
        <w:t>CG board</w:t>
      </w:r>
      <w:r w:rsidR="000B7189" w:rsidRPr="00DB6C99">
        <w:rPr>
          <w:rFonts w:ascii="Garamond" w:eastAsia="Calibri" w:hAnsi="Garamond" w:cs="Times New Roman"/>
          <w:sz w:val="24"/>
          <w:szCs w:val="24"/>
          <w:lang w:val="en-GB"/>
        </w:rPr>
        <w:t>s</w:t>
      </w:r>
      <w:r w:rsidRPr="00DB6C99">
        <w:rPr>
          <w:rFonts w:ascii="Garamond" w:eastAsia="Calibri" w:hAnsi="Garamond" w:cs="Times New Roman"/>
          <w:sz w:val="24"/>
          <w:szCs w:val="24"/>
          <w:lang w:val="en-GB"/>
        </w:rPr>
        <w:t xml:space="preserve"> with more female directors. Our results, in line with previous research, suggest that female directors curb managerial opportunism by reducing information asymmetry (</w:t>
      </w:r>
      <w:r w:rsidR="00561091" w:rsidRPr="00DB6C99">
        <w:rPr>
          <w:rFonts w:ascii="Garamond" w:eastAsia="Calibri" w:hAnsi="Garamond" w:cs="Times New Roman"/>
          <w:sz w:val="24"/>
          <w:szCs w:val="24"/>
          <w:lang w:val="en-GB"/>
        </w:rPr>
        <w:t xml:space="preserve">Gull </w:t>
      </w:r>
      <w:r w:rsidR="00561091" w:rsidRPr="00DB6C99">
        <w:rPr>
          <w:rFonts w:ascii="Garamond" w:eastAsia="Calibri" w:hAnsi="Garamond" w:cs="Times New Roman"/>
          <w:i/>
          <w:sz w:val="24"/>
          <w:szCs w:val="24"/>
          <w:lang w:val="en-GB"/>
        </w:rPr>
        <w:t>et al</w:t>
      </w:r>
      <w:r w:rsidR="00561091" w:rsidRPr="00DB6C99">
        <w:rPr>
          <w:rFonts w:ascii="Garamond" w:eastAsia="Calibri" w:hAnsi="Garamond" w:cs="Times New Roman"/>
          <w:iCs/>
          <w:sz w:val="24"/>
          <w:szCs w:val="24"/>
          <w:lang w:val="en-GB"/>
        </w:rPr>
        <w:t xml:space="preserve">., </w:t>
      </w:r>
      <w:r w:rsidR="00561091" w:rsidRPr="00DB6C99">
        <w:rPr>
          <w:rFonts w:ascii="Garamond" w:eastAsia="Calibri" w:hAnsi="Garamond" w:cs="Times New Roman"/>
          <w:sz w:val="24"/>
          <w:szCs w:val="24"/>
          <w:lang w:val="en-GB"/>
        </w:rPr>
        <w:t xml:space="preserve">2018; </w:t>
      </w:r>
      <w:r w:rsidRPr="00DB6C99">
        <w:rPr>
          <w:rFonts w:ascii="Garamond" w:eastAsia="Calibri" w:hAnsi="Garamond" w:cs="Times New Roman"/>
          <w:sz w:val="24"/>
          <w:szCs w:val="24"/>
          <w:lang w:val="en-GB"/>
        </w:rPr>
        <w:t xml:space="preserve">Zalata </w:t>
      </w:r>
      <w:r w:rsidRPr="00DB6C99">
        <w:rPr>
          <w:rFonts w:ascii="Garamond" w:eastAsia="Calibri" w:hAnsi="Garamond" w:cs="Times New Roman"/>
          <w:i/>
          <w:sz w:val="24"/>
          <w:szCs w:val="24"/>
          <w:lang w:val="en-GB"/>
        </w:rPr>
        <w:t>et al</w:t>
      </w:r>
      <w:r w:rsidRPr="00DB6C99">
        <w:rPr>
          <w:rFonts w:ascii="Garamond" w:eastAsia="Calibri" w:hAnsi="Garamond" w:cs="Times New Roman"/>
          <w:iCs/>
          <w:sz w:val="24"/>
          <w:szCs w:val="24"/>
          <w:lang w:val="en-GB"/>
        </w:rPr>
        <w:t>.,</w:t>
      </w:r>
      <w:r w:rsidRPr="00DB6C99">
        <w:rPr>
          <w:rFonts w:ascii="Garamond" w:eastAsia="Calibri" w:hAnsi="Garamond" w:cs="Times New Roman"/>
          <w:sz w:val="24"/>
          <w:szCs w:val="24"/>
          <w:lang w:val="en-GB"/>
        </w:rPr>
        <w:t xml:space="preserve"> 2019) and effectively monitoring (Adams </w:t>
      </w:r>
      <w:r w:rsidR="00561091" w:rsidRPr="00DB6C99">
        <w:rPr>
          <w:rFonts w:ascii="Garamond" w:eastAsia="Calibri" w:hAnsi="Garamond" w:cs="Times New Roman"/>
          <w:sz w:val="24"/>
          <w:szCs w:val="24"/>
          <w:lang w:val="en-GB"/>
        </w:rPr>
        <w:t>and</w:t>
      </w:r>
      <w:r w:rsidRPr="00DB6C99">
        <w:rPr>
          <w:rFonts w:ascii="Garamond" w:eastAsia="Calibri" w:hAnsi="Garamond" w:cs="Times New Roman"/>
          <w:sz w:val="24"/>
          <w:szCs w:val="24"/>
          <w:lang w:val="en-GB"/>
        </w:rPr>
        <w:t xml:space="preserve"> Ferreira, 2009; Jain </w:t>
      </w:r>
      <w:r w:rsidR="00561091" w:rsidRPr="00DB6C99">
        <w:rPr>
          <w:rFonts w:ascii="Garamond" w:eastAsia="Calibri" w:hAnsi="Garamond" w:cs="Times New Roman"/>
          <w:sz w:val="24"/>
          <w:szCs w:val="24"/>
          <w:lang w:val="en-GB"/>
        </w:rPr>
        <w:t>and</w:t>
      </w:r>
      <w:r w:rsidRPr="00DB6C99">
        <w:rPr>
          <w:rFonts w:ascii="Garamond" w:eastAsia="Calibri" w:hAnsi="Garamond" w:cs="Times New Roman"/>
          <w:sz w:val="24"/>
          <w:szCs w:val="24"/>
          <w:lang w:val="en-GB"/>
        </w:rPr>
        <w:t xml:space="preserve"> Zaman, 2019) firms’ CSR strategy. </w:t>
      </w:r>
      <w:r w:rsidR="000B7189" w:rsidRPr="00DB6C99">
        <w:rPr>
          <w:rFonts w:ascii="Garamond" w:eastAsia="Calibri" w:hAnsi="Garamond" w:cs="Times New Roman"/>
          <w:sz w:val="24"/>
          <w:szCs w:val="24"/>
          <w:lang w:val="en-GB"/>
        </w:rPr>
        <w:t>Our</w:t>
      </w:r>
      <w:r w:rsidRPr="00DB6C99">
        <w:rPr>
          <w:rFonts w:ascii="Garamond" w:eastAsia="Calibri" w:hAnsi="Garamond" w:cs="Times New Roman"/>
          <w:sz w:val="24"/>
          <w:szCs w:val="24"/>
          <w:lang w:val="en-GB"/>
        </w:rPr>
        <w:t xml:space="preserve"> finding</w:t>
      </w:r>
      <w:r w:rsidR="00561091" w:rsidRPr="00DB6C99">
        <w:rPr>
          <w:rFonts w:ascii="Garamond" w:eastAsia="Calibri" w:hAnsi="Garamond" w:cs="Times New Roman"/>
          <w:sz w:val="24"/>
          <w:szCs w:val="24"/>
          <w:lang w:val="en-GB"/>
        </w:rPr>
        <w:t>s</w:t>
      </w:r>
      <w:r w:rsidRPr="00DB6C99">
        <w:rPr>
          <w:rFonts w:ascii="Garamond" w:eastAsia="Calibri" w:hAnsi="Garamond" w:cs="Times New Roman"/>
          <w:sz w:val="24"/>
          <w:szCs w:val="24"/>
          <w:lang w:val="en-GB"/>
        </w:rPr>
        <w:t xml:space="preserve"> also support the gender socialization perspective</w:t>
      </w:r>
      <w:r w:rsidR="00561091" w:rsidRPr="00DB6C99">
        <w:rPr>
          <w:rFonts w:ascii="Garamond" w:eastAsia="Calibri" w:hAnsi="Garamond" w:cs="Times New Roman"/>
          <w:sz w:val="24"/>
          <w:szCs w:val="24"/>
          <w:lang w:val="en-GB"/>
        </w:rPr>
        <w:t>, which</w:t>
      </w:r>
      <w:r w:rsidRPr="00DB6C99">
        <w:rPr>
          <w:rFonts w:ascii="Garamond" w:eastAsia="Calibri" w:hAnsi="Garamond" w:cs="Times New Roman"/>
          <w:sz w:val="24"/>
          <w:szCs w:val="24"/>
          <w:lang w:val="en-GB"/>
        </w:rPr>
        <w:t xml:space="preserve"> suggest</w:t>
      </w:r>
      <w:r w:rsidR="00561091" w:rsidRPr="00DB6C99">
        <w:rPr>
          <w:rFonts w:ascii="Garamond" w:eastAsia="Calibri" w:hAnsi="Garamond" w:cs="Times New Roman"/>
          <w:sz w:val="24"/>
          <w:szCs w:val="24"/>
          <w:lang w:val="en-GB"/>
        </w:rPr>
        <w:t>s</w:t>
      </w:r>
      <w:r w:rsidRPr="00DB6C99">
        <w:rPr>
          <w:rFonts w:ascii="Garamond" w:eastAsia="Calibri" w:hAnsi="Garamond" w:cs="Times New Roman"/>
          <w:sz w:val="24"/>
          <w:szCs w:val="24"/>
          <w:lang w:val="en-GB"/>
        </w:rPr>
        <w:t xml:space="preserve"> that females are ethically sensitive and care for stakeholders due to their upbringing (Atif </w:t>
      </w:r>
      <w:r w:rsidRPr="00DB6C99">
        <w:rPr>
          <w:rFonts w:ascii="Garamond" w:eastAsia="Calibri" w:hAnsi="Garamond" w:cs="Times New Roman"/>
          <w:i/>
          <w:sz w:val="24"/>
          <w:szCs w:val="24"/>
          <w:lang w:val="en-GB"/>
        </w:rPr>
        <w:t>et al</w:t>
      </w:r>
      <w:r w:rsidRPr="00DB6C99">
        <w:rPr>
          <w:rFonts w:ascii="Garamond" w:eastAsia="Calibri" w:hAnsi="Garamond" w:cs="Times New Roman"/>
          <w:iCs/>
          <w:sz w:val="24"/>
          <w:szCs w:val="24"/>
          <w:lang w:val="en-GB"/>
        </w:rPr>
        <w:t xml:space="preserve">., </w:t>
      </w:r>
      <w:r w:rsidRPr="00DB6C99">
        <w:rPr>
          <w:rFonts w:ascii="Garamond" w:eastAsia="Calibri" w:hAnsi="Garamond" w:cs="Times New Roman"/>
          <w:sz w:val="24"/>
          <w:szCs w:val="24"/>
          <w:lang w:val="en-GB"/>
        </w:rPr>
        <w:t>2020; Bear</w:t>
      </w:r>
      <w:r w:rsidR="00171487" w:rsidRPr="00DB6C99">
        <w:rPr>
          <w:rFonts w:ascii="Garamond" w:eastAsia="Calibri" w:hAnsi="Garamond" w:cs="Times New Roman"/>
          <w:sz w:val="24"/>
          <w:szCs w:val="24"/>
          <w:lang w:val="en-GB"/>
        </w:rPr>
        <w:t>, Rahman and Post</w:t>
      </w:r>
      <w:r w:rsidRPr="00DB6C99">
        <w:rPr>
          <w:rFonts w:ascii="Garamond" w:eastAsia="Calibri" w:hAnsi="Garamond" w:cs="Times New Roman"/>
          <w:iCs/>
          <w:sz w:val="24"/>
          <w:szCs w:val="24"/>
          <w:lang w:val="en-GB"/>
        </w:rPr>
        <w:t xml:space="preserve">, </w:t>
      </w:r>
      <w:r w:rsidRPr="00DB6C99">
        <w:rPr>
          <w:rFonts w:ascii="Garamond" w:eastAsia="Calibri" w:hAnsi="Garamond" w:cs="Times New Roman"/>
          <w:sz w:val="24"/>
          <w:szCs w:val="24"/>
          <w:lang w:val="en-GB"/>
        </w:rPr>
        <w:t>2010).</w:t>
      </w:r>
      <w:r w:rsidR="00E105D8" w:rsidRPr="00DB6C99">
        <w:rPr>
          <w:rFonts w:ascii="Garamond" w:eastAsia="Calibri" w:hAnsi="Garamond" w:cs="Times New Roman"/>
          <w:sz w:val="24"/>
          <w:szCs w:val="24"/>
          <w:lang w:val="en-GB"/>
        </w:rPr>
        <w:t xml:space="preserve"> </w:t>
      </w:r>
      <w:r w:rsidR="00090A71" w:rsidRPr="00DB6C99">
        <w:rPr>
          <w:rFonts w:ascii="Garamond" w:eastAsia="Calibri" w:hAnsi="Garamond" w:cs="Times New Roman"/>
          <w:sz w:val="24"/>
          <w:szCs w:val="24"/>
          <w:lang w:val="en-GB"/>
        </w:rPr>
        <w:t>Furthermore, t</w:t>
      </w:r>
      <w:r w:rsidR="00E105D8" w:rsidRPr="00DB6C99">
        <w:rPr>
          <w:rFonts w:ascii="Garamond" w:eastAsia="Calibri" w:hAnsi="Garamond" w:cs="Times New Roman"/>
          <w:sz w:val="24"/>
          <w:szCs w:val="24"/>
          <w:lang w:val="en-GB"/>
        </w:rPr>
        <w:t>hese findings</w:t>
      </w:r>
      <w:r w:rsidR="00090A71" w:rsidRPr="00DB6C99">
        <w:rPr>
          <w:rFonts w:ascii="Garamond" w:eastAsia="Calibri" w:hAnsi="Garamond" w:cs="Times New Roman"/>
          <w:sz w:val="24"/>
          <w:szCs w:val="24"/>
          <w:lang w:val="en-GB"/>
        </w:rPr>
        <w:t xml:space="preserve"> </w:t>
      </w:r>
      <w:r w:rsidR="00E105D8" w:rsidRPr="00DB6C99">
        <w:rPr>
          <w:rFonts w:ascii="Garamond" w:eastAsia="Calibri" w:hAnsi="Garamond" w:cs="Times New Roman"/>
          <w:sz w:val="24"/>
          <w:szCs w:val="24"/>
          <w:lang w:val="en-GB"/>
        </w:rPr>
        <w:t xml:space="preserve">help overcome the existing fragmentation in the recent literature concerning the relationship between </w:t>
      </w:r>
      <w:r w:rsidR="00090A71" w:rsidRPr="00DB6C99">
        <w:rPr>
          <w:rFonts w:ascii="Garamond" w:eastAsia="Calibri" w:hAnsi="Garamond" w:cs="Times New Roman"/>
          <w:sz w:val="24"/>
          <w:szCs w:val="24"/>
          <w:lang w:val="en-GB"/>
        </w:rPr>
        <w:t>BGD</w:t>
      </w:r>
      <w:r w:rsidR="00E105D8" w:rsidRPr="00DB6C99">
        <w:rPr>
          <w:rFonts w:ascii="Garamond" w:eastAsia="Calibri" w:hAnsi="Garamond" w:cs="Times New Roman"/>
          <w:sz w:val="24"/>
          <w:szCs w:val="24"/>
          <w:lang w:val="en-GB"/>
        </w:rPr>
        <w:t xml:space="preserve"> CSR decoupling</w:t>
      </w:r>
      <w:r w:rsidR="00BF3979" w:rsidRPr="00DB6C99">
        <w:rPr>
          <w:rFonts w:ascii="Garamond" w:eastAsia="Calibri" w:hAnsi="Garamond" w:cs="Times New Roman"/>
          <w:sz w:val="24"/>
          <w:szCs w:val="24"/>
          <w:lang w:val="en-GB"/>
        </w:rPr>
        <w:t>.</w:t>
      </w:r>
      <w:r w:rsidR="00E105D8" w:rsidRPr="00DB6C99">
        <w:rPr>
          <w:rFonts w:ascii="Garamond" w:eastAsia="Calibri" w:hAnsi="Garamond" w:cs="Times New Roman"/>
          <w:sz w:val="24"/>
          <w:szCs w:val="24"/>
          <w:lang w:val="en-GB"/>
        </w:rPr>
        <w:t xml:space="preserve"> </w:t>
      </w:r>
      <w:r w:rsidR="00BF3979" w:rsidRPr="00DB6C99">
        <w:rPr>
          <w:rFonts w:ascii="Garamond" w:eastAsia="Calibri" w:hAnsi="Garamond" w:cs="Times New Roman"/>
          <w:sz w:val="24"/>
          <w:szCs w:val="24"/>
          <w:lang w:val="en-GB"/>
        </w:rPr>
        <w:t xml:space="preserve">For instance, </w:t>
      </w:r>
      <w:r w:rsidR="004E1B0F" w:rsidRPr="00DB6C99">
        <w:rPr>
          <w:rFonts w:ascii="Garamond" w:eastAsia="Calibri" w:hAnsi="Garamond" w:cs="Times New Roman"/>
          <w:sz w:val="24"/>
          <w:szCs w:val="24"/>
          <w:lang w:val="en-GB"/>
        </w:rPr>
        <w:t>Garc</w:t>
      </w:r>
      <w:r w:rsidR="005A2DF4" w:rsidRPr="00DB6C99">
        <w:rPr>
          <w:rFonts w:ascii="Garamond" w:eastAsia="Calibri" w:hAnsi="Garamond" w:cs="Times New Roman"/>
          <w:sz w:val="24"/>
          <w:szCs w:val="24"/>
          <w:lang w:val="en-GB"/>
        </w:rPr>
        <w:t>í</w:t>
      </w:r>
      <w:r w:rsidR="004E1B0F" w:rsidRPr="00DB6C99">
        <w:rPr>
          <w:rFonts w:ascii="Garamond" w:eastAsia="Calibri" w:hAnsi="Garamond" w:cs="Times New Roman"/>
          <w:sz w:val="24"/>
          <w:szCs w:val="24"/>
          <w:lang w:val="en-GB"/>
        </w:rPr>
        <w:t>a-S</w:t>
      </w:r>
      <w:r w:rsidR="005A2DF4" w:rsidRPr="00DB6C99">
        <w:rPr>
          <w:rFonts w:ascii="Garamond" w:eastAsia="Calibri" w:hAnsi="Garamond" w:cs="Times New Roman"/>
          <w:sz w:val="24"/>
          <w:szCs w:val="24"/>
          <w:lang w:val="en-GB"/>
        </w:rPr>
        <w:t>á</w:t>
      </w:r>
      <w:r w:rsidR="004E1B0F" w:rsidRPr="00DB6C99">
        <w:rPr>
          <w:rFonts w:ascii="Garamond" w:eastAsia="Calibri" w:hAnsi="Garamond" w:cs="Times New Roman"/>
          <w:sz w:val="24"/>
          <w:szCs w:val="24"/>
          <w:lang w:val="en-GB"/>
        </w:rPr>
        <w:t xml:space="preserve">nchez </w:t>
      </w:r>
      <w:r w:rsidR="004E1B0F" w:rsidRPr="00DB6C99">
        <w:rPr>
          <w:rFonts w:ascii="Garamond" w:eastAsia="Calibri" w:hAnsi="Garamond" w:cs="Times New Roman"/>
          <w:i/>
          <w:iCs/>
          <w:sz w:val="24"/>
          <w:szCs w:val="24"/>
          <w:lang w:val="en-GB"/>
        </w:rPr>
        <w:t>et al</w:t>
      </w:r>
      <w:r w:rsidR="00BF3979" w:rsidRPr="00DB6C99">
        <w:rPr>
          <w:rFonts w:ascii="Garamond" w:eastAsia="Calibri" w:hAnsi="Garamond" w:cs="Times New Roman"/>
          <w:sz w:val="24"/>
          <w:szCs w:val="24"/>
          <w:lang w:val="en-GB"/>
        </w:rPr>
        <w:t>.</w:t>
      </w:r>
      <w:r w:rsidR="004E1B0F" w:rsidRPr="00DB6C99">
        <w:rPr>
          <w:rFonts w:ascii="Garamond" w:eastAsia="Calibri" w:hAnsi="Garamond" w:cs="Times New Roman"/>
          <w:sz w:val="24"/>
          <w:szCs w:val="24"/>
          <w:lang w:val="en-GB"/>
        </w:rPr>
        <w:t xml:space="preserve"> </w:t>
      </w:r>
      <w:r w:rsidR="00BF3979" w:rsidRPr="00DB6C99">
        <w:rPr>
          <w:rFonts w:ascii="Garamond" w:eastAsia="Calibri" w:hAnsi="Garamond" w:cs="Times New Roman"/>
          <w:sz w:val="24"/>
          <w:szCs w:val="24"/>
          <w:lang w:val="en-GB"/>
        </w:rPr>
        <w:t>(</w:t>
      </w:r>
      <w:r w:rsidR="004E1B0F" w:rsidRPr="00DB6C99">
        <w:rPr>
          <w:rFonts w:ascii="Garamond" w:eastAsia="Calibri" w:hAnsi="Garamond" w:cs="Times New Roman"/>
          <w:sz w:val="24"/>
          <w:szCs w:val="24"/>
          <w:lang w:val="en-GB"/>
        </w:rPr>
        <w:t>2021</w:t>
      </w:r>
      <w:r w:rsidR="00461120" w:rsidRPr="00DB6C99">
        <w:rPr>
          <w:rFonts w:ascii="Garamond" w:eastAsia="Calibri" w:hAnsi="Garamond" w:cs="Times New Roman"/>
          <w:sz w:val="24"/>
          <w:szCs w:val="24"/>
          <w:lang w:val="en-GB"/>
        </w:rPr>
        <w:t>) note that BGD has a</w:t>
      </w:r>
      <w:r w:rsidR="00BF3979" w:rsidRPr="00DB6C99">
        <w:rPr>
          <w:rFonts w:ascii="Garamond" w:eastAsia="Calibri" w:hAnsi="Garamond" w:cs="Times New Roman"/>
          <w:sz w:val="24"/>
          <w:szCs w:val="24"/>
          <w:lang w:val="en-GB"/>
        </w:rPr>
        <w:t xml:space="preserve"> </w:t>
      </w:r>
      <w:r w:rsidR="003405A5" w:rsidRPr="00DB6C99">
        <w:rPr>
          <w:rFonts w:ascii="Garamond" w:eastAsia="Calibri" w:hAnsi="Garamond" w:cs="Times New Roman"/>
          <w:sz w:val="24"/>
          <w:szCs w:val="24"/>
          <w:lang w:val="en-GB"/>
        </w:rPr>
        <w:t>positive</w:t>
      </w:r>
      <w:r w:rsidR="00BF3979" w:rsidRPr="00DB6C99">
        <w:rPr>
          <w:rFonts w:ascii="Garamond" w:eastAsia="Calibri" w:hAnsi="Garamond" w:cs="Times New Roman"/>
          <w:sz w:val="24"/>
          <w:szCs w:val="24"/>
          <w:lang w:val="en-GB"/>
        </w:rPr>
        <w:t xml:space="preserve"> relationship with CSR decoupling while </w:t>
      </w:r>
      <w:r w:rsidR="00561091" w:rsidRPr="00DB6C99">
        <w:rPr>
          <w:rFonts w:ascii="Garamond" w:eastAsia="Calibri" w:hAnsi="Garamond" w:cs="Times New Roman"/>
          <w:sz w:val="24"/>
          <w:szCs w:val="24"/>
          <w:lang w:val="en-GB"/>
        </w:rPr>
        <w:t xml:space="preserve">Gull </w:t>
      </w:r>
      <w:r w:rsidR="00561091" w:rsidRPr="00DB6C99">
        <w:rPr>
          <w:rFonts w:ascii="Garamond" w:eastAsia="Calibri" w:hAnsi="Garamond" w:cs="Times New Roman"/>
          <w:i/>
          <w:sz w:val="24"/>
          <w:szCs w:val="24"/>
          <w:lang w:val="en-GB"/>
        </w:rPr>
        <w:t>et al</w:t>
      </w:r>
      <w:r w:rsidR="00561091" w:rsidRPr="00DB6C99">
        <w:rPr>
          <w:rFonts w:ascii="Garamond" w:eastAsia="Calibri" w:hAnsi="Garamond" w:cs="Times New Roman"/>
          <w:iCs/>
          <w:sz w:val="24"/>
          <w:szCs w:val="24"/>
          <w:lang w:val="en-GB"/>
        </w:rPr>
        <w:t>.</w:t>
      </w:r>
      <w:r w:rsidR="00561091" w:rsidRPr="00DB6C99">
        <w:rPr>
          <w:rFonts w:ascii="Garamond" w:eastAsia="Calibri" w:hAnsi="Garamond" w:cs="Times New Roman"/>
          <w:sz w:val="24"/>
          <w:szCs w:val="24"/>
          <w:lang w:val="en-GB"/>
        </w:rPr>
        <w:t xml:space="preserve"> </w:t>
      </w:r>
      <w:r w:rsidR="00BF3979" w:rsidRPr="00DB6C99">
        <w:rPr>
          <w:rFonts w:ascii="Garamond" w:eastAsia="Calibri" w:hAnsi="Garamond" w:cs="Times New Roman"/>
          <w:sz w:val="24"/>
          <w:szCs w:val="24"/>
          <w:lang w:val="en-GB"/>
        </w:rPr>
        <w:t>(</w:t>
      </w:r>
      <w:r w:rsidR="00561091" w:rsidRPr="00DB6C99">
        <w:rPr>
          <w:rFonts w:ascii="Garamond" w:eastAsia="Calibri" w:hAnsi="Garamond" w:cs="Times New Roman"/>
          <w:sz w:val="24"/>
          <w:szCs w:val="24"/>
          <w:lang w:val="en-GB"/>
        </w:rPr>
        <w:t>2022</w:t>
      </w:r>
      <w:r w:rsidR="00E105D8" w:rsidRPr="00DB6C99">
        <w:rPr>
          <w:rFonts w:ascii="Garamond" w:eastAsia="Calibri" w:hAnsi="Garamond" w:cs="Times New Roman"/>
          <w:sz w:val="24"/>
          <w:szCs w:val="24"/>
          <w:lang w:val="en-GB"/>
        </w:rPr>
        <w:t>)</w:t>
      </w:r>
      <w:r w:rsidR="00BF3979" w:rsidRPr="00DB6C99">
        <w:rPr>
          <w:rFonts w:ascii="Garamond" w:eastAsia="Calibri" w:hAnsi="Garamond" w:cs="Times New Roman"/>
          <w:sz w:val="24"/>
          <w:szCs w:val="24"/>
          <w:lang w:val="en-GB"/>
        </w:rPr>
        <w:t xml:space="preserve"> </w:t>
      </w:r>
      <w:r w:rsidR="00090A71" w:rsidRPr="00DB6C99">
        <w:rPr>
          <w:rFonts w:ascii="Garamond" w:eastAsia="Calibri" w:hAnsi="Garamond" w:cs="Times New Roman"/>
          <w:sz w:val="24"/>
          <w:szCs w:val="24"/>
          <w:lang w:val="en-GB"/>
        </w:rPr>
        <w:t>document</w:t>
      </w:r>
      <w:r w:rsidR="00BF3979" w:rsidRPr="00DB6C99">
        <w:rPr>
          <w:rFonts w:ascii="Garamond" w:eastAsia="Calibri" w:hAnsi="Garamond" w:cs="Times New Roman"/>
          <w:sz w:val="24"/>
          <w:szCs w:val="24"/>
          <w:lang w:val="en-GB"/>
        </w:rPr>
        <w:t xml:space="preserve"> </w:t>
      </w:r>
      <w:r w:rsidR="003405A5" w:rsidRPr="00DB6C99">
        <w:rPr>
          <w:rFonts w:ascii="Garamond" w:eastAsia="Calibri" w:hAnsi="Garamond" w:cs="Times New Roman"/>
          <w:sz w:val="24"/>
          <w:szCs w:val="24"/>
          <w:lang w:val="en-GB"/>
        </w:rPr>
        <w:t>no</w:t>
      </w:r>
      <w:r w:rsidR="00BF3979" w:rsidRPr="00DB6C99">
        <w:rPr>
          <w:rFonts w:ascii="Garamond" w:eastAsia="Calibri" w:hAnsi="Garamond" w:cs="Times New Roman"/>
          <w:sz w:val="24"/>
          <w:szCs w:val="24"/>
          <w:lang w:val="en-GB"/>
        </w:rPr>
        <w:t xml:space="preserve"> significant </w:t>
      </w:r>
      <w:r w:rsidR="00461120" w:rsidRPr="00DB6C99">
        <w:rPr>
          <w:rFonts w:ascii="Garamond" w:eastAsia="Calibri" w:hAnsi="Garamond" w:cs="Times New Roman"/>
          <w:sz w:val="24"/>
          <w:szCs w:val="24"/>
          <w:lang w:val="en-GB"/>
        </w:rPr>
        <w:t>effect of females’</w:t>
      </w:r>
      <w:r w:rsidR="00BF3979" w:rsidRPr="00DB6C99">
        <w:rPr>
          <w:rFonts w:ascii="Garamond" w:eastAsia="Calibri" w:hAnsi="Garamond" w:cs="Times New Roman"/>
          <w:sz w:val="24"/>
          <w:szCs w:val="24"/>
          <w:lang w:val="en-GB"/>
        </w:rPr>
        <w:t xml:space="preserve"> presence on CSR committee</w:t>
      </w:r>
      <w:r w:rsidR="00090A71" w:rsidRPr="00DB6C99">
        <w:rPr>
          <w:rFonts w:ascii="Garamond" w:eastAsia="Calibri" w:hAnsi="Garamond" w:cs="Times New Roman"/>
          <w:sz w:val="24"/>
          <w:szCs w:val="24"/>
          <w:lang w:val="en-GB"/>
        </w:rPr>
        <w:t xml:space="preserve"> on CSR decoupling</w:t>
      </w:r>
      <w:r w:rsidR="004E1B0F" w:rsidRPr="00DB6C99">
        <w:rPr>
          <w:rFonts w:ascii="Garamond" w:eastAsia="Calibri" w:hAnsi="Garamond" w:cs="Times New Roman"/>
          <w:sz w:val="24"/>
          <w:szCs w:val="24"/>
          <w:lang w:val="en-GB"/>
        </w:rPr>
        <w:t>.</w:t>
      </w:r>
      <w:r w:rsidR="00090A71" w:rsidRPr="00DB6C99">
        <w:rPr>
          <w:rFonts w:ascii="Garamond" w:eastAsia="Calibri" w:hAnsi="Garamond" w:cs="Times New Roman"/>
          <w:sz w:val="24"/>
          <w:szCs w:val="24"/>
          <w:lang w:val="en-GB"/>
        </w:rPr>
        <w:t xml:space="preserve"> Our research provides more nuanced understanding about the effect of BGD and CSR decoupling through the in-depth examination of various BDG elements and CSR decoupling. </w:t>
      </w:r>
    </w:p>
    <w:p w14:paraId="7F6066A3" w14:textId="730F7276" w:rsidR="004A1788" w:rsidRPr="00DB6C99" w:rsidRDefault="004A1788" w:rsidP="004A1788">
      <w:pPr>
        <w:spacing w:line="360" w:lineRule="auto"/>
        <w:ind w:firstLine="720"/>
        <w:jc w:val="both"/>
        <w:rPr>
          <w:rFonts w:ascii="Garamond" w:eastAsia="Calibri" w:hAnsi="Garamond" w:cs="Times New Roman"/>
          <w:sz w:val="24"/>
          <w:szCs w:val="24"/>
          <w:lang w:val="en-GB"/>
        </w:rPr>
      </w:pPr>
      <w:r w:rsidRPr="00DB6C99">
        <w:rPr>
          <w:rFonts w:ascii="Garamond" w:eastAsia="Calibri" w:hAnsi="Garamond" w:cs="Times New Roman"/>
          <w:sz w:val="24"/>
          <w:szCs w:val="24"/>
          <w:lang w:val="en-GB"/>
        </w:rPr>
        <w:t xml:space="preserve">In line with the agency perspective, studies on </w:t>
      </w:r>
      <w:r w:rsidR="00561091" w:rsidRPr="00DB6C99">
        <w:rPr>
          <w:rFonts w:ascii="Garamond" w:eastAsia="Calibri" w:hAnsi="Garamond" w:cs="Times New Roman"/>
          <w:sz w:val="24"/>
          <w:szCs w:val="24"/>
          <w:lang w:val="en-GB"/>
        </w:rPr>
        <w:t xml:space="preserve">the </w:t>
      </w:r>
      <w:r w:rsidRPr="00DB6C99">
        <w:rPr>
          <w:rFonts w:ascii="Garamond" w:eastAsia="Calibri" w:hAnsi="Garamond" w:cs="Times New Roman"/>
          <w:sz w:val="24"/>
          <w:szCs w:val="24"/>
          <w:lang w:val="en-GB"/>
        </w:rPr>
        <w:t>value</w:t>
      </w:r>
      <w:r w:rsidR="00D22BB3" w:rsidRPr="00DB6C99">
        <w:rPr>
          <w:rFonts w:ascii="Garamond" w:eastAsia="Calibri" w:hAnsi="Garamond" w:cs="Times New Roman"/>
          <w:sz w:val="24"/>
          <w:szCs w:val="24"/>
          <w:lang w:val="en-GB"/>
        </w:rPr>
        <w:t xml:space="preserve"> </w:t>
      </w:r>
      <w:r w:rsidRPr="00DB6C99">
        <w:rPr>
          <w:rFonts w:ascii="Garamond" w:eastAsia="Calibri" w:hAnsi="Garamond" w:cs="Times New Roman"/>
          <w:sz w:val="24"/>
          <w:szCs w:val="24"/>
          <w:lang w:val="en-GB"/>
        </w:rPr>
        <w:t xml:space="preserve">relevance of BGD argue that female representation on corporate boards improves monitoring by changing group dynamics (Adams </w:t>
      </w:r>
      <w:r w:rsidR="00561091" w:rsidRPr="00DB6C99">
        <w:rPr>
          <w:rFonts w:ascii="Garamond" w:eastAsia="Calibri" w:hAnsi="Garamond" w:cs="Times New Roman"/>
          <w:sz w:val="24"/>
          <w:szCs w:val="24"/>
          <w:lang w:val="en-GB"/>
        </w:rPr>
        <w:t>and</w:t>
      </w:r>
      <w:r w:rsidRPr="00DB6C99">
        <w:rPr>
          <w:rFonts w:ascii="Garamond" w:eastAsia="Calibri" w:hAnsi="Garamond" w:cs="Times New Roman"/>
          <w:sz w:val="24"/>
          <w:szCs w:val="24"/>
          <w:lang w:val="en-GB"/>
        </w:rPr>
        <w:t xml:space="preserve"> Ferreira, 2009), bring</w:t>
      </w:r>
      <w:r w:rsidR="00561091" w:rsidRPr="00DB6C99">
        <w:rPr>
          <w:rFonts w:ascii="Garamond" w:eastAsia="Calibri" w:hAnsi="Garamond" w:cs="Times New Roman"/>
          <w:sz w:val="24"/>
          <w:szCs w:val="24"/>
          <w:lang w:val="en-GB"/>
        </w:rPr>
        <w:t>ing</w:t>
      </w:r>
      <w:r w:rsidRPr="00DB6C99">
        <w:rPr>
          <w:rFonts w:ascii="Garamond" w:eastAsia="Calibri" w:hAnsi="Garamond" w:cs="Times New Roman"/>
          <w:sz w:val="24"/>
          <w:szCs w:val="24"/>
          <w:lang w:val="en-GB"/>
        </w:rPr>
        <w:t xml:space="preserve"> different viewpoints to board discussions (Lai </w:t>
      </w:r>
      <w:r w:rsidRPr="00DB6C99">
        <w:rPr>
          <w:rFonts w:ascii="Garamond" w:eastAsia="Calibri" w:hAnsi="Garamond" w:cs="Times New Roman"/>
          <w:i/>
          <w:sz w:val="24"/>
          <w:szCs w:val="24"/>
          <w:lang w:val="en-GB"/>
        </w:rPr>
        <w:t>et al</w:t>
      </w:r>
      <w:r w:rsidRPr="00DB6C99">
        <w:rPr>
          <w:rFonts w:ascii="Garamond" w:eastAsia="Calibri" w:hAnsi="Garamond" w:cs="Times New Roman"/>
          <w:iCs/>
          <w:sz w:val="24"/>
          <w:szCs w:val="24"/>
          <w:lang w:val="en-GB"/>
        </w:rPr>
        <w:t>.,</w:t>
      </w:r>
      <w:r w:rsidRPr="00DB6C99">
        <w:rPr>
          <w:rFonts w:ascii="Garamond" w:eastAsia="Calibri" w:hAnsi="Garamond" w:cs="Times New Roman"/>
          <w:sz w:val="24"/>
          <w:szCs w:val="24"/>
          <w:lang w:val="en-GB"/>
        </w:rPr>
        <w:t xml:space="preserve"> 2017) and increas</w:t>
      </w:r>
      <w:r w:rsidR="00561091" w:rsidRPr="00DB6C99">
        <w:rPr>
          <w:rFonts w:ascii="Garamond" w:eastAsia="Calibri" w:hAnsi="Garamond" w:cs="Times New Roman"/>
          <w:sz w:val="24"/>
          <w:szCs w:val="24"/>
          <w:lang w:val="en-GB"/>
        </w:rPr>
        <w:t>ing</w:t>
      </w:r>
      <w:r w:rsidRPr="00DB6C99">
        <w:rPr>
          <w:rFonts w:ascii="Garamond" w:eastAsia="Calibri" w:hAnsi="Garamond" w:cs="Times New Roman"/>
          <w:sz w:val="24"/>
          <w:szCs w:val="24"/>
          <w:lang w:val="en-GB"/>
        </w:rPr>
        <w:t xml:space="preserve"> </w:t>
      </w:r>
      <w:r w:rsidR="00871E12" w:rsidRPr="00DB6C99">
        <w:rPr>
          <w:rFonts w:ascii="Garamond" w:eastAsia="Calibri" w:hAnsi="Garamond" w:cs="Times New Roman"/>
          <w:sz w:val="24"/>
          <w:szCs w:val="24"/>
          <w:lang w:val="en-GB"/>
        </w:rPr>
        <w:t xml:space="preserve">the </w:t>
      </w:r>
      <w:r w:rsidRPr="00DB6C99">
        <w:rPr>
          <w:rFonts w:ascii="Garamond" w:eastAsia="Calibri" w:hAnsi="Garamond" w:cs="Times New Roman"/>
          <w:sz w:val="24"/>
          <w:szCs w:val="24"/>
          <w:lang w:val="en-GB"/>
        </w:rPr>
        <w:t>level</w:t>
      </w:r>
      <w:r w:rsidR="00871E12" w:rsidRPr="00DB6C99">
        <w:rPr>
          <w:rFonts w:ascii="Garamond" w:eastAsia="Calibri" w:hAnsi="Garamond" w:cs="Times New Roman"/>
          <w:sz w:val="24"/>
          <w:szCs w:val="24"/>
          <w:lang w:val="en-GB"/>
        </w:rPr>
        <w:t xml:space="preserve"> of</w:t>
      </w:r>
      <w:r w:rsidRPr="00DB6C99">
        <w:rPr>
          <w:rFonts w:ascii="Garamond" w:eastAsia="Calibri" w:hAnsi="Garamond" w:cs="Times New Roman"/>
          <w:sz w:val="24"/>
          <w:szCs w:val="24"/>
          <w:lang w:val="en-GB"/>
        </w:rPr>
        <w:t xml:space="preserve"> transparency (Gul</w:t>
      </w:r>
      <w:r w:rsidR="005F6A3C" w:rsidRPr="00DB6C99">
        <w:rPr>
          <w:rFonts w:ascii="Garamond" w:eastAsia="Calibri" w:hAnsi="Garamond" w:cs="Times New Roman"/>
          <w:sz w:val="24"/>
          <w:szCs w:val="24"/>
          <w:lang w:val="en-GB"/>
        </w:rPr>
        <w:t>, Srinidhi and Ng</w:t>
      </w:r>
      <w:r w:rsidRPr="00DB6C99">
        <w:rPr>
          <w:rFonts w:ascii="Garamond" w:eastAsia="Calibri" w:hAnsi="Garamond" w:cs="Times New Roman"/>
          <w:iCs/>
          <w:sz w:val="24"/>
          <w:szCs w:val="24"/>
          <w:lang w:val="en-GB"/>
        </w:rPr>
        <w:t xml:space="preserve">, </w:t>
      </w:r>
      <w:r w:rsidRPr="00DB6C99">
        <w:rPr>
          <w:rFonts w:ascii="Garamond" w:eastAsia="Calibri" w:hAnsi="Garamond" w:cs="Times New Roman"/>
          <w:sz w:val="24"/>
          <w:szCs w:val="24"/>
          <w:lang w:val="en-GB"/>
        </w:rPr>
        <w:t xml:space="preserve">2011). Our </w:t>
      </w:r>
      <w:r w:rsidR="00561091" w:rsidRPr="00DB6C99">
        <w:rPr>
          <w:rFonts w:ascii="Garamond" w:eastAsia="Calibri" w:hAnsi="Garamond" w:cs="Times New Roman"/>
          <w:sz w:val="24"/>
          <w:szCs w:val="24"/>
          <w:lang w:val="en-GB"/>
        </w:rPr>
        <w:t xml:space="preserve">study </w:t>
      </w:r>
      <w:r w:rsidRPr="00DB6C99">
        <w:rPr>
          <w:rFonts w:ascii="Garamond" w:eastAsia="Calibri" w:hAnsi="Garamond" w:cs="Times New Roman"/>
          <w:sz w:val="24"/>
          <w:szCs w:val="24"/>
          <w:lang w:val="en-GB"/>
        </w:rPr>
        <w:t xml:space="preserve">yields similar results and shows that an </w:t>
      </w:r>
      <w:r w:rsidR="00CE6A4F" w:rsidRPr="00DB6C99">
        <w:rPr>
          <w:rFonts w:ascii="Garamond" w:eastAsia="Calibri" w:hAnsi="Garamond" w:cs="Times New Roman"/>
          <w:sz w:val="24"/>
          <w:szCs w:val="24"/>
          <w:lang w:val="en-GB"/>
        </w:rPr>
        <w:t>increased level of BGD</w:t>
      </w:r>
      <w:r w:rsidRPr="00DB6C99">
        <w:rPr>
          <w:rFonts w:ascii="Garamond" w:eastAsia="Calibri" w:hAnsi="Garamond" w:cs="Times New Roman"/>
          <w:sz w:val="24"/>
          <w:szCs w:val="24"/>
          <w:lang w:val="en-GB"/>
        </w:rPr>
        <w:t xml:space="preserve"> significantly improves oversight of CSR-related activities. To further contribute to the agency perspective, we test the effect of different board monitoring dynamics, i</w:t>
      </w:r>
      <w:r w:rsidR="004E1B0F" w:rsidRPr="00DB6C99">
        <w:rPr>
          <w:rFonts w:ascii="Garamond" w:eastAsia="Calibri" w:hAnsi="Garamond" w:cs="Times New Roman"/>
          <w:sz w:val="24"/>
          <w:szCs w:val="24"/>
          <w:lang w:val="en-GB"/>
        </w:rPr>
        <w:t xml:space="preserve">.e., </w:t>
      </w:r>
      <w:r w:rsidR="00561091" w:rsidRPr="00DB6C99">
        <w:rPr>
          <w:rFonts w:ascii="Garamond" w:eastAsia="Calibri" w:hAnsi="Garamond" w:cs="Times New Roman"/>
          <w:sz w:val="24"/>
          <w:szCs w:val="24"/>
          <w:lang w:val="en-GB"/>
        </w:rPr>
        <w:t xml:space="preserve">the </w:t>
      </w:r>
      <w:r w:rsidR="004E1B0F" w:rsidRPr="00DB6C99">
        <w:rPr>
          <w:rFonts w:ascii="Garamond" w:eastAsia="Calibri" w:hAnsi="Garamond" w:cs="Times New Roman"/>
          <w:sz w:val="24"/>
          <w:szCs w:val="24"/>
          <w:lang w:val="en-GB"/>
        </w:rPr>
        <w:t>presence of independent versus</w:t>
      </w:r>
      <w:r w:rsidRPr="00DB6C99">
        <w:rPr>
          <w:rFonts w:ascii="Garamond" w:eastAsia="Calibri" w:hAnsi="Garamond" w:cs="Times New Roman"/>
          <w:sz w:val="24"/>
          <w:szCs w:val="24"/>
          <w:lang w:val="en-GB"/>
        </w:rPr>
        <w:t xml:space="preserve"> executive women directors</w:t>
      </w:r>
      <w:r w:rsidR="00237AB3"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 xml:space="preserve"> our findings suggest that non-executive directors use monitoring channels (Liu</w:t>
      </w:r>
      <w:r w:rsidR="00F5602F" w:rsidRPr="00DB6C99">
        <w:rPr>
          <w:rFonts w:ascii="Garamond" w:eastAsia="Calibri" w:hAnsi="Garamond" w:cs="Times New Roman"/>
          <w:sz w:val="24"/>
          <w:szCs w:val="24"/>
          <w:lang w:val="en-GB"/>
        </w:rPr>
        <w:t>, Wei and Xie</w:t>
      </w:r>
      <w:r w:rsidRPr="00DB6C99">
        <w:rPr>
          <w:rFonts w:ascii="Garamond" w:eastAsia="Calibri" w:hAnsi="Garamond" w:cs="Times New Roman"/>
          <w:iCs/>
          <w:sz w:val="24"/>
          <w:szCs w:val="24"/>
          <w:lang w:val="en-GB"/>
        </w:rPr>
        <w:t>,</w:t>
      </w:r>
      <w:r w:rsidRPr="00DB6C99">
        <w:rPr>
          <w:rFonts w:ascii="Garamond" w:eastAsia="Calibri" w:hAnsi="Garamond" w:cs="Times New Roman"/>
          <w:sz w:val="24"/>
          <w:szCs w:val="24"/>
          <w:lang w:val="en-GB"/>
        </w:rPr>
        <w:t xml:space="preserve"> 2014) to curb CSR faking.</w:t>
      </w:r>
      <w:r w:rsidR="00444319" w:rsidRPr="00DB6C99">
        <w:rPr>
          <w:rStyle w:val="FootnoteReference"/>
          <w:rFonts w:ascii="Garamond" w:eastAsia="Calibri" w:hAnsi="Garamond" w:cs="Times New Roman"/>
          <w:sz w:val="24"/>
          <w:szCs w:val="24"/>
          <w:lang w:val="en-GB"/>
        </w:rPr>
        <w:t xml:space="preserve"> </w:t>
      </w:r>
      <w:r w:rsidR="00444319" w:rsidRPr="00DB6C99">
        <w:rPr>
          <w:rStyle w:val="FootnoteReference"/>
          <w:rFonts w:ascii="Garamond" w:eastAsia="Calibri" w:hAnsi="Garamond" w:cs="Times New Roman"/>
          <w:sz w:val="24"/>
          <w:szCs w:val="24"/>
          <w:lang w:val="en-GB"/>
        </w:rPr>
        <w:footnoteReference w:id="10"/>
      </w:r>
      <w:r w:rsidRPr="00DB6C99">
        <w:rPr>
          <w:rFonts w:ascii="Garamond" w:eastAsia="Calibri" w:hAnsi="Garamond" w:cs="Times New Roman"/>
          <w:sz w:val="24"/>
          <w:szCs w:val="24"/>
          <w:lang w:val="en-GB"/>
        </w:rPr>
        <w:t xml:space="preserve"> Our findings suggest that independence results in impartial behaviour</w:t>
      </w:r>
      <w:r w:rsidR="00237AB3"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 xml:space="preserve"> hence strengthen</w:t>
      </w:r>
      <w:r w:rsidR="00237AB3" w:rsidRPr="00DB6C99">
        <w:rPr>
          <w:rFonts w:ascii="Garamond" w:eastAsia="Calibri" w:hAnsi="Garamond" w:cs="Times New Roman"/>
          <w:sz w:val="24"/>
          <w:szCs w:val="24"/>
          <w:lang w:val="en-GB"/>
        </w:rPr>
        <w:t>ing</w:t>
      </w:r>
      <w:r w:rsidRPr="00DB6C99">
        <w:rPr>
          <w:rFonts w:ascii="Garamond" w:eastAsia="Calibri" w:hAnsi="Garamond" w:cs="Times New Roman"/>
          <w:sz w:val="24"/>
          <w:szCs w:val="24"/>
          <w:lang w:val="en-GB"/>
        </w:rPr>
        <w:t xml:space="preserve"> </w:t>
      </w:r>
      <w:r w:rsidR="00561091" w:rsidRPr="00DB6C99">
        <w:rPr>
          <w:rFonts w:ascii="Garamond" w:eastAsia="Calibri" w:hAnsi="Garamond" w:cs="Times New Roman"/>
          <w:sz w:val="24"/>
          <w:szCs w:val="24"/>
          <w:lang w:val="en-GB"/>
        </w:rPr>
        <w:t xml:space="preserve">the </w:t>
      </w:r>
      <w:r w:rsidRPr="00DB6C99">
        <w:rPr>
          <w:rFonts w:ascii="Garamond" w:eastAsia="Calibri" w:hAnsi="Garamond" w:cs="Times New Roman"/>
          <w:sz w:val="24"/>
          <w:szCs w:val="24"/>
          <w:lang w:val="en-GB"/>
        </w:rPr>
        <w:t>oversight activities of directors. Contrarily, executive directors play an insignificant role in limiting decoupling practices. The potential explanation for the insignificant relationship between executive female directors and CSR decoupling is the fact that they belong to old</w:t>
      </w:r>
      <w:r w:rsidR="00C10275" w:rsidRPr="00DB6C99">
        <w:rPr>
          <w:rFonts w:ascii="Garamond" w:eastAsia="Calibri" w:hAnsi="Garamond" w:cs="Times New Roman"/>
          <w:sz w:val="24"/>
          <w:szCs w:val="24"/>
          <w:lang w:val="en-GB"/>
        </w:rPr>
        <w:t xml:space="preserve"> </w:t>
      </w:r>
      <w:r w:rsidRPr="00DB6C99">
        <w:rPr>
          <w:rFonts w:ascii="Garamond" w:eastAsia="Calibri" w:hAnsi="Garamond" w:cs="Times New Roman"/>
          <w:sz w:val="24"/>
          <w:szCs w:val="24"/>
          <w:lang w:val="en-GB"/>
        </w:rPr>
        <w:t>boys club</w:t>
      </w:r>
      <w:r w:rsidR="00237AB3" w:rsidRPr="00DB6C99">
        <w:rPr>
          <w:rFonts w:ascii="Garamond" w:eastAsia="Calibri" w:hAnsi="Garamond" w:cs="Times New Roman"/>
          <w:sz w:val="24"/>
          <w:szCs w:val="24"/>
          <w:lang w:val="en-GB"/>
        </w:rPr>
        <w:t>s</w:t>
      </w:r>
      <w:r w:rsidRPr="00DB6C99">
        <w:rPr>
          <w:rFonts w:ascii="Garamond" w:eastAsia="Calibri" w:hAnsi="Garamond" w:cs="Times New Roman"/>
          <w:sz w:val="24"/>
          <w:szCs w:val="24"/>
          <w:lang w:val="en-GB"/>
        </w:rPr>
        <w:t xml:space="preserve"> and hence their monitoring intensity could be compromised.</w:t>
      </w:r>
    </w:p>
    <w:p w14:paraId="304E89CE" w14:textId="1F82F631" w:rsidR="004A1788" w:rsidRPr="00DB6C99" w:rsidRDefault="004A1788" w:rsidP="004A1788">
      <w:pPr>
        <w:spacing w:line="360" w:lineRule="auto"/>
        <w:ind w:firstLine="720"/>
        <w:jc w:val="both"/>
        <w:rPr>
          <w:rFonts w:ascii="Garamond" w:eastAsia="Calibri" w:hAnsi="Garamond" w:cs="Times New Roman"/>
          <w:sz w:val="24"/>
          <w:szCs w:val="24"/>
          <w:lang w:val="en-GB"/>
        </w:rPr>
      </w:pPr>
      <w:r w:rsidRPr="00DB6C99">
        <w:rPr>
          <w:rFonts w:ascii="Garamond" w:eastAsia="Calibri" w:hAnsi="Garamond" w:cs="Times New Roman"/>
          <w:sz w:val="24"/>
          <w:szCs w:val="24"/>
          <w:lang w:val="en-GB"/>
        </w:rPr>
        <w:t xml:space="preserve">Heeding the call of </w:t>
      </w:r>
      <w:r w:rsidRPr="00DB6C99">
        <w:rPr>
          <w:rFonts w:ascii="Garamond" w:eastAsia="Times New Roman" w:hAnsi="Garamond" w:cs="Times New Roman"/>
          <w:sz w:val="24"/>
          <w:szCs w:val="24"/>
          <w:lang w:val="en-GB"/>
        </w:rPr>
        <w:t>Rigolini and Huse (2019)</w:t>
      </w:r>
      <w:r w:rsidRPr="00DB6C99">
        <w:rPr>
          <w:rFonts w:ascii="Garamond" w:eastAsia="Calibri" w:hAnsi="Garamond" w:cs="Times New Roman"/>
          <w:sz w:val="24"/>
          <w:szCs w:val="24"/>
          <w:lang w:val="en-GB"/>
        </w:rPr>
        <w:t xml:space="preserve"> to provide a more nuanced view of the impact of BGD, we go beyond a simple test of critical mass theory by capturing the effect of differential increases in the representation of female directors on CSR decoupling by studying skewed, tilted and </w:t>
      </w:r>
      <w:r w:rsidRPr="00DB6C99">
        <w:rPr>
          <w:rFonts w:ascii="Garamond" w:eastAsia="Calibri" w:hAnsi="Garamond" w:cs="Times New Roman"/>
          <w:sz w:val="24"/>
          <w:szCs w:val="24"/>
          <w:lang w:val="en-GB"/>
        </w:rPr>
        <w:lastRenderedPageBreak/>
        <w:t xml:space="preserve">balanced boards. We note that while boards with minority representation of female directors demonstrate reduced CSR decoupling, the presence of a larger proportion of women directors does so more prominently. This provides strong empirical support to critical mass theory in the context of CSR decoupling and contributes to studies on the relationship between critical masses and CSR (e.g., Atif </w:t>
      </w:r>
      <w:r w:rsidRPr="00DB6C99">
        <w:rPr>
          <w:rFonts w:ascii="Garamond" w:eastAsia="Calibri" w:hAnsi="Garamond" w:cs="Times New Roman"/>
          <w:i/>
          <w:sz w:val="24"/>
          <w:szCs w:val="24"/>
          <w:lang w:val="en-GB"/>
        </w:rPr>
        <w:t>et al</w:t>
      </w:r>
      <w:r w:rsidR="00561091" w:rsidRPr="00DB6C99">
        <w:rPr>
          <w:rFonts w:ascii="Garamond" w:eastAsia="Calibri" w:hAnsi="Garamond" w:cs="Times New Roman"/>
          <w:iCs/>
          <w:sz w:val="24"/>
          <w:szCs w:val="24"/>
          <w:lang w:val="en-GB"/>
        </w:rPr>
        <w:t>.</w:t>
      </w:r>
      <w:r w:rsidRPr="00DB6C99">
        <w:rPr>
          <w:rFonts w:ascii="Garamond" w:eastAsia="Calibri" w:hAnsi="Garamond" w:cs="Times New Roman"/>
          <w:iCs/>
          <w:sz w:val="24"/>
          <w:szCs w:val="24"/>
          <w:lang w:val="en-GB"/>
        </w:rPr>
        <w:t>,</w:t>
      </w:r>
      <w:r w:rsidRPr="00DB6C99">
        <w:rPr>
          <w:rFonts w:ascii="Garamond" w:eastAsia="Calibri" w:hAnsi="Garamond" w:cs="Times New Roman"/>
          <w:sz w:val="24"/>
          <w:szCs w:val="24"/>
          <w:lang w:val="en-GB"/>
        </w:rPr>
        <w:t xml:space="preserve"> 2020</w:t>
      </w:r>
      <w:r w:rsidR="00BC1E12"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 xml:space="preserve"> Post</w:t>
      </w:r>
      <w:r w:rsidR="005C7218" w:rsidRPr="00DB6C99">
        <w:rPr>
          <w:rFonts w:ascii="Garamond" w:eastAsia="Calibri" w:hAnsi="Garamond" w:cs="Times New Roman"/>
          <w:sz w:val="24"/>
          <w:szCs w:val="24"/>
          <w:lang w:val="en-GB"/>
        </w:rPr>
        <w:t>, Rahman and Rubow</w:t>
      </w:r>
      <w:r w:rsidRPr="00DB6C99">
        <w:rPr>
          <w:rFonts w:ascii="Garamond" w:eastAsia="Calibri" w:hAnsi="Garamond" w:cs="Times New Roman"/>
          <w:iCs/>
          <w:sz w:val="24"/>
          <w:szCs w:val="24"/>
          <w:lang w:val="en-GB"/>
        </w:rPr>
        <w:t>,</w:t>
      </w:r>
      <w:r w:rsidRPr="00DB6C99">
        <w:rPr>
          <w:rFonts w:ascii="Garamond" w:eastAsia="Calibri" w:hAnsi="Garamond" w:cs="Times New Roman"/>
          <w:sz w:val="24"/>
          <w:szCs w:val="24"/>
          <w:lang w:val="en-GB"/>
        </w:rPr>
        <w:t xml:space="preserve"> 2011). We also add to the </w:t>
      </w:r>
      <w:r w:rsidR="00561091" w:rsidRPr="00DB6C99">
        <w:rPr>
          <w:rFonts w:ascii="Garamond" w:eastAsia="Calibri" w:hAnsi="Garamond" w:cs="Times New Roman"/>
          <w:sz w:val="24"/>
          <w:szCs w:val="24"/>
          <w:lang w:val="en-GB"/>
        </w:rPr>
        <w:t xml:space="preserve">findings of </w:t>
      </w:r>
      <w:r w:rsidRPr="00DB6C99">
        <w:rPr>
          <w:rFonts w:ascii="Garamond" w:eastAsia="Calibri" w:hAnsi="Garamond" w:cs="Times New Roman"/>
          <w:sz w:val="24"/>
          <w:szCs w:val="24"/>
          <w:lang w:val="en-GB"/>
        </w:rPr>
        <w:t>Seebeck and Vetter (2021) by showing</w:t>
      </w:r>
      <w:r w:rsidR="00561091" w:rsidRPr="00DB6C99">
        <w:rPr>
          <w:rFonts w:ascii="Garamond" w:eastAsia="Calibri" w:hAnsi="Garamond" w:cs="Times New Roman"/>
          <w:sz w:val="24"/>
          <w:szCs w:val="24"/>
          <w:lang w:val="en-GB"/>
        </w:rPr>
        <w:t xml:space="preserve"> that</w:t>
      </w:r>
      <w:r w:rsidRPr="00DB6C99">
        <w:rPr>
          <w:rFonts w:ascii="Garamond" w:eastAsia="Calibri" w:hAnsi="Garamond" w:cs="Times New Roman"/>
          <w:sz w:val="24"/>
          <w:szCs w:val="24"/>
          <w:lang w:val="en-GB"/>
        </w:rPr>
        <w:t xml:space="preserve"> increased BGD improves firm transparency. </w:t>
      </w:r>
    </w:p>
    <w:p w14:paraId="500970C9" w14:textId="548297E0" w:rsidR="004A1788" w:rsidRPr="00DB6C99" w:rsidRDefault="004A1788" w:rsidP="004A1788">
      <w:pPr>
        <w:spacing w:line="360" w:lineRule="auto"/>
        <w:ind w:firstLine="720"/>
        <w:jc w:val="both"/>
        <w:rPr>
          <w:rFonts w:ascii="Garamond" w:eastAsia="Calibri" w:hAnsi="Garamond" w:cs="Times New Roman"/>
          <w:sz w:val="24"/>
          <w:szCs w:val="24"/>
          <w:lang w:val="en-GB"/>
        </w:rPr>
      </w:pPr>
      <w:r w:rsidRPr="00DB6C99">
        <w:rPr>
          <w:rFonts w:ascii="Garamond" w:eastAsia="Calibri" w:hAnsi="Garamond" w:cs="Times New Roman"/>
          <w:sz w:val="24"/>
          <w:szCs w:val="24"/>
          <w:lang w:val="en-GB"/>
        </w:rPr>
        <w:t xml:space="preserve">We </w:t>
      </w:r>
      <w:r w:rsidR="005B24DF" w:rsidRPr="00DB6C99">
        <w:rPr>
          <w:rFonts w:ascii="Garamond" w:eastAsia="Calibri" w:hAnsi="Garamond" w:cs="Times New Roman"/>
          <w:sz w:val="24"/>
          <w:szCs w:val="24"/>
          <w:lang w:val="en-GB"/>
        </w:rPr>
        <w:t>further</w:t>
      </w:r>
      <w:r w:rsidRPr="00DB6C99">
        <w:rPr>
          <w:rFonts w:ascii="Garamond" w:eastAsia="Calibri" w:hAnsi="Garamond" w:cs="Times New Roman"/>
          <w:sz w:val="24"/>
          <w:szCs w:val="24"/>
          <w:lang w:val="en-GB"/>
        </w:rPr>
        <w:t xml:space="preserve"> add new robust evidence to this literature strand by showing that while the number of women directors on a corporate board matters, their roles on boards are very important</w:t>
      </w:r>
      <w:r w:rsidR="00237AB3"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 xml:space="preserve"> well</w:t>
      </w:r>
      <w:r w:rsidR="004E1B0F" w:rsidRPr="00DB6C99">
        <w:rPr>
          <w:rFonts w:ascii="Garamond" w:eastAsia="Calibri" w:hAnsi="Garamond" w:cs="Times New Roman"/>
          <w:sz w:val="24"/>
          <w:szCs w:val="24"/>
          <w:lang w:val="en-GB"/>
        </w:rPr>
        <w:t xml:space="preserve"> </w:t>
      </w:r>
      <w:r w:rsidRPr="00DB6C99">
        <w:rPr>
          <w:rFonts w:ascii="Garamond" w:eastAsia="Calibri" w:hAnsi="Garamond" w:cs="Times New Roman"/>
          <w:sz w:val="24"/>
          <w:szCs w:val="24"/>
          <w:lang w:val="en-GB"/>
        </w:rPr>
        <w:t>thought-through BGD can significantly curb CSR decoupling practices. Importantly, we find that the significant</w:t>
      </w:r>
      <w:r w:rsidR="00561091" w:rsidRPr="00DB6C99">
        <w:rPr>
          <w:rFonts w:ascii="Garamond" w:eastAsia="Calibri" w:hAnsi="Garamond" w:cs="Times New Roman"/>
          <w:sz w:val="24"/>
          <w:szCs w:val="24"/>
          <w:lang w:val="en-GB"/>
        </w:rPr>
        <w:t>ly</w:t>
      </w:r>
      <w:r w:rsidRPr="00DB6C99">
        <w:rPr>
          <w:rFonts w:ascii="Garamond" w:eastAsia="Calibri" w:hAnsi="Garamond" w:cs="Times New Roman"/>
          <w:sz w:val="24"/>
          <w:szCs w:val="24"/>
          <w:lang w:val="en-GB"/>
        </w:rPr>
        <w:t xml:space="preserve"> negative impact of BGD on CSR decoupling holds only for firms with low CG quality, thereby expanding existing empirical evidence (e.g., Adams </w:t>
      </w:r>
      <w:r w:rsidR="00561091" w:rsidRPr="00DB6C99">
        <w:rPr>
          <w:rFonts w:ascii="Garamond" w:eastAsia="Calibri" w:hAnsi="Garamond" w:cs="Times New Roman"/>
          <w:sz w:val="24"/>
          <w:szCs w:val="24"/>
          <w:lang w:val="en-GB"/>
        </w:rPr>
        <w:t>and</w:t>
      </w:r>
      <w:r w:rsidRPr="00DB6C99">
        <w:rPr>
          <w:rFonts w:ascii="Garamond" w:eastAsia="Calibri" w:hAnsi="Garamond" w:cs="Times New Roman"/>
          <w:sz w:val="24"/>
          <w:szCs w:val="24"/>
          <w:lang w:val="en-GB"/>
        </w:rPr>
        <w:t xml:space="preserve"> Ferreira, 2009</w:t>
      </w:r>
      <w:r w:rsidR="00C10275"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 xml:space="preserve"> Wahid, 2019). These results </w:t>
      </w:r>
      <w:r w:rsidR="00237AB3" w:rsidRPr="00DB6C99">
        <w:rPr>
          <w:rFonts w:ascii="Garamond" w:eastAsia="Calibri" w:hAnsi="Garamond" w:cs="Times New Roman"/>
          <w:sz w:val="24"/>
          <w:szCs w:val="24"/>
          <w:lang w:val="en-GB"/>
        </w:rPr>
        <w:t>a</w:t>
      </w:r>
      <w:r w:rsidRPr="00DB6C99">
        <w:rPr>
          <w:rFonts w:ascii="Garamond" w:eastAsia="Calibri" w:hAnsi="Garamond" w:cs="Times New Roman"/>
          <w:sz w:val="24"/>
          <w:szCs w:val="24"/>
          <w:lang w:val="en-GB"/>
        </w:rPr>
        <w:t>li</w:t>
      </w:r>
      <w:r w:rsidR="00237AB3" w:rsidRPr="00DB6C99">
        <w:rPr>
          <w:rFonts w:ascii="Garamond" w:eastAsia="Calibri" w:hAnsi="Garamond" w:cs="Times New Roman"/>
          <w:sz w:val="24"/>
          <w:szCs w:val="24"/>
          <w:lang w:val="en-GB"/>
        </w:rPr>
        <w:t>g</w:t>
      </w:r>
      <w:r w:rsidRPr="00DB6C99">
        <w:rPr>
          <w:rFonts w:ascii="Garamond" w:eastAsia="Calibri" w:hAnsi="Garamond" w:cs="Times New Roman"/>
          <w:sz w:val="24"/>
          <w:szCs w:val="24"/>
          <w:lang w:val="en-GB"/>
        </w:rPr>
        <w:t>n with extant literature show</w:t>
      </w:r>
      <w:r w:rsidR="00C10275" w:rsidRPr="00DB6C99">
        <w:rPr>
          <w:rFonts w:ascii="Garamond" w:eastAsia="Calibri" w:hAnsi="Garamond" w:cs="Times New Roman"/>
          <w:sz w:val="24"/>
          <w:szCs w:val="24"/>
          <w:lang w:val="en-GB"/>
        </w:rPr>
        <w:t>ing</w:t>
      </w:r>
      <w:r w:rsidRPr="00DB6C99">
        <w:rPr>
          <w:rFonts w:ascii="Garamond" w:eastAsia="Calibri" w:hAnsi="Garamond" w:cs="Times New Roman"/>
          <w:sz w:val="24"/>
          <w:szCs w:val="24"/>
          <w:lang w:val="en-GB"/>
        </w:rPr>
        <w:t xml:space="preserve"> that gender-diverse boards could act as a substitute mechanism for </w:t>
      </w:r>
      <w:r w:rsidR="00316442" w:rsidRPr="00DB6C99">
        <w:rPr>
          <w:rFonts w:ascii="Garamond" w:eastAsia="Calibri" w:hAnsi="Garamond" w:cs="Times New Roman"/>
          <w:sz w:val="24"/>
          <w:szCs w:val="24"/>
          <w:lang w:val="en-GB"/>
        </w:rPr>
        <w:t>CG</w:t>
      </w:r>
      <w:r w:rsidRPr="00DB6C99">
        <w:rPr>
          <w:rFonts w:ascii="Garamond" w:eastAsia="Calibri" w:hAnsi="Garamond" w:cs="Times New Roman"/>
          <w:sz w:val="24"/>
          <w:szCs w:val="24"/>
          <w:lang w:val="en-GB"/>
        </w:rPr>
        <w:t xml:space="preserve"> that would otherwise </w:t>
      </w:r>
      <w:r w:rsidR="00561091" w:rsidRPr="00DB6C99">
        <w:rPr>
          <w:rFonts w:ascii="Garamond" w:eastAsia="Calibri" w:hAnsi="Garamond" w:cs="Times New Roman"/>
          <w:sz w:val="24"/>
          <w:szCs w:val="24"/>
          <w:lang w:val="en-GB"/>
        </w:rPr>
        <w:t xml:space="preserve">be </w:t>
      </w:r>
      <w:r w:rsidRPr="00DB6C99">
        <w:rPr>
          <w:rFonts w:ascii="Garamond" w:eastAsia="Calibri" w:hAnsi="Garamond" w:cs="Times New Roman"/>
          <w:sz w:val="24"/>
          <w:szCs w:val="24"/>
          <w:lang w:val="en-GB"/>
        </w:rPr>
        <w:t>weak (Gul</w:t>
      </w:r>
      <w:r w:rsidR="005F6A3C" w:rsidRPr="00DB6C99">
        <w:rPr>
          <w:rFonts w:ascii="Garamond" w:eastAsia="Calibri" w:hAnsi="Garamond" w:cs="Times New Roman"/>
          <w:sz w:val="24"/>
          <w:szCs w:val="24"/>
          <w:lang w:val="en-GB"/>
        </w:rPr>
        <w:t>, Srinidhi and Ng</w:t>
      </w:r>
      <w:r w:rsidRPr="00DB6C99">
        <w:rPr>
          <w:rFonts w:ascii="Garamond" w:eastAsia="Calibri" w:hAnsi="Garamond" w:cs="Times New Roman"/>
          <w:iCs/>
          <w:sz w:val="24"/>
          <w:szCs w:val="24"/>
          <w:lang w:val="en-GB"/>
        </w:rPr>
        <w:t>,</w:t>
      </w:r>
      <w:r w:rsidRPr="00DB6C99">
        <w:rPr>
          <w:rFonts w:ascii="Garamond" w:eastAsia="Calibri" w:hAnsi="Garamond" w:cs="Times New Roman"/>
          <w:i/>
          <w:sz w:val="24"/>
          <w:szCs w:val="24"/>
          <w:lang w:val="en-GB"/>
        </w:rPr>
        <w:t xml:space="preserve"> </w:t>
      </w:r>
      <w:r w:rsidRPr="00DB6C99">
        <w:rPr>
          <w:rFonts w:ascii="Garamond" w:eastAsia="Calibri" w:hAnsi="Garamond" w:cs="Times New Roman"/>
          <w:sz w:val="24"/>
          <w:szCs w:val="24"/>
          <w:lang w:val="en-GB"/>
        </w:rPr>
        <w:t xml:space="preserve">2011). </w:t>
      </w:r>
      <w:r w:rsidR="00960B9B" w:rsidRPr="00DB6C99">
        <w:rPr>
          <w:rFonts w:ascii="Garamond" w:eastAsia="Calibri" w:hAnsi="Garamond" w:cs="Times New Roman"/>
          <w:sz w:val="24"/>
          <w:szCs w:val="24"/>
          <w:lang w:val="en-GB"/>
        </w:rPr>
        <w:t xml:space="preserve">Additionally, our study contributes to the growing literature </w:t>
      </w:r>
      <w:r w:rsidR="000F4539" w:rsidRPr="00DB6C99">
        <w:rPr>
          <w:rFonts w:ascii="Garamond" w:eastAsia="Calibri" w:hAnsi="Garamond" w:cs="Times New Roman"/>
          <w:sz w:val="24"/>
          <w:szCs w:val="24"/>
          <w:lang w:val="en-GB"/>
        </w:rPr>
        <w:t>concerning</w:t>
      </w:r>
      <w:r w:rsidR="00960B9B" w:rsidRPr="00DB6C99">
        <w:rPr>
          <w:rFonts w:ascii="Garamond" w:eastAsia="Calibri" w:hAnsi="Garamond" w:cs="Times New Roman"/>
          <w:sz w:val="24"/>
          <w:szCs w:val="24"/>
          <w:lang w:val="en-GB"/>
        </w:rPr>
        <w:t xml:space="preserve"> BGD</w:t>
      </w:r>
      <w:r w:rsidR="00491D4A" w:rsidRPr="00DB6C99">
        <w:rPr>
          <w:rFonts w:ascii="Garamond" w:eastAsia="Calibri" w:hAnsi="Garamond" w:cs="Times New Roman"/>
          <w:sz w:val="24"/>
          <w:szCs w:val="24"/>
          <w:lang w:val="en-GB"/>
        </w:rPr>
        <w:t xml:space="preserve"> role</w:t>
      </w:r>
      <w:r w:rsidR="00960B9B" w:rsidRPr="00DB6C99">
        <w:rPr>
          <w:rFonts w:ascii="Garamond" w:eastAsia="Calibri" w:hAnsi="Garamond" w:cs="Times New Roman"/>
          <w:sz w:val="24"/>
          <w:szCs w:val="24"/>
          <w:lang w:val="en-GB"/>
        </w:rPr>
        <w:t xml:space="preserve"> in promoting </w:t>
      </w:r>
      <w:r w:rsidR="00561091" w:rsidRPr="00DB6C99">
        <w:rPr>
          <w:rFonts w:ascii="Garamond" w:eastAsia="Calibri" w:hAnsi="Garamond" w:cs="Times New Roman"/>
          <w:sz w:val="24"/>
          <w:szCs w:val="24"/>
          <w:lang w:val="en-GB"/>
        </w:rPr>
        <w:t xml:space="preserve">the </w:t>
      </w:r>
      <w:r w:rsidR="000E2179" w:rsidRPr="00DB6C99">
        <w:rPr>
          <w:rFonts w:ascii="Garamond" w:eastAsia="Calibri" w:hAnsi="Garamond" w:cs="Times New Roman"/>
          <w:i/>
          <w:sz w:val="24"/>
          <w:szCs w:val="24"/>
          <w:lang w:val="en-GB"/>
        </w:rPr>
        <w:t>real</w:t>
      </w:r>
      <w:r w:rsidR="00960B9B" w:rsidRPr="00DB6C99">
        <w:rPr>
          <w:rFonts w:ascii="Garamond" w:eastAsia="Calibri" w:hAnsi="Garamond" w:cs="Times New Roman"/>
          <w:sz w:val="24"/>
          <w:szCs w:val="24"/>
          <w:lang w:val="en-GB"/>
        </w:rPr>
        <w:t xml:space="preserve"> CSR engagement (Gull </w:t>
      </w:r>
      <w:r w:rsidR="00960B9B" w:rsidRPr="00DB6C99">
        <w:rPr>
          <w:rFonts w:ascii="Garamond" w:eastAsia="Calibri" w:hAnsi="Garamond" w:cs="Times New Roman"/>
          <w:i/>
          <w:sz w:val="24"/>
          <w:szCs w:val="24"/>
          <w:lang w:val="en-GB"/>
        </w:rPr>
        <w:t>et al</w:t>
      </w:r>
      <w:r w:rsidR="00960B9B" w:rsidRPr="00DB6C99">
        <w:rPr>
          <w:rFonts w:ascii="Garamond" w:eastAsia="Calibri" w:hAnsi="Garamond" w:cs="Times New Roman"/>
          <w:iCs/>
          <w:sz w:val="24"/>
          <w:szCs w:val="24"/>
          <w:lang w:val="en-GB"/>
        </w:rPr>
        <w:t xml:space="preserve">., </w:t>
      </w:r>
      <w:r w:rsidR="00960B9B" w:rsidRPr="00DB6C99">
        <w:rPr>
          <w:rFonts w:ascii="Garamond" w:eastAsia="Calibri" w:hAnsi="Garamond" w:cs="Times New Roman"/>
          <w:sz w:val="24"/>
          <w:szCs w:val="24"/>
          <w:lang w:val="en-GB"/>
        </w:rPr>
        <w:t xml:space="preserve">2022).  </w:t>
      </w:r>
    </w:p>
    <w:p w14:paraId="1538BDC4" w14:textId="3F832096" w:rsidR="004A1788" w:rsidRPr="00DB6C99" w:rsidRDefault="004A1788" w:rsidP="004A1788">
      <w:pPr>
        <w:spacing w:line="360" w:lineRule="auto"/>
        <w:ind w:firstLine="720"/>
        <w:jc w:val="both"/>
        <w:rPr>
          <w:rFonts w:ascii="Garamond" w:eastAsia="Calibri" w:hAnsi="Garamond" w:cs="Times New Roman"/>
          <w:sz w:val="24"/>
          <w:szCs w:val="24"/>
          <w:lang w:val="en-GB"/>
        </w:rPr>
      </w:pPr>
      <w:r w:rsidRPr="00DB6C99">
        <w:rPr>
          <w:rFonts w:ascii="Garamond" w:eastAsia="Calibri" w:hAnsi="Garamond" w:cs="Times New Roman"/>
          <w:sz w:val="24"/>
          <w:szCs w:val="24"/>
          <w:lang w:val="en-GB"/>
        </w:rPr>
        <w:t xml:space="preserve">Finally, our study has important policy implications </w:t>
      </w:r>
      <w:r w:rsidR="001116FF" w:rsidRPr="00DB6C99">
        <w:rPr>
          <w:rFonts w:ascii="Garamond" w:eastAsia="Calibri" w:hAnsi="Garamond" w:cs="Times New Roman"/>
          <w:sz w:val="24"/>
          <w:szCs w:val="24"/>
          <w:lang w:val="en-GB"/>
        </w:rPr>
        <w:t xml:space="preserve">regarding </w:t>
      </w:r>
      <w:r w:rsidRPr="00DB6C99">
        <w:rPr>
          <w:rFonts w:ascii="Garamond" w:eastAsia="Calibri" w:hAnsi="Garamond" w:cs="Times New Roman"/>
          <w:sz w:val="24"/>
          <w:szCs w:val="24"/>
          <w:lang w:val="en-GB"/>
        </w:rPr>
        <w:t xml:space="preserve">the benefits of BGD </w:t>
      </w:r>
      <w:r w:rsidR="001116FF" w:rsidRPr="00DB6C99">
        <w:rPr>
          <w:rFonts w:ascii="Garamond" w:eastAsia="Calibri" w:hAnsi="Garamond" w:cs="Times New Roman"/>
          <w:sz w:val="24"/>
          <w:szCs w:val="24"/>
          <w:lang w:val="en-GB"/>
        </w:rPr>
        <w:t xml:space="preserve">and </w:t>
      </w:r>
      <w:r w:rsidRPr="00DB6C99">
        <w:rPr>
          <w:rFonts w:ascii="Garamond" w:eastAsia="Calibri" w:hAnsi="Garamond" w:cs="Times New Roman"/>
          <w:sz w:val="24"/>
          <w:szCs w:val="24"/>
          <w:lang w:val="en-GB"/>
        </w:rPr>
        <w:t>the alignment of managerial and stakeholder interests. Given the mounting pressures faced by companies to increase women</w:t>
      </w:r>
      <w:r w:rsidR="001116FF" w:rsidRPr="00DB6C99">
        <w:rPr>
          <w:rFonts w:ascii="Garamond" w:eastAsia="Calibri" w:hAnsi="Garamond" w:cs="Times New Roman"/>
          <w:sz w:val="24"/>
          <w:szCs w:val="24"/>
          <w:lang w:val="en-GB"/>
        </w:rPr>
        <w:t>’s</w:t>
      </w:r>
      <w:r w:rsidRPr="00DB6C99">
        <w:rPr>
          <w:rFonts w:ascii="Garamond" w:eastAsia="Calibri" w:hAnsi="Garamond" w:cs="Times New Roman"/>
          <w:sz w:val="24"/>
          <w:szCs w:val="24"/>
          <w:lang w:val="en-GB"/>
        </w:rPr>
        <w:t xml:space="preserve"> representation on corporate boards viz-a-viz gender quotas and societal expectations, our study supports the business case for higher representation of female directors on boards (Nadeem, 2020; Nekhili</w:t>
      </w:r>
      <w:r w:rsidR="008C5670" w:rsidRPr="00DB6C99">
        <w:rPr>
          <w:rFonts w:ascii="Garamond" w:eastAsia="Calibri" w:hAnsi="Garamond" w:cs="Times New Roman"/>
          <w:sz w:val="24"/>
          <w:szCs w:val="24"/>
          <w:lang w:val="en-GB"/>
        </w:rPr>
        <w:t>, Bennouri and Nagati</w:t>
      </w:r>
      <w:r w:rsidRPr="00DB6C99">
        <w:rPr>
          <w:rFonts w:ascii="Garamond" w:eastAsia="Calibri" w:hAnsi="Garamond" w:cs="Times New Roman"/>
          <w:sz w:val="24"/>
          <w:szCs w:val="24"/>
          <w:lang w:val="en-GB"/>
        </w:rPr>
        <w:t>, 202</w:t>
      </w:r>
      <w:r w:rsidR="0060668C" w:rsidRPr="00DB6C99">
        <w:rPr>
          <w:rFonts w:ascii="Garamond" w:eastAsia="Calibri" w:hAnsi="Garamond" w:cs="Times New Roman"/>
          <w:sz w:val="24"/>
          <w:szCs w:val="24"/>
          <w:lang w:val="en-GB"/>
        </w:rPr>
        <w:t>2</w:t>
      </w:r>
      <w:r w:rsidR="001116FF" w:rsidRPr="00DB6C99">
        <w:rPr>
          <w:rFonts w:ascii="Garamond" w:eastAsia="Calibri" w:hAnsi="Garamond" w:cs="Times New Roman"/>
          <w:sz w:val="24"/>
          <w:szCs w:val="24"/>
          <w:lang w:val="en-GB"/>
        </w:rPr>
        <w:t>; Torchia</w:t>
      </w:r>
      <w:r w:rsidR="00815C32" w:rsidRPr="00DB6C99">
        <w:rPr>
          <w:rFonts w:ascii="Garamond" w:eastAsia="Calibri" w:hAnsi="Garamond" w:cs="Times New Roman"/>
          <w:sz w:val="24"/>
          <w:szCs w:val="24"/>
          <w:lang w:val="en-GB"/>
        </w:rPr>
        <w:t>, Calabrò and Huse</w:t>
      </w:r>
      <w:r w:rsidR="001116FF" w:rsidRPr="00DB6C99">
        <w:rPr>
          <w:rFonts w:ascii="Garamond" w:eastAsia="Calibri" w:hAnsi="Garamond" w:cs="Times New Roman"/>
          <w:iCs/>
          <w:sz w:val="24"/>
          <w:szCs w:val="24"/>
          <w:lang w:val="en-GB"/>
        </w:rPr>
        <w:t>,</w:t>
      </w:r>
      <w:r w:rsidR="001116FF" w:rsidRPr="00DB6C99">
        <w:rPr>
          <w:rFonts w:ascii="Garamond" w:eastAsia="Calibri" w:hAnsi="Garamond" w:cs="Times New Roman"/>
          <w:sz w:val="24"/>
          <w:szCs w:val="24"/>
          <w:lang w:val="en-GB"/>
        </w:rPr>
        <w:t xml:space="preserve"> 2011</w:t>
      </w:r>
      <w:r w:rsidRPr="00DB6C99">
        <w:rPr>
          <w:rFonts w:ascii="Garamond" w:eastAsia="Calibri" w:hAnsi="Garamond" w:cs="Times New Roman"/>
          <w:sz w:val="24"/>
          <w:szCs w:val="24"/>
          <w:lang w:val="en-GB"/>
        </w:rPr>
        <w:t xml:space="preserve">) </w:t>
      </w:r>
      <w:r w:rsidR="001116FF" w:rsidRPr="00DB6C99">
        <w:rPr>
          <w:rFonts w:ascii="Garamond" w:eastAsia="Calibri" w:hAnsi="Garamond" w:cs="Times New Roman"/>
          <w:sz w:val="24"/>
          <w:szCs w:val="24"/>
          <w:lang w:val="en-GB"/>
        </w:rPr>
        <w:t xml:space="preserve">and </w:t>
      </w:r>
      <w:r w:rsidRPr="00DB6C99">
        <w:rPr>
          <w:rFonts w:ascii="Garamond" w:eastAsia="Calibri" w:hAnsi="Garamond" w:cs="Times New Roman"/>
          <w:sz w:val="24"/>
          <w:szCs w:val="24"/>
          <w:lang w:val="en-GB"/>
        </w:rPr>
        <w:t>careful consideration of how such an increase can be executed</w:t>
      </w:r>
      <w:r w:rsidR="008F0AB1" w:rsidRPr="00DB6C99">
        <w:rPr>
          <w:rFonts w:ascii="Garamond" w:eastAsia="Calibri" w:hAnsi="Garamond" w:cs="Times New Roman"/>
          <w:sz w:val="24"/>
          <w:szCs w:val="24"/>
          <w:lang w:val="en-GB"/>
        </w:rPr>
        <w:t xml:space="preserve"> (</w:t>
      </w:r>
      <w:r w:rsidR="008F0AB1" w:rsidRPr="00DB6C99">
        <w:rPr>
          <w:rFonts w:ascii="Garamond" w:eastAsia="Calibri" w:hAnsi="Garamond" w:cs="Times New Roman"/>
          <w:i/>
          <w:sz w:val="24"/>
          <w:szCs w:val="24"/>
          <w:lang w:val="en-GB"/>
        </w:rPr>
        <w:t>i.e. which role female directors should have in the boardroom</w:t>
      </w:r>
      <w:r w:rsidR="008F0AB1" w:rsidRPr="00DB6C99">
        <w:rPr>
          <w:rFonts w:ascii="Garamond" w:eastAsia="Calibri" w:hAnsi="Garamond" w:cs="Times New Roman"/>
          <w:sz w:val="24"/>
          <w:szCs w:val="24"/>
          <w:lang w:val="en-GB"/>
        </w:rPr>
        <w:t>)</w:t>
      </w:r>
      <w:r w:rsidRPr="00DB6C99">
        <w:rPr>
          <w:rFonts w:ascii="Garamond" w:eastAsia="Calibri" w:hAnsi="Garamond" w:cs="Times New Roman"/>
          <w:sz w:val="24"/>
          <w:szCs w:val="24"/>
          <w:lang w:val="en-GB"/>
        </w:rPr>
        <w:t>. Our study shows that increasing female representation on boards is socially desirable. Recent sustainability-related scandals have pushed policy makers to formulate mandatory CSR reporting regulations. These mandatory regulations may result in a higher level of CSR decoupling. Our study provides important insights about the CG determinants of CSR decoupling.</w:t>
      </w:r>
      <w:r w:rsidR="008F0AB1" w:rsidRPr="00DB6C99">
        <w:rPr>
          <w:rFonts w:ascii="Garamond" w:eastAsia="Calibri" w:hAnsi="Garamond" w:cs="Times New Roman"/>
          <w:sz w:val="24"/>
          <w:szCs w:val="24"/>
          <w:lang w:val="en-GB"/>
        </w:rPr>
        <w:t xml:space="preserve"> </w:t>
      </w:r>
      <w:r w:rsidRPr="00DB6C99">
        <w:rPr>
          <w:rFonts w:ascii="Garamond" w:eastAsia="Calibri" w:hAnsi="Garamond" w:cs="Times New Roman"/>
          <w:sz w:val="24"/>
          <w:szCs w:val="24"/>
          <w:lang w:val="en-GB"/>
        </w:rPr>
        <w:t xml:space="preserve">  </w:t>
      </w:r>
    </w:p>
    <w:p w14:paraId="2FDD39CF" w14:textId="02ED0B98" w:rsidR="004A1788" w:rsidRPr="00DB6C99" w:rsidRDefault="00A42DBA" w:rsidP="0092141E">
      <w:pPr>
        <w:spacing w:line="360" w:lineRule="auto"/>
        <w:ind w:firstLine="720"/>
        <w:jc w:val="both"/>
        <w:rPr>
          <w:rFonts w:ascii="Garamond" w:hAnsi="Garamond" w:cs="Times New Roman"/>
          <w:b/>
          <w:bCs/>
          <w:sz w:val="24"/>
          <w:szCs w:val="24"/>
          <w:lang w:val="en-GB"/>
        </w:rPr>
      </w:pPr>
      <w:r w:rsidRPr="00DB6C99">
        <w:rPr>
          <w:rFonts w:ascii="Garamond" w:eastAsia="Calibri" w:hAnsi="Garamond" w:cs="Times New Roman"/>
          <w:sz w:val="24"/>
          <w:szCs w:val="24"/>
          <w:lang w:val="en-GB"/>
        </w:rPr>
        <w:t>W</w:t>
      </w:r>
      <w:r w:rsidR="004A1788" w:rsidRPr="00DB6C99">
        <w:rPr>
          <w:rFonts w:ascii="Garamond" w:eastAsia="Calibri" w:hAnsi="Garamond" w:cs="Times New Roman"/>
          <w:sz w:val="24"/>
          <w:szCs w:val="24"/>
          <w:lang w:val="en-GB"/>
        </w:rPr>
        <w:t>e acknowledge that our study suffers from some limitations. First, this study considers a global measure of CSR decoupling</w:t>
      </w:r>
      <w:r w:rsidR="001116FF" w:rsidRPr="00DB6C99">
        <w:rPr>
          <w:rFonts w:ascii="Garamond" w:eastAsia="Calibri" w:hAnsi="Garamond" w:cs="Times New Roman"/>
          <w:sz w:val="24"/>
          <w:szCs w:val="24"/>
          <w:lang w:val="en-GB"/>
        </w:rPr>
        <w:t>,</w:t>
      </w:r>
      <w:r w:rsidR="004A1788" w:rsidRPr="00DB6C99">
        <w:rPr>
          <w:rFonts w:ascii="Garamond" w:eastAsia="Calibri" w:hAnsi="Garamond" w:cs="Times New Roman"/>
          <w:sz w:val="24"/>
          <w:szCs w:val="24"/>
          <w:lang w:val="en-GB"/>
        </w:rPr>
        <w:t xml:space="preserve"> and we are unable to capture specific dimensional</w:t>
      </w:r>
      <w:r w:rsidR="001116FF" w:rsidRPr="00DB6C99">
        <w:rPr>
          <w:rFonts w:ascii="Garamond" w:eastAsia="Calibri" w:hAnsi="Garamond" w:cs="Times New Roman"/>
          <w:sz w:val="24"/>
          <w:szCs w:val="24"/>
          <w:lang w:val="en-GB"/>
        </w:rPr>
        <w:t>-</w:t>
      </w:r>
      <w:r w:rsidR="004A1788" w:rsidRPr="00DB6C99">
        <w:rPr>
          <w:rFonts w:ascii="Garamond" w:eastAsia="Calibri" w:hAnsi="Garamond" w:cs="Times New Roman"/>
          <w:sz w:val="24"/>
          <w:szCs w:val="24"/>
          <w:lang w:val="en-GB"/>
        </w:rPr>
        <w:t xml:space="preserve">level decoupling. CSR has a multifaceted nature </w:t>
      </w:r>
      <w:r w:rsidR="001116FF" w:rsidRPr="00DB6C99">
        <w:rPr>
          <w:rFonts w:ascii="Garamond" w:eastAsia="Calibri" w:hAnsi="Garamond" w:cs="Times New Roman"/>
          <w:sz w:val="24"/>
          <w:szCs w:val="24"/>
          <w:lang w:val="en-GB"/>
        </w:rPr>
        <w:t xml:space="preserve">which </w:t>
      </w:r>
      <w:r w:rsidR="004A1788" w:rsidRPr="00DB6C99">
        <w:rPr>
          <w:rFonts w:ascii="Garamond" w:eastAsia="Calibri" w:hAnsi="Garamond" w:cs="Times New Roman"/>
          <w:sz w:val="24"/>
          <w:szCs w:val="24"/>
          <w:lang w:val="en-GB"/>
        </w:rPr>
        <w:t xml:space="preserve">includes various aspects of social and environmental practices. </w:t>
      </w:r>
      <w:r w:rsidR="008522D3" w:rsidRPr="00DB6C99">
        <w:rPr>
          <w:rFonts w:ascii="Garamond" w:eastAsia="Calibri" w:hAnsi="Garamond" w:cs="Times New Roman"/>
          <w:sz w:val="24"/>
          <w:szCs w:val="24"/>
          <w:lang w:val="en-GB"/>
        </w:rPr>
        <w:t>Some</w:t>
      </w:r>
      <w:r w:rsidR="004A1788" w:rsidRPr="00DB6C99">
        <w:rPr>
          <w:rFonts w:ascii="Garamond" w:eastAsia="Calibri" w:hAnsi="Garamond" w:cs="Times New Roman"/>
          <w:sz w:val="24"/>
          <w:szCs w:val="24"/>
          <w:lang w:val="en-GB"/>
        </w:rPr>
        <w:t xml:space="preserve"> recent studies argue that firms may decouple CSR practices at such dimensional level</w:t>
      </w:r>
      <w:r w:rsidR="00416103" w:rsidRPr="00DB6C99">
        <w:rPr>
          <w:rFonts w:ascii="Garamond" w:eastAsia="Calibri" w:hAnsi="Garamond" w:cs="Times New Roman"/>
          <w:sz w:val="24"/>
          <w:szCs w:val="24"/>
          <w:lang w:val="en-GB"/>
        </w:rPr>
        <w:t>s</w:t>
      </w:r>
      <w:r w:rsidR="004A1788" w:rsidRPr="00DB6C99">
        <w:rPr>
          <w:rFonts w:ascii="Garamond" w:eastAsia="Calibri" w:hAnsi="Garamond" w:cs="Times New Roman"/>
          <w:sz w:val="24"/>
          <w:szCs w:val="24"/>
          <w:lang w:val="en-GB"/>
        </w:rPr>
        <w:t xml:space="preserve"> (Garc</w:t>
      </w:r>
      <w:r w:rsidR="005A2DF4" w:rsidRPr="00DB6C99">
        <w:rPr>
          <w:rFonts w:ascii="Garamond" w:eastAsia="Calibri" w:hAnsi="Garamond" w:cs="Times New Roman"/>
          <w:sz w:val="24"/>
          <w:szCs w:val="24"/>
          <w:lang w:val="en-GB"/>
        </w:rPr>
        <w:t>í</w:t>
      </w:r>
      <w:r w:rsidR="004A1788" w:rsidRPr="00DB6C99">
        <w:rPr>
          <w:rFonts w:ascii="Garamond" w:eastAsia="Calibri" w:hAnsi="Garamond" w:cs="Times New Roman"/>
          <w:sz w:val="24"/>
          <w:szCs w:val="24"/>
          <w:lang w:val="en-GB"/>
        </w:rPr>
        <w:t>a-S</w:t>
      </w:r>
      <w:r w:rsidR="005A2DF4" w:rsidRPr="00DB6C99">
        <w:rPr>
          <w:rFonts w:ascii="Garamond" w:eastAsia="Calibri" w:hAnsi="Garamond" w:cs="Times New Roman"/>
          <w:sz w:val="24"/>
          <w:szCs w:val="24"/>
          <w:lang w:val="en-GB"/>
        </w:rPr>
        <w:t>á</w:t>
      </w:r>
      <w:r w:rsidR="004A1788" w:rsidRPr="00DB6C99">
        <w:rPr>
          <w:rFonts w:ascii="Garamond" w:eastAsia="Calibri" w:hAnsi="Garamond" w:cs="Times New Roman"/>
          <w:sz w:val="24"/>
          <w:szCs w:val="24"/>
          <w:lang w:val="en-GB"/>
        </w:rPr>
        <w:t xml:space="preserve">nchez </w:t>
      </w:r>
      <w:r w:rsidR="004A1788" w:rsidRPr="00DB6C99">
        <w:rPr>
          <w:rFonts w:ascii="Garamond" w:eastAsia="Calibri" w:hAnsi="Garamond" w:cs="Times New Roman"/>
          <w:i/>
          <w:sz w:val="24"/>
          <w:szCs w:val="24"/>
          <w:lang w:val="en-GB"/>
        </w:rPr>
        <w:t>et al</w:t>
      </w:r>
      <w:r w:rsidR="004A1788" w:rsidRPr="00DB6C99">
        <w:rPr>
          <w:rFonts w:ascii="Garamond" w:eastAsia="Calibri" w:hAnsi="Garamond" w:cs="Times New Roman"/>
          <w:iCs/>
          <w:sz w:val="24"/>
          <w:szCs w:val="24"/>
          <w:lang w:val="en-GB"/>
        </w:rPr>
        <w:t>.,</w:t>
      </w:r>
      <w:r w:rsidR="004A1788" w:rsidRPr="00DB6C99">
        <w:rPr>
          <w:rFonts w:ascii="Garamond" w:eastAsia="Calibri" w:hAnsi="Garamond" w:cs="Times New Roman"/>
          <w:sz w:val="24"/>
          <w:szCs w:val="24"/>
          <w:lang w:val="en-GB"/>
        </w:rPr>
        <w:t xml:space="preserve"> 2021). Future research should delve deeper into whether and how BGD affects dimensional CSR decoupling.</w:t>
      </w:r>
      <w:r w:rsidR="008F0AB1" w:rsidRPr="00DB6C99">
        <w:rPr>
          <w:rFonts w:ascii="Garamond" w:eastAsia="Calibri" w:hAnsi="Garamond" w:cs="Times New Roman"/>
          <w:sz w:val="24"/>
          <w:szCs w:val="24"/>
          <w:lang w:val="en-GB"/>
        </w:rPr>
        <w:t xml:space="preserve"> Marquis</w:t>
      </w:r>
      <w:r w:rsidR="008C5670" w:rsidRPr="00DB6C99">
        <w:rPr>
          <w:rFonts w:ascii="Garamond" w:eastAsia="Calibri" w:hAnsi="Garamond" w:cs="Times New Roman"/>
          <w:sz w:val="24"/>
          <w:szCs w:val="24"/>
          <w:lang w:val="en-GB"/>
        </w:rPr>
        <w:t>, Toffel and Zhou</w:t>
      </w:r>
      <w:r w:rsidR="008F0AB1" w:rsidRPr="00DB6C99">
        <w:rPr>
          <w:rFonts w:ascii="Garamond" w:eastAsia="Calibri" w:hAnsi="Garamond" w:cs="Times New Roman"/>
          <w:iCs/>
          <w:sz w:val="24"/>
          <w:szCs w:val="24"/>
          <w:lang w:val="en-GB"/>
        </w:rPr>
        <w:t xml:space="preserve"> </w:t>
      </w:r>
      <w:r w:rsidR="008F0AB1" w:rsidRPr="00DB6C99">
        <w:rPr>
          <w:rFonts w:ascii="Garamond" w:eastAsia="Calibri" w:hAnsi="Garamond" w:cs="Times New Roman"/>
          <w:sz w:val="24"/>
          <w:szCs w:val="24"/>
          <w:lang w:val="en-GB"/>
        </w:rPr>
        <w:t xml:space="preserve">(2016) show that firms selectively disclose </w:t>
      </w:r>
      <w:r w:rsidR="008F0AB1" w:rsidRPr="00DB6C99">
        <w:rPr>
          <w:rFonts w:ascii="Garamond" w:eastAsia="Calibri" w:hAnsi="Garamond" w:cs="Times New Roman"/>
          <w:sz w:val="24"/>
          <w:szCs w:val="24"/>
          <w:lang w:val="en-GB"/>
        </w:rPr>
        <w:lastRenderedPageBreak/>
        <w:t xml:space="preserve">information about their environmental performance. We encourage future </w:t>
      </w:r>
      <w:r w:rsidR="00CF5A91" w:rsidRPr="00DB6C99">
        <w:rPr>
          <w:rFonts w:ascii="Garamond" w:eastAsia="Calibri" w:hAnsi="Garamond" w:cs="Times New Roman"/>
          <w:sz w:val="24"/>
          <w:szCs w:val="24"/>
          <w:lang w:val="en-GB"/>
        </w:rPr>
        <w:t>investigation</w:t>
      </w:r>
      <w:r w:rsidR="001116FF" w:rsidRPr="00DB6C99">
        <w:rPr>
          <w:rFonts w:ascii="Garamond" w:eastAsia="Calibri" w:hAnsi="Garamond" w:cs="Times New Roman"/>
          <w:sz w:val="24"/>
          <w:szCs w:val="24"/>
          <w:lang w:val="en-GB"/>
        </w:rPr>
        <w:t>s</w:t>
      </w:r>
      <w:r w:rsidR="008F0AB1" w:rsidRPr="00DB6C99">
        <w:rPr>
          <w:rFonts w:ascii="Garamond" w:eastAsia="Calibri" w:hAnsi="Garamond" w:cs="Times New Roman"/>
          <w:sz w:val="24"/>
          <w:szCs w:val="24"/>
          <w:lang w:val="en-GB"/>
        </w:rPr>
        <w:t xml:space="preserve"> </w:t>
      </w:r>
      <w:r w:rsidR="001116FF" w:rsidRPr="00DB6C99">
        <w:rPr>
          <w:rFonts w:ascii="Garamond" w:eastAsia="Calibri" w:hAnsi="Garamond" w:cs="Times New Roman"/>
          <w:sz w:val="24"/>
          <w:szCs w:val="24"/>
          <w:lang w:val="en-GB"/>
        </w:rPr>
        <w:t xml:space="preserve">of </w:t>
      </w:r>
      <w:r w:rsidR="00CE6A4F" w:rsidRPr="00DB6C99">
        <w:rPr>
          <w:rFonts w:ascii="Garamond" w:eastAsia="Calibri" w:hAnsi="Garamond" w:cs="Times New Roman"/>
          <w:sz w:val="24"/>
          <w:szCs w:val="24"/>
          <w:lang w:val="en-GB"/>
        </w:rPr>
        <w:t>the association between BGD</w:t>
      </w:r>
      <w:r w:rsidR="008F0AB1" w:rsidRPr="00DB6C99">
        <w:rPr>
          <w:rFonts w:ascii="Garamond" w:eastAsia="Calibri" w:hAnsi="Garamond" w:cs="Times New Roman"/>
          <w:sz w:val="24"/>
          <w:szCs w:val="24"/>
          <w:lang w:val="en-GB"/>
        </w:rPr>
        <w:t xml:space="preserve"> and </w:t>
      </w:r>
      <w:r w:rsidR="00CF5A91" w:rsidRPr="00DB6C99">
        <w:rPr>
          <w:rFonts w:ascii="Garamond" w:eastAsia="Calibri" w:hAnsi="Garamond" w:cs="Times New Roman"/>
          <w:sz w:val="24"/>
          <w:szCs w:val="24"/>
          <w:lang w:val="en-GB"/>
        </w:rPr>
        <w:t>such selective disclosure</w:t>
      </w:r>
      <w:r w:rsidR="00AC4386" w:rsidRPr="00DB6C99">
        <w:rPr>
          <w:rFonts w:ascii="Garamond" w:eastAsia="Calibri" w:hAnsi="Garamond" w:cs="Times New Roman"/>
          <w:sz w:val="24"/>
          <w:szCs w:val="24"/>
          <w:lang w:val="en-GB"/>
        </w:rPr>
        <w:t>s</w:t>
      </w:r>
      <w:r w:rsidR="00CF5A91" w:rsidRPr="00DB6C99">
        <w:rPr>
          <w:rFonts w:ascii="Garamond" w:eastAsia="Calibri" w:hAnsi="Garamond" w:cs="Times New Roman"/>
          <w:sz w:val="24"/>
          <w:szCs w:val="24"/>
          <w:lang w:val="en-GB"/>
        </w:rPr>
        <w:t xml:space="preserve">. </w:t>
      </w:r>
      <w:r w:rsidR="008522D3" w:rsidRPr="00DB6C99">
        <w:rPr>
          <w:rFonts w:ascii="Garamond" w:eastAsia="Calibri" w:hAnsi="Garamond" w:cs="Times New Roman"/>
          <w:sz w:val="24"/>
          <w:szCs w:val="24"/>
          <w:lang w:val="en-GB"/>
        </w:rPr>
        <w:t>R</w:t>
      </w:r>
      <w:r w:rsidR="004A1788" w:rsidRPr="00DB6C99">
        <w:rPr>
          <w:rFonts w:ascii="Garamond" w:eastAsia="Calibri" w:hAnsi="Garamond" w:cs="Times New Roman"/>
          <w:sz w:val="24"/>
          <w:szCs w:val="24"/>
          <w:lang w:val="en-GB"/>
        </w:rPr>
        <w:t xml:space="preserve">esearch </w:t>
      </w:r>
      <w:r w:rsidR="001116FF" w:rsidRPr="00DB6C99">
        <w:rPr>
          <w:rFonts w:ascii="Garamond" w:eastAsia="Calibri" w:hAnsi="Garamond" w:cs="Times New Roman"/>
          <w:sz w:val="24"/>
          <w:szCs w:val="24"/>
          <w:lang w:val="en-GB"/>
        </w:rPr>
        <w:t xml:space="preserve">has </w:t>
      </w:r>
      <w:r w:rsidR="004A1788" w:rsidRPr="00DB6C99">
        <w:rPr>
          <w:rFonts w:ascii="Garamond" w:eastAsia="Calibri" w:hAnsi="Garamond" w:cs="Times New Roman"/>
          <w:sz w:val="24"/>
          <w:szCs w:val="24"/>
          <w:lang w:val="en-GB"/>
        </w:rPr>
        <w:t>also suggest</w:t>
      </w:r>
      <w:r w:rsidR="001116FF" w:rsidRPr="00DB6C99">
        <w:rPr>
          <w:rFonts w:ascii="Garamond" w:eastAsia="Calibri" w:hAnsi="Garamond" w:cs="Times New Roman"/>
          <w:sz w:val="24"/>
          <w:szCs w:val="24"/>
          <w:lang w:val="en-GB"/>
        </w:rPr>
        <w:t>ed</w:t>
      </w:r>
      <w:r w:rsidR="004A1788" w:rsidRPr="00DB6C99">
        <w:rPr>
          <w:rFonts w:ascii="Garamond" w:eastAsia="Calibri" w:hAnsi="Garamond" w:cs="Times New Roman"/>
          <w:sz w:val="24"/>
          <w:szCs w:val="24"/>
          <w:lang w:val="en-GB"/>
        </w:rPr>
        <w:t xml:space="preserve"> that directors’ backgrounds could significantly affect CSR decoupling (Sauerwald </w:t>
      </w:r>
      <w:r w:rsidR="001116FF" w:rsidRPr="00DB6C99">
        <w:rPr>
          <w:rFonts w:ascii="Garamond" w:eastAsia="Calibri" w:hAnsi="Garamond" w:cs="Times New Roman"/>
          <w:sz w:val="24"/>
          <w:szCs w:val="24"/>
          <w:lang w:val="en-GB"/>
        </w:rPr>
        <w:t>and</w:t>
      </w:r>
      <w:r w:rsidR="004A1788" w:rsidRPr="00DB6C99">
        <w:rPr>
          <w:rFonts w:ascii="Garamond" w:eastAsia="Calibri" w:hAnsi="Garamond" w:cs="Times New Roman"/>
          <w:sz w:val="24"/>
          <w:szCs w:val="24"/>
          <w:lang w:val="en-GB"/>
        </w:rPr>
        <w:t xml:space="preserve"> Su, 2019). Future research </w:t>
      </w:r>
      <w:r w:rsidR="00CF5A91" w:rsidRPr="00DB6C99">
        <w:rPr>
          <w:rFonts w:ascii="Garamond" w:eastAsia="Calibri" w:hAnsi="Garamond" w:cs="Times New Roman"/>
          <w:sz w:val="24"/>
          <w:szCs w:val="24"/>
          <w:lang w:val="en-GB"/>
        </w:rPr>
        <w:t>may</w:t>
      </w:r>
      <w:r w:rsidR="004A1788" w:rsidRPr="00DB6C99">
        <w:rPr>
          <w:rFonts w:ascii="Garamond" w:eastAsia="Calibri" w:hAnsi="Garamond" w:cs="Times New Roman"/>
          <w:sz w:val="24"/>
          <w:szCs w:val="24"/>
          <w:lang w:val="en-GB"/>
        </w:rPr>
        <w:t xml:space="preserve"> investigate whether the background and specific functional capabilities of female directors moderates the BGD and CSR decoupling relationship.</w:t>
      </w:r>
    </w:p>
    <w:p w14:paraId="1BD349AC" w14:textId="77777777" w:rsidR="0092141E" w:rsidRPr="00DB6C99" w:rsidRDefault="0092141E" w:rsidP="0092141E">
      <w:pPr>
        <w:spacing w:line="360" w:lineRule="auto"/>
        <w:jc w:val="both"/>
        <w:rPr>
          <w:rFonts w:ascii="Garamond" w:hAnsi="Garamond" w:cs="Times New Roman"/>
          <w:b/>
          <w:sz w:val="24"/>
          <w:szCs w:val="24"/>
        </w:rPr>
        <w:sectPr w:rsidR="0092141E" w:rsidRPr="00DB6C99" w:rsidSect="000225CF">
          <w:headerReference w:type="default" r:id="rId8"/>
          <w:footerReference w:type="even" r:id="rId9"/>
          <w:footerReference w:type="default" r:id="rId10"/>
          <w:pgSz w:w="12240" w:h="15840"/>
          <w:pgMar w:top="1440" w:right="1440" w:bottom="1440" w:left="1440" w:header="720" w:footer="720" w:gutter="0"/>
          <w:cols w:space="720"/>
          <w:docGrid w:linePitch="360"/>
        </w:sectPr>
      </w:pPr>
    </w:p>
    <w:p w14:paraId="37F072D6" w14:textId="1D6F092F" w:rsidR="00C24E6D" w:rsidRPr="00DB6C99" w:rsidRDefault="0057312E" w:rsidP="0092141E">
      <w:pPr>
        <w:spacing w:line="360" w:lineRule="auto"/>
        <w:jc w:val="both"/>
        <w:rPr>
          <w:rFonts w:ascii="Garamond" w:hAnsi="Garamond" w:cs="Times New Roman"/>
          <w:sz w:val="24"/>
          <w:szCs w:val="24"/>
        </w:rPr>
      </w:pPr>
      <w:r w:rsidRPr="00DB6C99">
        <w:rPr>
          <w:rFonts w:ascii="Garamond" w:hAnsi="Garamond" w:cs="Times New Roman"/>
          <w:b/>
          <w:sz w:val="24"/>
          <w:szCs w:val="24"/>
        </w:rPr>
        <w:lastRenderedPageBreak/>
        <w:t>References</w:t>
      </w:r>
    </w:p>
    <w:p w14:paraId="070ADA95" w14:textId="77777777" w:rsidR="001B7C96" w:rsidRPr="00DB6C99" w:rsidRDefault="001B7C96" w:rsidP="007000C3">
      <w:pPr>
        <w:pStyle w:val="NoSpacing"/>
        <w:spacing w:before="100" w:beforeAutospacing="1" w:after="100" w:afterAutospacing="1"/>
        <w:ind w:left="540" w:hanging="540"/>
        <w:jc w:val="both"/>
        <w:rPr>
          <w:rFonts w:ascii="Garamond" w:hAnsi="Garamond" w:cs="Times New Roman"/>
          <w:sz w:val="24"/>
          <w:szCs w:val="24"/>
          <w:lang w:eastAsia="en-NZ"/>
        </w:rPr>
      </w:pPr>
      <w:r w:rsidRPr="00DB6C99">
        <w:rPr>
          <w:rFonts w:ascii="Garamond" w:hAnsi="Garamond" w:cs="Times New Roman"/>
          <w:sz w:val="24"/>
          <w:szCs w:val="24"/>
          <w:lang w:eastAsia="en-NZ"/>
        </w:rPr>
        <w:t xml:space="preserve">Adams, R. B., &amp; Ferreira, D. (2009). Women in the boardroom and their impact on governance and performance. </w:t>
      </w:r>
      <w:r w:rsidRPr="00DB6C99">
        <w:rPr>
          <w:rFonts w:ascii="Garamond" w:hAnsi="Garamond" w:cs="Times New Roman"/>
          <w:i/>
          <w:sz w:val="24"/>
          <w:szCs w:val="24"/>
          <w:lang w:eastAsia="en-NZ"/>
        </w:rPr>
        <w:t>Journal of Financial Economics</w:t>
      </w:r>
      <w:r w:rsidRPr="00DB6C99">
        <w:rPr>
          <w:rFonts w:ascii="Garamond" w:hAnsi="Garamond" w:cs="Times New Roman"/>
          <w:sz w:val="24"/>
          <w:szCs w:val="24"/>
          <w:lang w:eastAsia="en-NZ"/>
        </w:rPr>
        <w:t>, 94(2), 291-309.</w:t>
      </w:r>
    </w:p>
    <w:p w14:paraId="588FF5CD" w14:textId="77777777" w:rsidR="001B7C96" w:rsidRPr="00DB6C99" w:rsidRDefault="001B7C96" w:rsidP="007000C3">
      <w:pPr>
        <w:pStyle w:val="NoSpacing"/>
        <w:spacing w:before="100" w:beforeAutospacing="1" w:after="100" w:afterAutospacing="1"/>
        <w:ind w:left="540" w:hanging="540"/>
        <w:jc w:val="both"/>
        <w:rPr>
          <w:rFonts w:ascii="Garamond" w:hAnsi="Garamond" w:cs="Times New Roman"/>
          <w:sz w:val="24"/>
          <w:szCs w:val="24"/>
          <w:lang w:eastAsia="en-NZ"/>
        </w:rPr>
      </w:pPr>
      <w:r w:rsidRPr="00DB6C99">
        <w:rPr>
          <w:rFonts w:ascii="Garamond" w:hAnsi="Garamond" w:cs="Times New Roman"/>
          <w:sz w:val="24"/>
          <w:szCs w:val="24"/>
          <w:lang w:eastAsia="en-NZ"/>
        </w:rPr>
        <w:t xml:space="preserve">Albaum, G., &amp; Peterson, R. A. (2006). Ethical attitudes of future business leaders: Do they vary by gender and religiosity?. </w:t>
      </w:r>
      <w:r w:rsidRPr="00DB6C99">
        <w:rPr>
          <w:rFonts w:ascii="Garamond" w:hAnsi="Garamond" w:cs="Times New Roman"/>
          <w:i/>
          <w:sz w:val="24"/>
          <w:szCs w:val="24"/>
          <w:lang w:eastAsia="en-NZ"/>
        </w:rPr>
        <w:t>Business &amp; Society</w:t>
      </w:r>
      <w:r w:rsidRPr="00DB6C99">
        <w:rPr>
          <w:rFonts w:ascii="Garamond" w:hAnsi="Garamond" w:cs="Times New Roman"/>
          <w:sz w:val="24"/>
          <w:szCs w:val="24"/>
          <w:lang w:eastAsia="en-NZ"/>
        </w:rPr>
        <w:t>, 45(3), 300-321.</w:t>
      </w:r>
    </w:p>
    <w:p w14:paraId="0F2202FC" w14:textId="1906A0CD" w:rsidR="001B7C96" w:rsidRPr="00DB6C99" w:rsidRDefault="001B7C96" w:rsidP="007C1FF3">
      <w:pPr>
        <w:pStyle w:val="NoSpacing"/>
        <w:spacing w:before="100" w:beforeAutospacing="1" w:after="100" w:afterAutospacing="1"/>
        <w:ind w:left="540" w:hanging="540"/>
        <w:jc w:val="both"/>
        <w:rPr>
          <w:rFonts w:ascii="Garamond" w:hAnsi="Garamond" w:cs="Times New Roman"/>
          <w:sz w:val="24"/>
          <w:szCs w:val="24"/>
          <w:lang w:eastAsia="en-NZ"/>
        </w:rPr>
      </w:pPr>
      <w:r w:rsidRPr="00DB6C99">
        <w:rPr>
          <w:rFonts w:ascii="Garamond" w:hAnsi="Garamond" w:cs="Times New Roman"/>
          <w:sz w:val="24"/>
          <w:szCs w:val="24"/>
          <w:lang w:val="en-US" w:eastAsia="en-NZ"/>
        </w:rPr>
        <w:t xml:space="preserve">Al-Shaer, H., &amp; Zaman, M. (2016). </w:t>
      </w:r>
      <w:r w:rsidRPr="00DB6C99">
        <w:rPr>
          <w:rFonts w:ascii="Garamond" w:hAnsi="Garamond" w:cs="Times New Roman"/>
          <w:sz w:val="24"/>
          <w:szCs w:val="24"/>
          <w:lang w:eastAsia="en-NZ"/>
        </w:rPr>
        <w:t>Board gender diversity and sustainability reporting quality. </w:t>
      </w:r>
      <w:r w:rsidRPr="00DB6C99">
        <w:rPr>
          <w:rFonts w:ascii="Garamond" w:hAnsi="Garamond" w:cs="Times New Roman"/>
          <w:i/>
          <w:iCs/>
          <w:sz w:val="24"/>
          <w:szCs w:val="24"/>
          <w:lang w:eastAsia="en-NZ"/>
        </w:rPr>
        <w:t>Journal of Contemporary Accounting &amp; Economics, 12</w:t>
      </w:r>
      <w:r w:rsidRPr="00DB6C99">
        <w:rPr>
          <w:rFonts w:ascii="Garamond" w:hAnsi="Garamond" w:cs="Times New Roman"/>
          <w:sz w:val="24"/>
          <w:szCs w:val="24"/>
          <w:lang w:eastAsia="en-NZ"/>
        </w:rPr>
        <w:t>(3), 210-222.</w:t>
      </w:r>
    </w:p>
    <w:p w14:paraId="2E539D09" w14:textId="2A52E44C" w:rsidR="00E105D8" w:rsidRPr="00DB6C99" w:rsidRDefault="00E105D8" w:rsidP="007C1FF3">
      <w:pPr>
        <w:pStyle w:val="NoSpacing"/>
        <w:spacing w:before="100" w:beforeAutospacing="1" w:after="100" w:afterAutospacing="1"/>
        <w:ind w:left="540" w:hanging="540"/>
        <w:jc w:val="both"/>
        <w:rPr>
          <w:rFonts w:ascii="Garamond" w:hAnsi="Garamond" w:cs="Times New Roman"/>
          <w:sz w:val="28"/>
          <w:szCs w:val="24"/>
          <w:lang w:eastAsia="en-NZ"/>
        </w:rPr>
      </w:pPr>
      <w:r w:rsidRPr="00DB6C99">
        <w:rPr>
          <w:rFonts w:ascii="Garamond" w:hAnsi="Garamond" w:cs="Arial"/>
          <w:sz w:val="24"/>
          <w:szCs w:val="20"/>
          <w:shd w:val="clear" w:color="auto" w:fill="FFFFFF"/>
        </w:rPr>
        <w:t>Ararat, M., &amp; Yurtoglu, B. B. (2021). Female directors, board committees, and firm performance: Time-series evidence from Turkey. </w:t>
      </w:r>
      <w:r w:rsidRPr="00DB6C99">
        <w:rPr>
          <w:rFonts w:ascii="Garamond" w:hAnsi="Garamond" w:cs="Arial"/>
          <w:i/>
          <w:iCs/>
          <w:sz w:val="24"/>
          <w:szCs w:val="20"/>
          <w:shd w:val="clear" w:color="auto" w:fill="FFFFFF"/>
        </w:rPr>
        <w:t>Emerging Markets Review</w:t>
      </w:r>
      <w:r w:rsidRPr="00DB6C99">
        <w:rPr>
          <w:rFonts w:ascii="Garamond" w:hAnsi="Garamond" w:cs="Arial"/>
          <w:sz w:val="24"/>
          <w:szCs w:val="20"/>
          <w:shd w:val="clear" w:color="auto" w:fill="FFFFFF"/>
        </w:rPr>
        <w:t>, </w:t>
      </w:r>
      <w:r w:rsidRPr="00DB6C99">
        <w:rPr>
          <w:rFonts w:ascii="Garamond" w:hAnsi="Garamond" w:cs="Arial"/>
          <w:i/>
          <w:iCs/>
          <w:sz w:val="24"/>
          <w:szCs w:val="20"/>
          <w:shd w:val="clear" w:color="auto" w:fill="FFFFFF"/>
        </w:rPr>
        <w:t>48</w:t>
      </w:r>
      <w:r w:rsidRPr="00DB6C99">
        <w:rPr>
          <w:rFonts w:ascii="Garamond" w:hAnsi="Garamond" w:cs="Arial"/>
          <w:sz w:val="24"/>
          <w:szCs w:val="20"/>
          <w:shd w:val="clear" w:color="auto" w:fill="FFFFFF"/>
        </w:rPr>
        <w:t>, 100768.</w:t>
      </w:r>
    </w:p>
    <w:p w14:paraId="77990990" w14:textId="307DF03F" w:rsidR="001B7C96" w:rsidRPr="00DB6C99" w:rsidRDefault="001B7C96" w:rsidP="00B561C7">
      <w:pPr>
        <w:pStyle w:val="NoSpacing"/>
        <w:spacing w:before="100" w:beforeAutospacing="1" w:after="100" w:afterAutospacing="1"/>
        <w:ind w:left="540" w:hanging="540"/>
        <w:jc w:val="both"/>
        <w:rPr>
          <w:rFonts w:ascii="Garamond" w:hAnsi="Garamond" w:cs="Times New Roman"/>
          <w:sz w:val="24"/>
          <w:szCs w:val="24"/>
          <w:lang w:eastAsia="en-NZ"/>
        </w:rPr>
      </w:pPr>
      <w:r w:rsidRPr="00DB6C99">
        <w:rPr>
          <w:rFonts w:ascii="Garamond" w:hAnsi="Garamond" w:cs="Times New Roman"/>
          <w:sz w:val="24"/>
          <w:szCs w:val="24"/>
          <w:lang w:eastAsia="en-NZ"/>
        </w:rPr>
        <w:t>Arun, T. G., Almahrog, Y. E., &amp; Aribi, Z. A. (2015). Female directors and earnings management: Evidence from UK companies. </w:t>
      </w:r>
      <w:r w:rsidRPr="00DB6C99">
        <w:rPr>
          <w:rFonts w:ascii="Garamond" w:hAnsi="Garamond" w:cs="Times New Roman"/>
          <w:i/>
          <w:iCs/>
          <w:sz w:val="24"/>
          <w:szCs w:val="24"/>
          <w:lang w:eastAsia="en-NZ"/>
        </w:rPr>
        <w:t>International Review of Financial Analysis, </w:t>
      </w:r>
      <w:r w:rsidRPr="00DB6C99">
        <w:rPr>
          <w:rFonts w:ascii="Garamond" w:hAnsi="Garamond" w:cs="Times New Roman"/>
          <w:b/>
          <w:i/>
          <w:iCs/>
          <w:sz w:val="24"/>
          <w:szCs w:val="24"/>
          <w:lang w:eastAsia="en-NZ"/>
        </w:rPr>
        <w:t>39</w:t>
      </w:r>
      <w:r w:rsidRPr="00DB6C99">
        <w:rPr>
          <w:rFonts w:ascii="Garamond" w:hAnsi="Garamond" w:cs="Times New Roman"/>
          <w:sz w:val="24"/>
          <w:szCs w:val="24"/>
          <w:lang w:eastAsia="en-NZ"/>
        </w:rPr>
        <w:t>, 137-146.</w:t>
      </w:r>
    </w:p>
    <w:p w14:paraId="4510BF84" w14:textId="77777777" w:rsidR="001B7C96" w:rsidRPr="00DB6C99" w:rsidRDefault="001B7C96" w:rsidP="007000C3">
      <w:pPr>
        <w:pStyle w:val="NoSpacing"/>
        <w:spacing w:before="100" w:beforeAutospacing="1" w:after="100" w:afterAutospacing="1"/>
        <w:ind w:left="540" w:hanging="540"/>
        <w:jc w:val="both"/>
        <w:rPr>
          <w:rFonts w:ascii="Garamond" w:hAnsi="Garamond" w:cs="Times New Roman"/>
          <w:sz w:val="24"/>
          <w:szCs w:val="24"/>
          <w:lang w:eastAsia="en-NZ"/>
        </w:rPr>
      </w:pPr>
      <w:r w:rsidRPr="00DB6C99">
        <w:rPr>
          <w:rFonts w:ascii="Garamond" w:hAnsi="Garamond" w:cs="Times New Roman"/>
          <w:sz w:val="24"/>
          <w:szCs w:val="24"/>
          <w:lang w:eastAsia="en-NZ"/>
        </w:rPr>
        <w:t xml:space="preserve">Atif, M., Hossain, M., Alam, M. S., &amp; Goergen, M. (2020). Does board gender diversity affect renewable energy consumption?. </w:t>
      </w:r>
      <w:r w:rsidRPr="00DB6C99">
        <w:rPr>
          <w:rFonts w:ascii="Garamond" w:hAnsi="Garamond" w:cs="Times New Roman"/>
          <w:i/>
          <w:sz w:val="24"/>
          <w:szCs w:val="24"/>
          <w:lang w:eastAsia="en-NZ"/>
        </w:rPr>
        <w:t>Journal of Corporate Finance</w:t>
      </w:r>
      <w:r w:rsidRPr="00DB6C99">
        <w:rPr>
          <w:rFonts w:ascii="Garamond" w:hAnsi="Garamond" w:cs="Times New Roman"/>
          <w:sz w:val="24"/>
          <w:szCs w:val="24"/>
          <w:lang w:eastAsia="en-NZ"/>
        </w:rPr>
        <w:t>, 101665.</w:t>
      </w:r>
    </w:p>
    <w:p w14:paraId="4CE00CD1" w14:textId="77777777" w:rsidR="00D45FE3" w:rsidRPr="00DB6C99" w:rsidRDefault="001B7C96" w:rsidP="00D45FE3">
      <w:pPr>
        <w:spacing w:before="100" w:beforeAutospacing="1" w:after="100" w:afterAutospacing="1" w:line="240" w:lineRule="auto"/>
        <w:ind w:left="540" w:hanging="540"/>
        <w:jc w:val="both"/>
        <w:rPr>
          <w:rFonts w:ascii="Garamond" w:hAnsi="Garamond" w:cs="Times New Roman"/>
          <w:sz w:val="24"/>
          <w:szCs w:val="24"/>
        </w:rPr>
      </w:pPr>
      <w:r w:rsidRPr="00DB6C99">
        <w:rPr>
          <w:rFonts w:ascii="Garamond" w:hAnsi="Garamond" w:cs="Times New Roman"/>
          <w:sz w:val="24"/>
          <w:szCs w:val="24"/>
          <w:lang w:val="fr-FR"/>
        </w:rPr>
        <w:t xml:space="preserve">Atif, M., Liu, B., &amp; Huang, A. (2019). </w:t>
      </w:r>
      <w:r w:rsidRPr="00DB6C99">
        <w:rPr>
          <w:rFonts w:ascii="Garamond" w:hAnsi="Garamond" w:cs="Times New Roman"/>
          <w:sz w:val="24"/>
          <w:szCs w:val="24"/>
        </w:rPr>
        <w:t>Does board gender diversity affect corporate cash holdings?. </w:t>
      </w:r>
      <w:r w:rsidRPr="00DB6C99">
        <w:rPr>
          <w:rFonts w:ascii="Garamond" w:hAnsi="Garamond" w:cs="Times New Roman"/>
          <w:i/>
          <w:iCs/>
          <w:sz w:val="24"/>
          <w:szCs w:val="24"/>
        </w:rPr>
        <w:t>Journal of Business Finance &amp; Accounting</w:t>
      </w:r>
      <w:r w:rsidRPr="00DB6C99">
        <w:rPr>
          <w:rFonts w:ascii="Garamond" w:hAnsi="Garamond" w:cs="Times New Roman"/>
          <w:sz w:val="24"/>
          <w:szCs w:val="24"/>
        </w:rPr>
        <w:t>, </w:t>
      </w:r>
      <w:r w:rsidRPr="00DB6C99">
        <w:rPr>
          <w:rFonts w:ascii="Garamond" w:hAnsi="Garamond" w:cs="Times New Roman"/>
          <w:i/>
          <w:iCs/>
          <w:sz w:val="24"/>
          <w:szCs w:val="24"/>
        </w:rPr>
        <w:t>46</w:t>
      </w:r>
      <w:r w:rsidRPr="00DB6C99">
        <w:rPr>
          <w:rFonts w:ascii="Garamond" w:hAnsi="Garamond" w:cs="Times New Roman"/>
          <w:sz w:val="24"/>
          <w:szCs w:val="24"/>
        </w:rPr>
        <w:t>(7-8), 1003-1029.</w:t>
      </w:r>
    </w:p>
    <w:p w14:paraId="7542BC58" w14:textId="5D47A4ED" w:rsidR="00D45FE3" w:rsidRPr="00DB6C99" w:rsidRDefault="00D45FE3" w:rsidP="00D45FE3">
      <w:pPr>
        <w:spacing w:before="100" w:beforeAutospacing="1" w:after="100" w:afterAutospacing="1" w:line="240" w:lineRule="auto"/>
        <w:ind w:left="540" w:hanging="540"/>
        <w:jc w:val="both"/>
        <w:rPr>
          <w:rFonts w:ascii="Garamond" w:hAnsi="Garamond" w:cs="Times New Roman"/>
          <w:sz w:val="24"/>
          <w:szCs w:val="24"/>
        </w:rPr>
      </w:pPr>
      <w:r w:rsidRPr="00DB6C99">
        <w:rPr>
          <w:rFonts w:ascii="Garamond" w:hAnsi="Garamond" w:cs="Arial"/>
          <w:sz w:val="24"/>
          <w:szCs w:val="24"/>
          <w:shd w:val="clear" w:color="auto" w:fill="FFFFFF"/>
        </w:rPr>
        <w:t>Ball, R., &amp; Shivakumar, L. (2008). Earnings quality at initial public offerings. </w:t>
      </w:r>
      <w:r w:rsidRPr="00DB6C99">
        <w:rPr>
          <w:rFonts w:ascii="Garamond" w:hAnsi="Garamond" w:cs="Arial"/>
          <w:i/>
          <w:iCs/>
          <w:sz w:val="24"/>
          <w:szCs w:val="24"/>
          <w:shd w:val="clear" w:color="auto" w:fill="FFFFFF"/>
        </w:rPr>
        <w:t xml:space="preserve">Journal of </w:t>
      </w:r>
      <w:r w:rsidR="0064628E" w:rsidRPr="00DB6C99">
        <w:rPr>
          <w:rFonts w:ascii="Garamond" w:hAnsi="Garamond" w:cs="Arial"/>
          <w:i/>
          <w:iCs/>
          <w:sz w:val="24"/>
          <w:szCs w:val="24"/>
          <w:shd w:val="clear" w:color="auto" w:fill="FFFFFF"/>
        </w:rPr>
        <w:t>A</w:t>
      </w:r>
      <w:r w:rsidRPr="00DB6C99">
        <w:rPr>
          <w:rFonts w:ascii="Garamond" w:hAnsi="Garamond" w:cs="Arial"/>
          <w:i/>
          <w:iCs/>
          <w:sz w:val="24"/>
          <w:szCs w:val="24"/>
          <w:shd w:val="clear" w:color="auto" w:fill="FFFFFF"/>
        </w:rPr>
        <w:t xml:space="preserve">ccounting and </w:t>
      </w:r>
      <w:r w:rsidR="0064628E" w:rsidRPr="00DB6C99">
        <w:rPr>
          <w:rFonts w:ascii="Garamond" w:hAnsi="Garamond" w:cs="Arial"/>
          <w:i/>
          <w:iCs/>
          <w:sz w:val="24"/>
          <w:szCs w:val="24"/>
          <w:shd w:val="clear" w:color="auto" w:fill="FFFFFF"/>
        </w:rPr>
        <w:t>E</w:t>
      </w:r>
      <w:r w:rsidRPr="00DB6C99">
        <w:rPr>
          <w:rFonts w:ascii="Garamond" w:hAnsi="Garamond" w:cs="Arial"/>
          <w:i/>
          <w:iCs/>
          <w:sz w:val="24"/>
          <w:szCs w:val="24"/>
          <w:shd w:val="clear" w:color="auto" w:fill="FFFFFF"/>
        </w:rPr>
        <w:t>conomics</w:t>
      </w:r>
      <w:r w:rsidRPr="00DB6C99">
        <w:rPr>
          <w:rFonts w:ascii="Garamond" w:hAnsi="Garamond" w:cs="Arial"/>
          <w:sz w:val="24"/>
          <w:szCs w:val="24"/>
          <w:shd w:val="clear" w:color="auto" w:fill="FFFFFF"/>
        </w:rPr>
        <w:t>, </w:t>
      </w:r>
      <w:r w:rsidRPr="00DB6C99">
        <w:rPr>
          <w:rFonts w:ascii="Garamond" w:hAnsi="Garamond" w:cs="Arial"/>
          <w:i/>
          <w:iCs/>
          <w:sz w:val="24"/>
          <w:szCs w:val="24"/>
          <w:shd w:val="clear" w:color="auto" w:fill="FFFFFF"/>
        </w:rPr>
        <w:t>45</w:t>
      </w:r>
      <w:r w:rsidRPr="00DB6C99">
        <w:rPr>
          <w:rFonts w:ascii="Garamond" w:hAnsi="Garamond" w:cs="Arial"/>
          <w:sz w:val="24"/>
          <w:szCs w:val="24"/>
          <w:shd w:val="clear" w:color="auto" w:fill="FFFFFF"/>
        </w:rPr>
        <w:t>(2-3), 324-349.</w:t>
      </w:r>
    </w:p>
    <w:p w14:paraId="2116126D" w14:textId="77777777" w:rsidR="001B7C96" w:rsidRPr="00DB6C99" w:rsidRDefault="001B7C96" w:rsidP="007000C3">
      <w:pPr>
        <w:pStyle w:val="NoSpacing"/>
        <w:spacing w:before="100" w:beforeAutospacing="1" w:after="100" w:afterAutospacing="1"/>
        <w:ind w:left="540" w:hanging="540"/>
        <w:jc w:val="both"/>
        <w:rPr>
          <w:rFonts w:ascii="Garamond" w:hAnsi="Garamond" w:cs="Times New Roman"/>
          <w:sz w:val="24"/>
          <w:szCs w:val="24"/>
          <w:lang w:eastAsia="en-NZ"/>
        </w:rPr>
      </w:pPr>
      <w:r w:rsidRPr="00DB6C99">
        <w:rPr>
          <w:rFonts w:ascii="Garamond" w:hAnsi="Garamond" w:cs="Times New Roman"/>
          <w:sz w:val="24"/>
          <w:szCs w:val="24"/>
          <w:lang w:eastAsia="en-NZ"/>
        </w:rPr>
        <w:t xml:space="preserve">Bear, S., Rahman, N., &amp; Post, C. (2010). The impact of board diversity and gender composition on corporate social responsibility and firm reputation. </w:t>
      </w:r>
      <w:r w:rsidRPr="00DB6C99">
        <w:rPr>
          <w:rFonts w:ascii="Garamond" w:hAnsi="Garamond" w:cs="Times New Roman"/>
          <w:i/>
          <w:sz w:val="24"/>
          <w:szCs w:val="24"/>
          <w:lang w:eastAsia="en-NZ"/>
        </w:rPr>
        <w:t>Journal of Business Ethics</w:t>
      </w:r>
      <w:r w:rsidRPr="00DB6C99">
        <w:rPr>
          <w:rFonts w:ascii="Garamond" w:hAnsi="Garamond" w:cs="Times New Roman"/>
          <w:sz w:val="24"/>
          <w:szCs w:val="24"/>
          <w:lang w:eastAsia="en-NZ"/>
        </w:rPr>
        <w:t>, 97(2), 207-221.</w:t>
      </w:r>
    </w:p>
    <w:p w14:paraId="77A71089" w14:textId="63BD7736" w:rsidR="001B7C96" w:rsidRPr="00DB6C99" w:rsidRDefault="001B7C96" w:rsidP="007C1FF3">
      <w:pPr>
        <w:pStyle w:val="NoSpacing"/>
        <w:spacing w:before="100" w:beforeAutospacing="1" w:after="100" w:afterAutospacing="1"/>
        <w:ind w:left="540" w:hanging="540"/>
        <w:jc w:val="both"/>
        <w:rPr>
          <w:rFonts w:ascii="Garamond" w:hAnsi="Garamond" w:cs="Times New Roman"/>
          <w:sz w:val="24"/>
          <w:szCs w:val="24"/>
          <w:lang w:eastAsia="en-NZ"/>
        </w:rPr>
      </w:pPr>
      <w:r w:rsidRPr="00DB6C99">
        <w:rPr>
          <w:rFonts w:ascii="Garamond" w:hAnsi="Garamond" w:cs="Times New Roman"/>
          <w:sz w:val="24"/>
          <w:szCs w:val="24"/>
          <w:lang w:eastAsia="en-NZ"/>
        </w:rPr>
        <w:t xml:space="preserve">Beetsma, R. and H. Peters (2000). ‘When to fire bad managers: the role of collusion between management and board of directors’, </w:t>
      </w:r>
      <w:r w:rsidRPr="00DB6C99">
        <w:rPr>
          <w:rFonts w:ascii="Garamond" w:hAnsi="Garamond" w:cs="Times New Roman"/>
          <w:i/>
          <w:iCs/>
          <w:sz w:val="24"/>
          <w:szCs w:val="24"/>
          <w:lang w:eastAsia="en-NZ"/>
        </w:rPr>
        <w:t>Journal of Economic Behavior and Organization, 42</w:t>
      </w:r>
      <w:r w:rsidRPr="00DB6C99">
        <w:rPr>
          <w:rFonts w:ascii="Garamond" w:hAnsi="Garamond" w:cs="Times New Roman"/>
          <w:sz w:val="24"/>
          <w:szCs w:val="24"/>
          <w:lang w:eastAsia="en-NZ"/>
        </w:rPr>
        <w:t>, 427–444.</w:t>
      </w:r>
    </w:p>
    <w:p w14:paraId="76934DCC" w14:textId="07403185" w:rsidR="00E105D8" w:rsidRPr="00DB6C99" w:rsidRDefault="00E105D8" w:rsidP="007C1FF3">
      <w:pPr>
        <w:pStyle w:val="NoSpacing"/>
        <w:spacing w:before="100" w:beforeAutospacing="1" w:after="100" w:afterAutospacing="1"/>
        <w:ind w:left="540" w:hanging="540"/>
        <w:jc w:val="both"/>
        <w:rPr>
          <w:rFonts w:ascii="Garamond" w:hAnsi="Garamond" w:cs="Times New Roman"/>
          <w:sz w:val="28"/>
          <w:szCs w:val="24"/>
          <w:lang w:eastAsia="en-NZ"/>
        </w:rPr>
      </w:pPr>
      <w:r w:rsidRPr="00DB6C99">
        <w:rPr>
          <w:rFonts w:ascii="Garamond" w:hAnsi="Garamond" w:cs="Arial"/>
          <w:sz w:val="24"/>
          <w:szCs w:val="20"/>
          <w:shd w:val="clear" w:color="auto" w:fill="FFFFFF"/>
        </w:rPr>
        <w:t>Brahma, S., Nwafor, C., &amp; Boateng, A. (2021). Board gender diversity and firm performance: The UK evidence. </w:t>
      </w:r>
      <w:r w:rsidRPr="00DB6C99">
        <w:rPr>
          <w:rFonts w:ascii="Garamond" w:hAnsi="Garamond" w:cs="Arial"/>
          <w:i/>
          <w:iCs/>
          <w:sz w:val="24"/>
          <w:szCs w:val="20"/>
          <w:shd w:val="clear" w:color="auto" w:fill="FFFFFF"/>
        </w:rPr>
        <w:t>International Journal of Finance &amp; Economics</w:t>
      </w:r>
      <w:r w:rsidRPr="00DB6C99">
        <w:rPr>
          <w:rFonts w:ascii="Garamond" w:hAnsi="Garamond" w:cs="Arial"/>
          <w:sz w:val="24"/>
          <w:szCs w:val="20"/>
          <w:shd w:val="clear" w:color="auto" w:fill="FFFFFF"/>
        </w:rPr>
        <w:t>, </w:t>
      </w:r>
      <w:r w:rsidRPr="00DB6C99">
        <w:rPr>
          <w:rFonts w:ascii="Garamond" w:hAnsi="Garamond" w:cs="Arial"/>
          <w:i/>
          <w:iCs/>
          <w:sz w:val="24"/>
          <w:szCs w:val="20"/>
          <w:shd w:val="clear" w:color="auto" w:fill="FFFFFF"/>
        </w:rPr>
        <w:t>26</w:t>
      </w:r>
      <w:r w:rsidRPr="00DB6C99">
        <w:rPr>
          <w:rFonts w:ascii="Garamond" w:hAnsi="Garamond" w:cs="Arial"/>
          <w:sz w:val="24"/>
          <w:szCs w:val="20"/>
          <w:shd w:val="clear" w:color="auto" w:fill="FFFFFF"/>
        </w:rPr>
        <w:t>(4), 5704-5719.</w:t>
      </w:r>
    </w:p>
    <w:p w14:paraId="2D3FA109" w14:textId="77777777" w:rsidR="001B7C96" w:rsidRPr="00DB6C99" w:rsidRDefault="001B7C96" w:rsidP="007C1FF3">
      <w:pPr>
        <w:pStyle w:val="NoSpacing"/>
        <w:spacing w:before="100" w:beforeAutospacing="1" w:after="100" w:afterAutospacing="1"/>
        <w:ind w:left="540" w:hanging="540"/>
        <w:jc w:val="both"/>
        <w:rPr>
          <w:rFonts w:ascii="Garamond" w:hAnsi="Garamond" w:cs="Times New Roman"/>
          <w:sz w:val="24"/>
          <w:szCs w:val="24"/>
          <w:lang w:eastAsia="en-NZ"/>
        </w:rPr>
      </w:pPr>
      <w:r w:rsidRPr="00DB6C99">
        <w:rPr>
          <w:rFonts w:ascii="Garamond" w:hAnsi="Garamond" w:cs="Times New Roman"/>
          <w:sz w:val="24"/>
          <w:szCs w:val="24"/>
          <w:lang w:eastAsia="en-NZ"/>
        </w:rPr>
        <w:t xml:space="preserve">Branco, M. C., &amp; Rodrigues, L. L. (2008). Social responsibility disclosure: A study of proxies for the public visibility of Portuguese banks. </w:t>
      </w:r>
      <w:r w:rsidRPr="00DB6C99">
        <w:rPr>
          <w:rFonts w:ascii="Garamond" w:hAnsi="Garamond" w:cs="Times New Roman"/>
          <w:i/>
          <w:iCs/>
          <w:sz w:val="24"/>
          <w:szCs w:val="24"/>
          <w:lang w:eastAsia="en-NZ"/>
        </w:rPr>
        <w:t>The British Accounting Review, 40</w:t>
      </w:r>
      <w:r w:rsidRPr="00DB6C99">
        <w:rPr>
          <w:rFonts w:ascii="Garamond" w:hAnsi="Garamond" w:cs="Times New Roman"/>
          <w:sz w:val="24"/>
          <w:szCs w:val="24"/>
          <w:lang w:eastAsia="en-NZ"/>
        </w:rPr>
        <w:t>(2), 161–181. </w:t>
      </w:r>
    </w:p>
    <w:p w14:paraId="7D1192BC" w14:textId="77777777" w:rsidR="001B7C96" w:rsidRPr="00DB6C99" w:rsidRDefault="001B7C96" w:rsidP="007000C3">
      <w:pPr>
        <w:pStyle w:val="NoSpacing"/>
        <w:spacing w:before="100" w:beforeAutospacing="1" w:after="100" w:afterAutospacing="1"/>
        <w:ind w:left="540" w:hanging="540"/>
        <w:jc w:val="both"/>
        <w:rPr>
          <w:rFonts w:ascii="Garamond" w:hAnsi="Garamond" w:cs="Times New Roman"/>
          <w:sz w:val="24"/>
          <w:szCs w:val="24"/>
          <w:lang w:eastAsia="en-NZ"/>
        </w:rPr>
      </w:pPr>
      <w:r w:rsidRPr="00DB6C99">
        <w:rPr>
          <w:rFonts w:ascii="Garamond" w:hAnsi="Garamond" w:cs="Times New Roman"/>
          <w:sz w:val="24"/>
          <w:szCs w:val="24"/>
          <w:lang w:eastAsia="en-NZ"/>
        </w:rPr>
        <w:t xml:space="preserve">Broadbridge, A., &amp; Hearn, J. (2008). Gender and management: New directions in research and continuing patterns in practice. </w:t>
      </w:r>
      <w:r w:rsidRPr="00DB6C99">
        <w:rPr>
          <w:rFonts w:ascii="Garamond" w:hAnsi="Garamond" w:cs="Times New Roman"/>
          <w:i/>
          <w:sz w:val="24"/>
          <w:szCs w:val="24"/>
          <w:lang w:eastAsia="en-NZ"/>
        </w:rPr>
        <w:t>British Journal of Management</w:t>
      </w:r>
      <w:r w:rsidRPr="00DB6C99">
        <w:rPr>
          <w:rFonts w:ascii="Garamond" w:hAnsi="Garamond" w:cs="Times New Roman"/>
          <w:sz w:val="24"/>
          <w:szCs w:val="24"/>
          <w:lang w:eastAsia="en-NZ"/>
        </w:rPr>
        <w:t>, 19(s1), 38-49.</w:t>
      </w:r>
    </w:p>
    <w:p w14:paraId="2637268B" w14:textId="77777777" w:rsidR="001B7C96" w:rsidRPr="00DB6C99" w:rsidRDefault="001B7C96" w:rsidP="007000C3">
      <w:pPr>
        <w:pStyle w:val="NoSpacing"/>
        <w:spacing w:before="100" w:beforeAutospacing="1" w:after="100" w:afterAutospacing="1"/>
        <w:ind w:left="540" w:hanging="540"/>
        <w:jc w:val="both"/>
        <w:rPr>
          <w:rFonts w:ascii="Garamond" w:hAnsi="Garamond" w:cs="Times New Roman"/>
          <w:sz w:val="24"/>
          <w:szCs w:val="24"/>
          <w:lang w:eastAsia="en-NZ"/>
        </w:rPr>
      </w:pPr>
      <w:r w:rsidRPr="00DB6C99">
        <w:rPr>
          <w:rFonts w:ascii="Garamond" w:hAnsi="Garamond" w:cs="Times New Roman"/>
          <w:sz w:val="24"/>
          <w:szCs w:val="24"/>
          <w:lang w:eastAsia="en-NZ"/>
        </w:rPr>
        <w:t xml:space="preserve">Bromley, P., &amp; Powell, W. W. (2012). From smoke and mirrors to walking the talk: Decoupling in the contemporary world. </w:t>
      </w:r>
      <w:r w:rsidRPr="00DB6C99">
        <w:rPr>
          <w:rFonts w:ascii="Garamond" w:hAnsi="Garamond" w:cs="Times New Roman"/>
          <w:i/>
          <w:sz w:val="24"/>
          <w:szCs w:val="24"/>
          <w:lang w:eastAsia="en-NZ"/>
        </w:rPr>
        <w:t>Academy of Management Annals</w:t>
      </w:r>
      <w:r w:rsidRPr="00DB6C99">
        <w:rPr>
          <w:rFonts w:ascii="Garamond" w:hAnsi="Garamond" w:cs="Times New Roman"/>
          <w:sz w:val="24"/>
          <w:szCs w:val="24"/>
          <w:lang w:eastAsia="en-NZ"/>
        </w:rPr>
        <w:t>, 6(1), 483-530.</w:t>
      </w:r>
    </w:p>
    <w:p w14:paraId="2CCE59DF" w14:textId="3FF10526" w:rsidR="001B7C96" w:rsidRPr="00DB6C99" w:rsidRDefault="001B7C96" w:rsidP="007000C3">
      <w:pPr>
        <w:pStyle w:val="NoSpacing"/>
        <w:spacing w:before="100" w:beforeAutospacing="1" w:after="100" w:afterAutospacing="1"/>
        <w:ind w:left="540" w:hanging="540"/>
        <w:jc w:val="both"/>
        <w:rPr>
          <w:rFonts w:ascii="Garamond" w:hAnsi="Garamond" w:cs="Times New Roman"/>
          <w:sz w:val="24"/>
          <w:szCs w:val="24"/>
          <w:lang w:eastAsia="en-NZ"/>
        </w:rPr>
      </w:pPr>
      <w:r w:rsidRPr="00DB6C99">
        <w:rPr>
          <w:rFonts w:ascii="Garamond" w:hAnsi="Garamond" w:cs="Times New Roman"/>
          <w:sz w:val="24"/>
          <w:szCs w:val="24"/>
          <w:lang w:eastAsia="en-NZ"/>
        </w:rPr>
        <w:t xml:space="preserve">Burton, B. K., &amp; Hegarty, W. H. (1999). Some determinants of student corporate social responsibility orientation. </w:t>
      </w:r>
      <w:r w:rsidRPr="00DB6C99">
        <w:rPr>
          <w:rFonts w:ascii="Garamond" w:hAnsi="Garamond" w:cs="Times New Roman"/>
          <w:i/>
          <w:sz w:val="24"/>
          <w:szCs w:val="24"/>
          <w:lang w:eastAsia="en-NZ"/>
        </w:rPr>
        <w:t>Business &amp; Society</w:t>
      </w:r>
      <w:r w:rsidRPr="00DB6C99">
        <w:rPr>
          <w:rFonts w:ascii="Garamond" w:hAnsi="Garamond" w:cs="Times New Roman"/>
          <w:sz w:val="24"/>
          <w:szCs w:val="24"/>
          <w:lang w:eastAsia="en-NZ"/>
        </w:rPr>
        <w:t>, 38(2), 188-205.</w:t>
      </w:r>
    </w:p>
    <w:p w14:paraId="3FCC95D2" w14:textId="0D0E5B9D" w:rsidR="00DA5BD3" w:rsidRPr="00DB6C99" w:rsidRDefault="00DA5BD3" w:rsidP="007000C3">
      <w:pPr>
        <w:pStyle w:val="NoSpacing"/>
        <w:spacing w:before="100" w:beforeAutospacing="1" w:after="100" w:afterAutospacing="1"/>
        <w:ind w:left="540" w:hanging="540"/>
        <w:jc w:val="both"/>
        <w:rPr>
          <w:rFonts w:ascii="Garamond" w:hAnsi="Garamond" w:cs="Times New Roman"/>
          <w:sz w:val="24"/>
          <w:szCs w:val="24"/>
          <w:lang w:eastAsia="en-NZ"/>
        </w:rPr>
      </w:pPr>
      <w:r w:rsidRPr="00DB6C99">
        <w:rPr>
          <w:rFonts w:ascii="Garamond" w:hAnsi="Garamond" w:cs="Times New Roman"/>
          <w:sz w:val="24"/>
          <w:szCs w:val="24"/>
          <w:lang w:eastAsia="en-NZ"/>
        </w:rPr>
        <w:lastRenderedPageBreak/>
        <w:t xml:space="preserve">Buse, K., Bernstein, R. S., &amp; Bilimoria, D. (2016). The influence of board diversity, board diversity policies and practices, and board inclusion behaviors on nonprofit governance practices. </w:t>
      </w:r>
      <w:r w:rsidRPr="00DB6C99">
        <w:rPr>
          <w:rFonts w:ascii="Garamond" w:hAnsi="Garamond" w:cs="Times New Roman"/>
          <w:i/>
          <w:sz w:val="24"/>
          <w:szCs w:val="24"/>
          <w:lang w:eastAsia="en-NZ"/>
        </w:rPr>
        <w:t>Journal of Business Ethics</w:t>
      </w:r>
      <w:r w:rsidRPr="00DB6C99">
        <w:rPr>
          <w:rFonts w:ascii="Garamond" w:hAnsi="Garamond" w:cs="Times New Roman"/>
          <w:sz w:val="24"/>
          <w:szCs w:val="24"/>
          <w:lang w:eastAsia="en-NZ"/>
        </w:rPr>
        <w:t>, 133(1), 179-191.</w:t>
      </w:r>
    </w:p>
    <w:p w14:paraId="1C5F4A37" w14:textId="3F77A0AB" w:rsidR="0083185E" w:rsidRPr="00DB6C99" w:rsidRDefault="0083185E" w:rsidP="007000C3">
      <w:pPr>
        <w:pStyle w:val="NoSpacing"/>
        <w:spacing w:before="100" w:beforeAutospacing="1" w:after="100" w:afterAutospacing="1"/>
        <w:ind w:left="540" w:hanging="540"/>
        <w:jc w:val="both"/>
        <w:rPr>
          <w:rFonts w:ascii="Garamond" w:hAnsi="Garamond" w:cs="Times New Roman"/>
          <w:sz w:val="24"/>
          <w:szCs w:val="24"/>
          <w:lang w:eastAsia="en-NZ"/>
        </w:rPr>
      </w:pPr>
      <w:r w:rsidRPr="00DB6C99">
        <w:rPr>
          <w:rFonts w:ascii="Garamond" w:hAnsi="Garamond" w:cs="Arial"/>
          <w:sz w:val="24"/>
          <w:szCs w:val="24"/>
          <w:shd w:val="clear" w:color="auto" w:fill="FFFFFF"/>
          <w:lang w:val="en-US"/>
        </w:rPr>
        <w:t xml:space="preserve">Byard, D., Li, Y., &amp; Weintrop, J. (2006). </w:t>
      </w:r>
      <w:r w:rsidRPr="00DB6C99">
        <w:rPr>
          <w:rFonts w:ascii="Garamond" w:hAnsi="Garamond" w:cs="Arial"/>
          <w:sz w:val="24"/>
          <w:szCs w:val="24"/>
          <w:shd w:val="clear" w:color="auto" w:fill="FFFFFF"/>
        </w:rPr>
        <w:t>Corporate governance and the quality of financial analysts’ information. </w:t>
      </w:r>
      <w:r w:rsidRPr="00DB6C99">
        <w:rPr>
          <w:rFonts w:ascii="Garamond" w:hAnsi="Garamond" w:cs="Arial"/>
          <w:i/>
          <w:iCs/>
          <w:sz w:val="24"/>
          <w:szCs w:val="24"/>
          <w:shd w:val="clear" w:color="auto" w:fill="FFFFFF"/>
        </w:rPr>
        <w:t>Journal of Accounting and Public policy</w:t>
      </w:r>
      <w:r w:rsidRPr="00DB6C99">
        <w:rPr>
          <w:rFonts w:ascii="Garamond" w:hAnsi="Garamond" w:cs="Arial"/>
          <w:sz w:val="24"/>
          <w:szCs w:val="24"/>
          <w:shd w:val="clear" w:color="auto" w:fill="FFFFFF"/>
        </w:rPr>
        <w:t>, </w:t>
      </w:r>
      <w:r w:rsidRPr="00DB6C99">
        <w:rPr>
          <w:rFonts w:ascii="Garamond" w:hAnsi="Garamond" w:cs="Arial"/>
          <w:i/>
          <w:iCs/>
          <w:sz w:val="24"/>
          <w:szCs w:val="24"/>
          <w:shd w:val="clear" w:color="auto" w:fill="FFFFFF"/>
        </w:rPr>
        <w:t>25</w:t>
      </w:r>
      <w:r w:rsidRPr="00DB6C99">
        <w:rPr>
          <w:rFonts w:ascii="Garamond" w:hAnsi="Garamond" w:cs="Arial"/>
          <w:sz w:val="24"/>
          <w:szCs w:val="24"/>
          <w:shd w:val="clear" w:color="auto" w:fill="FFFFFF"/>
        </w:rPr>
        <w:t>(5), 609-625.</w:t>
      </w:r>
    </w:p>
    <w:p w14:paraId="035A7C68" w14:textId="5D6ECD54" w:rsidR="001B7C96" w:rsidRPr="00DB6C99" w:rsidRDefault="001B7C96" w:rsidP="001A2543">
      <w:pPr>
        <w:pStyle w:val="NoSpacing"/>
        <w:spacing w:before="100" w:beforeAutospacing="1" w:after="100" w:afterAutospacing="1"/>
        <w:ind w:left="540" w:hanging="540"/>
        <w:jc w:val="both"/>
        <w:rPr>
          <w:rFonts w:ascii="Garamond" w:hAnsi="Garamond" w:cs="Times New Roman"/>
          <w:sz w:val="24"/>
          <w:szCs w:val="24"/>
          <w:lang w:eastAsia="en-NZ"/>
        </w:rPr>
      </w:pPr>
      <w:r w:rsidRPr="00DB6C99">
        <w:rPr>
          <w:rFonts w:ascii="Garamond" w:hAnsi="Garamond" w:cs="Times New Roman"/>
          <w:sz w:val="24"/>
          <w:szCs w:val="24"/>
          <w:lang w:eastAsia="en-NZ"/>
        </w:rPr>
        <w:t>Byron, K., &amp; Post, C. (2016). Women on boards of directors and corporate social performance: A meta</w:t>
      </w:r>
      <w:r w:rsidRPr="00DB6C99">
        <w:rPr>
          <w:rFonts w:ascii="Times New Roman" w:hAnsi="Times New Roman" w:cs="Times New Roman"/>
          <w:sz w:val="24"/>
          <w:szCs w:val="24"/>
          <w:lang w:eastAsia="en-NZ"/>
        </w:rPr>
        <w:t>‐</w:t>
      </w:r>
      <w:r w:rsidRPr="00DB6C99">
        <w:rPr>
          <w:rFonts w:ascii="Garamond" w:hAnsi="Garamond" w:cs="Times New Roman"/>
          <w:sz w:val="24"/>
          <w:szCs w:val="24"/>
          <w:lang w:eastAsia="en-NZ"/>
        </w:rPr>
        <w:t>analysis. </w:t>
      </w:r>
      <w:r w:rsidRPr="00DB6C99">
        <w:rPr>
          <w:rFonts w:ascii="Garamond" w:hAnsi="Garamond" w:cs="Times New Roman"/>
          <w:i/>
          <w:iCs/>
          <w:sz w:val="24"/>
          <w:szCs w:val="24"/>
          <w:lang w:eastAsia="en-NZ"/>
        </w:rPr>
        <w:t>Corporate Governance: An International Review, </w:t>
      </w:r>
      <w:r w:rsidRPr="00DB6C99">
        <w:rPr>
          <w:rFonts w:ascii="Garamond" w:hAnsi="Garamond" w:cs="Times New Roman"/>
          <w:b/>
          <w:i/>
          <w:iCs/>
          <w:sz w:val="24"/>
          <w:szCs w:val="24"/>
          <w:lang w:eastAsia="en-NZ"/>
        </w:rPr>
        <w:t>24</w:t>
      </w:r>
      <w:r w:rsidRPr="00DB6C99">
        <w:rPr>
          <w:rFonts w:ascii="Garamond" w:hAnsi="Garamond" w:cs="Times New Roman"/>
          <w:sz w:val="24"/>
          <w:szCs w:val="24"/>
          <w:lang w:eastAsia="en-NZ"/>
        </w:rPr>
        <w:t>, 428-442.</w:t>
      </w:r>
    </w:p>
    <w:p w14:paraId="416364B1" w14:textId="77777777" w:rsidR="001B7C96" w:rsidRPr="00DB6C99" w:rsidRDefault="001B7C96" w:rsidP="007000C3">
      <w:pPr>
        <w:pStyle w:val="NoSpacing"/>
        <w:spacing w:before="100" w:beforeAutospacing="1" w:after="100" w:afterAutospacing="1"/>
        <w:ind w:left="540" w:hanging="540"/>
        <w:jc w:val="both"/>
        <w:rPr>
          <w:rFonts w:ascii="Garamond" w:hAnsi="Garamond" w:cs="Times New Roman"/>
          <w:sz w:val="24"/>
          <w:szCs w:val="24"/>
          <w:lang w:eastAsia="en-NZ"/>
        </w:rPr>
      </w:pPr>
      <w:r w:rsidRPr="00DB6C99">
        <w:rPr>
          <w:rFonts w:ascii="Garamond" w:hAnsi="Garamond" w:cs="Times New Roman"/>
          <w:sz w:val="24"/>
          <w:szCs w:val="24"/>
          <w:lang w:eastAsia="en-NZ"/>
        </w:rPr>
        <w:t xml:space="preserve">Carter, D. A., Simkins, B. J., &amp; Simpson, W. G. (2003). Corporate governance, board diversity, and firm value. </w:t>
      </w:r>
      <w:r w:rsidRPr="00DB6C99">
        <w:rPr>
          <w:rFonts w:ascii="Garamond" w:hAnsi="Garamond" w:cs="Times New Roman"/>
          <w:i/>
          <w:sz w:val="24"/>
          <w:szCs w:val="24"/>
          <w:lang w:eastAsia="en-NZ"/>
        </w:rPr>
        <w:t>Financial Review</w:t>
      </w:r>
      <w:r w:rsidRPr="00DB6C99">
        <w:rPr>
          <w:rFonts w:ascii="Garamond" w:hAnsi="Garamond" w:cs="Times New Roman"/>
          <w:sz w:val="24"/>
          <w:szCs w:val="24"/>
          <w:lang w:eastAsia="en-NZ"/>
        </w:rPr>
        <w:t>, 38(1), 33-53.</w:t>
      </w:r>
    </w:p>
    <w:p w14:paraId="1D1ABC02" w14:textId="77777777" w:rsidR="001B7C96" w:rsidRPr="00DB6C99" w:rsidRDefault="001B7C96" w:rsidP="007000C3">
      <w:pPr>
        <w:pStyle w:val="NoSpacing"/>
        <w:spacing w:before="100" w:beforeAutospacing="1" w:after="100" w:afterAutospacing="1"/>
        <w:ind w:left="540" w:hanging="540"/>
        <w:jc w:val="both"/>
        <w:rPr>
          <w:rFonts w:ascii="Garamond" w:hAnsi="Garamond" w:cs="Times New Roman"/>
          <w:sz w:val="24"/>
          <w:szCs w:val="24"/>
          <w:lang w:eastAsia="en-NZ"/>
        </w:rPr>
      </w:pPr>
      <w:r w:rsidRPr="00DB6C99">
        <w:rPr>
          <w:rFonts w:ascii="Garamond" w:hAnsi="Garamond" w:cs="Times New Roman"/>
          <w:sz w:val="24"/>
          <w:szCs w:val="24"/>
          <w:lang w:eastAsia="en-NZ"/>
        </w:rPr>
        <w:t xml:space="preserve">Cerbioni, F., &amp; Parbonetti, A. (2007). Exploring the effects of corporate governance on intellectual capital disclosure: an analysis of European biotechnology companies. </w:t>
      </w:r>
      <w:r w:rsidRPr="00DB6C99">
        <w:rPr>
          <w:rFonts w:ascii="Garamond" w:hAnsi="Garamond" w:cs="Times New Roman"/>
          <w:i/>
          <w:sz w:val="24"/>
          <w:szCs w:val="24"/>
          <w:lang w:eastAsia="en-NZ"/>
        </w:rPr>
        <w:t>European Accounting Review</w:t>
      </w:r>
      <w:r w:rsidRPr="00DB6C99">
        <w:rPr>
          <w:rFonts w:ascii="Garamond" w:hAnsi="Garamond" w:cs="Times New Roman"/>
          <w:sz w:val="24"/>
          <w:szCs w:val="24"/>
          <w:lang w:eastAsia="en-NZ"/>
        </w:rPr>
        <w:t>, 16(4), 791-826.</w:t>
      </w:r>
    </w:p>
    <w:p w14:paraId="501431D5" w14:textId="7EC7F770" w:rsidR="001B7C96" w:rsidRPr="00DB6C99" w:rsidRDefault="001B7C96" w:rsidP="007000C3">
      <w:pPr>
        <w:pStyle w:val="NoSpacing"/>
        <w:spacing w:before="100" w:beforeAutospacing="1" w:after="100" w:afterAutospacing="1"/>
        <w:ind w:left="540" w:hanging="540"/>
        <w:jc w:val="both"/>
        <w:rPr>
          <w:rFonts w:ascii="Garamond" w:hAnsi="Garamond" w:cs="Times New Roman"/>
          <w:sz w:val="24"/>
          <w:szCs w:val="24"/>
          <w:lang w:eastAsia="en-NZ"/>
        </w:rPr>
      </w:pPr>
      <w:r w:rsidRPr="00DB6C99">
        <w:rPr>
          <w:rFonts w:ascii="Garamond" w:hAnsi="Garamond" w:cs="Times New Roman"/>
          <w:sz w:val="24"/>
          <w:szCs w:val="24"/>
          <w:shd w:val="clear" w:color="auto" w:fill="FFFFFF"/>
        </w:rPr>
        <w:t>Cook, A., &amp; Glass, C. (2018). Women on corporate boards: Do they advance corporate social responsibility?. </w:t>
      </w:r>
      <w:r w:rsidRPr="00DB6C99">
        <w:rPr>
          <w:rFonts w:ascii="Garamond" w:hAnsi="Garamond" w:cs="Times New Roman"/>
          <w:i/>
          <w:iCs/>
          <w:sz w:val="24"/>
          <w:szCs w:val="24"/>
          <w:shd w:val="clear" w:color="auto" w:fill="FFFFFF"/>
        </w:rPr>
        <w:t xml:space="preserve">Human </w:t>
      </w:r>
      <w:r w:rsidR="00AB71F2" w:rsidRPr="00DB6C99">
        <w:rPr>
          <w:rFonts w:ascii="Garamond" w:hAnsi="Garamond" w:cs="Times New Roman"/>
          <w:i/>
          <w:iCs/>
          <w:sz w:val="24"/>
          <w:szCs w:val="24"/>
          <w:shd w:val="clear" w:color="auto" w:fill="FFFFFF"/>
        </w:rPr>
        <w:t>R</w:t>
      </w:r>
      <w:r w:rsidRPr="00DB6C99">
        <w:rPr>
          <w:rFonts w:ascii="Garamond" w:hAnsi="Garamond" w:cs="Times New Roman"/>
          <w:i/>
          <w:iCs/>
          <w:sz w:val="24"/>
          <w:szCs w:val="24"/>
          <w:shd w:val="clear" w:color="auto" w:fill="FFFFFF"/>
        </w:rPr>
        <w:t>elations</w:t>
      </w:r>
      <w:r w:rsidRPr="00DB6C99">
        <w:rPr>
          <w:rFonts w:ascii="Garamond" w:hAnsi="Garamond" w:cs="Times New Roman"/>
          <w:sz w:val="24"/>
          <w:szCs w:val="24"/>
          <w:shd w:val="clear" w:color="auto" w:fill="FFFFFF"/>
        </w:rPr>
        <w:t>, </w:t>
      </w:r>
      <w:r w:rsidRPr="00DB6C99">
        <w:rPr>
          <w:rFonts w:ascii="Garamond" w:hAnsi="Garamond" w:cs="Times New Roman"/>
          <w:i/>
          <w:iCs/>
          <w:sz w:val="24"/>
          <w:szCs w:val="24"/>
          <w:shd w:val="clear" w:color="auto" w:fill="FFFFFF"/>
        </w:rPr>
        <w:t>71</w:t>
      </w:r>
      <w:r w:rsidRPr="00DB6C99">
        <w:rPr>
          <w:rFonts w:ascii="Garamond" w:hAnsi="Garamond" w:cs="Times New Roman"/>
          <w:sz w:val="24"/>
          <w:szCs w:val="24"/>
          <w:shd w:val="clear" w:color="auto" w:fill="FFFFFF"/>
        </w:rPr>
        <w:t>(7), 897-924.</w:t>
      </w:r>
    </w:p>
    <w:p w14:paraId="31C89B83" w14:textId="77777777" w:rsidR="001B7C96" w:rsidRPr="00DB6C99" w:rsidRDefault="001B7C96" w:rsidP="007000C3">
      <w:pPr>
        <w:pStyle w:val="NoSpacing"/>
        <w:spacing w:before="100" w:beforeAutospacing="1" w:after="100" w:afterAutospacing="1"/>
        <w:ind w:left="540" w:hanging="540"/>
        <w:jc w:val="both"/>
        <w:rPr>
          <w:rFonts w:ascii="Garamond" w:hAnsi="Garamond" w:cs="Times New Roman"/>
          <w:sz w:val="24"/>
          <w:szCs w:val="24"/>
          <w:lang w:eastAsia="en-NZ"/>
        </w:rPr>
      </w:pPr>
      <w:r w:rsidRPr="00DB6C99">
        <w:rPr>
          <w:rFonts w:ascii="Garamond" w:hAnsi="Garamond" w:cs="Times New Roman"/>
          <w:sz w:val="24"/>
          <w:szCs w:val="24"/>
          <w:lang w:eastAsia="en-NZ"/>
        </w:rPr>
        <w:t xml:space="preserve">Crilly, D., Zollo, M., &amp; Hansen, M. T. (2012). Faking it or muddling through? Understanding decoupling in response to stakeholder pressures. </w:t>
      </w:r>
      <w:r w:rsidRPr="00DB6C99">
        <w:rPr>
          <w:rFonts w:ascii="Garamond" w:hAnsi="Garamond" w:cs="Times New Roman"/>
          <w:i/>
          <w:sz w:val="24"/>
          <w:szCs w:val="24"/>
          <w:lang w:eastAsia="en-NZ"/>
        </w:rPr>
        <w:t>Academy of Management Journal</w:t>
      </w:r>
      <w:r w:rsidRPr="00DB6C99">
        <w:rPr>
          <w:rFonts w:ascii="Garamond" w:hAnsi="Garamond" w:cs="Times New Roman"/>
          <w:sz w:val="24"/>
          <w:szCs w:val="24"/>
          <w:lang w:eastAsia="en-NZ"/>
        </w:rPr>
        <w:t>, 55(6), 1429-1448.</w:t>
      </w:r>
    </w:p>
    <w:p w14:paraId="7802AFFA" w14:textId="77777777" w:rsidR="001B7C96" w:rsidRPr="00DB6C99" w:rsidRDefault="001B7C96" w:rsidP="007000C3">
      <w:pPr>
        <w:pStyle w:val="NoSpacing"/>
        <w:spacing w:before="100" w:beforeAutospacing="1" w:after="100" w:afterAutospacing="1"/>
        <w:ind w:left="540" w:hanging="540"/>
        <w:jc w:val="both"/>
        <w:rPr>
          <w:rFonts w:ascii="Garamond" w:hAnsi="Garamond" w:cs="Times New Roman"/>
          <w:sz w:val="24"/>
          <w:szCs w:val="24"/>
          <w:lang w:eastAsia="en-NZ"/>
        </w:rPr>
      </w:pPr>
      <w:r w:rsidRPr="00DB6C99">
        <w:rPr>
          <w:rFonts w:ascii="Garamond" w:hAnsi="Garamond" w:cs="Times New Roman"/>
          <w:sz w:val="24"/>
          <w:szCs w:val="24"/>
          <w:lang w:val="nl-NL" w:eastAsia="en-NZ"/>
        </w:rPr>
        <w:t xml:space="preserve">Cumming, D., Leung, T. Y., &amp; Rui, O. (2015). </w:t>
      </w:r>
      <w:r w:rsidRPr="00DB6C99">
        <w:rPr>
          <w:rFonts w:ascii="Garamond" w:hAnsi="Garamond" w:cs="Times New Roman"/>
          <w:sz w:val="24"/>
          <w:szCs w:val="24"/>
          <w:lang w:eastAsia="en-NZ"/>
        </w:rPr>
        <w:t xml:space="preserve">Gender diversity and securities fraud. </w:t>
      </w:r>
      <w:r w:rsidRPr="00DB6C99">
        <w:rPr>
          <w:rFonts w:ascii="Garamond" w:hAnsi="Garamond" w:cs="Times New Roman"/>
          <w:i/>
          <w:sz w:val="24"/>
          <w:szCs w:val="24"/>
          <w:lang w:eastAsia="en-NZ"/>
        </w:rPr>
        <w:t>Academy of Management Journal</w:t>
      </w:r>
      <w:r w:rsidRPr="00DB6C99">
        <w:rPr>
          <w:rFonts w:ascii="Garamond" w:hAnsi="Garamond" w:cs="Times New Roman"/>
          <w:sz w:val="24"/>
          <w:szCs w:val="24"/>
          <w:lang w:eastAsia="en-NZ"/>
        </w:rPr>
        <w:t>, 58(5), 1572-1593.</w:t>
      </w:r>
    </w:p>
    <w:p w14:paraId="1A25FD4A" w14:textId="6DBC562B" w:rsidR="001B7C96" w:rsidRPr="00DB6C99" w:rsidRDefault="001B7C96" w:rsidP="007000C3">
      <w:pPr>
        <w:pStyle w:val="NoSpacing"/>
        <w:spacing w:before="100" w:beforeAutospacing="1" w:after="100" w:afterAutospacing="1"/>
        <w:ind w:left="540" w:hanging="540"/>
        <w:jc w:val="both"/>
        <w:rPr>
          <w:rFonts w:ascii="Garamond" w:hAnsi="Garamond" w:cs="Times New Roman"/>
          <w:sz w:val="24"/>
          <w:szCs w:val="24"/>
          <w:shd w:val="clear" w:color="auto" w:fill="FFFFFF"/>
          <w:lang w:val="en-US"/>
        </w:rPr>
      </w:pPr>
      <w:r w:rsidRPr="00DB6C99">
        <w:rPr>
          <w:rFonts w:ascii="Garamond" w:hAnsi="Garamond" w:cs="Times New Roman"/>
          <w:sz w:val="24"/>
          <w:szCs w:val="24"/>
          <w:shd w:val="clear" w:color="auto" w:fill="FFFFFF"/>
        </w:rPr>
        <w:t>Dahlerup, D. (2006). The story of the theory of critical mass. </w:t>
      </w:r>
      <w:r w:rsidRPr="00DB6C99">
        <w:rPr>
          <w:rFonts w:ascii="Garamond" w:hAnsi="Garamond" w:cs="Times New Roman"/>
          <w:i/>
          <w:iCs/>
          <w:sz w:val="24"/>
          <w:szCs w:val="24"/>
          <w:shd w:val="clear" w:color="auto" w:fill="FFFFFF"/>
          <w:lang w:val="en-US"/>
        </w:rPr>
        <w:t>Politics &amp; Gender</w:t>
      </w:r>
      <w:r w:rsidRPr="00DB6C99">
        <w:rPr>
          <w:rFonts w:ascii="Garamond" w:hAnsi="Garamond" w:cs="Times New Roman"/>
          <w:sz w:val="24"/>
          <w:szCs w:val="24"/>
          <w:shd w:val="clear" w:color="auto" w:fill="FFFFFF"/>
          <w:lang w:val="en-US"/>
        </w:rPr>
        <w:t>, </w:t>
      </w:r>
      <w:r w:rsidRPr="00DB6C99">
        <w:rPr>
          <w:rFonts w:ascii="Garamond" w:hAnsi="Garamond" w:cs="Times New Roman"/>
          <w:i/>
          <w:iCs/>
          <w:sz w:val="24"/>
          <w:szCs w:val="24"/>
          <w:shd w:val="clear" w:color="auto" w:fill="FFFFFF"/>
          <w:lang w:val="en-US"/>
        </w:rPr>
        <w:t>2</w:t>
      </w:r>
      <w:r w:rsidRPr="00DB6C99">
        <w:rPr>
          <w:rFonts w:ascii="Garamond" w:hAnsi="Garamond" w:cs="Times New Roman"/>
          <w:sz w:val="24"/>
          <w:szCs w:val="24"/>
          <w:shd w:val="clear" w:color="auto" w:fill="FFFFFF"/>
          <w:lang w:val="en-US"/>
        </w:rPr>
        <w:t>(4), 511-522.</w:t>
      </w:r>
    </w:p>
    <w:p w14:paraId="6D42A70E" w14:textId="2D0FA503" w:rsidR="00E105D8" w:rsidRPr="00DB6C99" w:rsidRDefault="00E105D8" w:rsidP="007000C3">
      <w:pPr>
        <w:pStyle w:val="NoSpacing"/>
        <w:spacing w:before="100" w:beforeAutospacing="1" w:after="100" w:afterAutospacing="1"/>
        <w:ind w:left="540" w:hanging="540"/>
        <w:jc w:val="both"/>
        <w:rPr>
          <w:rFonts w:ascii="Garamond" w:hAnsi="Garamond" w:cs="Times New Roman"/>
          <w:sz w:val="28"/>
          <w:szCs w:val="24"/>
          <w:lang w:val="en-US" w:eastAsia="en-NZ"/>
        </w:rPr>
      </w:pPr>
      <w:r w:rsidRPr="00DB6C99">
        <w:rPr>
          <w:rFonts w:ascii="Garamond" w:hAnsi="Garamond" w:cs="Arial"/>
          <w:sz w:val="24"/>
          <w:szCs w:val="20"/>
          <w:shd w:val="clear" w:color="auto" w:fill="FFFFFF"/>
        </w:rPr>
        <w:t>Đ</w:t>
      </w:r>
      <w:r w:rsidR="00E97CCB" w:rsidRPr="00DB6C99">
        <w:rPr>
          <w:rFonts w:ascii="Garamond" w:hAnsi="Garamond" w:cs="Arial"/>
          <w:sz w:val="24"/>
          <w:szCs w:val="20"/>
          <w:shd w:val="clear" w:color="auto" w:fill="FFFFFF"/>
        </w:rPr>
        <w:t>ă</w:t>
      </w:r>
      <w:r w:rsidRPr="00DB6C99">
        <w:rPr>
          <w:rFonts w:ascii="Garamond" w:hAnsi="Garamond" w:cs="Arial"/>
          <w:sz w:val="24"/>
          <w:szCs w:val="20"/>
          <w:shd w:val="clear" w:color="auto" w:fill="FFFFFF"/>
        </w:rPr>
        <w:t>ng, R., Houanti, L. H., Reddy, K., &amp; Simioni, M. (2020). Does board gender diversity influence firm profitability? A control function approach. </w:t>
      </w:r>
      <w:r w:rsidRPr="00DB6C99">
        <w:rPr>
          <w:rFonts w:ascii="Garamond" w:hAnsi="Garamond" w:cs="Arial"/>
          <w:i/>
          <w:iCs/>
          <w:sz w:val="24"/>
          <w:szCs w:val="20"/>
          <w:shd w:val="clear" w:color="auto" w:fill="FFFFFF"/>
        </w:rPr>
        <w:t>Economic Modelling</w:t>
      </w:r>
      <w:r w:rsidRPr="00DB6C99">
        <w:rPr>
          <w:rFonts w:ascii="Garamond" w:hAnsi="Garamond" w:cs="Arial"/>
          <w:sz w:val="24"/>
          <w:szCs w:val="20"/>
          <w:shd w:val="clear" w:color="auto" w:fill="FFFFFF"/>
        </w:rPr>
        <w:t>, </w:t>
      </w:r>
      <w:r w:rsidRPr="00DB6C99">
        <w:rPr>
          <w:rFonts w:ascii="Garamond" w:hAnsi="Garamond" w:cs="Arial"/>
          <w:i/>
          <w:iCs/>
          <w:sz w:val="24"/>
          <w:szCs w:val="20"/>
          <w:shd w:val="clear" w:color="auto" w:fill="FFFFFF"/>
        </w:rPr>
        <w:t>90</w:t>
      </w:r>
      <w:r w:rsidRPr="00DB6C99">
        <w:rPr>
          <w:rFonts w:ascii="Garamond" w:hAnsi="Garamond" w:cs="Arial"/>
          <w:sz w:val="24"/>
          <w:szCs w:val="20"/>
          <w:shd w:val="clear" w:color="auto" w:fill="FFFFFF"/>
        </w:rPr>
        <w:t>, 168-181.</w:t>
      </w:r>
    </w:p>
    <w:p w14:paraId="50D3680B" w14:textId="77777777" w:rsidR="001B7C96" w:rsidRPr="00DB6C99" w:rsidRDefault="001B7C96" w:rsidP="007000C3">
      <w:pPr>
        <w:pStyle w:val="NoSpacing"/>
        <w:spacing w:before="100" w:beforeAutospacing="1" w:after="100" w:afterAutospacing="1"/>
        <w:ind w:left="540" w:hanging="540"/>
        <w:jc w:val="both"/>
        <w:rPr>
          <w:rFonts w:ascii="Garamond" w:hAnsi="Garamond" w:cs="Times New Roman"/>
          <w:sz w:val="24"/>
          <w:szCs w:val="24"/>
          <w:lang w:eastAsia="en-NZ"/>
        </w:rPr>
      </w:pPr>
      <w:r w:rsidRPr="00DB6C99">
        <w:rPr>
          <w:rFonts w:ascii="Garamond" w:hAnsi="Garamond" w:cs="Times New Roman"/>
          <w:sz w:val="24"/>
          <w:szCs w:val="24"/>
          <w:shd w:val="clear" w:color="auto" w:fill="FFFFFF"/>
        </w:rPr>
        <w:t>Delmas, M. A., &amp; Burbano, V. C. (2011). The drivers of greenwashing. </w:t>
      </w:r>
      <w:r w:rsidRPr="00DB6C99">
        <w:rPr>
          <w:rFonts w:ascii="Garamond" w:hAnsi="Garamond" w:cs="Times New Roman"/>
          <w:i/>
          <w:iCs/>
          <w:sz w:val="24"/>
          <w:szCs w:val="24"/>
          <w:shd w:val="clear" w:color="auto" w:fill="FFFFFF"/>
        </w:rPr>
        <w:t>California management review</w:t>
      </w:r>
      <w:r w:rsidRPr="00DB6C99">
        <w:rPr>
          <w:rFonts w:ascii="Garamond" w:hAnsi="Garamond" w:cs="Times New Roman"/>
          <w:sz w:val="24"/>
          <w:szCs w:val="24"/>
          <w:shd w:val="clear" w:color="auto" w:fill="FFFFFF"/>
        </w:rPr>
        <w:t>, </w:t>
      </w:r>
      <w:r w:rsidRPr="00DB6C99">
        <w:rPr>
          <w:rFonts w:ascii="Garamond" w:hAnsi="Garamond" w:cs="Times New Roman"/>
          <w:i/>
          <w:iCs/>
          <w:sz w:val="24"/>
          <w:szCs w:val="24"/>
          <w:shd w:val="clear" w:color="auto" w:fill="FFFFFF"/>
        </w:rPr>
        <w:t>54</w:t>
      </w:r>
      <w:r w:rsidRPr="00DB6C99">
        <w:rPr>
          <w:rFonts w:ascii="Garamond" w:hAnsi="Garamond" w:cs="Times New Roman"/>
          <w:sz w:val="24"/>
          <w:szCs w:val="24"/>
          <w:shd w:val="clear" w:color="auto" w:fill="FFFFFF"/>
        </w:rPr>
        <w:t>(1), 64-87.</w:t>
      </w:r>
    </w:p>
    <w:p w14:paraId="594B4523" w14:textId="77777777" w:rsidR="001B7C96" w:rsidRPr="00DB6C99" w:rsidRDefault="001B7C96" w:rsidP="007000C3">
      <w:pPr>
        <w:pStyle w:val="NoSpacing"/>
        <w:spacing w:before="100" w:beforeAutospacing="1" w:after="100" w:afterAutospacing="1"/>
        <w:ind w:left="540" w:hanging="540"/>
        <w:jc w:val="both"/>
        <w:rPr>
          <w:rFonts w:ascii="Garamond" w:hAnsi="Garamond" w:cs="Times New Roman"/>
          <w:sz w:val="24"/>
          <w:szCs w:val="24"/>
        </w:rPr>
      </w:pPr>
      <w:r w:rsidRPr="00DB6C99">
        <w:rPr>
          <w:rFonts w:ascii="Garamond" w:hAnsi="Garamond" w:cs="Times New Roman"/>
          <w:sz w:val="24"/>
          <w:szCs w:val="24"/>
        </w:rPr>
        <w:t xml:space="preserve">Doh, J. P., Howton, S. D., Howton, S. W., &amp; Siegel, D. S. (2010). Does the market respond to an endorsement of social responsibility? The role of institutions, information, and legitimacy. </w:t>
      </w:r>
      <w:r w:rsidRPr="00DB6C99">
        <w:rPr>
          <w:rFonts w:ascii="Garamond" w:hAnsi="Garamond" w:cs="Times New Roman"/>
          <w:i/>
          <w:sz w:val="24"/>
          <w:szCs w:val="24"/>
        </w:rPr>
        <w:t>Journal of Management</w:t>
      </w:r>
      <w:r w:rsidRPr="00DB6C99">
        <w:rPr>
          <w:rFonts w:ascii="Garamond" w:hAnsi="Garamond" w:cs="Times New Roman"/>
          <w:sz w:val="24"/>
          <w:szCs w:val="24"/>
        </w:rPr>
        <w:t>, 36(6), 1461-1485.</w:t>
      </w:r>
    </w:p>
    <w:p w14:paraId="37A83312" w14:textId="77777777" w:rsidR="001B7C96" w:rsidRPr="00DB6C99" w:rsidRDefault="001B7C96" w:rsidP="007000C3">
      <w:pPr>
        <w:pStyle w:val="NoSpacing"/>
        <w:spacing w:before="100" w:beforeAutospacing="1" w:after="100" w:afterAutospacing="1"/>
        <w:ind w:left="540" w:hanging="540"/>
        <w:jc w:val="both"/>
        <w:rPr>
          <w:rFonts w:ascii="Garamond" w:hAnsi="Garamond" w:cs="Times New Roman"/>
          <w:sz w:val="24"/>
          <w:szCs w:val="24"/>
        </w:rPr>
      </w:pPr>
      <w:r w:rsidRPr="00DB6C99">
        <w:rPr>
          <w:rFonts w:ascii="Garamond" w:hAnsi="Garamond" w:cs="Times New Roman"/>
          <w:sz w:val="24"/>
          <w:szCs w:val="24"/>
        </w:rPr>
        <w:t xml:space="preserve">Du, X. (2015). How the market values greenwashing? Evidence from China. </w:t>
      </w:r>
      <w:r w:rsidRPr="00DB6C99">
        <w:rPr>
          <w:rFonts w:ascii="Garamond" w:hAnsi="Garamond" w:cs="Times New Roman"/>
          <w:i/>
          <w:sz w:val="24"/>
          <w:szCs w:val="24"/>
        </w:rPr>
        <w:t>Journal of Business Ethics</w:t>
      </w:r>
      <w:r w:rsidRPr="00DB6C99">
        <w:rPr>
          <w:rFonts w:ascii="Garamond" w:hAnsi="Garamond" w:cs="Times New Roman"/>
          <w:sz w:val="24"/>
          <w:szCs w:val="24"/>
        </w:rPr>
        <w:t>, 128(3), 547-574.</w:t>
      </w:r>
    </w:p>
    <w:p w14:paraId="4ABC0DD5" w14:textId="55ADB7EB" w:rsidR="001B7C96" w:rsidRPr="00DB6C99" w:rsidRDefault="001B7C96" w:rsidP="007C1FF3">
      <w:pPr>
        <w:pStyle w:val="NoSpacing"/>
        <w:spacing w:before="100" w:beforeAutospacing="1" w:after="100" w:afterAutospacing="1"/>
        <w:ind w:left="540" w:hanging="540"/>
        <w:jc w:val="both"/>
        <w:rPr>
          <w:rFonts w:ascii="Garamond" w:hAnsi="Garamond" w:cs="Times New Roman"/>
          <w:sz w:val="24"/>
          <w:szCs w:val="24"/>
          <w:lang w:eastAsia="en-NZ"/>
        </w:rPr>
      </w:pPr>
      <w:r w:rsidRPr="00DB6C99">
        <w:rPr>
          <w:rFonts w:ascii="Garamond" w:hAnsi="Garamond" w:cs="Times New Roman"/>
          <w:sz w:val="24"/>
          <w:szCs w:val="24"/>
          <w:lang w:eastAsia="en-NZ"/>
        </w:rPr>
        <w:t>Eagly, A. H. (2005). Achieving relational authenticity in leadership: Does gender matter?. </w:t>
      </w:r>
      <w:r w:rsidRPr="00DB6C99">
        <w:rPr>
          <w:rFonts w:ascii="Garamond" w:hAnsi="Garamond" w:cs="Times New Roman"/>
          <w:i/>
          <w:iCs/>
          <w:sz w:val="24"/>
          <w:szCs w:val="24"/>
          <w:lang w:eastAsia="en-NZ"/>
        </w:rPr>
        <w:t xml:space="preserve">The </w:t>
      </w:r>
      <w:r w:rsidR="00E413C0" w:rsidRPr="00DB6C99">
        <w:rPr>
          <w:rFonts w:ascii="Garamond" w:hAnsi="Garamond" w:cs="Times New Roman"/>
          <w:i/>
          <w:iCs/>
          <w:sz w:val="24"/>
          <w:szCs w:val="24"/>
          <w:lang w:eastAsia="en-NZ"/>
        </w:rPr>
        <w:t>L</w:t>
      </w:r>
      <w:r w:rsidRPr="00DB6C99">
        <w:rPr>
          <w:rFonts w:ascii="Garamond" w:hAnsi="Garamond" w:cs="Times New Roman"/>
          <w:i/>
          <w:iCs/>
          <w:sz w:val="24"/>
          <w:szCs w:val="24"/>
          <w:lang w:eastAsia="en-NZ"/>
        </w:rPr>
        <w:t xml:space="preserve">eadership </w:t>
      </w:r>
      <w:r w:rsidR="00E413C0" w:rsidRPr="00DB6C99">
        <w:rPr>
          <w:rFonts w:ascii="Garamond" w:hAnsi="Garamond" w:cs="Times New Roman"/>
          <w:i/>
          <w:iCs/>
          <w:sz w:val="24"/>
          <w:szCs w:val="24"/>
          <w:lang w:eastAsia="en-NZ"/>
        </w:rPr>
        <w:t>Q</w:t>
      </w:r>
      <w:r w:rsidRPr="00DB6C99">
        <w:rPr>
          <w:rFonts w:ascii="Garamond" w:hAnsi="Garamond" w:cs="Times New Roman"/>
          <w:i/>
          <w:iCs/>
          <w:sz w:val="24"/>
          <w:szCs w:val="24"/>
          <w:lang w:eastAsia="en-NZ"/>
        </w:rPr>
        <w:t>uarterly, 16</w:t>
      </w:r>
      <w:r w:rsidRPr="00DB6C99">
        <w:rPr>
          <w:rFonts w:ascii="Garamond" w:hAnsi="Garamond" w:cs="Times New Roman"/>
          <w:sz w:val="24"/>
          <w:szCs w:val="24"/>
          <w:lang w:eastAsia="en-NZ"/>
        </w:rPr>
        <w:t>(3), 459-474.</w:t>
      </w:r>
    </w:p>
    <w:p w14:paraId="57D2C520" w14:textId="77777777" w:rsidR="001B7C96" w:rsidRPr="00DB6C99" w:rsidRDefault="001B7C96" w:rsidP="007000C3">
      <w:pPr>
        <w:pStyle w:val="NoSpacing"/>
        <w:spacing w:before="100" w:beforeAutospacing="1" w:after="100" w:afterAutospacing="1"/>
        <w:ind w:left="540" w:hanging="540"/>
        <w:jc w:val="both"/>
        <w:rPr>
          <w:rFonts w:ascii="Garamond" w:hAnsi="Garamond" w:cs="Times New Roman"/>
          <w:sz w:val="24"/>
          <w:szCs w:val="24"/>
          <w:shd w:val="clear" w:color="auto" w:fill="FFFFFF"/>
        </w:rPr>
      </w:pPr>
      <w:r w:rsidRPr="00DB6C99">
        <w:rPr>
          <w:rFonts w:ascii="Garamond" w:hAnsi="Garamond" w:cs="Times New Roman"/>
          <w:sz w:val="24"/>
          <w:szCs w:val="24"/>
          <w:shd w:val="clear" w:color="auto" w:fill="FFFFFF"/>
          <w:lang w:val="en-US"/>
        </w:rPr>
        <w:t xml:space="preserve">Eccles, R. G., Serafeim, G., &amp; Krzus, M. P. (2011). </w:t>
      </w:r>
      <w:r w:rsidRPr="00DB6C99">
        <w:rPr>
          <w:rFonts w:ascii="Garamond" w:hAnsi="Garamond" w:cs="Times New Roman"/>
          <w:sz w:val="24"/>
          <w:szCs w:val="24"/>
          <w:shd w:val="clear" w:color="auto" w:fill="FFFFFF"/>
        </w:rPr>
        <w:t>Market interest in nonfinancial information. </w:t>
      </w:r>
      <w:r w:rsidRPr="00DB6C99">
        <w:rPr>
          <w:rFonts w:ascii="Garamond" w:hAnsi="Garamond" w:cs="Times New Roman"/>
          <w:i/>
          <w:iCs/>
          <w:sz w:val="24"/>
          <w:szCs w:val="24"/>
          <w:shd w:val="clear" w:color="auto" w:fill="FFFFFF"/>
        </w:rPr>
        <w:t>Journal of Applied Corporate Finance</w:t>
      </w:r>
      <w:r w:rsidRPr="00DB6C99">
        <w:rPr>
          <w:rFonts w:ascii="Garamond" w:hAnsi="Garamond" w:cs="Times New Roman"/>
          <w:sz w:val="24"/>
          <w:szCs w:val="24"/>
          <w:shd w:val="clear" w:color="auto" w:fill="FFFFFF"/>
        </w:rPr>
        <w:t>, </w:t>
      </w:r>
      <w:r w:rsidRPr="00DB6C99">
        <w:rPr>
          <w:rFonts w:ascii="Garamond" w:hAnsi="Garamond" w:cs="Times New Roman"/>
          <w:i/>
          <w:iCs/>
          <w:sz w:val="24"/>
          <w:szCs w:val="24"/>
          <w:shd w:val="clear" w:color="auto" w:fill="FFFFFF"/>
        </w:rPr>
        <w:t>23</w:t>
      </w:r>
      <w:r w:rsidRPr="00DB6C99">
        <w:rPr>
          <w:rFonts w:ascii="Garamond" w:hAnsi="Garamond" w:cs="Times New Roman"/>
          <w:sz w:val="24"/>
          <w:szCs w:val="24"/>
          <w:shd w:val="clear" w:color="auto" w:fill="FFFFFF"/>
        </w:rPr>
        <w:t>(4), 113-127.</w:t>
      </w:r>
    </w:p>
    <w:p w14:paraId="19CDE696" w14:textId="77777777" w:rsidR="001B7C96" w:rsidRPr="00DB6C99" w:rsidRDefault="001B7C96" w:rsidP="007C1FF3">
      <w:pPr>
        <w:pStyle w:val="NoSpacing"/>
        <w:spacing w:before="100" w:beforeAutospacing="1" w:after="100" w:afterAutospacing="1"/>
        <w:ind w:left="540" w:hanging="540"/>
        <w:jc w:val="both"/>
        <w:rPr>
          <w:rFonts w:ascii="Garamond" w:hAnsi="Garamond"/>
          <w:lang w:eastAsia="en-NZ"/>
        </w:rPr>
      </w:pPr>
      <w:r w:rsidRPr="00DB6C99">
        <w:rPr>
          <w:rFonts w:ascii="Garamond" w:hAnsi="Garamond" w:cs="Times New Roman"/>
          <w:sz w:val="24"/>
          <w:szCs w:val="24"/>
          <w:lang w:eastAsia="en-NZ"/>
        </w:rPr>
        <w:lastRenderedPageBreak/>
        <w:t>European Commission (2011). Communication from the Commission to the European Parliament, the Council, the European Economic and Social SAUERWALD AND SU 297 Committee and the Committee of the Regions: A renewed EU strategy 2011–14 for Corporate Social Responsibility. Brussels: European Commission.</w:t>
      </w:r>
    </w:p>
    <w:p w14:paraId="0B13CABB" w14:textId="17EC0182" w:rsidR="001B7C96" w:rsidRPr="00DB6C99" w:rsidRDefault="001B7C96" w:rsidP="007C1FF3">
      <w:pPr>
        <w:pStyle w:val="NoSpacing"/>
        <w:spacing w:before="100" w:beforeAutospacing="1" w:after="100" w:afterAutospacing="1"/>
        <w:ind w:left="540" w:hanging="540"/>
        <w:jc w:val="both"/>
        <w:rPr>
          <w:rFonts w:ascii="Garamond" w:hAnsi="Garamond" w:cs="Times New Roman"/>
          <w:sz w:val="24"/>
          <w:szCs w:val="24"/>
          <w:lang w:eastAsia="en-NZ"/>
        </w:rPr>
      </w:pPr>
      <w:r w:rsidRPr="00DB6C99">
        <w:rPr>
          <w:rFonts w:ascii="Garamond" w:hAnsi="Garamond" w:cs="Times New Roman"/>
          <w:sz w:val="24"/>
          <w:szCs w:val="24"/>
          <w:lang w:val="en-US" w:eastAsia="en-NZ"/>
        </w:rPr>
        <w:t xml:space="preserve">Fama, E. F., &amp; Jensen, M. C. (1983). </w:t>
      </w:r>
      <w:r w:rsidRPr="00DB6C99">
        <w:rPr>
          <w:rFonts w:ascii="Garamond" w:hAnsi="Garamond" w:cs="Times New Roman"/>
          <w:sz w:val="24"/>
          <w:szCs w:val="24"/>
          <w:lang w:eastAsia="en-NZ"/>
        </w:rPr>
        <w:t>Separation of ownership and control. </w:t>
      </w:r>
      <w:r w:rsidRPr="00DB6C99">
        <w:rPr>
          <w:rFonts w:ascii="Garamond" w:hAnsi="Garamond" w:cs="Times New Roman"/>
          <w:i/>
          <w:iCs/>
          <w:sz w:val="24"/>
          <w:szCs w:val="24"/>
          <w:lang w:eastAsia="en-NZ"/>
        </w:rPr>
        <w:t>The journal of law and Economics, 26</w:t>
      </w:r>
      <w:r w:rsidRPr="00DB6C99">
        <w:rPr>
          <w:rFonts w:ascii="Garamond" w:hAnsi="Garamond" w:cs="Times New Roman"/>
          <w:sz w:val="24"/>
          <w:szCs w:val="24"/>
          <w:lang w:eastAsia="en-NZ"/>
        </w:rPr>
        <w:t>(2), 301-325.</w:t>
      </w:r>
    </w:p>
    <w:p w14:paraId="54029C90" w14:textId="4D675EC0" w:rsidR="00253A57" w:rsidRPr="00DB6C99" w:rsidRDefault="00253A57" w:rsidP="007C1FF3">
      <w:pPr>
        <w:pStyle w:val="NoSpacing"/>
        <w:spacing w:before="100" w:beforeAutospacing="1" w:after="100" w:afterAutospacing="1"/>
        <w:ind w:left="540" w:hanging="540"/>
        <w:jc w:val="both"/>
        <w:rPr>
          <w:rFonts w:ascii="Garamond" w:hAnsi="Garamond" w:cs="Times New Roman"/>
          <w:sz w:val="24"/>
          <w:szCs w:val="24"/>
          <w:lang w:eastAsia="en-NZ"/>
        </w:rPr>
      </w:pPr>
      <w:r w:rsidRPr="00DB6C99">
        <w:rPr>
          <w:rFonts w:ascii="Garamond" w:hAnsi="Garamond" w:cs="Times New Roman"/>
          <w:sz w:val="24"/>
          <w:szCs w:val="24"/>
          <w:lang w:eastAsia="en-NZ"/>
        </w:rPr>
        <w:t xml:space="preserve">Fiechter, Peter and Hitz, Joerg-Markus and Lehmann, Nico, Real Effects of a Widespread CSR Reporting Mandate: Evidence from the European Union’s CSR Directive (February 4, 2022). </w:t>
      </w:r>
      <w:r w:rsidRPr="00DB6C99">
        <w:rPr>
          <w:rFonts w:ascii="Garamond" w:hAnsi="Garamond" w:cs="Times New Roman"/>
          <w:i/>
          <w:sz w:val="24"/>
          <w:szCs w:val="24"/>
          <w:lang w:eastAsia="en-NZ"/>
        </w:rPr>
        <w:t>Journal of Accounting Research</w:t>
      </w:r>
      <w:r w:rsidRPr="00DB6C99">
        <w:rPr>
          <w:rFonts w:ascii="Garamond" w:hAnsi="Garamond" w:cs="Times New Roman"/>
          <w:sz w:val="24"/>
          <w:szCs w:val="24"/>
          <w:lang w:eastAsia="en-NZ"/>
        </w:rPr>
        <w:t>, (Forthcoming), Available at SSRN: https://ssrn.com/abstract=3725603 or http://dx.doi.org/10.2139/ssrn.3725603</w:t>
      </w:r>
    </w:p>
    <w:p w14:paraId="1155314B" w14:textId="77777777" w:rsidR="001B7C96" w:rsidRPr="00DB6C99" w:rsidRDefault="001B7C96" w:rsidP="007000C3">
      <w:pPr>
        <w:pStyle w:val="NoSpacing"/>
        <w:spacing w:before="100" w:beforeAutospacing="1" w:after="100" w:afterAutospacing="1"/>
        <w:ind w:left="540" w:hanging="540"/>
        <w:jc w:val="both"/>
        <w:rPr>
          <w:rFonts w:ascii="Garamond" w:hAnsi="Garamond" w:cs="Times New Roman"/>
          <w:sz w:val="24"/>
          <w:szCs w:val="24"/>
        </w:rPr>
      </w:pPr>
      <w:r w:rsidRPr="00DB6C99">
        <w:rPr>
          <w:rFonts w:ascii="Garamond" w:hAnsi="Garamond" w:cs="Times New Roman"/>
          <w:sz w:val="24"/>
          <w:szCs w:val="24"/>
        </w:rPr>
        <w:t xml:space="preserve">Forte, A. (2004). Antecedents of managers moral reasoning. </w:t>
      </w:r>
      <w:r w:rsidRPr="00DB6C99">
        <w:rPr>
          <w:rFonts w:ascii="Garamond" w:hAnsi="Garamond" w:cs="Times New Roman"/>
          <w:i/>
          <w:sz w:val="24"/>
          <w:szCs w:val="24"/>
        </w:rPr>
        <w:t>Journal of Business Ethics</w:t>
      </w:r>
      <w:r w:rsidRPr="00DB6C99">
        <w:rPr>
          <w:rFonts w:ascii="Garamond" w:hAnsi="Garamond" w:cs="Times New Roman"/>
          <w:sz w:val="24"/>
          <w:szCs w:val="24"/>
        </w:rPr>
        <w:t>, 51(4), 315-347.</w:t>
      </w:r>
    </w:p>
    <w:p w14:paraId="0C50B70F" w14:textId="77777777" w:rsidR="001B7C96" w:rsidRPr="00DB6C99" w:rsidRDefault="001B7C96" w:rsidP="007C1FF3">
      <w:pPr>
        <w:pStyle w:val="NoSpacing"/>
        <w:spacing w:before="100" w:beforeAutospacing="1" w:after="100" w:afterAutospacing="1"/>
        <w:ind w:left="540" w:hanging="540"/>
        <w:jc w:val="both"/>
        <w:rPr>
          <w:rFonts w:ascii="Garamond" w:hAnsi="Garamond" w:cs="Times New Roman"/>
          <w:sz w:val="24"/>
          <w:szCs w:val="24"/>
          <w:lang w:eastAsia="en-NZ"/>
        </w:rPr>
      </w:pPr>
      <w:r w:rsidRPr="00DB6C99">
        <w:rPr>
          <w:rFonts w:ascii="Garamond" w:hAnsi="Garamond" w:cs="Times New Roman"/>
          <w:sz w:val="24"/>
          <w:szCs w:val="24"/>
          <w:lang w:eastAsia="en-NZ"/>
        </w:rPr>
        <w:t xml:space="preserve">Freeman, E. (1984). Strategic management: A stakeholder approach. Prentice-Hall. </w:t>
      </w:r>
    </w:p>
    <w:p w14:paraId="36585615" w14:textId="18BDCB16" w:rsidR="007C1FF3" w:rsidRPr="00DB6C99" w:rsidRDefault="007C1FF3" w:rsidP="007000C3">
      <w:pPr>
        <w:pStyle w:val="NoSpacing"/>
        <w:spacing w:before="100" w:beforeAutospacing="1" w:after="100" w:afterAutospacing="1"/>
        <w:ind w:left="540" w:hanging="540"/>
        <w:jc w:val="both"/>
        <w:rPr>
          <w:rFonts w:ascii="Garamond" w:hAnsi="Garamond" w:cs="Times New Roman"/>
          <w:sz w:val="24"/>
          <w:szCs w:val="24"/>
        </w:rPr>
      </w:pPr>
      <w:r w:rsidRPr="00DB6C99">
        <w:rPr>
          <w:rFonts w:ascii="Garamond" w:hAnsi="Garamond" w:cs="Arial"/>
          <w:sz w:val="24"/>
          <w:szCs w:val="24"/>
          <w:shd w:val="clear" w:color="auto" w:fill="FFFFFF"/>
          <w:lang w:val="en-US"/>
        </w:rPr>
        <w:t xml:space="preserve">Friede, G., Busch, T., &amp; Bassen, A. (2015). </w:t>
      </w:r>
      <w:r w:rsidRPr="00DB6C99">
        <w:rPr>
          <w:rFonts w:ascii="Garamond" w:hAnsi="Garamond" w:cs="Arial"/>
          <w:sz w:val="24"/>
          <w:szCs w:val="24"/>
          <w:shd w:val="clear" w:color="auto" w:fill="FFFFFF"/>
        </w:rPr>
        <w:t>ESG and financial performance: aggregated evidence from more than 2000 empirical studies. </w:t>
      </w:r>
      <w:r w:rsidRPr="00DB6C99">
        <w:rPr>
          <w:rFonts w:ascii="Garamond" w:hAnsi="Garamond" w:cs="Arial"/>
          <w:i/>
          <w:iCs/>
          <w:sz w:val="24"/>
          <w:szCs w:val="24"/>
          <w:shd w:val="clear" w:color="auto" w:fill="FFFFFF"/>
        </w:rPr>
        <w:t>Journal of Sustainable Finance &amp; Investment</w:t>
      </w:r>
      <w:r w:rsidRPr="00DB6C99">
        <w:rPr>
          <w:rFonts w:ascii="Garamond" w:hAnsi="Garamond" w:cs="Arial"/>
          <w:sz w:val="24"/>
          <w:szCs w:val="24"/>
          <w:shd w:val="clear" w:color="auto" w:fill="FFFFFF"/>
        </w:rPr>
        <w:t>, </w:t>
      </w:r>
      <w:r w:rsidRPr="00DB6C99">
        <w:rPr>
          <w:rFonts w:ascii="Garamond" w:hAnsi="Garamond" w:cs="Arial"/>
          <w:i/>
          <w:iCs/>
          <w:sz w:val="24"/>
          <w:szCs w:val="24"/>
          <w:shd w:val="clear" w:color="auto" w:fill="FFFFFF"/>
        </w:rPr>
        <w:t>5</w:t>
      </w:r>
      <w:r w:rsidRPr="00DB6C99">
        <w:rPr>
          <w:rFonts w:ascii="Garamond" w:hAnsi="Garamond" w:cs="Arial"/>
          <w:sz w:val="24"/>
          <w:szCs w:val="24"/>
          <w:shd w:val="clear" w:color="auto" w:fill="FFFFFF"/>
        </w:rPr>
        <w:t>(4), 210-233.</w:t>
      </w:r>
      <w:r w:rsidRPr="00DB6C99">
        <w:rPr>
          <w:rFonts w:ascii="Garamond" w:hAnsi="Garamond" w:cs="Times New Roman"/>
          <w:sz w:val="24"/>
          <w:szCs w:val="24"/>
        </w:rPr>
        <w:t xml:space="preserve"> </w:t>
      </w:r>
    </w:p>
    <w:p w14:paraId="4424DC24" w14:textId="053D24ED" w:rsidR="009241D9" w:rsidRPr="00DB6C99" w:rsidRDefault="009241D9" w:rsidP="007000C3">
      <w:pPr>
        <w:pStyle w:val="NoSpacing"/>
        <w:spacing w:before="100" w:beforeAutospacing="1" w:after="100" w:afterAutospacing="1"/>
        <w:ind w:left="540" w:hanging="540"/>
        <w:jc w:val="both"/>
        <w:rPr>
          <w:rFonts w:ascii="Garamond" w:hAnsi="Garamond" w:cs="Times New Roman"/>
          <w:sz w:val="24"/>
          <w:szCs w:val="24"/>
        </w:rPr>
      </w:pPr>
      <w:r w:rsidRPr="00DB6C99">
        <w:rPr>
          <w:rFonts w:ascii="Garamond" w:hAnsi="Garamond" w:cs="Arial"/>
          <w:sz w:val="24"/>
          <w:szCs w:val="24"/>
          <w:shd w:val="clear" w:color="auto" w:fill="FFFFFF"/>
        </w:rPr>
        <w:t>García</w:t>
      </w:r>
      <w:r w:rsidRPr="00DB6C99">
        <w:rPr>
          <w:rFonts w:ascii="Times New Roman" w:hAnsi="Times New Roman" w:cs="Times New Roman"/>
          <w:sz w:val="24"/>
          <w:szCs w:val="24"/>
          <w:shd w:val="clear" w:color="auto" w:fill="FFFFFF"/>
        </w:rPr>
        <w:t>‐</w:t>
      </w:r>
      <w:r w:rsidRPr="00DB6C99">
        <w:rPr>
          <w:rFonts w:ascii="Garamond" w:hAnsi="Garamond" w:cs="Arial"/>
          <w:sz w:val="24"/>
          <w:szCs w:val="24"/>
          <w:shd w:val="clear" w:color="auto" w:fill="FFFFFF"/>
        </w:rPr>
        <w:t>Sánchez, I. M., Hussain, N., Aibar</w:t>
      </w:r>
      <w:r w:rsidRPr="00DB6C99">
        <w:rPr>
          <w:rFonts w:ascii="Times New Roman" w:hAnsi="Times New Roman" w:cs="Times New Roman"/>
          <w:sz w:val="24"/>
          <w:szCs w:val="24"/>
          <w:shd w:val="clear" w:color="auto" w:fill="FFFFFF"/>
        </w:rPr>
        <w:t>‐</w:t>
      </w:r>
      <w:r w:rsidRPr="00DB6C99">
        <w:rPr>
          <w:rFonts w:ascii="Garamond" w:hAnsi="Garamond" w:cs="Arial"/>
          <w:sz w:val="24"/>
          <w:szCs w:val="24"/>
          <w:shd w:val="clear" w:color="auto" w:fill="FFFFFF"/>
        </w:rPr>
        <w:t>Guzmán, C., &amp; Aibar</w:t>
      </w:r>
      <w:r w:rsidRPr="00DB6C99">
        <w:rPr>
          <w:rFonts w:ascii="Times New Roman" w:hAnsi="Times New Roman" w:cs="Times New Roman"/>
          <w:sz w:val="24"/>
          <w:szCs w:val="24"/>
          <w:shd w:val="clear" w:color="auto" w:fill="FFFFFF"/>
        </w:rPr>
        <w:t>‐</w:t>
      </w:r>
      <w:r w:rsidRPr="00DB6C99">
        <w:rPr>
          <w:rFonts w:ascii="Garamond" w:hAnsi="Garamond" w:cs="Arial"/>
          <w:sz w:val="24"/>
          <w:szCs w:val="24"/>
          <w:shd w:val="clear" w:color="auto" w:fill="FFFFFF"/>
        </w:rPr>
        <w:t>Guzmán, B. (2022). Assurance of corporate social responsibility reports: Does it reduce decoupling practices?. </w:t>
      </w:r>
      <w:r w:rsidRPr="00DB6C99">
        <w:rPr>
          <w:rFonts w:ascii="Garamond" w:hAnsi="Garamond" w:cs="Arial"/>
          <w:i/>
          <w:iCs/>
          <w:sz w:val="24"/>
          <w:szCs w:val="24"/>
          <w:shd w:val="clear" w:color="auto" w:fill="FFFFFF"/>
        </w:rPr>
        <w:t>Business Ethics, the Environment &amp; Responsibility</w:t>
      </w:r>
      <w:r w:rsidRPr="00DB6C99">
        <w:rPr>
          <w:rFonts w:ascii="Garamond" w:hAnsi="Garamond" w:cs="Arial"/>
          <w:sz w:val="24"/>
          <w:szCs w:val="24"/>
          <w:shd w:val="clear" w:color="auto" w:fill="FFFFFF"/>
        </w:rPr>
        <w:t>, </w:t>
      </w:r>
      <w:r w:rsidRPr="00DB6C99">
        <w:rPr>
          <w:rFonts w:ascii="Garamond" w:hAnsi="Garamond" w:cs="Arial"/>
          <w:i/>
          <w:iCs/>
          <w:sz w:val="24"/>
          <w:szCs w:val="24"/>
          <w:shd w:val="clear" w:color="auto" w:fill="FFFFFF"/>
        </w:rPr>
        <w:t>31</w:t>
      </w:r>
      <w:r w:rsidRPr="00DB6C99">
        <w:rPr>
          <w:rFonts w:ascii="Garamond" w:hAnsi="Garamond" w:cs="Arial"/>
          <w:sz w:val="24"/>
          <w:szCs w:val="24"/>
          <w:shd w:val="clear" w:color="auto" w:fill="FFFFFF"/>
        </w:rPr>
        <w:t>(1), 118-138.</w:t>
      </w:r>
    </w:p>
    <w:p w14:paraId="679198B1" w14:textId="13476E1F" w:rsidR="001F1D68" w:rsidRPr="00DB6C99" w:rsidRDefault="00E413C0" w:rsidP="007000C3">
      <w:pPr>
        <w:pStyle w:val="NoSpacing"/>
        <w:spacing w:before="100" w:beforeAutospacing="1" w:after="100" w:afterAutospacing="1"/>
        <w:ind w:left="540" w:hanging="540"/>
        <w:jc w:val="both"/>
        <w:rPr>
          <w:rFonts w:ascii="Garamond" w:hAnsi="Garamond" w:cs="Times New Roman"/>
          <w:sz w:val="24"/>
          <w:szCs w:val="24"/>
        </w:rPr>
      </w:pPr>
      <w:r w:rsidRPr="00DB6C99">
        <w:rPr>
          <w:rFonts w:ascii="Garamond" w:hAnsi="Garamond" w:cs="Times New Roman"/>
          <w:sz w:val="24"/>
          <w:szCs w:val="24"/>
        </w:rPr>
        <w:t>García-Sánchez, I. M., Hussain, N., Khan, S. A., &amp; Martínez-Ferrero, J. (2021). Do markets punish or reward corporate social responsibility decoupling?. </w:t>
      </w:r>
      <w:r w:rsidRPr="00DB6C99">
        <w:rPr>
          <w:rFonts w:ascii="Garamond" w:hAnsi="Garamond" w:cs="Times New Roman"/>
          <w:i/>
          <w:iCs/>
          <w:sz w:val="24"/>
          <w:szCs w:val="24"/>
        </w:rPr>
        <w:t>Business &amp; Society</w:t>
      </w:r>
      <w:r w:rsidRPr="00DB6C99">
        <w:rPr>
          <w:rFonts w:ascii="Garamond" w:hAnsi="Garamond" w:cs="Times New Roman"/>
          <w:sz w:val="24"/>
          <w:szCs w:val="24"/>
        </w:rPr>
        <w:t>, </w:t>
      </w:r>
      <w:r w:rsidRPr="00DB6C99">
        <w:rPr>
          <w:rFonts w:ascii="Garamond" w:hAnsi="Garamond" w:cs="Times New Roman"/>
          <w:i/>
          <w:iCs/>
          <w:sz w:val="24"/>
          <w:szCs w:val="24"/>
        </w:rPr>
        <w:t>60</w:t>
      </w:r>
      <w:r w:rsidRPr="00DB6C99">
        <w:rPr>
          <w:rFonts w:ascii="Garamond" w:hAnsi="Garamond" w:cs="Times New Roman"/>
          <w:sz w:val="24"/>
          <w:szCs w:val="24"/>
        </w:rPr>
        <w:t>(6), 1431-1467.</w:t>
      </w:r>
    </w:p>
    <w:p w14:paraId="0DEC962C" w14:textId="77777777" w:rsidR="001B7C96" w:rsidRPr="00DB6C99" w:rsidRDefault="001B7C96" w:rsidP="007000C3">
      <w:pPr>
        <w:pStyle w:val="NoSpacing"/>
        <w:spacing w:before="100" w:beforeAutospacing="1" w:after="100" w:afterAutospacing="1"/>
        <w:ind w:left="540" w:hanging="540"/>
        <w:jc w:val="both"/>
        <w:rPr>
          <w:rFonts w:ascii="Garamond" w:hAnsi="Garamond" w:cs="Times New Roman"/>
          <w:sz w:val="24"/>
          <w:szCs w:val="24"/>
        </w:rPr>
      </w:pPr>
      <w:r w:rsidRPr="00DB6C99">
        <w:rPr>
          <w:rFonts w:ascii="Garamond" w:hAnsi="Garamond" w:cs="Times New Roman"/>
          <w:sz w:val="24"/>
          <w:szCs w:val="24"/>
        </w:rPr>
        <w:t>Gelles, D. (2015). Social responsibility that rubs right off. New York: The New York Times.</w:t>
      </w:r>
    </w:p>
    <w:p w14:paraId="50A31279" w14:textId="56B170D3" w:rsidR="001B7C96" w:rsidRPr="00DB6C99" w:rsidRDefault="001B7C96" w:rsidP="007C1FF3">
      <w:pPr>
        <w:pStyle w:val="NoSpacing"/>
        <w:spacing w:before="100" w:beforeAutospacing="1" w:after="100" w:afterAutospacing="1"/>
        <w:ind w:left="540" w:hanging="540"/>
        <w:jc w:val="both"/>
        <w:rPr>
          <w:rFonts w:ascii="Garamond" w:hAnsi="Garamond" w:cs="Times New Roman"/>
          <w:sz w:val="24"/>
          <w:szCs w:val="24"/>
          <w:lang w:eastAsia="en-NZ"/>
        </w:rPr>
      </w:pPr>
      <w:r w:rsidRPr="00DB6C99">
        <w:rPr>
          <w:rFonts w:ascii="Garamond" w:hAnsi="Garamond" w:cs="Times New Roman"/>
          <w:sz w:val="24"/>
          <w:szCs w:val="24"/>
          <w:lang w:eastAsia="en-NZ"/>
        </w:rPr>
        <w:t>Gilligan, C. (1977). In a different voice: Women's conceptions of self and of morality. </w:t>
      </w:r>
      <w:r w:rsidRPr="00DB6C99">
        <w:rPr>
          <w:rFonts w:ascii="Garamond" w:hAnsi="Garamond" w:cs="Times New Roman"/>
          <w:i/>
          <w:iCs/>
          <w:sz w:val="24"/>
          <w:szCs w:val="24"/>
          <w:lang w:eastAsia="en-NZ"/>
        </w:rPr>
        <w:t xml:space="preserve">Harvard </w:t>
      </w:r>
      <w:r w:rsidR="00E413C0" w:rsidRPr="00DB6C99">
        <w:rPr>
          <w:rFonts w:ascii="Garamond" w:hAnsi="Garamond" w:cs="Times New Roman"/>
          <w:i/>
          <w:iCs/>
          <w:sz w:val="24"/>
          <w:szCs w:val="24"/>
          <w:lang w:eastAsia="en-NZ"/>
        </w:rPr>
        <w:t>E</w:t>
      </w:r>
      <w:r w:rsidRPr="00DB6C99">
        <w:rPr>
          <w:rFonts w:ascii="Garamond" w:hAnsi="Garamond" w:cs="Times New Roman"/>
          <w:i/>
          <w:iCs/>
          <w:sz w:val="24"/>
          <w:szCs w:val="24"/>
          <w:lang w:eastAsia="en-NZ"/>
        </w:rPr>
        <w:t xml:space="preserve">ducational </w:t>
      </w:r>
      <w:r w:rsidR="00E413C0" w:rsidRPr="00DB6C99">
        <w:rPr>
          <w:rFonts w:ascii="Garamond" w:hAnsi="Garamond" w:cs="Times New Roman"/>
          <w:i/>
          <w:iCs/>
          <w:sz w:val="24"/>
          <w:szCs w:val="24"/>
          <w:lang w:eastAsia="en-NZ"/>
        </w:rPr>
        <w:t>R</w:t>
      </w:r>
      <w:r w:rsidRPr="00DB6C99">
        <w:rPr>
          <w:rFonts w:ascii="Garamond" w:hAnsi="Garamond" w:cs="Times New Roman"/>
          <w:i/>
          <w:iCs/>
          <w:sz w:val="24"/>
          <w:szCs w:val="24"/>
          <w:lang w:eastAsia="en-NZ"/>
        </w:rPr>
        <w:t>eview, 47</w:t>
      </w:r>
      <w:r w:rsidRPr="00DB6C99">
        <w:rPr>
          <w:rFonts w:ascii="Garamond" w:hAnsi="Garamond" w:cs="Times New Roman"/>
          <w:sz w:val="24"/>
          <w:szCs w:val="24"/>
          <w:lang w:eastAsia="en-NZ"/>
        </w:rPr>
        <w:t>(4), 481-517.</w:t>
      </w:r>
    </w:p>
    <w:p w14:paraId="1B087B75" w14:textId="77777777" w:rsidR="001B7C96" w:rsidRPr="00DB6C99" w:rsidRDefault="001B7C96" w:rsidP="007C1FF3">
      <w:pPr>
        <w:pStyle w:val="NoSpacing"/>
        <w:spacing w:before="100" w:beforeAutospacing="1" w:after="100" w:afterAutospacing="1"/>
        <w:ind w:left="540" w:hanging="540"/>
        <w:jc w:val="both"/>
        <w:rPr>
          <w:rFonts w:ascii="Garamond" w:hAnsi="Garamond" w:cs="Times New Roman"/>
          <w:sz w:val="24"/>
          <w:szCs w:val="24"/>
          <w:lang w:eastAsia="en-NZ"/>
        </w:rPr>
      </w:pPr>
      <w:r w:rsidRPr="00DB6C99">
        <w:rPr>
          <w:rFonts w:ascii="Garamond" w:hAnsi="Garamond" w:cs="Times New Roman"/>
          <w:sz w:val="24"/>
          <w:szCs w:val="24"/>
          <w:lang w:eastAsia="en-NZ"/>
        </w:rPr>
        <w:t>Gilligan, C., 1982. In a Different Voice: Psychological Theory and Women's Development. Harvard University Press, Cambridge, MA.</w:t>
      </w:r>
    </w:p>
    <w:p w14:paraId="2F7506A1" w14:textId="77777777" w:rsidR="001B7C96" w:rsidRPr="00DB6C99" w:rsidRDefault="001B7C96" w:rsidP="007000C3">
      <w:pPr>
        <w:pStyle w:val="NoSpacing"/>
        <w:spacing w:before="100" w:beforeAutospacing="1" w:after="100" w:afterAutospacing="1"/>
        <w:ind w:left="540" w:hanging="540"/>
        <w:jc w:val="both"/>
        <w:rPr>
          <w:rFonts w:ascii="Garamond" w:hAnsi="Garamond" w:cs="Times New Roman"/>
          <w:sz w:val="24"/>
          <w:szCs w:val="24"/>
        </w:rPr>
      </w:pPr>
      <w:r w:rsidRPr="00DB6C99">
        <w:rPr>
          <w:rFonts w:ascii="Garamond" w:hAnsi="Garamond" w:cs="Times New Roman"/>
          <w:sz w:val="24"/>
          <w:szCs w:val="24"/>
        </w:rPr>
        <w:t xml:space="preserve">Goldenhar, L. M., Swanson, N. G., Hurrell Jr, J. J., Ruder, A., &amp; Deddens, J. (1998). Stressors and adverse outcomes for female construction workers. </w:t>
      </w:r>
      <w:r w:rsidRPr="00DB6C99">
        <w:rPr>
          <w:rFonts w:ascii="Garamond" w:hAnsi="Garamond" w:cs="Times New Roman"/>
          <w:i/>
          <w:sz w:val="24"/>
          <w:szCs w:val="24"/>
        </w:rPr>
        <w:t>Journal of Occupational Health Psychology</w:t>
      </w:r>
      <w:r w:rsidRPr="00DB6C99">
        <w:rPr>
          <w:rFonts w:ascii="Garamond" w:hAnsi="Garamond" w:cs="Times New Roman"/>
          <w:sz w:val="24"/>
          <w:szCs w:val="24"/>
        </w:rPr>
        <w:t>, 3(1), 19.</w:t>
      </w:r>
    </w:p>
    <w:p w14:paraId="378C2123" w14:textId="77777777" w:rsidR="001B7C96" w:rsidRPr="00DB6C99" w:rsidRDefault="001B7C96" w:rsidP="007000C3">
      <w:pPr>
        <w:pStyle w:val="NoSpacing"/>
        <w:spacing w:before="100" w:beforeAutospacing="1" w:after="100" w:afterAutospacing="1"/>
        <w:ind w:left="540" w:hanging="540"/>
        <w:jc w:val="both"/>
        <w:rPr>
          <w:rFonts w:ascii="Garamond" w:hAnsi="Garamond" w:cs="Times New Roman"/>
          <w:sz w:val="24"/>
          <w:szCs w:val="24"/>
        </w:rPr>
      </w:pPr>
      <w:r w:rsidRPr="00DB6C99">
        <w:rPr>
          <w:rFonts w:ascii="Garamond" w:hAnsi="Garamond" w:cs="Times New Roman"/>
          <w:sz w:val="24"/>
          <w:szCs w:val="24"/>
        </w:rPr>
        <w:t xml:space="preserve">Graafland, J., &amp; Smid, H. (2019). Decoupling among CSR policies, programs, and impacts: An empirical study. </w:t>
      </w:r>
      <w:r w:rsidRPr="00DB6C99">
        <w:rPr>
          <w:rFonts w:ascii="Garamond" w:hAnsi="Garamond" w:cs="Times New Roman"/>
          <w:i/>
          <w:iCs/>
          <w:sz w:val="24"/>
          <w:szCs w:val="24"/>
        </w:rPr>
        <w:t>Business &amp; Society</w:t>
      </w:r>
      <w:r w:rsidRPr="00DB6C99">
        <w:rPr>
          <w:rFonts w:ascii="Garamond" w:hAnsi="Garamond" w:cs="Times New Roman"/>
          <w:sz w:val="24"/>
          <w:szCs w:val="24"/>
        </w:rPr>
        <w:t xml:space="preserve">, </w:t>
      </w:r>
      <w:r w:rsidRPr="00DB6C99">
        <w:rPr>
          <w:rFonts w:ascii="Garamond" w:hAnsi="Garamond" w:cs="Times New Roman"/>
          <w:i/>
          <w:iCs/>
          <w:sz w:val="24"/>
          <w:szCs w:val="24"/>
        </w:rPr>
        <w:t>58</w:t>
      </w:r>
      <w:r w:rsidRPr="00DB6C99">
        <w:rPr>
          <w:rFonts w:ascii="Garamond" w:hAnsi="Garamond" w:cs="Times New Roman"/>
          <w:sz w:val="24"/>
          <w:szCs w:val="24"/>
        </w:rPr>
        <w:t>(2), 231-267.</w:t>
      </w:r>
    </w:p>
    <w:p w14:paraId="15DFFC9B" w14:textId="77777777" w:rsidR="001B7C96" w:rsidRPr="00DB6C99" w:rsidRDefault="001B7C96" w:rsidP="007000C3">
      <w:pPr>
        <w:pStyle w:val="ListParagraph"/>
        <w:ind w:left="540" w:hanging="540"/>
        <w:rPr>
          <w:rFonts w:ascii="Garamond" w:hAnsi="Garamond" w:cs="Times New Roman"/>
          <w:sz w:val="24"/>
          <w:szCs w:val="24"/>
        </w:rPr>
      </w:pPr>
      <w:r w:rsidRPr="00DB6C99">
        <w:rPr>
          <w:rFonts w:ascii="Garamond" w:hAnsi="Garamond" w:cs="Times New Roman"/>
          <w:sz w:val="24"/>
          <w:szCs w:val="24"/>
          <w:lang w:val="de-DE"/>
        </w:rPr>
        <w:t xml:space="preserve">Grewal, J., Riedl, E. J., &amp; Serafeim, G. (2019). </w:t>
      </w:r>
      <w:r w:rsidRPr="00DB6C99">
        <w:rPr>
          <w:rFonts w:ascii="Garamond" w:hAnsi="Garamond" w:cs="Times New Roman"/>
          <w:sz w:val="24"/>
          <w:szCs w:val="24"/>
        </w:rPr>
        <w:t>Market reaction to mandatory nonfinancial disclosure. </w:t>
      </w:r>
      <w:r w:rsidRPr="00DB6C99">
        <w:rPr>
          <w:rFonts w:ascii="Garamond" w:hAnsi="Garamond" w:cs="Times New Roman"/>
          <w:i/>
          <w:sz w:val="24"/>
          <w:szCs w:val="24"/>
        </w:rPr>
        <w:t>Management Science, 65</w:t>
      </w:r>
      <w:r w:rsidRPr="00DB6C99">
        <w:rPr>
          <w:rFonts w:ascii="Garamond" w:hAnsi="Garamond" w:cs="Times New Roman"/>
          <w:sz w:val="24"/>
          <w:szCs w:val="24"/>
        </w:rPr>
        <w:t>(7), 3061-3084.</w:t>
      </w:r>
    </w:p>
    <w:p w14:paraId="4CEA8553" w14:textId="77777777" w:rsidR="001B7C96" w:rsidRPr="00DB6C99" w:rsidRDefault="001B7C96" w:rsidP="007000C3">
      <w:pPr>
        <w:pStyle w:val="NoSpacing"/>
        <w:spacing w:before="100" w:beforeAutospacing="1" w:after="100" w:afterAutospacing="1"/>
        <w:ind w:left="540" w:hanging="540"/>
        <w:jc w:val="both"/>
        <w:rPr>
          <w:rFonts w:ascii="Garamond" w:hAnsi="Garamond" w:cs="Times New Roman"/>
          <w:sz w:val="24"/>
          <w:szCs w:val="24"/>
        </w:rPr>
      </w:pPr>
      <w:r w:rsidRPr="00DB6C99">
        <w:rPr>
          <w:rFonts w:ascii="Garamond" w:hAnsi="Garamond" w:cs="Times New Roman"/>
          <w:sz w:val="24"/>
          <w:szCs w:val="24"/>
        </w:rPr>
        <w:t xml:space="preserve">Gul, F. A., Srinidhi, B., &amp; Ng, A. C. (2011). Does board gender diversity improve the informativeness of stock prices?. </w:t>
      </w:r>
      <w:r w:rsidRPr="00DB6C99">
        <w:rPr>
          <w:rFonts w:ascii="Garamond" w:hAnsi="Garamond" w:cs="Times New Roman"/>
          <w:i/>
          <w:sz w:val="24"/>
          <w:szCs w:val="24"/>
        </w:rPr>
        <w:t>Journal of Accounting and Economics</w:t>
      </w:r>
      <w:r w:rsidRPr="00DB6C99">
        <w:rPr>
          <w:rFonts w:ascii="Garamond" w:hAnsi="Garamond" w:cs="Times New Roman"/>
          <w:sz w:val="24"/>
          <w:szCs w:val="24"/>
        </w:rPr>
        <w:t>, 51(3), 314-338.</w:t>
      </w:r>
    </w:p>
    <w:p w14:paraId="5C0991C6" w14:textId="70EA76C9" w:rsidR="001B7C96" w:rsidRPr="00DB6C99" w:rsidRDefault="001B7C96" w:rsidP="007C1FF3">
      <w:pPr>
        <w:pStyle w:val="NoSpacing"/>
        <w:spacing w:before="100" w:beforeAutospacing="1" w:after="100" w:afterAutospacing="1"/>
        <w:ind w:left="540" w:hanging="540"/>
        <w:jc w:val="both"/>
        <w:rPr>
          <w:rFonts w:ascii="Garamond" w:hAnsi="Garamond" w:cs="Times New Roman"/>
          <w:sz w:val="24"/>
          <w:szCs w:val="24"/>
          <w:lang w:eastAsia="en-NZ"/>
        </w:rPr>
      </w:pPr>
      <w:r w:rsidRPr="00DB6C99">
        <w:rPr>
          <w:rFonts w:ascii="Garamond" w:hAnsi="Garamond" w:cs="Times New Roman"/>
          <w:sz w:val="24"/>
          <w:szCs w:val="24"/>
          <w:lang w:eastAsia="en-NZ"/>
        </w:rPr>
        <w:lastRenderedPageBreak/>
        <w:t xml:space="preserve">Gul, F.A., Srinidhi, B., Tsui, J.S.L., </w:t>
      </w:r>
      <w:r w:rsidR="005F6E78" w:rsidRPr="00DB6C99">
        <w:rPr>
          <w:rFonts w:ascii="Garamond" w:hAnsi="Garamond" w:cs="Times New Roman"/>
          <w:sz w:val="24"/>
          <w:szCs w:val="24"/>
          <w:lang w:eastAsia="en-NZ"/>
        </w:rPr>
        <w:t>(</w:t>
      </w:r>
      <w:r w:rsidRPr="00DB6C99">
        <w:rPr>
          <w:rFonts w:ascii="Garamond" w:hAnsi="Garamond" w:cs="Times New Roman"/>
          <w:sz w:val="24"/>
          <w:szCs w:val="24"/>
          <w:lang w:eastAsia="en-NZ"/>
        </w:rPr>
        <w:t>2008</w:t>
      </w:r>
      <w:r w:rsidR="005F6E78" w:rsidRPr="00DB6C99">
        <w:rPr>
          <w:rFonts w:ascii="Garamond" w:hAnsi="Garamond" w:cs="Times New Roman"/>
          <w:sz w:val="24"/>
          <w:szCs w:val="24"/>
          <w:lang w:eastAsia="en-NZ"/>
        </w:rPr>
        <w:t>)</w:t>
      </w:r>
      <w:r w:rsidRPr="00DB6C99">
        <w:rPr>
          <w:rFonts w:ascii="Garamond" w:hAnsi="Garamond" w:cs="Times New Roman"/>
          <w:sz w:val="24"/>
          <w:szCs w:val="24"/>
          <w:lang w:eastAsia="en-NZ"/>
        </w:rPr>
        <w:t>. Board diversity and the demand for higher audit effort. Working Paper. (</w:t>
      </w:r>
      <w:hyperlink r:id="rId11" w:history="1">
        <w:r w:rsidRPr="00DB6C99">
          <w:rPr>
            <w:rFonts w:ascii="Garamond" w:hAnsi="Garamond" w:cs="Times New Roman"/>
            <w:sz w:val="24"/>
            <w:szCs w:val="24"/>
            <w:lang w:eastAsia="en-NZ"/>
          </w:rPr>
          <w:t>http://ssrn.com/paper=1359450S)</w:t>
        </w:r>
      </w:hyperlink>
      <w:r w:rsidR="009241D9" w:rsidRPr="00DB6C99">
        <w:rPr>
          <w:rFonts w:ascii="Garamond" w:hAnsi="Garamond" w:cs="Times New Roman"/>
          <w:sz w:val="24"/>
          <w:szCs w:val="24"/>
          <w:lang w:eastAsia="en-NZ"/>
        </w:rPr>
        <w:t>.</w:t>
      </w:r>
    </w:p>
    <w:p w14:paraId="6DDBE458" w14:textId="61E19C15" w:rsidR="009241D9" w:rsidRPr="00DB6C99" w:rsidRDefault="009241D9" w:rsidP="007C1FF3">
      <w:pPr>
        <w:pStyle w:val="NoSpacing"/>
        <w:spacing w:before="100" w:beforeAutospacing="1" w:after="100" w:afterAutospacing="1"/>
        <w:ind w:left="540" w:hanging="540"/>
        <w:jc w:val="both"/>
        <w:rPr>
          <w:rFonts w:ascii="Garamond" w:hAnsi="Garamond" w:cs="Arial"/>
          <w:sz w:val="24"/>
          <w:szCs w:val="24"/>
          <w:shd w:val="clear" w:color="auto" w:fill="FFFFFF"/>
        </w:rPr>
      </w:pPr>
      <w:r w:rsidRPr="00DB6C99">
        <w:rPr>
          <w:rFonts w:ascii="Garamond" w:hAnsi="Garamond" w:cs="Arial"/>
          <w:sz w:val="24"/>
          <w:szCs w:val="24"/>
          <w:shd w:val="clear" w:color="auto" w:fill="FFFFFF"/>
        </w:rPr>
        <w:t>Gull, A. A., Hussain, N., Khan, S. A., Khan, Z., &amp; Saeed, A. (2022). Governing Corporate Social Responsibility Decoupling: The Effect of the Governance Committee on Corporate Social Responsibility Decoupling. </w:t>
      </w:r>
      <w:r w:rsidRPr="00DB6C99">
        <w:rPr>
          <w:rFonts w:ascii="Garamond" w:hAnsi="Garamond" w:cs="Arial"/>
          <w:i/>
          <w:iCs/>
          <w:sz w:val="24"/>
          <w:szCs w:val="24"/>
          <w:shd w:val="clear" w:color="auto" w:fill="FFFFFF"/>
        </w:rPr>
        <w:t>Journal of Business Ethics</w:t>
      </w:r>
      <w:r w:rsidRPr="00DB6C99">
        <w:rPr>
          <w:rFonts w:ascii="Garamond" w:hAnsi="Garamond" w:cs="Arial"/>
          <w:sz w:val="24"/>
          <w:szCs w:val="24"/>
          <w:shd w:val="clear" w:color="auto" w:fill="FFFFFF"/>
        </w:rPr>
        <w:t xml:space="preserve">, 1-26. </w:t>
      </w:r>
      <w:hyperlink r:id="rId12" w:history="1">
        <w:r w:rsidRPr="00DB6C99">
          <w:rPr>
            <w:rStyle w:val="Hyperlink"/>
            <w:rFonts w:ascii="Garamond" w:hAnsi="Garamond" w:cs="Arial"/>
            <w:color w:val="auto"/>
            <w:sz w:val="24"/>
            <w:szCs w:val="24"/>
            <w:shd w:val="clear" w:color="auto" w:fill="FFFFFF"/>
          </w:rPr>
          <w:t>https://doi.org/10.1007/s10551-022-05181-3</w:t>
        </w:r>
      </w:hyperlink>
      <w:r w:rsidRPr="00DB6C99">
        <w:rPr>
          <w:rFonts w:ascii="Garamond" w:hAnsi="Garamond" w:cs="Arial"/>
          <w:sz w:val="24"/>
          <w:szCs w:val="24"/>
          <w:shd w:val="clear" w:color="auto" w:fill="FFFFFF"/>
        </w:rPr>
        <w:t>.</w:t>
      </w:r>
    </w:p>
    <w:p w14:paraId="1529F435" w14:textId="34F48EA8" w:rsidR="002806E6" w:rsidRPr="00DB6C99" w:rsidRDefault="002806E6" w:rsidP="007C1FF3">
      <w:pPr>
        <w:pStyle w:val="NoSpacing"/>
        <w:spacing w:before="100" w:beforeAutospacing="1" w:after="100" w:afterAutospacing="1"/>
        <w:ind w:left="540" w:hanging="540"/>
        <w:jc w:val="both"/>
        <w:rPr>
          <w:rFonts w:ascii="Garamond" w:hAnsi="Garamond" w:cs="Times New Roman"/>
          <w:sz w:val="24"/>
          <w:szCs w:val="24"/>
          <w:lang w:eastAsia="en-NZ"/>
        </w:rPr>
      </w:pPr>
      <w:r w:rsidRPr="00DB6C99">
        <w:rPr>
          <w:rFonts w:ascii="Garamond" w:hAnsi="Garamond" w:cs="Arial"/>
          <w:sz w:val="24"/>
          <w:szCs w:val="24"/>
          <w:shd w:val="clear" w:color="auto" w:fill="FFFFFF"/>
        </w:rPr>
        <w:t>Gull, A. A., Atif, M., &amp; Hussain, N. (2022). Board gender composition and waste management: cross-country evidence. </w:t>
      </w:r>
      <w:r w:rsidRPr="00DB6C99">
        <w:rPr>
          <w:rFonts w:ascii="Garamond" w:hAnsi="Garamond" w:cs="Arial"/>
          <w:i/>
          <w:iCs/>
          <w:sz w:val="24"/>
          <w:szCs w:val="24"/>
          <w:shd w:val="clear" w:color="auto" w:fill="FFFFFF"/>
        </w:rPr>
        <w:t>The British Accounting Review</w:t>
      </w:r>
      <w:r w:rsidRPr="00DB6C99">
        <w:rPr>
          <w:rFonts w:ascii="Garamond" w:hAnsi="Garamond" w:cs="Arial"/>
          <w:sz w:val="24"/>
          <w:szCs w:val="24"/>
          <w:shd w:val="clear" w:color="auto" w:fill="FFFFFF"/>
        </w:rPr>
        <w:t xml:space="preserve">, 101097. </w:t>
      </w:r>
      <w:hyperlink r:id="rId13" w:tgtFrame="_blank" w:tooltip="Persistent link using digital object identifier" w:history="1">
        <w:r w:rsidRPr="00DB6C99">
          <w:rPr>
            <w:rStyle w:val="Hyperlink"/>
            <w:rFonts w:ascii="Garamond" w:hAnsi="Garamond" w:cs="Arial"/>
            <w:color w:val="auto"/>
            <w:sz w:val="21"/>
            <w:szCs w:val="21"/>
          </w:rPr>
          <w:t>https://doi.org/10.1016/j.bar.2022.101097</w:t>
        </w:r>
      </w:hyperlink>
    </w:p>
    <w:p w14:paraId="762A43D9" w14:textId="77777777" w:rsidR="001B7C96" w:rsidRPr="00DB6C99" w:rsidRDefault="001B7C96" w:rsidP="007000C3">
      <w:pPr>
        <w:pStyle w:val="NoSpacing"/>
        <w:spacing w:before="100" w:beforeAutospacing="1" w:after="100" w:afterAutospacing="1"/>
        <w:ind w:left="540" w:hanging="540"/>
        <w:jc w:val="both"/>
        <w:rPr>
          <w:rFonts w:ascii="Garamond" w:hAnsi="Garamond" w:cs="Times New Roman"/>
          <w:sz w:val="24"/>
          <w:szCs w:val="24"/>
          <w:lang w:eastAsia="en-NZ"/>
        </w:rPr>
      </w:pPr>
      <w:r w:rsidRPr="00DB6C99">
        <w:rPr>
          <w:rFonts w:ascii="Garamond" w:hAnsi="Garamond" w:cs="Times New Roman"/>
          <w:sz w:val="24"/>
          <w:szCs w:val="24"/>
          <w:lang w:eastAsia="en-NZ"/>
        </w:rPr>
        <w:t xml:space="preserve">Gull, A. A., Nekhili, M., Nagati, H., &amp; Chtioui, T. (2018). Beyond gender diversity: How specific attributes of female directors affect earnings management. </w:t>
      </w:r>
      <w:r w:rsidRPr="00DB6C99">
        <w:rPr>
          <w:rFonts w:ascii="Garamond" w:hAnsi="Garamond" w:cs="Times New Roman"/>
          <w:i/>
          <w:sz w:val="24"/>
          <w:szCs w:val="24"/>
          <w:lang w:eastAsia="en-NZ"/>
        </w:rPr>
        <w:t>The British Accounting Review</w:t>
      </w:r>
      <w:r w:rsidRPr="00DB6C99">
        <w:rPr>
          <w:rFonts w:ascii="Garamond" w:hAnsi="Garamond" w:cs="Times New Roman"/>
          <w:sz w:val="24"/>
          <w:szCs w:val="24"/>
          <w:lang w:eastAsia="en-NZ"/>
        </w:rPr>
        <w:t>, 50(3), 255-274.</w:t>
      </w:r>
    </w:p>
    <w:p w14:paraId="352329C6" w14:textId="77777777" w:rsidR="001B7C96" w:rsidRPr="00DB6C99" w:rsidRDefault="001B7C96" w:rsidP="007000C3">
      <w:pPr>
        <w:spacing w:before="100" w:beforeAutospacing="1" w:after="100" w:afterAutospacing="1" w:line="240" w:lineRule="auto"/>
        <w:ind w:left="540" w:hanging="540"/>
        <w:jc w:val="both"/>
        <w:rPr>
          <w:rFonts w:ascii="Garamond" w:hAnsi="Garamond" w:cs="Times New Roman"/>
          <w:sz w:val="24"/>
          <w:szCs w:val="24"/>
          <w:shd w:val="clear" w:color="auto" w:fill="FFFFFF"/>
        </w:rPr>
      </w:pPr>
      <w:r w:rsidRPr="00DB6C99">
        <w:rPr>
          <w:rFonts w:ascii="Garamond" w:hAnsi="Garamond" w:cs="Times New Roman"/>
          <w:sz w:val="24"/>
          <w:szCs w:val="24"/>
          <w:shd w:val="clear" w:color="auto" w:fill="FFFFFF"/>
        </w:rPr>
        <w:t>Hawn, O., &amp; Ioannou, I. (2016). Mind the gap: The interplay between external and internal actions in the case of corporate social responsibility. </w:t>
      </w:r>
      <w:r w:rsidRPr="00DB6C99">
        <w:rPr>
          <w:rFonts w:ascii="Garamond" w:hAnsi="Garamond" w:cs="Times New Roman"/>
          <w:i/>
          <w:iCs/>
          <w:sz w:val="24"/>
          <w:szCs w:val="24"/>
          <w:shd w:val="clear" w:color="auto" w:fill="FFFFFF"/>
        </w:rPr>
        <w:t>Strategic Management Journal</w:t>
      </w:r>
      <w:r w:rsidRPr="00DB6C99">
        <w:rPr>
          <w:rFonts w:ascii="Garamond" w:hAnsi="Garamond" w:cs="Times New Roman"/>
          <w:sz w:val="24"/>
          <w:szCs w:val="24"/>
          <w:shd w:val="clear" w:color="auto" w:fill="FFFFFF"/>
        </w:rPr>
        <w:t>, </w:t>
      </w:r>
      <w:r w:rsidRPr="00DB6C99">
        <w:rPr>
          <w:rFonts w:ascii="Garamond" w:hAnsi="Garamond" w:cs="Times New Roman"/>
          <w:i/>
          <w:iCs/>
          <w:sz w:val="24"/>
          <w:szCs w:val="24"/>
          <w:shd w:val="clear" w:color="auto" w:fill="FFFFFF"/>
        </w:rPr>
        <w:t>37</w:t>
      </w:r>
      <w:r w:rsidRPr="00DB6C99">
        <w:rPr>
          <w:rFonts w:ascii="Garamond" w:hAnsi="Garamond" w:cs="Times New Roman"/>
          <w:sz w:val="24"/>
          <w:szCs w:val="24"/>
          <w:shd w:val="clear" w:color="auto" w:fill="FFFFFF"/>
        </w:rPr>
        <w:t>(13), 2569-2588.</w:t>
      </w:r>
    </w:p>
    <w:p w14:paraId="21064F6C" w14:textId="77777777" w:rsidR="001B7C96" w:rsidRPr="00DB6C99" w:rsidRDefault="001B7C96" w:rsidP="007000C3">
      <w:pPr>
        <w:spacing w:before="100" w:beforeAutospacing="1" w:after="100" w:afterAutospacing="1" w:line="240" w:lineRule="auto"/>
        <w:ind w:left="540" w:hanging="540"/>
        <w:jc w:val="both"/>
        <w:rPr>
          <w:rFonts w:ascii="Garamond" w:hAnsi="Garamond" w:cs="Times New Roman"/>
          <w:sz w:val="24"/>
          <w:szCs w:val="24"/>
          <w:lang w:val="en-GB"/>
        </w:rPr>
      </w:pPr>
      <w:r w:rsidRPr="00DB6C99">
        <w:rPr>
          <w:rFonts w:ascii="Garamond" w:hAnsi="Garamond" w:cs="Times New Roman"/>
          <w:sz w:val="24"/>
          <w:szCs w:val="24"/>
          <w:lang w:val="en-GB"/>
        </w:rPr>
        <w:t xml:space="preserve">Heckman, J.J. (1976). The common structure of statistical models of truncation, sample selection and limited dependent variables and a simple estimator for such models. </w:t>
      </w:r>
      <w:r w:rsidRPr="00DB6C99">
        <w:rPr>
          <w:rFonts w:ascii="Garamond" w:hAnsi="Garamond" w:cs="Times New Roman"/>
          <w:i/>
          <w:iCs/>
          <w:sz w:val="24"/>
          <w:szCs w:val="24"/>
          <w:lang w:val="en-GB"/>
        </w:rPr>
        <w:t xml:space="preserve">Annals of Economic and Social Measurement, </w:t>
      </w:r>
      <w:r w:rsidRPr="00DB6C99">
        <w:rPr>
          <w:rFonts w:ascii="Garamond" w:hAnsi="Garamond" w:cs="Times New Roman"/>
          <w:i/>
          <w:sz w:val="24"/>
          <w:szCs w:val="24"/>
          <w:lang w:val="en-GB"/>
        </w:rPr>
        <w:t>5</w:t>
      </w:r>
      <w:r w:rsidRPr="00DB6C99">
        <w:rPr>
          <w:rFonts w:ascii="Garamond" w:hAnsi="Garamond" w:cs="Times New Roman"/>
          <w:sz w:val="24"/>
          <w:szCs w:val="24"/>
          <w:lang w:val="en-GB"/>
        </w:rPr>
        <w:t>(4), 475-492.</w:t>
      </w:r>
    </w:p>
    <w:p w14:paraId="0A21A872" w14:textId="0F62989A" w:rsidR="001B7C96" w:rsidRPr="00DB6C99" w:rsidRDefault="001B7C96" w:rsidP="007000C3">
      <w:pPr>
        <w:spacing w:before="100" w:beforeAutospacing="1" w:after="100" w:afterAutospacing="1" w:line="240" w:lineRule="auto"/>
        <w:ind w:left="540" w:hanging="540"/>
        <w:jc w:val="both"/>
        <w:rPr>
          <w:rFonts w:ascii="Garamond" w:hAnsi="Garamond" w:cs="Times New Roman"/>
          <w:sz w:val="24"/>
          <w:szCs w:val="24"/>
          <w:lang w:eastAsia="en-NZ"/>
        </w:rPr>
      </w:pPr>
      <w:r w:rsidRPr="00DB6C99">
        <w:rPr>
          <w:rFonts w:ascii="Garamond" w:hAnsi="Garamond" w:cs="Times New Roman"/>
          <w:sz w:val="24"/>
          <w:szCs w:val="24"/>
          <w:lang w:eastAsia="en-NZ"/>
        </w:rPr>
        <w:t xml:space="preserve">Hussain, N., Rigoni, U., &amp; Orij, R. P. (2018). Corporate governance and sustainability performance: Analysis of triple bottom line performance. </w:t>
      </w:r>
      <w:r w:rsidRPr="00DB6C99">
        <w:rPr>
          <w:rFonts w:ascii="Garamond" w:hAnsi="Garamond" w:cs="Times New Roman"/>
          <w:i/>
          <w:sz w:val="24"/>
          <w:szCs w:val="24"/>
          <w:lang w:eastAsia="en-NZ"/>
        </w:rPr>
        <w:t>Journal of Business Ethics</w:t>
      </w:r>
      <w:r w:rsidRPr="00DB6C99">
        <w:rPr>
          <w:rFonts w:ascii="Garamond" w:hAnsi="Garamond" w:cs="Times New Roman"/>
          <w:sz w:val="24"/>
          <w:szCs w:val="24"/>
          <w:lang w:eastAsia="en-NZ"/>
        </w:rPr>
        <w:t>, 149(2), 411-432.</w:t>
      </w:r>
    </w:p>
    <w:p w14:paraId="5484F920" w14:textId="3A18025E" w:rsidR="00187BC9" w:rsidRPr="00DB6C99" w:rsidRDefault="00187BC9" w:rsidP="007000C3">
      <w:pPr>
        <w:spacing w:before="100" w:beforeAutospacing="1" w:after="100" w:afterAutospacing="1" w:line="240" w:lineRule="auto"/>
        <w:ind w:left="540" w:hanging="540"/>
        <w:jc w:val="both"/>
        <w:rPr>
          <w:rFonts w:ascii="Garamond" w:hAnsi="Garamond" w:cs="Arial"/>
          <w:sz w:val="24"/>
          <w:szCs w:val="24"/>
          <w:shd w:val="clear" w:color="auto" w:fill="FFFFFF"/>
        </w:rPr>
      </w:pPr>
      <w:r w:rsidRPr="00DB6C99">
        <w:rPr>
          <w:rFonts w:ascii="Garamond" w:hAnsi="Garamond" w:cs="Arial"/>
          <w:sz w:val="24"/>
          <w:szCs w:val="24"/>
          <w:shd w:val="clear" w:color="auto" w:fill="FFFFFF"/>
        </w:rPr>
        <w:t>Hussain, N., García</w:t>
      </w:r>
      <w:r w:rsidRPr="00DB6C99">
        <w:rPr>
          <w:rFonts w:ascii="Times New Roman" w:hAnsi="Times New Roman" w:cs="Times New Roman"/>
          <w:sz w:val="24"/>
          <w:szCs w:val="24"/>
          <w:shd w:val="clear" w:color="auto" w:fill="FFFFFF"/>
        </w:rPr>
        <w:t>‐</w:t>
      </w:r>
      <w:r w:rsidRPr="00DB6C99">
        <w:rPr>
          <w:rFonts w:ascii="Garamond" w:hAnsi="Garamond" w:cs="Arial"/>
          <w:sz w:val="24"/>
          <w:szCs w:val="24"/>
          <w:shd w:val="clear" w:color="auto" w:fill="FFFFFF"/>
        </w:rPr>
        <w:t>Sánchez, I. M., Khan, S. A., Khan, Z., &amp; Martínez</w:t>
      </w:r>
      <w:r w:rsidRPr="00DB6C99">
        <w:rPr>
          <w:rFonts w:ascii="Times New Roman" w:hAnsi="Times New Roman" w:cs="Times New Roman"/>
          <w:sz w:val="24"/>
          <w:szCs w:val="24"/>
          <w:shd w:val="clear" w:color="auto" w:fill="FFFFFF"/>
        </w:rPr>
        <w:t>‐</w:t>
      </w:r>
      <w:r w:rsidRPr="00DB6C99">
        <w:rPr>
          <w:rFonts w:ascii="Garamond" w:hAnsi="Garamond" w:cs="Arial"/>
          <w:sz w:val="24"/>
          <w:szCs w:val="24"/>
          <w:shd w:val="clear" w:color="auto" w:fill="FFFFFF"/>
        </w:rPr>
        <w:t>Ferrero, J. (2021). Connecting the Dots: Do Financial Analysts Help Corporate Boards Improve Corporate Social Responsibility?. </w:t>
      </w:r>
      <w:r w:rsidRPr="00DB6C99">
        <w:rPr>
          <w:rFonts w:ascii="Garamond" w:hAnsi="Garamond" w:cs="Arial"/>
          <w:i/>
          <w:iCs/>
          <w:sz w:val="24"/>
          <w:szCs w:val="24"/>
          <w:shd w:val="clear" w:color="auto" w:fill="FFFFFF"/>
        </w:rPr>
        <w:t>British Journal of Management</w:t>
      </w:r>
      <w:r w:rsidRPr="00DB6C99">
        <w:rPr>
          <w:rFonts w:ascii="Garamond" w:hAnsi="Garamond" w:cs="Arial"/>
          <w:sz w:val="24"/>
          <w:szCs w:val="24"/>
          <w:shd w:val="clear" w:color="auto" w:fill="FFFFFF"/>
        </w:rPr>
        <w:t>.</w:t>
      </w:r>
      <w:r w:rsidRPr="00DB6C99">
        <w:t xml:space="preserve"> </w:t>
      </w:r>
      <w:hyperlink r:id="rId14" w:history="1">
        <w:r w:rsidRPr="00DB6C99">
          <w:rPr>
            <w:rFonts w:ascii="Garamond" w:hAnsi="Garamond"/>
            <w:sz w:val="24"/>
            <w:szCs w:val="24"/>
          </w:rPr>
          <w:t>https://doi.org/10.1111/1467-8551.12586</w:t>
        </w:r>
      </w:hyperlink>
    </w:p>
    <w:p w14:paraId="4847D875" w14:textId="77777777" w:rsidR="001B7C96" w:rsidRPr="00DB6C99" w:rsidRDefault="001B7C96" w:rsidP="007000C3">
      <w:pPr>
        <w:pStyle w:val="NoSpacing"/>
        <w:spacing w:before="100" w:beforeAutospacing="1" w:after="100" w:afterAutospacing="1"/>
        <w:ind w:left="540" w:hanging="540"/>
        <w:jc w:val="both"/>
        <w:rPr>
          <w:rFonts w:ascii="Garamond" w:hAnsi="Garamond" w:cs="Times New Roman"/>
          <w:sz w:val="24"/>
          <w:szCs w:val="24"/>
          <w:lang w:eastAsia="en-NZ"/>
        </w:rPr>
      </w:pPr>
      <w:r w:rsidRPr="00DB6C99">
        <w:rPr>
          <w:rFonts w:ascii="Garamond" w:hAnsi="Garamond" w:cs="Times New Roman"/>
          <w:sz w:val="24"/>
          <w:szCs w:val="24"/>
          <w:lang w:eastAsia="en-NZ"/>
        </w:rPr>
        <w:t xml:space="preserve">Ibrahim, N., Angelidis, J., &amp; Tomic, I. M. (2009). Managers’ attitudes toward codes of ethics: are there gender differences?. </w:t>
      </w:r>
      <w:r w:rsidRPr="00DB6C99">
        <w:rPr>
          <w:rFonts w:ascii="Garamond" w:hAnsi="Garamond" w:cs="Times New Roman"/>
          <w:i/>
          <w:sz w:val="24"/>
          <w:szCs w:val="24"/>
          <w:lang w:eastAsia="en-NZ"/>
        </w:rPr>
        <w:t>Journal of Business Ethics</w:t>
      </w:r>
      <w:r w:rsidRPr="00DB6C99">
        <w:rPr>
          <w:rFonts w:ascii="Garamond" w:hAnsi="Garamond" w:cs="Times New Roman"/>
          <w:sz w:val="24"/>
          <w:szCs w:val="24"/>
          <w:lang w:eastAsia="en-NZ"/>
        </w:rPr>
        <w:t>, 90(3), 343-353.</w:t>
      </w:r>
    </w:p>
    <w:p w14:paraId="0747DF71" w14:textId="77777777" w:rsidR="001B7C96" w:rsidRPr="00DB6C99" w:rsidRDefault="001B7C96" w:rsidP="007000C3">
      <w:pPr>
        <w:pStyle w:val="NoSpacing"/>
        <w:spacing w:before="100" w:beforeAutospacing="1" w:after="100" w:afterAutospacing="1"/>
        <w:ind w:left="540" w:hanging="540"/>
        <w:jc w:val="both"/>
        <w:rPr>
          <w:rFonts w:ascii="Garamond" w:hAnsi="Garamond" w:cs="Times New Roman"/>
          <w:sz w:val="24"/>
          <w:szCs w:val="24"/>
          <w:lang w:eastAsia="en-NZ"/>
        </w:rPr>
      </w:pPr>
      <w:r w:rsidRPr="00DB6C99">
        <w:rPr>
          <w:rFonts w:ascii="Garamond" w:hAnsi="Garamond" w:cs="Times New Roman"/>
          <w:sz w:val="24"/>
          <w:szCs w:val="24"/>
          <w:shd w:val="clear" w:color="auto" w:fill="FFFFFF"/>
        </w:rPr>
        <w:t>Ioannou, I., &amp; Serafeim, G. (2017). The consequences of mandatory corporate sustainability reporting. </w:t>
      </w:r>
      <w:r w:rsidRPr="00DB6C99">
        <w:rPr>
          <w:rFonts w:ascii="Garamond" w:hAnsi="Garamond" w:cs="Times New Roman"/>
          <w:i/>
          <w:iCs/>
          <w:sz w:val="24"/>
          <w:szCs w:val="24"/>
          <w:shd w:val="clear" w:color="auto" w:fill="FFFFFF"/>
        </w:rPr>
        <w:t>Harvard Business School research working paper</w:t>
      </w:r>
      <w:r w:rsidRPr="00DB6C99">
        <w:rPr>
          <w:rFonts w:ascii="Garamond" w:hAnsi="Garamond" w:cs="Times New Roman"/>
          <w:sz w:val="24"/>
          <w:szCs w:val="24"/>
          <w:shd w:val="clear" w:color="auto" w:fill="FFFFFF"/>
        </w:rPr>
        <w:t>, (11-100).</w:t>
      </w:r>
    </w:p>
    <w:p w14:paraId="6B53AAD8" w14:textId="7CCDAB3C" w:rsidR="001B7C96" w:rsidRPr="00DB6C99" w:rsidRDefault="001B7C96" w:rsidP="007000C3">
      <w:pPr>
        <w:pStyle w:val="NoSpacing"/>
        <w:spacing w:before="100" w:beforeAutospacing="1" w:after="100" w:afterAutospacing="1"/>
        <w:ind w:left="540" w:hanging="540"/>
        <w:jc w:val="both"/>
        <w:rPr>
          <w:rFonts w:ascii="Garamond" w:hAnsi="Garamond" w:cs="Times New Roman"/>
          <w:sz w:val="24"/>
          <w:szCs w:val="24"/>
          <w:lang w:eastAsia="en-NZ"/>
        </w:rPr>
      </w:pPr>
      <w:r w:rsidRPr="00DB6C99">
        <w:rPr>
          <w:rFonts w:ascii="Garamond" w:hAnsi="Garamond" w:cs="Times New Roman"/>
          <w:sz w:val="24"/>
          <w:szCs w:val="24"/>
          <w:lang w:val="en-US" w:eastAsia="en-NZ"/>
        </w:rPr>
        <w:t xml:space="preserve">Jaffee, S., &amp; Hyde, J. S. (2000). </w:t>
      </w:r>
      <w:r w:rsidRPr="00DB6C99">
        <w:rPr>
          <w:rFonts w:ascii="Garamond" w:hAnsi="Garamond" w:cs="Times New Roman"/>
          <w:sz w:val="24"/>
          <w:szCs w:val="24"/>
          <w:lang w:eastAsia="en-NZ"/>
        </w:rPr>
        <w:t xml:space="preserve">Gender differences in moral orientation: a meta-analysis. </w:t>
      </w:r>
      <w:r w:rsidRPr="00DB6C99">
        <w:rPr>
          <w:rFonts w:ascii="Garamond" w:hAnsi="Garamond" w:cs="Times New Roman"/>
          <w:i/>
          <w:sz w:val="24"/>
          <w:szCs w:val="24"/>
          <w:lang w:eastAsia="en-NZ"/>
        </w:rPr>
        <w:t>Psychological Bulletin</w:t>
      </w:r>
      <w:r w:rsidRPr="00DB6C99">
        <w:rPr>
          <w:rFonts w:ascii="Garamond" w:hAnsi="Garamond" w:cs="Times New Roman"/>
          <w:sz w:val="24"/>
          <w:szCs w:val="24"/>
          <w:lang w:eastAsia="en-NZ"/>
        </w:rPr>
        <w:t>, 126(5), 703.</w:t>
      </w:r>
    </w:p>
    <w:p w14:paraId="792F2889" w14:textId="7DD026B1" w:rsidR="00187BC9" w:rsidRPr="00DB6C99" w:rsidRDefault="00187BC9" w:rsidP="007000C3">
      <w:pPr>
        <w:pStyle w:val="NoSpacing"/>
        <w:spacing w:before="100" w:beforeAutospacing="1" w:after="100" w:afterAutospacing="1"/>
        <w:ind w:left="540" w:hanging="540"/>
        <w:jc w:val="both"/>
        <w:rPr>
          <w:rFonts w:ascii="Garamond" w:hAnsi="Garamond" w:cs="Times New Roman"/>
          <w:sz w:val="24"/>
          <w:szCs w:val="24"/>
          <w:lang w:eastAsia="en-NZ"/>
        </w:rPr>
      </w:pPr>
      <w:r w:rsidRPr="00DB6C99">
        <w:rPr>
          <w:rFonts w:ascii="Garamond" w:hAnsi="Garamond" w:cs="Arial"/>
          <w:sz w:val="24"/>
          <w:szCs w:val="24"/>
          <w:shd w:val="clear" w:color="auto" w:fill="FFFFFF"/>
        </w:rPr>
        <w:t>Jain, T. (2017). Decoupling corporate social orientations: A cross-national analysis. </w:t>
      </w:r>
      <w:r w:rsidRPr="00DB6C99">
        <w:rPr>
          <w:rFonts w:ascii="Garamond" w:hAnsi="Garamond" w:cs="Arial"/>
          <w:i/>
          <w:iCs/>
          <w:sz w:val="24"/>
          <w:szCs w:val="24"/>
          <w:shd w:val="clear" w:color="auto" w:fill="FFFFFF"/>
        </w:rPr>
        <w:t>Business &amp; Society</w:t>
      </w:r>
      <w:r w:rsidRPr="00DB6C99">
        <w:rPr>
          <w:rFonts w:ascii="Garamond" w:hAnsi="Garamond" w:cs="Arial"/>
          <w:sz w:val="24"/>
          <w:szCs w:val="24"/>
          <w:shd w:val="clear" w:color="auto" w:fill="FFFFFF"/>
        </w:rPr>
        <w:t>, </w:t>
      </w:r>
      <w:r w:rsidRPr="00DB6C99">
        <w:rPr>
          <w:rFonts w:ascii="Garamond" w:hAnsi="Garamond" w:cs="Arial"/>
          <w:i/>
          <w:iCs/>
          <w:sz w:val="24"/>
          <w:szCs w:val="24"/>
          <w:shd w:val="clear" w:color="auto" w:fill="FFFFFF"/>
        </w:rPr>
        <w:t>56</w:t>
      </w:r>
      <w:r w:rsidRPr="00DB6C99">
        <w:rPr>
          <w:rFonts w:ascii="Garamond" w:hAnsi="Garamond" w:cs="Arial"/>
          <w:sz w:val="24"/>
          <w:szCs w:val="24"/>
          <w:shd w:val="clear" w:color="auto" w:fill="FFFFFF"/>
        </w:rPr>
        <w:t>(7), 1033-1067.</w:t>
      </w:r>
    </w:p>
    <w:p w14:paraId="03CE1489" w14:textId="77777777" w:rsidR="001B7C96" w:rsidRPr="00DB6C99" w:rsidRDefault="001B7C96" w:rsidP="007000C3">
      <w:pPr>
        <w:pStyle w:val="NoSpacing"/>
        <w:spacing w:before="100" w:beforeAutospacing="1" w:after="100" w:afterAutospacing="1"/>
        <w:ind w:left="540" w:hanging="540"/>
        <w:jc w:val="both"/>
        <w:rPr>
          <w:rFonts w:ascii="Garamond" w:hAnsi="Garamond" w:cs="Times New Roman"/>
          <w:sz w:val="24"/>
          <w:szCs w:val="24"/>
          <w:lang w:eastAsia="en-NZ"/>
        </w:rPr>
      </w:pPr>
      <w:r w:rsidRPr="00DB6C99">
        <w:rPr>
          <w:rFonts w:ascii="Garamond" w:hAnsi="Garamond" w:cs="Times New Roman"/>
          <w:sz w:val="24"/>
          <w:szCs w:val="24"/>
          <w:lang w:eastAsia="en-NZ"/>
        </w:rPr>
        <w:t xml:space="preserve">Jain, T., &amp; Zaman, R. (2020). When boards matter: The case of corporate social irresponsibility. </w:t>
      </w:r>
      <w:r w:rsidRPr="00DB6C99">
        <w:rPr>
          <w:rFonts w:ascii="Garamond" w:hAnsi="Garamond" w:cs="Times New Roman"/>
          <w:i/>
          <w:sz w:val="24"/>
          <w:szCs w:val="24"/>
          <w:lang w:eastAsia="en-NZ"/>
        </w:rPr>
        <w:t>British Journal of Management</w:t>
      </w:r>
      <w:r w:rsidRPr="00DB6C99">
        <w:rPr>
          <w:rFonts w:ascii="Garamond" w:hAnsi="Garamond" w:cs="Times New Roman"/>
          <w:sz w:val="24"/>
          <w:szCs w:val="24"/>
          <w:lang w:eastAsia="en-NZ"/>
        </w:rPr>
        <w:t>, 31(2), 365-386.</w:t>
      </w:r>
    </w:p>
    <w:p w14:paraId="13F68D2F" w14:textId="77777777" w:rsidR="001B7C96" w:rsidRPr="00DB6C99" w:rsidRDefault="001B7C96" w:rsidP="007000C3">
      <w:pPr>
        <w:pStyle w:val="NoSpacing"/>
        <w:spacing w:before="100" w:beforeAutospacing="1" w:after="100" w:afterAutospacing="1"/>
        <w:ind w:left="540" w:hanging="540"/>
        <w:jc w:val="both"/>
        <w:rPr>
          <w:rFonts w:ascii="Garamond" w:hAnsi="Garamond" w:cs="Times New Roman"/>
          <w:sz w:val="24"/>
          <w:szCs w:val="24"/>
          <w:lang w:eastAsia="en-NZ"/>
        </w:rPr>
      </w:pPr>
      <w:r w:rsidRPr="00DB6C99">
        <w:rPr>
          <w:rFonts w:ascii="Garamond" w:hAnsi="Garamond" w:cs="Times New Roman"/>
          <w:sz w:val="24"/>
          <w:szCs w:val="24"/>
          <w:lang w:eastAsia="en-NZ"/>
        </w:rPr>
        <w:t xml:space="preserve">Jamali, D. (2010). MNCs and international accountability standards through an institutional lens: Evidence of symbolic conformity or decoupling. </w:t>
      </w:r>
      <w:r w:rsidRPr="00DB6C99">
        <w:rPr>
          <w:rFonts w:ascii="Garamond" w:hAnsi="Garamond" w:cs="Times New Roman"/>
          <w:i/>
          <w:sz w:val="24"/>
          <w:szCs w:val="24"/>
          <w:lang w:eastAsia="en-NZ"/>
        </w:rPr>
        <w:t>Journal of Business Ethics</w:t>
      </w:r>
      <w:r w:rsidRPr="00DB6C99">
        <w:rPr>
          <w:rFonts w:ascii="Garamond" w:hAnsi="Garamond" w:cs="Times New Roman"/>
          <w:sz w:val="24"/>
          <w:szCs w:val="24"/>
          <w:lang w:eastAsia="en-NZ"/>
        </w:rPr>
        <w:t>, 95(4), 617-640.</w:t>
      </w:r>
    </w:p>
    <w:p w14:paraId="74930D80" w14:textId="377AC8C1" w:rsidR="001B7C96" w:rsidRPr="00DB6C99" w:rsidRDefault="001B7C96" w:rsidP="007C1FF3">
      <w:pPr>
        <w:pStyle w:val="NoSpacing"/>
        <w:spacing w:before="100" w:beforeAutospacing="1" w:after="100" w:afterAutospacing="1"/>
        <w:ind w:left="540" w:hanging="540"/>
        <w:jc w:val="both"/>
        <w:rPr>
          <w:rFonts w:ascii="Garamond" w:hAnsi="Garamond" w:cs="Times New Roman"/>
          <w:sz w:val="24"/>
          <w:szCs w:val="24"/>
          <w:lang w:eastAsia="en-NZ"/>
        </w:rPr>
      </w:pPr>
      <w:r w:rsidRPr="00DB6C99">
        <w:rPr>
          <w:rFonts w:ascii="Garamond" w:hAnsi="Garamond" w:cs="Times New Roman"/>
          <w:sz w:val="24"/>
          <w:szCs w:val="24"/>
          <w:lang w:val="en-US" w:eastAsia="en-NZ"/>
        </w:rPr>
        <w:lastRenderedPageBreak/>
        <w:t xml:space="preserve">Jensen, M. C., &amp; Meckling, W. H. (1976). </w:t>
      </w:r>
      <w:r w:rsidRPr="00DB6C99">
        <w:rPr>
          <w:rFonts w:ascii="Garamond" w:hAnsi="Garamond" w:cs="Times New Roman"/>
          <w:sz w:val="24"/>
          <w:szCs w:val="24"/>
          <w:lang w:eastAsia="en-NZ"/>
        </w:rPr>
        <w:t>Theory of the firm: Managerial behavior, agency costs and ownership structure. </w:t>
      </w:r>
      <w:r w:rsidRPr="00DB6C99">
        <w:rPr>
          <w:rFonts w:ascii="Garamond" w:hAnsi="Garamond" w:cs="Times New Roman"/>
          <w:i/>
          <w:iCs/>
          <w:sz w:val="24"/>
          <w:szCs w:val="24"/>
          <w:lang w:eastAsia="en-NZ"/>
        </w:rPr>
        <w:t>Journal of Financial Economics, 3</w:t>
      </w:r>
      <w:r w:rsidRPr="00DB6C99">
        <w:rPr>
          <w:rFonts w:ascii="Garamond" w:hAnsi="Garamond" w:cs="Times New Roman"/>
          <w:sz w:val="24"/>
          <w:szCs w:val="24"/>
          <w:lang w:eastAsia="en-NZ"/>
        </w:rPr>
        <w:t>, 305-360.</w:t>
      </w:r>
    </w:p>
    <w:p w14:paraId="5A03E4A2" w14:textId="77777777" w:rsidR="001B7C96" w:rsidRPr="00DB6C99" w:rsidRDefault="001B7C96" w:rsidP="007000C3">
      <w:pPr>
        <w:spacing w:before="100" w:beforeAutospacing="1" w:after="100" w:afterAutospacing="1" w:line="240" w:lineRule="auto"/>
        <w:ind w:left="540" w:hanging="540"/>
        <w:jc w:val="both"/>
        <w:rPr>
          <w:rFonts w:ascii="Garamond" w:hAnsi="Garamond" w:cs="Times New Roman"/>
          <w:sz w:val="24"/>
          <w:szCs w:val="24"/>
        </w:rPr>
      </w:pPr>
      <w:r w:rsidRPr="00DB6C99">
        <w:rPr>
          <w:rFonts w:ascii="Garamond" w:hAnsi="Garamond" w:cs="Times New Roman"/>
          <w:sz w:val="24"/>
          <w:szCs w:val="24"/>
        </w:rPr>
        <w:t xml:space="preserve">Kanter, R. M. (1977). Some effects of proportions on group life: Skewed sex ratios and responses to token women. </w:t>
      </w:r>
      <w:r w:rsidRPr="00DB6C99">
        <w:rPr>
          <w:rFonts w:ascii="Garamond" w:hAnsi="Garamond" w:cs="Times New Roman"/>
          <w:i/>
          <w:iCs/>
          <w:sz w:val="24"/>
          <w:szCs w:val="24"/>
        </w:rPr>
        <w:t>American Journal of Sociology, 82</w:t>
      </w:r>
      <w:r w:rsidRPr="00DB6C99">
        <w:rPr>
          <w:rFonts w:ascii="Garamond" w:hAnsi="Garamond" w:cs="Times New Roman"/>
          <w:sz w:val="24"/>
          <w:szCs w:val="24"/>
        </w:rPr>
        <w:t>(5), 965–990.</w:t>
      </w:r>
    </w:p>
    <w:p w14:paraId="62670CD1" w14:textId="6241AB8E" w:rsidR="001B7C96" w:rsidRPr="00DB6C99" w:rsidRDefault="001B7C96" w:rsidP="007000C3">
      <w:pPr>
        <w:pStyle w:val="NoSpacing"/>
        <w:spacing w:before="100" w:beforeAutospacing="1" w:after="100" w:afterAutospacing="1"/>
        <w:ind w:left="540" w:hanging="540"/>
        <w:jc w:val="both"/>
        <w:rPr>
          <w:rFonts w:ascii="Garamond" w:hAnsi="Garamond" w:cs="Times New Roman"/>
          <w:sz w:val="24"/>
          <w:szCs w:val="24"/>
        </w:rPr>
      </w:pPr>
      <w:r w:rsidRPr="00DB6C99">
        <w:rPr>
          <w:rFonts w:ascii="Garamond" w:hAnsi="Garamond" w:cs="Times New Roman"/>
          <w:sz w:val="24"/>
          <w:szCs w:val="24"/>
        </w:rPr>
        <w:t xml:space="preserve">Kaplan, S., Pany, K., Samuels, J., &amp; Zhang, J. (2009). An examination of the association between gender and reporting intentions for fraudulent financial reporting. </w:t>
      </w:r>
      <w:r w:rsidRPr="00DB6C99">
        <w:rPr>
          <w:rFonts w:ascii="Garamond" w:hAnsi="Garamond" w:cs="Times New Roman"/>
          <w:i/>
          <w:sz w:val="24"/>
          <w:szCs w:val="24"/>
        </w:rPr>
        <w:t>Journal of Business Ethics</w:t>
      </w:r>
      <w:r w:rsidRPr="00DB6C99">
        <w:rPr>
          <w:rFonts w:ascii="Garamond" w:hAnsi="Garamond" w:cs="Times New Roman"/>
          <w:sz w:val="24"/>
          <w:szCs w:val="24"/>
        </w:rPr>
        <w:t>, 87(1), 15-30.</w:t>
      </w:r>
    </w:p>
    <w:p w14:paraId="5BA3CB97" w14:textId="77777777" w:rsidR="00D45FE3" w:rsidRPr="00DB6C99" w:rsidRDefault="00D45FE3" w:rsidP="00D45FE3">
      <w:pPr>
        <w:spacing w:before="100" w:beforeAutospacing="1" w:after="100" w:afterAutospacing="1" w:line="240" w:lineRule="auto"/>
        <w:ind w:left="540" w:hanging="540"/>
        <w:jc w:val="both"/>
        <w:rPr>
          <w:rFonts w:ascii="Garamond" w:hAnsi="Garamond" w:cs="Times New Roman"/>
          <w:sz w:val="24"/>
          <w:szCs w:val="24"/>
        </w:rPr>
      </w:pPr>
      <w:r w:rsidRPr="00DB6C99">
        <w:rPr>
          <w:rFonts w:ascii="Garamond" w:hAnsi="Garamond" w:cs="Arial"/>
          <w:sz w:val="24"/>
          <w:szCs w:val="24"/>
          <w:shd w:val="clear" w:color="auto" w:fill="FFFFFF"/>
        </w:rPr>
        <w:t>Kim, Y., Park, M. S., &amp; Wier, B. (2012). Is earnings quality associated with corporate social responsibility?. </w:t>
      </w:r>
      <w:r w:rsidRPr="00DB6C99">
        <w:rPr>
          <w:rFonts w:ascii="Garamond" w:hAnsi="Garamond" w:cs="Arial"/>
          <w:i/>
          <w:iCs/>
          <w:sz w:val="24"/>
          <w:szCs w:val="24"/>
          <w:shd w:val="clear" w:color="auto" w:fill="FFFFFF"/>
        </w:rPr>
        <w:t>The accounting review</w:t>
      </w:r>
      <w:r w:rsidRPr="00DB6C99">
        <w:rPr>
          <w:rFonts w:ascii="Garamond" w:hAnsi="Garamond" w:cs="Arial"/>
          <w:sz w:val="24"/>
          <w:szCs w:val="24"/>
          <w:shd w:val="clear" w:color="auto" w:fill="FFFFFF"/>
        </w:rPr>
        <w:t>, </w:t>
      </w:r>
      <w:r w:rsidRPr="00DB6C99">
        <w:rPr>
          <w:rFonts w:ascii="Garamond" w:hAnsi="Garamond" w:cs="Arial"/>
          <w:i/>
          <w:iCs/>
          <w:sz w:val="24"/>
          <w:szCs w:val="24"/>
          <w:shd w:val="clear" w:color="auto" w:fill="FFFFFF"/>
        </w:rPr>
        <w:t>87</w:t>
      </w:r>
      <w:r w:rsidRPr="00DB6C99">
        <w:rPr>
          <w:rFonts w:ascii="Garamond" w:hAnsi="Garamond" w:cs="Arial"/>
          <w:sz w:val="24"/>
          <w:szCs w:val="24"/>
          <w:shd w:val="clear" w:color="auto" w:fill="FFFFFF"/>
        </w:rPr>
        <w:t>(3), 761-796.</w:t>
      </w:r>
    </w:p>
    <w:p w14:paraId="54F189A4" w14:textId="06E9032B" w:rsidR="001B7C96" w:rsidRPr="00DB6C99" w:rsidRDefault="001B7C96" w:rsidP="005A1BB1">
      <w:pPr>
        <w:pStyle w:val="NoSpacing"/>
        <w:spacing w:before="100" w:beforeAutospacing="1" w:after="100" w:afterAutospacing="1"/>
        <w:ind w:left="540" w:hanging="540"/>
        <w:jc w:val="both"/>
        <w:rPr>
          <w:rFonts w:ascii="Garamond" w:hAnsi="Garamond" w:cs="Times New Roman"/>
          <w:sz w:val="24"/>
          <w:szCs w:val="24"/>
        </w:rPr>
      </w:pPr>
      <w:r w:rsidRPr="00DB6C99">
        <w:rPr>
          <w:rFonts w:ascii="Garamond" w:hAnsi="Garamond" w:cs="Times New Roman"/>
          <w:sz w:val="24"/>
          <w:szCs w:val="24"/>
        </w:rPr>
        <w:t xml:space="preserve">Kothari, S. P., Leone, A. J., &amp; Wasley, C. E. (2005). Performance-matched discretionary accrual measures. </w:t>
      </w:r>
      <w:r w:rsidRPr="00DB6C99">
        <w:rPr>
          <w:rFonts w:ascii="Garamond" w:hAnsi="Garamond" w:cs="Times New Roman"/>
          <w:i/>
          <w:iCs/>
          <w:sz w:val="24"/>
          <w:szCs w:val="24"/>
        </w:rPr>
        <w:t>Journal of Accounting and Economics, 39</w:t>
      </w:r>
      <w:r w:rsidRPr="00DB6C99">
        <w:rPr>
          <w:rFonts w:ascii="Garamond" w:hAnsi="Garamond" w:cs="Times New Roman"/>
          <w:sz w:val="24"/>
          <w:szCs w:val="24"/>
        </w:rPr>
        <w:t xml:space="preserve">, 163–197. </w:t>
      </w:r>
    </w:p>
    <w:p w14:paraId="513A2C59" w14:textId="77777777" w:rsidR="001B7C96" w:rsidRPr="00DB6C99" w:rsidRDefault="001B7C96" w:rsidP="005A1BB1">
      <w:pPr>
        <w:pStyle w:val="NoSpacing"/>
        <w:spacing w:before="100" w:beforeAutospacing="1" w:after="100" w:afterAutospacing="1"/>
        <w:ind w:left="540" w:hanging="540"/>
        <w:jc w:val="both"/>
        <w:rPr>
          <w:rFonts w:ascii="Garamond" w:hAnsi="Garamond" w:cs="Times New Roman"/>
          <w:sz w:val="24"/>
          <w:szCs w:val="24"/>
        </w:rPr>
      </w:pPr>
      <w:r w:rsidRPr="00DB6C99">
        <w:rPr>
          <w:rFonts w:ascii="Garamond" w:hAnsi="Garamond" w:cs="Times New Roman"/>
          <w:sz w:val="24"/>
          <w:szCs w:val="24"/>
        </w:rPr>
        <w:t>Krall, J. R., &amp; Peng, R. D. (2015). The Volkswagen scandal: Deception, driving and deaths. </w:t>
      </w:r>
      <w:r w:rsidRPr="00DB6C99">
        <w:rPr>
          <w:rFonts w:ascii="Garamond" w:hAnsi="Garamond" w:cs="Times New Roman"/>
          <w:i/>
          <w:sz w:val="24"/>
          <w:szCs w:val="24"/>
        </w:rPr>
        <w:t>Significance, 12</w:t>
      </w:r>
      <w:r w:rsidRPr="00DB6C99">
        <w:rPr>
          <w:rFonts w:ascii="Garamond" w:hAnsi="Garamond" w:cs="Times New Roman"/>
          <w:sz w:val="24"/>
          <w:szCs w:val="24"/>
        </w:rPr>
        <w:t>(6), 12-15.</w:t>
      </w:r>
    </w:p>
    <w:p w14:paraId="3FC42F05" w14:textId="77777777" w:rsidR="001B7C96" w:rsidRPr="00DB6C99" w:rsidRDefault="001B7C96" w:rsidP="007000C3">
      <w:pPr>
        <w:pStyle w:val="NoSpacing"/>
        <w:spacing w:before="100" w:beforeAutospacing="1" w:after="100" w:afterAutospacing="1"/>
        <w:ind w:left="540" w:hanging="540"/>
        <w:jc w:val="both"/>
        <w:rPr>
          <w:rFonts w:ascii="Garamond" w:hAnsi="Garamond" w:cs="Times New Roman"/>
          <w:sz w:val="24"/>
          <w:szCs w:val="24"/>
        </w:rPr>
      </w:pPr>
      <w:r w:rsidRPr="00DB6C99">
        <w:rPr>
          <w:rFonts w:ascii="Garamond" w:hAnsi="Garamond" w:cs="Times New Roman"/>
          <w:sz w:val="24"/>
          <w:szCs w:val="24"/>
        </w:rPr>
        <w:t xml:space="preserve">Krishnan, G. V., &amp; Parsons, L. M. (2008). Getting to the bottom line: An exploration of gender and earnings quality. </w:t>
      </w:r>
      <w:r w:rsidRPr="00DB6C99">
        <w:rPr>
          <w:rFonts w:ascii="Garamond" w:hAnsi="Garamond" w:cs="Times New Roman"/>
          <w:i/>
          <w:sz w:val="24"/>
          <w:szCs w:val="24"/>
        </w:rPr>
        <w:t>Journal of Business Ethics</w:t>
      </w:r>
      <w:r w:rsidRPr="00DB6C99">
        <w:rPr>
          <w:rFonts w:ascii="Garamond" w:hAnsi="Garamond" w:cs="Times New Roman"/>
          <w:sz w:val="24"/>
          <w:szCs w:val="24"/>
        </w:rPr>
        <w:t>, 78(1-2), 65-76.</w:t>
      </w:r>
    </w:p>
    <w:p w14:paraId="4728E4AD" w14:textId="77777777" w:rsidR="001B7C96" w:rsidRPr="00DB6C99" w:rsidRDefault="001B7C96" w:rsidP="007000C3">
      <w:pPr>
        <w:pStyle w:val="NoSpacing"/>
        <w:spacing w:before="100" w:beforeAutospacing="1" w:after="100" w:afterAutospacing="1"/>
        <w:ind w:left="540" w:hanging="540"/>
        <w:jc w:val="both"/>
        <w:rPr>
          <w:rFonts w:ascii="Garamond" w:hAnsi="Garamond" w:cs="Times New Roman"/>
          <w:sz w:val="24"/>
          <w:szCs w:val="24"/>
        </w:rPr>
      </w:pPr>
      <w:r w:rsidRPr="00DB6C99">
        <w:rPr>
          <w:rFonts w:ascii="Garamond" w:hAnsi="Garamond" w:cs="Times New Roman"/>
          <w:sz w:val="24"/>
          <w:szCs w:val="24"/>
        </w:rPr>
        <w:t>Kristie, J. (2011). The power of three. </w:t>
      </w:r>
      <w:r w:rsidRPr="00DB6C99">
        <w:rPr>
          <w:rFonts w:ascii="Garamond" w:hAnsi="Garamond" w:cs="Times New Roman"/>
          <w:i/>
          <w:sz w:val="24"/>
          <w:szCs w:val="24"/>
        </w:rPr>
        <w:t>Dir. Boards, 35</w:t>
      </w:r>
      <w:r w:rsidRPr="00DB6C99">
        <w:rPr>
          <w:rFonts w:ascii="Garamond" w:hAnsi="Garamond" w:cs="Times New Roman"/>
          <w:sz w:val="24"/>
          <w:szCs w:val="24"/>
        </w:rPr>
        <w:t>(5), 22-32.</w:t>
      </w:r>
    </w:p>
    <w:p w14:paraId="6ABF6F43" w14:textId="20B7D311" w:rsidR="001B7C96" w:rsidRPr="00DB6C99" w:rsidRDefault="001B7C96" w:rsidP="007000C3">
      <w:pPr>
        <w:pStyle w:val="NoSpacing"/>
        <w:spacing w:before="100" w:beforeAutospacing="1" w:after="100" w:afterAutospacing="1"/>
        <w:ind w:left="540" w:hanging="540"/>
        <w:jc w:val="both"/>
        <w:rPr>
          <w:rFonts w:ascii="Garamond" w:hAnsi="Garamond" w:cs="Times New Roman"/>
          <w:sz w:val="24"/>
          <w:szCs w:val="24"/>
        </w:rPr>
      </w:pPr>
      <w:r w:rsidRPr="00DB6C99">
        <w:rPr>
          <w:rFonts w:ascii="Garamond" w:hAnsi="Garamond" w:cs="Times New Roman"/>
          <w:sz w:val="24"/>
          <w:szCs w:val="24"/>
        </w:rPr>
        <w:t xml:space="preserve">Lai, K. M., Srinidhi, B., Gul, F. A., &amp; Tsui, J. S. (2017). Board gender diversity, auditor fees, and auditor choice. </w:t>
      </w:r>
      <w:r w:rsidRPr="00DB6C99">
        <w:rPr>
          <w:rFonts w:ascii="Garamond" w:hAnsi="Garamond" w:cs="Times New Roman"/>
          <w:i/>
          <w:sz w:val="24"/>
          <w:szCs w:val="24"/>
        </w:rPr>
        <w:t>Contemporary Accounting Research</w:t>
      </w:r>
      <w:r w:rsidRPr="00DB6C99">
        <w:rPr>
          <w:rFonts w:ascii="Garamond" w:hAnsi="Garamond" w:cs="Times New Roman"/>
          <w:sz w:val="24"/>
          <w:szCs w:val="24"/>
        </w:rPr>
        <w:t>, 34(3), 1681-1714.</w:t>
      </w:r>
    </w:p>
    <w:p w14:paraId="4D1C602A" w14:textId="77777777" w:rsidR="001B7C96" w:rsidRPr="00DB6C99" w:rsidRDefault="001B7C96" w:rsidP="007000C3">
      <w:pPr>
        <w:pStyle w:val="NoSpacing"/>
        <w:spacing w:before="100" w:beforeAutospacing="1" w:after="100" w:afterAutospacing="1"/>
        <w:ind w:left="540" w:hanging="540"/>
        <w:jc w:val="both"/>
        <w:rPr>
          <w:rFonts w:ascii="Garamond" w:hAnsi="Garamond" w:cs="Times New Roman"/>
          <w:sz w:val="24"/>
          <w:szCs w:val="24"/>
        </w:rPr>
      </w:pPr>
      <w:r w:rsidRPr="00DB6C99">
        <w:rPr>
          <w:rFonts w:ascii="Garamond" w:hAnsi="Garamond" w:cs="Times New Roman"/>
          <w:sz w:val="24"/>
          <w:szCs w:val="24"/>
        </w:rPr>
        <w:t xml:space="preserve">Lara, J. M. G., Osma, B. G., Mora, A., &amp; Scapin, M. (2017). The monitoring role of female directors over accounting quality. </w:t>
      </w:r>
      <w:r w:rsidRPr="00DB6C99">
        <w:rPr>
          <w:rFonts w:ascii="Garamond" w:hAnsi="Garamond" w:cs="Times New Roman"/>
          <w:i/>
          <w:sz w:val="24"/>
          <w:szCs w:val="24"/>
        </w:rPr>
        <w:t>Journal of Corporate Finance</w:t>
      </w:r>
      <w:r w:rsidRPr="00DB6C99">
        <w:rPr>
          <w:rFonts w:ascii="Garamond" w:hAnsi="Garamond" w:cs="Times New Roman"/>
          <w:sz w:val="24"/>
          <w:szCs w:val="24"/>
        </w:rPr>
        <w:t>, 45, 651-668.</w:t>
      </w:r>
    </w:p>
    <w:p w14:paraId="677F182F" w14:textId="77777777" w:rsidR="001B7C96" w:rsidRPr="00DB6C99" w:rsidRDefault="001B7C96" w:rsidP="007000C3">
      <w:pPr>
        <w:pStyle w:val="NoSpacing"/>
        <w:spacing w:before="100" w:beforeAutospacing="1" w:after="100" w:afterAutospacing="1"/>
        <w:ind w:left="540" w:hanging="540"/>
        <w:jc w:val="both"/>
        <w:rPr>
          <w:rFonts w:ascii="Garamond" w:hAnsi="Garamond" w:cs="Times New Roman"/>
          <w:sz w:val="24"/>
          <w:szCs w:val="24"/>
        </w:rPr>
      </w:pPr>
      <w:r w:rsidRPr="00DB6C99">
        <w:rPr>
          <w:rFonts w:ascii="Garamond" w:hAnsi="Garamond" w:cs="Times New Roman"/>
          <w:sz w:val="24"/>
          <w:szCs w:val="24"/>
          <w:lang w:val="en-US"/>
        </w:rPr>
        <w:t xml:space="preserve">Levi, M., Li, K., &amp; Zhang, F. (2014). </w:t>
      </w:r>
      <w:r w:rsidRPr="00DB6C99">
        <w:rPr>
          <w:rFonts w:ascii="Garamond" w:hAnsi="Garamond" w:cs="Times New Roman"/>
          <w:sz w:val="24"/>
          <w:szCs w:val="24"/>
        </w:rPr>
        <w:t xml:space="preserve">Director gender and mergers and acquisitions. </w:t>
      </w:r>
      <w:r w:rsidRPr="00DB6C99">
        <w:rPr>
          <w:rFonts w:ascii="Garamond" w:hAnsi="Garamond" w:cs="Times New Roman"/>
          <w:i/>
          <w:sz w:val="24"/>
          <w:szCs w:val="24"/>
        </w:rPr>
        <w:t>Journal of Corporate Finance</w:t>
      </w:r>
      <w:r w:rsidRPr="00DB6C99">
        <w:rPr>
          <w:rFonts w:ascii="Garamond" w:hAnsi="Garamond" w:cs="Times New Roman"/>
          <w:sz w:val="24"/>
          <w:szCs w:val="24"/>
        </w:rPr>
        <w:t>, 28, 185-200.</w:t>
      </w:r>
    </w:p>
    <w:p w14:paraId="11CF9E6A" w14:textId="77777777" w:rsidR="001B7C96" w:rsidRPr="00DB6C99" w:rsidRDefault="001B7C96" w:rsidP="007000C3">
      <w:pPr>
        <w:pStyle w:val="NoSpacing"/>
        <w:spacing w:before="100" w:beforeAutospacing="1" w:after="100" w:afterAutospacing="1"/>
        <w:ind w:left="540" w:hanging="540"/>
        <w:jc w:val="both"/>
        <w:rPr>
          <w:rFonts w:ascii="Garamond" w:hAnsi="Garamond" w:cs="Times New Roman"/>
          <w:sz w:val="24"/>
          <w:szCs w:val="24"/>
          <w:lang w:eastAsia="en-NZ"/>
        </w:rPr>
      </w:pPr>
      <w:r w:rsidRPr="00DB6C99">
        <w:rPr>
          <w:rFonts w:ascii="Garamond" w:hAnsi="Garamond" w:cs="Times New Roman"/>
          <w:sz w:val="24"/>
          <w:szCs w:val="24"/>
          <w:lang w:eastAsia="en-NZ"/>
        </w:rPr>
        <w:t xml:space="preserve">Liao, L., Luo, L., &amp; Tang, Q. (2015). Gender diversity, board independence, environmental committee and greenhouse gas disclosure. </w:t>
      </w:r>
      <w:r w:rsidRPr="00DB6C99">
        <w:rPr>
          <w:rFonts w:ascii="Garamond" w:hAnsi="Garamond" w:cs="Times New Roman"/>
          <w:i/>
          <w:sz w:val="24"/>
          <w:szCs w:val="24"/>
          <w:lang w:eastAsia="en-NZ"/>
        </w:rPr>
        <w:t>The British Accounting Review</w:t>
      </w:r>
      <w:r w:rsidRPr="00DB6C99">
        <w:rPr>
          <w:rFonts w:ascii="Garamond" w:hAnsi="Garamond" w:cs="Times New Roman"/>
          <w:sz w:val="24"/>
          <w:szCs w:val="24"/>
          <w:lang w:eastAsia="en-NZ"/>
        </w:rPr>
        <w:t>, 47(4), 409-424.</w:t>
      </w:r>
    </w:p>
    <w:p w14:paraId="64FD0C17" w14:textId="77777777" w:rsidR="001B7C96" w:rsidRPr="00DB6C99" w:rsidRDefault="001B7C96" w:rsidP="007000C3">
      <w:pPr>
        <w:pStyle w:val="NoSpacing"/>
        <w:spacing w:before="100" w:beforeAutospacing="1" w:after="100" w:afterAutospacing="1"/>
        <w:ind w:left="540" w:hanging="540"/>
        <w:jc w:val="both"/>
        <w:rPr>
          <w:rFonts w:ascii="Garamond" w:hAnsi="Garamond" w:cs="Times New Roman"/>
          <w:sz w:val="24"/>
          <w:szCs w:val="24"/>
          <w:lang w:eastAsia="en-NZ"/>
        </w:rPr>
      </w:pPr>
      <w:r w:rsidRPr="00DB6C99">
        <w:rPr>
          <w:rFonts w:ascii="Garamond" w:hAnsi="Garamond" w:cs="Times New Roman"/>
          <w:sz w:val="24"/>
          <w:szCs w:val="24"/>
          <w:lang w:eastAsia="en-NZ"/>
        </w:rPr>
        <w:t xml:space="preserve">Liu, C. (2018). Are women greener? Corporate gender diversity and environmental violations. </w:t>
      </w:r>
      <w:r w:rsidRPr="00DB6C99">
        <w:rPr>
          <w:rFonts w:ascii="Garamond" w:hAnsi="Garamond" w:cs="Times New Roman"/>
          <w:i/>
          <w:sz w:val="24"/>
          <w:szCs w:val="24"/>
          <w:lang w:eastAsia="en-NZ"/>
        </w:rPr>
        <w:t>Journal of Corporate Finance</w:t>
      </w:r>
      <w:r w:rsidRPr="00DB6C99">
        <w:rPr>
          <w:rFonts w:ascii="Garamond" w:hAnsi="Garamond" w:cs="Times New Roman"/>
          <w:sz w:val="24"/>
          <w:szCs w:val="24"/>
          <w:lang w:eastAsia="en-NZ"/>
        </w:rPr>
        <w:t>, 52, 118-142.</w:t>
      </w:r>
    </w:p>
    <w:p w14:paraId="70A66039" w14:textId="77777777" w:rsidR="001B7C96" w:rsidRPr="00DB6C99" w:rsidRDefault="001B7C96" w:rsidP="007000C3">
      <w:pPr>
        <w:pStyle w:val="NoSpacing"/>
        <w:spacing w:before="100" w:beforeAutospacing="1" w:after="100" w:afterAutospacing="1"/>
        <w:ind w:left="540" w:hanging="540"/>
        <w:jc w:val="both"/>
        <w:rPr>
          <w:rFonts w:ascii="Garamond" w:hAnsi="Garamond" w:cs="Times New Roman"/>
          <w:sz w:val="24"/>
          <w:szCs w:val="24"/>
          <w:lang w:eastAsia="en-NZ"/>
        </w:rPr>
      </w:pPr>
      <w:r w:rsidRPr="00DB6C99">
        <w:rPr>
          <w:rFonts w:ascii="Garamond" w:hAnsi="Garamond" w:cs="Times New Roman"/>
          <w:sz w:val="24"/>
          <w:szCs w:val="24"/>
          <w:lang w:val="en-US" w:eastAsia="en-NZ"/>
        </w:rPr>
        <w:t xml:space="preserve">Liu, Y., Wei, Z., &amp; Xie, F. (2014). </w:t>
      </w:r>
      <w:r w:rsidRPr="00DB6C99">
        <w:rPr>
          <w:rFonts w:ascii="Garamond" w:hAnsi="Garamond" w:cs="Times New Roman"/>
          <w:sz w:val="24"/>
          <w:szCs w:val="24"/>
          <w:lang w:eastAsia="en-NZ"/>
        </w:rPr>
        <w:t xml:space="preserve">Do women directors improve firm performance in China?. </w:t>
      </w:r>
      <w:r w:rsidRPr="00DB6C99">
        <w:rPr>
          <w:rFonts w:ascii="Garamond" w:hAnsi="Garamond" w:cs="Times New Roman"/>
          <w:i/>
          <w:sz w:val="24"/>
          <w:szCs w:val="24"/>
          <w:lang w:eastAsia="en-NZ"/>
        </w:rPr>
        <w:t>Journal of Corporate Finance</w:t>
      </w:r>
      <w:r w:rsidRPr="00DB6C99">
        <w:rPr>
          <w:rFonts w:ascii="Garamond" w:hAnsi="Garamond" w:cs="Times New Roman"/>
          <w:sz w:val="24"/>
          <w:szCs w:val="24"/>
          <w:lang w:eastAsia="en-NZ"/>
        </w:rPr>
        <w:t>, 28, 169-184.</w:t>
      </w:r>
    </w:p>
    <w:p w14:paraId="39C6631E" w14:textId="77777777" w:rsidR="001B7C96" w:rsidRPr="00DB6C99" w:rsidRDefault="001B7C96" w:rsidP="007000C3">
      <w:pPr>
        <w:pStyle w:val="NoSpacing"/>
        <w:spacing w:before="100" w:beforeAutospacing="1" w:after="100" w:afterAutospacing="1"/>
        <w:ind w:left="540" w:hanging="540"/>
        <w:jc w:val="both"/>
        <w:rPr>
          <w:rFonts w:ascii="Garamond" w:hAnsi="Garamond" w:cs="Times New Roman"/>
          <w:sz w:val="24"/>
          <w:szCs w:val="24"/>
          <w:lang w:eastAsia="en-NZ"/>
        </w:rPr>
      </w:pPr>
      <w:r w:rsidRPr="00DB6C99">
        <w:rPr>
          <w:rFonts w:ascii="Garamond" w:hAnsi="Garamond" w:cs="Times New Roman"/>
          <w:sz w:val="24"/>
          <w:szCs w:val="24"/>
          <w:lang w:val="en-US" w:eastAsia="en-NZ"/>
        </w:rPr>
        <w:t xml:space="preserve">Luo, X. R., Wang, D., &amp; Zhang, J. (2017). </w:t>
      </w:r>
      <w:r w:rsidRPr="00DB6C99">
        <w:rPr>
          <w:rFonts w:ascii="Garamond" w:hAnsi="Garamond" w:cs="Times New Roman"/>
          <w:sz w:val="24"/>
          <w:szCs w:val="24"/>
          <w:lang w:eastAsia="en-NZ"/>
        </w:rPr>
        <w:t xml:space="preserve">Whose call to answer: Institutional complexity and firms’ CSR reporting. </w:t>
      </w:r>
      <w:r w:rsidRPr="00DB6C99">
        <w:rPr>
          <w:rFonts w:ascii="Garamond" w:hAnsi="Garamond" w:cs="Times New Roman"/>
          <w:i/>
          <w:sz w:val="24"/>
          <w:szCs w:val="24"/>
          <w:lang w:eastAsia="en-NZ"/>
        </w:rPr>
        <w:t>Academy of Management Journal</w:t>
      </w:r>
      <w:r w:rsidRPr="00DB6C99">
        <w:rPr>
          <w:rFonts w:ascii="Garamond" w:hAnsi="Garamond" w:cs="Times New Roman"/>
          <w:sz w:val="24"/>
          <w:szCs w:val="24"/>
          <w:lang w:eastAsia="en-NZ"/>
        </w:rPr>
        <w:t>, 60(1), 321-344.</w:t>
      </w:r>
    </w:p>
    <w:p w14:paraId="0AD54BD8" w14:textId="77777777" w:rsidR="001B7C96" w:rsidRPr="00DB6C99" w:rsidRDefault="001B7C96" w:rsidP="007000C3">
      <w:pPr>
        <w:pStyle w:val="NoSpacing"/>
        <w:spacing w:before="100" w:beforeAutospacing="1" w:after="100" w:afterAutospacing="1"/>
        <w:ind w:left="540" w:hanging="540"/>
        <w:jc w:val="both"/>
        <w:rPr>
          <w:rFonts w:ascii="Garamond" w:hAnsi="Garamond" w:cs="Times New Roman"/>
          <w:sz w:val="24"/>
          <w:szCs w:val="24"/>
          <w:lang w:eastAsia="en-NZ"/>
        </w:rPr>
      </w:pPr>
      <w:r w:rsidRPr="00DB6C99">
        <w:rPr>
          <w:rFonts w:ascii="Garamond" w:hAnsi="Garamond" w:cs="Times New Roman"/>
          <w:sz w:val="24"/>
          <w:szCs w:val="24"/>
          <w:lang w:eastAsia="en-NZ"/>
        </w:rPr>
        <w:t xml:space="preserve">Maass, A., &amp; Clark, R. D. (1984). Hidden impact of minorities: Fifteen years of minority influence research. </w:t>
      </w:r>
      <w:r w:rsidRPr="00DB6C99">
        <w:rPr>
          <w:rFonts w:ascii="Garamond" w:hAnsi="Garamond" w:cs="Times New Roman"/>
          <w:i/>
          <w:sz w:val="24"/>
          <w:szCs w:val="24"/>
          <w:lang w:eastAsia="en-NZ"/>
        </w:rPr>
        <w:t>Psychological Bulletin</w:t>
      </w:r>
      <w:r w:rsidRPr="00DB6C99">
        <w:rPr>
          <w:rFonts w:ascii="Garamond" w:hAnsi="Garamond" w:cs="Times New Roman"/>
          <w:sz w:val="24"/>
          <w:szCs w:val="24"/>
          <w:lang w:eastAsia="en-NZ"/>
        </w:rPr>
        <w:t>, 95(3), 428.</w:t>
      </w:r>
    </w:p>
    <w:p w14:paraId="33CB5E0F" w14:textId="77777777" w:rsidR="001B7C96" w:rsidRPr="00DB6C99" w:rsidRDefault="001B7C96" w:rsidP="007000C3">
      <w:pPr>
        <w:pStyle w:val="NoSpacing"/>
        <w:spacing w:before="100" w:beforeAutospacing="1" w:after="100" w:afterAutospacing="1"/>
        <w:ind w:left="540" w:hanging="540"/>
        <w:jc w:val="both"/>
        <w:rPr>
          <w:rFonts w:ascii="Garamond" w:hAnsi="Garamond" w:cs="Times New Roman"/>
          <w:sz w:val="24"/>
          <w:szCs w:val="24"/>
          <w:lang w:eastAsia="en-NZ"/>
        </w:rPr>
      </w:pPr>
      <w:r w:rsidRPr="00DB6C99">
        <w:rPr>
          <w:rFonts w:ascii="Garamond" w:hAnsi="Garamond" w:cs="Times New Roman"/>
          <w:sz w:val="24"/>
          <w:szCs w:val="24"/>
          <w:lang w:eastAsia="en-NZ"/>
        </w:rPr>
        <w:lastRenderedPageBreak/>
        <w:t xml:space="preserve">MacLean, T. L., &amp; Behnam, M. (2010). The dangers of decoupling: The relationship between compliance programs, legitimacy perceptions, and institutionalized misconduct. </w:t>
      </w:r>
      <w:r w:rsidRPr="00DB6C99">
        <w:rPr>
          <w:rFonts w:ascii="Garamond" w:hAnsi="Garamond" w:cs="Times New Roman"/>
          <w:i/>
          <w:sz w:val="24"/>
          <w:szCs w:val="24"/>
          <w:lang w:eastAsia="en-NZ"/>
        </w:rPr>
        <w:t>Academy of Management Journal</w:t>
      </w:r>
      <w:r w:rsidRPr="00DB6C99">
        <w:rPr>
          <w:rFonts w:ascii="Garamond" w:hAnsi="Garamond" w:cs="Times New Roman"/>
          <w:sz w:val="24"/>
          <w:szCs w:val="24"/>
          <w:lang w:eastAsia="en-NZ"/>
        </w:rPr>
        <w:t>, 53(6), 1499-1520.</w:t>
      </w:r>
    </w:p>
    <w:p w14:paraId="1BEA27C0" w14:textId="77777777" w:rsidR="001B7C96" w:rsidRPr="00DB6C99" w:rsidRDefault="001B7C96" w:rsidP="007000C3">
      <w:pPr>
        <w:pStyle w:val="NoSpacing"/>
        <w:spacing w:before="100" w:beforeAutospacing="1" w:after="100" w:afterAutospacing="1"/>
        <w:ind w:left="540" w:hanging="540"/>
        <w:jc w:val="both"/>
        <w:rPr>
          <w:rFonts w:ascii="Garamond" w:hAnsi="Garamond" w:cs="Times New Roman"/>
          <w:sz w:val="24"/>
          <w:szCs w:val="24"/>
          <w:lang w:eastAsia="en-NZ"/>
        </w:rPr>
      </w:pPr>
      <w:r w:rsidRPr="00DB6C99">
        <w:rPr>
          <w:rFonts w:ascii="Garamond" w:hAnsi="Garamond" w:cs="Times New Roman"/>
          <w:sz w:val="24"/>
          <w:szCs w:val="24"/>
          <w:lang w:eastAsia="en-NZ"/>
        </w:rPr>
        <w:t xml:space="preserve">Marquis, C., &amp; Qian, C. (2014). Corporate social responsibility reporting in China: Symbol or substance?. </w:t>
      </w:r>
      <w:r w:rsidRPr="00DB6C99">
        <w:rPr>
          <w:rFonts w:ascii="Garamond" w:hAnsi="Garamond" w:cs="Times New Roman"/>
          <w:i/>
          <w:sz w:val="24"/>
          <w:szCs w:val="24"/>
          <w:lang w:eastAsia="en-NZ"/>
        </w:rPr>
        <w:t>Organization Science</w:t>
      </w:r>
      <w:r w:rsidRPr="00DB6C99">
        <w:rPr>
          <w:rFonts w:ascii="Garamond" w:hAnsi="Garamond" w:cs="Times New Roman"/>
          <w:sz w:val="24"/>
          <w:szCs w:val="24"/>
          <w:lang w:eastAsia="en-NZ"/>
        </w:rPr>
        <w:t>, 25(1), 127-148.</w:t>
      </w:r>
    </w:p>
    <w:p w14:paraId="0103B3D1" w14:textId="77777777" w:rsidR="001B7C96" w:rsidRPr="00DB6C99" w:rsidRDefault="001B7C96" w:rsidP="004565E9">
      <w:pPr>
        <w:pStyle w:val="NoSpacing"/>
        <w:spacing w:before="100" w:beforeAutospacing="1" w:after="100" w:afterAutospacing="1"/>
        <w:ind w:left="540" w:hanging="540"/>
        <w:jc w:val="both"/>
        <w:rPr>
          <w:rFonts w:ascii="Garamond" w:hAnsi="Garamond" w:cs="Times New Roman"/>
          <w:sz w:val="24"/>
          <w:szCs w:val="24"/>
          <w:lang w:eastAsia="en-NZ"/>
        </w:rPr>
      </w:pPr>
      <w:r w:rsidRPr="00DB6C99">
        <w:rPr>
          <w:rFonts w:ascii="Garamond" w:hAnsi="Garamond" w:cs="Times New Roman"/>
          <w:sz w:val="24"/>
          <w:szCs w:val="24"/>
          <w:lang w:val="en-US" w:eastAsia="en-NZ"/>
        </w:rPr>
        <w:t xml:space="preserve">Marquis, C., Toffel, M. W., &amp; Zhou, Y. (2016). </w:t>
      </w:r>
      <w:r w:rsidRPr="00DB6C99">
        <w:rPr>
          <w:rFonts w:ascii="Garamond" w:hAnsi="Garamond" w:cs="Times New Roman"/>
          <w:sz w:val="24"/>
          <w:szCs w:val="24"/>
          <w:lang w:eastAsia="en-NZ"/>
        </w:rPr>
        <w:t>Scrutiny, norms, and selective disclosure: A global study of greenwashing. </w:t>
      </w:r>
      <w:r w:rsidRPr="00DB6C99">
        <w:rPr>
          <w:rFonts w:ascii="Garamond" w:hAnsi="Garamond" w:cs="Times New Roman"/>
          <w:i/>
          <w:sz w:val="24"/>
          <w:szCs w:val="24"/>
          <w:lang w:eastAsia="en-NZ"/>
        </w:rPr>
        <w:t>Organization Science, 27</w:t>
      </w:r>
      <w:r w:rsidRPr="00DB6C99">
        <w:rPr>
          <w:rFonts w:ascii="Garamond" w:hAnsi="Garamond" w:cs="Times New Roman"/>
          <w:sz w:val="24"/>
          <w:szCs w:val="24"/>
          <w:lang w:eastAsia="en-NZ"/>
        </w:rPr>
        <w:t>(2), 483-504.</w:t>
      </w:r>
    </w:p>
    <w:p w14:paraId="0615FBD9" w14:textId="77777777" w:rsidR="001B7C96" w:rsidRPr="00DB6C99" w:rsidRDefault="001B7C96" w:rsidP="007000C3">
      <w:pPr>
        <w:pStyle w:val="NoSpacing"/>
        <w:spacing w:before="100" w:beforeAutospacing="1" w:after="100" w:afterAutospacing="1"/>
        <w:ind w:left="540" w:hanging="540"/>
        <w:jc w:val="both"/>
        <w:rPr>
          <w:rFonts w:ascii="Garamond" w:hAnsi="Garamond" w:cs="Times New Roman"/>
          <w:sz w:val="24"/>
          <w:szCs w:val="24"/>
          <w:lang w:eastAsia="en-NZ"/>
        </w:rPr>
      </w:pPr>
      <w:r w:rsidRPr="00DB6C99">
        <w:rPr>
          <w:rFonts w:ascii="Garamond" w:hAnsi="Garamond" w:cs="Times New Roman"/>
          <w:sz w:val="24"/>
          <w:szCs w:val="24"/>
          <w:lang w:eastAsia="en-NZ"/>
        </w:rPr>
        <w:t xml:space="preserve">Mason, E. S., &amp; Mudrack, P. E. (1996). Gender and ethical orientation: A test of gender and occupational socialization theories. </w:t>
      </w:r>
      <w:r w:rsidRPr="00DB6C99">
        <w:rPr>
          <w:rFonts w:ascii="Garamond" w:hAnsi="Garamond" w:cs="Times New Roman"/>
          <w:i/>
          <w:sz w:val="24"/>
          <w:szCs w:val="24"/>
          <w:lang w:eastAsia="en-NZ"/>
        </w:rPr>
        <w:t>Journal of Business Ethics</w:t>
      </w:r>
      <w:r w:rsidRPr="00DB6C99">
        <w:rPr>
          <w:rFonts w:ascii="Garamond" w:hAnsi="Garamond" w:cs="Times New Roman"/>
          <w:sz w:val="24"/>
          <w:szCs w:val="24"/>
          <w:lang w:eastAsia="en-NZ"/>
        </w:rPr>
        <w:t>, 15(6), 599-604.</w:t>
      </w:r>
    </w:p>
    <w:p w14:paraId="755BF667" w14:textId="77777777" w:rsidR="001B7C96" w:rsidRPr="00DB6C99" w:rsidRDefault="001B7C96" w:rsidP="007C1FF3">
      <w:pPr>
        <w:pStyle w:val="NoSpacing"/>
        <w:spacing w:before="100" w:beforeAutospacing="1" w:after="100" w:afterAutospacing="1"/>
        <w:ind w:left="540" w:hanging="540"/>
        <w:jc w:val="both"/>
        <w:rPr>
          <w:rFonts w:ascii="Garamond" w:hAnsi="Garamond" w:cs="Times New Roman"/>
          <w:sz w:val="24"/>
          <w:szCs w:val="24"/>
          <w:lang w:eastAsia="en-NZ"/>
        </w:rPr>
      </w:pPr>
      <w:r w:rsidRPr="00DB6C99">
        <w:rPr>
          <w:rFonts w:ascii="Garamond" w:hAnsi="Garamond" w:cs="Times New Roman"/>
          <w:sz w:val="24"/>
          <w:szCs w:val="24"/>
          <w:lang w:eastAsia="en-NZ"/>
        </w:rPr>
        <w:t xml:space="preserve">McGuinness, P.B., Vieito, J.P., Wang, M., 2017. The Role of Board Gender and Foreign Ownership in the CSR Performance of Chinese Listed Firms. </w:t>
      </w:r>
      <w:r w:rsidRPr="00DB6C99">
        <w:rPr>
          <w:rFonts w:ascii="Garamond" w:hAnsi="Garamond" w:cs="Times New Roman"/>
          <w:i/>
          <w:iCs/>
          <w:sz w:val="24"/>
          <w:szCs w:val="24"/>
          <w:lang w:eastAsia="en-NZ"/>
        </w:rPr>
        <w:t>Journal of Corporate Finance 42</w:t>
      </w:r>
      <w:r w:rsidRPr="00DB6C99">
        <w:rPr>
          <w:rFonts w:ascii="Garamond" w:hAnsi="Garamond" w:cs="Times New Roman"/>
          <w:sz w:val="24"/>
          <w:szCs w:val="24"/>
          <w:lang w:eastAsia="en-NZ"/>
        </w:rPr>
        <w:t>, 75-99.</w:t>
      </w:r>
    </w:p>
    <w:p w14:paraId="1E8DC2BD" w14:textId="77777777" w:rsidR="001B7C96" w:rsidRPr="00DB6C99" w:rsidRDefault="001B7C96" w:rsidP="007000C3">
      <w:pPr>
        <w:pStyle w:val="NoSpacing"/>
        <w:spacing w:before="100" w:beforeAutospacing="1" w:after="100" w:afterAutospacing="1"/>
        <w:ind w:left="540" w:hanging="540"/>
        <w:jc w:val="both"/>
        <w:rPr>
          <w:rFonts w:ascii="Garamond" w:hAnsi="Garamond" w:cs="Times New Roman"/>
          <w:sz w:val="24"/>
          <w:szCs w:val="24"/>
          <w:lang w:eastAsia="en-NZ"/>
        </w:rPr>
      </w:pPr>
      <w:r w:rsidRPr="00DB6C99">
        <w:rPr>
          <w:rFonts w:ascii="Garamond" w:hAnsi="Garamond" w:cs="Times New Roman"/>
          <w:sz w:val="24"/>
          <w:szCs w:val="24"/>
          <w:lang w:eastAsia="en-NZ"/>
        </w:rPr>
        <w:t xml:space="preserve">Nadeem, M. (2020). Does board gender diversity influence voluntary disclosure of intellectual capital in initial public offering prospectuses? Evidence from China. </w:t>
      </w:r>
      <w:r w:rsidRPr="00DB6C99">
        <w:rPr>
          <w:rFonts w:ascii="Garamond" w:hAnsi="Garamond" w:cs="Times New Roman"/>
          <w:i/>
          <w:sz w:val="24"/>
          <w:szCs w:val="24"/>
          <w:lang w:eastAsia="en-NZ"/>
        </w:rPr>
        <w:t>Corporate Governance: An International Review</w:t>
      </w:r>
      <w:r w:rsidRPr="00DB6C99">
        <w:rPr>
          <w:rFonts w:ascii="Garamond" w:hAnsi="Garamond" w:cs="Times New Roman"/>
          <w:sz w:val="24"/>
          <w:szCs w:val="24"/>
          <w:lang w:eastAsia="en-NZ"/>
        </w:rPr>
        <w:t>, 28(2), 100-118.</w:t>
      </w:r>
    </w:p>
    <w:p w14:paraId="386BC898" w14:textId="10CBAAD8" w:rsidR="003539F9" w:rsidRPr="00DB6C99" w:rsidRDefault="0060668C" w:rsidP="00480CEC">
      <w:pPr>
        <w:pStyle w:val="NoSpacing"/>
        <w:spacing w:before="100" w:beforeAutospacing="1" w:after="100" w:afterAutospacing="1"/>
        <w:ind w:left="540" w:hanging="540"/>
        <w:jc w:val="both"/>
        <w:rPr>
          <w:rFonts w:ascii="Garamond" w:hAnsi="Garamond" w:cs="Times New Roman"/>
          <w:sz w:val="24"/>
          <w:szCs w:val="24"/>
        </w:rPr>
      </w:pPr>
      <w:r w:rsidRPr="00DB6C99">
        <w:rPr>
          <w:rFonts w:ascii="Garamond" w:hAnsi="Garamond" w:cs="Times New Roman"/>
          <w:sz w:val="24"/>
          <w:szCs w:val="24"/>
        </w:rPr>
        <w:t>Nekhili, M., Bennouri, M., &amp; Nagati, H. (2022). Do Board Gender Quotas Benefit Minority Shareholders? An Illustration through Related</w:t>
      </w:r>
      <w:r w:rsidRPr="00DB6C99">
        <w:rPr>
          <w:rFonts w:ascii="Times New Roman" w:hAnsi="Times New Roman" w:cs="Times New Roman"/>
          <w:sz w:val="24"/>
          <w:szCs w:val="24"/>
        </w:rPr>
        <w:t>‐</w:t>
      </w:r>
      <w:r w:rsidRPr="00DB6C99">
        <w:rPr>
          <w:rFonts w:ascii="Garamond" w:hAnsi="Garamond" w:cs="Times New Roman"/>
          <w:sz w:val="24"/>
          <w:szCs w:val="24"/>
        </w:rPr>
        <w:t>Party Transactions.</w:t>
      </w:r>
      <w:r w:rsidRPr="00DB6C99">
        <w:rPr>
          <w:rFonts w:ascii="Garamond" w:hAnsi="Garamond" w:cs="Garamond"/>
          <w:sz w:val="24"/>
          <w:szCs w:val="24"/>
        </w:rPr>
        <w:t> </w:t>
      </w:r>
      <w:r w:rsidRPr="00DB6C99">
        <w:rPr>
          <w:rFonts w:ascii="Garamond" w:hAnsi="Garamond" w:cs="Times New Roman"/>
          <w:i/>
          <w:iCs/>
          <w:sz w:val="24"/>
          <w:szCs w:val="24"/>
        </w:rPr>
        <w:t>British Journal of Management</w:t>
      </w:r>
      <w:r w:rsidRPr="00DB6C99">
        <w:rPr>
          <w:rFonts w:ascii="Garamond" w:hAnsi="Garamond" w:cs="Times New Roman"/>
          <w:sz w:val="24"/>
          <w:szCs w:val="24"/>
        </w:rPr>
        <w:t>, </w:t>
      </w:r>
      <w:r w:rsidRPr="00DB6C99">
        <w:rPr>
          <w:rFonts w:ascii="Garamond" w:hAnsi="Garamond" w:cs="Times New Roman"/>
          <w:i/>
          <w:iCs/>
          <w:sz w:val="24"/>
          <w:szCs w:val="24"/>
        </w:rPr>
        <w:t>33</w:t>
      </w:r>
      <w:r w:rsidRPr="00DB6C99">
        <w:rPr>
          <w:rFonts w:ascii="Garamond" w:hAnsi="Garamond" w:cs="Times New Roman"/>
          <w:sz w:val="24"/>
          <w:szCs w:val="24"/>
        </w:rPr>
        <w:t>(2), 724-752.</w:t>
      </w:r>
    </w:p>
    <w:p w14:paraId="73928E51" w14:textId="2D7D3BCC" w:rsidR="001B7C96" w:rsidRPr="00DB6C99" w:rsidRDefault="001B7C96" w:rsidP="00480CEC">
      <w:pPr>
        <w:pStyle w:val="NoSpacing"/>
        <w:spacing w:before="100" w:beforeAutospacing="1" w:after="100" w:afterAutospacing="1"/>
        <w:ind w:left="540" w:hanging="540"/>
        <w:jc w:val="both"/>
        <w:rPr>
          <w:rFonts w:ascii="Garamond" w:hAnsi="Garamond" w:cs="Times New Roman"/>
          <w:sz w:val="24"/>
          <w:szCs w:val="24"/>
          <w:lang w:val="en-IE"/>
        </w:rPr>
      </w:pPr>
      <w:r w:rsidRPr="00DB6C99">
        <w:rPr>
          <w:rFonts w:ascii="Garamond" w:hAnsi="Garamond" w:cs="Times New Roman"/>
          <w:sz w:val="24"/>
          <w:szCs w:val="24"/>
          <w:lang w:val="en-IE"/>
        </w:rPr>
        <w:t xml:space="preserve">Neter, J., J. R. Johnson and R. A. Leitch (1985). ‘Characteristics of dollar-unit taints and error rates in accounts receivable and inventory’, </w:t>
      </w:r>
      <w:r w:rsidRPr="00DB6C99">
        <w:rPr>
          <w:rFonts w:ascii="Garamond" w:hAnsi="Garamond" w:cs="Times New Roman"/>
          <w:i/>
          <w:iCs/>
          <w:sz w:val="24"/>
          <w:szCs w:val="24"/>
          <w:lang w:val="en-IE"/>
        </w:rPr>
        <w:t>Accounting Review,</w:t>
      </w:r>
      <w:r w:rsidRPr="00DB6C99">
        <w:rPr>
          <w:rFonts w:ascii="Garamond" w:hAnsi="Garamond" w:cs="Times New Roman"/>
          <w:sz w:val="24"/>
          <w:szCs w:val="24"/>
          <w:lang w:val="en-IE"/>
        </w:rPr>
        <w:t xml:space="preserve"> 488-499.</w:t>
      </w:r>
    </w:p>
    <w:p w14:paraId="586A9D9B" w14:textId="342B4085" w:rsidR="001B7C96" w:rsidRPr="00DB6C99" w:rsidRDefault="001B7C96" w:rsidP="00FA178B">
      <w:pPr>
        <w:pStyle w:val="NoSpacing"/>
        <w:spacing w:before="100" w:beforeAutospacing="1" w:after="100" w:afterAutospacing="1"/>
        <w:ind w:left="540" w:hanging="540"/>
        <w:jc w:val="both"/>
        <w:rPr>
          <w:rFonts w:ascii="Garamond" w:hAnsi="Garamond" w:cs="Times New Roman"/>
          <w:sz w:val="24"/>
          <w:szCs w:val="24"/>
          <w:lang w:eastAsia="en-NZ"/>
        </w:rPr>
      </w:pPr>
      <w:r w:rsidRPr="00DB6C99">
        <w:rPr>
          <w:rFonts w:ascii="Garamond" w:hAnsi="Garamond" w:cs="Times New Roman"/>
          <w:sz w:val="24"/>
          <w:szCs w:val="24"/>
          <w:lang w:eastAsia="en-NZ"/>
        </w:rPr>
        <w:t>Neville, F., Byron, K., Post, C., &amp; Ward, A. (2019). Board independence and corporate misconduct: A cross-national meta-analysis. </w:t>
      </w:r>
      <w:r w:rsidRPr="00DB6C99">
        <w:rPr>
          <w:rFonts w:ascii="Garamond" w:hAnsi="Garamond" w:cs="Times New Roman"/>
          <w:i/>
          <w:iCs/>
          <w:sz w:val="24"/>
          <w:szCs w:val="24"/>
          <w:lang w:eastAsia="en-NZ"/>
        </w:rPr>
        <w:t>Journal of Management, 45</w:t>
      </w:r>
      <w:r w:rsidRPr="00DB6C99">
        <w:rPr>
          <w:rFonts w:ascii="Garamond" w:hAnsi="Garamond" w:cs="Times New Roman"/>
          <w:sz w:val="24"/>
          <w:szCs w:val="24"/>
          <w:lang w:eastAsia="en-NZ"/>
        </w:rPr>
        <w:t>, 2538-2569.</w:t>
      </w:r>
    </w:p>
    <w:p w14:paraId="0D2D179B" w14:textId="77777777" w:rsidR="001B7C96" w:rsidRPr="00DB6C99" w:rsidRDefault="001B7C96" w:rsidP="00480CEC">
      <w:pPr>
        <w:pStyle w:val="NoSpacing"/>
        <w:spacing w:before="100" w:beforeAutospacing="1" w:after="100" w:afterAutospacing="1"/>
        <w:ind w:left="540" w:hanging="540"/>
        <w:jc w:val="both"/>
        <w:rPr>
          <w:rFonts w:ascii="Garamond" w:hAnsi="Garamond" w:cs="Times New Roman"/>
          <w:sz w:val="24"/>
          <w:szCs w:val="24"/>
          <w:lang w:val="en-IE"/>
        </w:rPr>
      </w:pPr>
      <w:r w:rsidRPr="00DB6C99">
        <w:rPr>
          <w:rFonts w:ascii="Garamond" w:eastAsia="Times New Roman" w:hAnsi="Garamond" w:cs="Times New Roman"/>
          <w:sz w:val="24"/>
          <w:szCs w:val="24"/>
        </w:rPr>
        <w:t xml:space="preserve">Nielsen, S., &amp; Huse, M. (2010). The contribution of women on boards of directors: Going beyond the surface. </w:t>
      </w:r>
      <w:r w:rsidRPr="00DB6C99">
        <w:rPr>
          <w:rFonts w:ascii="Garamond" w:eastAsia="Times New Roman" w:hAnsi="Garamond" w:cs="Times New Roman"/>
          <w:i/>
          <w:sz w:val="24"/>
          <w:szCs w:val="24"/>
        </w:rPr>
        <w:t>Corporate governance: An international review</w:t>
      </w:r>
      <w:r w:rsidRPr="00DB6C99">
        <w:rPr>
          <w:rFonts w:ascii="Garamond" w:eastAsia="Times New Roman" w:hAnsi="Garamond" w:cs="Times New Roman"/>
          <w:sz w:val="24"/>
          <w:szCs w:val="24"/>
        </w:rPr>
        <w:t xml:space="preserve">, </w:t>
      </w:r>
      <w:r w:rsidRPr="00DB6C99">
        <w:rPr>
          <w:rFonts w:ascii="Garamond" w:eastAsia="Times New Roman" w:hAnsi="Garamond" w:cs="Times New Roman"/>
          <w:i/>
          <w:sz w:val="24"/>
          <w:szCs w:val="24"/>
        </w:rPr>
        <w:t>18</w:t>
      </w:r>
      <w:r w:rsidRPr="00DB6C99">
        <w:rPr>
          <w:rFonts w:ascii="Garamond" w:eastAsia="Times New Roman" w:hAnsi="Garamond" w:cs="Times New Roman"/>
          <w:sz w:val="24"/>
          <w:szCs w:val="24"/>
        </w:rPr>
        <w:t>(2), 136-148.</w:t>
      </w:r>
    </w:p>
    <w:p w14:paraId="31174E57" w14:textId="77777777" w:rsidR="001B7C96" w:rsidRPr="00DB6C99" w:rsidRDefault="001B7C96" w:rsidP="004565E9">
      <w:pPr>
        <w:pStyle w:val="NoSpacing"/>
        <w:spacing w:before="100" w:beforeAutospacing="1" w:after="100" w:afterAutospacing="1"/>
        <w:ind w:left="540" w:hanging="540"/>
        <w:jc w:val="both"/>
        <w:rPr>
          <w:rFonts w:ascii="Garamond" w:hAnsi="Garamond" w:cs="Times New Roman"/>
          <w:sz w:val="24"/>
          <w:szCs w:val="24"/>
        </w:rPr>
      </w:pPr>
      <w:r w:rsidRPr="00DB6C99">
        <w:rPr>
          <w:rFonts w:ascii="Garamond" w:hAnsi="Garamond" w:cs="Times New Roman"/>
          <w:sz w:val="24"/>
          <w:szCs w:val="24"/>
        </w:rPr>
        <w:t>Post, C., &amp; Byron, K. (2015). Women on boards and firm financial performance: A meta-analysis. </w:t>
      </w:r>
      <w:r w:rsidRPr="00DB6C99">
        <w:rPr>
          <w:rFonts w:ascii="Garamond" w:hAnsi="Garamond" w:cs="Times New Roman"/>
          <w:i/>
          <w:sz w:val="24"/>
          <w:szCs w:val="24"/>
        </w:rPr>
        <w:t>Academy of management Journal, 58</w:t>
      </w:r>
      <w:r w:rsidRPr="00DB6C99">
        <w:rPr>
          <w:rFonts w:ascii="Garamond" w:hAnsi="Garamond" w:cs="Times New Roman"/>
          <w:sz w:val="24"/>
          <w:szCs w:val="24"/>
        </w:rPr>
        <w:t>(5), 1546-1571.</w:t>
      </w:r>
    </w:p>
    <w:p w14:paraId="39CC821C" w14:textId="77777777" w:rsidR="001B7C96" w:rsidRPr="00DB6C99" w:rsidRDefault="001B7C96" w:rsidP="004565E9">
      <w:pPr>
        <w:pStyle w:val="NoSpacing"/>
        <w:spacing w:before="100" w:beforeAutospacing="1" w:after="100" w:afterAutospacing="1"/>
        <w:ind w:left="540" w:hanging="540"/>
        <w:jc w:val="both"/>
        <w:rPr>
          <w:rFonts w:ascii="Garamond" w:hAnsi="Garamond" w:cs="Times New Roman"/>
          <w:sz w:val="24"/>
          <w:szCs w:val="24"/>
          <w:lang w:eastAsia="en-NZ"/>
        </w:rPr>
      </w:pPr>
      <w:r w:rsidRPr="00DB6C99">
        <w:rPr>
          <w:rFonts w:ascii="Garamond" w:hAnsi="Garamond" w:cs="Times New Roman"/>
          <w:sz w:val="24"/>
          <w:szCs w:val="24"/>
          <w:lang w:eastAsia="en-NZ"/>
        </w:rPr>
        <w:t xml:space="preserve">Post, C., Rahman, N., &amp; Rubow, E. (2011). Green governance: Boards of directors’ composition and environmental corporate social responsibility. </w:t>
      </w:r>
      <w:r w:rsidRPr="00DB6C99">
        <w:rPr>
          <w:rFonts w:ascii="Garamond" w:hAnsi="Garamond" w:cs="Times New Roman"/>
          <w:i/>
          <w:sz w:val="24"/>
          <w:szCs w:val="24"/>
          <w:lang w:eastAsia="en-NZ"/>
        </w:rPr>
        <w:t>Business &amp; Society</w:t>
      </w:r>
      <w:r w:rsidRPr="00DB6C99">
        <w:rPr>
          <w:rFonts w:ascii="Garamond" w:hAnsi="Garamond" w:cs="Times New Roman"/>
          <w:sz w:val="24"/>
          <w:szCs w:val="24"/>
          <w:lang w:eastAsia="en-NZ"/>
        </w:rPr>
        <w:t>, 50(1), 189-223.</w:t>
      </w:r>
    </w:p>
    <w:p w14:paraId="4F4C4295" w14:textId="2C01BC6F" w:rsidR="0074257D" w:rsidRPr="00DB6C99" w:rsidRDefault="0074257D" w:rsidP="0074257D">
      <w:pPr>
        <w:pStyle w:val="NoSpacing"/>
        <w:spacing w:before="100" w:beforeAutospacing="1" w:after="100" w:afterAutospacing="1"/>
        <w:ind w:left="540" w:hanging="540"/>
        <w:jc w:val="both"/>
        <w:rPr>
          <w:rFonts w:ascii="Garamond" w:hAnsi="Garamond" w:cs="Times New Roman"/>
          <w:sz w:val="24"/>
          <w:szCs w:val="24"/>
          <w:lang w:eastAsia="en-NZ"/>
        </w:rPr>
      </w:pPr>
      <w:r w:rsidRPr="00DB6C99">
        <w:rPr>
          <w:rFonts w:ascii="Garamond" w:hAnsi="Garamond" w:cs="Times New Roman"/>
          <w:sz w:val="24"/>
          <w:szCs w:val="24"/>
          <w:lang w:eastAsia="en-NZ"/>
        </w:rPr>
        <w:t>Prado‐Lorenzo, J. M., Gallego‐</w:t>
      </w:r>
      <w:r w:rsidR="005A2DF4" w:rsidRPr="00DB6C99">
        <w:rPr>
          <w:rFonts w:ascii="Garamond" w:hAnsi="Garamond" w:cs="Times New Roman"/>
          <w:sz w:val="24"/>
          <w:szCs w:val="24"/>
          <w:lang w:eastAsia="en-NZ"/>
        </w:rPr>
        <w:t>Á</w:t>
      </w:r>
      <w:r w:rsidRPr="00DB6C99">
        <w:rPr>
          <w:rFonts w:ascii="Garamond" w:hAnsi="Garamond" w:cs="Times New Roman"/>
          <w:sz w:val="24"/>
          <w:szCs w:val="24"/>
          <w:lang w:eastAsia="en-NZ"/>
        </w:rPr>
        <w:t>lvarez, I., &amp; Garc</w:t>
      </w:r>
      <w:r w:rsidR="005A2DF4" w:rsidRPr="00DB6C99">
        <w:rPr>
          <w:rFonts w:ascii="Garamond" w:hAnsi="Garamond" w:cs="Times New Roman"/>
          <w:sz w:val="24"/>
          <w:szCs w:val="24"/>
          <w:lang w:eastAsia="en-NZ"/>
        </w:rPr>
        <w:t>í</w:t>
      </w:r>
      <w:r w:rsidRPr="00DB6C99">
        <w:rPr>
          <w:rFonts w:ascii="Garamond" w:hAnsi="Garamond" w:cs="Times New Roman"/>
          <w:sz w:val="24"/>
          <w:szCs w:val="24"/>
          <w:lang w:eastAsia="en-NZ"/>
        </w:rPr>
        <w:t>a‐S</w:t>
      </w:r>
      <w:r w:rsidR="005A2DF4" w:rsidRPr="00DB6C99">
        <w:rPr>
          <w:rFonts w:ascii="Garamond" w:hAnsi="Garamond" w:cs="Times New Roman"/>
          <w:sz w:val="24"/>
          <w:szCs w:val="24"/>
          <w:lang w:eastAsia="en-NZ"/>
        </w:rPr>
        <w:t>á</w:t>
      </w:r>
      <w:r w:rsidRPr="00DB6C99">
        <w:rPr>
          <w:rFonts w:ascii="Garamond" w:hAnsi="Garamond" w:cs="Times New Roman"/>
          <w:sz w:val="24"/>
          <w:szCs w:val="24"/>
          <w:lang w:eastAsia="en-NZ"/>
        </w:rPr>
        <w:t>nchez, I. M. (2009). Stakeholder engagement and corporate social responsibility reporting: the ownership structure effect. </w:t>
      </w:r>
      <w:r w:rsidRPr="00DB6C99">
        <w:rPr>
          <w:rFonts w:ascii="Garamond" w:hAnsi="Garamond" w:cs="Times New Roman"/>
          <w:i/>
          <w:sz w:val="24"/>
          <w:szCs w:val="24"/>
          <w:lang w:eastAsia="en-NZ"/>
        </w:rPr>
        <w:t>Corporate Social Responsibility and Environmental Management</w:t>
      </w:r>
      <w:r w:rsidRPr="00DB6C99">
        <w:rPr>
          <w:rFonts w:ascii="Garamond" w:hAnsi="Garamond" w:cs="Times New Roman"/>
          <w:sz w:val="24"/>
          <w:szCs w:val="24"/>
          <w:lang w:eastAsia="en-NZ"/>
        </w:rPr>
        <w:t>, 16(2), 94-107.</w:t>
      </w:r>
    </w:p>
    <w:p w14:paraId="17146AE7" w14:textId="77777777" w:rsidR="001B7C96" w:rsidRPr="00DB6C99" w:rsidRDefault="001B7C96" w:rsidP="004565E9">
      <w:pPr>
        <w:pStyle w:val="NoSpacing"/>
        <w:spacing w:before="100" w:beforeAutospacing="1" w:after="100" w:afterAutospacing="1"/>
        <w:ind w:left="540" w:hanging="540"/>
        <w:jc w:val="both"/>
        <w:rPr>
          <w:rFonts w:ascii="Garamond" w:hAnsi="Garamond" w:cs="Times New Roman"/>
          <w:sz w:val="24"/>
          <w:szCs w:val="24"/>
          <w:lang w:eastAsia="en-NZ"/>
        </w:rPr>
      </w:pPr>
      <w:r w:rsidRPr="00DB6C99">
        <w:rPr>
          <w:rFonts w:ascii="Garamond" w:hAnsi="Garamond" w:cs="Times New Roman"/>
          <w:sz w:val="24"/>
          <w:szCs w:val="24"/>
          <w:lang w:eastAsia="en-NZ"/>
        </w:rPr>
        <w:t xml:space="preserve">Rupley, K. H., Brown, D., &amp; Marshall, R. S. (2012). Governance, media and the quality of environmental disclosure. </w:t>
      </w:r>
      <w:r w:rsidRPr="00DB6C99">
        <w:rPr>
          <w:rFonts w:ascii="Garamond" w:hAnsi="Garamond" w:cs="Times New Roman"/>
          <w:i/>
          <w:sz w:val="24"/>
          <w:szCs w:val="24"/>
          <w:lang w:eastAsia="en-NZ"/>
        </w:rPr>
        <w:t>Journal of Accounting and Public Policy</w:t>
      </w:r>
      <w:r w:rsidRPr="00DB6C99">
        <w:rPr>
          <w:rFonts w:ascii="Garamond" w:hAnsi="Garamond" w:cs="Times New Roman"/>
          <w:sz w:val="24"/>
          <w:szCs w:val="24"/>
          <w:lang w:eastAsia="en-NZ"/>
        </w:rPr>
        <w:t>, 31(6), 610-640.</w:t>
      </w:r>
    </w:p>
    <w:p w14:paraId="0555DA84" w14:textId="77777777" w:rsidR="001B7C96" w:rsidRPr="00DB6C99" w:rsidRDefault="001B7C96" w:rsidP="004565E9">
      <w:pPr>
        <w:pStyle w:val="NoSpacing"/>
        <w:spacing w:before="100" w:beforeAutospacing="1" w:after="100" w:afterAutospacing="1"/>
        <w:ind w:left="540" w:hanging="540"/>
        <w:jc w:val="both"/>
        <w:rPr>
          <w:rFonts w:ascii="Garamond" w:hAnsi="Garamond" w:cs="Times New Roman"/>
          <w:sz w:val="24"/>
          <w:szCs w:val="24"/>
          <w:lang w:eastAsia="en-NZ"/>
        </w:rPr>
      </w:pPr>
      <w:r w:rsidRPr="00DB6C99">
        <w:rPr>
          <w:rFonts w:ascii="Garamond" w:hAnsi="Garamond" w:cs="Times New Roman"/>
          <w:sz w:val="24"/>
          <w:szCs w:val="24"/>
          <w:lang w:eastAsia="en-NZ"/>
        </w:rPr>
        <w:lastRenderedPageBreak/>
        <w:t xml:space="preserve">Sauerwald, S., &amp; Su, W. (2019). CEO overconfidence and CSR decoupling. </w:t>
      </w:r>
      <w:r w:rsidRPr="00DB6C99">
        <w:rPr>
          <w:rFonts w:ascii="Garamond" w:hAnsi="Garamond" w:cs="Times New Roman"/>
          <w:i/>
          <w:sz w:val="24"/>
          <w:szCs w:val="24"/>
          <w:lang w:eastAsia="en-NZ"/>
        </w:rPr>
        <w:t>Corporate Governance: An International Review</w:t>
      </w:r>
      <w:r w:rsidRPr="00DB6C99">
        <w:rPr>
          <w:rFonts w:ascii="Garamond" w:hAnsi="Garamond" w:cs="Times New Roman"/>
          <w:sz w:val="24"/>
          <w:szCs w:val="24"/>
          <w:lang w:eastAsia="en-NZ"/>
        </w:rPr>
        <w:t>, 27(4), 283-300.</w:t>
      </w:r>
    </w:p>
    <w:p w14:paraId="49ACAF14" w14:textId="5BD1516F" w:rsidR="001B7C96" w:rsidRPr="00DB6C99" w:rsidRDefault="001B7C96" w:rsidP="000A0FFE">
      <w:pPr>
        <w:spacing w:before="100" w:beforeAutospacing="1" w:after="100" w:afterAutospacing="1" w:line="240" w:lineRule="auto"/>
        <w:ind w:left="540" w:hanging="540"/>
        <w:jc w:val="both"/>
        <w:rPr>
          <w:rFonts w:ascii="Garamond" w:hAnsi="Garamond" w:cs="Times New Roman"/>
          <w:sz w:val="24"/>
          <w:szCs w:val="24"/>
          <w:shd w:val="clear" w:color="auto" w:fill="FCFCFC"/>
        </w:rPr>
      </w:pPr>
      <w:r w:rsidRPr="00DB6C99">
        <w:rPr>
          <w:rFonts w:ascii="Garamond" w:hAnsi="Garamond" w:cs="Times New Roman"/>
          <w:sz w:val="24"/>
          <w:szCs w:val="24"/>
          <w:shd w:val="clear" w:color="auto" w:fill="FFFFFF"/>
        </w:rPr>
        <w:t>Seebeck, A., &amp; Vetter, J. (2021). Not Just a Gender Numbers Game: How Board Gender Diversity Affects Corporate Risk Disclosure. </w:t>
      </w:r>
      <w:r w:rsidRPr="00DB6C99">
        <w:rPr>
          <w:rFonts w:ascii="Garamond" w:hAnsi="Garamond" w:cs="Times New Roman"/>
          <w:i/>
          <w:iCs/>
          <w:sz w:val="24"/>
          <w:szCs w:val="24"/>
          <w:shd w:val="clear" w:color="auto" w:fill="FFFFFF"/>
        </w:rPr>
        <w:t>Journal of Business Ethics</w:t>
      </w:r>
      <w:r w:rsidRPr="00DB6C99">
        <w:rPr>
          <w:rFonts w:ascii="Garamond" w:hAnsi="Garamond" w:cs="Times New Roman"/>
          <w:sz w:val="24"/>
          <w:szCs w:val="24"/>
          <w:shd w:val="clear" w:color="auto" w:fill="FFFFFF"/>
        </w:rPr>
        <w:t xml:space="preserve">, 1-26. DOI: </w:t>
      </w:r>
      <w:hyperlink r:id="rId15" w:history="1">
        <w:r w:rsidRPr="00DB6C99">
          <w:rPr>
            <w:rStyle w:val="Hyperlink"/>
            <w:rFonts w:ascii="Garamond" w:hAnsi="Garamond" w:cs="Times New Roman"/>
            <w:color w:val="auto"/>
            <w:sz w:val="24"/>
            <w:szCs w:val="24"/>
            <w:shd w:val="clear" w:color="auto" w:fill="FCFCFC"/>
          </w:rPr>
          <w:t>https://doi.org/10.1007/s10551-020-04690-3</w:t>
        </w:r>
      </w:hyperlink>
    </w:p>
    <w:p w14:paraId="05C4D0B6" w14:textId="7048BD61" w:rsidR="0005361D" w:rsidRPr="00DB6C99" w:rsidRDefault="0005361D" w:rsidP="004565E9">
      <w:pPr>
        <w:pStyle w:val="NoSpacing"/>
        <w:spacing w:before="100" w:beforeAutospacing="1" w:after="100" w:afterAutospacing="1"/>
        <w:ind w:left="540" w:hanging="540"/>
        <w:jc w:val="both"/>
        <w:rPr>
          <w:rFonts w:ascii="Garamond" w:hAnsi="Garamond" w:cs="Times New Roman"/>
          <w:sz w:val="24"/>
          <w:szCs w:val="24"/>
          <w:lang w:eastAsia="en-NZ"/>
        </w:rPr>
      </w:pPr>
      <w:r w:rsidRPr="00DB6C99">
        <w:rPr>
          <w:rFonts w:ascii="Garamond" w:hAnsi="Garamond" w:cs="Times New Roman"/>
          <w:sz w:val="24"/>
          <w:szCs w:val="24"/>
          <w:lang w:eastAsia="en-NZ"/>
        </w:rPr>
        <w:t>Shahab, Y., Gull, A. A., Rind, A. A., Sarang, A. A. A., &amp; Ahsan, T. (2022). Do corporate governance mechanisms curb the anti-environmental behavior of firms worldwide? An illustration through waste management. </w:t>
      </w:r>
      <w:r w:rsidRPr="00DB6C99">
        <w:rPr>
          <w:rFonts w:ascii="Garamond" w:hAnsi="Garamond" w:cs="Times New Roman"/>
          <w:i/>
          <w:iCs/>
          <w:sz w:val="24"/>
          <w:szCs w:val="24"/>
          <w:lang w:eastAsia="en-NZ"/>
        </w:rPr>
        <w:t>Journal of Environmental Management</w:t>
      </w:r>
      <w:r w:rsidRPr="00DB6C99">
        <w:rPr>
          <w:rFonts w:ascii="Garamond" w:hAnsi="Garamond" w:cs="Times New Roman"/>
          <w:sz w:val="24"/>
          <w:szCs w:val="24"/>
          <w:lang w:eastAsia="en-NZ"/>
        </w:rPr>
        <w:t>, </w:t>
      </w:r>
      <w:r w:rsidRPr="00DB6C99">
        <w:rPr>
          <w:rFonts w:ascii="Garamond" w:hAnsi="Garamond" w:cs="Times New Roman"/>
          <w:i/>
          <w:iCs/>
          <w:sz w:val="24"/>
          <w:szCs w:val="24"/>
          <w:lang w:eastAsia="en-NZ"/>
        </w:rPr>
        <w:t>310</w:t>
      </w:r>
      <w:r w:rsidRPr="00DB6C99">
        <w:rPr>
          <w:rFonts w:ascii="Garamond" w:hAnsi="Garamond" w:cs="Times New Roman"/>
          <w:sz w:val="24"/>
          <w:szCs w:val="24"/>
          <w:lang w:eastAsia="en-NZ"/>
        </w:rPr>
        <w:t>, 114707.</w:t>
      </w:r>
    </w:p>
    <w:p w14:paraId="00C563CB" w14:textId="36EB8E74" w:rsidR="001B7C96" w:rsidRPr="00DB6C99" w:rsidRDefault="001B7C96" w:rsidP="004565E9">
      <w:pPr>
        <w:pStyle w:val="NoSpacing"/>
        <w:spacing w:before="100" w:beforeAutospacing="1" w:after="100" w:afterAutospacing="1"/>
        <w:ind w:left="540" w:hanging="540"/>
        <w:jc w:val="both"/>
        <w:rPr>
          <w:rFonts w:ascii="Garamond" w:hAnsi="Garamond" w:cs="Times New Roman"/>
          <w:sz w:val="24"/>
          <w:szCs w:val="24"/>
          <w:lang w:eastAsia="en-NZ"/>
        </w:rPr>
      </w:pPr>
      <w:r w:rsidRPr="00DB6C99">
        <w:rPr>
          <w:rFonts w:ascii="Garamond" w:hAnsi="Garamond" w:cs="Times New Roman"/>
          <w:sz w:val="24"/>
          <w:szCs w:val="24"/>
          <w:lang w:eastAsia="en-NZ"/>
        </w:rPr>
        <w:t xml:space="preserve">Sila, V., Gonzalez, A., &amp; Hagendorff, J. (2016). Women on board: Does boardroom gender diversity affect firm risk?. </w:t>
      </w:r>
      <w:r w:rsidRPr="00DB6C99">
        <w:rPr>
          <w:rFonts w:ascii="Garamond" w:hAnsi="Garamond" w:cs="Times New Roman"/>
          <w:i/>
          <w:sz w:val="24"/>
          <w:szCs w:val="24"/>
          <w:lang w:eastAsia="en-NZ"/>
        </w:rPr>
        <w:t>Journal of Corporate Finance</w:t>
      </w:r>
      <w:r w:rsidRPr="00DB6C99">
        <w:rPr>
          <w:rFonts w:ascii="Garamond" w:hAnsi="Garamond" w:cs="Times New Roman"/>
          <w:sz w:val="24"/>
          <w:szCs w:val="24"/>
          <w:lang w:eastAsia="en-NZ"/>
        </w:rPr>
        <w:t>, 36, 26-53.</w:t>
      </w:r>
    </w:p>
    <w:p w14:paraId="10437337" w14:textId="77777777" w:rsidR="001B7C96" w:rsidRPr="00DB6C99" w:rsidRDefault="001B7C96" w:rsidP="004565E9">
      <w:pPr>
        <w:pStyle w:val="NoSpacing"/>
        <w:spacing w:before="100" w:beforeAutospacing="1" w:after="100" w:afterAutospacing="1"/>
        <w:ind w:left="540" w:hanging="540"/>
        <w:jc w:val="both"/>
        <w:rPr>
          <w:rFonts w:ascii="Garamond" w:hAnsi="Garamond" w:cs="Times New Roman"/>
          <w:sz w:val="24"/>
          <w:szCs w:val="24"/>
          <w:lang w:eastAsia="en-NZ"/>
        </w:rPr>
      </w:pPr>
      <w:r w:rsidRPr="00DB6C99">
        <w:rPr>
          <w:rFonts w:ascii="Garamond" w:hAnsi="Garamond" w:cs="Times New Roman"/>
          <w:sz w:val="24"/>
          <w:szCs w:val="24"/>
          <w:lang w:val="en-US" w:eastAsia="en-NZ"/>
        </w:rPr>
        <w:t xml:space="preserve">Tashman, P., Marano, V., &amp; Kostova, T. (2019). </w:t>
      </w:r>
      <w:r w:rsidRPr="00DB6C99">
        <w:rPr>
          <w:rFonts w:ascii="Garamond" w:hAnsi="Garamond" w:cs="Times New Roman"/>
          <w:sz w:val="24"/>
          <w:szCs w:val="24"/>
          <w:lang w:eastAsia="en-NZ"/>
        </w:rPr>
        <w:t xml:space="preserve">Walking the walk or talking the talk? Corporate social responsibility decoupling in emerging market multinationals. </w:t>
      </w:r>
      <w:r w:rsidRPr="00DB6C99">
        <w:rPr>
          <w:rFonts w:ascii="Garamond" w:hAnsi="Garamond" w:cs="Times New Roman"/>
          <w:i/>
          <w:iCs/>
          <w:sz w:val="24"/>
          <w:szCs w:val="24"/>
          <w:lang w:eastAsia="en-NZ"/>
        </w:rPr>
        <w:t>Journal of International Business Studies</w:t>
      </w:r>
      <w:r w:rsidRPr="00DB6C99">
        <w:rPr>
          <w:rFonts w:ascii="Garamond" w:hAnsi="Garamond" w:cs="Times New Roman"/>
          <w:sz w:val="24"/>
          <w:szCs w:val="24"/>
          <w:lang w:eastAsia="en-NZ"/>
        </w:rPr>
        <w:t xml:space="preserve">, </w:t>
      </w:r>
      <w:r w:rsidRPr="00DB6C99">
        <w:rPr>
          <w:rFonts w:ascii="Garamond" w:hAnsi="Garamond" w:cs="Times New Roman"/>
          <w:i/>
          <w:iCs/>
          <w:sz w:val="24"/>
          <w:szCs w:val="24"/>
          <w:lang w:eastAsia="en-NZ"/>
        </w:rPr>
        <w:t>50</w:t>
      </w:r>
      <w:r w:rsidRPr="00DB6C99">
        <w:rPr>
          <w:rFonts w:ascii="Garamond" w:hAnsi="Garamond" w:cs="Times New Roman"/>
          <w:sz w:val="24"/>
          <w:szCs w:val="24"/>
          <w:lang w:eastAsia="en-NZ"/>
        </w:rPr>
        <w:t>(2), 153-171.</w:t>
      </w:r>
    </w:p>
    <w:p w14:paraId="06A7B520" w14:textId="77777777" w:rsidR="001B7C96" w:rsidRPr="00DB6C99" w:rsidRDefault="001B7C96" w:rsidP="007C1FF3">
      <w:pPr>
        <w:pStyle w:val="NoSpacing"/>
        <w:spacing w:before="100" w:beforeAutospacing="1" w:after="100" w:afterAutospacing="1"/>
        <w:ind w:left="540" w:hanging="540"/>
        <w:jc w:val="both"/>
        <w:rPr>
          <w:rFonts w:ascii="Garamond" w:hAnsi="Garamond"/>
          <w:lang w:eastAsia="en-NZ"/>
        </w:rPr>
      </w:pPr>
      <w:r w:rsidRPr="00DB6C99">
        <w:rPr>
          <w:rFonts w:ascii="Garamond" w:hAnsi="Garamond" w:cs="Times New Roman"/>
          <w:sz w:val="24"/>
          <w:szCs w:val="24"/>
          <w:lang w:val="fr-FR" w:eastAsia="en-NZ"/>
        </w:rPr>
        <w:t xml:space="preserve">Tata, J., &amp; Prasad, S. (2014). CSR communication: An impression management perspective. </w:t>
      </w:r>
      <w:r w:rsidRPr="00DB6C99">
        <w:rPr>
          <w:rFonts w:ascii="Garamond" w:hAnsi="Garamond" w:cs="Times New Roman"/>
          <w:i/>
          <w:iCs/>
          <w:sz w:val="24"/>
          <w:szCs w:val="24"/>
          <w:lang w:eastAsia="en-NZ"/>
        </w:rPr>
        <w:t>Journal of Business Ethics, 132</w:t>
      </w:r>
      <w:r w:rsidRPr="00DB6C99">
        <w:rPr>
          <w:rFonts w:ascii="Garamond" w:hAnsi="Garamond" w:cs="Times New Roman"/>
          <w:sz w:val="24"/>
          <w:szCs w:val="24"/>
          <w:lang w:eastAsia="en-NZ"/>
        </w:rPr>
        <w:t>, 765–778.</w:t>
      </w:r>
    </w:p>
    <w:p w14:paraId="6ADC47EE" w14:textId="77777777" w:rsidR="001B7C96" w:rsidRPr="00DB6C99" w:rsidRDefault="001B7C96" w:rsidP="004565E9">
      <w:pPr>
        <w:pStyle w:val="NoSpacing"/>
        <w:spacing w:before="100" w:beforeAutospacing="1" w:after="100" w:afterAutospacing="1"/>
        <w:ind w:left="540" w:hanging="540"/>
        <w:jc w:val="both"/>
        <w:rPr>
          <w:rFonts w:ascii="Garamond" w:hAnsi="Garamond" w:cs="Times New Roman"/>
          <w:sz w:val="24"/>
          <w:szCs w:val="24"/>
          <w:lang w:eastAsia="en-NZ"/>
        </w:rPr>
      </w:pPr>
      <w:r w:rsidRPr="00DB6C99">
        <w:rPr>
          <w:rFonts w:ascii="Garamond" w:hAnsi="Garamond" w:cs="Times New Roman"/>
          <w:sz w:val="24"/>
          <w:szCs w:val="24"/>
          <w:lang w:eastAsia="en-NZ"/>
        </w:rPr>
        <w:t xml:space="preserve">Thorne, L., Massey, D. W., &amp; Magnan, M. (2003). Institutional context and auditors' moral reasoning: A Canada-US comparison. </w:t>
      </w:r>
      <w:r w:rsidRPr="00DB6C99">
        <w:rPr>
          <w:rFonts w:ascii="Garamond" w:hAnsi="Garamond" w:cs="Times New Roman"/>
          <w:i/>
          <w:sz w:val="24"/>
          <w:szCs w:val="24"/>
          <w:lang w:eastAsia="en-NZ"/>
        </w:rPr>
        <w:t>Journal of Business Ethics</w:t>
      </w:r>
      <w:r w:rsidRPr="00DB6C99">
        <w:rPr>
          <w:rFonts w:ascii="Garamond" w:hAnsi="Garamond" w:cs="Times New Roman"/>
          <w:sz w:val="24"/>
          <w:szCs w:val="24"/>
          <w:lang w:eastAsia="en-NZ"/>
        </w:rPr>
        <w:t>, 43(4), 305-321.</w:t>
      </w:r>
    </w:p>
    <w:p w14:paraId="1FC0599B" w14:textId="77777777" w:rsidR="001B7C96" w:rsidRPr="00DB6C99" w:rsidRDefault="001B7C96" w:rsidP="004565E9">
      <w:pPr>
        <w:pStyle w:val="NoSpacing"/>
        <w:spacing w:before="100" w:beforeAutospacing="1" w:after="100" w:afterAutospacing="1"/>
        <w:ind w:left="540" w:hanging="540"/>
        <w:jc w:val="both"/>
        <w:rPr>
          <w:rFonts w:ascii="Garamond" w:hAnsi="Garamond" w:cs="Times New Roman"/>
          <w:sz w:val="24"/>
          <w:szCs w:val="24"/>
          <w:lang w:eastAsia="en-NZ"/>
        </w:rPr>
      </w:pPr>
      <w:r w:rsidRPr="00DB6C99">
        <w:rPr>
          <w:rFonts w:ascii="Garamond" w:hAnsi="Garamond" w:cs="Times New Roman"/>
          <w:sz w:val="24"/>
          <w:szCs w:val="24"/>
          <w:lang w:eastAsia="en-NZ"/>
        </w:rPr>
        <w:t xml:space="preserve">Torchia, M., Calabrò, A., &amp; Huse, M. (2011). Women directors on corporate boards: From tokenism to critical mass. </w:t>
      </w:r>
      <w:r w:rsidRPr="00DB6C99">
        <w:rPr>
          <w:rFonts w:ascii="Garamond" w:hAnsi="Garamond" w:cs="Times New Roman"/>
          <w:i/>
          <w:sz w:val="24"/>
          <w:szCs w:val="24"/>
          <w:lang w:eastAsia="en-NZ"/>
        </w:rPr>
        <w:t>Journal of Business Ethics</w:t>
      </w:r>
      <w:r w:rsidRPr="00DB6C99">
        <w:rPr>
          <w:rFonts w:ascii="Garamond" w:hAnsi="Garamond" w:cs="Times New Roman"/>
          <w:sz w:val="24"/>
          <w:szCs w:val="24"/>
          <w:lang w:eastAsia="en-NZ"/>
        </w:rPr>
        <w:t>, 102(2), 299-317.</w:t>
      </w:r>
    </w:p>
    <w:p w14:paraId="24A7D91B" w14:textId="6D9C43B0" w:rsidR="001B7C96" w:rsidRPr="00DB6C99" w:rsidRDefault="001B7C96" w:rsidP="004565E9">
      <w:pPr>
        <w:spacing w:before="100" w:beforeAutospacing="1" w:after="100" w:afterAutospacing="1" w:line="240" w:lineRule="auto"/>
        <w:ind w:left="540" w:hanging="540"/>
        <w:jc w:val="both"/>
        <w:rPr>
          <w:rFonts w:ascii="Garamond" w:hAnsi="Garamond" w:cs="Times New Roman"/>
          <w:sz w:val="24"/>
          <w:szCs w:val="24"/>
        </w:rPr>
      </w:pPr>
      <w:r w:rsidRPr="00DB6C99">
        <w:rPr>
          <w:rFonts w:ascii="Garamond" w:hAnsi="Garamond" w:cs="Times New Roman"/>
          <w:sz w:val="24"/>
          <w:szCs w:val="24"/>
        </w:rPr>
        <w:t>Usman, M., Gull, A. A., Zalata, A. M., Wang, F., &amp; Yin, J. (2022). Female Board Directorships and Related Party Transactions. </w:t>
      </w:r>
      <w:r w:rsidRPr="00DB6C99">
        <w:rPr>
          <w:rFonts w:ascii="Garamond" w:hAnsi="Garamond" w:cs="Times New Roman"/>
          <w:i/>
          <w:iCs/>
          <w:sz w:val="24"/>
          <w:szCs w:val="24"/>
        </w:rPr>
        <w:t>British Journal of Management</w:t>
      </w:r>
      <w:r w:rsidR="001605B9" w:rsidRPr="00DB6C99">
        <w:rPr>
          <w:rFonts w:ascii="Garamond" w:hAnsi="Garamond" w:cs="Times New Roman"/>
          <w:sz w:val="24"/>
          <w:szCs w:val="24"/>
        </w:rPr>
        <w:t xml:space="preserve">, </w:t>
      </w:r>
      <w:r w:rsidR="001605B9" w:rsidRPr="00DB6C99">
        <w:rPr>
          <w:rFonts w:ascii="Garamond" w:hAnsi="Garamond" w:cs="Times New Roman"/>
          <w:i/>
          <w:iCs/>
          <w:sz w:val="24"/>
          <w:szCs w:val="24"/>
        </w:rPr>
        <w:t>33</w:t>
      </w:r>
      <w:r w:rsidR="001605B9" w:rsidRPr="00DB6C99">
        <w:rPr>
          <w:rFonts w:ascii="Garamond" w:hAnsi="Garamond" w:cs="Times New Roman"/>
          <w:sz w:val="24"/>
          <w:szCs w:val="24"/>
        </w:rPr>
        <w:t>,</w:t>
      </w:r>
      <w:r w:rsidR="006F070F" w:rsidRPr="00DB6C99">
        <w:rPr>
          <w:rFonts w:ascii="Garamond" w:hAnsi="Garamond" w:cs="Times New Roman"/>
          <w:sz w:val="24"/>
          <w:szCs w:val="24"/>
        </w:rPr>
        <w:t xml:space="preserve"> </w:t>
      </w:r>
      <w:r w:rsidR="001605B9" w:rsidRPr="00DB6C99">
        <w:rPr>
          <w:rFonts w:ascii="Garamond" w:hAnsi="Garamond" w:cs="Times New Roman"/>
          <w:sz w:val="24"/>
          <w:szCs w:val="24"/>
        </w:rPr>
        <w:t>678-702.</w:t>
      </w:r>
      <w:r w:rsidR="001605B9" w:rsidRPr="00DB6C99" w:rsidDel="001605B9">
        <w:rPr>
          <w:rFonts w:ascii="Garamond" w:hAnsi="Garamond" w:cs="Times New Roman"/>
          <w:sz w:val="24"/>
          <w:szCs w:val="24"/>
        </w:rPr>
        <w:t xml:space="preserve"> </w:t>
      </w:r>
    </w:p>
    <w:p w14:paraId="08B32D1B" w14:textId="77777777" w:rsidR="001B7C96" w:rsidRPr="00DB6C99" w:rsidRDefault="001B7C96" w:rsidP="007C1FF3">
      <w:pPr>
        <w:pStyle w:val="NoSpacing"/>
        <w:spacing w:before="100" w:beforeAutospacing="1" w:after="100" w:afterAutospacing="1"/>
        <w:ind w:left="540" w:hanging="540"/>
        <w:jc w:val="both"/>
        <w:rPr>
          <w:rFonts w:ascii="Garamond" w:hAnsi="Garamond" w:cs="Times New Roman"/>
          <w:sz w:val="24"/>
          <w:szCs w:val="24"/>
          <w:lang w:eastAsia="en-NZ"/>
        </w:rPr>
      </w:pPr>
      <w:r w:rsidRPr="00DB6C99">
        <w:rPr>
          <w:rFonts w:ascii="Garamond" w:hAnsi="Garamond" w:cs="Times New Roman"/>
          <w:sz w:val="24"/>
          <w:szCs w:val="24"/>
          <w:lang w:eastAsia="en-NZ"/>
        </w:rPr>
        <w:t xml:space="preserve">Waddock, S. A., &amp; Graves, S. B. (1997). The corporate social performance–financial performance link. </w:t>
      </w:r>
      <w:r w:rsidRPr="00DB6C99">
        <w:rPr>
          <w:rFonts w:ascii="Garamond" w:hAnsi="Garamond" w:cs="Times New Roman"/>
          <w:i/>
          <w:iCs/>
          <w:sz w:val="24"/>
          <w:szCs w:val="24"/>
          <w:lang w:eastAsia="en-NZ"/>
        </w:rPr>
        <w:t>Strategic Management Journal, 18</w:t>
      </w:r>
      <w:r w:rsidRPr="00DB6C99">
        <w:rPr>
          <w:rFonts w:ascii="Garamond" w:hAnsi="Garamond" w:cs="Times New Roman"/>
          <w:sz w:val="24"/>
          <w:szCs w:val="24"/>
          <w:lang w:eastAsia="en-NZ"/>
        </w:rPr>
        <w:t xml:space="preserve">(4), 303–319. </w:t>
      </w:r>
    </w:p>
    <w:p w14:paraId="5CD61DFA" w14:textId="77777777" w:rsidR="001B7C96" w:rsidRPr="00DB6C99" w:rsidRDefault="001B7C96" w:rsidP="004565E9">
      <w:pPr>
        <w:pStyle w:val="NoSpacing"/>
        <w:spacing w:before="100" w:beforeAutospacing="1" w:after="100" w:afterAutospacing="1"/>
        <w:ind w:left="540" w:hanging="540"/>
        <w:jc w:val="both"/>
        <w:rPr>
          <w:rFonts w:ascii="Garamond" w:hAnsi="Garamond" w:cs="Times New Roman"/>
          <w:sz w:val="24"/>
          <w:szCs w:val="24"/>
          <w:lang w:eastAsia="en-NZ"/>
        </w:rPr>
      </w:pPr>
      <w:r w:rsidRPr="00DB6C99">
        <w:rPr>
          <w:rFonts w:ascii="Garamond" w:hAnsi="Garamond" w:cs="Times New Roman"/>
          <w:sz w:val="24"/>
          <w:szCs w:val="24"/>
          <w:lang w:eastAsia="en-NZ"/>
        </w:rPr>
        <w:t xml:space="preserve">Wahid, A. S. (2019). The effects and the mechanisms of board gender diversity: Evidence from financial manipulation. </w:t>
      </w:r>
      <w:r w:rsidRPr="00DB6C99">
        <w:rPr>
          <w:rFonts w:ascii="Garamond" w:hAnsi="Garamond" w:cs="Times New Roman"/>
          <w:i/>
          <w:sz w:val="24"/>
          <w:szCs w:val="24"/>
          <w:lang w:eastAsia="en-NZ"/>
        </w:rPr>
        <w:t>Journal of Business Ethics</w:t>
      </w:r>
      <w:r w:rsidRPr="00DB6C99">
        <w:rPr>
          <w:rFonts w:ascii="Garamond" w:hAnsi="Garamond" w:cs="Times New Roman"/>
          <w:sz w:val="24"/>
          <w:szCs w:val="24"/>
          <w:lang w:eastAsia="en-NZ"/>
        </w:rPr>
        <w:t>, 159(3), 705-725.</w:t>
      </w:r>
    </w:p>
    <w:p w14:paraId="54278C6F" w14:textId="77777777" w:rsidR="001B7C96" w:rsidRPr="00DB6C99" w:rsidRDefault="001B7C96" w:rsidP="004565E9">
      <w:pPr>
        <w:pStyle w:val="NoSpacing"/>
        <w:spacing w:before="100" w:beforeAutospacing="1" w:after="100" w:afterAutospacing="1"/>
        <w:ind w:left="540" w:hanging="540"/>
        <w:jc w:val="both"/>
        <w:rPr>
          <w:rFonts w:ascii="Garamond" w:hAnsi="Garamond" w:cs="Times New Roman"/>
          <w:sz w:val="24"/>
          <w:szCs w:val="24"/>
          <w:lang w:eastAsia="en-NZ"/>
        </w:rPr>
      </w:pPr>
      <w:r w:rsidRPr="00DB6C99">
        <w:rPr>
          <w:rFonts w:ascii="Garamond" w:hAnsi="Garamond" w:cs="Times New Roman"/>
          <w:sz w:val="24"/>
          <w:szCs w:val="24"/>
          <w:lang w:eastAsia="en-NZ"/>
        </w:rPr>
        <w:t xml:space="preserve">Williams, R. J. (2003). Women on corporate boards of directors and their influence on corporate philanthropy. </w:t>
      </w:r>
      <w:r w:rsidRPr="00DB6C99">
        <w:rPr>
          <w:rFonts w:ascii="Garamond" w:hAnsi="Garamond" w:cs="Times New Roman"/>
          <w:i/>
          <w:sz w:val="24"/>
          <w:szCs w:val="24"/>
          <w:lang w:eastAsia="en-NZ"/>
        </w:rPr>
        <w:t>Journal of Business Ethics</w:t>
      </w:r>
      <w:r w:rsidRPr="00DB6C99">
        <w:rPr>
          <w:rFonts w:ascii="Garamond" w:hAnsi="Garamond" w:cs="Times New Roman"/>
          <w:sz w:val="24"/>
          <w:szCs w:val="24"/>
          <w:lang w:eastAsia="en-NZ"/>
        </w:rPr>
        <w:t>, 42(1), 1-10.</w:t>
      </w:r>
    </w:p>
    <w:p w14:paraId="0C437158" w14:textId="77777777" w:rsidR="001B7C96" w:rsidRPr="00DB6C99" w:rsidRDefault="001B7C96" w:rsidP="007C1FF3">
      <w:pPr>
        <w:pStyle w:val="NoSpacing"/>
        <w:spacing w:before="100" w:beforeAutospacing="1" w:after="100" w:afterAutospacing="1"/>
        <w:ind w:left="540" w:hanging="540"/>
        <w:jc w:val="both"/>
        <w:rPr>
          <w:rFonts w:ascii="Garamond" w:hAnsi="Garamond" w:cs="Times New Roman"/>
          <w:sz w:val="24"/>
          <w:szCs w:val="24"/>
          <w:lang w:eastAsia="en-NZ"/>
        </w:rPr>
      </w:pPr>
      <w:r w:rsidRPr="00DB6C99">
        <w:rPr>
          <w:rFonts w:ascii="Garamond" w:hAnsi="Garamond" w:cs="Times New Roman"/>
          <w:sz w:val="24"/>
          <w:szCs w:val="24"/>
          <w:lang w:eastAsia="en-NZ"/>
        </w:rPr>
        <w:t xml:space="preserve">Winn, M. L., &amp; Angell, L. C. (2000). Towards a process model of corporate greening. </w:t>
      </w:r>
      <w:r w:rsidRPr="00DB6C99">
        <w:rPr>
          <w:rFonts w:ascii="Garamond" w:hAnsi="Garamond" w:cs="Times New Roman"/>
          <w:i/>
          <w:iCs/>
          <w:sz w:val="24"/>
          <w:szCs w:val="24"/>
          <w:lang w:eastAsia="en-NZ"/>
        </w:rPr>
        <w:t>Organization Studies, 21</w:t>
      </w:r>
      <w:r w:rsidRPr="00DB6C99">
        <w:rPr>
          <w:rFonts w:ascii="Garamond" w:hAnsi="Garamond" w:cs="Times New Roman"/>
          <w:sz w:val="24"/>
          <w:szCs w:val="24"/>
          <w:lang w:eastAsia="en-NZ"/>
        </w:rPr>
        <w:t xml:space="preserve">(6), 1119–1147. </w:t>
      </w:r>
    </w:p>
    <w:p w14:paraId="048CC31E" w14:textId="77777777" w:rsidR="001B7C96" w:rsidRPr="00DB6C99" w:rsidRDefault="001B7C96" w:rsidP="004565E9">
      <w:pPr>
        <w:spacing w:before="100" w:beforeAutospacing="1" w:after="100" w:afterAutospacing="1" w:line="240" w:lineRule="auto"/>
        <w:ind w:left="540" w:hanging="540"/>
        <w:jc w:val="both"/>
        <w:rPr>
          <w:rFonts w:ascii="Garamond" w:hAnsi="Garamond" w:cs="Times New Roman"/>
          <w:sz w:val="24"/>
          <w:szCs w:val="24"/>
        </w:rPr>
      </w:pPr>
      <w:r w:rsidRPr="00DB6C99">
        <w:rPr>
          <w:rFonts w:ascii="Garamond" w:hAnsi="Garamond" w:cs="Times New Roman"/>
          <w:sz w:val="24"/>
          <w:szCs w:val="24"/>
        </w:rPr>
        <w:t>Zalata, A. M., Ntim, C. G., Choudhry, T., Hassanein, A., &amp; Elzahar, H. (2019). Female directors and managerial opportunism: Monitoring versus advisory female directors. </w:t>
      </w:r>
      <w:r w:rsidRPr="00DB6C99">
        <w:rPr>
          <w:rFonts w:ascii="Garamond" w:hAnsi="Garamond" w:cs="Times New Roman"/>
          <w:i/>
          <w:iCs/>
          <w:sz w:val="24"/>
          <w:szCs w:val="24"/>
        </w:rPr>
        <w:t>The Leadership Quarterly</w:t>
      </w:r>
      <w:r w:rsidRPr="00DB6C99">
        <w:rPr>
          <w:rFonts w:ascii="Garamond" w:hAnsi="Garamond" w:cs="Times New Roman"/>
          <w:sz w:val="24"/>
          <w:szCs w:val="24"/>
        </w:rPr>
        <w:t>, </w:t>
      </w:r>
      <w:r w:rsidRPr="00DB6C99">
        <w:rPr>
          <w:rFonts w:ascii="Garamond" w:hAnsi="Garamond" w:cs="Times New Roman"/>
          <w:i/>
          <w:iCs/>
          <w:sz w:val="24"/>
          <w:szCs w:val="24"/>
        </w:rPr>
        <w:t>30</w:t>
      </w:r>
      <w:r w:rsidRPr="00DB6C99">
        <w:rPr>
          <w:rFonts w:ascii="Garamond" w:hAnsi="Garamond" w:cs="Times New Roman"/>
          <w:sz w:val="24"/>
          <w:szCs w:val="24"/>
        </w:rPr>
        <w:t>(5), 101309.</w:t>
      </w:r>
    </w:p>
    <w:p w14:paraId="2726088D" w14:textId="77777777" w:rsidR="001B7C96" w:rsidRPr="00DB6C99" w:rsidRDefault="001B7C96" w:rsidP="004565E9">
      <w:pPr>
        <w:spacing w:before="100" w:beforeAutospacing="1" w:after="100" w:afterAutospacing="1" w:line="240" w:lineRule="auto"/>
        <w:ind w:left="540" w:hanging="540"/>
        <w:jc w:val="both"/>
        <w:rPr>
          <w:rFonts w:ascii="Garamond" w:hAnsi="Garamond" w:cs="Times New Roman"/>
          <w:sz w:val="24"/>
          <w:szCs w:val="24"/>
          <w:lang w:val="en-IE"/>
        </w:rPr>
      </w:pPr>
      <w:r w:rsidRPr="00DB6C99">
        <w:rPr>
          <w:rFonts w:ascii="Garamond" w:hAnsi="Garamond" w:cs="Times New Roman"/>
          <w:sz w:val="24"/>
          <w:szCs w:val="24"/>
          <w:lang w:val="en-GB"/>
        </w:rPr>
        <w:lastRenderedPageBreak/>
        <w:t xml:space="preserve">Zaman, R., Jain, T., Samara, G., &amp; Jamali, D. (2020). </w:t>
      </w:r>
      <w:r w:rsidRPr="00DB6C99">
        <w:rPr>
          <w:rFonts w:ascii="Garamond" w:hAnsi="Garamond" w:cs="Times New Roman"/>
          <w:sz w:val="24"/>
          <w:szCs w:val="24"/>
          <w:lang w:val="en-IE"/>
        </w:rPr>
        <w:t>Corporate governance meets corporate social responsibility: Mapping the interface. </w:t>
      </w:r>
      <w:r w:rsidRPr="00DB6C99">
        <w:rPr>
          <w:rFonts w:ascii="Garamond" w:hAnsi="Garamond" w:cs="Times New Roman"/>
          <w:i/>
          <w:iCs/>
          <w:sz w:val="24"/>
          <w:szCs w:val="24"/>
          <w:lang w:val="en-IE"/>
        </w:rPr>
        <w:t>Business &amp; Society</w:t>
      </w:r>
      <w:r w:rsidRPr="00DB6C99">
        <w:rPr>
          <w:rFonts w:ascii="Garamond" w:hAnsi="Garamond" w:cs="Times New Roman"/>
          <w:sz w:val="24"/>
          <w:szCs w:val="24"/>
          <w:lang w:val="en-IE"/>
        </w:rPr>
        <w:t>, 0007650320973415.</w:t>
      </w:r>
    </w:p>
    <w:p w14:paraId="103289A0" w14:textId="77777777" w:rsidR="007C344D" w:rsidRPr="00DB6C99" w:rsidRDefault="001B7C96" w:rsidP="004565E9">
      <w:pPr>
        <w:pStyle w:val="NoSpacing"/>
        <w:spacing w:before="100" w:beforeAutospacing="1" w:after="100" w:afterAutospacing="1"/>
        <w:ind w:left="540" w:hanging="540"/>
        <w:jc w:val="both"/>
        <w:rPr>
          <w:rFonts w:ascii="Garamond" w:hAnsi="Garamond" w:cs="Times New Roman"/>
          <w:sz w:val="24"/>
          <w:szCs w:val="24"/>
        </w:rPr>
        <w:sectPr w:rsidR="007C344D" w:rsidRPr="00DB6C99" w:rsidSect="000225CF">
          <w:pgSz w:w="12240" w:h="15840"/>
          <w:pgMar w:top="1440" w:right="1440" w:bottom="1440" w:left="1440" w:header="720" w:footer="720" w:gutter="0"/>
          <w:cols w:space="720"/>
          <w:docGrid w:linePitch="360"/>
        </w:sectPr>
      </w:pPr>
      <w:r w:rsidRPr="00DB6C99">
        <w:rPr>
          <w:rFonts w:ascii="Garamond" w:hAnsi="Garamond" w:cs="Times New Roman"/>
          <w:sz w:val="24"/>
          <w:szCs w:val="24"/>
          <w:lang w:val="en-US"/>
        </w:rPr>
        <w:t xml:space="preserve">Zhang, J. Q., Zhu, H., &amp; Ding, H. B. (2013). </w:t>
      </w:r>
      <w:r w:rsidRPr="00DB6C99">
        <w:rPr>
          <w:rFonts w:ascii="Garamond" w:hAnsi="Garamond" w:cs="Times New Roman"/>
          <w:sz w:val="24"/>
          <w:szCs w:val="24"/>
        </w:rPr>
        <w:t xml:space="preserve">Board composition and corporate social responsibility: An empirical investigation in the post Sarbanes-Oxley era. </w:t>
      </w:r>
      <w:r w:rsidRPr="00DB6C99">
        <w:rPr>
          <w:rFonts w:ascii="Garamond" w:hAnsi="Garamond" w:cs="Times New Roman"/>
          <w:i/>
          <w:sz w:val="24"/>
          <w:szCs w:val="24"/>
        </w:rPr>
        <w:t>Journal of Business Ethics</w:t>
      </w:r>
      <w:r w:rsidRPr="00DB6C99">
        <w:rPr>
          <w:rFonts w:ascii="Garamond" w:hAnsi="Garamond" w:cs="Times New Roman"/>
          <w:sz w:val="24"/>
          <w:szCs w:val="24"/>
        </w:rPr>
        <w:t>, 114(3), 381-392.</w:t>
      </w:r>
    </w:p>
    <w:p w14:paraId="2C01C66A" w14:textId="77777777" w:rsidR="007C344D" w:rsidRPr="00DB6C99" w:rsidRDefault="007C344D" w:rsidP="007C344D">
      <w:pPr>
        <w:spacing w:after="0" w:line="240" w:lineRule="auto"/>
        <w:jc w:val="both"/>
        <w:rPr>
          <w:rFonts w:ascii="Garamond" w:hAnsi="Garamond"/>
          <w:b/>
          <w:bCs/>
        </w:rPr>
      </w:pPr>
      <w:r w:rsidRPr="00DB6C99">
        <w:rPr>
          <w:rFonts w:ascii="Garamond" w:hAnsi="Garamond"/>
          <w:b/>
          <w:bCs/>
        </w:rPr>
        <w:lastRenderedPageBreak/>
        <w:t xml:space="preserve">Table 1: </w:t>
      </w:r>
      <w:r w:rsidRPr="00DB6C99">
        <w:rPr>
          <w:rFonts w:ascii="Garamond" w:hAnsi="Garamond"/>
        </w:rPr>
        <w:t>Definition of variables</w:t>
      </w:r>
    </w:p>
    <w:tbl>
      <w:tblPr>
        <w:tblW w:w="14670" w:type="dxa"/>
        <w:jc w:val="center"/>
        <w:tblLayout w:type="fixed"/>
        <w:tblLook w:val="0000" w:firstRow="0" w:lastRow="0" w:firstColumn="0" w:lastColumn="0" w:noHBand="0" w:noVBand="0"/>
      </w:tblPr>
      <w:tblGrid>
        <w:gridCol w:w="3150"/>
        <w:gridCol w:w="1530"/>
        <w:gridCol w:w="7920"/>
        <w:gridCol w:w="1470"/>
        <w:gridCol w:w="600"/>
      </w:tblGrid>
      <w:tr w:rsidR="00DB6C99" w:rsidRPr="00DB6C99" w14:paraId="78DA2B61" w14:textId="77777777" w:rsidTr="007C344D">
        <w:trPr>
          <w:trHeight w:val="159"/>
          <w:jc w:val="center"/>
        </w:trPr>
        <w:tc>
          <w:tcPr>
            <w:tcW w:w="3150" w:type="dxa"/>
            <w:tcBorders>
              <w:top w:val="single" w:sz="6" w:space="0" w:color="auto"/>
              <w:left w:val="nil"/>
              <w:bottom w:val="single" w:sz="6" w:space="0" w:color="auto"/>
              <w:right w:val="nil"/>
            </w:tcBorders>
            <w:vAlign w:val="center"/>
          </w:tcPr>
          <w:p w14:paraId="5B2598E3" w14:textId="77777777" w:rsidR="007C344D" w:rsidRPr="00DB6C99" w:rsidRDefault="007C344D" w:rsidP="007C344D">
            <w:pPr>
              <w:adjustRightInd w:val="0"/>
              <w:spacing w:after="0" w:line="240" w:lineRule="auto"/>
              <w:rPr>
                <w:rFonts w:ascii="Garamond" w:hAnsi="Garamond"/>
                <w:b/>
                <w:bCs/>
                <w:sz w:val="20"/>
                <w:szCs w:val="20"/>
                <w:lang w:val="en-GB"/>
              </w:rPr>
            </w:pPr>
            <w:r w:rsidRPr="00DB6C99">
              <w:rPr>
                <w:rFonts w:ascii="Garamond" w:hAnsi="Garamond"/>
                <w:b/>
                <w:bCs/>
                <w:sz w:val="20"/>
                <w:szCs w:val="20"/>
                <w:lang w:val="en-GB"/>
              </w:rPr>
              <w:t>Variable name</w:t>
            </w:r>
          </w:p>
        </w:tc>
        <w:tc>
          <w:tcPr>
            <w:tcW w:w="1530" w:type="dxa"/>
            <w:tcBorders>
              <w:top w:val="single" w:sz="6" w:space="0" w:color="auto"/>
              <w:left w:val="nil"/>
              <w:bottom w:val="single" w:sz="6" w:space="0" w:color="auto"/>
              <w:right w:val="nil"/>
            </w:tcBorders>
            <w:vAlign w:val="center"/>
          </w:tcPr>
          <w:p w14:paraId="4C672823" w14:textId="77777777" w:rsidR="007C344D" w:rsidRPr="00DB6C99" w:rsidRDefault="007C344D" w:rsidP="007C344D">
            <w:pPr>
              <w:adjustRightInd w:val="0"/>
              <w:spacing w:after="0" w:line="240" w:lineRule="auto"/>
              <w:rPr>
                <w:rFonts w:ascii="Garamond" w:hAnsi="Garamond"/>
                <w:b/>
                <w:bCs/>
                <w:sz w:val="20"/>
                <w:szCs w:val="20"/>
                <w:lang w:val="en-GB"/>
              </w:rPr>
            </w:pPr>
            <w:r w:rsidRPr="00DB6C99">
              <w:rPr>
                <w:rFonts w:ascii="Garamond" w:hAnsi="Garamond"/>
                <w:b/>
                <w:bCs/>
                <w:sz w:val="20"/>
                <w:szCs w:val="20"/>
                <w:lang w:val="en-GB"/>
              </w:rPr>
              <w:t>Symbol</w:t>
            </w:r>
          </w:p>
        </w:tc>
        <w:tc>
          <w:tcPr>
            <w:tcW w:w="7920" w:type="dxa"/>
            <w:tcBorders>
              <w:top w:val="single" w:sz="6" w:space="0" w:color="auto"/>
              <w:left w:val="nil"/>
              <w:bottom w:val="single" w:sz="6" w:space="0" w:color="auto"/>
              <w:right w:val="nil"/>
            </w:tcBorders>
            <w:vAlign w:val="center"/>
          </w:tcPr>
          <w:p w14:paraId="2C7BA13B" w14:textId="77777777" w:rsidR="007C344D" w:rsidRPr="00DB6C99" w:rsidRDefault="007C344D" w:rsidP="007C344D">
            <w:pPr>
              <w:adjustRightInd w:val="0"/>
              <w:spacing w:after="0" w:line="240" w:lineRule="auto"/>
              <w:jc w:val="center"/>
              <w:rPr>
                <w:rFonts w:ascii="Garamond" w:hAnsi="Garamond"/>
                <w:b/>
                <w:bCs/>
                <w:sz w:val="20"/>
                <w:szCs w:val="20"/>
                <w:lang w:val="en-GB"/>
              </w:rPr>
            </w:pPr>
            <w:r w:rsidRPr="00DB6C99">
              <w:rPr>
                <w:rFonts w:ascii="Garamond" w:hAnsi="Garamond"/>
                <w:b/>
                <w:bCs/>
                <w:sz w:val="20"/>
                <w:szCs w:val="20"/>
                <w:lang w:val="en-GB"/>
              </w:rPr>
              <w:t>Definition</w:t>
            </w:r>
          </w:p>
        </w:tc>
        <w:tc>
          <w:tcPr>
            <w:tcW w:w="2070" w:type="dxa"/>
            <w:gridSpan w:val="2"/>
            <w:tcBorders>
              <w:top w:val="single" w:sz="6" w:space="0" w:color="auto"/>
              <w:left w:val="nil"/>
              <w:bottom w:val="single" w:sz="6" w:space="0" w:color="auto"/>
              <w:right w:val="nil"/>
            </w:tcBorders>
            <w:vAlign w:val="center"/>
          </w:tcPr>
          <w:p w14:paraId="1DE51819" w14:textId="77777777" w:rsidR="007C344D" w:rsidRPr="00DB6C99" w:rsidRDefault="007C344D" w:rsidP="007C344D">
            <w:pPr>
              <w:adjustRightInd w:val="0"/>
              <w:spacing w:after="0" w:line="240" w:lineRule="auto"/>
              <w:jc w:val="center"/>
              <w:rPr>
                <w:rFonts w:ascii="Garamond" w:hAnsi="Garamond"/>
                <w:b/>
                <w:bCs/>
                <w:sz w:val="20"/>
                <w:szCs w:val="20"/>
                <w:lang w:val="en-GB"/>
              </w:rPr>
            </w:pPr>
            <w:r w:rsidRPr="00DB6C99">
              <w:rPr>
                <w:rFonts w:ascii="Garamond" w:hAnsi="Garamond"/>
                <w:b/>
                <w:bCs/>
                <w:sz w:val="20"/>
                <w:szCs w:val="20"/>
                <w:lang w:val="en-GB"/>
              </w:rPr>
              <w:t>Source</w:t>
            </w:r>
          </w:p>
        </w:tc>
      </w:tr>
      <w:tr w:rsidR="00DB6C99" w:rsidRPr="00DB6C99" w14:paraId="52798F90" w14:textId="77777777" w:rsidTr="007C344D">
        <w:trPr>
          <w:trHeight w:val="263"/>
          <w:jc w:val="center"/>
        </w:trPr>
        <w:tc>
          <w:tcPr>
            <w:tcW w:w="3150" w:type="dxa"/>
            <w:tcBorders>
              <w:top w:val="nil"/>
              <w:left w:val="nil"/>
              <w:bottom w:val="nil"/>
              <w:right w:val="nil"/>
            </w:tcBorders>
            <w:vAlign w:val="center"/>
          </w:tcPr>
          <w:p w14:paraId="64BF2032" w14:textId="77777777" w:rsidR="007C344D" w:rsidRPr="00DB6C99" w:rsidRDefault="007C344D" w:rsidP="007C344D">
            <w:pPr>
              <w:adjustRightInd w:val="0"/>
              <w:spacing w:after="0" w:line="240" w:lineRule="auto"/>
              <w:jc w:val="both"/>
              <w:rPr>
                <w:rFonts w:ascii="Garamond" w:hAnsi="Garamond"/>
                <w:sz w:val="20"/>
                <w:szCs w:val="20"/>
                <w:lang w:val="en-GB"/>
              </w:rPr>
            </w:pPr>
            <w:r w:rsidRPr="00DB6C99">
              <w:rPr>
                <w:rFonts w:ascii="Garamond" w:hAnsi="Garamond"/>
                <w:sz w:val="20"/>
                <w:szCs w:val="20"/>
                <w:lang w:val="en-GB"/>
              </w:rPr>
              <w:t>CSR gap</w:t>
            </w:r>
          </w:p>
        </w:tc>
        <w:tc>
          <w:tcPr>
            <w:tcW w:w="1530" w:type="dxa"/>
            <w:tcBorders>
              <w:top w:val="nil"/>
              <w:left w:val="nil"/>
              <w:bottom w:val="nil"/>
              <w:right w:val="nil"/>
            </w:tcBorders>
            <w:vAlign w:val="center"/>
          </w:tcPr>
          <w:p w14:paraId="13431707" w14:textId="77777777" w:rsidR="007C344D" w:rsidRPr="00DB6C99" w:rsidRDefault="007C344D" w:rsidP="007C344D">
            <w:pPr>
              <w:adjustRightInd w:val="0"/>
              <w:spacing w:after="0" w:line="240" w:lineRule="auto"/>
              <w:rPr>
                <w:rFonts w:ascii="Garamond" w:hAnsi="Garamond"/>
                <w:i/>
                <w:iCs/>
                <w:sz w:val="20"/>
                <w:szCs w:val="20"/>
                <w:lang w:val="en-GB"/>
              </w:rPr>
            </w:pPr>
            <w:r w:rsidRPr="00DB6C99">
              <w:rPr>
                <w:rFonts w:ascii="Garamond" w:hAnsi="Garamond"/>
                <w:i/>
                <w:iCs/>
                <w:sz w:val="20"/>
                <w:szCs w:val="20"/>
                <w:lang w:val="en-GB"/>
              </w:rPr>
              <w:t>GAP</w:t>
            </w:r>
          </w:p>
        </w:tc>
        <w:tc>
          <w:tcPr>
            <w:tcW w:w="7920" w:type="dxa"/>
            <w:tcBorders>
              <w:top w:val="nil"/>
              <w:left w:val="nil"/>
              <w:bottom w:val="nil"/>
              <w:right w:val="nil"/>
            </w:tcBorders>
            <w:vAlign w:val="center"/>
          </w:tcPr>
          <w:p w14:paraId="0FD71A7F" w14:textId="77777777" w:rsidR="007C344D" w:rsidRPr="00DB6C99" w:rsidRDefault="007C344D" w:rsidP="007C344D">
            <w:pPr>
              <w:adjustRightInd w:val="0"/>
              <w:spacing w:after="0" w:line="240" w:lineRule="auto"/>
              <w:jc w:val="both"/>
              <w:rPr>
                <w:rFonts w:ascii="Garamond" w:hAnsi="Garamond"/>
                <w:sz w:val="20"/>
                <w:szCs w:val="20"/>
                <w:lang w:val="en-GB"/>
              </w:rPr>
            </w:pPr>
            <w:r w:rsidRPr="00DB6C99">
              <w:rPr>
                <w:rFonts w:ascii="Garamond" w:hAnsi="Garamond"/>
                <w:sz w:val="20"/>
                <w:szCs w:val="20"/>
                <w:lang w:val="en-GB"/>
              </w:rPr>
              <w:t>Difference between current external CSR actions and lagged internal CSR actions scaled by the logged value of total assets.</w:t>
            </w:r>
          </w:p>
        </w:tc>
        <w:tc>
          <w:tcPr>
            <w:tcW w:w="2070" w:type="dxa"/>
            <w:gridSpan w:val="2"/>
            <w:tcBorders>
              <w:top w:val="nil"/>
              <w:left w:val="nil"/>
              <w:bottom w:val="nil"/>
              <w:right w:val="nil"/>
            </w:tcBorders>
            <w:vAlign w:val="center"/>
          </w:tcPr>
          <w:p w14:paraId="4A204165" w14:textId="6CE29C30" w:rsidR="007C344D" w:rsidRPr="00DB6C99" w:rsidRDefault="00751452" w:rsidP="00751452">
            <w:pPr>
              <w:adjustRightInd w:val="0"/>
              <w:spacing w:after="0" w:line="240" w:lineRule="auto"/>
              <w:jc w:val="center"/>
              <w:rPr>
                <w:rFonts w:ascii="Garamond" w:hAnsi="Garamond"/>
                <w:sz w:val="20"/>
                <w:szCs w:val="20"/>
                <w:lang w:val="en-GB"/>
              </w:rPr>
            </w:pPr>
            <w:r w:rsidRPr="00DB6C99">
              <w:rPr>
                <w:rFonts w:ascii="Garamond" w:hAnsi="Garamond"/>
                <w:sz w:val="20"/>
                <w:szCs w:val="20"/>
                <w:lang w:val="en-GB"/>
              </w:rPr>
              <w:t>Thomson Reuters’ Refinitiv</w:t>
            </w:r>
            <w:r w:rsidR="007C344D" w:rsidRPr="00DB6C99">
              <w:rPr>
                <w:rFonts w:ascii="Garamond" w:hAnsi="Garamond"/>
                <w:sz w:val="20"/>
                <w:szCs w:val="20"/>
                <w:lang w:val="en-GB"/>
              </w:rPr>
              <w:t xml:space="preserve"> </w:t>
            </w:r>
          </w:p>
        </w:tc>
      </w:tr>
      <w:tr w:rsidR="00DB6C99" w:rsidRPr="00DB6C99" w14:paraId="49FE355B" w14:textId="77777777" w:rsidTr="007C344D">
        <w:trPr>
          <w:trHeight w:val="234"/>
          <w:jc w:val="center"/>
        </w:trPr>
        <w:tc>
          <w:tcPr>
            <w:tcW w:w="3150" w:type="dxa"/>
            <w:tcBorders>
              <w:top w:val="nil"/>
              <w:left w:val="nil"/>
              <w:bottom w:val="nil"/>
              <w:right w:val="nil"/>
            </w:tcBorders>
            <w:vAlign w:val="center"/>
          </w:tcPr>
          <w:p w14:paraId="1C857948" w14:textId="77777777" w:rsidR="007C344D" w:rsidRPr="00DB6C99" w:rsidRDefault="007C344D" w:rsidP="007C344D">
            <w:pPr>
              <w:adjustRightInd w:val="0"/>
              <w:spacing w:after="0" w:line="240" w:lineRule="auto"/>
              <w:jc w:val="both"/>
              <w:rPr>
                <w:rFonts w:ascii="Garamond" w:hAnsi="Garamond"/>
                <w:sz w:val="20"/>
                <w:szCs w:val="20"/>
                <w:lang w:val="en-GB"/>
              </w:rPr>
            </w:pPr>
            <w:r w:rsidRPr="00DB6C99">
              <w:rPr>
                <w:rFonts w:ascii="Garamond" w:hAnsi="Garamond"/>
                <w:sz w:val="20"/>
                <w:szCs w:val="20"/>
              </w:rPr>
              <w:t>Proportion of female directors</w:t>
            </w:r>
          </w:p>
        </w:tc>
        <w:tc>
          <w:tcPr>
            <w:tcW w:w="1530" w:type="dxa"/>
            <w:tcBorders>
              <w:top w:val="nil"/>
              <w:left w:val="nil"/>
              <w:bottom w:val="nil"/>
              <w:right w:val="nil"/>
            </w:tcBorders>
            <w:vAlign w:val="center"/>
          </w:tcPr>
          <w:p w14:paraId="478A7D32" w14:textId="77777777" w:rsidR="007C344D" w:rsidRPr="00DB6C99" w:rsidRDefault="007C344D" w:rsidP="007C344D">
            <w:pPr>
              <w:adjustRightInd w:val="0"/>
              <w:spacing w:after="0" w:line="240" w:lineRule="auto"/>
              <w:rPr>
                <w:rFonts w:ascii="Garamond" w:hAnsi="Garamond"/>
                <w:i/>
                <w:iCs/>
                <w:sz w:val="20"/>
                <w:szCs w:val="20"/>
              </w:rPr>
            </w:pPr>
            <w:r w:rsidRPr="00DB6C99">
              <w:rPr>
                <w:rFonts w:ascii="Garamond" w:hAnsi="Garamond"/>
                <w:i/>
                <w:iCs/>
                <w:sz w:val="20"/>
                <w:szCs w:val="20"/>
              </w:rPr>
              <w:t>FPRO</w:t>
            </w:r>
          </w:p>
        </w:tc>
        <w:tc>
          <w:tcPr>
            <w:tcW w:w="7920" w:type="dxa"/>
            <w:tcBorders>
              <w:top w:val="nil"/>
              <w:left w:val="nil"/>
              <w:bottom w:val="nil"/>
              <w:right w:val="nil"/>
            </w:tcBorders>
            <w:vAlign w:val="center"/>
          </w:tcPr>
          <w:p w14:paraId="26F1D04A" w14:textId="77777777" w:rsidR="007C344D" w:rsidRPr="00DB6C99" w:rsidRDefault="007C344D" w:rsidP="007C344D">
            <w:pPr>
              <w:adjustRightInd w:val="0"/>
              <w:spacing w:after="0" w:line="240" w:lineRule="auto"/>
              <w:jc w:val="both"/>
              <w:rPr>
                <w:rFonts w:ascii="Garamond" w:hAnsi="Garamond"/>
                <w:sz w:val="20"/>
                <w:szCs w:val="20"/>
              </w:rPr>
            </w:pPr>
            <w:r w:rsidRPr="00DB6C99">
              <w:rPr>
                <w:rFonts w:ascii="Garamond" w:hAnsi="Garamond"/>
                <w:sz w:val="20"/>
                <w:szCs w:val="20"/>
                <w:lang w:val="en-GB"/>
              </w:rPr>
              <w:t>The proportion of female directors on the board.</w:t>
            </w:r>
          </w:p>
        </w:tc>
        <w:tc>
          <w:tcPr>
            <w:tcW w:w="2070" w:type="dxa"/>
            <w:gridSpan w:val="2"/>
            <w:tcBorders>
              <w:top w:val="nil"/>
              <w:left w:val="nil"/>
              <w:bottom w:val="nil"/>
              <w:right w:val="nil"/>
            </w:tcBorders>
            <w:vAlign w:val="center"/>
          </w:tcPr>
          <w:p w14:paraId="25D07AA8" w14:textId="77777777" w:rsidR="007C344D" w:rsidRPr="00DB6C99" w:rsidRDefault="007C344D" w:rsidP="007C344D">
            <w:pPr>
              <w:adjustRightInd w:val="0"/>
              <w:spacing w:after="0" w:line="240" w:lineRule="auto"/>
              <w:jc w:val="center"/>
              <w:rPr>
                <w:rFonts w:ascii="Garamond" w:hAnsi="Garamond"/>
                <w:sz w:val="20"/>
                <w:szCs w:val="20"/>
                <w:lang w:val="en-GB"/>
              </w:rPr>
            </w:pPr>
            <w:r w:rsidRPr="00DB6C99">
              <w:rPr>
                <w:rFonts w:ascii="Garamond" w:hAnsi="Garamond"/>
                <w:sz w:val="20"/>
                <w:szCs w:val="20"/>
                <w:lang w:val="en-GB"/>
              </w:rPr>
              <w:t>BoardEx</w:t>
            </w:r>
          </w:p>
        </w:tc>
      </w:tr>
      <w:tr w:rsidR="00DB6C99" w:rsidRPr="00DB6C99" w14:paraId="20521DCE" w14:textId="77777777" w:rsidTr="007C344D">
        <w:trPr>
          <w:trHeight w:val="75"/>
          <w:jc w:val="center"/>
        </w:trPr>
        <w:tc>
          <w:tcPr>
            <w:tcW w:w="3150" w:type="dxa"/>
            <w:tcBorders>
              <w:top w:val="nil"/>
              <w:left w:val="nil"/>
              <w:bottom w:val="nil"/>
              <w:right w:val="nil"/>
            </w:tcBorders>
            <w:vAlign w:val="center"/>
          </w:tcPr>
          <w:p w14:paraId="3851B1FC" w14:textId="77777777" w:rsidR="007C344D" w:rsidRPr="00DB6C99" w:rsidRDefault="007C344D" w:rsidP="007C344D">
            <w:pPr>
              <w:adjustRightInd w:val="0"/>
              <w:spacing w:after="0" w:line="240" w:lineRule="auto"/>
              <w:rPr>
                <w:rFonts w:ascii="Garamond" w:hAnsi="Garamond"/>
                <w:sz w:val="20"/>
                <w:szCs w:val="20"/>
                <w:lang w:val="en-GB"/>
              </w:rPr>
            </w:pPr>
            <w:r w:rsidRPr="00DB6C99">
              <w:rPr>
                <w:rFonts w:ascii="Garamond" w:hAnsi="Garamond"/>
                <w:sz w:val="20"/>
                <w:szCs w:val="20"/>
                <w:lang w:val="en-GB"/>
              </w:rPr>
              <w:t>Blau diversity index</w:t>
            </w:r>
          </w:p>
        </w:tc>
        <w:tc>
          <w:tcPr>
            <w:tcW w:w="1530" w:type="dxa"/>
            <w:tcBorders>
              <w:top w:val="nil"/>
              <w:left w:val="nil"/>
              <w:bottom w:val="nil"/>
              <w:right w:val="nil"/>
            </w:tcBorders>
            <w:vAlign w:val="center"/>
          </w:tcPr>
          <w:p w14:paraId="3125E6CA" w14:textId="77777777" w:rsidR="007C344D" w:rsidRPr="00DB6C99" w:rsidRDefault="007C344D" w:rsidP="007C344D">
            <w:pPr>
              <w:spacing w:after="0" w:line="240" w:lineRule="auto"/>
              <w:rPr>
                <w:rFonts w:ascii="Garamond" w:hAnsi="Garamond"/>
                <w:i/>
                <w:iCs/>
                <w:sz w:val="20"/>
                <w:szCs w:val="20"/>
                <w:lang w:val="en-GB"/>
              </w:rPr>
            </w:pPr>
            <w:r w:rsidRPr="00DB6C99">
              <w:rPr>
                <w:rFonts w:ascii="Garamond" w:hAnsi="Garamond"/>
                <w:i/>
                <w:iCs/>
                <w:sz w:val="20"/>
                <w:szCs w:val="20"/>
                <w:lang w:val="en-GB"/>
              </w:rPr>
              <w:t>BLAU</w:t>
            </w:r>
          </w:p>
        </w:tc>
        <w:tc>
          <w:tcPr>
            <w:tcW w:w="7920" w:type="dxa"/>
            <w:tcBorders>
              <w:top w:val="nil"/>
              <w:left w:val="nil"/>
              <w:bottom w:val="nil"/>
              <w:right w:val="nil"/>
            </w:tcBorders>
            <w:vAlign w:val="center"/>
          </w:tcPr>
          <w:p w14:paraId="1613AFD9" w14:textId="77777777" w:rsidR="007C344D" w:rsidRPr="00DB6C99" w:rsidRDefault="007C344D" w:rsidP="007C344D">
            <w:pPr>
              <w:adjustRightInd w:val="0"/>
              <w:spacing w:after="0" w:line="240" w:lineRule="auto"/>
              <w:jc w:val="both"/>
              <w:rPr>
                <w:rFonts w:ascii="Garamond" w:hAnsi="Garamond"/>
                <w:sz w:val="20"/>
                <w:szCs w:val="20"/>
                <w:lang w:val="en-GB"/>
              </w:rPr>
            </w:pPr>
            <w:r w:rsidRPr="00DB6C99">
              <w:rPr>
                <w:rFonts w:ascii="Garamond" w:hAnsi="Garamond"/>
                <w:sz w:val="20"/>
                <w:szCs w:val="20"/>
              </w:rPr>
              <w:t xml:space="preserve">= </w:t>
            </w:r>
            <m:oMath>
              <m:r>
                <w:rPr>
                  <w:rFonts w:ascii="Cambria Math" w:hAnsi="Cambria Math"/>
                  <w:sz w:val="20"/>
                  <w:szCs w:val="20"/>
                </w:rPr>
                <m:t xml:space="preserve">1 </m:t>
              </m:r>
              <m:r>
                <m:rPr>
                  <m:sty m:val="p"/>
                </m:rPr>
                <w:rPr>
                  <w:rFonts w:ascii="Cambria Math" w:hAnsi="Cambria Math"/>
                  <w:sz w:val="20"/>
                  <w:szCs w:val="20"/>
                </w:rPr>
                <m:t>-</m:t>
              </m:r>
              <m:nary>
                <m:naryPr>
                  <m:chr m:val="∑"/>
                  <m:grow m:val="1"/>
                  <m:ctrlPr>
                    <w:rPr>
                      <w:rFonts w:ascii="Cambria Math" w:hAnsi="Cambria Math"/>
                      <w:sz w:val="20"/>
                      <w:szCs w:val="20"/>
                    </w:rPr>
                  </m:ctrlPr>
                </m:naryPr>
                <m:sub>
                  <m:r>
                    <w:rPr>
                      <w:rFonts w:ascii="Cambria Math" w:eastAsia="Cambria Math" w:hAnsi="Cambria Math"/>
                      <w:sz w:val="20"/>
                      <w:szCs w:val="20"/>
                    </w:rPr>
                    <m:t>i=1</m:t>
                  </m:r>
                </m:sub>
                <m:sup>
                  <m:r>
                    <w:rPr>
                      <w:rFonts w:ascii="Cambria Math" w:eastAsia="Cambria Math" w:hAnsi="Cambria Math"/>
                      <w:sz w:val="20"/>
                      <w:szCs w:val="20"/>
                    </w:rPr>
                    <m:t>n</m:t>
                  </m:r>
                </m:sup>
                <m:e>
                  <m:sSubSup>
                    <m:sSubSupPr>
                      <m:ctrlPr>
                        <w:rPr>
                          <w:rFonts w:ascii="Cambria Math" w:hAnsi="Cambria Math"/>
                          <w:i/>
                          <w:sz w:val="20"/>
                          <w:szCs w:val="20"/>
                        </w:rPr>
                      </m:ctrlPr>
                    </m:sSubSupPr>
                    <m:e>
                      <m:r>
                        <w:rPr>
                          <w:rFonts w:ascii="Cambria Math" w:hAnsi="Cambria Math"/>
                          <w:sz w:val="20"/>
                          <w:szCs w:val="20"/>
                        </w:rPr>
                        <m:t>P</m:t>
                      </m:r>
                    </m:e>
                    <m:sub>
                      <m:r>
                        <w:rPr>
                          <w:rFonts w:ascii="Cambria Math" w:hAnsi="Cambria Math"/>
                          <w:sz w:val="20"/>
                          <w:szCs w:val="20"/>
                        </w:rPr>
                        <m:t>i</m:t>
                      </m:r>
                    </m:sub>
                    <m:sup>
                      <m:r>
                        <w:rPr>
                          <w:rFonts w:ascii="Cambria Math" w:hAnsi="Cambria Math"/>
                          <w:sz w:val="20"/>
                          <w:szCs w:val="20"/>
                        </w:rPr>
                        <m:t>2</m:t>
                      </m:r>
                    </m:sup>
                  </m:sSubSup>
                </m:e>
              </m:nary>
            </m:oMath>
            <w:r w:rsidRPr="00DB6C99">
              <w:rPr>
                <w:rFonts w:ascii="Garamond" w:hAnsi="Garamond"/>
                <w:sz w:val="20"/>
                <w:szCs w:val="20"/>
              </w:rPr>
              <w:t xml:space="preserve">, where </w:t>
            </w:r>
            <m:oMath>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i</m:t>
                  </m:r>
                </m:sub>
              </m:sSub>
            </m:oMath>
            <w:r w:rsidRPr="00DB6C99">
              <w:rPr>
                <w:rFonts w:ascii="Garamond" w:hAnsi="Garamond"/>
                <w:sz w:val="20"/>
                <w:szCs w:val="20"/>
              </w:rPr>
              <w:t xml:space="preserve"> is the percentage of board members in each category (two: male/female) and n is the number of categories.</w:t>
            </w:r>
          </w:p>
        </w:tc>
        <w:tc>
          <w:tcPr>
            <w:tcW w:w="2070" w:type="dxa"/>
            <w:gridSpan w:val="2"/>
            <w:tcBorders>
              <w:top w:val="nil"/>
              <w:left w:val="nil"/>
              <w:bottom w:val="nil"/>
              <w:right w:val="nil"/>
            </w:tcBorders>
            <w:vAlign w:val="center"/>
          </w:tcPr>
          <w:p w14:paraId="0C4DD0DB" w14:textId="77777777" w:rsidR="007C344D" w:rsidRPr="00DB6C99" w:rsidRDefault="007C344D" w:rsidP="007C344D">
            <w:pPr>
              <w:adjustRightInd w:val="0"/>
              <w:spacing w:after="0" w:line="240" w:lineRule="auto"/>
              <w:jc w:val="center"/>
              <w:rPr>
                <w:rFonts w:ascii="Garamond" w:hAnsi="Garamond"/>
                <w:sz w:val="20"/>
                <w:szCs w:val="20"/>
                <w:lang w:val="en-GB"/>
              </w:rPr>
            </w:pPr>
            <w:r w:rsidRPr="00DB6C99">
              <w:rPr>
                <w:rFonts w:ascii="Garamond" w:hAnsi="Garamond"/>
                <w:sz w:val="20"/>
                <w:szCs w:val="20"/>
                <w:lang w:val="en-GB"/>
              </w:rPr>
              <w:t>BoardEx</w:t>
            </w:r>
          </w:p>
        </w:tc>
      </w:tr>
      <w:tr w:rsidR="00DB6C99" w:rsidRPr="00DB6C99" w14:paraId="3CA69E64" w14:textId="77777777" w:rsidTr="007C344D">
        <w:trPr>
          <w:trHeight w:val="75"/>
          <w:jc w:val="center"/>
        </w:trPr>
        <w:tc>
          <w:tcPr>
            <w:tcW w:w="3150" w:type="dxa"/>
            <w:tcBorders>
              <w:top w:val="nil"/>
              <w:left w:val="nil"/>
              <w:bottom w:val="nil"/>
              <w:right w:val="nil"/>
            </w:tcBorders>
            <w:vAlign w:val="center"/>
          </w:tcPr>
          <w:p w14:paraId="094E1CD0" w14:textId="77777777" w:rsidR="007C344D" w:rsidRPr="00DB6C99" w:rsidRDefault="007C344D" w:rsidP="007C344D">
            <w:pPr>
              <w:adjustRightInd w:val="0"/>
              <w:spacing w:after="0" w:line="240" w:lineRule="auto"/>
              <w:rPr>
                <w:rFonts w:ascii="Garamond" w:hAnsi="Garamond"/>
                <w:sz w:val="20"/>
                <w:szCs w:val="20"/>
                <w:lang w:val="en-GB"/>
              </w:rPr>
            </w:pPr>
            <w:r w:rsidRPr="00DB6C99">
              <w:rPr>
                <w:rFonts w:ascii="Garamond" w:hAnsi="Garamond"/>
                <w:sz w:val="20"/>
                <w:szCs w:val="20"/>
                <w:lang w:val="en-GB"/>
              </w:rPr>
              <w:t>Shannon diversity index</w:t>
            </w:r>
          </w:p>
        </w:tc>
        <w:tc>
          <w:tcPr>
            <w:tcW w:w="1530" w:type="dxa"/>
            <w:tcBorders>
              <w:top w:val="nil"/>
              <w:left w:val="nil"/>
              <w:bottom w:val="nil"/>
              <w:right w:val="nil"/>
            </w:tcBorders>
            <w:vAlign w:val="center"/>
          </w:tcPr>
          <w:p w14:paraId="14B41B27" w14:textId="77777777" w:rsidR="007C344D" w:rsidRPr="00DB6C99" w:rsidRDefault="007C344D" w:rsidP="007C344D">
            <w:pPr>
              <w:spacing w:after="0" w:line="240" w:lineRule="auto"/>
              <w:rPr>
                <w:rFonts w:ascii="Garamond" w:hAnsi="Garamond"/>
                <w:i/>
                <w:iCs/>
                <w:sz w:val="20"/>
                <w:szCs w:val="20"/>
                <w:lang w:val="en-GB"/>
              </w:rPr>
            </w:pPr>
            <w:r w:rsidRPr="00DB6C99">
              <w:rPr>
                <w:rFonts w:ascii="Garamond" w:hAnsi="Garamond"/>
                <w:i/>
                <w:iCs/>
                <w:sz w:val="20"/>
                <w:szCs w:val="20"/>
                <w:lang w:val="en-GB"/>
              </w:rPr>
              <w:t>SHANNON</w:t>
            </w:r>
          </w:p>
        </w:tc>
        <w:tc>
          <w:tcPr>
            <w:tcW w:w="7920" w:type="dxa"/>
            <w:tcBorders>
              <w:top w:val="nil"/>
              <w:left w:val="nil"/>
              <w:bottom w:val="nil"/>
              <w:right w:val="nil"/>
            </w:tcBorders>
            <w:vAlign w:val="center"/>
          </w:tcPr>
          <w:p w14:paraId="5C825480" w14:textId="77777777" w:rsidR="007C344D" w:rsidRPr="00DB6C99" w:rsidRDefault="007C344D" w:rsidP="007C344D">
            <w:pPr>
              <w:adjustRightInd w:val="0"/>
              <w:spacing w:after="0" w:line="240" w:lineRule="auto"/>
              <w:jc w:val="both"/>
              <w:rPr>
                <w:rFonts w:ascii="Garamond" w:hAnsi="Garamond"/>
                <w:sz w:val="20"/>
                <w:szCs w:val="20"/>
                <w:lang w:val="en-GB"/>
              </w:rPr>
            </w:pPr>
            <w:r w:rsidRPr="00DB6C99">
              <w:rPr>
                <w:rFonts w:ascii="Garamond" w:hAnsi="Garamond"/>
                <w:sz w:val="20"/>
                <w:szCs w:val="20"/>
              </w:rPr>
              <w:t xml:space="preserve">= </w:t>
            </w:r>
            <m:oMath>
              <m:r>
                <m:rPr>
                  <m:sty m:val="p"/>
                </m:rPr>
                <w:rPr>
                  <w:rFonts w:ascii="Cambria Math" w:hAnsi="Cambria Math"/>
                  <w:sz w:val="20"/>
                  <w:szCs w:val="20"/>
                </w:rPr>
                <m:t>-</m:t>
              </m:r>
              <m:nary>
                <m:naryPr>
                  <m:chr m:val="∑"/>
                  <m:grow m:val="1"/>
                  <m:ctrlPr>
                    <w:rPr>
                      <w:rFonts w:ascii="Cambria Math" w:hAnsi="Cambria Math"/>
                      <w:sz w:val="20"/>
                      <w:szCs w:val="20"/>
                    </w:rPr>
                  </m:ctrlPr>
                </m:naryPr>
                <m:sub>
                  <m:r>
                    <w:rPr>
                      <w:rFonts w:ascii="Cambria Math" w:eastAsia="Cambria Math" w:hAnsi="Cambria Math"/>
                      <w:sz w:val="20"/>
                      <w:szCs w:val="20"/>
                    </w:rPr>
                    <m:t>i=1</m:t>
                  </m:r>
                </m:sub>
                <m:sup>
                  <m:r>
                    <w:rPr>
                      <w:rFonts w:ascii="Cambria Math" w:eastAsia="Cambria Math" w:hAnsi="Cambria Math"/>
                      <w:sz w:val="20"/>
                      <w:szCs w:val="20"/>
                    </w:rPr>
                    <m:t>n</m:t>
                  </m:r>
                </m:sup>
                <m:e>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i</m:t>
                      </m:r>
                    </m:sub>
                  </m:sSub>
                  <m:r>
                    <w:rPr>
                      <w:rFonts w:ascii="Cambria Math" w:eastAsia="Cambria Math" w:hAnsi="Cambria Math"/>
                      <w:sz w:val="20"/>
                      <w:szCs w:val="20"/>
                    </w:rPr>
                    <m:t xml:space="preserve"> </m:t>
                  </m:r>
                  <m:r>
                    <m:rPr>
                      <m:sty m:val="p"/>
                    </m:rPr>
                    <w:rPr>
                      <w:rFonts w:ascii="Cambria Math" w:eastAsia="Cambria Math" w:hAnsi="Cambria Math"/>
                      <w:sz w:val="20"/>
                      <w:szCs w:val="20"/>
                    </w:rPr>
                    <m:t>ln</m:t>
                  </m:r>
                  <m:r>
                    <w:rPr>
                      <w:rFonts w:ascii="Cambria Math" w:eastAsia="Cambria Math" w:hAnsi="Cambria Math"/>
                      <w:sz w:val="20"/>
                      <w:szCs w:val="20"/>
                    </w:rPr>
                    <m:t>(</m:t>
                  </m:r>
                  <m:sSub>
                    <m:sSubPr>
                      <m:ctrlPr>
                        <w:rPr>
                          <w:rFonts w:ascii="Cambria Math" w:hAnsi="Cambria Math"/>
                          <w:i/>
                          <w:sz w:val="20"/>
                          <w:szCs w:val="20"/>
                        </w:rPr>
                      </m:ctrlPr>
                    </m:sSubPr>
                    <m:e>
                      <m:r>
                        <m:rPr>
                          <m:sty m:val="p"/>
                        </m:rPr>
                        <w:rPr>
                          <w:rFonts w:ascii="Cambria Math" w:hAnsi="Cambria Math"/>
                          <w:sz w:val="20"/>
                          <w:szCs w:val="20"/>
                        </w:rPr>
                        <m:t>P</m:t>
                      </m:r>
                    </m:e>
                    <m:sub>
                      <m:r>
                        <w:rPr>
                          <w:rFonts w:ascii="Cambria Math" w:hAnsi="Cambria Math"/>
                          <w:sz w:val="20"/>
                          <w:szCs w:val="20"/>
                        </w:rPr>
                        <m:t>i</m:t>
                      </m:r>
                    </m:sub>
                  </m:sSub>
                  <m:r>
                    <w:rPr>
                      <w:rFonts w:ascii="Cambria Math" w:eastAsia="Cambria Math" w:hAnsi="Cambria Math"/>
                      <w:sz w:val="20"/>
                      <w:szCs w:val="20"/>
                    </w:rPr>
                    <m:t>)</m:t>
                  </m:r>
                </m:e>
              </m:nary>
            </m:oMath>
            <w:r w:rsidRPr="00DB6C99">
              <w:rPr>
                <w:rFonts w:ascii="Garamond" w:hAnsi="Garamond"/>
                <w:sz w:val="20"/>
                <w:szCs w:val="20"/>
              </w:rPr>
              <w:t xml:space="preserve">, where </w:t>
            </w:r>
            <m:oMath>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i</m:t>
                  </m:r>
                </m:sub>
              </m:sSub>
            </m:oMath>
            <w:r w:rsidRPr="00DB6C99">
              <w:rPr>
                <w:rFonts w:ascii="Garamond" w:hAnsi="Garamond"/>
                <w:sz w:val="20"/>
                <w:szCs w:val="20"/>
              </w:rPr>
              <w:t xml:space="preserve"> is the percentage of board members in each category (two: male/female) and n is the number of categories.</w:t>
            </w:r>
          </w:p>
        </w:tc>
        <w:tc>
          <w:tcPr>
            <w:tcW w:w="2070" w:type="dxa"/>
            <w:gridSpan w:val="2"/>
            <w:tcBorders>
              <w:top w:val="nil"/>
              <w:left w:val="nil"/>
              <w:bottom w:val="nil"/>
              <w:right w:val="nil"/>
            </w:tcBorders>
            <w:vAlign w:val="center"/>
          </w:tcPr>
          <w:p w14:paraId="0EF08839" w14:textId="77777777" w:rsidR="007C344D" w:rsidRPr="00DB6C99" w:rsidRDefault="007C344D" w:rsidP="007C344D">
            <w:pPr>
              <w:adjustRightInd w:val="0"/>
              <w:spacing w:after="0" w:line="240" w:lineRule="auto"/>
              <w:jc w:val="center"/>
              <w:rPr>
                <w:rFonts w:ascii="Garamond" w:hAnsi="Garamond"/>
                <w:sz w:val="20"/>
                <w:szCs w:val="20"/>
                <w:lang w:val="en-GB"/>
              </w:rPr>
            </w:pPr>
            <w:r w:rsidRPr="00DB6C99">
              <w:rPr>
                <w:rFonts w:ascii="Garamond" w:hAnsi="Garamond"/>
                <w:sz w:val="20"/>
                <w:szCs w:val="20"/>
                <w:lang w:val="en-GB"/>
              </w:rPr>
              <w:t>BoardEx</w:t>
            </w:r>
          </w:p>
        </w:tc>
      </w:tr>
      <w:tr w:rsidR="00DB6C99" w:rsidRPr="00DB6C99" w14:paraId="5F15243F" w14:textId="77777777" w:rsidTr="007C344D">
        <w:trPr>
          <w:trHeight w:val="75"/>
          <w:jc w:val="center"/>
        </w:trPr>
        <w:tc>
          <w:tcPr>
            <w:tcW w:w="3150" w:type="dxa"/>
            <w:tcBorders>
              <w:top w:val="nil"/>
              <w:left w:val="nil"/>
              <w:bottom w:val="nil"/>
              <w:right w:val="nil"/>
            </w:tcBorders>
            <w:vAlign w:val="center"/>
          </w:tcPr>
          <w:p w14:paraId="5F173832" w14:textId="77777777" w:rsidR="007C344D" w:rsidRPr="00DB6C99" w:rsidRDefault="007C344D" w:rsidP="007C344D">
            <w:pPr>
              <w:adjustRightInd w:val="0"/>
              <w:spacing w:after="0" w:line="240" w:lineRule="auto"/>
              <w:rPr>
                <w:rFonts w:ascii="Garamond" w:hAnsi="Garamond"/>
                <w:sz w:val="20"/>
                <w:szCs w:val="20"/>
                <w:lang w:val="en-GB"/>
              </w:rPr>
            </w:pPr>
            <w:r w:rsidRPr="00DB6C99">
              <w:rPr>
                <w:rFonts w:ascii="Garamond" w:hAnsi="Garamond"/>
                <w:sz w:val="20"/>
                <w:szCs w:val="20"/>
                <w:lang w:val="en-GB"/>
              </w:rPr>
              <w:t>Female independent directors</w:t>
            </w:r>
          </w:p>
        </w:tc>
        <w:tc>
          <w:tcPr>
            <w:tcW w:w="1530" w:type="dxa"/>
            <w:tcBorders>
              <w:top w:val="nil"/>
              <w:left w:val="nil"/>
              <w:bottom w:val="nil"/>
              <w:right w:val="nil"/>
            </w:tcBorders>
            <w:vAlign w:val="center"/>
          </w:tcPr>
          <w:p w14:paraId="18D3B626" w14:textId="77777777" w:rsidR="007C344D" w:rsidRPr="00DB6C99" w:rsidRDefault="007C344D" w:rsidP="007C344D">
            <w:pPr>
              <w:spacing w:after="0" w:line="240" w:lineRule="auto"/>
              <w:rPr>
                <w:rFonts w:ascii="Garamond" w:hAnsi="Garamond"/>
                <w:i/>
                <w:iCs/>
                <w:sz w:val="20"/>
                <w:szCs w:val="20"/>
                <w:lang w:val="en-GB"/>
              </w:rPr>
            </w:pPr>
            <w:r w:rsidRPr="00DB6C99">
              <w:rPr>
                <w:rFonts w:ascii="Garamond" w:hAnsi="Garamond"/>
                <w:i/>
                <w:iCs/>
                <w:sz w:val="20"/>
                <w:szCs w:val="20"/>
                <w:lang w:val="en-GB"/>
              </w:rPr>
              <w:t>FNEDPRO</w:t>
            </w:r>
          </w:p>
        </w:tc>
        <w:tc>
          <w:tcPr>
            <w:tcW w:w="7920" w:type="dxa"/>
            <w:tcBorders>
              <w:top w:val="nil"/>
              <w:left w:val="nil"/>
              <w:bottom w:val="nil"/>
              <w:right w:val="nil"/>
            </w:tcBorders>
            <w:vAlign w:val="center"/>
          </w:tcPr>
          <w:p w14:paraId="0CFF9D6F" w14:textId="77777777" w:rsidR="007C344D" w:rsidRPr="00DB6C99" w:rsidRDefault="007C344D" w:rsidP="007C344D">
            <w:pPr>
              <w:adjustRightInd w:val="0"/>
              <w:spacing w:after="0" w:line="240" w:lineRule="auto"/>
              <w:jc w:val="both"/>
              <w:rPr>
                <w:rFonts w:ascii="Garamond" w:hAnsi="Garamond"/>
                <w:sz w:val="20"/>
                <w:szCs w:val="20"/>
                <w:lang w:val="en-GB"/>
              </w:rPr>
            </w:pPr>
            <w:r w:rsidRPr="00DB6C99">
              <w:rPr>
                <w:rFonts w:ascii="Garamond" w:hAnsi="Garamond"/>
                <w:sz w:val="20"/>
                <w:szCs w:val="20"/>
                <w:lang w:val="en-GB"/>
              </w:rPr>
              <w:t>The proportion of female independent directors divided by board size.</w:t>
            </w:r>
          </w:p>
        </w:tc>
        <w:tc>
          <w:tcPr>
            <w:tcW w:w="2070" w:type="dxa"/>
            <w:gridSpan w:val="2"/>
            <w:tcBorders>
              <w:top w:val="nil"/>
              <w:left w:val="nil"/>
              <w:bottom w:val="nil"/>
              <w:right w:val="nil"/>
            </w:tcBorders>
            <w:vAlign w:val="center"/>
          </w:tcPr>
          <w:p w14:paraId="454765B2" w14:textId="77777777" w:rsidR="007C344D" w:rsidRPr="00DB6C99" w:rsidRDefault="007C344D" w:rsidP="007C344D">
            <w:pPr>
              <w:adjustRightInd w:val="0"/>
              <w:spacing w:after="0" w:line="240" w:lineRule="auto"/>
              <w:jc w:val="center"/>
              <w:rPr>
                <w:rFonts w:ascii="Garamond" w:hAnsi="Garamond"/>
                <w:sz w:val="20"/>
                <w:szCs w:val="20"/>
                <w:lang w:val="en-GB"/>
              </w:rPr>
            </w:pPr>
            <w:r w:rsidRPr="00DB6C99">
              <w:rPr>
                <w:rFonts w:ascii="Garamond" w:hAnsi="Garamond"/>
                <w:sz w:val="20"/>
                <w:szCs w:val="20"/>
                <w:lang w:val="en-GB"/>
              </w:rPr>
              <w:t>BoardEx</w:t>
            </w:r>
          </w:p>
        </w:tc>
      </w:tr>
      <w:tr w:rsidR="00DB6C99" w:rsidRPr="00DB6C99" w14:paraId="44C7E87A" w14:textId="77777777" w:rsidTr="007C344D">
        <w:trPr>
          <w:trHeight w:val="75"/>
          <w:jc w:val="center"/>
        </w:trPr>
        <w:tc>
          <w:tcPr>
            <w:tcW w:w="3150" w:type="dxa"/>
            <w:tcBorders>
              <w:top w:val="nil"/>
              <w:left w:val="nil"/>
              <w:bottom w:val="nil"/>
              <w:right w:val="nil"/>
            </w:tcBorders>
            <w:vAlign w:val="center"/>
          </w:tcPr>
          <w:p w14:paraId="491C62C6" w14:textId="77777777" w:rsidR="007C344D" w:rsidRPr="00DB6C99" w:rsidRDefault="007C344D" w:rsidP="007C344D">
            <w:pPr>
              <w:adjustRightInd w:val="0"/>
              <w:spacing w:after="0" w:line="240" w:lineRule="auto"/>
              <w:rPr>
                <w:rFonts w:ascii="Garamond" w:hAnsi="Garamond"/>
                <w:sz w:val="20"/>
                <w:szCs w:val="20"/>
                <w:lang w:val="en-GB"/>
              </w:rPr>
            </w:pPr>
            <w:r w:rsidRPr="00DB6C99">
              <w:rPr>
                <w:rFonts w:ascii="Garamond" w:hAnsi="Garamond"/>
                <w:sz w:val="20"/>
                <w:szCs w:val="20"/>
                <w:lang w:val="en-GB"/>
              </w:rPr>
              <w:t>Female executive directors</w:t>
            </w:r>
          </w:p>
        </w:tc>
        <w:tc>
          <w:tcPr>
            <w:tcW w:w="1530" w:type="dxa"/>
            <w:tcBorders>
              <w:top w:val="nil"/>
              <w:left w:val="nil"/>
              <w:bottom w:val="nil"/>
              <w:right w:val="nil"/>
            </w:tcBorders>
            <w:vAlign w:val="center"/>
          </w:tcPr>
          <w:p w14:paraId="61061042" w14:textId="77777777" w:rsidR="007C344D" w:rsidRPr="00DB6C99" w:rsidRDefault="007C344D" w:rsidP="007C344D">
            <w:pPr>
              <w:spacing w:after="0" w:line="240" w:lineRule="auto"/>
              <w:rPr>
                <w:rFonts w:ascii="Garamond" w:hAnsi="Garamond"/>
                <w:i/>
                <w:iCs/>
                <w:sz w:val="20"/>
                <w:szCs w:val="20"/>
                <w:lang w:val="en-GB"/>
              </w:rPr>
            </w:pPr>
            <w:r w:rsidRPr="00DB6C99">
              <w:rPr>
                <w:rFonts w:ascii="Garamond" w:hAnsi="Garamond"/>
                <w:i/>
                <w:iCs/>
                <w:sz w:val="20"/>
                <w:szCs w:val="20"/>
                <w:lang w:val="en-GB"/>
              </w:rPr>
              <w:t>FEDPRO</w:t>
            </w:r>
          </w:p>
        </w:tc>
        <w:tc>
          <w:tcPr>
            <w:tcW w:w="7920" w:type="dxa"/>
            <w:tcBorders>
              <w:top w:val="nil"/>
              <w:left w:val="nil"/>
              <w:bottom w:val="nil"/>
              <w:right w:val="nil"/>
            </w:tcBorders>
            <w:vAlign w:val="center"/>
          </w:tcPr>
          <w:p w14:paraId="40AA9502" w14:textId="77777777" w:rsidR="007C344D" w:rsidRPr="00DB6C99" w:rsidRDefault="007C344D" w:rsidP="007C344D">
            <w:pPr>
              <w:adjustRightInd w:val="0"/>
              <w:spacing w:after="0" w:line="240" w:lineRule="auto"/>
              <w:jc w:val="both"/>
              <w:rPr>
                <w:rFonts w:ascii="Garamond" w:hAnsi="Garamond"/>
                <w:sz w:val="20"/>
                <w:szCs w:val="20"/>
                <w:lang w:val="en-GB"/>
              </w:rPr>
            </w:pPr>
            <w:r w:rsidRPr="00DB6C99">
              <w:rPr>
                <w:rFonts w:ascii="Garamond" w:hAnsi="Garamond"/>
                <w:sz w:val="20"/>
                <w:szCs w:val="20"/>
                <w:lang w:val="en-GB"/>
              </w:rPr>
              <w:t>The proportion of female executive directors divided by board size.</w:t>
            </w:r>
          </w:p>
        </w:tc>
        <w:tc>
          <w:tcPr>
            <w:tcW w:w="2070" w:type="dxa"/>
            <w:gridSpan w:val="2"/>
            <w:tcBorders>
              <w:top w:val="nil"/>
              <w:left w:val="nil"/>
              <w:bottom w:val="nil"/>
              <w:right w:val="nil"/>
            </w:tcBorders>
            <w:vAlign w:val="center"/>
          </w:tcPr>
          <w:p w14:paraId="6B23502E" w14:textId="77777777" w:rsidR="007C344D" w:rsidRPr="00DB6C99" w:rsidRDefault="007C344D" w:rsidP="007C344D">
            <w:pPr>
              <w:adjustRightInd w:val="0"/>
              <w:spacing w:after="0" w:line="240" w:lineRule="auto"/>
              <w:jc w:val="center"/>
              <w:rPr>
                <w:rFonts w:ascii="Garamond" w:hAnsi="Garamond"/>
                <w:sz w:val="20"/>
                <w:szCs w:val="20"/>
                <w:lang w:val="en-GB"/>
              </w:rPr>
            </w:pPr>
            <w:r w:rsidRPr="00DB6C99">
              <w:rPr>
                <w:rFonts w:ascii="Garamond" w:hAnsi="Garamond"/>
                <w:sz w:val="20"/>
                <w:szCs w:val="20"/>
                <w:lang w:val="en-GB"/>
              </w:rPr>
              <w:t>BoardEx</w:t>
            </w:r>
          </w:p>
        </w:tc>
      </w:tr>
      <w:tr w:rsidR="00DB6C99" w:rsidRPr="00DB6C99" w14:paraId="57B2FE89" w14:textId="77777777" w:rsidTr="007C344D">
        <w:trPr>
          <w:trHeight w:val="75"/>
          <w:jc w:val="center"/>
        </w:trPr>
        <w:tc>
          <w:tcPr>
            <w:tcW w:w="3150" w:type="dxa"/>
            <w:tcBorders>
              <w:top w:val="nil"/>
              <w:left w:val="nil"/>
              <w:bottom w:val="nil"/>
              <w:right w:val="nil"/>
            </w:tcBorders>
            <w:vAlign w:val="center"/>
          </w:tcPr>
          <w:p w14:paraId="442E5C39" w14:textId="77777777" w:rsidR="007C344D" w:rsidRPr="00DB6C99" w:rsidRDefault="007C344D" w:rsidP="007C344D">
            <w:pPr>
              <w:adjustRightInd w:val="0"/>
              <w:spacing w:after="0" w:line="240" w:lineRule="auto"/>
              <w:rPr>
                <w:rFonts w:ascii="Garamond" w:hAnsi="Garamond"/>
                <w:sz w:val="20"/>
                <w:szCs w:val="20"/>
                <w:lang w:val="en-GB"/>
              </w:rPr>
            </w:pPr>
            <w:r w:rsidRPr="00DB6C99">
              <w:rPr>
                <w:rFonts w:ascii="Garamond" w:hAnsi="Garamond"/>
                <w:sz w:val="20"/>
                <w:szCs w:val="20"/>
                <w:lang w:val="en-GB"/>
              </w:rPr>
              <w:t>Skewed board</w:t>
            </w:r>
          </w:p>
        </w:tc>
        <w:tc>
          <w:tcPr>
            <w:tcW w:w="1530" w:type="dxa"/>
            <w:tcBorders>
              <w:top w:val="nil"/>
              <w:left w:val="nil"/>
              <w:bottom w:val="nil"/>
              <w:right w:val="nil"/>
            </w:tcBorders>
            <w:vAlign w:val="center"/>
          </w:tcPr>
          <w:p w14:paraId="4194D09F" w14:textId="77777777" w:rsidR="007C344D" w:rsidRPr="00DB6C99" w:rsidRDefault="007C344D" w:rsidP="007C344D">
            <w:pPr>
              <w:spacing w:after="0" w:line="240" w:lineRule="auto"/>
              <w:rPr>
                <w:rFonts w:ascii="Garamond" w:hAnsi="Garamond"/>
                <w:i/>
                <w:iCs/>
                <w:sz w:val="20"/>
                <w:szCs w:val="20"/>
                <w:lang w:val="en-GB"/>
              </w:rPr>
            </w:pPr>
            <w:r w:rsidRPr="00DB6C99">
              <w:rPr>
                <w:rFonts w:ascii="Garamond" w:hAnsi="Garamond"/>
                <w:i/>
                <w:iCs/>
                <w:sz w:val="20"/>
                <w:szCs w:val="20"/>
              </w:rPr>
              <w:t>SKEWED</w:t>
            </w:r>
          </w:p>
        </w:tc>
        <w:tc>
          <w:tcPr>
            <w:tcW w:w="7920" w:type="dxa"/>
            <w:tcBorders>
              <w:top w:val="nil"/>
              <w:left w:val="nil"/>
              <w:bottom w:val="nil"/>
              <w:right w:val="nil"/>
            </w:tcBorders>
            <w:vAlign w:val="center"/>
          </w:tcPr>
          <w:p w14:paraId="05143C68" w14:textId="77777777" w:rsidR="007C344D" w:rsidRPr="00DB6C99" w:rsidRDefault="007C344D" w:rsidP="007C344D">
            <w:pPr>
              <w:adjustRightInd w:val="0"/>
              <w:spacing w:after="0" w:line="240" w:lineRule="auto"/>
              <w:jc w:val="both"/>
              <w:rPr>
                <w:rFonts w:ascii="Garamond" w:hAnsi="Garamond"/>
                <w:sz w:val="20"/>
                <w:szCs w:val="20"/>
                <w:lang w:val="en-GB"/>
              </w:rPr>
            </w:pPr>
            <w:r w:rsidRPr="00DB6C99">
              <w:rPr>
                <w:rFonts w:ascii="Garamond" w:hAnsi="Garamond"/>
                <w:sz w:val="20"/>
                <w:szCs w:val="20"/>
              </w:rPr>
              <w:t>Dummy variable equals 1 if the proportion of women on board is&gt;0 but ≤20 and 0 otherwise.</w:t>
            </w:r>
          </w:p>
        </w:tc>
        <w:tc>
          <w:tcPr>
            <w:tcW w:w="2070" w:type="dxa"/>
            <w:gridSpan w:val="2"/>
            <w:tcBorders>
              <w:top w:val="nil"/>
              <w:left w:val="nil"/>
              <w:bottom w:val="nil"/>
              <w:right w:val="nil"/>
            </w:tcBorders>
            <w:vAlign w:val="center"/>
          </w:tcPr>
          <w:p w14:paraId="745E10AF" w14:textId="77777777" w:rsidR="007C344D" w:rsidRPr="00DB6C99" w:rsidRDefault="007C344D" w:rsidP="007C344D">
            <w:pPr>
              <w:adjustRightInd w:val="0"/>
              <w:spacing w:after="0" w:line="240" w:lineRule="auto"/>
              <w:jc w:val="center"/>
              <w:rPr>
                <w:rFonts w:ascii="Garamond" w:hAnsi="Garamond"/>
                <w:sz w:val="20"/>
                <w:szCs w:val="20"/>
                <w:lang w:val="en-GB"/>
              </w:rPr>
            </w:pPr>
            <w:r w:rsidRPr="00DB6C99">
              <w:rPr>
                <w:rFonts w:ascii="Garamond" w:hAnsi="Garamond"/>
                <w:sz w:val="20"/>
                <w:szCs w:val="20"/>
                <w:lang w:val="en-GB"/>
              </w:rPr>
              <w:t>BoardEx</w:t>
            </w:r>
          </w:p>
        </w:tc>
      </w:tr>
      <w:tr w:rsidR="00DB6C99" w:rsidRPr="00DB6C99" w14:paraId="5044A982" w14:textId="77777777" w:rsidTr="007C344D">
        <w:trPr>
          <w:trHeight w:val="75"/>
          <w:jc w:val="center"/>
        </w:trPr>
        <w:tc>
          <w:tcPr>
            <w:tcW w:w="3150" w:type="dxa"/>
            <w:tcBorders>
              <w:top w:val="nil"/>
              <w:left w:val="nil"/>
              <w:bottom w:val="nil"/>
              <w:right w:val="nil"/>
            </w:tcBorders>
            <w:vAlign w:val="center"/>
          </w:tcPr>
          <w:p w14:paraId="08DBBC71" w14:textId="77777777" w:rsidR="007C344D" w:rsidRPr="00DB6C99" w:rsidRDefault="007C344D" w:rsidP="007C344D">
            <w:pPr>
              <w:adjustRightInd w:val="0"/>
              <w:spacing w:after="0" w:line="240" w:lineRule="auto"/>
              <w:rPr>
                <w:rFonts w:ascii="Garamond" w:hAnsi="Garamond"/>
                <w:sz w:val="20"/>
                <w:szCs w:val="20"/>
                <w:lang w:val="en-GB"/>
              </w:rPr>
            </w:pPr>
            <w:r w:rsidRPr="00DB6C99">
              <w:rPr>
                <w:rFonts w:ascii="Garamond" w:hAnsi="Garamond"/>
                <w:sz w:val="20"/>
                <w:szCs w:val="20"/>
                <w:lang w:val="en-GB"/>
              </w:rPr>
              <w:t>Tilted board</w:t>
            </w:r>
          </w:p>
        </w:tc>
        <w:tc>
          <w:tcPr>
            <w:tcW w:w="1530" w:type="dxa"/>
            <w:tcBorders>
              <w:top w:val="nil"/>
              <w:left w:val="nil"/>
              <w:bottom w:val="nil"/>
              <w:right w:val="nil"/>
            </w:tcBorders>
            <w:vAlign w:val="center"/>
          </w:tcPr>
          <w:p w14:paraId="70D8F963" w14:textId="77777777" w:rsidR="007C344D" w:rsidRPr="00DB6C99" w:rsidRDefault="007C344D" w:rsidP="007C344D">
            <w:pPr>
              <w:spacing w:after="0" w:line="240" w:lineRule="auto"/>
              <w:rPr>
                <w:rFonts w:ascii="Garamond" w:hAnsi="Garamond"/>
                <w:i/>
                <w:iCs/>
                <w:sz w:val="20"/>
                <w:szCs w:val="20"/>
                <w:lang w:val="en-GB"/>
              </w:rPr>
            </w:pPr>
            <w:r w:rsidRPr="00DB6C99">
              <w:rPr>
                <w:rFonts w:ascii="Garamond" w:hAnsi="Garamond"/>
                <w:i/>
                <w:iCs/>
                <w:sz w:val="20"/>
                <w:szCs w:val="20"/>
              </w:rPr>
              <w:t>TILTED</w:t>
            </w:r>
          </w:p>
        </w:tc>
        <w:tc>
          <w:tcPr>
            <w:tcW w:w="7920" w:type="dxa"/>
            <w:tcBorders>
              <w:top w:val="nil"/>
              <w:left w:val="nil"/>
              <w:bottom w:val="nil"/>
              <w:right w:val="nil"/>
            </w:tcBorders>
            <w:vAlign w:val="center"/>
          </w:tcPr>
          <w:p w14:paraId="4EE44FF6" w14:textId="77777777" w:rsidR="007C344D" w:rsidRPr="00DB6C99" w:rsidRDefault="007C344D" w:rsidP="007C344D">
            <w:pPr>
              <w:adjustRightInd w:val="0"/>
              <w:spacing w:after="0" w:line="240" w:lineRule="auto"/>
              <w:jc w:val="both"/>
              <w:rPr>
                <w:rFonts w:ascii="Garamond" w:hAnsi="Garamond"/>
                <w:sz w:val="20"/>
                <w:szCs w:val="20"/>
                <w:lang w:val="en-GB"/>
              </w:rPr>
            </w:pPr>
            <w:r w:rsidRPr="00DB6C99">
              <w:rPr>
                <w:rFonts w:ascii="Garamond" w:hAnsi="Garamond"/>
                <w:sz w:val="20"/>
                <w:szCs w:val="20"/>
              </w:rPr>
              <w:t>Dummy variable equals 1 if the proportion of women on board is&gt;20 but ≤40 and 0 otherwise</w:t>
            </w:r>
          </w:p>
        </w:tc>
        <w:tc>
          <w:tcPr>
            <w:tcW w:w="2070" w:type="dxa"/>
            <w:gridSpan w:val="2"/>
            <w:tcBorders>
              <w:top w:val="nil"/>
              <w:left w:val="nil"/>
              <w:bottom w:val="nil"/>
              <w:right w:val="nil"/>
            </w:tcBorders>
            <w:vAlign w:val="center"/>
          </w:tcPr>
          <w:p w14:paraId="27DC7A18" w14:textId="77777777" w:rsidR="007C344D" w:rsidRPr="00DB6C99" w:rsidRDefault="007C344D" w:rsidP="007C344D">
            <w:pPr>
              <w:adjustRightInd w:val="0"/>
              <w:spacing w:after="0" w:line="240" w:lineRule="auto"/>
              <w:jc w:val="center"/>
              <w:rPr>
                <w:rFonts w:ascii="Garamond" w:hAnsi="Garamond"/>
                <w:sz w:val="20"/>
                <w:szCs w:val="20"/>
                <w:lang w:val="en-GB"/>
              </w:rPr>
            </w:pPr>
            <w:r w:rsidRPr="00DB6C99">
              <w:rPr>
                <w:rFonts w:ascii="Garamond" w:hAnsi="Garamond"/>
                <w:sz w:val="20"/>
                <w:szCs w:val="20"/>
                <w:lang w:val="en-GB"/>
              </w:rPr>
              <w:t>BoardEx</w:t>
            </w:r>
          </w:p>
        </w:tc>
      </w:tr>
      <w:tr w:rsidR="00DB6C99" w:rsidRPr="00DB6C99" w14:paraId="7D5C982A" w14:textId="77777777" w:rsidTr="007C344D">
        <w:trPr>
          <w:trHeight w:val="75"/>
          <w:jc w:val="center"/>
        </w:trPr>
        <w:tc>
          <w:tcPr>
            <w:tcW w:w="3150" w:type="dxa"/>
            <w:tcBorders>
              <w:top w:val="nil"/>
              <w:left w:val="nil"/>
              <w:bottom w:val="nil"/>
              <w:right w:val="nil"/>
            </w:tcBorders>
            <w:vAlign w:val="center"/>
          </w:tcPr>
          <w:p w14:paraId="7527C24E" w14:textId="77777777" w:rsidR="007C344D" w:rsidRPr="00DB6C99" w:rsidRDefault="007C344D" w:rsidP="007C344D">
            <w:pPr>
              <w:adjustRightInd w:val="0"/>
              <w:spacing w:after="0" w:line="240" w:lineRule="auto"/>
              <w:rPr>
                <w:rFonts w:ascii="Garamond" w:hAnsi="Garamond"/>
                <w:sz w:val="20"/>
                <w:szCs w:val="20"/>
                <w:lang w:val="en-GB"/>
              </w:rPr>
            </w:pPr>
            <w:r w:rsidRPr="00DB6C99">
              <w:rPr>
                <w:rFonts w:ascii="Garamond" w:hAnsi="Garamond"/>
                <w:sz w:val="20"/>
                <w:szCs w:val="20"/>
                <w:lang w:val="en-GB"/>
              </w:rPr>
              <w:t>Balanced board</w:t>
            </w:r>
          </w:p>
        </w:tc>
        <w:tc>
          <w:tcPr>
            <w:tcW w:w="1530" w:type="dxa"/>
            <w:tcBorders>
              <w:top w:val="nil"/>
              <w:left w:val="nil"/>
              <w:bottom w:val="nil"/>
              <w:right w:val="nil"/>
            </w:tcBorders>
            <w:vAlign w:val="center"/>
          </w:tcPr>
          <w:p w14:paraId="115621A0" w14:textId="77777777" w:rsidR="007C344D" w:rsidRPr="00DB6C99" w:rsidRDefault="007C344D" w:rsidP="007C344D">
            <w:pPr>
              <w:spacing w:after="0" w:line="240" w:lineRule="auto"/>
              <w:rPr>
                <w:rFonts w:ascii="Garamond" w:hAnsi="Garamond"/>
                <w:i/>
                <w:iCs/>
                <w:sz w:val="20"/>
                <w:szCs w:val="20"/>
                <w:lang w:val="en-GB"/>
              </w:rPr>
            </w:pPr>
            <w:r w:rsidRPr="00DB6C99">
              <w:rPr>
                <w:rFonts w:ascii="Garamond" w:hAnsi="Garamond"/>
                <w:i/>
                <w:iCs/>
                <w:sz w:val="20"/>
                <w:szCs w:val="20"/>
              </w:rPr>
              <w:t>BALANCED</w:t>
            </w:r>
          </w:p>
        </w:tc>
        <w:tc>
          <w:tcPr>
            <w:tcW w:w="7920" w:type="dxa"/>
            <w:tcBorders>
              <w:top w:val="nil"/>
              <w:left w:val="nil"/>
              <w:bottom w:val="nil"/>
              <w:right w:val="nil"/>
            </w:tcBorders>
            <w:vAlign w:val="center"/>
          </w:tcPr>
          <w:p w14:paraId="3054B132" w14:textId="77777777" w:rsidR="007C344D" w:rsidRPr="00DB6C99" w:rsidRDefault="007C344D" w:rsidP="007C344D">
            <w:pPr>
              <w:adjustRightInd w:val="0"/>
              <w:spacing w:after="0" w:line="240" w:lineRule="auto"/>
              <w:jc w:val="both"/>
              <w:rPr>
                <w:rFonts w:ascii="Garamond" w:hAnsi="Garamond"/>
                <w:sz w:val="20"/>
                <w:szCs w:val="20"/>
                <w:lang w:val="en-GB"/>
              </w:rPr>
            </w:pPr>
            <w:r w:rsidRPr="00DB6C99">
              <w:rPr>
                <w:rFonts w:ascii="Garamond" w:hAnsi="Garamond"/>
                <w:sz w:val="20"/>
                <w:szCs w:val="20"/>
              </w:rPr>
              <w:t>Dummy variable equals 1 if the proportion of women on board is&gt;40 but ≤60 and 0 otherwise</w:t>
            </w:r>
          </w:p>
        </w:tc>
        <w:tc>
          <w:tcPr>
            <w:tcW w:w="2070" w:type="dxa"/>
            <w:gridSpan w:val="2"/>
            <w:tcBorders>
              <w:top w:val="nil"/>
              <w:left w:val="nil"/>
              <w:bottom w:val="nil"/>
              <w:right w:val="nil"/>
            </w:tcBorders>
            <w:vAlign w:val="center"/>
          </w:tcPr>
          <w:p w14:paraId="3C1E9C3D" w14:textId="77777777" w:rsidR="007C344D" w:rsidRPr="00DB6C99" w:rsidRDefault="007C344D" w:rsidP="007C344D">
            <w:pPr>
              <w:adjustRightInd w:val="0"/>
              <w:spacing w:after="0" w:line="240" w:lineRule="auto"/>
              <w:jc w:val="center"/>
              <w:rPr>
                <w:rFonts w:ascii="Garamond" w:hAnsi="Garamond"/>
                <w:sz w:val="20"/>
                <w:szCs w:val="20"/>
                <w:lang w:val="en-GB"/>
              </w:rPr>
            </w:pPr>
            <w:r w:rsidRPr="00DB6C99">
              <w:rPr>
                <w:rFonts w:ascii="Garamond" w:hAnsi="Garamond"/>
                <w:sz w:val="20"/>
                <w:szCs w:val="20"/>
                <w:lang w:val="en-GB"/>
              </w:rPr>
              <w:t>BoardEx</w:t>
            </w:r>
          </w:p>
        </w:tc>
      </w:tr>
      <w:tr w:rsidR="00DB6C99" w:rsidRPr="00DB6C99" w14:paraId="35F0E304" w14:textId="77777777" w:rsidTr="007C344D">
        <w:trPr>
          <w:trHeight w:val="252"/>
          <w:jc w:val="center"/>
        </w:trPr>
        <w:tc>
          <w:tcPr>
            <w:tcW w:w="3150" w:type="dxa"/>
            <w:tcBorders>
              <w:top w:val="nil"/>
              <w:left w:val="nil"/>
              <w:bottom w:val="nil"/>
              <w:right w:val="nil"/>
            </w:tcBorders>
            <w:vAlign w:val="center"/>
          </w:tcPr>
          <w:p w14:paraId="64467273" w14:textId="77777777" w:rsidR="007C344D" w:rsidRPr="00DB6C99" w:rsidRDefault="007C344D" w:rsidP="007C344D">
            <w:pPr>
              <w:adjustRightInd w:val="0"/>
              <w:spacing w:after="0" w:line="240" w:lineRule="auto"/>
              <w:jc w:val="both"/>
              <w:rPr>
                <w:rFonts w:ascii="Garamond" w:hAnsi="Garamond"/>
                <w:sz w:val="20"/>
                <w:szCs w:val="20"/>
                <w:lang w:val="en-GB"/>
              </w:rPr>
            </w:pPr>
            <w:r w:rsidRPr="00DB6C99">
              <w:rPr>
                <w:rFonts w:ascii="Garamond" w:hAnsi="Garamond"/>
                <w:sz w:val="20"/>
                <w:szCs w:val="20"/>
                <w:lang w:val="en-GB"/>
              </w:rPr>
              <w:t>Board size</w:t>
            </w:r>
          </w:p>
        </w:tc>
        <w:tc>
          <w:tcPr>
            <w:tcW w:w="1530" w:type="dxa"/>
            <w:tcBorders>
              <w:top w:val="nil"/>
              <w:left w:val="nil"/>
              <w:bottom w:val="nil"/>
              <w:right w:val="nil"/>
            </w:tcBorders>
            <w:vAlign w:val="center"/>
          </w:tcPr>
          <w:p w14:paraId="7DA194E4" w14:textId="77777777" w:rsidR="007C344D" w:rsidRPr="00DB6C99" w:rsidRDefault="007C344D" w:rsidP="007C344D">
            <w:pPr>
              <w:spacing w:after="0" w:line="240" w:lineRule="auto"/>
              <w:rPr>
                <w:rFonts w:ascii="Garamond" w:hAnsi="Garamond"/>
                <w:i/>
                <w:iCs/>
                <w:sz w:val="20"/>
                <w:szCs w:val="20"/>
                <w:lang w:val="en-GB"/>
              </w:rPr>
            </w:pPr>
            <w:r w:rsidRPr="00DB6C99">
              <w:rPr>
                <w:rFonts w:ascii="Garamond" w:hAnsi="Garamond"/>
                <w:i/>
                <w:iCs/>
                <w:sz w:val="20"/>
                <w:szCs w:val="20"/>
                <w:lang w:val="en-GB"/>
              </w:rPr>
              <w:t>BSIZE</w:t>
            </w:r>
          </w:p>
        </w:tc>
        <w:tc>
          <w:tcPr>
            <w:tcW w:w="7920" w:type="dxa"/>
            <w:tcBorders>
              <w:top w:val="nil"/>
              <w:left w:val="nil"/>
              <w:bottom w:val="nil"/>
              <w:right w:val="nil"/>
            </w:tcBorders>
            <w:vAlign w:val="center"/>
          </w:tcPr>
          <w:p w14:paraId="3AD9FD58" w14:textId="77777777" w:rsidR="007C344D" w:rsidRPr="00DB6C99" w:rsidRDefault="007C344D" w:rsidP="007C344D">
            <w:pPr>
              <w:adjustRightInd w:val="0"/>
              <w:spacing w:after="0" w:line="240" w:lineRule="auto"/>
              <w:jc w:val="both"/>
              <w:rPr>
                <w:rFonts w:ascii="Garamond" w:hAnsi="Garamond"/>
                <w:sz w:val="20"/>
                <w:szCs w:val="20"/>
                <w:lang w:val="en-GB"/>
              </w:rPr>
            </w:pPr>
            <w:r w:rsidRPr="00DB6C99">
              <w:rPr>
                <w:rFonts w:ascii="Garamond" w:hAnsi="Garamond"/>
                <w:sz w:val="20"/>
                <w:szCs w:val="20"/>
                <w:lang w:val="en-GB"/>
              </w:rPr>
              <w:t>Natural log of the number of directors on the board.</w:t>
            </w:r>
          </w:p>
        </w:tc>
        <w:tc>
          <w:tcPr>
            <w:tcW w:w="2070" w:type="dxa"/>
            <w:gridSpan w:val="2"/>
            <w:tcBorders>
              <w:top w:val="nil"/>
              <w:left w:val="nil"/>
              <w:bottom w:val="nil"/>
              <w:right w:val="nil"/>
            </w:tcBorders>
            <w:vAlign w:val="center"/>
          </w:tcPr>
          <w:p w14:paraId="57D8DF07" w14:textId="77777777" w:rsidR="007C344D" w:rsidRPr="00DB6C99" w:rsidRDefault="007C344D" w:rsidP="007C344D">
            <w:pPr>
              <w:adjustRightInd w:val="0"/>
              <w:spacing w:after="0" w:line="240" w:lineRule="auto"/>
              <w:jc w:val="center"/>
              <w:rPr>
                <w:rFonts w:ascii="Garamond" w:hAnsi="Garamond"/>
                <w:sz w:val="20"/>
                <w:szCs w:val="20"/>
                <w:lang w:val="en-GB"/>
              </w:rPr>
            </w:pPr>
            <w:r w:rsidRPr="00DB6C99">
              <w:rPr>
                <w:rFonts w:ascii="Garamond" w:hAnsi="Garamond"/>
                <w:sz w:val="20"/>
                <w:szCs w:val="20"/>
                <w:lang w:val="en-GB"/>
              </w:rPr>
              <w:t>BoardEx</w:t>
            </w:r>
          </w:p>
        </w:tc>
      </w:tr>
      <w:tr w:rsidR="00DB6C99" w:rsidRPr="00DB6C99" w14:paraId="3172A5A1" w14:textId="77777777" w:rsidTr="007C344D">
        <w:trPr>
          <w:trHeight w:val="243"/>
          <w:jc w:val="center"/>
        </w:trPr>
        <w:tc>
          <w:tcPr>
            <w:tcW w:w="3150" w:type="dxa"/>
            <w:tcBorders>
              <w:top w:val="nil"/>
              <w:left w:val="nil"/>
              <w:bottom w:val="nil"/>
              <w:right w:val="nil"/>
            </w:tcBorders>
            <w:vAlign w:val="center"/>
          </w:tcPr>
          <w:p w14:paraId="7541D143" w14:textId="77777777" w:rsidR="007C344D" w:rsidRPr="00DB6C99" w:rsidRDefault="007C344D" w:rsidP="007C344D">
            <w:pPr>
              <w:adjustRightInd w:val="0"/>
              <w:spacing w:after="0" w:line="240" w:lineRule="auto"/>
              <w:jc w:val="both"/>
              <w:rPr>
                <w:rFonts w:ascii="Garamond" w:hAnsi="Garamond"/>
                <w:sz w:val="20"/>
                <w:szCs w:val="20"/>
                <w:lang w:val="en-GB"/>
              </w:rPr>
            </w:pPr>
            <w:r w:rsidRPr="00DB6C99">
              <w:rPr>
                <w:rFonts w:ascii="Garamond" w:hAnsi="Garamond"/>
                <w:sz w:val="20"/>
                <w:szCs w:val="20"/>
                <w:lang w:val="en-GB"/>
              </w:rPr>
              <w:t>Board independence</w:t>
            </w:r>
          </w:p>
        </w:tc>
        <w:tc>
          <w:tcPr>
            <w:tcW w:w="1530" w:type="dxa"/>
            <w:tcBorders>
              <w:top w:val="nil"/>
              <w:left w:val="nil"/>
              <w:bottom w:val="nil"/>
              <w:right w:val="nil"/>
            </w:tcBorders>
            <w:vAlign w:val="center"/>
          </w:tcPr>
          <w:p w14:paraId="7905FC1C" w14:textId="77777777" w:rsidR="007C344D" w:rsidRPr="00DB6C99" w:rsidRDefault="007C344D" w:rsidP="007C344D">
            <w:pPr>
              <w:spacing w:after="0" w:line="240" w:lineRule="auto"/>
              <w:rPr>
                <w:rFonts w:ascii="Garamond" w:hAnsi="Garamond"/>
                <w:i/>
                <w:iCs/>
                <w:sz w:val="20"/>
                <w:szCs w:val="20"/>
                <w:lang w:val="en-GB"/>
              </w:rPr>
            </w:pPr>
            <w:r w:rsidRPr="00DB6C99">
              <w:rPr>
                <w:rFonts w:ascii="Garamond" w:hAnsi="Garamond"/>
                <w:i/>
                <w:iCs/>
                <w:sz w:val="20"/>
                <w:szCs w:val="20"/>
                <w:lang w:val="en-GB"/>
              </w:rPr>
              <w:t>BIND</w:t>
            </w:r>
          </w:p>
        </w:tc>
        <w:tc>
          <w:tcPr>
            <w:tcW w:w="7920" w:type="dxa"/>
            <w:tcBorders>
              <w:top w:val="nil"/>
              <w:left w:val="nil"/>
              <w:bottom w:val="nil"/>
              <w:right w:val="nil"/>
            </w:tcBorders>
            <w:vAlign w:val="center"/>
          </w:tcPr>
          <w:p w14:paraId="75A5B947" w14:textId="77777777" w:rsidR="007C344D" w:rsidRPr="00DB6C99" w:rsidRDefault="007C344D" w:rsidP="007C344D">
            <w:pPr>
              <w:adjustRightInd w:val="0"/>
              <w:spacing w:after="0" w:line="240" w:lineRule="auto"/>
              <w:jc w:val="both"/>
              <w:rPr>
                <w:rFonts w:ascii="Garamond" w:hAnsi="Garamond"/>
                <w:sz w:val="20"/>
                <w:szCs w:val="20"/>
                <w:lang w:val="en-GB"/>
              </w:rPr>
            </w:pPr>
            <w:r w:rsidRPr="00DB6C99">
              <w:rPr>
                <w:rFonts w:ascii="Garamond" w:hAnsi="Garamond"/>
                <w:sz w:val="20"/>
                <w:szCs w:val="20"/>
                <w:lang w:val="en-GB"/>
              </w:rPr>
              <w:t>The proportion of independent directors on the board.</w:t>
            </w:r>
          </w:p>
        </w:tc>
        <w:tc>
          <w:tcPr>
            <w:tcW w:w="2070" w:type="dxa"/>
            <w:gridSpan w:val="2"/>
            <w:tcBorders>
              <w:top w:val="nil"/>
              <w:left w:val="nil"/>
              <w:bottom w:val="nil"/>
              <w:right w:val="nil"/>
            </w:tcBorders>
            <w:vAlign w:val="center"/>
          </w:tcPr>
          <w:p w14:paraId="71C1C36A" w14:textId="77777777" w:rsidR="007C344D" w:rsidRPr="00DB6C99" w:rsidRDefault="007C344D" w:rsidP="007C344D">
            <w:pPr>
              <w:adjustRightInd w:val="0"/>
              <w:spacing w:after="0" w:line="240" w:lineRule="auto"/>
              <w:jc w:val="center"/>
              <w:rPr>
                <w:rFonts w:ascii="Garamond" w:hAnsi="Garamond"/>
                <w:sz w:val="20"/>
                <w:szCs w:val="20"/>
                <w:lang w:val="en-GB"/>
              </w:rPr>
            </w:pPr>
            <w:r w:rsidRPr="00DB6C99">
              <w:rPr>
                <w:rFonts w:ascii="Garamond" w:hAnsi="Garamond"/>
                <w:sz w:val="20"/>
                <w:szCs w:val="20"/>
                <w:lang w:val="en-GB"/>
              </w:rPr>
              <w:t>BoardEx</w:t>
            </w:r>
          </w:p>
        </w:tc>
      </w:tr>
      <w:tr w:rsidR="00DB6C99" w:rsidRPr="00DB6C99" w14:paraId="103A56F2" w14:textId="77777777" w:rsidTr="007C344D">
        <w:trPr>
          <w:trHeight w:val="243"/>
          <w:jc w:val="center"/>
        </w:trPr>
        <w:tc>
          <w:tcPr>
            <w:tcW w:w="3150" w:type="dxa"/>
            <w:tcBorders>
              <w:top w:val="nil"/>
              <w:left w:val="nil"/>
              <w:bottom w:val="nil"/>
              <w:right w:val="nil"/>
            </w:tcBorders>
            <w:vAlign w:val="center"/>
          </w:tcPr>
          <w:p w14:paraId="1648EF87" w14:textId="77777777" w:rsidR="007C344D" w:rsidRPr="00DB6C99" w:rsidRDefault="007C344D" w:rsidP="007C344D">
            <w:pPr>
              <w:adjustRightInd w:val="0"/>
              <w:spacing w:after="0" w:line="240" w:lineRule="auto"/>
              <w:jc w:val="both"/>
              <w:rPr>
                <w:rFonts w:ascii="Garamond" w:hAnsi="Garamond"/>
                <w:sz w:val="20"/>
                <w:szCs w:val="20"/>
                <w:lang w:val="en-GB"/>
              </w:rPr>
            </w:pPr>
            <w:r w:rsidRPr="00DB6C99">
              <w:rPr>
                <w:rFonts w:ascii="Garamond" w:hAnsi="Garamond"/>
                <w:sz w:val="20"/>
                <w:szCs w:val="20"/>
                <w:lang w:val="en-GB"/>
              </w:rPr>
              <w:t>Board meetings</w:t>
            </w:r>
          </w:p>
        </w:tc>
        <w:tc>
          <w:tcPr>
            <w:tcW w:w="1530" w:type="dxa"/>
            <w:tcBorders>
              <w:top w:val="nil"/>
              <w:left w:val="nil"/>
              <w:bottom w:val="nil"/>
              <w:right w:val="nil"/>
            </w:tcBorders>
            <w:vAlign w:val="center"/>
          </w:tcPr>
          <w:p w14:paraId="0719BFF3" w14:textId="77777777" w:rsidR="007C344D" w:rsidRPr="00DB6C99" w:rsidRDefault="007C344D" w:rsidP="007C344D">
            <w:pPr>
              <w:spacing w:after="0" w:line="240" w:lineRule="auto"/>
              <w:rPr>
                <w:rFonts w:ascii="Garamond" w:hAnsi="Garamond"/>
                <w:i/>
                <w:iCs/>
                <w:sz w:val="20"/>
                <w:szCs w:val="20"/>
                <w:lang w:val="en-GB"/>
              </w:rPr>
            </w:pPr>
            <w:r w:rsidRPr="00DB6C99">
              <w:rPr>
                <w:rFonts w:ascii="Garamond" w:hAnsi="Garamond"/>
                <w:i/>
                <w:iCs/>
                <w:sz w:val="20"/>
                <w:szCs w:val="20"/>
                <w:lang w:val="en-GB"/>
              </w:rPr>
              <w:t>BMEET</w:t>
            </w:r>
          </w:p>
        </w:tc>
        <w:tc>
          <w:tcPr>
            <w:tcW w:w="7920" w:type="dxa"/>
            <w:tcBorders>
              <w:top w:val="nil"/>
              <w:left w:val="nil"/>
              <w:bottom w:val="nil"/>
              <w:right w:val="nil"/>
            </w:tcBorders>
            <w:vAlign w:val="center"/>
          </w:tcPr>
          <w:p w14:paraId="01E57FB5" w14:textId="77777777" w:rsidR="007C344D" w:rsidRPr="00DB6C99" w:rsidRDefault="007C344D" w:rsidP="007C344D">
            <w:pPr>
              <w:adjustRightInd w:val="0"/>
              <w:spacing w:after="0" w:line="240" w:lineRule="auto"/>
              <w:jc w:val="both"/>
              <w:rPr>
                <w:rFonts w:ascii="Garamond" w:hAnsi="Garamond"/>
                <w:sz w:val="20"/>
                <w:szCs w:val="20"/>
                <w:lang w:val="en-GB"/>
              </w:rPr>
            </w:pPr>
            <w:r w:rsidRPr="00DB6C99">
              <w:rPr>
                <w:rFonts w:ascii="Garamond" w:hAnsi="Garamond"/>
                <w:sz w:val="20"/>
                <w:szCs w:val="20"/>
                <w:lang w:val="en-GB"/>
              </w:rPr>
              <w:t>Natural log of the number of board meetings.</w:t>
            </w:r>
          </w:p>
        </w:tc>
        <w:tc>
          <w:tcPr>
            <w:tcW w:w="2070" w:type="dxa"/>
            <w:gridSpan w:val="2"/>
            <w:tcBorders>
              <w:top w:val="nil"/>
              <w:left w:val="nil"/>
              <w:bottom w:val="nil"/>
              <w:right w:val="nil"/>
            </w:tcBorders>
            <w:vAlign w:val="center"/>
          </w:tcPr>
          <w:p w14:paraId="5C60FF98" w14:textId="77777777" w:rsidR="007C344D" w:rsidRPr="00DB6C99" w:rsidRDefault="007C344D" w:rsidP="007C344D">
            <w:pPr>
              <w:adjustRightInd w:val="0"/>
              <w:spacing w:after="0" w:line="240" w:lineRule="auto"/>
              <w:jc w:val="center"/>
              <w:rPr>
                <w:rFonts w:ascii="Garamond" w:hAnsi="Garamond"/>
                <w:sz w:val="20"/>
                <w:szCs w:val="20"/>
                <w:lang w:val="en-GB"/>
              </w:rPr>
            </w:pPr>
            <w:r w:rsidRPr="00DB6C99">
              <w:rPr>
                <w:rFonts w:ascii="Garamond" w:hAnsi="Garamond"/>
                <w:sz w:val="20"/>
                <w:szCs w:val="20"/>
                <w:lang w:val="en-GB"/>
              </w:rPr>
              <w:t>BoardEx</w:t>
            </w:r>
          </w:p>
        </w:tc>
      </w:tr>
      <w:tr w:rsidR="00DB6C99" w:rsidRPr="00DB6C99" w14:paraId="76061DBE" w14:textId="77777777" w:rsidTr="007C344D">
        <w:trPr>
          <w:trHeight w:val="234"/>
          <w:jc w:val="center"/>
        </w:trPr>
        <w:tc>
          <w:tcPr>
            <w:tcW w:w="3150" w:type="dxa"/>
            <w:tcBorders>
              <w:top w:val="nil"/>
              <w:left w:val="nil"/>
              <w:bottom w:val="nil"/>
              <w:right w:val="nil"/>
            </w:tcBorders>
            <w:vAlign w:val="center"/>
          </w:tcPr>
          <w:p w14:paraId="29263B89" w14:textId="77777777" w:rsidR="007C344D" w:rsidRPr="00DB6C99" w:rsidRDefault="007C344D" w:rsidP="007C344D">
            <w:pPr>
              <w:adjustRightInd w:val="0"/>
              <w:spacing w:after="0" w:line="240" w:lineRule="auto"/>
              <w:jc w:val="both"/>
              <w:rPr>
                <w:rFonts w:ascii="Garamond" w:hAnsi="Garamond"/>
                <w:sz w:val="20"/>
                <w:szCs w:val="20"/>
                <w:lang w:val="en-GB"/>
              </w:rPr>
            </w:pPr>
            <w:r w:rsidRPr="00DB6C99">
              <w:rPr>
                <w:rFonts w:ascii="Garamond" w:hAnsi="Garamond"/>
                <w:sz w:val="20"/>
                <w:szCs w:val="20"/>
                <w:lang w:val="en-GB"/>
              </w:rPr>
              <w:t>CEO duality</w:t>
            </w:r>
          </w:p>
        </w:tc>
        <w:tc>
          <w:tcPr>
            <w:tcW w:w="1530" w:type="dxa"/>
            <w:tcBorders>
              <w:top w:val="nil"/>
              <w:left w:val="nil"/>
              <w:bottom w:val="nil"/>
              <w:right w:val="nil"/>
            </w:tcBorders>
            <w:vAlign w:val="center"/>
          </w:tcPr>
          <w:p w14:paraId="3AC6C465" w14:textId="77777777" w:rsidR="007C344D" w:rsidRPr="00DB6C99" w:rsidRDefault="007C344D" w:rsidP="007C344D">
            <w:pPr>
              <w:spacing w:after="0" w:line="240" w:lineRule="auto"/>
              <w:rPr>
                <w:rFonts w:ascii="Garamond" w:hAnsi="Garamond"/>
                <w:i/>
                <w:iCs/>
                <w:sz w:val="20"/>
                <w:szCs w:val="20"/>
                <w:lang w:val="en-GB"/>
              </w:rPr>
            </w:pPr>
            <w:r w:rsidRPr="00DB6C99">
              <w:rPr>
                <w:rFonts w:ascii="Garamond" w:hAnsi="Garamond"/>
                <w:i/>
                <w:iCs/>
                <w:sz w:val="20"/>
                <w:szCs w:val="20"/>
                <w:lang w:val="en-GB"/>
              </w:rPr>
              <w:t>DUAL</w:t>
            </w:r>
          </w:p>
        </w:tc>
        <w:tc>
          <w:tcPr>
            <w:tcW w:w="7920" w:type="dxa"/>
            <w:tcBorders>
              <w:top w:val="nil"/>
              <w:left w:val="nil"/>
              <w:bottom w:val="nil"/>
              <w:right w:val="nil"/>
            </w:tcBorders>
            <w:vAlign w:val="center"/>
          </w:tcPr>
          <w:p w14:paraId="7669376C" w14:textId="77777777" w:rsidR="007C344D" w:rsidRPr="00DB6C99" w:rsidRDefault="007C344D" w:rsidP="007C344D">
            <w:pPr>
              <w:adjustRightInd w:val="0"/>
              <w:spacing w:after="0" w:line="240" w:lineRule="auto"/>
              <w:jc w:val="both"/>
              <w:rPr>
                <w:rFonts w:ascii="Garamond" w:hAnsi="Garamond"/>
                <w:sz w:val="20"/>
                <w:szCs w:val="20"/>
                <w:lang w:val="en-GB"/>
              </w:rPr>
            </w:pPr>
            <w:r w:rsidRPr="00DB6C99">
              <w:rPr>
                <w:rFonts w:ascii="Garamond" w:hAnsi="Garamond"/>
                <w:sz w:val="20"/>
                <w:szCs w:val="20"/>
                <w:lang w:val="en-GB"/>
              </w:rPr>
              <w:t>Dummy variable coded 1 if different individuals hold the CEO and board chair position and 0 otherwise.</w:t>
            </w:r>
          </w:p>
        </w:tc>
        <w:tc>
          <w:tcPr>
            <w:tcW w:w="2070" w:type="dxa"/>
            <w:gridSpan w:val="2"/>
            <w:tcBorders>
              <w:top w:val="nil"/>
              <w:left w:val="nil"/>
              <w:bottom w:val="nil"/>
              <w:right w:val="nil"/>
            </w:tcBorders>
            <w:vAlign w:val="center"/>
          </w:tcPr>
          <w:p w14:paraId="3D80172E" w14:textId="77777777" w:rsidR="007C344D" w:rsidRPr="00DB6C99" w:rsidRDefault="007C344D" w:rsidP="007C344D">
            <w:pPr>
              <w:adjustRightInd w:val="0"/>
              <w:spacing w:after="0" w:line="240" w:lineRule="auto"/>
              <w:jc w:val="center"/>
              <w:rPr>
                <w:rFonts w:ascii="Garamond" w:hAnsi="Garamond"/>
                <w:sz w:val="20"/>
                <w:szCs w:val="20"/>
                <w:lang w:val="en-GB"/>
              </w:rPr>
            </w:pPr>
            <w:r w:rsidRPr="00DB6C99">
              <w:rPr>
                <w:rFonts w:ascii="Garamond" w:hAnsi="Garamond"/>
                <w:sz w:val="20"/>
                <w:szCs w:val="20"/>
                <w:lang w:val="en-GB"/>
              </w:rPr>
              <w:t>BoardEx</w:t>
            </w:r>
          </w:p>
        </w:tc>
      </w:tr>
      <w:tr w:rsidR="00DB6C99" w:rsidRPr="00DB6C99" w14:paraId="23982B73" w14:textId="77777777" w:rsidTr="007C344D">
        <w:trPr>
          <w:trHeight w:val="234"/>
          <w:jc w:val="center"/>
        </w:trPr>
        <w:tc>
          <w:tcPr>
            <w:tcW w:w="3150" w:type="dxa"/>
            <w:tcBorders>
              <w:top w:val="nil"/>
              <w:left w:val="nil"/>
              <w:bottom w:val="nil"/>
              <w:right w:val="nil"/>
            </w:tcBorders>
            <w:vAlign w:val="center"/>
          </w:tcPr>
          <w:p w14:paraId="63B000A7" w14:textId="77777777" w:rsidR="007C344D" w:rsidRPr="00DB6C99" w:rsidRDefault="007C344D" w:rsidP="007C344D">
            <w:pPr>
              <w:adjustRightInd w:val="0"/>
              <w:spacing w:after="0" w:line="240" w:lineRule="auto"/>
              <w:jc w:val="both"/>
              <w:rPr>
                <w:rFonts w:ascii="Garamond" w:hAnsi="Garamond"/>
                <w:sz w:val="20"/>
                <w:szCs w:val="20"/>
                <w:lang w:val="en-GB"/>
              </w:rPr>
            </w:pPr>
            <w:r w:rsidRPr="00DB6C99">
              <w:rPr>
                <w:rFonts w:ascii="Garamond" w:hAnsi="Garamond"/>
                <w:sz w:val="20"/>
                <w:szCs w:val="20"/>
                <w:lang w:val="en-GB"/>
              </w:rPr>
              <w:t>Analyst forecast error</w:t>
            </w:r>
          </w:p>
        </w:tc>
        <w:tc>
          <w:tcPr>
            <w:tcW w:w="1530" w:type="dxa"/>
            <w:tcBorders>
              <w:top w:val="nil"/>
              <w:left w:val="nil"/>
              <w:bottom w:val="nil"/>
              <w:right w:val="nil"/>
            </w:tcBorders>
            <w:vAlign w:val="center"/>
          </w:tcPr>
          <w:p w14:paraId="7215DF9B" w14:textId="77777777" w:rsidR="007C344D" w:rsidRPr="00DB6C99" w:rsidRDefault="007C344D" w:rsidP="007C344D">
            <w:pPr>
              <w:spacing w:after="0" w:line="240" w:lineRule="auto"/>
              <w:rPr>
                <w:rFonts w:ascii="Garamond" w:hAnsi="Garamond"/>
                <w:i/>
                <w:iCs/>
                <w:sz w:val="20"/>
                <w:szCs w:val="20"/>
                <w:lang w:val="en-GB"/>
              </w:rPr>
            </w:pPr>
            <w:r w:rsidRPr="00DB6C99">
              <w:rPr>
                <w:rFonts w:ascii="Garamond" w:hAnsi="Garamond"/>
                <w:i/>
                <w:iCs/>
                <w:sz w:val="20"/>
                <w:szCs w:val="20"/>
                <w:lang w:val="en-GB"/>
              </w:rPr>
              <w:t>AFE</w:t>
            </w:r>
          </w:p>
        </w:tc>
        <w:tc>
          <w:tcPr>
            <w:tcW w:w="7920" w:type="dxa"/>
            <w:tcBorders>
              <w:top w:val="nil"/>
              <w:left w:val="nil"/>
              <w:bottom w:val="nil"/>
              <w:right w:val="nil"/>
            </w:tcBorders>
            <w:vAlign w:val="center"/>
          </w:tcPr>
          <w:p w14:paraId="4C302E73" w14:textId="77777777" w:rsidR="007C344D" w:rsidRPr="00DB6C99" w:rsidRDefault="007C344D" w:rsidP="007C344D">
            <w:pPr>
              <w:adjustRightInd w:val="0"/>
              <w:spacing w:after="0" w:line="240" w:lineRule="auto"/>
              <w:jc w:val="both"/>
              <w:rPr>
                <w:rFonts w:ascii="Garamond" w:hAnsi="Garamond"/>
                <w:sz w:val="20"/>
                <w:szCs w:val="20"/>
                <w:lang w:val="en-GB"/>
              </w:rPr>
            </w:pPr>
            <w:r w:rsidRPr="00DB6C99">
              <w:rPr>
                <w:rFonts w:ascii="Garamond" w:hAnsi="Garamond"/>
                <w:sz w:val="20"/>
                <w:szCs w:val="20"/>
                <w:lang w:val="en-GB"/>
              </w:rPr>
              <w:t>The absolute difference between actual and forecasted earnings.</w:t>
            </w:r>
          </w:p>
        </w:tc>
        <w:tc>
          <w:tcPr>
            <w:tcW w:w="2070" w:type="dxa"/>
            <w:gridSpan w:val="2"/>
            <w:tcBorders>
              <w:top w:val="nil"/>
              <w:left w:val="nil"/>
              <w:bottom w:val="nil"/>
              <w:right w:val="nil"/>
            </w:tcBorders>
          </w:tcPr>
          <w:p w14:paraId="6F72D667" w14:textId="77777777" w:rsidR="007C344D" w:rsidRPr="00DB6C99" w:rsidRDefault="007C344D" w:rsidP="007C344D">
            <w:pPr>
              <w:adjustRightInd w:val="0"/>
              <w:spacing w:after="0" w:line="240" w:lineRule="auto"/>
              <w:jc w:val="center"/>
              <w:rPr>
                <w:rFonts w:ascii="Garamond" w:hAnsi="Garamond"/>
                <w:sz w:val="20"/>
                <w:szCs w:val="20"/>
                <w:lang w:val="en-GB"/>
              </w:rPr>
            </w:pPr>
            <w:r w:rsidRPr="00DB6C99">
              <w:rPr>
                <w:rFonts w:ascii="Garamond" w:hAnsi="Garamond"/>
                <w:sz w:val="20"/>
                <w:szCs w:val="20"/>
                <w:lang w:val="en-GB"/>
              </w:rPr>
              <w:t>I/B/E/S</w:t>
            </w:r>
          </w:p>
        </w:tc>
      </w:tr>
      <w:tr w:rsidR="00DB6C99" w:rsidRPr="00DB6C99" w14:paraId="4D7D0FA8" w14:textId="77777777" w:rsidTr="007C344D">
        <w:trPr>
          <w:trHeight w:val="225"/>
          <w:jc w:val="center"/>
        </w:trPr>
        <w:tc>
          <w:tcPr>
            <w:tcW w:w="3150" w:type="dxa"/>
            <w:tcBorders>
              <w:top w:val="nil"/>
              <w:left w:val="nil"/>
              <w:bottom w:val="nil"/>
              <w:right w:val="nil"/>
            </w:tcBorders>
            <w:vAlign w:val="center"/>
          </w:tcPr>
          <w:p w14:paraId="1FC7A256" w14:textId="77777777" w:rsidR="007C344D" w:rsidRPr="00DB6C99" w:rsidRDefault="007C344D" w:rsidP="007C344D">
            <w:pPr>
              <w:adjustRightInd w:val="0"/>
              <w:spacing w:after="0" w:line="240" w:lineRule="auto"/>
              <w:jc w:val="both"/>
              <w:rPr>
                <w:rFonts w:ascii="Garamond" w:hAnsi="Garamond"/>
                <w:sz w:val="20"/>
                <w:szCs w:val="20"/>
                <w:lang w:val="en-GB"/>
              </w:rPr>
            </w:pPr>
            <w:r w:rsidRPr="00DB6C99">
              <w:rPr>
                <w:rFonts w:ascii="Garamond" w:hAnsi="Garamond"/>
                <w:sz w:val="20"/>
                <w:szCs w:val="20"/>
                <w:lang w:val="en-GB"/>
              </w:rPr>
              <w:t>Profitability</w:t>
            </w:r>
          </w:p>
        </w:tc>
        <w:tc>
          <w:tcPr>
            <w:tcW w:w="1530" w:type="dxa"/>
            <w:tcBorders>
              <w:top w:val="nil"/>
              <w:left w:val="nil"/>
              <w:bottom w:val="nil"/>
              <w:right w:val="nil"/>
            </w:tcBorders>
            <w:vAlign w:val="center"/>
          </w:tcPr>
          <w:p w14:paraId="48AB82A0" w14:textId="77777777" w:rsidR="007C344D" w:rsidRPr="00DB6C99" w:rsidRDefault="007C344D" w:rsidP="007C344D">
            <w:pPr>
              <w:spacing w:after="0" w:line="240" w:lineRule="auto"/>
              <w:rPr>
                <w:rFonts w:ascii="Garamond" w:hAnsi="Garamond"/>
                <w:i/>
                <w:iCs/>
                <w:sz w:val="20"/>
                <w:szCs w:val="20"/>
                <w:lang w:val="en-GB"/>
              </w:rPr>
            </w:pPr>
            <w:r w:rsidRPr="00DB6C99">
              <w:rPr>
                <w:rFonts w:ascii="Garamond" w:hAnsi="Garamond"/>
                <w:i/>
                <w:iCs/>
                <w:sz w:val="20"/>
                <w:szCs w:val="20"/>
                <w:lang w:val="en-GB"/>
              </w:rPr>
              <w:t>ROA</w:t>
            </w:r>
          </w:p>
        </w:tc>
        <w:tc>
          <w:tcPr>
            <w:tcW w:w="7920" w:type="dxa"/>
            <w:tcBorders>
              <w:top w:val="nil"/>
              <w:left w:val="nil"/>
              <w:bottom w:val="nil"/>
              <w:right w:val="nil"/>
            </w:tcBorders>
            <w:vAlign w:val="center"/>
          </w:tcPr>
          <w:p w14:paraId="76BF159B" w14:textId="77777777" w:rsidR="007C344D" w:rsidRPr="00DB6C99" w:rsidRDefault="007C344D" w:rsidP="007C344D">
            <w:pPr>
              <w:adjustRightInd w:val="0"/>
              <w:spacing w:after="0" w:line="240" w:lineRule="auto"/>
              <w:jc w:val="both"/>
              <w:rPr>
                <w:rFonts w:ascii="Garamond" w:hAnsi="Garamond"/>
                <w:sz w:val="20"/>
                <w:szCs w:val="20"/>
                <w:lang w:val="en-GB"/>
              </w:rPr>
            </w:pPr>
            <w:r w:rsidRPr="00DB6C99">
              <w:rPr>
                <w:rFonts w:ascii="Garamond" w:hAnsi="Garamond"/>
                <w:sz w:val="20"/>
                <w:szCs w:val="20"/>
                <w:lang w:val="en-GB"/>
              </w:rPr>
              <w:t>Net profit/loss divided by total assets.</w:t>
            </w:r>
          </w:p>
        </w:tc>
        <w:tc>
          <w:tcPr>
            <w:tcW w:w="2070" w:type="dxa"/>
            <w:gridSpan w:val="2"/>
            <w:tcBorders>
              <w:top w:val="nil"/>
              <w:left w:val="nil"/>
              <w:bottom w:val="nil"/>
              <w:right w:val="nil"/>
            </w:tcBorders>
            <w:vAlign w:val="center"/>
          </w:tcPr>
          <w:p w14:paraId="1BACC137" w14:textId="77777777" w:rsidR="007C344D" w:rsidRPr="00DB6C99" w:rsidRDefault="007C344D" w:rsidP="007C344D">
            <w:pPr>
              <w:adjustRightInd w:val="0"/>
              <w:spacing w:after="0" w:line="240" w:lineRule="auto"/>
              <w:jc w:val="center"/>
              <w:rPr>
                <w:rFonts w:ascii="Garamond" w:hAnsi="Garamond"/>
                <w:sz w:val="20"/>
                <w:szCs w:val="20"/>
                <w:lang w:val="en-GB"/>
              </w:rPr>
            </w:pPr>
            <w:r w:rsidRPr="00DB6C99">
              <w:rPr>
                <w:rFonts w:ascii="Garamond" w:hAnsi="Garamond"/>
                <w:sz w:val="20"/>
                <w:szCs w:val="20"/>
                <w:lang w:val="en-GB"/>
              </w:rPr>
              <w:t>Worldscope</w:t>
            </w:r>
          </w:p>
        </w:tc>
      </w:tr>
      <w:tr w:rsidR="00DB6C99" w:rsidRPr="00DB6C99" w14:paraId="7FAA71D2" w14:textId="77777777" w:rsidTr="007C344D">
        <w:trPr>
          <w:trHeight w:val="225"/>
          <w:jc w:val="center"/>
        </w:trPr>
        <w:tc>
          <w:tcPr>
            <w:tcW w:w="3150" w:type="dxa"/>
            <w:tcBorders>
              <w:top w:val="nil"/>
              <w:left w:val="nil"/>
              <w:bottom w:val="nil"/>
              <w:right w:val="nil"/>
            </w:tcBorders>
            <w:vAlign w:val="center"/>
          </w:tcPr>
          <w:p w14:paraId="51CE6E1B" w14:textId="77777777" w:rsidR="007C344D" w:rsidRPr="00DB6C99" w:rsidRDefault="007C344D" w:rsidP="007C344D">
            <w:pPr>
              <w:adjustRightInd w:val="0"/>
              <w:spacing w:after="0" w:line="240" w:lineRule="auto"/>
              <w:jc w:val="both"/>
              <w:rPr>
                <w:rFonts w:ascii="Garamond" w:hAnsi="Garamond"/>
                <w:sz w:val="20"/>
                <w:szCs w:val="20"/>
                <w:lang w:val="en-GB"/>
              </w:rPr>
            </w:pPr>
            <w:r w:rsidRPr="00DB6C99">
              <w:rPr>
                <w:rFonts w:ascii="Garamond" w:hAnsi="Garamond"/>
                <w:sz w:val="20"/>
                <w:szCs w:val="20"/>
                <w:lang w:val="en-GB"/>
              </w:rPr>
              <w:t>Profit Margin</w:t>
            </w:r>
          </w:p>
        </w:tc>
        <w:tc>
          <w:tcPr>
            <w:tcW w:w="1530" w:type="dxa"/>
            <w:tcBorders>
              <w:top w:val="nil"/>
              <w:left w:val="nil"/>
              <w:bottom w:val="nil"/>
              <w:right w:val="nil"/>
            </w:tcBorders>
            <w:vAlign w:val="center"/>
          </w:tcPr>
          <w:p w14:paraId="7762E5FC" w14:textId="77777777" w:rsidR="007C344D" w:rsidRPr="00DB6C99" w:rsidRDefault="007C344D" w:rsidP="007C344D">
            <w:pPr>
              <w:spacing w:after="0" w:line="240" w:lineRule="auto"/>
              <w:rPr>
                <w:rFonts w:ascii="Garamond" w:hAnsi="Garamond"/>
                <w:i/>
                <w:iCs/>
                <w:sz w:val="20"/>
                <w:szCs w:val="20"/>
                <w:lang w:val="en-GB"/>
              </w:rPr>
            </w:pPr>
            <w:r w:rsidRPr="00DB6C99">
              <w:rPr>
                <w:rFonts w:ascii="Garamond" w:hAnsi="Garamond"/>
                <w:i/>
                <w:iCs/>
                <w:sz w:val="20"/>
                <w:szCs w:val="20"/>
                <w:lang w:val="en-GB"/>
              </w:rPr>
              <w:t>PM</w:t>
            </w:r>
          </w:p>
        </w:tc>
        <w:tc>
          <w:tcPr>
            <w:tcW w:w="7920" w:type="dxa"/>
            <w:tcBorders>
              <w:top w:val="nil"/>
              <w:left w:val="nil"/>
              <w:bottom w:val="nil"/>
              <w:right w:val="nil"/>
            </w:tcBorders>
            <w:vAlign w:val="center"/>
          </w:tcPr>
          <w:p w14:paraId="281DEF22" w14:textId="77777777" w:rsidR="007C344D" w:rsidRPr="00DB6C99" w:rsidRDefault="007C344D" w:rsidP="007C344D">
            <w:pPr>
              <w:adjustRightInd w:val="0"/>
              <w:spacing w:after="0" w:line="240" w:lineRule="auto"/>
              <w:jc w:val="both"/>
              <w:rPr>
                <w:rFonts w:ascii="Garamond" w:hAnsi="Garamond"/>
                <w:sz w:val="20"/>
                <w:szCs w:val="20"/>
                <w:lang w:val="en-GB"/>
              </w:rPr>
            </w:pPr>
            <w:r w:rsidRPr="00DB6C99">
              <w:rPr>
                <w:rFonts w:ascii="Garamond" w:hAnsi="Garamond"/>
                <w:sz w:val="20"/>
                <w:szCs w:val="20"/>
                <w:lang w:val="en-GB"/>
              </w:rPr>
              <w:t>The ratio of net income to sales.</w:t>
            </w:r>
          </w:p>
        </w:tc>
        <w:tc>
          <w:tcPr>
            <w:tcW w:w="2070" w:type="dxa"/>
            <w:gridSpan w:val="2"/>
            <w:tcBorders>
              <w:top w:val="nil"/>
              <w:left w:val="nil"/>
              <w:bottom w:val="nil"/>
              <w:right w:val="nil"/>
            </w:tcBorders>
            <w:vAlign w:val="center"/>
          </w:tcPr>
          <w:p w14:paraId="1F6BA520" w14:textId="77777777" w:rsidR="007C344D" w:rsidRPr="00DB6C99" w:rsidRDefault="007C344D" w:rsidP="007C344D">
            <w:pPr>
              <w:adjustRightInd w:val="0"/>
              <w:spacing w:after="0" w:line="240" w:lineRule="auto"/>
              <w:jc w:val="center"/>
              <w:rPr>
                <w:rFonts w:ascii="Garamond" w:hAnsi="Garamond"/>
                <w:sz w:val="20"/>
                <w:szCs w:val="20"/>
                <w:lang w:val="en-GB"/>
              </w:rPr>
            </w:pPr>
            <w:r w:rsidRPr="00DB6C99">
              <w:rPr>
                <w:rFonts w:ascii="Garamond" w:hAnsi="Garamond"/>
                <w:sz w:val="20"/>
                <w:szCs w:val="20"/>
                <w:lang w:val="en-GB"/>
              </w:rPr>
              <w:t>Worldscope</w:t>
            </w:r>
          </w:p>
        </w:tc>
      </w:tr>
      <w:tr w:rsidR="00DB6C99" w:rsidRPr="00DB6C99" w14:paraId="08A12821" w14:textId="77777777" w:rsidTr="007C344D">
        <w:trPr>
          <w:trHeight w:val="216"/>
          <w:jc w:val="center"/>
        </w:trPr>
        <w:tc>
          <w:tcPr>
            <w:tcW w:w="3150" w:type="dxa"/>
            <w:tcBorders>
              <w:top w:val="nil"/>
              <w:left w:val="nil"/>
              <w:bottom w:val="nil"/>
              <w:right w:val="nil"/>
            </w:tcBorders>
            <w:vAlign w:val="center"/>
          </w:tcPr>
          <w:p w14:paraId="48DD8424" w14:textId="77777777" w:rsidR="007C344D" w:rsidRPr="00DB6C99" w:rsidRDefault="007C344D" w:rsidP="007C344D">
            <w:pPr>
              <w:adjustRightInd w:val="0"/>
              <w:spacing w:after="0" w:line="240" w:lineRule="auto"/>
              <w:jc w:val="both"/>
              <w:rPr>
                <w:rFonts w:ascii="Garamond" w:hAnsi="Garamond"/>
                <w:sz w:val="20"/>
                <w:szCs w:val="20"/>
                <w:lang w:val="en-GB"/>
              </w:rPr>
            </w:pPr>
            <w:r w:rsidRPr="00DB6C99">
              <w:rPr>
                <w:rFonts w:ascii="Garamond" w:hAnsi="Garamond"/>
                <w:sz w:val="20"/>
                <w:szCs w:val="20"/>
                <w:lang w:val="en-GB"/>
              </w:rPr>
              <w:t>Capital Intensity</w:t>
            </w:r>
          </w:p>
        </w:tc>
        <w:tc>
          <w:tcPr>
            <w:tcW w:w="1530" w:type="dxa"/>
            <w:tcBorders>
              <w:top w:val="nil"/>
              <w:left w:val="nil"/>
              <w:bottom w:val="nil"/>
              <w:right w:val="nil"/>
            </w:tcBorders>
            <w:vAlign w:val="center"/>
          </w:tcPr>
          <w:p w14:paraId="752346D8" w14:textId="77777777" w:rsidR="007C344D" w:rsidRPr="00DB6C99" w:rsidRDefault="007C344D" w:rsidP="007C344D">
            <w:pPr>
              <w:spacing w:after="0" w:line="240" w:lineRule="auto"/>
              <w:rPr>
                <w:rFonts w:ascii="Garamond" w:hAnsi="Garamond"/>
                <w:i/>
                <w:iCs/>
                <w:sz w:val="20"/>
                <w:szCs w:val="20"/>
                <w:lang w:val="en-GB"/>
              </w:rPr>
            </w:pPr>
            <w:r w:rsidRPr="00DB6C99">
              <w:rPr>
                <w:rFonts w:ascii="Garamond" w:hAnsi="Garamond"/>
                <w:i/>
                <w:iCs/>
                <w:sz w:val="20"/>
                <w:szCs w:val="20"/>
                <w:lang w:val="en-GB"/>
              </w:rPr>
              <w:t>CI</w:t>
            </w:r>
          </w:p>
        </w:tc>
        <w:tc>
          <w:tcPr>
            <w:tcW w:w="7920" w:type="dxa"/>
            <w:tcBorders>
              <w:top w:val="nil"/>
              <w:left w:val="nil"/>
              <w:bottom w:val="nil"/>
              <w:right w:val="nil"/>
            </w:tcBorders>
            <w:vAlign w:val="center"/>
          </w:tcPr>
          <w:p w14:paraId="6561D0A4" w14:textId="77777777" w:rsidR="007C344D" w:rsidRPr="00DB6C99" w:rsidRDefault="007C344D" w:rsidP="007C344D">
            <w:pPr>
              <w:adjustRightInd w:val="0"/>
              <w:spacing w:after="0" w:line="240" w:lineRule="auto"/>
              <w:jc w:val="both"/>
              <w:rPr>
                <w:rFonts w:ascii="Garamond" w:hAnsi="Garamond"/>
                <w:sz w:val="20"/>
                <w:szCs w:val="20"/>
                <w:lang w:val="en-GB"/>
              </w:rPr>
            </w:pPr>
            <w:r w:rsidRPr="00DB6C99">
              <w:rPr>
                <w:rFonts w:ascii="Garamond" w:hAnsi="Garamond"/>
                <w:sz w:val="20"/>
                <w:szCs w:val="20"/>
                <w:lang w:val="en-GB"/>
              </w:rPr>
              <w:t>The ratio of total assets to sales.</w:t>
            </w:r>
          </w:p>
        </w:tc>
        <w:tc>
          <w:tcPr>
            <w:tcW w:w="2070" w:type="dxa"/>
            <w:gridSpan w:val="2"/>
            <w:tcBorders>
              <w:top w:val="nil"/>
              <w:left w:val="nil"/>
              <w:bottom w:val="nil"/>
              <w:right w:val="nil"/>
            </w:tcBorders>
            <w:vAlign w:val="center"/>
          </w:tcPr>
          <w:p w14:paraId="748E0D4D" w14:textId="77777777" w:rsidR="007C344D" w:rsidRPr="00DB6C99" w:rsidRDefault="007C344D" w:rsidP="007C344D">
            <w:pPr>
              <w:adjustRightInd w:val="0"/>
              <w:spacing w:after="0" w:line="240" w:lineRule="auto"/>
              <w:jc w:val="center"/>
              <w:rPr>
                <w:rFonts w:ascii="Garamond" w:hAnsi="Garamond"/>
                <w:sz w:val="20"/>
                <w:szCs w:val="20"/>
                <w:lang w:val="en-GB"/>
              </w:rPr>
            </w:pPr>
            <w:r w:rsidRPr="00DB6C99">
              <w:rPr>
                <w:rFonts w:ascii="Garamond" w:hAnsi="Garamond"/>
                <w:sz w:val="20"/>
                <w:szCs w:val="20"/>
                <w:lang w:val="en-GB"/>
              </w:rPr>
              <w:t>Worldscope</w:t>
            </w:r>
          </w:p>
        </w:tc>
      </w:tr>
      <w:tr w:rsidR="00DB6C99" w:rsidRPr="00DB6C99" w14:paraId="529F872D" w14:textId="77777777" w:rsidTr="007C344D">
        <w:trPr>
          <w:trHeight w:val="76"/>
          <w:jc w:val="center"/>
        </w:trPr>
        <w:tc>
          <w:tcPr>
            <w:tcW w:w="3150" w:type="dxa"/>
            <w:tcBorders>
              <w:top w:val="nil"/>
              <w:left w:val="nil"/>
              <w:bottom w:val="nil"/>
              <w:right w:val="nil"/>
            </w:tcBorders>
            <w:vAlign w:val="center"/>
          </w:tcPr>
          <w:p w14:paraId="298D35DC" w14:textId="77777777" w:rsidR="007C344D" w:rsidRPr="00DB6C99" w:rsidRDefault="007C344D" w:rsidP="007C344D">
            <w:pPr>
              <w:adjustRightInd w:val="0"/>
              <w:spacing w:after="0" w:line="240" w:lineRule="auto"/>
              <w:jc w:val="both"/>
              <w:rPr>
                <w:rFonts w:ascii="Garamond" w:hAnsi="Garamond"/>
                <w:sz w:val="20"/>
                <w:szCs w:val="20"/>
                <w:lang w:val="en-GB"/>
              </w:rPr>
            </w:pPr>
            <w:r w:rsidRPr="00DB6C99">
              <w:rPr>
                <w:rFonts w:ascii="Garamond" w:hAnsi="Garamond"/>
                <w:sz w:val="20"/>
                <w:szCs w:val="20"/>
                <w:lang w:val="en-GB"/>
              </w:rPr>
              <w:t>Research and development</w:t>
            </w:r>
          </w:p>
        </w:tc>
        <w:tc>
          <w:tcPr>
            <w:tcW w:w="1530" w:type="dxa"/>
            <w:tcBorders>
              <w:top w:val="nil"/>
              <w:left w:val="nil"/>
              <w:bottom w:val="nil"/>
              <w:right w:val="nil"/>
            </w:tcBorders>
            <w:vAlign w:val="center"/>
          </w:tcPr>
          <w:p w14:paraId="2957F16B" w14:textId="77777777" w:rsidR="007C344D" w:rsidRPr="00DB6C99" w:rsidRDefault="007C344D" w:rsidP="007C344D">
            <w:pPr>
              <w:spacing w:after="0" w:line="240" w:lineRule="auto"/>
              <w:rPr>
                <w:rFonts w:ascii="Garamond" w:hAnsi="Garamond"/>
                <w:i/>
                <w:iCs/>
                <w:sz w:val="20"/>
                <w:szCs w:val="20"/>
                <w:lang w:val="en-GB"/>
              </w:rPr>
            </w:pPr>
            <w:r w:rsidRPr="00DB6C99">
              <w:rPr>
                <w:rFonts w:ascii="Garamond" w:hAnsi="Garamond"/>
                <w:i/>
                <w:iCs/>
                <w:sz w:val="20"/>
                <w:szCs w:val="20"/>
                <w:lang w:val="en-GB"/>
              </w:rPr>
              <w:t>R&amp;D</w:t>
            </w:r>
          </w:p>
        </w:tc>
        <w:tc>
          <w:tcPr>
            <w:tcW w:w="7920" w:type="dxa"/>
            <w:tcBorders>
              <w:top w:val="nil"/>
              <w:left w:val="nil"/>
              <w:bottom w:val="nil"/>
              <w:right w:val="nil"/>
            </w:tcBorders>
            <w:vAlign w:val="center"/>
          </w:tcPr>
          <w:p w14:paraId="2DD56E10" w14:textId="77777777" w:rsidR="007C344D" w:rsidRPr="00DB6C99" w:rsidRDefault="007C344D" w:rsidP="007C344D">
            <w:pPr>
              <w:adjustRightInd w:val="0"/>
              <w:spacing w:after="0" w:line="240" w:lineRule="auto"/>
              <w:jc w:val="both"/>
              <w:rPr>
                <w:rFonts w:ascii="Garamond" w:hAnsi="Garamond"/>
                <w:sz w:val="20"/>
                <w:szCs w:val="20"/>
                <w:lang w:val="en-GB"/>
              </w:rPr>
            </w:pPr>
            <w:r w:rsidRPr="00DB6C99">
              <w:rPr>
                <w:rFonts w:ascii="Garamond" w:hAnsi="Garamond"/>
                <w:sz w:val="20"/>
                <w:szCs w:val="20"/>
              </w:rPr>
              <w:t>The ratio of research and development expenditures to net sales.</w:t>
            </w:r>
          </w:p>
        </w:tc>
        <w:tc>
          <w:tcPr>
            <w:tcW w:w="2070" w:type="dxa"/>
            <w:gridSpan w:val="2"/>
            <w:tcBorders>
              <w:top w:val="nil"/>
              <w:left w:val="nil"/>
              <w:bottom w:val="nil"/>
              <w:right w:val="nil"/>
            </w:tcBorders>
          </w:tcPr>
          <w:p w14:paraId="6FEC2DA2" w14:textId="77777777" w:rsidR="007C344D" w:rsidRPr="00DB6C99" w:rsidRDefault="007C344D" w:rsidP="007C344D">
            <w:pPr>
              <w:adjustRightInd w:val="0"/>
              <w:spacing w:after="0" w:line="240" w:lineRule="auto"/>
              <w:jc w:val="center"/>
              <w:rPr>
                <w:rFonts w:ascii="Garamond" w:hAnsi="Garamond"/>
                <w:sz w:val="20"/>
                <w:szCs w:val="20"/>
                <w:lang w:val="en-GB"/>
              </w:rPr>
            </w:pPr>
            <w:r w:rsidRPr="00DB6C99">
              <w:rPr>
                <w:rFonts w:ascii="Garamond" w:hAnsi="Garamond"/>
                <w:sz w:val="20"/>
                <w:szCs w:val="20"/>
                <w:lang w:val="en-GB"/>
              </w:rPr>
              <w:t>Worldscope</w:t>
            </w:r>
          </w:p>
        </w:tc>
      </w:tr>
      <w:tr w:rsidR="00DB6C99" w:rsidRPr="00DB6C99" w14:paraId="0E337C66" w14:textId="77777777" w:rsidTr="007C344D">
        <w:trPr>
          <w:trHeight w:val="76"/>
          <w:jc w:val="center"/>
        </w:trPr>
        <w:tc>
          <w:tcPr>
            <w:tcW w:w="3150" w:type="dxa"/>
            <w:tcBorders>
              <w:top w:val="nil"/>
              <w:left w:val="nil"/>
              <w:bottom w:val="nil"/>
              <w:right w:val="nil"/>
            </w:tcBorders>
            <w:vAlign w:val="center"/>
          </w:tcPr>
          <w:p w14:paraId="4D11B5C5" w14:textId="77777777" w:rsidR="007C344D" w:rsidRPr="00DB6C99" w:rsidRDefault="007C344D" w:rsidP="007C344D">
            <w:pPr>
              <w:adjustRightInd w:val="0"/>
              <w:spacing w:after="0" w:line="240" w:lineRule="auto"/>
              <w:jc w:val="both"/>
              <w:rPr>
                <w:rFonts w:ascii="Garamond" w:hAnsi="Garamond"/>
                <w:sz w:val="20"/>
                <w:szCs w:val="20"/>
                <w:lang w:val="en-GB"/>
              </w:rPr>
            </w:pPr>
            <w:r w:rsidRPr="00DB6C99">
              <w:rPr>
                <w:rFonts w:ascii="Garamond" w:hAnsi="Garamond"/>
                <w:sz w:val="20"/>
                <w:szCs w:val="20"/>
                <w:lang w:val="en-GB"/>
              </w:rPr>
              <w:t>Organizational slack</w:t>
            </w:r>
          </w:p>
        </w:tc>
        <w:tc>
          <w:tcPr>
            <w:tcW w:w="1530" w:type="dxa"/>
            <w:tcBorders>
              <w:top w:val="nil"/>
              <w:left w:val="nil"/>
              <w:bottom w:val="nil"/>
              <w:right w:val="nil"/>
            </w:tcBorders>
            <w:vAlign w:val="center"/>
          </w:tcPr>
          <w:p w14:paraId="3B771A0A" w14:textId="77777777" w:rsidR="007C344D" w:rsidRPr="00DB6C99" w:rsidRDefault="007C344D" w:rsidP="007C344D">
            <w:pPr>
              <w:spacing w:after="0" w:line="240" w:lineRule="auto"/>
              <w:rPr>
                <w:rFonts w:ascii="Garamond" w:hAnsi="Garamond"/>
                <w:i/>
                <w:iCs/>
                <w:sz w:val="20"/>
                <w:szCs w:val="20"/>
                <w:lang w:val="en-GB"/>
              </w:rPr>
            </w:pPr>
            <w:r w:rsidRPr="00DB6C99">
              <w:rPr>
                <w:rFonts w:ascii="Garamond" w:hAnsi="Garamond"/>
                <w:i/>
                <w:iCs/>
                <w:sz w:val="20"/>
                <w:szCs w:val="20"/>
                <w:lang w:val="en-GB"/>
              </w:rPr>
              <w:t>SLACK</w:t>
            </w:r>
          </w:p>
        </w:tc>
        <w:tc>
          <w:tcPr>
            <w:tcW w:w="7920" w:type="dxa"/>
            <w:tcBorders>
              <w:top w:val="nil"/>
              <w:left w:val="nil"/>
              <w:bottom w:val="nil"/>
              <w:right w:val="nil"/>
            </w:tcBorders>
            <w:vAlign w:val="center"/>
          </w:tcPr>
          <w:p w14:paraId="632EB272" w14:textId="77777777" w:rsidR="007C344D" w:rsidRPr="00DB6C99" w:rsidRDefault="007C344D" w:rsidP="007C344D">
            <w:pPr>
              <w:adjustRightInd w:val="0"/>
              <w:spacing w:after="0" w:line="240" w:lineRule="auto"/>
              <w:jc w:val="both"/>
              <w:rPr>
                <w:rFonts w:ascii="Garamond" w:hAnsi="Garamond"/>
                <w:sz w:val="20"/>
                <w:szCs w:val="20"/>
                <w:lang w:val="en-GB"/>
              </w:rPr>
            </w:pPr>
            <w:r w:rsidRPr="00DB6C99">
              <w:rPr>
                <w:rFonts w:ascii="Garamond" w:hAnsi="Garamond"/>
                <w:sz w:val="20"/>
                <w:szCs w:val="20"/>
              </w:rPr>
              <w:t>The ratio of current assets to current liabilities.</w:t>
            </w:r>
          </w:p>
        </w:tc>
        <w:tc>
          <w:tcPr>
            <w:tcW w:w="2070" w:type="dxa"/>
            <w:gridSpan w:val="2"/>
            <w:tcBorders>
              <w:top w:val="nil"/>
              <w:left w:val="nil"/>
              <w:bottom w:val="nil"/>
              <w:right w:val="nil"/>
            </w:tcBorders>
          </w:tcPr>
          <w:p w14:paraId="11809DD4" w14:textId="77777777" w:rsidR="007C344D" w:rsidRPr="00DB6C99" w:rsidRDefault="007C344D" w:rsidP="007C344D">
            <w:pPr>
              <w:adjustRightInd w:val="0"/>
              <w:spacing w:after="0" w:line="240" w:lineRule="auto"/>
              <w:jc w:val="center"/>
              <w:rPr>
                <w:rFonts w:ascii="Garamond" w:hAnsi="Garamond"/>
                <w:sz w:val="20"/>
                <w:szCs w:val="20"/>
                <w:lang w:val="en-GB"/>
              </w:rPr>
            </w:pPr>
            <w:r w:rsidRPr="00DB6C99">
              <w:rPr>
                <w:rFonts w:ascii="Garamond" w:hAnsi="Garamond"/>
                <w:sz w:val="20"/>
                <w:szCs w:val="20"/>
                <w:lang w:val="en-GB"/>
              </w:rPr>
              <w:t>Worldscope</w:t>
            </w:r>
          </w:p>
        </w:tc>
      </w:tr>
      <w:tr w:rsidR="00DB6C99" w:rsidRPr="00DB6C99" w14:paraId="1C9D9905" w14:textId="77777777" w:rsidTr="007C344D">
        <w:trPr>
          <w:trHeight w:val="76"/>
          <w:jc w:val="center"/>
        </w:trPr>
        <w:tc>
          <w:tcPr>
            <w:tcW w:w="3150" w:type="dxa"/>
            <w:tcBorders>
              <w:top w:val="nil"/>
              <w:left w:val="nil"/>
              <w:bottom w:val="nil"/>
              <w:right w:val="nil"/>
            </w:tcBorders>
            <w:vAlign w:val="center"/>
          </w:tcPr>
          <w:p w14:paraId="6838193D" w14:textId="77777777" w:rsidR="007C344D" w:rsidRPr="00DB6C99" w:rsidRDefault="007C344D" w:rsidP="007C344D">
            <w:pPr>
              <w:adjustRightInd w:val="0"/>
              <w:spacing w:after="0" w:line="240" w:lineRule="auto"/>
              <w:jc w:val="both"/>
              <w:rPr>
                <w:rFonts w:ascii="Garamond" w:hAnsi="Garamond"/>
                <w:sz w:val="20"/>
                <w:szCs w:val="20"/>
                <w:lang w:val="en-GB"/>
              </w:rPr>
            </w:pPr>
            <w:r w:rsidRPr="00DB6C99">
              <w:rPr>
                <w:rFonts w:ascii="Garamond" w:hAnsi="Garamond"/>
                <w:sz w:val="20"/>
                <w:szCs w:val="20"/>
                <w:lang w:val="en-GB"/>
              </w:rPr>
              <w:t>Cost of debt</w:t>
            </w:r>
          </w:p>
        </w:tc>
        <w:tc>
          <w:tcPr>
            <w:tcW w:w="1530" w:type="dxa"/>
            <w:tcBorders>
              <w:top w:val="nil"/>
              <w:left w:val="nil"/>
              <w:bottom w:val="nil"/>
              <w:right w:val="nil"/>
            </w:tcBorders>
            <w:vAlign w:val="center"/>
          </w:tcPr>
          <w:p w14:paraId="4B2D1E3D" w14:textId="77777777" w:rsidR="007C344D" w:rsidRPr="00DB6C99" w:rsidRDefault="007C344D" w:rsidP="007C344D">
            <w:pPr>
              <w:spacing w:after="0" w:line="240" w:lineRule="auto"/>
              <w:rPr>
                <w:rFonts w:ascii="Garamond" w:hAnsi="Garamond"/>
                <w:i/>
                <w:iCs/>
                <w:sz w:val="20"/>
                <w:szCs w:val="20"/>
                <w:lang w:val="en-GB"/>
              </w:rPr>
            </w:pPr>
            <w:r w:rsidRPr="00DB6C99">
              <w:rPr>
                <w:rFonts w:ascii="Garamond" w:hAnsi="Garamond"/>
                <w:i/>
                <w:iCs/>
                <w:sz w:val="20"/>
                <w:szCs w:val="20"/>
                <w:lang w:val="en-GB"/>
              </w:rPr>
              <w:t>COD</w:t>
            </w:r>
          </w:p>
        </w:tc>
        <w:tc>
          <w:tcPr>
            <w:tcW w:w="7920" w:type="dxa"/>
            <w:tcBorders>
              <w:top w:val="nil"/>
              <w:left w:val="nil"/>
              <w:bottom w:val="nil"/>
              <w:right w:val="nil"/>
            </w:tcBorders>
            <w:vAlign w:val="center"/>
          </w:tcPr>
          <w:p w14:paraId="1CEDE547" w14:textId="77777777" w:rsidR="007C344D" w:rsidRPr="00DB6C99" w:rsidRDefault="007C344D" w:rsidP="007C344D">
            <w:pPr>
              <w:adjustRightInd w:val="0"/>
              <w:spacing w:after="0" w:line="240" w:lineRule="auto"/>
              <w:jc w:val="both"/>
              <w:rPr>
                <w:rFonts w:ascii="Garamond" w:hAnsi="Garamond"/>
                <w:sz w:val="20"/>
                <w:szCs w:val="20"/>
              </w:rPr>
            </w:pPr>
            <w:r w:rsidRPr="00DB6C99">
              <w:rPr>
                <w:rFonts w:ascii="Garamond" w:hAnsi="Garamond"/>
                <w:sz w:val="20"/>
                <w:szCs w:val="20"/>
              </w:rPr>
              <w:t>Interest expenses divided by total debt which is the sum of long-term and short-term debt.</w:t>
            </w:r>
          </w:p>
        </w:tc>
        <w:tc>
          <w:tcPr>
            <w:tcW w:w="2070" w:type="dxa"/>
            <w:gridSpan w:val="2"/>
            <w:tcBorders>
              <w:top w:val="nil"/>
              <w:left w:val="nil"/>
              <w:bottom w:val="nil"/>
              <w:right w:val="nil"/>
            </w:tcBorders>
          </w:tcPr>
          <w:p w14:paraId="6D818379" w14:textId="77777777" w:rsidR="007C344D" w:rsidRPr="00DB6C99" w:rsidRDefault="007C344D" w:rsidP="007C344D">
            <w:pPr>
              <w:adjustRightInd w:val="0"/>
              <w:spacing w:after="0" w:line="240" w:lineRule="auto"/>
              <w:jc w:val="center"/>
              <w:rPr>
                <w:rFonts w:ascii="Garamond" w:hAnsi="Garamond"/>
                <w:sz w:val="20"/>
                <w:szCs w:val="20"/>
                <w:lang w:val="en-GB"/>
              </w:rPr>
            </w:pPr>
            <w:r w:rsidRPr="00DB6C99">
              <w:rPr>
                <w:rFonts w:ascii="Garamond" w:hAnsi="Garamond"/>
                <w:sz w:val="20"/>
                <w:szCs w:val="20"/>
                <w:lang w:val="en-GB"/>
              </w:rPr>
              <w:t>Worldscope</w:t>
            </w:r>
          </w:p>
        </w:tc>
      </w:tr>
      <w:tr w:rsidR="00DB6C99" w:rsidRPr="00DB6C99" w14:paraId="2C1C0BD7" w14:textId="77777777" w:rsidTr="007C344D">
        <w:trPr>
          <w:trHeight w:val="76"/>
          <w:jc w:val="center"/>
        </w:trPr>
        <w:tc>
          <w:tcPr>
            <w:tcW w:w="3150" w:type="dxa"/>
            <w:tcBorders>
              <w:top w:val="nil"/>
              <w:left w:val="nil"/>
              <w:bottom w:val="nil"/>
              <w:right w:val="nil"/>
            </w:tcBorders>
            <w:vAlign w:val="center"/>
          </w:tcPr>
          <w:p w14:paraId="65040332" w14:textId="77777777" w:rsidR="007C344D" w:rsidRPr="00DB6C99" w:rsidRDefault="007C344D" w:rsidP="007C344D">
            <w:pPr>
              <w:adjustRightInd w:val="0"/>
              <w:spacing w:after="0" w:line="240" w:lineRule="auto"/>
              <w:jc w:val="both"/>
              <w:rPr>
                <w:rFonts w:ascii="Garamond" w:hAnsi="Garamond"/>
                <w:sz w:val="20"/>
                <w:szCs w:val="20"/>
                <w:lang w:val="en-GB"/>
              </w:rPr>
            </w:pPr>
            <w:r w:rsidRPr="00DB6C99">
              <w:rPr>
                <w:rFonts w:ascii="Garamond" w:hAnsi="Garamond"/>
                <w:sz w:val="20"/>
                <w:szCs w:val="20"/>
                <w:lang w:val="en-GB"/>
              </w:rPr>
              <w:t>Institutionally owned</w:t>
            </w:r>
          </w:p>
        </w:tc>
        <w:tc>
          <w:tcPr>
            <w:tcW w:w="1530" w:type="dxa"/>
            <w:tcBorders>
              <w:top w:val="nil"/>
              <w:left w:val="nil"/>
              <w:bottom w:val="nil"/>
              <w:right w:val="nil"/>
            </w:tcBorders>
            <w:vAlign w:val="center"/>
          </w:tcPr>
          <w:p w14:paraId="65FB7FB6" w14:textId="77777777" w:rsidR="007C344D" w:rsidRPr="00DB6C99" w:rsidRDefault="007C344D" w:rsidP="007C344D">
            <w:pPr>
              <w:spacing w:after="0" w:line="240" w:lineRule="auto"/>
              <w:rPr>
                <w:rFonts w:ascii="Garamond" w:hAnsi="Garamond"/>
                <w:i/>
                <w:iCs/>
                <w:sz w:val="20"/>
                <w:szCs w:val="20"/>
                <w:lang w:val="en-GB"/>
              </w:rPr>
            </w:pPr>
            <w:r w:rsidRPr="00DB6C99">
              <w:rPr>
                <w:rFonts w:ascii="Garamond" w:hAnsi="Garamond"/>
                <w:i/>
                <w:iCs/>
                <w:sz w:val="20"/>
                <w:szCs w:val="20"/>
                <w:lang w:val="en-GB"/>
              </w:rPr>
              <w:t>INST</w:t>
            </w:r>
          </w:p>
        </w:tc>
        <w:tc>
          <w:tcPr>
            <w:tcW w:w="7920" w:type="dxa"/>
            <w:tcBorders>
              <w:top w:val="nil"/>
              <w:left w:val="nil"/>
              <w:bottom w:val="nil"/>
              <w:right w:val="nil"/>
            </w:tcBorders>
            <w:vAlign w:val="center"/>
          </w:tcPr>
          <w:p w14:paraId="7C5F4E31" w14:textId="77777777" w:rsidR="007C344D" w:rsidRPr="00DB6C99" w:rsidRDefault="007C344D" w:rsidP="007C344D">
            <w:pPr>
              <w:adjustRightInd w:val="0"/>
              <w:spacing w:after="0" w:line="240" w:lineRule="auto"/>
              <w:jc w:val="both"/>
              <w:rPr>
                <w:rFonts w:ascii="Garamond" w:hAnsi="Garamond"/>
                <w:sz w:val="20"/>
                <w:szCs w:val="20"/>
                <w:lang w:val="en-GB"/>
              </w:rPr>
            </w:pPr>
            <w:r w:rsidRPr="00DB6C99">
              <w:rPr>
                <w:rFonts w:ascii="Garamond" w:hAnsi="Garamond"/>
                <w:sz w:val="20"/>
                <w:szCs w:val="20"/>
                <w:lang w:val="en-GB"/>
              </w:rPr>
              <w:t>Dummy variable coded 1 if institutions hold more than 5% equity and 0 otherwise.</w:t>
            </w:r>
          </w:p>
        </w:tc>
        <w:tc>
          <w:tcPr>
            <w:tcW w:w="2070" w:type="dxa"/>
            <w:gridSpan w:val="2"/>
            <w:tcBorders>
              <w:top w:val="nil"/>
              <w:left w:val="nil"/>
              <w:bottom w:val="nil"/>
              <w:right w:val="nil"/>
            </w:tcBorders>
            <w:vAlign w:val="center"/>
          </w:tcPr>
          <w:p w14:paraId="6F47AF46" w14:textId="77777777" w:rsidR="007C344D" w:rsidRPr="00DB6C99" w:rsidRDefault="007C344D" w:rsidP="007C344D">
            <w:pPr>
              <w:adjustRightInd w:val="0"/>
              <w:spacing w:after="0" w:line="240" w:lineRule="auto"/>
              <w:jc w:val="center"/>
              <w:rPr>
                <w:rFonts w:ascii="Garamond" w:hAnsi="Garamond"/>
                <w:sz w:val="20"/>
                <w:szCs w:val="20"/>
                <w:lang w:val="en-GB"/>
              </w:rPr>
            </w:pPr>
            <w:r w:rsidRPr="00DB6C99">
              <w:rPr>
                <w:rFonts w:ascii="Garamond" w:hAnsi="Garamond"/>
                <w:sz w:val="20"/>
                <w:szCs w:val="20"/>
                <w:lang w:val="en-GB"/>
              </w:rPr>
              <w:t>Worldscope</w:t>
            </w:r>
          </w:p>
        </w:tc>
      </w:tr>
      <w:tr w:rsidR="00DB6C99" w:rsidRPr="00DB6C99" w14:paraId="2CBA7057" w14:textId="77777777" w:rsidTr="007C344D">
        <w:trPr>
          <w:trHeight w:val="76"/>
          <w:jc w:val="center"/>
        </w:trPr>
        <w:tc>
          <w:tcPr>
            <w:tcW w:w="3150" w:type="dxa"/>
            <w:tcBorders>
              <w:top w:val="nil"/>
              <w:left w:val="nil"/>
              <w:right w:val="nil"/>
            </w:tcBorders>
            <w:vAlign w:val="center"/>
          </w:tcPr>
          <w:p w14:paraId="4AFEF0E0" w14:textId="77777777" w:rsidR="007C344D" w:rsidRPr="00DB6C99" w:rsidRDefault="007C344D" w:rsidP="007C344D">
            <w:pPr>
              <w:adjustRightInd w:val="0"/>
              <w:spacing w:after="0" w:line="240" w:lineRule="auto"/>
              <w:jc w:val="both"/>
              <w:rPr>
                <w:rFonts w:ascii="Garamond" w:hAnsi="Garamond"/>
                <w:sz w:val="20"/>
                <w:szCs w:val="20"/>
                <w:lang w:val="en-GB"/>
              </w:rPr>
            </w:pPr>
            <w:r w:rsidRPr="00DB6C99">
              <w:rPr>
                <w:rFonts w:ascii="Garamond" w:hAnsi="Garamond"/>
                <w:sz w:val="20"/>
                <w:szCs w:val="20"/>
                <w:lang w:val="en-GB"/>
              </w:rPr>
              <w:t>State owned</w:t>
            </w:r>
          </w:p>
        </w:tc>
        <w:tc>
          <w:tcPr>
            <w:tcW w:w="1530" w:type="dxa"/>
            <w:tcBorders>
              <w:top w:val="nil"/>
              <w:left w:val="nil"/>
              <w:right w:val="nil"/>
            </w:tcBorders>
            <w:vAlign w:val="center"/>
          </w:tcPr>
          <w:p w14:paraId="316B9CF0" w14:textId="77777777" w:rsidR="007C344D" w:rsidRPr="00DB6C99" w:rsidRDefault="007C344D" w:rsidP="007C344D">
            <w:pPr>
              <w:spacing w:after="0" w:line="240" w:lineRule="auto"/>
              <w:rPr>
                <w:rFonts w:ascii="Garamond" w:hAnsi="Garamond"/>
                <w:i/>
                <w:iCs/>
                <w:sz w:val="20"/>
                <w:szCs w:val="20"/>
                <w:lang w:val="en-GB"/>
              </w:rPr>
            </w:pPr>
            <w:r w:rsidRPr="00DB6C99">
              <w:rPr>
                <w:rFonts w:ascii="Garamond" w:hAnsi="Garamond"/>
                <w:i/>
                <w:iCs/>
                <w:sz w:val="20"/>
                <w:szCs w:val="20"/>
                <w:lang w:val="en-GB"/>
              </w:rPr>
              <w:t>STATE</w:t>
            </w:r>
          </w:p>
        </w:tc>
        <w:tc>
          <w:tcPr>
            <w:tcW w:w="7920" w:type="dxa"/>
            <w:tcBorders>
              <w:top w:val="nil"/>
              <w:left w:val="nil"/>
              <w:right w:val="nil"/>
            </w:tcBorders>
            <w:vAlign w:val="center"/>
          </w:tcPr>
          <w:p w14:paraId="08707BAE" w14:textId="77777777" w:rsidR="007C344D" w:rsidRPr="00DB6C99" w:rsidRDefault="007C344D" w:rsidP="007C344D">
            <w:pPr>
              <w:adjustRightInd w:val="0"/>
              <w:spacing w:after="0" w:line="240" w:lineRule="auto"/>
              <w:jc w:val="both"/>
              <w:rPr>
                <w:rFonts w:ascii="Garamond" w:hAnsi="Garamond"/>
                <w:sz w:val="20"/>
                <w:szCs w:val="20"/>
                <w:lang w:val="en-GB"/>
              </w:rPr>
            </w:pPr>
            <w:r w:rsidRPr="00DB6C99">
              <w:rPr>
                <w:rFonts w:ascii="Garamond" w:hAnsi="Garamond"/>
                <w:sz w:val="20"/>
                <w:szCs w:val="20"/>
                <w:lang w:val="en-GB"/>
              </w:rPr>
              <w:t>Dummy variable coded 1 if state owns more than 5% equity and 0 otherwise.</w:t>
            </w:r>
          </w:p>
        </w:tc>
        <w:tc>
          <w:tcPr>
            <w:tcW w:w="2070" w:type="dxa"/>
            <w:gridSpan w:val="2"/>
            <w:tcBorders>
              <w:top w:val="nil"/>
              <w:left w:val="nil"/>
              <w:right w:val="nil"/>
            </w:tcBorders>
            <w:vAlign w:val="center"/>
          </w:tcPr>
          <w:p w14:paraId="5E45898B" w14:textId="77777777" w:rsidR="007C344D" w:rsidRPr="00DB6C99" w:rsidRDefault="007C344D" w:rsidP="007C344D">
            <w:pPr>
              <w:adjustRightInd w:val="0"/>
              <w:spacing w:after="0" w:line="240" w:lineRule="auto"/>
              <w:jc w:val="center"/>
              <w:rPr>
                <w:rFonts w:ascii="Garamond" w:hAnsi="Garamond"/>
                <w:sz w:val="20"/>
                <w:szCs w:val="20"/>
                <w:lang w:val="en-GB"/>
              </w:rPr>
            </w:pPr>
            <w:r w:rsidRPr="00DB6C99">
              <w:rPr>
                <w:rFonts w:ascii="Garamond" w:hAnsi="Garamond"/>
                <w:sz w:val="20"/>
                <w:szCs w:val="20"/>
                <w:lang w:val="en-GB"/>
              </w:rPr>
              <w:t>Worldscope</w:t>
            </w:r>
          </w:p>
        </w:tc>
      </w:tr>
      <w:tr w:rsidR="00DB6C99" w:rsidRPr="00DB6C99" w14:paraId="1D256F71" w14:textId="77777777" w:rsidTr="007C344D">
        <w:trPr>
          <w:trHeight w:val="76"/>
          <w:jc w:val="center"/>
        </w:trPr>
        <w:tc>
          <w:tcPr>
            <w:tcW w:w="3150" w:type="dxa"/>
            <w:tcBorders>
              <w:top w:val="nil"/>
              <w:left w:val="nil"/>
              <w:bottom w:val="single" w:sz="4" w:space="0" w:color="auto"/>
              <w:right w:val="nil"/>
            </w:tcBorders>
            <w:vAlign w:val="center"/>
          </w:tcPr>
          <w:p w14:paraId="07748117" w14:textId="77777777" w:rsidR="007C344D" w:rsidRPr="00DB6C99" w:rsidRDefault="007C344D" w:rsidP="007C344D">
            <w:pPr>
              <w:adjustRightInd w:val="0"/>
              <w:spacing w:after="0" w:line="240" w:lineRule="auto"/>
              <w:jc w:val="both"/>
              <w:rPr>
                <w:rFonts w:ascii="Garamond" w:hAnsi="Garamond"/>
                <w:sz w:val="20"/>
                <w:szCs w:val="20"/>
                <w:lang w:val="en-GB"/>
              </w:rPr>
            </w:pPr>
            <w:r w:rsidRPr="00DB6C99">
              <w:rPr>
                <w:rFonts w:ascii="Garamond" w:hAnsi="Garamond"/>
                <w:sz w:val="20"/>
                <w:szCs w:val="20"/>
                <w:lang w:val="en-GB"/>
              </w:rPr>
              <w:t>Firm size</w:t>
            </w:r>
          </w:p>
        </w:tc>
        <w:tc>
          <w:tcPr>
            <w:tcW w:w="1530" w:type="dxa"/>
            <w:tcBorders>
              <w:top w:val="nil"/>
              <w:left w:val="nil"/>
              <w:bottom w:val="single" w:sz="4" w:space="0" w:color="auto"/>
              <w:right w:val="nil"/>
            </w:tcBorders>
            <w:vAlign w:val="center"/>
          </w:tcPr>
          <w:p w14:paraId="1B890DC6" w14:textId="77777777" w:rsidR="007C344D" w:rsidRPr="00DB6C99" w:rsidRDefault="007C344D" w:rsidP="007C344D">
            <w:pPr>
              <w:spacing w:after="0" w:line="240" w:lineRule="auto"/>
              <w:rPr>
                <w:rFonts w:ascii="Garamond" w:hAnsi="Garamond"/>
                <w:i/>
                <w:iCs/>
                <w:sz w:val="20"/>
                <w:szCs w:val="20"/>
                <w:lang w:val="en-GB"/>
              </w:rPr>
            </w:pPr>
            <w:r w:rsidRPr="00DB6C99">
              <w:rPr>
                <w:rFonts w:ascii="Garamond" w:hAnsi="Garamond"/>
                <w:i/>
                <w:iCs/>
                <w:sz w:val="20"/>
                <w:szCs w:val="20"/>
                <w:lang w:val="en-GB"/>
              </w:rPr>
              <w:t>SIZE</w:t>
            </w:r>
          </w:p>
        </w:tc>
        <w:tc>
          <w:tcPr>
            <w:tcW w:w="7920" w:type="dxa"/>
            <w:tcBorders>
              <w:top w:val="nil"/>
              <w:left w:val="nil"/>
              <w:bottom w:val="single" w:sz="4" w:space="0" w:color="auto"/>
              <w:right w:val="nil"/>
            </w:tcBorders>
            <w:vAlign w:val="center"/>
          </w:tcPr>
          <w:p w14:paraId="73E2242B" w14:textId="77777777" w:rsidR="007C344D" w:rsidRPr="00DB6C99" w:rsidRDefault="007C344D" w:rsidP="007C344D">
            <w:pPr>
              <w:adjustRightInd w:val="0"/>
              <w:spacing w:after="0" w:line="240" w:lineRule="auto"/>
              <w:jc w:val="both"/>
              <w:rPr>
                <w:rFonts w:ascii="Garamond" w:hAnsi="Garamond"/>
                <w:sz w:val="20"/>
                <w:szCs w:val="20"/>
                <w:lang w:val="en-GB"/>
              </w:rPr>
            </w:pPr>
            <w:r w:rsidRPr="00DB6C99">
              <w:rPr>
                <w:rFonts w:ascii="Garamond" w:hAnsi="Garamond"/>
                <w:sz w:val="20"/>
                <w:szCs w:val="20"/>
                <w:lang w:val="en-GB"/>
              </w:rPr>
              <w:t>Natural logarithm of total sales.</w:t>
            </w:r>
          </w:p>
        </w:tc>
        <w:tc>
          <w:tcPr>
            <w:tcW w:w="2070" w:type="dxa"/>
            <w:gridSpan w:val="2"/>
            <w:tcBorders>
              <w:top w:val="nil"/>
              <w:left w:val="nil"/>
              <w:bottom w:val="single" w:sz="4" w:space="0" w:color="auto"/>
              <w:right w:val="nil"/>
            </w:tcBorders>
            <w:vAlign w:val="center"/>
          </w:tcPr>
          <w:p w14:paraId="45926B26" w14:textId="77777777" w:rsidR="007C344D" w:rsidRPr="00DB6C99" w:rsidRDefault="007C344D" w:rsidP="007C344D">
            <w:pPr>
              <w:adjustRightInd w:val="0"/>
              <w:spacing w:after="0" w:line="240" w:lineRule="auto"/>
              <w:jc w:val="center"/>
              <w:rPr>
                <w:rFonts w:ascii="Garamond" w:hAnsi="Garamond"/>
                <w:sz w:val="20"/>
                <w:szCs w:val="20"/>
                <w:lang w:val="en-GB"/>
              </w:rPr>
            </w:pPr>
            <w:r w:rsidRPr="00DB6C99">
              <w:rPr>
                <w:rFonts w:ascii="Garamond" w:hAnsi="Garamond"/>
                <w:sz w:val="20"/>
                <w:szCs w:val="20"/>
                <w:lang w:val="en-GB"/>
              </w:rPr>
              <w:t>Worldscope</w:t>
            </w:r>
          </w:p>
        </w:tc>
      </w:tr>
      <w:tr w:rsidR="00DB6C99" w:rsidRPr="00DB6C99" w14:paraId="184C45CD" w14:textId="77777777" w:rsidTr="007C344D">
        <w:trPr>
          <w:gridAfter w:val="1"/>
          <w:wAfter w:w="600" w:type="dxa"/>
          <w:trHeight w:val="76"/>
          <w:jc w:val="center"/>
        </w:trPr>
        <w:tc>
          <w:tcPr>
            <w:tcW w:w="14070" w:type="dxa"/>
            <w:gridSpan w:val="4"/>
            <w:tcBorders>
              <w:top w:val="single" w:sz="4" w:space="0" w:color="auto"/>
              <w:left w:val="nil"/>
              <w:right w:val="nil"/>
            </w:tcBorders>
            <w:vAlign w:val="center"/>
          </w:tcPr>
          <w:p w14:paraId="40310556" w14:textId="77777777" w:rsidR="007C344D" w:rsidRPr="00DB6C99" w:rsidRDefault="007C344D" w:rsidP="007C344D">
            <w:pPr>
              <w:adjustRightInd w:val="0"/>
              <w:spacing w:after="0" w:line="240" w:lineRule="auto"/>
              <w:jc w:val="both"/>
              <w:rPr>
                <w:rFonts w:ascii="Garamond" w:hAnsi="Garamond"/>
                <w:sz w:val="20"/>
                <w:szCs w:val="20"/>
                <w:lang w:val="en-GB"/>
              </w:rPr>
            </w:pPr>
            <w:r w:rsidRPr="00DB6C99">
              <w:rPr>
                <w:rFonts w:ascii="Garamond" w:hAnsi="Garamond"/>
                <w:sz w:val="20"/>
                <w:szCs w:val="20"/>
                <w:lang w:val="en-GB"/>
              </w:rPr>
              <w:t>Note: All continuous variables are winsorized at bottom 1% and top 99% levels.</w:t>
            </w:r>
          </w:p>
          <w:p w14:paraId="33A6926E" w14:textId="50EFC012" w:rsidR="007C344D" w:rsidRPr="00DB6C99" w:rsidRDefault="00D303AD" w:rsidP="00C57168">
            <w:pPr>
              <w:adjustRightInd w:val="0"/>
              <w:spacing w:after="0" w:line="240" w:lineRule="auto"/>
              <w:jc w:val="both"/>
              <w:rPr>
                <w:rFonts w:ascii="Garamond" w:hAnsi="Garamond"/>
                <w:sz w:val="20"/>
                <w:szCs w:val="20"/>
                <w:lang w:val="en-GB"/>
              </w:rPr>
            </w:pPr>
            <w:r w:rsidRPr="00DB6C99">
              <w:rPr>
                <w:rFonts w:ascii="Garamond" w:hAnsi="Garamond"/>
                <w:sz w:val="20"/>
                <w:szCs w:val="20"/>
              </w:rPr>
              <w:t>Following extant literature, we used board</w:t>
            </w:r>
            <w:r w:rsidR="00544C70" w:rsidRPr="00DB6C99">
              <w:rPr>
                <w:rFonts w:ascii="Garamond" w:hAnsi="Garamond"/>
                <w:sz w:val="20"/>
                <w:szCs w:val="20"/>
              </w:rPr>
              <w:t>-</w:t>
            </w:r>
            <w:r w:rsidRPr="00DB6C99">
              <w:rPr>
                <w:rFonts w:ascii="Garamond" w:hAnsi="Garamond"/>
                <w:sz w:val="20"/>
                <w:szCs w:val="20"/>
              </w:rPr>
              <w:t xml:space="preserve">level controls to control for their confounding effects on CSR related firm policies. </w:t>
            </w:r>
            <w:r w:rsidR="00DF1957" w:rsidRPr="00DB6C99">
              <w:rPr>
                <w:rFonts w:ascii="Garamond" w:hAnsi="Garamond"/>
                <w:sz w:val="20"/>
                <w:szCs w:val="20"/>
              </w:rPr>
              <w:t>Hussain, Rigoni and Orij</w:t>
            </w:r>
            <w:r w:rsidRPr="00DB6C99">
              <w:rPr>
                <w:rFonts w:ascii="Garamond" w:hAnsi="Garamond"/>
                <w:sz w:val="20"/>
                <w:szCs w:val="20"/>
              </w:rPr>
              <w:t xml:space="preserve"> (2018) recently show that board structure including; size, independence, and CEO duality and board activity (i.e. number of board meetings) are significantly liked to CSR related issues. Similarly, García-Sánchez </w:t>
            </w:r>
            <w:r w:rsidRPr="00DB6C99">
              <w:rPr>
                <w:rFonts w:ascii="Garamond" w:hAnsi="Garamond"/>
                <w:i/>
                <w:sz w:val="20"/>
                <w:szCs w:val="20"/>
              </w:rPr>
              <w:t>et al.</w:t>
            </w:r>
            <w:r w:rsidRPr="00DB6C99">
              <w:rPr>
                <w:rFonts w:ascii="Garamond" w:hAnsi="Garamond"/>
                <w:sz w:val="20"/>
                <w:szCs w:val="20"/>
              </w:rPr>
              <w:t xml:space="preserve"> (2021) note a positive link between CSR decoupling and analysts’ forecast error. Moreover, analysts’ information environmental affects level of decoupling. We use firm</w:t>
            </w:r>
            <w:r w:rsidR="00FD466D" w:rsidRPr="00DB6C99">
              <w:rPr>
                <w:rFonts w:ascii="Garamond" w:hAnsi="Garamond"/>
                <w:sz w:val="20"/>
                <w:szCs w:val="20"/>
              </w:rPr>
              <w:t>-</w:t>
            </w:r>
            <w:r w:rsidRPr="00DB6C99">
              <w:rPr>
                <w:rFonts w:ascii="Garamond" w:hAnsi="Garamond"/>
                <w:sz w:val="20"/>
                <w:szCs w:val="20"/>
              </w:rPr>
              <w:t xml:space="preserve">level financial controls such as size, profitability, level of capital expenditure, cost of debt, and research and development expenses to controls for firm’s opportunities and challenges </w:t>
            </w:r>
            <w:r w:rsidR="00C57168" w:rsidRPr="00DB6C99">
              <w:rPr>
                <w:rFonts w:ascii="Garamond" w:hAnsi="Garamond"/>
                <w:sz w:val="20"/>
                <w:szCs w:val="20"/>
              </w:rPr>
              <w:t>to truly engage in CSR (Friede</w:t>
            </w:r>
            <w:r w:rsidR="002A2ED3" w:rsidRPr="00DB6C99">
              <w:rPr>
                <w:rFonts w:ascii="Garamond" w:hAnsi="Garamond"/>
                <w:sz w:val="20"/>
                <w:szCs w:val="20"/>
              </w:rPr>
              <w:t>, Busche and Bassen</w:t>
            </w:r>
            <w:r w:rsidR="00C57168" w:rsidRPr="00DB6C99">
              <w:rPr>
                <w:rFonts w:ascii="Garamond" w:hAnsi="Garamond"/>
                <w:iCs/>
                <w:sz w:val="20"/>
                <w:szCs w:val="20"/>
              </w:rPr>
              <w:t xml:space="preserve">, </w:t>
            </w:r>
            <w:r w:rsidR="00C57168" w:rsidRPr="00DB6C99">
              <w:rPr>
                <w:rFonts w:ascii="Garamond" w:hAnsi="Garamond"/>
                <w:sz w:val="20"/>
                <w:szCs w:val="20"/>
              </w:rPr>
              <w:t>2015). Prominent CSR literature shows that ownership structure significantly affects level of CSR activities (McGuinness</w:t>
            </w:r>
            <w:r w:rsidR="008C5670" w:rsidRPr="00DB6C99">
              <w:rPr>
                <w:rFonts w:ascii="Garamond" w:hAnsi="Garamond"/>
                <w:sz w:val="20"/>
                <w:szCs w:val="20"/>
              </w:rPr>
              <w:t>, Vieito and Wan</w:t>
            </w:r>
            <w:r w:rsidR="008C5670" w:rsidRPr="00DB6C99">
              <w:rPr>
                <w:rFonts w:ascii="Garamond" w:hAnsi="Garamond"/>
                <w:iCs/>
                <w:sz w:val="20"/>
                <w:szCs w:val="20"/>
              </w:rPr>
              <w:t>g</w:t>
            </w:r>
            <w:r w:rsidR="00C57168" w:rsidRPr="00DB6C99">
              <w:rPr>
                <w:rFonts w:ascii="Garamond" w:hAnsi="Garamond"/>
                <w:iCs/>
                <w:sz w:val="20"/>
                <w:szCs w:val="20"/>
              </w:rPr>
              <w:t xml:space="preserve">, </w:t>
            </w:r>
            <w:r w:rsidR="00C57168" w:rsidRPr="00DB6C99">
              <w:rPr>
                <w:rFonts w:ascii="Garamond" w:hAnsi="Garamond"/>
                <w:sz w:val="20"/>
                <w:szCs w:val="20"/>
              </w:rPr>
              <w:t>2017). Therefore, we use ownership structure as control in our regression models.</w:t>
            </w:r>
            <w:r w:rsidR="00C57168" w:rsidRPr="00DB6C99">
              <w:rPr>
                <w:rFonts w:ascii="Garamond" w:hAnsi="Garamond"/>
                <w:sz w:val="20"/>
                <w:szCs w:val="20"/>
                <w:lang w:val="en-GB"/>
              </w:rPr>
              <w:t xml:space="preserve"> </w:t>
            </w:r>
            <w:r w:rsidRPr="00DB6C99">
              <w:rPr>
                <w:rFonts w:ascii="Garamond" w:hAnsi="Garamond"/>
                <w:sz w:val="20"/>
                <w:szCs w:val="20"/>
                <w:lang w:val="en-GB"/>
              </w:rPr>
              <w:t xml:space="preserve">  </w:t>
            </w:r>
          </w:p>
        </w:tc>
      </w:tr>
    </w:tbl>
    <w:p w14:paraId="411E9A05" w14:textId="77777777" w:rsidR="007C344D" w:rsidRPr="00DB6C99" w:rsidRDefault="007C344D" w:rsidP="007C344D">
      <w:pPr>
        <w:adjustRightInd w:val="0"/>
        <w:spacing w:after="0" w:line="240" w:lineRule="auto"/>
        <w:jc w:val="both"/>
        <w:rPr>
          <w:rFonts w:ascii="Garamond" w:hAnsi="Garamond"/>
          <w:sz w:val="20"/>
          <w:szCs w:val="20"/>
          <w:lang w:val="en-GB"/>
        </w:rPr>
        <w:sectPr w:rsidR="007C344D" w:rsidRPr="00DB6C99" w:rsidSect="007C344D">
          <w:pgSz w:w="15840" w:h="12240" w:orient="landscape"/>
          <w:pgMar w:top="1440" w:right="1440" w:bottom="1440" w:left="1440" w:header="720" w:footer="720" w:gutter="0"/>
          <w:cols w:space="720"/>
          <w:docGrid w:linePitch="360"/>
        </w:sectPr>
      </w:pPr>
    </w:p>
    <w:p w14:paraId="4E0795C5" w14:textId="77777777" w:rsidR="007C344D" w:rsidRPr="00DB6C99" w:rsidRDefault="007C344D" w:rsidP="007C344D">
      <w:pPr>
        <w:widowControl w:val="0"/>
        <w:autoSpaceDE w:val="0"/>
        <w:autoSpaceDN w:val="0"/>
        <w:adjustRightInd w:val="0"/>
        <w:spacing w:after="0" w:line="240" w:lineRule="auto"/>
        <w:jc w:val="both"/>
        <w:rPr>
          <w:rFonts w:ascii="Garamond" w:hAnsi="Garamond"/>
          <w:b/>
        </w:rPr>
      </w:pPr>
      <w:r w:rsidRPr="00DB6C99">
        <w:rPr>
          <w:rFonts w:ascii="Garamond" w:hAnsi="Garamond"/>
          <w:b/>
          <w:bCs/>
        </w:rPr>
        <w:lastRenderedPageBreak/>
        <w:t>Table 2:</w:t>
      </w:r>
      <w:r w:rsidRPr="00DB6C99">
        <w:rPr>
          <w:rFonts w:ascii="Garamond" w:hAnsi="Garamond"/>
        </w:rPr>
        <w:t xml:space="preserve"> </w:t>
      </w:r>
      <w:r w:rsidRPr="00DB6C99">
        <w:rPr>
          <w:rFonts w:ascii="Garamond" w:hAnsi="Garamond"/>
          <w:bCs/>
        </w:rPr>
        <w:t>Descriptive statistics</w:t>
      </w:r>
    </w:p>
    <w:tbl>
      <w:tblPr>
        <w:tblStyle w:val="TableGrid"/>
        <w:tblW w:w="10128"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7"/>
        <w:gridCol w:w="1072"/>
        <w:gridCol w:w="1662"/>
        <w:gridCol w:w="1908"/>
        <w:gridCol w:w="1599"/>
        <w:gridCol w:w="1420"/>
      </w:tblGrid>
      <w:tr w:rsidR="00DB6C99" w:rsidRPr="00DB6C99" w14:paraId="5F1BC8A0" w14:textId="77777777" w:rsidTr="007C344D">
        <w:trPr>
          <w:trHeight w:val="276"/>
          <w:jc w:val="center"/>
        </w:trPr>
        <w:tc>
          <w:tcPr>
            <w:tcW w:w="2467" w:type="dxa"/>
            <w:tcBorders>
              <w:top w:val="single" w:sz="4" w:space="0" w:color="auto"/>
              <w:bottom w:val="single" w:sz="4" w:space="0" w:color="auto"/>
            </w:tcBorders>
            <w:vAlign w:val="center"/>
          </w:tcPr>
          <w:p w14:paraId="14098C3F" w14:textId="77777777" w:rsidR="007C344D" w:rsidRPr="00DB6C99" w:rsidRDefault="007C344D" w:rsidP="007C344D">
            <w:pPr>
              <w:widowControl w:val="0"/>
              <w:autoSpaceDE w:val="0"/>
              <w:autoSpaceDN w:val="0"/>
              <w:adjustRightInd w:val="0"/>
              <w:jc w:val="center"/>
              <w:rPr>
                <w:rFonts w:ascii="Garamond" w:hAnsi="Garamond"/>
                <w:b/>
                <w:bCs/>
                <w:sz w:val="20"/>
                <w:szCs w:val="20"/>
              </w:rPr>
            </w:pPr>
          </w:p>
        </w:tc>
        <w:tc>
          <w:tcPr>
            <w:tcW w:w="2734" w:type="dxa"/>
            <w:gridSpan w:val="2"/>
            <w:tcBorders>
              <w:top w:val="single" w:sz="4" w:space="0" w:color="auto"/>
              <w:bottom w:val="single" w:sz="4" w:space="0" w:color="auto"/>
            </w:tcBorders>
            <w:vAlign w:val="center"/>
          </w:tcPr>
          <w:p w14:paraId="4D561305" w14:textId="77777777" w:rsidR="007C344D" w:rsidRPr="00DB6C99" w:rsidRDefault="007C344D" w:rsidP="007C344D">
            <w:pPr>
              <w:widowControl w:val="0"/>
              <w:tabs>
                <w:tab w:val="decimal" w:pos="763"/>
              </w:tabs>
              <w:autoSpaceDE w:val="0"/>
              <w:autoSpaceDN w:val="0"/>
              <w:adjustRightInd w:val="0"/>
              <w:jc w:val="center"/>
              <w:rPr>
                <w:rFonts w:ascii="Garamond" w:hAnsi="Garamond"/>
                <w:b/>
                <w:bCs/>
                <w:sz w:val="20"/>
                <w:szCs w:val="20"/>
              </w:rPr>
            </w:pPr>
            <w:r w:rsidRPr="00DB6C99">
              <w:rPr>
                <w:rFonts w:ascii="Garamond" w:hAnsi="Garamond"/>
                <w:b/>
                <w:bCs/>
                <w:sz w:val="20"/>
                <w:szCs w:val="20"/>
              </w:rPr>
              <w:t>Full Sample</w:t>
            </w:r>
          </w:p>
          <w:p w14:paraId="7A248140" w14:textId="77777777" w:rsidR="007C344D" w:rsidRPr="00DB6C99" w:rsidRDefault="007C344D" w:rsidP="007C344D">
            <w:pPr>
              <w:widowControl w:val="0"/>
              <w:tabs>
                <w:tab w:val="decimal" w:pos="763"/>
              </w:tabs>
              <w:autoSpaceDE w:val="0"/>
              <w:autoSpaceDN w:val="0"/>
              <w:adjustRightInd w:val="0"/>
              <w:jc w:val="center"/>
              <w:rPr>
                <w:rFonts w:ascii="Garamond" w:hAnsi="Garamond"/>
                <w:i/>
                <w:iCs/>
                <w:sz w:val="20"/>
                <w:szCs w:val="20"/>
              </w:rPr>
            </w:pPr>
            <w:r w:rsidRPr="00DB6C99">
              <w:rPr>
                <w:rFonts w:ascii="Garamond" w:hAnsi="Garamond"/>
                <w:i/>
                <w:iCs/>
                <w:sz w:val="20"/>
                <w:szCs w:val="20"/>
              </w:rPr>
              <w:t>N = 9,276</w:t>
            </w:r>
          </w:p>
        </w:tc>
        <w:tc>
          <w:tcPr>
            <w:tcW w:w="1908" w:type="dxa"/>
            <w:tcBorders>
              <w:top w:val="single" w:sz="4" w:space="0" w:color="auto"/>
              <w:bottom w:val="single" w:sz="4" w:space="0" w:color="auto"/>
            </w:tcBorders>
            <w:vAlign w:val="center"/>
          </w:tcPr>
          <w:p w14:paraId="657F7DAB" w14:textId="77777777" w:rsidR="007C344D" w:rsidRPr="00DB6C99" w:rsidRDefault="007C344D" w:rsidP="007C344D">
            <w:pPr>
              <w:widowControl w:val="0"/>
              <w:tabs>
                <w:tab w:val="decimal" w:pos="620"/>
              </w:tabs>
              <w:autoSpaceDE w:val="0"/>
              <w:autoSpaceDN w:val="0"/>
              <w:adjustRightInd w:val="0"/>
              <w:jc w:val="center"/>
              <w:rPr>
                <w:rFonts w:ascii="Garamond" w:hAnsi="Garamond"/>
                <w:b/>
                <w:bCs/>
                <w:sz w:val="20"/>
                <w:szCs w:val="20"/>
              </w:rPr>
            </w:pPr>
            <w:r w:rsidRPr="00DB6C99">
              <w:rPr>
                <w:rFonts w:ascii="Garamond" w:hAnsi="Garamond"/>
                <w:b/>
                <w:bCs/>
                <w:sz w:val="20"/>
                <w:szCs w:val="20"/>
              </w:rPr>
              <w:t>Without Female</w:t>
            </w:r>
          </w:p>
          <w:p w14:paraId="6704E80E" w14:textId="77777777" w:rsidR="007C344D" w:rsidRPr="00DB6C99" w:rsidRDefault="007C344D" w:rsidP="007C344D">
            <w:pPr>
              <w:widowControl w:val="0"/>
              <w:tabs>
                <w:tab w:val="decimal" w:pos="620"/>
              </w:tabs>
              <w:autoSpaceDE w:val="0"/>
              <w:autoSpaceDN w:val="0"/>
              <w:adjustRightInd w:val="0"/>
              <w:jc w:val="center"/>
              <w:rPr>
                <w:rFonts w:ascii="Garamond" w:hAnsi="Garamond"/>
                <w:b/>
                <w:bCs/>
                <w:sz w:val="20"/>
                <w:szCs w:val="20"/>
              </w:rPr>
            </w:pPr>
            <w:r w:rsidRPr="00DB6C99">
              <w:rPr>
                <w:rFonts w:ascii="Garamond" w:hAnsi="Garamond"/>
                <w:i/>
                <w:iCs/>
                <w:sz w:val="20"/>
                <w:szCs w:val="20"/>
              </w:rPr>
              <w:t>N = 1,277</w:t>
            </w:r>
          </w:p>
        </w:tc>
        <w:tc>
          <w:tcPr>
            <w:tcW w:w="1599" w:type="dxa"/>
            <w:tcBorders>
              <w:top w:val="single" w:sz="4" w:space="0" w:color="auto"/>
              <w:bottom w:val="single" w:sz="4" w:space="0" w:color="auto"/>
            </w:tcBorders>
            <w:vAlign w:val="center"/>
          </w:tcPr>
          <w:p w14:paraId="4247403F" w14:textId="77777777" w:rsidR="007C344D" w:rsidRPr="00DB6C99" w:rsidRDefault="007C344D" w:rsidP="007C344D">
            <w:pPr>
              <w:widowControl w:val="0"/>
              <w:tabs>
                <w:tab w:val="decimal" w:pos="586"/>
              </w:tabs>
              <w:autoSpaceDE w:val="0"/>
              <w:autoSpaceDN w:val="0"/>
              <w:adjustRightInd w:val="0"/>
              <w:jc w:val="center"/>
              <w:rPr>
                <w:rFonts w:ascii="Garamond" w:hAnsi="Garamond"/>
                <w:b/>
                <w:bCs/>
                <w:sz w:val="20"/>
                <w:szCs w:val="20"/>
              </w:rPr>
            </w:pPr>
            <w:r w:rsidRPr="00DB6C99">
              <w:rPr>
                <w:rFonts w:ascii="Garamond" w:hAnsi="Garamond"/>
                <w:b/>
                <w:bCs/>
                <w:sz w:val="20"/>
                <w:szCs w:val="20"/>
              </w:rPr>
              <w:t>With Female</w:t>
            </w:r>
          </w:p>
          <w:p w14:paraId="42787E96" w14:textId="77777777" w:rsidR="007C344D" w:rsidRPr="00DB6C99" w:rsidRDefault="007C344D" w:rsidP="007C344D">
            <w:pPr>
              <w:widowControl w:val="0"/>
              <w:tabs>
                <w:tab w:val="decimal" w:pos="586"/>
              </w:tabs>
              <w:autoSpaceDE w:val="0"/>
              <w:autoSpaceDN w:val="0"/>
              <w:adjustRightInd w:val="0"/>
              <w:jc w:val="center"/>
              <w:rPr>
                <w:rFonts w:ascii="Garamond" w:hAnsi="Garamond"/>
                <w:b/>
                <w:bCs/>
                <w:sz w:val="20"/>
                <w:szCs w:val="20"/>
              </w:rPr>
            </w:pPr>
            <w:r w:rsidRPr="00DB6C99">
              <w:rPr>
                <w:rFonts w:ascii="Garamond" w:hAnsi="Garamond"/>
                <w:i/>
                <w:iCs/>
                <w:sz w:val="20"/>
                <w:szCs w:val="20"/>
              </w:rPr>
              <w:t>N = 7,999</w:t>
            </w:r>
          </w:p>
        </w:tc>
        <w:tc>
          <w:tcPr>
            <w:tcW w:w="1420" w:type="dxa"/>
            <w:tcBorders>
              <w:top w:val="single" w:sz="4" w:space="0" w:color="auto"/>
              <w:bottom w:val="single" w:sz="4" w:space="0" w:color="auto"/>
            </w:tcBorders>
            <w:vAlign w:val="center"/>
          </w:tcPr>
          <w:p w14:paraId="239D2832" w14:textId="77777777" w:rsidR="007C344D" w:rsidRPr="00DB6C99" w:rsidRDefault="007C344D" w:rsidP="007C344D">
            <w:pPr>
              <w:widowControl w:val="0"/>
              <w:tabs>
                <w:tab w:val="decimal" w:pos="586"/>
              </w:tabs>
              <w:autoSpaceDE w:val="0"/>
              <w:autoSpaceDN w:val="0"/>
              <w:adjustRightInd w:val="0"/>
              <w:jc w:val="center"/>
              <w:rPr>
                <w:rFonts w:ascii="Garamond" w:hAnsi="Garamond"/>
                <w:b/>
                <w:bCs/>
                <w:sz w:val="20"/>
                <w:szCs w:val="20"/>
              </w:rPr>
            </w:pPr>
          </w:p>
        </w:tc>
      </w:tr>
      <w:tr w:rsidR="00DB6C99" w:rsidRPr="00DB6C99" w14:paraId="6FBF337B" w14:textId="77777777" w:rsidTr="007C344D">
        <w:trPr>
          <w:trHeight w:val="276"/>
          <w:jc w:val="center"/>
        </w:trPr>
        <w:tc>
          <w:tcPr>
            <w:tcW w:w="2467" w:type="dxa"/>
            <w:tcBorders>
              <w:top w:val="single" w:sz="4" w:space="0" w:color="auto"/>
              <w:bottom w:val="single" w:sz="4" w:space="0" w:color="auto"/>
            </w:tcBorders>
            <w:vAlign w:val="center"/>
          </w:tcPr>
          <w:p w14:paraId="47EC8062" w14:textId="77777777" w:rsidR="007C344D" w:rsidRPr="00DB6C99" w:rsidRDefault="007C344D" w:rsidP="007C344D">
            <w:pPr>
              <w:widowControl w:val="0"/>
              <w:autoSpaceDE w:val="0"/>
              <w:autoSpaceDN w:val="0"/>
              <w:adjustRightInd w:val="0"/>
              <w:rPr>
                <w:rFonts w:ascii="Garamond" w:hAnsi="Garamond"/>
                <w:b/>
                <w:bCs/>
                <w:sz w:val="20"/>
                <w:szCs w:val="20"/>
              </w:rPr>
            </w:pPr>
            <w:r w:rsidRPr="00DB6C99">
              <w:rPr>
                <w:rFonts w:ascii="Garamond" w:hAnsi="Garamond"/>
                <w:b/>
                <w:bCs/>
                <w:sz w:val="20"/>
                <w:szCs w:val="20"/>
              </w:rPr>
              <w:t>Variables</w:t>
            </w:r>
          </w:p>
        </w:tc>
        <w:tc>
          <w:tcPr>
            <w:tcW w:w="1072" w:type="dxa"/>
            <w:tcBorders>
              <w:top w:val="single" w:sz="4" w:space="0" w:color="auto"/>
              <w:bottom w:val="single" w:sz="4" w:space="0" w:color="auto"/>
            </w:tcBorders>
            <w:vAlign w:val="center"/>
          </w:tcPr>
          <w:p w14:paraId="57061CC5" w14:textId="77777777" w:rsidR="007C344D" w:rsidRPr="00DB6C99" w:rsidRDefault="007C344D" w:rsidP="007C344D">
            <w:pPr>
              <w:widowControl w:val="0"/>
              <w:tabs>
                <w:tab w:val="decimal" w:pos="778"/>
              </w:tabs>
              <w:autoSpaceDE w:val="0"/>
              <w:autoSpaceDN w:val="0"/>
              <w:adjustRightInd w:val="0"/>
              <w:jc w:val="center"/>
              <w:rPr>
                <w:rFonts w:ascii="Garamond" w:hAnsi="Garamond"/>
                <w:b/>
                <w:bCs/>
                <w:sz w:val="20"/>
                <w:szCs w:val="20"/>
              </w:rPr>
            </w:pPr>
            <w:r w:rsidRPr="00DB6C99">
              <w:rPr>
                <w:rFonts w:ascii="Garamond" w:hAnsi="Garamond"/>
                <w:b/>
                <w:bCs/>
                <w:sz w:val="20"/>
                <w:szCs w:val="20"/>
              </w:rPr>
              <w:t>Mean</w:t>
            </w:r>
          </w:p>
        </w:tc>
        <w:tc>
          <w:tcPr>
            <w:tcW w:w="1662" w:type="dxa"/>
            <w:tcBorders>
              <w:top w:val="single" w:sz="4" w:space="0" w:color="auto"/>
              <w:bottom w:val="single" w:sz="4" w:space="0" w:color="auto"/>
            </w:tcBorders>
            <w:vAlign w:val="center"/>
          </w:tcPr>
          <w:p w14:paraId="208AA45C" w14:textId="77777777" w:rsidR="007C344D" w:rsidRPr="00DB6C99" w:rsidRDefault="007C344D" w:rsidP="007C344D">
            <w:pPr>
              <w:widowControl w:val="0"/>
              <w:tabs>
                <w:tab w:val="decimal" w:pos="763"/>
              </w:tabs>
              <w:autoSpaceDE w:val="0"/>
              <w:autoSpaceDN w:val="0"/>
              <w:adjustRightInd w:val="0"/>
              <w:jc w:val="center"/>
              <w:rPr>
                <w:rFonts w:ascii="Garamond" w:hAnsi="Garamond"/>
                <w:b/>
                <w:bCs/>
                <w:sz w:val="20"/>
                <w:szCs w:val="20"/>
              </w:rPr>
            </w:pPr>
            <w:r w:rsidRPr="00DB6C99">
              <w:rPr>
                <w:rFonts w:ascii="Garamond" w:hAnsi="Garamond"/>
                <w:b/>
                <w:bCs/>
                <w:sz w:val="20"/>
                <w:szCs w:val="20"/>
              </w:rPr>
              <w:t>SD</w:t>
            </w:r>
          </w:p>
        </w:tc>
        <w:tc>
          <w:tcPr>
            <w:tcW w:w="1908" w:type="dxa"/>
            <w:tcBorders>
              <w:top w:val="single" w:sz="4" w:space="0" w:color="auto"/>
              <w:bottom w:val="single" w:sz="4" w:space="0" w:color="auto"/>
            </w:tcBorders>
            <w:vAlign w:val="center"/>
          </w:tcPr>
          <w:p w14:paraId="01D01B64" w14:textId="77777777" w:rsidR="007C344D" w:rsidRPr="00DB6C99" w:rsidRDefault="007C344D" w:rsidP="007C344D">
            <w:pPr>
              <w:widowControl w:val="0"/>
              <w:tabs>
                <w:tab w:val="decimal" w:pos="620"/>
              </w:tabs>
              <w:autoSpaceDE w:val="0"/>
              <w:autoSpaceDN w:val="0"/>
              <w:adjustRightInd w:val="0"/>
              <w:jc w:val="center"/>
              <w:rPr>
                <w:rFonts w:ascii="Garamond" w:hAnsi="Garamond"/>
                <w:b/>
                <w:bCs/>
                <w:sz w:val="20"/>
                <w:szCs w:val="20"/>
              </w:rPr>
            </w:pPr>
            <w:r w:rsidRPr="00DB6C99">
              <w:rPr>
                <w:rFonts w:ascii="Garamond" w:hAnsi="Garamond"/>
                <w:b/>
                <w:bCs/>
                <w:sz w:val="20"/>
                <w:szCs w:val="20"/>
              </w:rPr>
              <w:t>Mean</w:t>
            </w:r>
          </w:p>
        </w:tc>
        <w:tc>
          <w:tcPr>
            <w:tcW w:w="1599" w:type="dxa"/>
            <w:tcBorders>
              <w:top w:val="single" w:sz="4" w:space="0" w:color="auto"/>
              <w:bottom w:val="single" w:sz="4" w:space="0" w:color="auto"/>
            </w:tcBorders>
            <w:vAlign w:val="center"/>
          </w:tcPr>
          <w:p w14:paraId="27B7871F" w14:textId="77777777" w:rsidR="007C344D" w:rsidRPr="00DB6C99" w:rsidRDefault="007C344D" w:rsidP="007C344D">
            <w:pPr>
              <w:widowControl w:val="0"/>
              <w:tabs>
                <w:tab w:val="decimal" w:pos="586"/>
              </w:tabs>
              <w:autoSpaceDE w:val="0"/>
              <w:autoSpaceDN w:val="0"/>
              <w:adjustRightInd w:val="0"/>
              <w:jc w:val="center"/>
              <w:rPr>
                <w:rFonts w:ascii="Garamond" w:hAnsi="Garamond"/>
                <w:b/>
                <w:bCs/>
                <w:sz w:val="20"/>
                <w:szCs w:val="20"/>
              </w:rPr>
            </w:pPr>
            <w:r w:rsidRPr="00DB6C99">
              <w:rPr>
                <w:rFonts w:ascii="Garamond" w:hAnsi="Garamond"/>
                <w:b/>
                <w:bCs/>
                <w:sz w:val="20"/>
                <w:szCs w:val="20"/>
              </w:rPr>
              <w:t>Mean</w:t>
            </w:r>
          </w:p>
        </w:tc>
        <w:tc>
          <w:tcPr>
            <w:tcW w:w="1420" w:type="dxa"/>
            <w:tcBorders>
              <w:top w:val="single" w:sz="4" w:space="0" w:color="auto"/>
              <w:bottom w:val="single" w:sz="4" w:space="0" w:color="auto"/>
            </w:tcBorders>
            <w:vAlign w:val="center"/>
          </w:tcPr>
          <w:p w14:paraId="46C78828" w14:textId="77777777" w:rsidR="007C344D" w:rsidRPr="00DB6C99" w:rsidRDefault="007C344D" w:rsidP="007C344D">
            <w:pPr>
              <w:widowControl w:val="0"/>
              <w:tabs>
                <w:tab w:val="decimal" w:pos="586"/>
              </w:tabs>
              <w:autoSpaceDE w:val="0"/>
              <w:autoSpaceDN w:val="0"/>
              <w:adjustRightInd w:val="0"/>
              <w:jc w:val="center"/>
              <w:rPr>
                <w:rFonts w:ascii="Garamond" w:hAnsi="Garamond"/>
                <w:b/>
                <w:bCs/>
                <w:sz w:val="20"/>
                <w:szCs w:val="20"/>
              </w:rPr>
            </w:pPr>
            <w:r w:rsidRPr="00DB6C99">
              <w:rPr>
                <w:rFonts w:ascii="Garamond" w:hAnsi="Garamond"/>
                <w:b/>
                <w:bCs/>
                <w:sz w:val="20"/>
                <w:szCs w:val="20"/>
              </w:rPr>
              <w:t>Mean Diff</w:t>
            </w:r>
          </w:p>
        </w:tc>
      </w:tr>
      <w:tr w:rsidR="00DB6C99" w:rsidRPr="00DB6C99" w14:paraId="12421D3E" w14:textId="77777777" w:rsidTr="007C344D">
        <w:trPr>
          <w:trHeight w:val="298"/>
          <w:jc w:val="center"/>
        </w:trPr>
        <w:tc>
          <w:tcPr>
            <w:tcW w:w="2467" w:type="dxa"/>
            <w:tcBorders>
              <w:top w:val="single" w:sz="4" w:space="0" w:color="auto"/>
            </w:tcBorders>
            <w:vAlign w:val="center"/>
          </w:tcPr>
          <w:p w14:paraId="1526E46E" w14:textId="77777777" w:rsidR="007C344D" w:rsidRPr="00DB6C99" w:rsidRDefault="007C344D" w:rsidP="007C344D">
            <w:pPr>
              <w:widowControl w:val="0"/>
              <w:autoSpaceDE w:val="0"/>
              <w:autoSpaceDN w:val="0"/>
              <w:adjustRightInd w:val="0"/>
              <w:rPr>
                <w:rFonts w:ascii="Garamond" w:hAnsi="Garamond"/>
                <w:i/>
                <w:iCs/>
                <w:sz w:val="20"/>
                <w:szCs w:val="20"/>
                <w:highlight w:val="yellow"/>
              </w:rPr>
            </w:pPr>
            <w:r w:rsidRPr="00DB6C99">
              <w:rPr>
                <w:rFonts w:ascii="Garamond" w:hAnsi="Garamond"/>
                <w:i/>
                <w:iCs/>
                <w:sz w:val="20"/>
                <w:szCs w:val="20"/>
                <w:lang w:val="en-GB"/>
              </w:rPr>
              <w:t>GAP</w:t>
            </w:r>
          </w:p>
        </w:tc>
        <w:tc>
          <w:tcPr>
            <w:tcW w:w="1072" w:type="dxa"/>
            <w:tcBorders>
              <w:top w:val="single" w:sz="4" w:space="0" w:color="auto"/>
            </w:tcBorders>
            <w:vAlign w:val="center"/>
          </w:tcPr>
          <w:p w14:paraId="1016156C" w14:textId="77777777" w:rsidR="007C344D" w:rsidRPr="00DB6C99" w:rsidRDefault="007C344D" w:rsidP="007C344D">
            <w:pPr>
              <w:widowControl w:val="0"/>
              <w:tabs>
                <w:tab w:val="decimal" w:pos="312"/>
              </w:tabs>
              <w:autoSpaceDE w:val="0"/>
              <w:autoSpaceDN w:val="0"/>
              <w:adjustRightInd w:val="0"/>
              <w:jc w:val="center"/>
              <w:rPr>
                <w:rFonts w:ascii="Garamond" w:hAnsi="Garamond"/>
                <w:b/>
                <w:sz w:val="20"/>
                <w:szCs w:val="20"/>
              </w:rPr>
            </w:pPr>
            <w:r w:rsidRPr="00DB6C99">
              <w:rPr>
                <w:rFonts w:ascii="Garamond" w:hAnsi="Garamond"/>
                <w:sz w:val="20"/>
                <w:szCs w:val="20"/>
              </w:rPr>
              <w:t>-0.021</w:t>
            </w:r>
          </w:p>
        </w:tc>
        <w:tc>
          <w:tcPr>
            <w:tcW w:w="1662" w:type="dxa"/>
            <w:tcBorders>
              <w:top w:val="single" w:sz="4" w:space="0" w:color="auto"/>
            </w:tcBorders>
            <w:vAlign w:val="center"/>
          </w:tcPr>
          <w:p w14:paraId="3A409252" w14:textId="77777777" w:rsidR="007C344D" w:rsidRPr="00DB6C99" w:rsidRDefault="007C344D" w:rsidP="007C344D">
            <w:pPr>
              <w:widowControl w:val="0"/>
              <w:tabs>
                <w:tab w:val="decimal" w:pos="563"/>
              </w:tabs>
              <w:autoSpaceDE w:val="0"/>
              <w:autoSpaceDN w:val="0"/>
              <w:adjustRightInd w:val="0"/>
              <w:jc w:val="center"/>
              <w:rPr>
                <w:rFonts w:ascii="Garamond" w:hAnsi="Garamond"/>
                <w:b/>
                <w:sz w:val="20"/>
                <w:szCs w:val="20"/>
              </w:rPr>
            </w:pPr>
            <w:r w:rsidRPr="00DB6C99">
              <w:rPr>
                <w:rFonts w:ascii="Garamond" w:hAnsi="Garamond"/>
                <w:sz w:val="20"/>
                <w:szCs w:val="20"/>
              </w:rPr>
              <w:t>0.008</w:t>
            </w:r>
          </w:p>
        </w:tc>
        <w:tc>
          <w:tcPr>
            <w:tcW w:w="1908" w:type="dxa"/>
            <w:tcBorders>
              <w:top w:val="single" w:sz="4" w:space="0" w:color="auto"/>
            </w:tcBorders>
            <w:vAlign w:val="center"/>
          </w:tcPr>
          <w:p w14:paraId="5A3A3592" w14:textId="77777777" w:rsidR="007C344D" w:rsidRPr="00DB6C99" w:rsidRDefault="007C344D" w:rsidP="007C344D">
            <w:pPr>
              <w:widowControl w:val="0"/>
              <w:tabs>
                <w:tab w:val="decimal" w:pos="413"/>
              </w:tabs>
              <w:autoSpaceDE w:val="0"/>
              <w:autoSpaceDN w:val="0"/>
              <w:adjustRightInd w:val="0"/>
              <w:jc w:val="center"/>
              <w:rPr>
                <w:rFonts w:ascii="Garamond" w:hAnsi="Garamond"/>
                <w:sz w:val="20"/>
                <w:szCs w:val="20"/>
              </w:rPr>
            </w:pPr>
            <w:r w:rsidRPr="00DB6C99">
              <w:rPr>
                <w:rFonts w:ascii="Garamond" w:hAnsi="Garamond"/>
                <w:sz w:val="20"/>
                <w:szCs w:val="20"/>
              </w:rPr>
              <w:t>-0.023</w:t>
            </w:r>
          </w:p>
        </w:tc>
        <w:tc>
          <w:tcPr>
            <w:tcW w:w="1599" w:type="dxa"/>
            <w:tcBorders>
              <w:top w:val="single" w:sz="4" w:space="0" w:color="auto"/>
            </w:tcBorders>
            <w:vAlign w:val="center"/>
          </w:tcPr>
          <w:p w14:paraId="0625FD75" w14:textId="77777777" w:rsidR="007C344D" w:rsidRPr="00DB6C99" w:rsidRDefault="007C344D" w:rsidP="007C344D">
            <w:pPr>
              <w:widowControl w:val="0"/>
              <w:tabs>
                <w:tab w:val="decimal" w:pos="412"/>
              </w:tabs>
              <w:autoSpaceDE w:val="0"/>
              <w:autoSpaceDN w:val="0"/>
              <w:adjustRightInd w:val="0"/>
              <w:jc w:val="center"/>
              <w:rPr>
                <w:rFonts w:ascii="Garamond" w:hAnsi="Garamond"/>
                <w:b/>
                <w:sz w:val="20"/>
                <w:szCs w:val="20"/>
              </w:rPr>
            </w:pPr>
            <w:r w:rsidRPr="00DB6C99">
              <w:rPr>
                <w:rFonts w:ascii="Garamond" w:hAnsi="Garamond"/>
                <w:sz w:val="20"/>
                <w:szCs w:val="20"/>
              </w:rPr>
              <w:t>-0.021</w:t>
            </w:r>
          </w:p>
        </w:tc>
        <w:tc>
          <w:tcPr>
            <w:tcW w:w="1420" w:type="dxa"/>
            <w:tcBorders>
              <w:top w:val="single" w:sz="4" w:space="0" w:color="auto"/>
            </w:tcBorders>
            <w:vAlign w:val="center"/>
          </w:tcPr>
          <w:p w14:paraId="7A7915B1" w14:textId="77777777" w:rsidR="007C344D" w:rsidRPr="00DB6C99" w:rsidRDefault="007C344D" w:rsidP="007C344D">
            <w:pPr>
              <w:widowControl w:val="0"/>
              <w:tabs>
                <w:tab w:val="decimal" w:pos="304"/>
              </w:tabs>
              <w:autoSpaceDE w:val="0"/>
              <w:autoSpaceDN w:val="0"/>
              <w:adjustRightInd w:val="0"/>
              <w:jc w:val="both"/>
              <w:rPr>
                <w:rFonts w:ascii="Garamond" w:hAnsi="Garamond"/>
                <w:sz w:val="20"/>
                <w:szCs w:val="20"/>
              </w:rPr>
            </w:pPr>
            <w:r w:rsidRPr="00DB6C99">
              <w:rPr>
                <w:rFonts w:ascii="Garamond" w:hAnsi="Garamond"/>
                <w:sz w:val="20"/>
                <w:szCs w:val="20"/>
              </w:rPr>
              <w:t>-0.002***</w:t>
            </w:r>
          </w:p>
        </w:tc>
      </w:tr>
      <w:tr w:rsidR="00DB6C99" w:rsidRPr="00DB6C99" w14:paraId="7B208008" w14:textId="77777777" w:rsidTr="007C344D">
        <w:trPr>
          <w:trHeight w:val="298"/>
          <w:jc w:val="center"/>
        </w:trPr>
        <w:tc>
          <w:tcPr>
            <w:tcW w:w="2467" w:type="dxa"/>
            <w:vAlign w:val="center"/>
          </w:tcPr>
          <w:p w14:paraId="0D688368" w14:textId="77777777" w:rsidR="007C344D" w:rsidRPr="00DB6C99" w:rsidRDefault="007C344D" w:rsidP="007C344D">
            <w:pPr>
              <w:widowControl w:val="0"/>
              <w:autoSpaceDE w:val="0"/>
              <w:autoSpaceDN w:val="0"/>
              <w:adjustRightInd w:val="0"/>
              <w:rPr>
                <w:rFonts w:ascii="Garamond" w:hAnsi="Garamond"/>
                <w:i/>
                <w:iCs/>
                <w:sz w:val="20"/>
                <w:szCs w:val="20"/>
              </w:rPr>
            </w:pPr>
            <w:r w:rsidRPr="00DB6C99">
              <w:rPr>
                <w:rFonts w:ascii="Garamond" w:hAnsi="Garamond"/>
                <w:i/>
                <w:iCs/>
                <w:sz w:val="20"/>
                <w:szCs w:val="20"/>
              </w:rPr>
              <w:t>FPRO</w:t>
            </w:r>
          </w:p>
        </w:tc>
        <w:tc>
          <w:tcPr>
            <w:tcW w:w="1072" w:type="dxa"/>
            <w:vAlign w:val="center"/>
          </w:tcPr>
          <w:p w14:paraId="7D85E2E0" w14:textId="77777777" w:rsidR="007C344D" w:rsidRPr="00DB6C99" w:rsidRDefault="007C344D" w:rsidP="007C344D">
            <w:pPr>
              <w:widowControl w:val="0"/>
              <w:tabs>
                <w:tab w:val="decimal" w:pos="312"/>
              </w:tabs>
              <w:autoSpaceDE w:val="0"/>
              <w:autoSpaceDN w:val="0"/>
              <w:adjustRightInd w:val="0"/>
              <w:jc w:val="center"/>
              <w:rPr>
                <w:rFonts w:ascii="Garamond" w:hAnsi="Garamond"/>
                <w:b/>
                <w:sz w:val="20"/>
                <w:szCs w:val="20"/>
              </w:rPr>
            </w:pPr>
            <w:r w:rsidRPr="00DB6C99">
              <w:rPr>
                <w:rFonts w:ascii="Garamond" w:hAnsi="Garamond"/>
                <w:sz w:val="20"/>
                <w:szCs w:val="20"/>
              </w:rPr>
              <w:t>0.155</w:t>
            </w:r>
          </w:p>
        </w:tc>
        <w:tc>
          <w:tcPr>
            <w:tcW w:w="1662" w:type="dxa"/>
            <w:vAlign w:val="center"/>
          </w:tcPr>
          <w:p w14:paraId="145DB120" w14:textId="77777777" w:rsidR="007C344D" w:rsidRPr="00DB6C99" w:rsidRDefault="007C344D" w:rsidP="007C344D">
            <w:pPr>
              <w:widowControl w:val="0"/>
              <w:tabs>
                <w:tab w:val="decimal" w:pos="563"/>
              </w:tabs>
              <w:autoSpaceDE w:val="0"/>
              <w:autoSpaceDN w:val="0"/>
              <w:adjustRightInd w:val="0"/>
              <w:jc w:val="center"/>
              <w:rPr>
                <w:rFonts w:ascii="Garamond" w:hAnsi="Garamond"/>
                <w:b/>
                <w:sz w:val="20"/>
                <w:szCs w:val="20"/>
              </w:rPr>
            </w:pPr>
            <w:r w:rsidRPr="00DB6C99">
              <w:rPr>
                <w:rFonts w:ascii="Garamond" w:hAnsi="Garamond"/>
                <w:sz w:val="20"/>
                <w:szCs w:val="20"/>
              </w:rPr>
              <w:t>0.097</w:t>
            </w:r>
          </w:p>
        </w:tc>
        <w:tc>
          <w:tcPr>
            <w:tcW w:w="1908" w:type="dxa"/>
            <w:vAlign w:val="center"/>
          </w:tcPr>
          <w:p w14:paraId="6960D4F1" w14:textId="77777777" w:rsidR="007C344D" w:rsidRPr="00DB6C99" w:rsidRDefault="007C344D" w:rsidP="007C344D">
            <w:pPr>
              <w:widowControl w:val="0"/>
              <w:tabs>
                <w:tab w:val="decimal" w:pos="413"/>
              </w:tabs>
              <w:autoSpaceDE w:val="0"/>
              <w:autoSpaceDN w:val="0"/>
              <w:adjustRightInd w:val="0"/>
              <w:jc w:val="center"/>
              <w:rPr>
                <w:rFonts w:ascii="Garamond" w:hAnsi="Garamond"/>
                <w:b/>
                <w:sz w:val="20"/>
                <w:szCs w:val="20"/>
              </w:rPr>
            </w:pPr>
            <w:r w:rsidRPr="00DB6C99">
              <w:rPr>
                <w:rFonts w:ascii="Garamond" w:hAnsi="Garamond"/>
                <w:sz w:val="20"/>
                <w:szCs w:val="20"/>
              </w:rPr>
              <w:t>-</w:t>
            </w:r>
          </w:p>
        </w:tc>
        <w:tc>
          <w:tcPr>
            <w:tcW w:w="1599" w:type="dxa"/>
            <w:vAlign w:val="center"/>
          </w:tcPr>
          <w:p w14:paraId="42D603DB" w14:textId="77777777" w:rsidR="007C344D" w:rsidRPr="00DB6C99" w:rsidRDefault="007C344D" w:rsidP="007C344D">
            <w:pPr>
              <w:widowControl w:val="0"/>
              <w:tabs>
                <w:tab w:val="decimal" w:pos="412"/>
              </w:tabs>
              <w:autoSpaceDE w:val="0"/>
              <w:autoSpaceDN w:val="0"/>
              <w:adjustRightInd w:val="0"/>
              <w:jc w:val="center"/>
              <w:rPr>
                <w:rFonts w:ascii="Garamond" w:hAnsi="Garamond"/>
                <w:b/>
                <w:sz w:val="20"/>
                <w:szCs w:val="20"/>
              </w:rPr>
            </w:pPr>
            <w:r w:rsidRPr="00DB6C99">
              <w:rPr>
                <w:rFonts w:ascii="Garamond" w:hAnsi="Garamond"/>
                <w:sz w:val="20"/>
                <w:szCs w:val="20"/>
              </w:rPr>
              <w:t>-</w:t>
            </w:r>
          </w:p>
        </w:tc>
        <w:tc>
          <w:tcPr>
            <w:tcW w:w="1420" w:type="dxa"/>
            <w:vAlign w:val="center"/>
          </w:tcPr>
          <w:p w14:paraId="275ECE63" w14:textId="77777777" w:rsidR="007C344D" w:rsidRPr="00DB6C99" w:rsidRDefault="007C344D" w:rsidP="007C344D">
            <w:pPr>
              <w:widowControl w:val="0"/>
              <w:autoSpaceDE w:val="0"/>
              <w:autoSpaceDN w:val="0"/>
              <w:adjustRightInd w:val="0"/>
              <w:jc w:val="center"/>
              <w:rPr>
                <w:rFonts w:ascii="Garamond" w:hAnsi="Garamond"/>
                <w:sz w:val="20"/>
                <w:szCs w:val="20"/>
              </w:rPr>
            </w:pPr>
            <w:r w:rsidRPr="00DB6C99">
              <w:rPr>
                <w:rFonts w:ascii="Garamond" w:hAnsi="Garamond"/>
                <w:sz w:val="20"/>
                <w:szCs w:val="20"/>
              </w:rPr>
              <w:t>-</w:t>
            </w:r>
          </w:p>
        </w:tc>
      </w:tr>
      <w:tr w:rsidR="00DB6C99" w:rsidRPr="00DB6C99" w14:paraId="1694F922" w14:textId="77777777" w:rsidTr="007C344D">
        <w:trPr>
          <w:trHeight w:val="298"/>
          <w:jc w:val="center"/>
        </w:trPr>
        <w:tc>
          <w:tcPr>
            <w:tcW w:w="2467" w:type="dxa"/>
            <w:vAlign w:val="center"/>
          </w:tcPr>
          <w:p w14:paraId="28DCAB78" w14:textId="77777777" w:rsidR="007C344D" w:rsidRPr="00DB6C99" w:rsidRDefault="007C344D" w:rsidP="007C344D">
            <w:pPr>
              <w:widowControl w:val="0"/>
              <w:autoSpaceDE w:val="0"/>
              <w:autoSpaceDN w:val="0"/>
              <w:adjustRightInd w:val="0"/>
              <w:rPr>
                <w:rFonts w:ascii="Garamond" w:hAnsi="Garamond"/>
                <w:i/>
                <w:iCs/>
                <w:sz w:val="20"/>
                <w:szCs w:val="20"/>
              </w:rPr>
            </w:pPr>
            <w:r w:rsidRPr="00DB6C99">
              <w:rPr>
                <w:rFonts w:ascii="Garamond" w:hAnsi="Garamond"/>
                <w:i/>
                <w:iCs/>
                <w:sz w:val="20"/>
                <w:szCs w:val="20"/>
                <w:lang w:val="en-GB"/>
              </w:rPr>
              <w:t>BLAU</w:t>
            </w:r>
          </w:p>
        </w:tc>
        <w:tc>
          <w:tcPr>
            <w:tcW w:w="1072" w:type="dxa"/>
            <w:vAlign w:val="center"/>
          </w:tcPr>
          <w:p w14:paraId="34AAD81C" w14:textId="77777777" w:rsidR="007C344D" w:rsidRPr="00DB6C99" w:rsidRDefault="007C344D" w:rsidP="007C344D">
            <w:pPr>
              <w:widowControl w:val="0"/>
              <w:tabs>
                <w:tab w:val="decimal" w:pos="312"/>
              </w:tabs>
              <w:autoSpaceDE w:val="0"/>
              <w:autoSpaceDN w:val="0"/>
              <w:adjustRightInd w:val="0"/>
              <w:jc w:val="center"/>
              <w:rPr>
                <w:rFonts w:ascii="Garamond" w:hAnsi="Garamond"/>
                <w:b/>
                <w:sz w:val="20"/>
                <w:szCs w:val="20"/>
              </w:rPr>
            </w:pPr>
            <w:r w:rsidRPr="00DB6C99">
              <w:rPr>
                <w:rFonts w:ascii="Garamond" w:hAnsi="Garamond"/>
                <w:sz w:val="20"/>
                <w:szCs w:val="20"/>
              </w:rPr>
              <w:t>0.242</w:t>
            </w:r>
          </w:p>
        </w:tc>
        <w:tc>
          <w:tcPr>
            <w:tcW w:w="1662" w:type="dxa"/>
            <w:vAlign w:val="center"/>
          </w:tcPr>
          <w:p w14:paraId="193188E2" w14:textId="77777777" w:rsidR="007C344D" w:rsidRPr="00DB6C99" w:rsidRDefault="007C344D" w:rsidP="007C344D">
            <w:pPr>
              <w:widowControl w:val="0"/>
              <w:tabs>
                <w:tab w:val="decimal" w:pos="563"/>
              </w:tabs>
              <w:autoSpaceDE w:val="0"/>
              <w:autoSpaceDN w:val="0"/>
              <w:adjustRightInd w:val="0"/>
              <w:jc w:val="center"/>
              <w:rPr>
                <w:rFonts w:ascii="Garamond" w:hAnsi="Garamond"/>
                <w:b/>
                <w:sz w:val="20"/>
                <w:szCs w:val="20"/>
              </w:rPr>
            </w:pPr>
            <w:r w:rsidRPr="00DB6C99">
              <w:rPr>
                <w:rFonts w:ascii="Garamond" w:hAnsi="Garamond"/>
                <w:sz w:val="20"/>
                <w:szCs w:val="20"/>
              </w:rPr>
              <w:t>0.129</w:t>
            </w:r>
          </w:p>
        </w:tc>
        <w:tc>
          <w:tcPr>
            <w:tcW w:w="1908" w:type="dxa"/>
            <w:vAlign w:val="center"/>
          </w:tcPr>
          <w:p w14:paraId="1C5D105C" w14:textId="77777777" w:rsidR="007C344D" w:rsidRPr="00DB6C99" w:rsidRDefault="007C344D" w:rsidP="007C344D">
            <w:pPr>
              <w:widowControl w:val="0"/>
              <w:tabs>
                <w:tab w:val="decimal" w:pos="413"/>
              </w:tabs>
              <w:autoSpaceDE w:val="0"/>
              <w:autoSpaceDN w:val="0"/>
              <w:adjustRightInd w:val="0"/>
              <w:jc w:val="center"/>
              <w:rPr>
                <w:rFonts w:ascii="Garamond" w:hAnsi="Garamond"/>
                <w:b/>
                <w:sz w:val="20"/>
                <w:szCs w:val="20"/>
              </w:rPr>
            </w:pPr>
            <w:r w:rsidRPr="00DB6C99">
              <w:rPr>
                <w:rFonts w:ascii="Garamond" w:hAnsi="Garamond"/>
                <w:sz w:val="20"/>
                <w:szCs w:val="20"/>
              </w:rPr>
              <w:t>-</w:t>
            </w:r>
          </w:p>
        </w:tc>
        <w:tc>
          <w:tcPr>
            <w:tcW w:w="1599" w:type="dxa"/>
            <w:vAlign w:val="center"/>
          </w:tcPr>
          <w:p w14:paraId="39494D20" w14:textId="77777777" w:rsidR="007C344D" w:rsidRPr="00DB6C99" w:rsidRDefault="007C344D" w:rsidP="007C344D">
            <w:pPr>
              <w:widowControl w:val="0"/>
              <w:tabs>
                <w:tab w:val="decimal" w:pos="412"/>
              </w:tabs>
              <w:autoSpaceDE w:val="0"/>
              <w:autoSpaceDN w:val="0"/>
              <w:adjustRightInd w:val="0"/>
              <w:jc w:val="center"/>
              <w:rPr>
                <w:rFonts w:ascii="Garamond" w:hAnsi="Garamond"/>
                <w:b/>
                <w:sz w:val="20"/>
                <w:szCs w:val="20"/>
              </w:rPr>
            </w:pPr>
            <w:r w:rsidRPr="00DB6C99">
              <w:rPr>
                <w:rFonts w:ascii="Garamond" w:hAnsi="Garamond"/>
                <w:sz w:val="20"/>
                <w:szCs w:val="20"/>
              </w:rPr>
              <w:t>-</w:t>
            </w:r>
          </w:p>
        </w:tc>
        <w:tc>
          <w:tcPr>
            <w:tcW w:w="1420" w:type="dxa"/>
            <w:vAlign w:val="center"/>
          </w:tcPr>
          <w:p w14:paraId="4C2084D7" w14:textId="77777777" w:rsidR="007C344D" w:rsidRPr="00DB6C99" w:rsidRDefault="007C344D" w:rsidP="007C344D">
            <w:pPr>
              <w:widowControl w:val="0"/>
              <w:autoSpaceDE w:val="0"/>
              <w:autoSpaceDN w:val="0"/>
              <w:adjustRightInd w:val="0"/>
              <w:jc w:val="center"/>
              <w:rPr>
                <w:rFonts w:ascii="Garamond" w:hAnsi="Garamond"/>
                <w:sz w:val="20"/>
                <w:szCs w:val="20"/>
              </w:rPr>
            </w:pPr>
            <w:r w:rsidRPr="00DB6C99">
              <w:rPr>
                <w:rFonts w:ascii="Garamond" w:hAnsi="Garamond"/>
                <w:sz w:val="20"/>
                <w:szCs w:val="20"/>
              </w:rPr>
              <w:t>-</w:t>
            </w:r>
          </w:p>
        </w:tc>
      </w:tr>
      <w:tr w:rsidR="00DB6C99" w:rsidRPr="00DB6C99" w14:paraId="55CB6504" w14:textId="77777777" w:rsidTr="007C344D">
        <w:trPr>
          <w:trHeight w:val="298"/>
          <w:jc w:val="center"/>
        </w:trPr>
        <w:tc>
          <w:tcPr>
            <w:tcW w:w="2467" w:type="dxa"/>
            <w:vAlign w:val="center"/>
          </w:tcPr>
          <w:p w14:paraId="6C265CB3" w14:textId="77777777" w:rsidR="007C344D" w:rsidRPr="00DB6C99" w:rsidRDefault="007C344D" w:rsidP="007C344D">
            <w:pPr>
              <w:widowControl w:val="0"/>
              <w:autoSpaceDE w:val="0"/>
              <w:autoSpaceDN w:val="0"/>
              <w:adjustRightInd w:val="0"/>
              <w:rPr>
                <w:rFonts w:ascii="Garamond" w:hAnsi="Garamond"/>
                <w:i/>
                <w:iCs/>
                <w:sz w:val="20"/>
                <w:szCs w:val="20"/>
                <w:lang w:val="en-GB"/>
              </w:rPr>
            </w:pPr>
            <w:r w:rsidRPr="00DB6C99">
              <w:rPr>
                <w:rFonts w:ascii="Garamond" w:hAnsi="Garamond"/>
                <w:i/>
                <w:iCs/>
                <w:sz w:val="20"/>
                <w:szCs w:val="20"/>
                <w:lang w:val="en-GB"/>
              </w:rPr>
              <w:t>SHANNON</w:t>
            </w:r>
          </w:p>
        </w:tc>
        <w:tc>
          <w:tcPr>
            <w:tcW w:w="1072" w:type="dxa"/>
            <w:vAlign w:val="center"/>
          </w:tcPr>
          <w:p w14:paraId="16BF2695" w14:textId="77777777" w:rsidR="007C344D" w:rsidRPr="00DB6C99" w:rsidRDefault="007C344D" w:rsidP="007C344D">
            <w:pPr>
              <w:widowControl w:val="0"/>
              <w:tabs>
                <w:tab w:val="decimal" w:pos="312"/>
              </w:tabs>
              <w:autoSpaceDE w:val="0"/>
              <w:autoSpaceDN w:val="0"/>
              <w:adjustRightInd w:val="0"/>
              <w:jc w:val="center"/>
              <w:rPr>
                <w:rFonts w:ascii="Garamond" w:hAnsi="Garamond"/>
                <w:sz w:val="20"/>
                <w:szCs w:val="20"/>
              </w:rPr>
            </w:pPr>
            <w:r w:rsidRPr="00DB6C99">
              <w:rPr>
                <w:rFonts w:ascii="Garamond" w:hAnsi="Garamond"/>
                <w:sz w:val="20"/>
                <w:szCs w:val="20"/>
              </w:rPr>
              <w:t>0.199</w:t>
            </w:r>
          </w:p>
        </w:tc>
        <w:tc>
          <w:tcPr>
            <w:tcW w:w="1662" w:type="dxa"/>
            <w:vAlign w:val="center"/>
          </w:tcPr>
          <w:p w14:paraId="3E37D6CE" w14:textId="77777777" w:rsidR="007C344D" w:rsidRPr="00DB6C99" w:rsidRDefault="007C344D" w:rsidP="007C344D">
            <w:pPr>
              <w:widowControl w:val="0"/>
              <w:tabs>
                <w:tab w:val="decimal" w:pos="563"/>
              </w:tabs>
              <w:autoSpaceDE w:val="0"/>
              <w:autoSpaceDN w:val="0"/>
              <w:adjustRightInd w:val="0"/>
              <w:jc w:val="center"/>
              <w:rPr>
                <w:rFonts w:ascii="Garamond" w:hAnsi="Garamond"/>
                <w:sz w:val="20"/>
                <w:szCs w:val="20"/>
              </w:rPr>
            </w:pPr>
            <w:r w:rsidRPr="00DB6C99">
              <w:rPr>
                <w:rFonts w:ascii="Garamond" w:hAnsi="Garamond"/>
                <w:sz w:val="20"/>
                <w:szCs w:val="20"/>
              </w:rPr>
              <w:t>0.097</w:t>
            </w:r>
          </w:p>
        </w:tc>
        <w:tc>
          <w:tcPr>
            <w:tcW w:w="1908" w:type="dxa"/>
            <w:vAlign w:val="center"/>
          </w:tcPr>
          <w:p w14:paraId="7F386AE8" w14:textId="77777777" w:rsidR="007C344D" w:rsidRPr="00DB6C99" w:rsidRDefault="007C344D" w:rsidP="007C344D">
            <w:pPr>
              <w:widowControl w:val="0"/>
              <w:tabs>
                <w:tab w:val="decimal" w:pos="413"/>
              </w:tabs>
              <w:autoSpaceDE w:val="0"/>
              <w:autoSpaceDN w:val="0"/>
              <w:adjustRightInd w:val="0"/>
              <w:jc w:val="center"/>
              <w:rPr>
                <w:rFonts w:ascii="Garamond" w:hAnsi="Garamond"/>
                <w:sz w:val="20"/>
                <w:szCs w:val="20"/>
              </w:rPr>
            </w:pPr>
            <w:r w:rsidRPr="00DB6C99">
              <w:rPr>
                <w:rFonts w:ascii="Garamond" w:hAnsi="Garamond"/>
                <w:sz w:val="20"/>
                <w:szCs w:val="20"/>
              </w:rPr>
              <w:t>-</w:t>
            </w:r>
          </w:p>
        </w:tc>
        <w:tc>
          <w:tcPr>
            <w:tcW w:w="1599" w:type="dxa"/>
            <w:vAlign w:val="center"/>
          </w:tcPr>
          <w:p w14:paraId="326A50D3" w14:textId="77777777" w:rsidR="007C344D" w:rsidRPr="00DB6C99" w:rsidRDefault="007C344D" w:rsidP="007C344D">
            <w:pPr>
              <w:widowControl w:val="0"/>
              <w:tabs>
                <w:tab w:val="decimal" w:pos="412"/>
              </w:tabs>
              <w:autoSpaceDE w:val="0"/>
              <w:autoSpaceDN w:val="0"/>
              <w:adjustRightInd w:val="0"/>
              <w:jc w:val="center"/>
              <w:rPr>
                <w:rFonts w:ascii="Garamond" w:hAnsi="Garamond"/>
                <w:sz w:val="20"/>
                <w:szCs w:val="20"/>
              </w:rPr>
            </w:pPr>
            <w:r w:rsidRPr="00DB6C99">
              <w:rPr>
                <w:rFonts w:ascii="Garamond" w:hAnsi="Garamond"/>
                <w:sz w:val="20"/>
                <w:szCs w:val="20"/>
              </w:rPr>
              <w:t>-</w:t>
            </w:r>
          </w:p>
        </w:tc>
        <w:tc>
          <w:tcPr>
            <w:tcW w:w="1420" w:type="dxa"/>
            <w:vAlign w:val="center"/>
          </w:tcPr>
          <w:p w14:paraId="33AB82F3" w14:textId="77777777" w:rsidR="007C344D" w:rsidRPr="00DB6C99" w:rsidRDefault="007C344D" w:rsidP="007C344D">
            <w:pPr>
              <w:widowControl w:val="0"/>
              <w:autoSpaceDE w:val="0"/>
              <w:autoSpaceDN w:val="0"/>
              <w:adjustRightInd w:val="0"/>
              <w:jc w:val="center"/>
              <w:rPr>
                <w:rFonts w:ascii="Garamond" w:hAnsi="Garamond"/>
                <w:sz w:val="20"/>
                <w:szCs w:val="20"/>
              </w:rPr>
            </w:pPr>
            <w:r w:rsidRPr="00DB6C99">
              <w:rPr>
                <w:rFonts w:ascii="Garamond" w:hAnsi="Garamond"/>
                <w:sz w:val="20"/>
                <w:szCs w:val="20"/>
              </w:rPr>
              <w:t>-</w:t>
            </w:r>
          </w:p>
        </w:tc>
      </w:tr>
      <w:tr w:rsidR="00DB6C99" w:rsidRPr="00DB6C99" w14:paraId="604B38DD" w14:textId="77777777" w:rsidTr="007C344D">
        <w:trPr>
          <w:trHeight w:val="298"/>
          <w:jc w:val="center"/>
        </w:trPr>
        <w:tc>
          <w:tcPr>
            <w:tcW w:w="2467" w:type="dxa"/>
            <w:vAlign w:val="center"/>
          </w:tcPr>
          <w:p w14:paraId="76EF21E4" w14:textId="77777777" w:rsidR="007C344D" w:rsidRPr="00DB6C99" w:rsidRDefault="007C344D" w:rsidP="007C344D">
            <w:pPr>
              <w:widowControl w:val="0"/>
              <w:autoSpaceDE w:val="0"/>
              <w:autoSpaceDN w:val="0"/>
              <w:adjustRightInd w:val="0"/>
              <w:rPr>
                <w:rFonts w:ascii="Garamond" w:hAnsi="Garamond"/>
                <w:i/>
                <w:iCs/>
                <w:sz w:val="20"/>
                <w:szCs w:val="20"/>
              </w:rPr>
            </w:pPr>
            <w:r w:rsidRPr="00DB6C99">
              <w:rPr>
                <w:rFonts w:ascii="Garamond" w:hAnsi="Garamond"/>
                <w:i/>
                <w:iCs/>
                <w:sz w:val="20"/>
                <w:szCs w:val="20"/>
                <w:lang w:val="en-GB"/>
              </w:rPr>
              <w:t>FNEDPRO</w:t>
            </w:r>
          </w:p>
        </w:tc>
        <w:tc>
          <w:tcPr>
            <w:tcW w:w="1072" w:type="dxa"/>
            <w:vAlign w:val="center"/>
          </w:tcPr>
          <w:p w14:paraId="4EF4270E" w14:textId="77777777" w:rsidR="007C344D" w:rsidRPr="00DB6C99" w:rsidRDefault="007C344D" w:rsidP="007C344D">
            <w:pPr>
              <w:widowControl w:val="0"/>
              <w:tabs>
                <w:tab w:val="decimal" w:pos="312"/>
              </w:tabs>
              <w:autoSpaceDE w:val="0"/>
              <w:autoSpaceDN w:val="0"/>
              <w:adjustRightInd w:val="0"/>
              <w:jc w:val="center"/>
              <w:rPr>
                <w:rFonts w:ascii="Garamond" w:hAnsi="Garamond"/>
                <w:b/>
                <w:sz w:val="20"/>
                <w:szCs w:val="20"/>
              </w:rPr>
            </w:pPr>
            <w:r w:rsidRPr="00DB6C99">
              <w:rPr>
                <w:rFonts w:ascii="Garamond" w:hAnsi="Garamond"/>
                <w:sz w:val="20"/>
                <w:szCs w:val="20"/>
              </w:rPr>
              <w:t>0.149</w:t>
            </w:r>
          </w:p>
        </w:tc>
        <w:tc>
          <w:tcPr>
            <w:tcW w:w="1662" w:type="dxa"/>
            <w:vAlign w:val="center"/>
          </w:tcPr>
          <w:p w14:paraId="078B2E6A" w14:textId="77777777" w:rsidR="007C344D" w:rsidRPr="00DB6C99" w:rsidRDefault="007C344D" w:rsidP="007C344D">
            <w:pPr>
              <w:widowControl w:val="0"/>
              <w:tabs>
                <w:tab w:val="decimal" w:pos="563"/>
              </w:tabs>
              <w:autoSpaceDE w:val="0"/>
              <w:autoSpaceDN w:val="0"/>
              <w:adjustRightInd w:val="0"/>
              <w:jc w:val="center"/>
              <w:rPr>
                <w:rFonts w:ascii="Garamond" w:hAnsi="Garamond"/>
                <w:sz w:val="20"/>
                <w:szCs w:val="20"/>
              </w:rPr>
            </w:pPr>
            <w:r w:rsidRPr="00DB6C99">
              <w:rPr>
                <w:rFonts w:ascii="Garamond" w:hAnsi="Garamond"/>
                <w:sz w:val="20"/>
                <w:szCs w:val="20"/>
              </w:rPr>
              <w:t>0.096</w:t>
            </w:r>
          </w:p>
        </w:tc>
        <w:tc>
          <w:tcPr>
            <w:tcW w:w="1908" w:type="dxa"/>
            <w:vAlign w:val="center"/>
          </w:tcPr>
          <w:p w14:paraId="01804252" w14:textId="77777777" w:rsidR="007C344D" w:rsidRPr="00DB6C99" w:rsidRDefault="007C344D" w:rsidP="007C344D">
            <w:pPr>
              <w:widowControl w:val="0"/>
              <w:tabs>
                <w:tab w:val="decimal" w:pos="413"/>
              </w:tabs>
              <w:autoSpaceDE w:val="0"/>
              <w:autoSpaceDN w:val="0"/>
              <w:adjustRightInd w:val="0"/>
              <w:jc w:val="center"/>
              <w:rPr>
                <w:rFonts w:ascii="Garamond" w:hAnsi="Garamond"/>
                <w:sz w:val="20"/>
                <w:szCs w:val="20"/>
              </w:rPr>
            </w:pPr>
            <w:r w:rsidRPr="00DB6C99">
              <w:rPr>
                <w:rFonts w:ascii="Garamond" w:hAnsi="Garamond"/>
                <w:sz w:val="20"/>
                <w:szCs w:val="20"/>
              </w:rPr>
              <w:t>-</w:t>
            </w:r>
          </w:p>
        </w:tc>
        <w:tc>
          <w:tcPr>
            <w:tcW w:w="1599" w:type="dxa"/>
            <w:vAlign w:val="center"/>
          </w:tcPr>
          <w:p w14:paraId="307D04E7" w14:textId="77777777" w:rsidR="007C344D" w:rsidRPr="00DB6C99" w:rsidRDefault="007C344D" w:rsidP="007C344D">
            <w:pPr>
              <w:widowControl w:val="0"/>
              <w:tabs>
                <w:tab w:val="decimal" w:pos="412"/>
              </w:tabs>
              <w:autoSpaceDE w:val="0"/>
              <w:autoSpaceDN w:val="0"/>
              <w:adjustRightInd w:val="0"/>
              <w:jc w:val="center"/>
              <w:rPr>
                <w:rFonts w:ascii="Garamond" w:hAnsi="Garamond"/>
                <w:sz w:val="20"/>
                <w:szCs w:val="20"/>
              </w:rPr>
            </w:pPr>
            <w:r w:rsidRPr="00DB6C99">
              <w:rPr>
                <w:rFonts w:ascii="Garamond" w:hAnsi="Garamond"/>
                <w:sz w:val="20"/>
                <w:szCs w:val="20"/>
              </w:rPr>
              <w:t>-</w:t>
            </w:r>
          </w:p>
        </w:tc>
        <w:tc>
          <w:tcPr>
            <w:tcW w:w="1420" w:type="dxa"/>
            <w:vAlign w:val="center"/>
          </w:tcPr>
          <w:p w14:paraId="4731E5D7" w14:textId="77777777" w:rsidR="007C344D" w:rsidRPr="00DB6C99" w:rsidRDefault="007C344D" w:rsidP="007C344D">
            <w:pPr>
              <w:widowControl w:val="0"/>
              <w:autoSpaceDE w:val="0"/>
              <w:autoSpaceDN w:val="0"/>
              <w:adjustRightInd w:val="0"/>
              <w:jc w:val="center"/>
              <w:rPr>
                <w:rFonts w:ascii="Garamond" w:hAnsi="Garamond"/>
                <w:sz w:val="20"/>
                <w:szCs w:val="20"/>
              </w:rPr>
            </w:pPr>
            <w:r w:rsidRPr="00DB6C99">
              <w:rPr>
                <w:rFonts w:ascii="Garamond" w:hAnsi="Garamond"/>
                <w:sz w:val="20"/>
                <w:szCs w:val="20"/>
              </w:rPr>
              <w:t>-</w:t>
            </w:r>
          </w:p>
        </w:tc>
      </w:tr>
      <w:tr w:rsidR="00DB6C99" w:rsidRPr="00DB6C99" w14:paraId="42935F2D" w14:textId="77777777" w:rsidTr="007C344D">
        <w:trPr>
          <w:trHeight w:val="276"/>
          <w:jc w:val="center"/>
        </w:trPr>
        <w:tc>
          <w:tcPr>
            <w:tcW w:w="2467" w:type="dxa"/>
            <w:vAlign w:val="center"/>
          </w:tcPr>
          <w:p w14:paraId="40D17105" w14:textId="77777777" w:rsidR="007C344D" w:rsidRPr="00DB6C99" w:rsidRDefault="007C344D" w:rsidP="007C344D">
            <w:pPr>
              <w:widowControl w:val="0"/>
              <w:autoSpaceDE w:val="0"/>
              <w:autoSpaceDN w:val="0"/>
              <w:adjustRightInd w:val="0"/>
              <w:rPr>
                <w:rFonts w:ascii="Garamond" w:hAnsi="Garamond"/>
                <w:i/>
                <w:iCs/>
                <w:sz w:val="20"/>
                <w:szCs w:val="20"/>
              </w:rPr>
            </w:pPr>
            <w:r w:rsidRPr="00DB6C99">
              <w:rPr>
                <w:rFonts w:ascii="Garamond" w:hAnsi="Garamond"/>
                <w:i/>
                <w:iCs/>
                <w:sz w:val="20"/>
                <w:szCs w:val="20"/>
                <w:lang w:val="en-GB"/>
              </w:rPr>
              <w:t>FEDPRO</w:t>
            </w:r>
          </w:p>
        </w:tc>
        <w:tc>
          <w:tcPr>
            <w:tcW w:w="1072" w:type="dxa"/>
            <w:vAlign w:val="center"/>
          </w:tcPr>
          <w:p w14:paraId="3DE99486" w14:textId="77777777" w:rsidR="007C344D" w:rsidRPr="00DB6C99" w:rsidRDefault="007C344D" w:rsidP="007C344D">
            <w:pPr>
              <w:widowControl w:val="0"/>
              <w:tabs>
                <w:tab w:val="decimal" w:pos="312"/>
              </w:tabs>
              <w:autoSpaceDE w:val="0"/>
              <w:autoSpaceDN w:val="0"/>
              <w:adjustRightInd w:val="0"/>
              <w:jc w:val="center"/>
              <w:rPr>
                <w:rFonts w:ascii="Garamond" w:hAnsi="Garamond"/>
                <w:b/>
                <w:sz w:val="20"/>
                <w:szCs w:val="20"/>
              </w:rPr>
            </w:pPr>
            <w:r w:rsidRPr="00DB6C99">
              <w:rPr>
                <w:rFonts w:ascii="Garamond" w:hAnsi="Garamond"/>
                <w:sz w:val="20"/>
                <w:szCs w:val="20"/>
              </w:rPr>
              <w:t>0.006</w:t>
            </w:r>
          </w:p>
        </w:tc>
        <w:tc>
          <w:tcPr>
            <w:tcW w:w="1662" w:type="dxa"/>
            <w:vAlign w:val="center"/>
          </w:tcPr>
          <w:p w14:paraId="44F3AC00" w14:textId="77777777" w:rsidR="007C344D" w:rsidRPr="00DB6C99" w:rsidRDefault="007C344D" w:rsidP="007C344D">
            <w:pPr>
              <w:widowControl w:val="0"/>
              <w:tabs>
                <w:tab w:val="decimal" w:pos="563"/>
              </w:tabs>
              <w:autoSpaceDE w:val="0"/>
              <w:autoSpaceDN w:val="0"/>
              <w:adjustRightInd w:val="0"/>
              <w:jc w:val="center"/>
              <w:rPr>
                <w:rFonts w:ascii="Garamond" w:hAnsi="Garamond"/>
                <w:b/>
                <w:sz w:val="20"/>
                <w:szCs w:val="20"/>
              </w:rPr>
            </w:pPr>
            <w:r w:rsidRPr="00DB6C99">
              <w:rPr>
                <w:rFonts w:ascii="Garamond" w:hAnsi="Garamond"/>
                <w:sz w:val="20"/>
                <w:szCs w:val="20"/>
              </w:rPr>
              <w:t>0.023</w:t>
            </w:r>
          </w:p>
        </w:tc>
        <w:tc>
          <w:tcPr>
            <w:tcW w:w="1908" w:type="dxa"/>
            <w:vAlign w:val="center"/>
          </w:tcPr>
          <w:p w14:paraId="531A553D" w14:textId="77777777" w:rsidR="007C344D" w:rsidRPr="00DB6C99" w:rsidRDefault="007C344D" w:rsidP="007C344D">
            <w:pPr>
              <w:widowControl w:val="0"/>
              <w:tabs>
                <w:tab w:val="decimal" w:pos="413"/>
              </w:tabs>
              <w:autoSpaceDE w:val="0"/>
              <w:autoSpaceDN w:val="0"/>
              <w:adjustRightInd w:val="0"/>
              <w:jc w:val="center"/>
              <w:rPr>
                <w:rFonts w:ascii="Garamond" w:hAnsi="Garamond"/>
                <w:b/>
                <w:sz w:val="20"/>
                <w:szCs w:val="20"/>
              </w:rPr>
            </w:pPr>
            <w:r w:rsidRPr="00DB6C99">
              <w:rPr>
                <w:rFonts w:ascii="Garamond" w:hAnsi="Garamond"/>
                <w:sz w:val="20"/>
                <w:szCs w:val="20"/>
              </w:rPr>
              <w:t>-</w:t>
            </w:r>
          </w:p>
        </w:tc>
        <w:tc>
          <w:tcPr>
            <w:tcW w:w="1599" w:type="dxa"/>
            <w:vAlign w:val="center"/>
          </w:tcPr>
          <w:p w14:paraId="3444EBD0" w14:textId="77777777" w:rsidR="007C344D" w:rsidRPr="00DB6C99" w:rsidRDefault="007C344D" w:rsidP="007C344D">
            <w:pPr>
              <w:widowControl w:val="0"/>
              <w:tabs>
                <w:tab w:val="decimal" w:pos="412"/>
              </w:tabs>
              <w:autoSpaceDE w:val="0"/>
              <w:autoSpaceDN w:val="0"/>
              <w:adjustRightInd w:val="0"/>
              <w:jc w:val="center"/>
              <w:rPr>
                <w:rFonts w:ascii="Garamond" w:hAnsi="Garamond"/>
                <w:b/>
                <w:sz w:val="20"/>
                <w:szCs w:val="20"/>
              </w:rPr>
            </w:pPr>
            <w:r w:rsidRPr="00DB6C99">
              <w:rPr>
                <w:rFonts w:ascii="Garamond" w:hAnsi="Garamond"/>
                <w:sz w:val="20"/>
                <w:szCs w:val="20"/>
              </w:rPr>
              <w:t>-</w:t>
            </w:r>
          </w:p>
        </w:tc>
        <w:tc>
          <w:tcPr>
            <w:tcW w:w="1420" w:type="dxa"/>
            <w:vAlign w:val="center"/>
          </w:tcPr>
          <w:p w14:paraId="53175E8E" w14:textId="77777777" w:rsidR="007C344D" w:rsidRPr="00DB6C99" w:rsidRDefault="007C344D" w:rsidP="007C344D">
            <w:pPr>
              <w:widowControl w:val="0"/>
              <w:autoSpaceDE w:val="0"/>
              <w:autoSpaceDN w:val="0"/>
              <w:adjustRightInd w:val="0"/>
              <w:jc w:val="center"/>
              <w:rPr>
                <w:rFonts w:ascii="Garamond" w:hAnsi="Garamond"/>
                <w:sz w:val="20"/>
                <w:szCs w:val="20"/>
              </w:rPr>
            </w:pPr>
            <w:r w:rsidRPr="00DB6C99">
              <w:rPr>
                <w:rFonts w:ascii="Garamond" w:hAnsi="Garamond"/>
                <w:sz w:val="20"/>
                <w:szCs w:val="20"/>
              </w:rPr>
              <w:t>-</w:t>
            </w:r>
          </w:p>
        </w:tc>
      </w:tr>
      <w:tr w:rsidR="00DB6C99" w:rsidRPr="00DB6C99" w14:paraId="60F8CCF8" w14:textId="77777777" w:rsidTr="007C344D">
        <w:trPr>
          <w:trHeight w:val="298"/>
          <w:jc w:val="center"/>
        </w:trPr>
        <w:tc>
          <w:tcPr>
            <w:tcW w:w="2467" w:type="dxa"/>
            <w:vAlign w:val="center"/>
          </w:tcPr>
          <w:p w14:paraId="2AB72946" w14:textId="77777777" w:rsidR="007C344D" w:rsidRPr="00DB6C99" w:rsidRDefault="007C344D" w:rsidP="007C344D">
            <w:pPr>
              <w:widowControl w:val="0"/>
              <w:autoSpaceDE w:val="0"/>
              <w:autoSpaceDN w:val="0"/>
              <w:adjustRightInd w:val="0"/>
              <w:rPr>
                <w:rFonts w:ascii="Garamond" w:hAnsi="Garamond"/>
                <w:i/>
                <w:iCs/>
                <w:sz w:val="20"/>
                <w:szCs w:val="20"/>
              </w:rPr>
            </w:pPr>
            <w:r w:rsidRPr="00DB6C99">
              <w:rPr>
                <w:rFonts w:ascii="Garamond" w:hAnsi="Garamond"/>
                <w:i/>
                <w:iCs/>
                <w:sz w:val="20"/>
                <w:szCs w:val="20"/>
                <w:lang w:val="en-GB"/>
              </w:rPr>
              <w:t>SKEWED</w:t>
            </w:r>
          </w:p>
        </w:tc>
        <w:tc>
          <w:tcPr>
            <w:tcW w:w="1072" w:type="dxa"/>
            <w:vAlign w:val="center"/>
          </w:tcPr>
          <w:p w14:paraId="4FB739CC" w14:textId="77777777" w:rsidR="007C344D" w:rsidRPr="00DB6C99" w:rsidRDefault="007C344D" w:rsidP="007C344D">
            <w:pPr>
              <w:widowControl w:val="0"/>
              <w:tabs>
                <w:tab w:val="decimal" w:pos="312"/>
              </w:tabs>
              <w:autoSpaceDE w:val="0"/>
              <w:autoSpaceDN w:val="0"/>
              <w:adjustRightInd w:val="0"/>
              <w:jc w:val="center"/>
              <w:rPr>
                <w:rFonts w:ascii="Garamond" w:hAnsi="Garamond"/>
                <w:b/>
                <w:sz w:val="20"/>
                <w:szCs w:val="20"/>
              </w:rPr>
            </w:pPr>
            <w:r w:rsidRPr="00DB6C99">
              <w:rPr>
                <w:rFonts w:ascii="Garamond" w:hAnsi="Garamond"/>
                <w:sz w:val="20"/>
                <w:szCs w:val="20"/>
              </w:rPr>
              <w:t>0.533</w:t>
            </w:r>
          </w:p>
        </w:tc>
        <w:tc>
          <w:tcPr>
            <w:tcW w:w="1662" w:type="dxa"/>
            <w:vAlign w:val="center"/>
          </w:tcPr>
          <w:p w14:paraId="43311902" w14:textId="77777777" w:rsidR="007C344D" w:rsidRPr="00DB6C99" w:rsidRDefault="007C344D" w:rsidP="007C344D">
            <w:pPr>
              <w:widowControl w:val="0"/>
              <w:tabs>
                <w:tab w:val="decimal" w:pos="563"/>
              </w:tabs>
              <w:autoSpaceDE w:val="0"/>
              <w:autoSpaceDN w:val="0"/>
              <w:adjustRightInd w:val="0"/>
              <w:jc w:val="center"/>
              <w:rPr>
                <w:rFonts w:ascii="Garamond" w:hAnsi="Garamond"/>
                <w:b/>
                <w:sz w:val="20"/>
                <w:szCs w:val="20"/>
              </w:rPr>
            </w:pPr>
            <w:r w:rsidRPr="00DB6C99">
              <w:rPr>
                <w:rFonts w:ascii="Garamond" w:hAnsi="Garamond"/>
                <w:sz w:val="20"/>
                <w:szCs w:val="20"/>
              </w:rPr>
              <w:t>0.499</w:t>
            </w:r>
          </w:p>
        </w:tc>
        <w:tc>
          <w:tcPr>
            <w:tcW w:w="1908" w:type="dxa"/>
            <w:vAlign w:val="center"/>
          </w:tcPr>
          <w:p w14:paraId="4D9929A8" w14:textId="77777777" w:rsidR="007C344D" w:rsidRPr="00DB6C99" w:rsidRDefault="007C344D" w:rsidP="007C344D">
            <w:pPr>
              <w:widowControl w:val="0"/>
              <w:tabs>
                <w:tab w:val="decimal" w:pos="413"/>
              </w:tabs>
              <w:autoSpaceDE w:val="0"/>
              <w:autoSpaceDN w:val="0"/>
              <w:adjustRightInd w:val="0"/>
              <w:jc w:val="center"/>
              <w:rPr>
                <w:rFonts w:ascii="Garamond" w:hAnsi="Garamond"/>
                <w:b/>
                <w:sz w:val="20"/>
                <w:szCs w:val="20"/>
              </w:rPr>
            </w:pPr>
            <w:r w:rsidRPr="00DB6C99">
              <w:rPr>
                <w:rFonts w:ascii="Garamond" w:hAnsi="Garamond"/>
                <w:sz w:val="20"/>
                <w:szCs w:val="20"/>
              </w:rPr>
              <w:t>-</w:t>
            </w:r>
          </w:p>
        </w:tc>
        <w:tc>
          <w:tcPr>
            <w:tcW w:w="1599" w:type="dxa"/>
            <w:vAlign w:val="center"/>
          </w:tcPr>
          <w:p w14:paraId="07DFFA43" w14:textId="77777777" w:rsidR="007C344D" w:rsidRPr="00DB6C99" w:rsidRDefault="007C344D" w:rsidP="007C344D">
            <w:pPr>
              <w:widowControl w:val="0"/>
              <w:tabs>
                <w:tab w:val="decimal" w:pos="412"/>
              </w:tabs>
              <w:autoSpaceDE w:val="0"/>
              <w:autoSpaceDN w:val="0"/>
              <w:adjustRightInd w:val="0"/>
              <w:jc w:val="center"/>
              <w:rPr>
                <w:rFonts w:ascii="Garamond" w:hAnsi="Garamond"/>
                <w:b/>
                <w:sz w:val="20"/>
                <w:szCs w:val="20"/>
              </w:rPr>
            </w:pPr>
            <w:r w:rsidRPr="00DB6C99">
              <w:rPr>
                <w:rFonts w:ascii="Garamond" w:hAnsi="Garamond"/>
                <w:sz w:val="20"/>
                <w:szCs w:val="20"/>
              </w:rPr>
              <w:t>-</w:t>
            </w:r>
          </w:p>
        </w:tc>
        <w:tc>
          <w:tcPr>
            <w:tcW w:w="1420" w:type="dxa"/>
            <w:vAlign w:val="center"/>
          </w:tcPr>
          <w:p w14:paraId="369082DB" w14:textId="77777777" w:rsidR="007C344D" w:rsidRPr="00DB6C99" w:rsidRDefault="007C344D" w:rsidP="007C344D">
            <w:pPr>
              <w:widowControl w:val="0"/>
              <w:autoSpaceDE w:val="0"/>
              <w:autoSpaceDN w:val="0"/>
              <w:adjustRightInd w:val="0"/>
              <w:jc w:val="center"/>
              <w:rPr>
                <w:rFonts w:ascii="Garamond" w:hAnsi="Garamond"/>
                <w:sz w:val="20"/>
                <w:szCs w:val="20"/>
              </w:rPr>
            </w:pPr>
            <w:r w:rsidRPr="00DB6C99">
              <w:rPr>
                <w:rFonts w:ascii="Garamond" w:hAnsi="Garamond"/>
                <w:sz w:val="20"/>
                <w:szCs w:val="20"/>
              </w:rPr>
              <w:t>-</w:t>
            </w:r>
          </w:p>
        </w:tc>
      </w:tr>
      <w:tr w:rsidR="00DB6C99" w:rsidRPr="00DB6C99" w14:paraId="16CDA3FE" w14:textId="77777777" w:rsidTr="007C344D">
        <w:trPr>
          <w:trHeight w:val="298"/>
          <w:jc w:val="center"/>
        </w:trPr>
        <w:tc>
          <w:tcPr>
            <w:tcW w:w="2467" w:type="dxa"/>
            <w:vAlign w:val="center"/>
          </w:tcPr>
          <w:p w14:paraId="43DC35E3" w14:textId="77777777" w:rsidR="007C344D" w:rsidRPr="00DB6C99" w:rsidRDefault="007C344D" w:rsidP="007C344D">
            <w:pPr>
              <w:widowControl w:val="0"/>
              <w:autoSpaceDE w:val="0"/>
              <w:autoSpaceDN w:val="0"/>
              <w:adjustRightInd w:val="0"/>
              <w:rPr>
                <w:rFonts w:ascii="Garamond" w:hAnsi="Garamond"/>
                <w:i/>
                <w:iCs/>
                <w:sz w:val="20"/>
                <w:szCs w:val="20"/>
              </w:rPr>
            </w:pPr>
            <w:r w:rsidRPr="00DB6C99">
              <w:rPr>
                <w:rFonts w:ascii="Garamond" w:hAnsi="Garamond"/>
                <w:i/>
                <w:iCs/>
                <w:sz w:val="20"/>
                <w:szCs w:val="20"/>
              </w:rPr>
              <w:t>TILTED</w:t>
            </w:r>
          </w:p>
        </w:tc>
        <w:tc>
          <w:tcPr>
            <w:tcW w:w="1072" w:type="dxa"/>
            <w:vAlign w:val="center"/>
          </w:tcPr>
          <w:p w14:paraId="720C1F9A" w14:textId="77777777" w:rsidR="007C344D" w:rsidRPr="00DB6C99" w:rsidRDefault="007C344D" w:rsidP="007C344D">
            <w:pPr>
              <w:widowControl w:val="0"/>
              <w:tabs>
                <w:tab w:val="decimal" w:pos="312"/>
              </w:tabs>
              <w:autoSpaceDE w:val="0"/>
              <w:autoSpaceDN w:val="0"/>
              <w:adjustRightInd w:val="0"/>
              <w:jc w:val="center"/>
              <w:rPr>
                <w:rFonts w:ascii="Garamond" w:hAnsi="Garamond"/>
                <w:b/>
                <w:sz w:val="20"/>
                <w:szCs w:val="20"/>
              </w:rPr>
            </w:pPr>
            <w:r w:rsidRPr="00DB6C99">
              <w:rPr>
                <w:rFonts w:ascii="Garamond" w:hAnsi="Garamond"/>
                <w:sz w:val="20"/>
                <w:szCs w:val="20"/>
              </w:rPr>
              <w:t>0.241</w:t>
            </w:r>
          </w:p>
        </w:tc>
        <w:tc>
          <w:tcPr>
            <w:tcW w:w="1662" w:type="dxa"/>
            <w:vAlign w:val="center"/>
          </w:tcPr>
          <w:p w14:paraId="5625447D" w14:textId="77777777" w:rsidR="007C344D" w:rsidRPr="00DB6C99" w:rsidRDefault="007C344D" w:rsidP="007C344D">
            <w:pPr>
              <w:widowControl w:val="0"/>
              <w:tabs>
                <w:tab w:val="decimal" w:pos="563"/>
              </w:tabs>
              <w:autoSpaceDE w:val="0"/>
              <w:autoSpaceDN w:val="0"/>
              <w:adjustRightInd w:val="0"/>
              <w:jc w:val="center"/>
              <w:rPr>
                <w:rFonts w:ascii="Garamond" w:hAnsi="Garamond"/>
                <w:b/>
                <w:sz w:val="20"/>
                <w:szCs w:val="20"/>
              </w:rPr>
            </w:pPr>
            <w:r w:rsidRPr="00DB6C99">
              <w:rPr>
                <w:rFonts w:ascii="Garamond" w:hAnsi="Garamond"/>
                <w:sz w:val="20"/>
                <w:szCs w:val="20"/>
              </w:rPr>
              <w:t>0.428</w:t>
            </w:r>
          </w:p>
        </w:tc>
        <w:tc>
          <w:tcPr>
            <w:tcW w:w="1908" w:type="dxa"/>
            <w:vAlign w:val="center"/>
          </w:tcPr>
          <w:p w14:paraId="6EC15ED3" w14:textId="77777777" w:rsidR="007C344D" w:rsidRPr="00DB6C99" w:rsidRDefault="007C344D" w:rsidP="007C344D">
            <w:pPr>
              <w:widowControl w:val="0"/>
              <w:tabs>
                <w:tab w:val="decimal" w:pos="413"/>
              </w:tabs>
              <w:autoSpaceDE w:val="0"/>
              <w:autoSpaceDN w:val="0"/>
              <w:adjustRightInd w:val="0"/>
              <w:jc w:val="center"/>
              <w:rPr>
                <w:rFonts w:ascii="Garamond" w:hAnsi="Garamond"/>
                <w:b/>
                <w:sz w:val="20"/>
                <w:szCs w:val="20"/>
              </w:rPr>
            </w:pPr>
            <w:r w:rsidRPr="00DB6C99">
              <w:rPr>
                <w:rFonts w:ascii="Garamond" w:hAnsi="Garamond"/>
                <w:sz w:val="20"/>
                <w:szCs w:val="20"/>
              </w:rPr>
              <w:t>-</w:t>
            </w:r>
          </w:p>
        </w:tc>
        <w:tc>
          <w:tcPr>
            <w:tcW w:w="1599" w:type="dxa"/>
            <w:vAlign w:val="center"/>
          </w:tcPr>
          <w:p w14:paraId="0B5FC8AE" w14:textId="77777777" w:rsidR="007C344D" w:rsidRPr="00DB6C99" w:rsidRDefault="007C344D" w:rsidP="007C344D">
            <w:pPr>
              <w:widowControl w:val="0"/>
              <w:tabs>
                <w:tab w:val="decimal" w:pos="412"/>
              </w:tabs>
              <w:autoSpaceDE w:val="0"/>
              <w:autoSpaceDN w:val="0"/>
              <w:adjustRightInd w:val="0"/>
              <w:jc w:val="center"/>
              <w:rPr>
                <w:rFonts w:ascii="Garamond" w:hAnsi="Garamond"/>
                <w:b/>
                <w:sz w:val="20"/>
                <w:szCs w:val="20"/>
              </w:rPr>
            </w:pPr>
            <w:r w:rsidRPr="00DB6C99">
              <w:rPr>
                <w:rFonts w:ascii="Garamond" w:hAnsi="Garamond"/>
                <w:sz w:val="20"/>
                <w:szCs w:val="20"/>
              </w:rPr>
              <w:t>-</w:t>
            </w:r>
          </w:p>
        </w:tc>
        <w:tc>
          <w:tcPr>
            <w:tcW w:w="1420" w:type="dxa"/>
            <w:vAlign w:val="center"/>
          </w:tcPr>
          <w:p w14:paraId="74A270C8" w14:textId="77777777" w:rsidR="007C344D" w:rsidRPr="00DB6C99" w:rsidRDefault="007C344D" w:rsidP="007C344D">
            <w:pPr>
              <w:widowControl w:val="0"/>
              <w:autoSpaceDE w:val="0"/>
              <w:autoSpaceDN w:val="0"/>
              <w:adjustRightInd w:val="0"/>
              <w:jc w:val="center"/>
              <w:rPr>
                <w:rFonts w:ascii="Garamond" w:hAnsi="Garamond"/>
                <w:sz w:val="20"/>
                <w:szCs w:val="20"/>
              </w:rPr>
            </w:pPr>
            <w:r w:rsidRPr="00DB6C99">
              <w:rPr>
                <w:rFonts w:ascii="Garamond" w:hAnsi="Garamond"/>
                <w:sz w:val="20"/>
                <w:szCs w:val="20"/>
              </w:rPr>
              <w:t>-</w:t>
            </w:r>
          </w:p>
        </w:tc>
      </w:tr>
      <w:tr w:rsidR="00DB6C99" w:rsidRPr="00DB6C99" w14:paraId="411C63A1" w14:textId="77777777" w:rsidTr="007C344D">
        <w:trPr>
          <w:trHeight w:val="298"/>
          <w:jc w:val="center"/>
        </w:trPr>
        <w:tc>
          <w:tcPr>
            <w:tcW w:w="2467" w:type="dxa"/>
            <w:vAlign w:val="center"/>
          </w:tcPr>
          <w:p w14:paraId="6A18FA26" w14:textId="77777777" w:rsidR="007C344D" w:rsidRPr="00DB6C99" w:rsidRDefault="007C344D" w:rsidP="007C344D">
            <w:pPr>
              <w:widowControl w:val="0"/>
              <w:autoSpaceDE w:val="0"/>
              <w:autoSpaceDN w:val="0"/>
              <w:adjustRightInd w:val="0"/>
              <w:rPr>
                <w:rFonts w:ascii="Garamond" w:hAnsi="Garamond"/>
                <w:i/>
                <w:iCs/>
                <w:sz w:val="20"/>
                <w:szCs w:val="20"/>
              </w:rPr>
            </w:pPr>
            <w:r w:rsidRPr="00DB6C99">
              <w:rPr>
                <w:rFonts w:ascii="Garamond" w:hAnsi="Garamond"/>
                <w:i/>
                <w:iCs/>
                <w:sz w:val="20"/>
                <w:szCs w:val="20"/>
              </w:rPr>
              <w:t>BALANCED</w:t>
            </w:r>
          </w:p>
        </w:tc>
        <w:tc>
          <w:tcPr>
            <w:tcW w:w="1072" w:type="dxa"/>
            <w:vAlign w:val="center"/>
          </w:tcPr>
          <w:p w14:paraId="5B416A75" w14:textId="77777777" w:rsidR="007C344D" w:rsidRPr="00DB6C99" w:rsidRDefault="007C344D" w:rsidP="007C344D">
            <w:pPr>
              <w:widowControl w:val="0"/>
              <w:tabs>
                <w:tab w:val="decimal" w:pos="312"/>
              </w:tabs>
              <w:autoSpaceDE w:val="0"/>
              <w:autoSpaceDN w:val="0"/>
              <w:adjustRightInd w:val="0"/>
              <w:jc w:val="center"/>
              <w:rPr>
                <w:rFonts w:ascii="Garamond" w:hAnsi="Garamond"/>
                <w:b/>
                <w:sz w:val="20"/>
                <w:szCs w:val="20"/>
              </w:rPr>
            </w:pPr>
            <w:r w:rsidRPr="00DB6C99">
              <w:rPr>
                <w:rFonts w:ascii="Garamond" w:hAnsi="Garamond"/>
                <w:sz w:val="20"/>
                <w:szCs w:val="20"/>
              </w:rPr>
              <w:t>0.016</w:t>
            </w:r>
          </w:p>
        </w:tc>
        <w:tc>
          <w:tcPr>
            <w:tcW w:w="1662" w:type="dxa"/>
            <w:vAlign w:val="center"/>
          </w:tcPr>
          <w:p w14:paraId="779DDE7F" w14:textId="77777777" w:rsidR="007C344D" w:rsidRPr="00DB6C99" w:rsidRDefault="007C344D" w:rsidP="007C344D">
            <w:pPr>
              <w:widowControl w:val="0"/>
              <w:tabs>
                <w:tab w:val="decimal" w:pos="563"/>
              </w:tabs>
              <w:autoSpaceDE w:val="0"/>
              <w:autoSpaceDN w:val="0"/>
              <w:adjustRightInd w:val="0"/>
              <w:jc w:val="center"/>
              <w:rPr>
                <w:rFonts w:ascii="Garamond" w:hAnsi="Garamond"/>
                <w:b/>
                <w:sz w:val="20"/>
                <w:szCs w:val="20"/>
              </w:rPr>
            </w:pPr>
            <w:r w:rsidRPr="00DB6C99">
              <w:rPr>
                <w:rFonts w:ascii="Garamond" w:hAnsi="Garamond"/>
                <w:sz w:val="20"/>
                <w:szCs w:val="20"/>
              </w:rPr>
              <w:t>0.125</w:t>
            </w:r>
          </w:p>
        </w:tc>
        <w:tc>
          <w:tcPr>
            <w:tcW w:w="1908" w:type="dxa"/>
            <w:vAlign w:val="center"/>
          </w:tcPr>
          <w:p w14:paraId="7E6D9FB9" w14:textId="77777777" w:rsidR="007C344D" w:rsidRPr="00DB6C99" w:rsidRDefault="007C344D" w:rsidP="007C344D">
            <w:pPr>
              <w:widowControl w:val="0"/>
              <w:tabs>
                <w:tab w:val="decimal" w:pos="413"/>
              </w:tabs>
              <w:autoSpaceDE w:val="0"/>
              <w:autoSpaceDN w:val="0"/>
              <w:adjustRightInd w:val="0"/>
              <w:jc w:val="center"/>
              <w:rPr>
                <w:rFonts w:ascii="Garamond" w:hAnsi="Garamond"/>
                <w:b/>
                <w:sz w:val="20"/>
                <w:szCs w:val="20"/>
              </w:rPr>
            </w:pPr>
            <w:r w:rsidRPr="00DB6C99">
              <w:rPr>
                <w:rFonts w:ascii="Garamond" w:hAnsi="Garamond"/>
                <w:sz w:val="20"/>
                <w:szCs w:val="20"/>
              </w:rPr>
              <w:t>-</w:t>
            </w:r>
          </w:p>
        </w:tc>
        <w:tc>
          <w:tcPr>
            <w:tcW w:w="1599" w:type="dxa"/>
            <w:vAlign w:val="center"/>
          </w:tcPr>
          <w:p w14:paraId="4E958A7F" w14:textId="77777777" w:rsidR="007C344D" w:rsidRPr="00DB6C99" w:rsidRDefault="007C344D" w:rsidP="007C344D">
            <w:pPr>
              <w:widowControl w:val="0"/>
              <w:tabs>
                <w:tab w:val="decimal" w:pos="412"/>
              </w:tabs>
              <w:autoSpaceDE w:val="0"/>
              <w:autoSpaceDN w:val="0"/>
              <w:adjustRightInd w:val="0"/>
              <w:jc w:val="center"/>
              <w:rPr>
                <w:rFonts w:ascii="Garamond" w:hAnsi="Garamond"/>
                <w:b/>
                <w:sz w:val="20"/>
                <w:szCs w:val="20"/>
              </w:rPr>
            </w:pPr>
            <w:r w:rsidRPr="00DB6C99">
              <w:rPr>
                <w:rFonts w:ascii="Garamond" w:hAnsi="Garamond"/>
                <w:sz w:val="20"/>
                <w:szCs w:val="20"/>
              </w:rPr>
              <w:t>-</w:t>
            </w:r>
          </w:p>
        </w:tc>
        <w:tc>
          <w:tcPr>
            <w:tcW w:w="1420" w:type="dxa"/>
            <w:vAlign w:val="center"/>
          </w:tcPr>
          <w:p w14:paraId="59EF0194" w14:textId="77777777" w:rsidR="007C344D" w:rsidRPr="00DB6C99" w:rsidRDefault="007C344D" w:rsidP="007C344D">
            <w:pPr>
              <w:widowControl w:val="0"/>
              <w:autoSpaceDE w:val="0"/>
              <w:autoSpaceDN w:val="0"/>
              <w:adjustRightInd w:val="0"/>
              <w:jc w:val="center"/>
              <w:rPr>
                <w:rFonts w:ascii="Garamond" w:hAnsi="Garamond"/>
                <w:sz w:val="20"/>
                <w:szCs w:val="20"/>
              </w:rPr>
            </w:pPr>
            <w:r w:rsidRPr="00DB6C99">
              <w:rPr>
                <w:rFonts w:ascii="Garamond" w:hAnsi="Garamond"/>
                <w:sz w:val="20"/>
                <w:szCs w:val="20"/>
              </w:rPr>
              <w:t>-</w:t>
            </w:r>
          </w:p>
        </w:tc>
      </w:tr>
      <w:tr w:rsidR="00DB6C99" w:rsidRPr="00DB6C99" w14:paraId="45047B1F" w14:textId="77777777" w:rsidTr="007C344D">
        <w:trPr>
          <w:trHeight w:val="276"/>
          <w:jc w:val="center"/>
        </w:trPr>
        <w:tc>
          <w:tcPr>
            <w:tcW w:w="2467" w:type="dxa"/>
            <w:vAlign w:val="center"/>
          </w:tcPr>
          <w:p w14:paraId="792701A9" w14:textId="77777777" w:rsidR="007C344D" w:rsidRPr="00DB6C99" w:rsidRDefault="007C344D" w:rsidP="007C344D">
            <w:pPr>
              <w:widowControl w:val="0"/>
              <w:autoSpaceDE w:val="0"/>
              <w:autoSpaceDN w:val="0"/>
              <w:adjustRightInd w:val="0"/>
              <w:rPr>
                <w:rFonts w:ascii="Garamond" w:hAnsi="Garamond"/>
                <w:i/>
                <w:iCs/>
                <w:sz w:val="20"/>
                <w:szCs w:val="20"/>
              </w:rPr>
            </w:pPr>
            <w:r w:rsidRPr="00DB6C99">
              <w:rPr>
                <w:rFonts w:ascii="Garamond" w:hAnsi="Garamond"/>
                <w:i/>
                <w:iCs/>
                <w:sz w:val="20"/>
                <w:szCs w:val="20"/>
                <w:lang w:val="en-GB"/>
              </w:rPr>
              <w:t>BSIZE (logged value)</w:t>
            </w:r>
          </w:p>
        </w:tc>
        <w:tc>
          <w:tcPr>
            <w:tcW w:w="1072" w:type="dxa"/>
            <w:vAlign w:val="center"/>
          </w:tcPr>
          <w:p w14:paraId="687798FE" w14:textId="77777777" w:rsidR="007C344D" w:rsidRPr="00DB6C99" w:rsidRDefault="007C344D" w:rsidP="007C344D">
            <w:pPr>
              <w:widowControl w:val="0"/>
              <w:tabs>
                <w:tab w:val="decimal" w:pos="312"/>
              </w:tabs>
              <w:autoSpaceDE w:val="0"/>
              <w:autoSpaceDN w:val="0"/>
              <w:adjustRightInd w:val="0"/>
              <w:jc w:val="center"/>
              <w:rPr>
                <w:rFonts w:ascii="Garamond" w:hAnsi="Garamond"/>
                <w:b/>
                <w:sz w:val="20"/>
                <w:szCs w:val="20"/>
              </w:rPr>
            </w:pPr>
            <w:r w:rsidRPr="00DB6C99">
              <w:rPr>
                <w:rFonts w:ascii="Garamond" w:hAnsi="Garamond"/>
                <w:sz w:val="20"/>
                <w:szCs w:val="20"/>
              </w:rPr>
              <w:t>2.291</w:t>
            </w:r>
          </w:p>
        </w:tc>
        <w:tc>
          <w:tcPr>
            <w:tcW w:w="1662" w:type="dxa"/>
            <w:vAlign w:val="center"/>
          </w:tcPr>
          <w:p w14:paraId="4F3537FE" w14:textId="77777777" w:rsidR="007C344D" w:rsidRPr="00DB6C99" w:rsidRDefault="007C344D" w:rsidP="007C344D">
            <w:pPr>
              <w:widowControl w:val="0"/>
              <w:tabs>
                <w:tab w:val="decimal" w:pos="563"/>
              </w:tabs>
              <w:autoSpaceDE w:val="0"/>
              <w:autoSpaceDN w:val="0"/>
              <w:adjustRightInd w:val="0"/>
              <w:jc w:val="center"/>
              <w:rPr>
                <w:rFonts w:ascii="Garamond" w:hAnsi="Garamond"/>
                <w:b/>
                <w:sz w:val="20"/>
                <w:szCs w:val="20"/>
              </w:rPr>
            </w:pPr>
            <w:r w:rsidRPr="00DB6C99">
              <w:rPr>
                <w:rFonts w:ascii="Garamond" w:hAnsi="Garamond"/>
                <w:sz w:val="20"/>
                <w:szCs w:val="20"/>
              </w:rPr>
              <w:t>0.215</w:t>
            </w:r>
          </w:p>
        </w:tc>
        <w:tc>
          <w:tcPr>
            <w:tcW w:w="1908" w:type="dxa"/>
            <w:vAlign w:val="center"/>
          </w:tcPr>
          <w:p w14:paraId="47B1DE72" w14:textId="77777777" w:rsidR="007C344D" w:rsidRPr="00DB6C99" w:rsidRDefault="007C344D" w:rsidP="007C344D">
            <w:pPr>
              <w:widowControl w:val="0"/>
              <w:tabs>
                <w:tab w:val="decimal" w:pos="413"/>
              </w:tabs>
              <w:autoSpaceDE w:val="0"/>
              <w:autoSpaceDN w:val="0"/>
              <w:adjustRightInd w:val="0"/>
              <w:jc w:val="center"/>
              <w:rPr>
                <w:rFonts w:ascii="Garamond" w:hAnsi="Garamond"/>
                <w:b/>
                <w:sz w:val="20"/>
                <w:szCs w:val="20"/>
              </w:rPr>
            </w:pPr>
            <w:r w:rsidRPr="00DB6C99">
              <w:rPr>
                <w:rFonts w:ascii="Garamond" w:hAnsi="Garamond"/>
                <w:sz w:val="20"/>
                <w:szCs w:val="20"/>
              </w:rPr>
              <w:t>2.100</w:t>
            </w:r>
          </w:p>
        </w:tc>
        <w:tc>
          <w:tcPr>
            <w:tcW w:w="1599" w:type="dxa"/>
            <w:vAlign w:val="center"/>
          </w:tcPr>
          <w:p w14:paraId="0DAF86B8" w14:textId="77777777" w:rsidR="007C344D" w:rsidRPr="00DB6C99" w:rsidRDefault="007C344D" w:rsidP="007C344D">
            <w:pPr>
              <w:widowControl w:val="0"/>
              <w:tabs>
                <w:tab w:val="decimal" w:pos="412"/>
              </w:tabs>
              <w:autoSpaceDE w:val="0"/>
              <w:autoSpaceDN w:val="0"/>
              <w:adjustRightInd w:val="0"/>
              <w:jc w:val="center"/>
              <w:rPr>
                <w:rFonts w:ascii="Garamond" w:hAnsi="Garamond"/>
                <w:b/>
                <w:sz w:val="20"/>
                <w:szCs w:val="20"/>
              </w:rPr>
            </w:pPr>
            <w:r w:rsidRPr="00DB6C99">
              <w:rPr>
                <w:rFonts w:ascii="Garamond" w:hAnsi="Garamond"/>
                <w:sz w:val="20"/>
                <w:szCs w:val="20"/>
              </w:rPr>
              <w:t>2.322</w:t>
            </w:r>
          </w:p>
        </w:tc>
        <w:tc>
          <w:tcPr>
            <w:tcW w:w="1420" w:type="dxa"/>
            <w:vAlign w:val="center"/>
          </w:tcPr>
          <w:p w14:paraId="21D00960" w14:textId="77777777" w:rsidR="007C344D" w:rsidRPr="00DB6C99" w:rsidRDefault="007C344D" w:rsidP="007C344D">
            <w:pPr>
              <w:widowControl w:val="0"/>
              <w:tabs>
                <w:tab w:val="decimal" w:pos="304"/>
              </w:tabs>
              <w:autoSpaceDE w:val="0"/>
              <w:autoSpaceDN w:val="0"/>
              <w:adjustRightInd w:val="0"/>
              <w:jc w:val="both"/>
              <w:rPr>
                <w:rFonts w:ascii="Garamond" w:hAnsi="Garamond"/>
                <w:sz w:val="20"/>
                <w:szCs w:val="20"/>
              </w:rPr>
            </w:pPr>
            <w:r w:rsidRPr="00DB6C99">
              <w:rPr>
                <w:rFonts w:ascii="Garamond" w:hAnsi="Garamond"/>
                <w:sz w:val="20"/>
                <w:szCs w:val="20"/>
              </w:rPr>
              <w:t>-0.222***</w:t>
            </w:r>
          </w:p>
        </w:tc>
      </w:tr>
      <w:tr w:rsidR="00DB6C99" w:rsidRPr="00DB6C99" w14:paraId="4472D92F" w14:textId="77777777" w:rsidTr="007C344D">
        <w:trPr>
          <w:trHeight w:val="298"/>
          <w:jc w:val="center"/>
        </w:trPr>
        <w:tc>
          <w:tcPr>
            <w:tcW w:w="2467" w:type="dxa"/>
            <w:vAlign w:val="center"/>
          </w:tcPr>
          <w:p w14:paraId="57F42688" w14:textId="77777777" w:rsidR="007C344D" w:rsidRPr="00DB6C99" w:rsidRDefault="007C344D" w:rsidP="007C344D">
            <w:pPr>
              <w:widowControl w:val="0"/>
              <w:autoSpaceDE w:val="0"/>
              <w:autoSpaceDN w:val="0"/>
              <w:adjustRightInd w:val="0"/>
              <w:rPr>
                <w:rFonts w:ascii="Garamond" w:hAnsi="Garamond"/>
                <w:i/>
                <w:iCs/>
                <w:sz w:val="20"/>
                <w:szCs w:val="20"/>
              </w:rPr>
            </w:pPr>
            <w:r w:rsidRPr="00DB6C99">
              <w:rPr>
                <w:rFonts w:ascii="Garamond" w:hAnsi="Garamond"/>
                <w:i/>
                <w:iCs/>
                <w:sz w:val="20"/>
                <w:szCs w:val="20"/>
                <w:lang w:val="en-GB"/>
              </w:rPr>
              <w:t>BIND</w:t>
            </w:r>
          </w:p>
        </w:tc>
        <w:tc>
          <w:tcPr>
            <w:tcW w:w="1072" w:type="dxa"/>
            <w:vAlign w:val="center"/>
          </w:tcPr>
          <w:p w14:paraId="4C771A2E" w14:textId="77777777" w:rsidR="007C344D" w:rsidRPr="00DB6C99" w:rsidRDefault="007C344D" w:rsidP="007C344D">
            <w:pPr>
              <w:widowControl w:val="0"/>
              <w:tabs>
                <w:tab w:val="decimal" w:pos="312"/>
              </w:tabs>
              <w:autoSpaceDE w:val="0"/>
              <w:autoSpaceDN w:val="0"/>
              <w:adjustRightInd w:val="0"/>
              <w:jc w:val="center"/>
              <w:rPr>
                <w:rFonts w:ascii="Garamond" w:hAnsi="Garamond"/>
                <w:b/>
                <w:sz w:val="20"/>
                <w:szCs w:val="20"/>
              </w:rPr>
            </w:pPr>
            <w:r w:rsidRPr="00DB6C99">
              <w:rPr>
                <w:rFonts w:ascii="Garamond" w:hAnsi="Garamond"/>
                <w:sz w:val="20"/>
                <w:szCs w:val="20"/>
              </w:rPr>
              <w:t>0.862</w:t>
            </w:r>
          </w:p>
        </w:tc>
        <w:tc>
          <w:tcPr>
            <w:tcW w:w="1662" w:type="dxa"/>
            <w:vAlign w:val="center"/>
          </w:tcPr>
          <w:p w14:paraId="10342A56" w14:textId="77777777" w:rsidR="007C344D" w:rsidRPr="00DB6C99" w:rsidRDefault="007C344D" w:rsidP="007C344D">
            <w:pPr>
              <w:widowControl w:val="0"/>
              <w:tabs>
                <w:tab w:val="decimal" w:pos="563"/>
              </w:tabs>
              <w:autoSpaceDE w:val="0"/>
              <w:autoSpaceDN w:val="0"/>
              <w:adjustRightInd w:val="0"/>
              <w:jc w:val="center"/>
              <w:rPr>
                <w:rFonts w:ascii="Garamond" w:hAnsi="Garamond"/>
                <w:b/>
                <w:sz w:val="20"/>
                <w:szCs w:val="20"/>
              </w:rPr>
            </w:pPr>
            <w:r w:rsidRPr="00DB6C99">
              <w:rPr>
                <w:rFonts w:ascii="Garamond" w:hAnsi="Garamond"/>
                <w:sz w:val="20"/>
                <w:szCs w:val="20"/>
              </w:rPr>
              <w:t>0.071</w:t>
            </w:r>
          </w:p>
        </w:tc>
        <w:tc>
          <w:tcPr>
            <w:tcW w:w="1908" w:type="dxa"/>
            <w:vAlign w:val="center"/>
          </w:tcPr>
          <w:p w14:paraId="3C48CDA1" w14:textId="77777777" w:rsidR="007C344D" w:rsidRPr="00DB6C99" w:rsidRDefault="007C344D" w:rsidP="007C344D">
            <w:pPr>
              <w:widowControl w:val="0"/>
              <w:tabs>
                <w:tab w:val="decimal" w:pos="413"/>
              </w:tabs>
              <w:autoSpaceDE w:val="0"/>
              <w:autoSpaceDN w:val="0"/>
              <w:adjustRightInd w:val="0"/>
              <w:jc w:val="center"/>
              <w:rPr>
                <w:rFonts w:ascii="Garamond" w:hAnsi="Garamond"/>
                <w:b/>
                <w:sz w:val="20"/>
                <w:szCs w:val="20"/>
              </w:rPr>
            </w:pPr>
            <w:r w:rsidRPr="00DB6C99">
              <w:rPr>
                <w:rFonts w:ascii="Garamond" w:hAnsi="Garamond"/>
                <w:sz w:val="20"/>
                <w:szCs w:val="20"/>
              </w:rPr>
              <w:t>0.827</w:t>
            </w:r>
          </w:p>
        </w:tc>
        <w:tc>
          <w:tcPr>
            <w:tcW w:w="1599" w:type="dxa"/>
            <w:vAlign w:val="center"/>
          </w:tcPr>
          <w:p w14:paraId="50056FA8" w14:textId="77777777" w:rsidR="007C344D" w:rsidRPr="00DB6C99" w:rsidRDefault="007C344D" w:rsidP="007C344D">
            <w:pPr>
              <w:widowControl w:val="0"/>
              <w:tabs>
                <w:tab w:val="decimal" w:pos="412"/>
              </w:tabs>
              <w:autoSpaceDE w:val="0"/>
              <w:autoSpaceDN w:val="0"/>
              <w:adjustRightInd w:val="0"/>
              <w:jc w:val="center"/>
              <w:rPr>
                <w:rFonts w:ascii="Garamond" w:hAnsi="Garamond"/>
                <w:bCs/>
                <w:sz w:val="20"/>
                <w:szCs w:val="20"/>
              </w:rPr>
            </w:pPr>
            <w:r w:rsidRPr="00DB6C99">
              <w:rPr>
                <w:rFonts w:ascii="Garamond" w:hAnsi="Garamond"/>
                <w:sz w:val="20"/>
                <w:szCs w:val="20"/>
              </w:rPr>
              <w:t>0.867</w:t>
            </w:r>
          </w:p>
        </w:tc>
        <w:tc>
          <w:tcPr>
            <w:tcW w:w="1420" w:type="dxa"/>
            <w:vAlign w:val="center"/>
          </w:tcPr>
          <w:p w14:paraId="7B995585" w14:textId="77777777" w:rsidR="007C344D" w:rsidRPr="00DB6C99" w:rsidRDefault="007C344D" w:rsidP="007C344D">
            <w:pPr>
              <w:widowControl w:val="0"/>
              <w:tabs>
                <w:tab w:val="decimal" w:pos="304"/>
              </w:tabs>
              <w:autoSpaceDE w:val="0"/>
              <w:autoSpaceDN w:val="0"/>
              <w:adjustRightInd w:val="0"/>
              <w:jc w:val="both"/>
              <w:rPr>
                <w:rFonts w:ascii="Garamond" w:hAnsi="Garamond"/>
                <w:bCs/>
                <w:sz w:val="20"/>
                <w:szCs w:val="20"/>
              </w:rPr>
            </w:pPr>
            <w:r w:rsidRPr="00DB6C99">
              <w:rPr>
                <w:rFonts w:ascii="Garamond" w:hAnsi="Garamond"/>
                <w:sz w:val="20"/>
                <w:szCs w:val="20"/>
              </w:rPr>
              <w:t>-0.040***</w:t>
            </w:r>
          </w:p>
        </w:tc>
      </w:tr>
      <w:tr w:rsidR="00DB6C99" w:rsidRPr="00DB6C99" w14:paraId="47CB6165" w14:textId="77777777" w:rsidTr="007C344D">
        <w:trPr>
          <w:trHeight w:val="298"/>
          <w:jc w:val="center"/>
        </w:trPr>
        <w:tc>
          <w:tcPr>
            <w:tcW w:w="2467" w:type="dxa"/>
            <w:vAlign w:val="center"/>
          </w:tcPr>
          <w:p w14:paraId="0502C24F" w14:textId="77777777" w:rsidR="007C344D" w:rsidRPr="00DB6C99" w:rsidRDefault="007C344D" w:rsidP="007C344D">
            <w:pPr>
              <w:widowControl w:val="0"/>
              <w:autoSpaceDE w:val="0"/>
              <w:autoSpaceDN w:val="0"/>
              <w:adjustRightInd w:val="0"/>
              <w:rPr>
                <w:rFonts w:ascii="Garamond" w:hAnsi="Garamond"/>
                <w:i/>
                <w:iCs/>
                <w:sz w:val="20"/>
                <w:szCs w:val="20"/>
              </w:rPr>
            </w:pPr>
            <w:r w:rsidRPr="00DB6C99">
              <w:rPr>
                <w:rFonts w:ascii="Garamond" w:hAnsi="Garamond"/>
                <w:i/>
                <w:iCs/>
                <w:sz w:val="20"/>
                <w:szCs w:val="20"/>
                <w:lang w:val="en-GB"/>
              </w:rPr>
              <w:t>BMEET (logged value)</w:t>
            </w:r>
          </w:p>
        </w:tc>
        <w:tc>
          <w:tcPr>
            <w:tcW w:w="1072" w:type="dxa"/>
            <w:vAlign w:val="center"/>
          </w:tcPr>
          <w:p w14:paraId="55E50932" w14:textId="77777777" w:rsidR="007C344D" w:rsidRPr="00DB6C99" w:rsidRDefault="007C344D" w:rsidP="007C344D">
            <w:pPr>
              <w:widowControl w:val="0"/>
              <w:tabs>
                <w:tab w:val="decimal" w:pos="312"/>
              </w:tabs>
              <w:autoSpaceDE w:val="0"/>
              <w:autoSpaceDN w:val="0"/>
              <w:adjustRightInd w:val="0"/>
              <w:jc w:val="center"/>
              <w:rPr>
                <w:rFonts w:ascii="Garamond" w:hAnsi="Garamond"/>
                <w:b/>
                <w:sz w:val="20"/>
                <w:szCs w:val="20"/>
              </w:rPr>
            </w:pPr>
            <w:r w:rsidRPr="00DB6C99">
              <w:rPr>
                <w:rFonts w:ascii="Garamond" w:hAnsi="Garamond"/>
                <w:sz w:val="20"/>
                <w:szCs w:val="20"/>
              </w:rPr>
              <w:t>2.007</w:t>
            </w:r>
          </w:p>
        </w:tc>
        <w:tc>
          <w:tcPr>
            <w:tcW w:w="1662" w:type="dxa"/>
            <w:vAlign w:val="center"/>
          </w:tcPr>
          <w:p w14:paraId="4E9E9B5B" w14:textId="77777777" w:rsidR="007C344D" w:rsidRPr="00DB6C99" w:rsidRDefault="007C344D" w:rsidP="007C344D">
            <w:pPr>
              <w:widowControl w:val="0"/>
              <w:tabs>
                <w:tab w:val="decimal" w:pos="563"/>
              </w:tabs>
              <w:autoSpaceDE w:val="0"/>
              <w:autoSpaceDN w:val="0"/>
              <w:adjustRightInd w:val="0"/>
              <w:jc w:val="center"/>
              <w:rPr>
                <w:rFonts w:ascii="Garamond" w:hAnsi="Garamond"/>
                <w:b/>
                <w:sz w:val="20"/>
                <w:szCs w:val="20"/>
              </w:rPr>
            </w:pPr>
            <w:r w:rsidRPr="00DB6C99">
              <w:rPr>
                <w:rFonts w:ascii="Garamond" w:hAnsi="Garamond"/>
                <w:sz w:val="20"/>
                <w:szCs w:val="20"/>
              </w:rPr>
              <w:t>0.374</w:t>
            </w:r>
          </w:p>
        </w:tc>
        <w:tc>
          <w:tcPr>
            <w:tcW w:w="1908" w:type="dxa"/>
            <w:vAlign w:val="center"/>
          </w:tcPr>
          <w:p w14:paraId="35BAC3E2" w14:textId="77777777" w:rsidR="007C344D" w:rsidRPr="00DB6C99" w:rsidRDefault="007C344D" w:rsidP="007C344D">
            <w:pPr>
              <w:widowControl w:val="0"/>
              <w:tabs>
                <w:tab w:val="decimal" w:pos="413"/>
              </w:tabs>
              <w:autoSpaceDE w:val="0"/>
              <w:autoSpaceDN w:val="0"/>
              <w:adjustRightInd w:val="0"/>
              <w:jc w:val="center"/>
              <w:rPr>
                <w:rFonts w:ascii="Garamond" w:hAnsi="Garamond"/>
                <w:b/>
                <w:sz w:val="20"/>
                <w:szCs w:val="20"/>
              </w:rPr>
            </w:pPr>
            <w:r w:rsidRPr="00DB6C99">
              <w:rPr>
                <w:rFonts w:ascii="Garamond" w:hAnsi="Garamond"/>
                <w:sz w:val="20"/>
                <w:szCs w:val="20"/>
              </w:rPr>
              <w:t>2.006</w:t>
            </w:r>
          </w:p>
        </w:tc>
        <w:tc>
          <w:tcPr>
            <w:tcW w:w="1599" w:type="dxa"/>
            <w:vAlign w:val="center"/>
          </w:tcPr>
          <w:p w14:paraId="58F97610" w14:textId="77777777" w:rsidR="007C344D" w:rsidRPr="00DB6C99" w:rsidRDefault="007C344D" w:rsidP="007C344D">
            <w:pPr>
              <w:widowControl w:val="0"/>
              <w:tabs>
                <w:tab w:val="decimal" w:pos="412"/>
              </w:tabs>
              <w:autoSpaceDE w:val="0"/>
              <w:autoSpaceDN w:val="0"/>
              <w:adjustRightInd w:val="0"/>
              <w:jc w:val="center"/>
              <w:rPr>
                <w:rFonts w:ascii="Garamond" w:hAnsi="Garamond"/>
                <w:b/>
                <w:sz w:val="20"/>
                <w:szCs w:val="20"/>
              </w:rPr>
            </w:pPr>
            <w:r w:rsidRPr="00DB6C99">
              <w:rPr>
                <w:rFonts w:ascii="Garamond" w:hAnsi="Garamond"/>
                <w:sz w:val="20"/>
                <w:szCs w:val="20"/>
              </w:rPr>
              <w:t>2.007</w:t>
            </w:r>
          </w:p>
        </w:tc>
        <w:tc>
          <w:tcPr>
            <w:tcW w:w="1420" w:type="dxa"/>
            <w:vAlign w:val="center"/>
          </w:tcPr>
          <w:p w14:paraId="75333028" w14:textId="77777777" w:rsidR="007C344D" w:rsidRPr="00DB6C99" w:rsidRDefault="007C344D" w:rsidP="007C344D">
            <w:pPr>
              <w:widowControl w:val="0"/>
              <w:tabs>
                <w:tab w:val="decimal" w:pos="304"/>
              </w:tabs>
              <w:autoSpaceDE w:val="0"/>
              <w:autoSpaceDN w:val="0"/>
              <w:adjustRightInd w:val="0"/>
              <w:jc w:val="both"/>
              <w:rPr>
                <w:rFonts w:ascii="Garamond" w:hAnsi="Garamond"/>
                <w:sz w:val="20"/>
                <w:szCs w:val="20"/>
              </w:rPr>
            </w:pPr>
            <w:r w:rsidRPr="00DB6C99">
              <w:rPr>
                <w:rFonts w:ascii="Garamond" w:hAnsi="Garamond"/>
                <w:sz w:val="20"/>
                <w:szCs w:val="20"/>
              </w:rPr>
              <w:t>-0.001</w:t>
            </w:r>
          </w:p>
        </w:tc>
      </w:tr>
      <w:tr w:rsidR="00DB6C99" w:rsidRPr="00DB6C99" w14:paraId="076BC71B" w14:textId="77777777" w:rsidTr="007C344D">
        <w:trPr>
          <w:trHeight w:val="298"/>
          <w:jc w:val="center"/>
        </w:trPr>
        <w:tc>
          <w:tcPr>
            <w:tcW w:w="2467" w:type="dxa"/>
            <w:vAlign w:val="center"/>
          </w:tcPr>
          <w:p w14:paraId="60644B10" w14:textId="77777777" w:rsidR="007C344D" w:rsidRPr="00DB6C99" w:rsidRDefault="007C344D" w:rsidP="007C344D">
            <w:pPr>
              <w:widowControl w:val="0"/>
              <w:autoSpaceDE w:val="0"/>
              <w:autoSpaceDN w:val="0"/>
              <w:adjustRightInd w:val="0"/>
              <w:rPr>
                <w:rFonts w:ascii="Garamond" w:hAnsi="Garamond"/>
                <w:i/>
                <w:iCs/>
                <w:sz w:val="20"/>
                <w:szCs w:val="20"/>
              </w:rPr>
            </w:pPr>
            <w:r w:rsidRPr="00DB6C99">
              <w:rPr>
                <w:rFonts w:ascii="Garamond" w:hAnsi="Garamond"/>
                <w:i/>
                <w:iCs/>
                <w:sz w:val="20"/>
                <w:szCs w:val="20"/>
              </w:rPr>
              <w:t>DUAL</w:t>
            </w:r>
          </w:p>
        </w:tc>
        <w:tc>
          <w:tcPr>
            <w:tcW w:w="1072" w:type="dxa"/>
            <w:vAlign w:val="center"/>
          </w:tcPr>
          <w:p w14:paraId="02A089D2" w14:textId="77777777" w:rsidR="007C344D" w:rsidRPr="00DB6C99" w:rsidRDefault="007C344D" w:rsidP="007C344D">
            <w:pPr>
              <w:widowControl w:val="0"/>
              <w:tabs>
                <w:tab w:val="decimal" w:pos="312"/>
              </w:tabs>
              <w:autoSpaceDE w:val="0"/>
              <w:autoSpaceDN w:val="0"/>
              <w:adjustRightInd w:val="0"/>
              <w:jc w:val="center"/>
              <w:rPr>
                <w:rFonts w:ascii="Garamond" w:hAnsi="Garamond"/>
                <w:b/>
                <w:sz w:val="20"/>
                <w:szCs w:val="20"/>
              </w:rPr>
            </w:pPr>
            <w:r w:rsidRPr="00DB6C99">
              <w:rPr>
                <w:rFonts w:ascii="Garamond" w:hAnsi="Garamond"/>
                <w:sz w:val="20"/>
                <w:szCs w:val="20"/>
              </w:rPr>
              <w:t>0.699</w:t>
            </w:r>
          </w:p>
        </w:tc>
        <w:tc>
          <w:tcPr>
            <w:tcW w:w="1662" w:type="dxa"/>
            <w:vAlign w:val="center"/>
          </w:tcPr>
          <w:p w14:paraId="63D3EB12" w14:textId="77777777" w:rsidR="007C344D" w:rsidRPr="00DB6C99" w:rsidRDefault="007C344D" w:rsidP="007C344D">
            <w:pPr>
              <w:widowControl w:val="0"/>
              <w:tabs>
                <w:tab w:val="decimal" w:pos="563"/>
              </w:tabs>
              <w:autoSpaceDE w:val="0"/>
              <w:autoSpaceDN w:val="0"/>
              <w:adjustRightInd w:val="0"/>
              <w:jc w:val="center"/>
              <w:rPr>
                <w:rFonts w:ascii="Garamond" w:hAnsi="Garamond"/>
                <w:b/>
                <w:sz w:val="20"/>
                <w:szCs w:val="20"/>
              </w:rPr>
            </w:pPr>
            <w:r w:rsidRPr="00DB6C99">
              <w:rPr>
                <w:rFonts w:ascii="Garamond" w:hAnsi="Garamond"/>
                <w:sz w:val="20"/>
                <w:szCs w:val="20"/>
              </w:rPr>
              <w:t>0.459</w:t>
            </w:r>
          </w:p>
        </w:tc>
        <w:tc>
          <w:tcPr>
            <w:tcW w:w="1908" w:type="dxa"/>
            <w:vAlign w:val="center"/>
          </w:tcPr>
          <w:p w14:paraId="53EDEAB5" w14:textId="77777777" w:rsidR="007C344D" w:rsidRPr="00DB6C99" w:rsidRDefault="007C344D" w:rsidP="007C344D">
            <w:pPr>
              <w:widowControl w:val="0"/>
              <w:tabs>
                <w:tab w:val="decimal" w:pos="413"/>
              </w:tabs>
              <w:autoSpaceDE w:val="0"/>
              <w:autoSpaceDN w:val="0"/>
              <w:adjustRightInd w:val="0"/>
              <w:jc w:val="center"/>
              <w:rPr>
                <w:rFonts w:ascii="Garamond" w:hAnsi="Garamond"/>
                <w:b/>
                <w:sz w:val="20"/>
                <w:szCs w:val="20"/>
              </w:rPr>
            </w:pPr>
            <w:r w:rsidRPr="00DB6C99">
              <w:rPr>
                <w:rFonts w:ascii="Garamond" w:hAnsi="Garamond"/>
                <w:sz w:val="20"/>
                <w:szCs w:val="20"/>
              </w:rPr>
              <w:t>0.648</w:t>
            </w:r>
          </w:p>
        </w:tc>
        <w:tc>
          <w:tcPr>
            <w:tcW w:w="1599" w:type="dxa"/>
            <w:vAlign w:val="center"/>
          </w:tcPr>
          <w:p w14:paraId="6951F213" w14:textId="77777777" w:rsidR="007C344D" w:rsidRPr="00DB6C99" w:rsidRDefault="007C344D" w:rsidP="007C344D">
            <w:pPr>
              <w:widowControl w:val="0"/>
              <w:tabs>
                <w:tab w:val="decimal" w:pos="412"/>
              </w:tabs>
              <w:autoSpaceDE w:val="0"/>
              <w:autoSpaceDN w:val="0"/>
              <w:adjustRightInd w:val="0"/>
              <w:jc w:val="center"/>
              <w:rPr>
                <w:rFonts w:ascii="Garamond" w:hAnsi="Garamond"/>
                <w:b/>
                <w:sz w:val="20"/>
                <w:szCs w:val="20"/>
              </w:rPr>
            </w:pPr>
            <w:r w:rsidRPr="00DB6C99">
              <w:rPr>
                <w:rFonts w:ascii="Garamond" w:hAnsi="Garamond"/>
                <w:sz w:val="20"/>
                <w:szCs w:val="20"/>
              </w:rPr>
              <w:t>0.707</w:t>
            </w:r>
          </w:p>
        </w:tc>
        <w:tc>
          <w:tcPr>
            <w:tcW w:w="1420" w:type="dxa"/>
            <w:vAlign w:val="center"/>
          </w:tcPr>
          <w:p w14:paraId="07C0B852" w14:textId="77777777" w:rsidR="007C344D" w:rsidRPr="00DB6C99" w:rsidRDefault="007C344D" w:rsidP="007C344D">
            <w:pPr>
              <w:widowControl w:val="0"/>
              <w:tabs>
                <w:tab w:val="decimal" w:pos="304"/>
              </w:tabs>
              <w:autoSpaceDE w:val="0"/>
              <w:autoSpaceDN w:val="0"/>
              <w:adjustRightInd w:val="0"/>
              <w:jc w:val="both"/>
              <w:rPr>
                <w:rFonts w:ascii="Garamond" w:hAnsi="Garamond"/>
                <w:sz w:val="20"/>
                <w:szCs w:val="20"/>
              </w:rPr>
            </w:pPr>
            <w:r w:rsidRPr="00DB6C99">
              <w:rPr>
                <w:rFonts w:ascii="Garamond" w:hAnsi="Garamond"/>
                <w:sz w:val="20"/>
                <w:szCs w:val="20"/>
              </w:rPr>
              <w:t>-0.058***</w:t>
            </w:r>
          </w:p>
        </w:tc>
      </w:tr>
      <w:tr w:rsidR="00DB6C99" w:rsidRPr="00DB6C99" w14:paraId="5805FD84" w14:textId="77777777" w:rsidTr="007C344D">
        <w:trPr>
          <w:trHeight w:val="276"/>
          <w:jc w:val="center"/>
        </w:trPr>
        <w:tc>
          <w:tcPr>
            <w:tcW w:w="2467" w:type="dxa"/>
            <w:vAlign w:val="center"/>
          </w:tcPr>
          <w:p w14:paraId="4CC21BD1" w14:textId="77777777" w:rsidR="007C344D" w:rsidRPr="00DB6C99" w:rsidRDefault="007C344D" w:rsidP="007C344D">
            <w:pPr>
              <w:widowControl w:val="0"/>
              <w:autoSpaceDE w:val="0"/>
              <w:autoSpaceDN w:val="0"/>
              <w:adjustRightInd w:val="0"/>
              <w:rPr>
                <w:rFonts w:ascii="Garamond" w:hAnsi="Garamond"/>
                <w:i/>
                <w:iCs/>
                <w:sz w:val="20"/>
                <w:szCs w:val="20"/>
              </w:rPr>
            </w:pPr>
            <w:r w:rsidRPr="00DB6C99">
              <w:rPr>
                <w:rFonts w:ascii="Garamond" w:hAnsi="Garamond"/>
                <w:i/>
                <w:iCs/>
                <w:sz w:val="20"/>
                <w:szCs w:val="20"/>
                <w:lang w:val="en-GB"/>
              </w:rPr>
              <w:t>PM</w:t>
            </w:r>
          </w:p>
        </w:tc>
        <w:tc>
          <w:tcPr>
            <w:tcW w:w="1072" w:type="dxa"/>
            <w:vAlign w:val="center"/>
          </w:tcPr>
          <w:p w14:paraId="4DB205EE" w14:textId="77777777" w:rsidR="007C344D" w:rsidRPr="00DB6C99" w:rsidRDefault="007C344D" w:rsidP="007C344D">
            <w:pPr>
              <w:widowControl w:val="0"/>
              <w:tabs>
                <w:tab w:val="decimal" w:pos="312"/>
              </w:tabs>
              <w:autoSpaceDE w:val="0"/>
              <w:autoSpaceDN w:val="0"/>
              <w:adjustRightInd w:val="0"/>
              <w:jc w:val="center"/>
              <w:rPr>
                <w:rFonts w:ascii="Garamond" w:hAnsi="Garamond"/>
                <w:b/>
                <w:sz w:val="20"/>
                <w:szCs w:val="20"/>
              </w:rPr>
            </w:pPr>
            <w:r w:rsidRPr="00DB6C99">
              <w:rPr>
                <w:rFonts w:ascii="Garamond" w:hAnsi="Garamond"/>
                <w:sz w:val="20"/>
                <w:szCs w:val="20"/>
              </w:rPr>
              <w:t>0.053</w:t>
            </w:r>
          </w:p>
        </w:tc>
        <w:tc>
          <w:tcPr>
            <w:tcW w:w="1662" w:type="dxa"/>
            <w:vAlign w:val="center"/>
          </w:tcPr>
          <w:p w14:paraId="419A4F9B" w14:textId="77777777" w:rsidR="007C344D" w:rsidRPr="00DB6C99" w:rsidRDefault="007C344D" w:rsidP="007C344D">
            <w:pPr>
              <w:widowControl w:val="0"/>
              <w:tabs>
                <w:tab w:val="decimal" w:pos="563"/>
              </w:tabs>
              <w:autoSpaceDE w:val="0"/>
              <w:autoSpaceDN w:val="0"/>
              <w:adjustRightInd w:val="0"/>
              <w:jc w:val="center"/>
              <w:rPr>
                <w:rFonts w:ascii="Garamond" w:hAnsi="Garamond"/>
                <w:b/>
                <w:sz w:val="20"/>
                <w:szCs w:val="20"/>
              </w:rPr>
            </w:pPr>
            <w:r w:rsidRPr="00DB6C99">
              <w:rPr>
                <w:rFonts w:ascii="Garamond" w:hAnsi="Garamond"/>
                <w:sz w:val="20"/>
                <w:szCs w:val="20"/>
              </w:rPr>
              <w:t>0.225</w:t>
            </w:r>
          </w:p>
        </w:tc>
        <w:tc>
          <w:tcPr>
            <w:tcW w:w="1908" w:type="dxa"/>
            <w:vAlign w:val="center"/>
          </w:tcPr>
          <w:p w14:paraId="57ECC679" w14:textId="77777777" w:rsidR="007C344D" w:rsidRPr="00DB6C99" w:rsidRDefault="007C344D" w:rsidP="007C344D">
            <w:pPr>
              <w:widowControl w:val="0"/>
              <w:tabs>
                <w:tab w:val="decimal" w:pos="413"/>
              </w:tabs>
              <w:autoSpaceDE w:val="0"/>
              <w:autoSpaceDN w:val="0"/>
              <w:adjustRightInd w:val="0"/>
              <w:jc w:val="center"/>
              <w:rPr>
                <w:rFonts w:ascii="Garamond" w:hAnsi="Garamond"/>
                <w:b/>
                <w:sz w:val="20"/>
                <w:szCs w:val="20"/>
              </w:rPr>
            </w:pPr>
            <w:r w:rsidRPr="00DB6C99">
              <w:rPr>
                <w:rFonts w:ascii="Garamond" w:hAnsi="Garamond"/>
                <w:sz w:val="20"/>
                <w:szCs w:val="20"/>
              </w:rPr>
              <w:t>0.043</w:t>
            </w:r>
          </w:p>
        </w:tc>
        <w:tc>
          <w:tcPr>
            <w:tcW w:w="1599" w:type="dxa"/>
            <w:vAlign w:val="center"/>
          </w:tcPr>
          <w:p w14:paraId="3186EFA4" w14:textId="77777777" w:rsidR="007C344D" w:rsidRPr="00DB6C99" w:rsidRDefault="007C344D" w:rsidP="007C344D">
            <w:pPr>
              <w:widowControl w:val="0"/>
              <w:tabs>
                <w:tab w:val="decimal" w:pos="412"/>
              </w:tabs>
              <w:autoSpaceDE w:val="0"/>
              <w:autoSpaceDN w:val="0"/>
              <w:adjustRightInd w:val="0"/>
              <w:jc w:val="center"/>
              <w:rPr>
                <w:rFonts w:ascii="Garamond" w:hAnsi="Garamond"/>
                <w:b/>
                <w:sz w:val="20"/>
                <w:szCs w:val="20"/>
              </w:rPr>
            </w:pPr>
            <w:r w:rsidRPr="00DB6C99">
              <w:rPr>
                <w:rFonts w:ascii="Garamond" w:hAnsi="Garamond"/>
                <w:sz w:val="20"/>
                <w:szCs w:val="20"/>
              </w:rPr>
              <w:t>0.055</w:t>
            </w:r>
          </w:p>
        </w:tc>
        <w:tc>
          <w:tcPr>
            <w:tcW w:w="1420" w:type="dxa"/>
            <w:vAlign w:val="center"/>
          </w:tcPr>
          <w:p w14:paraId="20A43EB2" w14:textId="77777777" w:rsidR="007C344D" w:rsidRPr="00DB6C99" w:rsidRDefault="007C344D" w:rsidP="007C344D">
            <w:pPr>
              <w:widowControl w:val="0"/>
              <w:tabs>
                <w:tab w:val="decimal" w:pos="304"/>
              </w:tabs>
              <w:autoSpaceDE w:val="0"/>
              <w:autoSpaceDN w:val="0"/>
              <w:adjustRightInd w:val="0"/>
              <w:jc w:val="both"/>
              <w:rPr>
                <w:rFonts w:ascii="Garamond" w:hAnsi="Garamond"/>
                <w:sz w:val="20"/>
                <w:szCs w:val="20"/>
              </w:rPr>
            </w:pPr>
            <w:r w:rsidRPr="00DB6C99">
              <w:rPr>
                <w:rFonts w:ascii="Garamond" w:hAnsi="Garamond"/>
                <w:sz w:val="20"/>
                <w:szCs w:val="20"/>
              </w:rPr>
              <w:t>-0.012*</w:t>
            </w:r>
          </w:p>
        </w:tc>
      </w:tr>
      <w:tr w:rsidR="00DB6C99" w:rsidRPr="00DB6C99" w14:paraId="3C2CC1E3" w14:textId="77777777" w:rsidTr="007C344D">
        <w:trPr>
          <w:trHeight w:val="298"/>
          <w:jc w:val="center"/>
        </w:trPr>
        <w:tc>
          <w:tcPr>
            <w:tcW w:w="2467" w:type="dxa"/>
            <w:vAlign w:val="center"/>
          </w:tcPr>
          <w:p w14:paraId="78DB9C66" w14:textId="77777777" w:rsidR="007C344D" w:rsidRPr="00DB6C99" w:rsidRDefault="007C344D" w:rsidP="007C344D">
            <w:pPr>
              <w:widowControl w:val="0"/>
              <w:autoSpaceDE w:val="0"/>
              <w:autoSpaceDN w:val="0"/>
              <w:adjustRightInd w:val="0"/>
              <w:rPr>
                <w:rFonts w:ascii="Garamond" w:hAnsi="Garamond"/>
                <w:i/>
                <w:iCs/>
                <w:sz w:val="20"/>
                <w:szCs w:val="20"/>
              </w:rPr>
            </w:pPr>
            <w:r w:rsidRPr="00DB6C99">
              <w:rPr>
                <w:rFonts w:ascii="Garamond" w:hAnsi="Garamond"/>
                <w:i/>
                <w:iCs/>
                <w:sz w:val="20"/>
                <w:szCs w:val="20"/>
                <w:lang w:val="en-GB"/>
              </w:rPr>
              <w:t>ROA</w:t>
            </w:r>
          </w:p>
        </w:tc>
        <w:tc>
          <w:tcPr>
            <w:tcW w:w="1072" w:type="dxa"/>
            <w:vAlign w:val="center"/>
          </w:tcPr>
          <w:p w14:paraId="1C0BE107" w14:textId="77777777" w:rsidR="007C344D" w:rsidRPr="00DB6C99" w:rsidRDefault="007C344D" w:rsidP="007C344D">
            <w:pPr>
              <w:widowControl w:val="0"/>
              <w:tabs>
                <w:tab w:val="decimal" w:pos="312"/>
              </w:tabs>
              <w:autoSpaceDE w:val="0"/>
              <w:autoSpaceDN w:val="0"/>
              <w:adjustRightInd w:val="0"/>
              <w:jc w:val="center"/>
              <w:rPr>
                <w:rFonts w:ascii="Garamond" w:hAnsi="Garamond"/>
                <w:b/>
                <w:sz w:val="20"/>
                <w:szCs w:val="20"/>
              </w:rPr>
            </w:pPr>
            <w:r w:rsidRPr="00DB6C99">
              <w:rPr>
                <w:rFonts w:ascii="Garamond" w:hAnsi="Garamond"/>
                <w:sz w:val="20"/>
                <w:szCs w:val="20"/>
              </w:rPr>
              <w:t>0.053</w:t>
            </w:r>
          </w:p>
        </w:tc>
        <w:tc>
          <w:tcPr>
            <w:tcW w:w="1662" w:type="dxa"/>
            <w:vAlign w:val="center"/>
          </w:tcPr>
          <w:p w14:paraId="0EC499A5" w14:textId="77777777" w:rsidR="007C344D" w:rsidRPr="00DB6C99" w:rsidRDefault="007C344D" w:rsidP="007C344D">
            <w:pPr>
              <w:widowControl w:val="0"/>
              <w:tabs>
                <w:tab w:val="decimal" w:pos="563"/>
              </w:tabs>
              <w:autoSpaceDE w:val="0"/>
              <w:autoSpaceDN w:val="0"/>
              <w:adjustRightInd w:val="0"/>
              <w:jc w:val="center"/>
              <w:rPr>
                <w:rFonts w:ascii="Garamond" w:hAnsi="Garamond"/>
                <w:b/>
                <w:sz w:val="20"/>
                <w:szCs w:val="20"/>
              </w:rPr>
            </w:pPr>
            <w:r w:rsidRPr="00DB6C99">
              <w:rPr>
                <w:rFonts w:ascii="Garamond" w:hAnsi="Garamond"/>
                <w:sz w:val="20"/>
                <w:szCs w:val="20"/>
              </w:rPr>
              <w:t>0.102</w:t>
            </w:r>
          </w:p>
        </w:tc>
        <w:tc>
          <w:tcPr>
            <w:tcW w:w="1908" w:type="dxa"/>
            <w:vAlign w:val="center"/>
          </w:tcPr>
          <w:p w14:paraId="27470916" w14:textId="77777777" w:rsidR="007C344D" w:rsidRPr="00DB6C99" w:rsidRDefault="007C344D" w:rsidP="007C344D">
            <w:pPr>
              <w:widowControl w:val="0"/>
              <w:tabs>
                <w:tab w:val="decimal" w:pos="413"/>
              </w:tabs>
              <w:autoSpaceDE w:val="0"/>
              <w:autoSpaceDN w:val="0"/>
              <w:adjustRightInd w:val="0"/>
              <w:jc w:val="center"/>
              <w:rPr>
                <w:rFonts w:ascii="Garamond" w:hAnsi="Garamond"/>
                <w:b/>
                <w:sz w:val="20"/>
                <w:szCs w:val="20"/>
              </w:rPr>
            </w:pPr>
            <w:r w:rsidRPr="00DB6C99">
              <w:rPr>
                <w:rFonts w:ascii="Garamond" w:hAnsi="Garamond"/>
                <w:sz w:val="20"/>
                <w:szCs w:val="20"/>
              </w:rPr>
              <w:t>0.047</w:t>
            </w:r>
          </w:p>
        </w:tc>
        <w:tc>
          <w:tcPr>
            <w:tcW w:w="1599" w:type="dxa"/>
            <w:vAlign w:val="center"/>
          </w:tcPr>
          <w:p w14:paraId="6B346908" w14:textId="77777777" w:rsidR="007C344D" w:rsidRPr="00DB6C99" w:rsidRDefault="007C344D" w:rsidP="007C344D">
            <w:pPr>
              <w:widowControl w:val="0"/>
              <w:tabs>
                <w:tab w:val="decimal" w:pos="412"/>
              </w:tabs>
              <w:autoSpaceDE w:val="0"/>
              <w:autoSpaceDN w:val="0"/>
              <w:adjustRightInd w:val="0"/>
              <w:jc w:val="center"/>
              <w:rPr>
                <w:rFonts w:ascii="Garamond" w:hAnsi="Garamond"/>
                <w:b/>
                <w:sz w:val="20"/>
                <w:szCs w:val="20"/>
              </w:rPr>
            </w:pPr>
            <w:r w:rsidRPr="00DB6C99">
              <w:rPr>
                <w:rFonts w:ascii="Garamond" w:hAnsi="Garamond"/>
                <w:sz w:val="20"/>
                <w:szCs w:val="20"/>
              </w:rPr>
              <w:t>0.053</w:t>
            </w:r>
          </w:p>
        </w:tc>
        <w:tc>
          <w:tcPr>
            <w:tcW w:w="1420" w:type="dxa"/>
            <w:vAlign w:val="center"/>
          </w:tcPr>
          <w:p w14:paraId="54AE4227" w14:textId="77777777" w:rsidR="007C344D" w:rsidRPr="00DB6C99" w:rsidRDefault="007C344D" w:rsidP="007C344D">
            <w:pPr>
              <w:widowControl w:val="0"/>
              <w:tabs>
                <w:tab w:val="decimal" w:pos="304"/>
              </w:tabs>
              <w:autoSpaceDE w:val="0"/>
              <w:autoSpaceDN w:val="0"/>
              <w:adjustRightInd w:val="0"/>
              <w:jc w:val="both"/>
              <w:rPr>
                <w:rFonts w:ascii="Garamond" w:hAnsi="Garamond"/>
                <w:sz w:val="20"/>
                <w:szCs w:val="20"/>
              </w:rPr>
            </w:pPr>
            <w:r w:rsidRPr="00DB6C99">
              <w:rPr>
                <w:rFonts w:ascii="Garamond" w:hAnsi="Garamond"/>
                <w:sz w:val="20"/>
                <w:szCs w:val="20"/>
              </w:rPr>
              <w:t>-0.006**</w:t>
            </w:r>
          </w:p>
        </w:tc>
      </w:tr>
      <w:tr w:rsidR="00DB6C99" w:rsidRPr="00DB6C99" w14:paraId="0395E4DD" w14:textId="77777777" w:rsidTr="007C344D">
        <w:trPr>
          <w:trHeight w:val="298"/>
          <w:jc w:val="center"/>
        </w:trPr>
        <w:tc>
          <w:tcPr>
            <w:tcW w:w="2467" w:type="dxa"/>
            <w:vAlign w:val="center"/>
          </w:tcPr>
          <w:p w14:paraId="1C16F4A3" w14:textId="77777777" w:rsidR="007C344D" w:rsidRPr="00DB6C99" w:rsidRDefault="007C344D" w:rsidP="007C344D">
            <w:pPr>
              <w:widowControl w:val="0"/>
              <w:autoSpaceDE w:val="0"/>
              <w:autoSpaceDN w:val="0"/>
              <w:adjustRightInd w:val="0"/>
              <w:rPr>
                <w:rFonts w:ascii="Garamond" w:hAnsi="Garamond"/>
                <w:i/>
                <w:iCs/>
                <w:sz w:val="20"/>
                <w:szCs w:val="20"/>
              </w:rPr>
            </w:pPr>
            <w:r w:rsidRPr="00DB6C99">
              <w:rPr>
                <w:rFonts w:ascii="Garamond" w:hAnsi="Garamond"/>
                <w:i/>
                <w:iCs/>
                <w:sz w:val="20"/>
                <w:szCs w:val="20"/>
                <w:lang w:val="en-GB"/>
              </w:rPr>
              <w:t>CI</w:t>
            </w:r>
          </w:p>
        </w:tc>
        <w:tc>
          <w:tcPr>
            <w:tcW w:w="1072" w:type="dxa"/>
            <w:vAlign w:val="center"/>
          </w:tcPr>
          <w:p w14:paraId="37B3DC85" w14:textId="77777777" w:rsidR="007C344D" w:rsidRPr="00DB6C99" w:rsidRDefault="007C344D" w:rsidP="007C344D">
            <w:pPr>
              <w:widowControl w:val="0"/>
              <w:tabs>
                <w:tab w:val="decimal" w:pos="312"/>
              </w:tabs>
              <w:autoSpaceDE w:val="0"/>
              <w:autoSpaceDN w:val="0"/>
              <w:adjustRightInd w:val="0"/>
              <w:jc w:val="center"/>
              <w:rPr>
                <w:rFonts w:ascii="Garamond" w:hAnsi="Garamond"/>
                <w:b/>
                <w:sz w:val="20"/>
                <w:szCs w:val="20"/>
              </w:rPr>
            </w:pPr>
            <w:r w:rsidRPr="00DB6C99">
              <w:rPr>
                <w:rFonts w:ascii="Garamond" w:hAnsi="Garamond"/>
                <w:sz w:val="20"/>
                <w:szCs w:val="20"/>
              </w:rPr>
              <w:t>1.898</w:t>
            </w:r>
          </w:p>
        </w:tc>
        <w:tc>
          <w:tcPr>
            <w:tcW w:w="1662" w:type="dxa"/>
            <w:vAlign w:val="center"/>
          </w:tcPr>
          <w:p w14:paraId="0A1FA2DA" w14:textId="77777777" w:rsidR="007C344D" w:rsidRPr="00DB6C99" w:rsidRDefault="007C344D" w:rsidP="007C344D">
            <w:pPr>
              <w:widowControl w:val="0"/>
              <w:tabs>
                <w:tab w:val="decimal" w:pos="563"/>
              </w:tabs>
              <w:autoSpaceDE w:val="0"/>
              <w:autoSpaceDN w:val="0"/>
              <w:adjustRightInd w:val="0"/>
              <w:jc w:val="center"/>
              <w:rPr>
                <w:rFonts w:ascii="Garamond" w:hAnsi="Garamond"/>
                <w:b/>
                <w:sz w:val="20"/>
                <w:szCs w:val="20"/>
              </w:rPr>
            </w:pPr>
            <w:r w:rsidRPr="00DB6C99">
              <w:rPr>
                <w:rFonts w:ascii="Garamond" w:hAnsi="Garamond"/>
                <w:sz w:val="20"/>
                <w:szCs w:val="20"/>
              </w:rPr>
              <w:t>3.108</w:t>
            </w:r>
          </w:p>
        </w:tc>
        <w:tc>
          <w:tcPr>
            <w:tcW w:w="1908" w:type="dxa"/>
            <w:vAlign w:val="center"/>
          </w:tcPr>
          <w:p w14:paraId="7AB73213" w14:textId="77777777" w:rsidR="007C344D" w:rsidRPr="00DB6C99" w:rsidRDefault="007C344D" w:rsidP="007C344D">
            <w:pPr>
              <w:widowControl w:val="0"/>
              <w:tabs>
                <w:tab w:val="decimal" w:pos="413"/>
              </w:tabs>
              <w:autoSpaceDE w:val="0"/>
              <w:autoSpaceDN w:val="0"/>
              <w:adjustRightInd w:val="0"/>
              <w:jc w:val="center"/>
              <w:rPr>
                <w:rFonts w:ascii="Garamond" w:hAnsi="Garamond"/>
                <w:b/>
                <w:sz w:val="20"/>
                <w:szCs w:val="20"/>
              </w:rPr>
            </w:pPr>
            <w:r w:rsidRPr="00DB6C99">
              <w:rPr>
                <w:rFonts w:ascii="Garamond" w:hAnsi="Garamond"/>
                <w:sz w:val="20"/>
                <w:szCs w:val="20"/>
              </w:rPr>
              <w:t>2.341</w:t>
            </w:r>
          </w:p>
        </w:tc>
        <w:tc>
          <w:tcPr>
            <w:tcW w:w="1599" w:type="dxa"/>
            <w:vAlign w:val="center"/>
          </w:tcPr>
          <w:p w14:paraId="6108FB89" w14:textId="77777777" w:rsidR="007C344D" w:rsidRPr="00DB6C99" w:rsidRDefault="007C344D" w:rsidP="007C344D">
            <w:pPr>
              <w:widowControl w:val="0"/>
              <w:tabs>
                <w:tab w:val="decimal" w:pos="412"/>
              </w:tabs>
              <w:autoSpaceDE w:val="0"/>
              <w:autoSpaceDN w:val="0"/>
              <w:adjustRightInd w:val="0"/>
              <w:jc w:val="center"/>
              <w:rPr>
                <w:rFonts w:ascii="Garamond" w:hAnsi="Garamond"/>
                <w:b/>
                <w:sz w:val="20"/>
                <w:szCs w:val="20"/>
              </w:rPr>
            </w:pPr>
            <w:r w:rsidRPr="00DB6C99">
              <w:rPr>
                <w:rFonts w:ascii="Garamond" w:hAnsi="Garamond"/>
                <w:sz w:val="20"/>
                <w:szCs w:val="20"/>
              </w:rPr>
              <w:t>1.828</w:t>
            </w:r>
          </w:p>
        </w:tc>
        <w:tc>
          <w:tcPr>
            <w:tcW w:w="1420" w:type="dxa"/>
            <w:vAlign w:val="center"/>
          </w:tcPr>
          <w:p w14:paraId="30A6A1B2" w14:textId="77777777" w:rsidR="007C344D" w:rsidRPr="00DB6C99" w:rsidRDefault="007C344D" w:rsidP="007C344D">
            <w:pPr>
              <w:widowControl w:val="0"/>
              <w:tabs>
                <w:tab w:val="decimal" w:pos="304"/>
              </w:tabs>
              <w:autoSpaceDE w:val="0"/>
              <w:autoSpaceDN w:val="0"/>
              <w:adjustRightInd w:val="0"/>
              <w:jc w:val="both"/>
              <w:rPr>
                <w:rFonts w:ascii="Garamond" w:hAnsi="Garamond"/>
                <w:sz w:val="20"/>
                <w:szCs w:val="20"/>
              </w:rPr>
            </w:pPr>
            <w:r w:rsidRPr="00DB6C99">
              <w:rPr>
                <w:rFonts w:ascii="Garamond" w:hAnsi="Garamond"/>
                <w:sz w:val="20"/>
                <w:szCs w:val="20"/>
              </w:rPr>
              <w:t>0.513***</w:t>
            </w:r>
          </w:p>
        </w:tc>
      </w:tr>
      <w:tr w:rsidR="00DB6C99" w:rsidRPr="00DB6C99" w14:paraId="6DC80070" w14:textId="77777777" w:rsidTr="007C344D">
        <w:trPr>
          <w:trHeight w:val="298"/>
          <w:jc w:val="center"/>
        </w:trPr>
        <w:tc>
          <w:tcPr>
            <w:tcW w:w="2467" w:type="dxa"/>
            <w:vAlign w:val="center"/>
          </w:tcPr>
          <w:p w14:paraId="2879926E" w14:textId="77777777" w:rsidR="007C344D" w:rsidRPr="00DB6C99" w:rsidRDefault="007C344D" w:rsidP="007C344D">
            <w:pPr>
              <w:widowControl w:val="0"/>
              <w:autoSpaceDE w:val="0"/>
              <w:autoSpaceDN w:val="0"/>
              <w:adjustRightInd w:val="0"/>
              <w:rPr>
                <w:rFonts w:ascii="Garamond" w:hAnsi="Garamond"/>
                <w:i/>
                <w:iCs/>
                <w:sz w:val="20"/>
                <w:szCs w:val="20"/>
                <w:lang w:val="en-GB"/>
              </w:rPr>
            </w:pPr>
            <w:r w:rsidRPr="00DB6C99">
              <w:rPr>
                <w:rFonts w:ascii="Garamond" w:hAnsi="Garamond"/>
                <w:i/>
                <w:iCs/>
                <w:sz w:val="20"/>
                <w:szCs w:val="20"/>
                <w:lang w:val="en-GB"/>
              </w:rPr>
              <w:t>R&amp;D</w:t>
            </w:r>
          </w:p>
        </w:tc>
        <w:tc>
          <w:tcPr>
            <w:tcW w:w="1072" w:type="dxa"/>
            <w:vAlign w:val="center"/>
          </w:tcPr>
          <w:p w14:paraId="5AF35CE0" w14:textId="77777777" w:rsidR="007C344D" w:rsidRPr="00DB6C99" w:rsidRDefault="007C344D" w:rsidP="007C344D">
            <w:pPr>
              <w:widowControl w:val="0"/>
              <w:tabs>
                <w:tab w:val="decimal" w:pos="312"/>
              </w:tabs>
              <w:autoSpaceDE w:val="0"/>
              <w:autoSpaceDN w:val="0"/>
              <w:adjustRightInd w:val="0"/>
              <w:jc w:val="center"/>
              <w:rPr>
                <w:rFonts w:ascii="Garamond" w:hAnsi="Garamond"/>
                <w:sz w:val="20"/>
                <w:szCs w:val="20"/>
              </w:rPr>
            </w:pPr>
            <w:r w:rsidRPr="00DB6C99">
              <w:rPr>
                <w:rFonts w:ascii="Garamond" w:hAnsi="Garamond"/>
                <w:sz w:val="20"/>
                <w:szCs w:val="20"/>
              </w:rPr>
              <w:t>0.048</w:t>
            </w:r>
          </w:p>
        </w:tc>
        <w:tc>
          <w:tcPr>
            <w:tcW w:w="1662" w:type="dxa"/>
            <w:vAlign w:val="center"/>
          </w:tcPr>
          <w:p w14:paraId="453EF230" w14:textId="77777777" w:rsidR="007C344D" w:rsidRPr="00DB6C99" w:rsidRDefault="007C344D" w:rsidP="007C344D">
            <w:pPr>
              <w:widowControl w:val="0"/>
              <w:tabs>
                <w:tab w:val="decimal" w:pos="563"/>
              </w:tabs>
              <w:autoSpaceDE w:val="0"/>
              <w:autoSpaceDN w:val="0"/>
              <w:adjustRightInd w:val="0"/>
              <w:jc w:val="center"/>
              <w:rPr>
                <w:rFonts w:ascii="Garamond" w:hAnsi="Garamond"/>
                <w:sz w:val="20"/>
                <w:szCs w:val="20"/>
              </w:rPr>
            </w:pPr>
            <w:r w:rsidRPr="00DB6C99">
              <w:rPr>
                <w:rFonts w:ascii="Garamond" w:hAnsi="Garamond"/>
                <w:sz w:val="20"/>
                <w:szCs w:val="20"/>
              </w:rPr>
              <w:t>0.118</w:t>
            </w:r>
          </w:p>
        </w:tc>
        <w:tc>
          <w:tcPr>
            <w:tcW w:w="1908" w:type="dxa"/>
            <w:vAlign w:val="center"/>
          </w:tcPr>
          <w:p w14:paraId="1ADDFC19" w14:textId="77777777" w:rsidR="007C344D" w:rsidRPr="00DB6C99" w:rsidRDefault="007C344D" w:rsidP="007C344D">
            <w:pPr>
              <w:widowControl w:val="0"/>
              <w:tabs>
                <w:tab w:val="decimal" w:pos="413"/>
              </w:tabs>
              <w:autoSpaceDE w:val="0"/>
              <w:autoSpaceDN w:val="0"/>
              <w:adjustRightInd w:val="0"/>
              <w:jc w:val="center"/>
              <w:rPr>
                <w:rFonts w:ascii="Garamond" w:hAnsi="Garamond"/>
                <w:sz w:val="20"/>
                <w:szCs w:val="20"/>
              </w:rPr>
            </w:pPr>
            <w:r w:rsidRPr="00DB6C99">
              <w:rPr>
                <w:rFonts w:ascii="Garamond" w:hAnsi="Garamond"/>
                <w:sz w:val="20"/>
                <w:szCs w:val="20"/>
              </w:rPr>
              <w:t>0.064</w:t>
            </w:r>
          </w:p>
        </w:tc>
        <w:tc>
          <w:tcPr>
            <w:tcW w:w="1599" w:type="dxa"/>
            <w:vAlign w:val="center"/>
          </w:tcPr>
          <w:p w14:paraId="511D0AB2" w14:textId="77777777" w:rsidR="007C344D" w:rsidRPr="00DB6C99" w:rsidRDefault="007C344D" w:rsidP="007C344D">
            <w:pPr>
              <w:widowControl w:val="0"/>
              <w:tabs>
                <w:tab w:val="decimal" w:pos="412"/>
              </w:tabs>
              <w:autoSpaceDE w:val="0"/>
              <w:autoSpaceDN w:val="0"/>
              <w:adjustRightInd w:val="0"/>
              <w:jc w:val="center"/>
              <w:rPr>
                <w:rFonts w:ascii="Garamond" w:hAnsi="Garamond"/>
                <w:sz w:val="20"/>
                <w:szCs w:val="20"/>
              </w:rPr>
            </w:pPr>
            <w:r w:rsidRPr="00DB6C99">
              <w:rPr>
                <w:rFonts w:ascii="Garamond" w:hAnsi="Garamond"/>
                <w:sz w:val="20"/>
                <w:szCs w:val="20"/>
              </w:rPr>
              <w:t>0.046</w:t>
            </w:r>
          </w:p>
        </w:tc>
        <w:tc>
          <w:tcPr>
            <w:tcW w:w="1420" w:type="dxa"/>
            <w:vAlign w:val="center"/>
          </w:tcPr>
          <w:p w14:paraId="623030AB" w14:textId="77777777" w:rsidR="007C344D" w:rsidRPr="00DB6C99" w:rsidRDefault="007C344D" w:rsidP="007C344D">
            <w:pPr>
              <w:widowControl w:val="0"/>
              <w:tabs>
                <w:tab w:val="decimal" w:pos="304"/>
              </w:tabs>
              <w:autoSpaceDE w:val="0"/>
              <w:autoSpaceDN w:val="0"/>
              <w:adjustRightInd w:val="0"/>
              <w:jc w:val="both"/>
              <w:rPr>
                <w:rFonts w:ascii="Garamond" w:hAnsi="Garamond"/>
                <w:sz w:val="20"/>
                <w:szCs w:val="20"/>
              </w:rPr>
            </w:pPr>
            <w:r w:rsidRPr="00DB6C99">
              <w:rPr>
                <w:rFonts w:ascii="Garamond" w:hAnsi="Garamond"/>
                <w:sz w:val="20"/>
                <w:szCs w:val="20"/>
              </w:rPr>
              <w:t>0.018***</w:t>
            </w:r>
          </w:p>
        </w:tc>
      </w:tr>
      <w:tr w:rsidR="00DB6C99" w:rsidRPr="00DB6C99" w14:paraId="74B47354" w14:textId="77777777" w:rsidTr="007C344D">
        <w:trPr>
          <w:trHeight w:val="298"/>
          <w:jc w:val="center"/>
        </w:trPr>
        <w:tc>
          <w:tcPr>
            <w:tcW w:w="2467" w:type="dxa"/>
            <w:vAlign w:val="center"/>
          </w:tcPr>
          <w:p w14:paraId="2CC5AD3E" w14:textId="77777777" w:rsidR="007C344D" w:rsidRPr="00DB6C99" w:rsidRDefault="007C344D" w:rsidP="007C344D">
            <w:pPr>
              <w:widowControl w:val="0"/>
              <w:autoSpaceDE w:val="0"/>
              <w:autoSpaceDN w:val="0"/>
              <w:adjustRightInd w:val="0"/>
              <w:rPr>
                <w:rFonts w:ascii="Garamond" w:hAnsi="Garamond"/>
                <w:i/>
                <w:iCs/>
                <w:sz w:val="20"/>
                <w:szCs w:val="20"/>
                <w:lang w:val="en-GB"/>
              </w:rPr>
            </w:pPr>
            <w:r w:rsidRPr="00DB6C99">
              <w:rPr>
                <w:rFonts w:ascii="Garamond" w:hAnsi="Garamond"/>
                <w:i/>
                <w:iCs/>
                <w:sz w:val="20"/>
                <w:szCs w:val="20"/>
                <w:lang w:val="en-GB"/>
              </w:rPr>
              <w:t>AFE</w:t>
            </w:r>
          </w:p>
        </w:tc>
        <w:tc>
          <w:tcPr>
            <w:tcW w:w="1072" w:type="dxa"/>
            <w:vAlign w:val="center"/>
          </w:tcPr>
          <w:p w14:paraId="3693F45F" w14:textId="77777777" w:rsidR="007C344D" w:rsidRPr="00DB6C99" w:rsidRDefault="007C344D" w:rsidP="007C344D">
            <w:pPr>
              <w:widowControl w:val="0"/>
              <w:tabs>
                <w:tab w:val="decimal" w:pos="312"/>
              </w:tabs>
              <w:autoSpaceDE w:val="0"/>
              <w:autoSpaceDN w:val="0"/>
              <w:adjustRightInd w:val="0"/>
              <w:jc w:val="center"/>
              <w:rPr>
                <w:rFonts w:ascii="Garamond" w:hAnsi="Garamond"/>
                <w:sz w:val="20"/>
                <w:szCs w:val="20"/>
              </w:rPr>
            </w:pPr>
            <w:r w:rsidRPr="00DB6C99">
              <w:rPr>
                <w:rFonts w:ascii="Garamond" w:hAnsi="Garamond"/>
                <w:sz w:val="20"/>
                <w:szCs w:val="20"/>
              </w:rPr>
              <w:t>1.297</w:t>
            </w:r>
          </w:p>
        </w:tc>
        <w:tc>
          <w:tcPr>
            <w:tcW w:w="1662" w:type="dxa"/>
            <w:vAlign w:val="center"/>
          </w:tcPr>
          <w:p w14:paraId="6512B9F9" w14:textId="77777777" w:rsidR="007C344D" w:rsidRPr="00DB6C99" w:rsidRDefault="007C344D" w:rsidP="007C344D">
            <w:pPr>
              <w:widowControl w:val="0"/>
              <w:tabs>
                <w:tab w:val="decimal" w:pos="563"/>
              </w:tabs>
              <w:autoSpaceDE w:val="0"/>
              <w:autoSpaceDN w:val="0"/>
              <w:adjustRightInd w:val="0"/>
              <w:jc w:val="center"/>
              <w:rPr>
                <w:rFonts w:ascii="Garamond" w:hAnsi="Garamond"/>
                <w:sz w:val="20"/>
                <w:szCs w:val="20"/>
              </w:rPr>
            </w:pPr>
            <w:r w:rsidRPr="00DB6C99">
              <w:rPr>
                <w:rFonts w:ascii="Garamond" w:hAnsi="Garamond"/>
                <w:sz w:val="20"/>
                <w:szCs w:val="20"/>
              </w:rPr>
              <w:t>21.730</w:t>
            </w:r>
          </w:p>
        </w:tc>
        <w:tc>
          <w:tcPr>
            <w:tcW w:w="1908" w:type="dxa"/>
            <w:vAlign w:val="center"/>
          </w:tcPr>
          <w:p w14:paraId="1A758104" w14:textId="77777777" w:rsidR="007C344D" w:rsidRPr="00DB6C99" w:rsidRDefault="007C344D" w:rsidP="007C344D">
            <w:pPr>
              <w:widowControl w:val="0"/>
              <w:tabs>
                <w:tab w:val="decimal" w:pos="413"/>
              </w:tabs>
              <w:autoSpaceDE w:val="0"/>
              <w:autoSpaceDN w:val="0"/>
              <w:adjustRightInd w:val="0"/>
              <w:jc w:val="center"/>
              <w:rPr>
                <w:rFonts w:ascii="Garamond" w:hAnsi="Garamond"/>
                <w:sz w:val="20"/>
                <w:szCs w:val="20"/>
              </w:rPr>
            </w:pPr>
            <w:r w:rsidRPr="00DB6C99">
              <w:rPr>
                <w:rFonts w:ascii="Garamond" w:hAnsi="Garamond"/>
                <w:sz w:val="20"/>
                <w:szCs w:val="20"/>
              </w:rPr>
              <w:t>0.889</w:t>
            </w:r>
          </w:p>
        </w:tc>
        <w:tc>
          <w:tcPr>
            <w:tcW w:w="1599" w:type="dxa"/>
            <w:vAlign w:val="center"/>
          </w:tcPr>
          <w:p w14:paraId="28E33E16" w14:textId="77777777" w:rsidR="007C344D" w:rsidRPr="00DB6C99" w:rsidRDefault="007C344D" w:rsidP="007C344D">
            <w:pPr>
              <w:widowControl w:val="0"/>
              <w:tabs>
                <w:tab w:val="decimal" w:pos="412"/>
              </w:tabs>
              <w:autoSpaceDE w:val="0"/>
              <w:autoSpaceDN w:val="0"/>
              <w:adjustRightInd w:val="0"/>
              <w:jc w:val="center"/>
              <w:rPr>
                <w:rFonts w:ascii="Garamond" w:hAnsi="Garamond"/>
                <w:sz w:val="20"/>
                <w:szCs w:val="20"/>
              </w:rPr>
            </w:pPr>
            <w:r w:rsidRPr="00DB6C99">
              <w:rPr>
                <w:rFonts w:ascii="Garamond" w:hAnsi="Garamond"/>
                <w:sz w:val="20"/>
                <w:szCs w:val="20"/>
              </w:rPr>
              <w:t>1.362</w:t>
            </w:r>
          </w:p>
        </w:tc>
        <w:tc>
          <w:tcPr>
            <w:tcW w:w="1420" w:type="dxa"/>
            <w:vAlign w:val="center"/>
          </w:tcPr>
          <w:p w14:paraId="30D19E58" w14:textId="77777777" w:rsidR="007C344D" w:rsidRPr="00DB6C99" w:rsidRDefault="007C344D" w:rsidP="007C344D">
            <w:pPr>
              <w:widowControl w:val="0"/>
              <w:tabs>
                <w:tab w:val="decimal" w:pos="304"/>
              </w:tabs>
              <w:autoSpaceDE w:val="0"/>
              <w:autoSpaceDN w:val="0"/>
              <w:adjustRightInd w:val="0"/>
              <w:jc w:val="both"/>
              <w:rPr>
                <w:rFonts w:ascii="Garamond" w:hAnsi="Garamond"/>
                <w:sz w:val="20"/>
                <w:szCs w:val="20"/>
              </w:rPr>
            </w:pPr>
            <w:r w:rsidRPr="00DB6C99">
              <w:rPr>
                <w:rFonts w:ascii="Garamond" w:hAnsi="Garamond"/>
                <w:sz w:val="20"/>
                <w:szCs w:val="20"/>
              </w:rPr>
              <w:t>-0.473</w:t>
            </w:r>
          </w:p>
        </w:tc>
      </w:tr>
      <w:tr w:rsidR="00DB6C99" w:rsidRPr="00DB6C99" w14:paraId="3A0AFC6C" w14:textId="77777777" w:rsidTr="007C344D">
        <w:trPr>
          <w:trHeight w:val="298"/>
          <w:jc w:val="center"/>
        </w:trPr>
        <w:tc>
          <w:tcPr>
            <w:tcW w:w="2467" w:type="dxa"/>
            <w:vAlign w:val="center"/>
          </w:tcPr>
          <w:p w14:paraId="49B943CB" w14:textId="77777777" w:rsidR="007C344D" w:rsidRPr="00DB6C99" w:rsidRDefault="007C344D" w:rsidP="007C344D">
            <w:pPr>
              <w:widowControl w:val="0"/>
              <w:autoSpaceDE w:val="0"/>
              <w:autoSpaceDN w:val="0"/>
              <w:adjustRightInd w:val="0"/>
              <w:rPr>
                <w:rFonts w:ascii="Garamond" w:hAnsi="Garamond"/>
                <w:i/>
                <w:iCs/>
                <w:sz w:val="20"/>
                <w:szCs w:val="20"/>
                <w:lang w:val="en-GB"/>
              </w:rPr>
            </w:pPr>
            <w:r w:rsidRPr="00DB6C99">
              <w:rPr>
                <w:rFonts w:ascii="Garamond" w:hAnsi="Garamond"/>
                <w:i/>
                <w:iCs/>
                <w:sz w:val="20"/>
                <w:szCs w:val="20"/>
                <w:lang w:val="en-GB"/>
              </w:rPr>
              <w:t>SLACK</w:t>
            </w:r>
          </w:p>
        </w:tc>
        <w:tc>
          <w:tcPr>
            <w:tcW w:w="1072" w:type="dxa"/>
            <w:vAlign w:val="center"/>
          </w:tcPr>
          <w:p w14:paraId="636A9A56" w14:textId="77777777" w:rsidR="007C344D" w:rsidRPr="00DB6C99" w:rsidRDefault="007C344D" w:rsidP="007C344D">
            <w:pPr>
              <w:widowControl w:val="0"/>
              <w:tabs>
                <w:tab w:val="decimal" w:pos="312"/>
              </w:tabs>
              <w:autoSpaceDE w:val="0"/>
              <w:autoSpaceDN w:val="0"/>
              <w:adjustRightInd w:val="0"/>
              <w:jc w:val="center"/>
              <w:rPr>
                <w:rFonts w:ascii="Garamond" w:hAnsi="Garamond"/>
                <w:sz w:val="20"/>
                <w:szCs w:val="20"/>
              </w:rPr>
            </w:pPr>
            <w:r w:rsidRPr="00DB6C99">
              <w:rPr>
                <w:rFonts w:ascii="Garamond" w:hAnsi="Garamond"/>
                <w:sz w:val="20"/>
                <w:szCs w:val="20"/>
              </w:rPr>
              <w:t>0.952</w:t>
            </w:r>
          </w:p>
        </w:tc>
        <w:tc>
          <w:tcPr>
            <w:tcW w:w="1662" w:type="dxa"/>
            <w:vAlign w:val="center"/>
          </w:tcPr>
          <w:p w14:paraId="0BAFBC0C" w14:textId="77777777" w:rsidR="007C344D" w:rsidRPr="00DB6C99" w:rsidRDefault="007C344D" w:rsidP="007C344D">
            <w:pPr>
              <w:widowControl w:val="0"/>
              <w:tabs>
                <w:tab w:val="decimal" w:pos="563"/>
              </w:tabs>
              <w:autoSpaceDE w:val="0"/>
              <w:autoSpaceDN w:val="0"/>
              <w:adjustRightInd w:val="0"/>
              <w:jc w:val="center"/>
              <w:rPr>
                <w:rFonts w:ascii="Garamond" w:hAnsi="Garamond"/>
                <w:sz w:val="20"/>
                <w:szCs w:val="20"/>
              </w:rPr>
            </w:pPr>
            <w:r w:rsidRPr="00DB6C99">
              <w:rPr>
                <w:rFonts w:ascii="Garamond" w:hAnsi="Garamond"/>
                <w:sz w:val="20"/>
                <w:szCs w:val="20"/>
              </w:rPr>
              <w:t>1.233</w:t>
            </w:r>
          </w:p>
        </w:tc>
        <w:tc>
          <w:tcPr>
            <w:tcW w:w="1908" w:type="dxa"/>
            <w:vAlign w:val="center"/>
          </w:tcPr>
          <w:p w14:paraId="6FCDD3ED" w14:textId="77777777" w:rsidR="007C344D" w:rsidRPr="00DB6C99" w:rsidRDefault="007C344D" w:rsidP="007C344D">
            <w:pPr>
              <w:widowControl w:val="0"/>
              <w:tabs>
                <w:tab w:val="decimal" w:pos="413"/>
              </w:tabs>
              <w:autoSpaceDE w:val="0"/>
              <w:autoSpaceDN w:val="0"/>
              <w:adjustRightInd w:val="0"/>
              <w:jc w:val="center"/>
              <w:rPr>
                <w:rFonts w:ascii="Garamond" w:hAnsi="Garamond"/>
                <w:sz w:val="20"/>
                <w:szCs w:val="20"/>
              </w:rPr>
            </w:pPr>
            <w:r w:rsidRPr="00DB6C99">
              <w:rPr>
                <w:rFonts w:ascii="Garamond" w:hAnsi="Garamond"/>
                <w:sz w:val="20"/>
                <w:szCs w:val="20"/>
              </w:rPr>
              <w:t>1.327</w:t>
            </w:r>
          </w:p>
        </w:tc>
        <w:tc>
          <w:tcPr>
            <w:tcW w:w="1599" w:type="dxa"/>
            <w:vAlign w:val="center"/>
          </w:tcPr>
          <w:p w14:paraId="46481472" w14:textId="77777777" w:rsidR="007C344D" w:rsidRPr="00DB6C99" w:rsidRDefault="007C344D" w:rsidP="007C344D">
            <w:pPr>
              <w:widowControl w:val="0"/>
              <w:tabs>
                <w:tab w:val="decimal" w:pos="412"/>
              </w:tabs>
              <w:autoSpaceDE w:val="0"/>
              <w:autoSpaceDN w:val="0"/>
              <w:adjustRightInd w:val="0"/>
              <w:jc w:val="center"/>
              <w:rPr>
                <w:rFonts w:ascii="Garamond" w:hAnsi="Garamond"/>
                <w:sz w:val="20"/>
                <w:szCs w:val="20"/>
              </w:rPr>
            </w:pPr>
            <w:r w:rsidRPr="00DB6C99">
              <w:rPr>
                <w:rFonts w:ascii="Garamond" w:hAnsi="Garamond"/>
                <w:sz w:val="20"/>
                <w:szCs w:val="20"/>
              </w:rPr>
              <w:t>0.892</w:t>
            </w:r>
          </w:p>
        </w:tc>
        <w:tc>
          <w:tcPr>
            <w:tcW w:w="1420" w:type="dxa"/>
            <w:vAlign w:val="center"/>
          </w:tcPr>
          <w:p w14:paraId="5645423D" w14:textId="77777777" w:rsidR="007C344D" w:rsidRPr="00DB6C99" w:rsidRDefault="007C344D" w:rsidP="007C344D">
            <w:pPr>
              <w:widowControl w:val="0"/>
              <w:tabs>
                <w:tab w:val="decimal" w:pos="304"/>
              </w:tabs>
              <w:autoSpaceDE w:val="0"/>
              <w:autoSpaceDN w:val="0"/>
              <w:adjustRightInd w:val="0"/>
              <w:jc w:val="both"/>
              <w:rPr>
                <w:rFonts w:ascii="Garamond" w:hAnsi="Garamond"/>
                <w:sz w:val="20"/>
                <w:szCs w:val="20"/>
              </w:rPr>
            </w:pPr>
            <w:r w:rsidRPr="00DB6C99">
              <w:rPr>
                <w:rFonts w:ascii="Garamond" w:hAnsi="Garamond"/>
                <w:sz w:val="20"/>
                <w:szCs w:val="20"/>
              </w:rPr>
              <w:t>0.434***</w:t>
            </w:r>
          </w:p>
        </w:tc>
      </w:tr>
      <w:tr w:rsidR="00DB6C99" w:rsidRPr="00DB6C99" w14:paraId="4F4D6FD0" w14:textId="77777777" w:rsidTr="007C344D">
        <w:trPr>
          <w:trHeight w:val="298"/>
          <w:jc w:val="center"/>
        </w:trPr>
        <w:tc>
          <w:tcPr>
            <w:tcW w:w="2467" w:type="dxa"/>
            <w:vAlign w:val="center"/>
          </w:tcPr>
          <w:p w14:paraId="5282820A" w14:textId="77777777" w:rsidR="007C344D" w:rsidRPr="00DB6C99" w:rsidRDefault="007C344D" w:rsidP="007C344D">
            <w:pPr>
              <w:widowControl w:val="0"/>
              <w:autoSpaceDE w:val="0"/>
              <w:autoSpaceDN w:val="0"/>
              <w:adjustRightInd w:val="0"/>
              <w:rPr>
                <w:rFonts w:ascii="Garamond" w:hAnsi="Garamond"/>
                <w:i/>
                <w:iCs/>
                <w:sz w:val="20"/>
                <w:szCs w:val="20"/>
                <w:lang w:val="en-GB"/>
              </w:rPr>
            </w:pPr>
            <w:r w:rsidRPr="00DB6C99">
              <w:rPr>
                <w:rFonts w:ascii="Garamond" w:hAnsi="Garamond"/>
                <w:i/>
                <w:iCs/>
                <w:sz w:val="20"/>
                <w:szCs w:val="20"/>
                <w:lang w:val="en-GB"/>
              </w:rPr>
              <w:t>COD</w:t>
            </w:r>
          </w:p>
        </w:tc>
        <w:tc>
          <w:tcPr>
            <w:tcW w:w="1072" w:type="dxa"/>
            <w:vAlign w:val="center"/>
          </w:tcPr>
          <w:p w14:paraId="73C3AC6C" w14:textId="77777777" w:rsidR="007C344D" w:rsidRPr="00DB6C99" w:rsidRDefault="007C344D" w:rsidP="007C344D">
            <w:pPr>
              <w:widowControl w:val="0"/>
              <w:tabs>
                <w:tab w:val="decimal" w:pos="312"/>
              </w:tabs>
              <w:autoSpaceDE w:val="0"/>
              <w:autoSpaceDN w:val="0"/>
              <w:adjustRightInd w:val="0"/>
              <w:jc w:val="center"/>
              <w:rPr>
                <w:rFonts w:ascii="Garamond" w:hAnsi="Garamond"/>
                <w:sz w:val="20"/>
                <w:szCs w:val="20"/>
              </w:rPr>
            </w:pPr>
            <w:r w:rsidRPr="00DB6C99">
              <w:rPr>
                <w:rFonts w:ascii="Garamond" w:hAnsi="Garamond"/>
                <w:sz w:val="20"/>
                <w:szCs w:val="20"/>
              </w:rPr>
              <w:t>0.071</w:t>
            </w:r>
          </w:p>
        </w:tc>
        <w:tc>
          <w:tcPr>
            <w:tcW w:w="1662" w:type="dxa"/>
            <w:vAlign w:val="center"/>
          </w:tcPr>
          <w:p w14:paraId="34BA8F90" w14:textId="77777777" w:rsidR="007C344D" w:rsidRPr="00DB6C99" w:rsidRDefault="007C344D" w:rsidP="007C344D">
            <w:pPr>
              <w:widowControl w:val="0"/>
              <w:tabs>
                <w:tab w:val="decimal" w:pos="563"/>
              </w:tabs>
              <w:autoSpaceDE w:val="0"/>
              <w:autoSpaceDN w:val="0"/>
              <w:adjustRightInd w:val="0"/>
              <w:jc w:val="center"/>
              <w:rPr>
                <w:rFonts w:ascii="Garamond" w:hAnsi="Garamond"/>
                <w:sz w:val="20"/>
                <w:szCs w:val="20"/>
              </w:rPr>
            </w:pPr>
            <w:r w:rsidRPr="00DB6C99">
              <w:rPr>
                <w:rFonts w:ascii="Garamond" w:hAnsi="Garamond"/>
                <w:sz w:val="20"/>
                <w:szCs w:val="20"/>
              </w:rPr>
              <w:t>0.050</w:t>
            </w:r>
          </w:p>
        </w:tc>
        <w:tc>
          <w:tcPr>
            <w:tcW w:w="1908" w:type="dxa"/>
            <w:vAlign w:val="center"/>
          </w:tcPr>
          <w:p w14:paraId="7422698A" w14:textId="77777777" w:rsidR="007C344D" w:rsidRPr="00DB6C99" w:rsidRDefault="007C344D" w:rsidP="007C344D">
            <w:pPr>
              <w:widowControl w:val="0"/>
              <w:tabs>
                <w:tab w:val="decimal" w:pos="413"/>
              </w:tabs>
              <w:autoSpaceDE w:val="0"/>
              <w:autoSpaceDN w:val="0"/>
              <w:adjustRightInd w:val="0"/>
              <w:jc w:val="center"/>
              <w:rPr>
                <w:rFonts w:ascii="Garamond" w:hAnsi="Garamond"/>
                <w:sz w:val="20"/>
                <w:szCs w:val="20"/>
              </w:rPr>
            </w:pPr>
            <w:r w:rsidRPr="00DB6C99">
              <w:rPr>
                <w:rFonts w:ascii="Garamond" w:hAnsi="Garamond"/>
                <w:sz w:val="20"/>
                <w:szCs w:val="20"/>
              </w:rPr>
              <w:t>0.072</w:t>
            </w:r>
          </w:p>
        </w:tc>
        <w:tc>
          <w:tcPr>
            <w:tcW w:w="1599" w:type="dxa"/>
            <w:vAlign w:val="center"/>
          </w:tcPr>
          <w:p w14:paraId="6737D85A" w14:textId="77777777" w:rsidR="007C344D" w:rsidRPr="00DB6C99" w:rsidRDefault="007C344D" w:rsidP="007C344D">
            <w:pPr>
              <w:widowControl w:val="0"/>
              <w:tabs>
                <w:tab w:val="decimal" w:pos="412"/>
              </w:tabs>
              <w:autoSpaceDE w:val="0"/>
              <w:autoSpaceDN w:val="0"/>
              <w:adjustRightInd w:val="0"/>
              <w:jc w:val="center"/>
              <w:rPr>
                <w:rFonts w:ascii="Garamond" w:hAnsi="Garamond"/>
                <w:sz w:val="20"/>
                <w:szCs w:val="20"/>
              </w:rPr>
            </w:pPr>
            <w:r w:rsidRPr="00DB6C99">
              <w:rPr>
                <w:rFonts w:ascii="Garamond" w:hAnsi="Garamond"/>
                <w:sz w:val="20"/>
                <w:szCs w:val="20"/>
              </w:rPr>
              <w:t>0.070</w:t>
            </w:r>
          </w:p>
        </w:tc>
        <w:tc>
          <w:tcPr>
            <w:tcW w:w="1420" w:type="dxa"/>
            <w:vAlign w:val="center"/>
          </w:tcPr>
          <w:p w14:paraId="6473F366" w14:textId="77777777" w:rsidR="007C344D" w:rsidRPr="00DB6C99" w:rsidRDefault="007C344D" w:rsidP="007C344D">
            <w:pPr>
              <w:widowControl w:val="0"/>
              <w:tabs>
                <w:tab w:val="decimal" w:pos="304"/>
              </w:tabs>
              <w:autoSpaceDE w:val="0"/>
              <w:autoSpaceDN w:val="0"/>
              <w:adjustRightInd w:val="0"/>
              <w:jc w:val="both"/>
              <w:rPr>
                <w:rFonts w:ascii="Garamond" w:hAnsi="Garamond"/>
                <w:sz w:val="20"/>
                <w:szCs w:val="20"/>
              </w:rPr>
            </w:pPr>
            <w:r w:rsidRPr="00DB6C99">
              <w:rPr>
                <w:rFonts w:ascii="Garamond" w:hAnsi="Garamond"/>
                <w:sz w:val="20"/>
                <w:szCs w:val="20"/>
              </w:rPr>
              <w:t>0.002</w:t>
            </w:r>
          </w:p>
        </w:tc>
      </w:tr>
      <w:tr w:rsidR="00DB6C99" w:rsidRPr="00DB6C99" w14:paraId="084DE51F" w14:textId="77777777" w:rsidTr="007C344D">
        <w:trPr>
          <w:trHeight w:val="298"/>
          <w:jc w:val="center"/>
        </w:trPr>
        <w:tc>
          <w:tcPr>
            <w:tcW w:w="2467" w:type="dxa"/>
            <w:vAlign w:val="center"/>
          </w:tcPr>
          <w:p w14:paraId="68C75DA5" w14:textId="77777777" w:rsidR="007C344D" w:rsidRPr="00DB6C99" w:rsidRDefault="007C344D" w:rsidP="007C344D">
            <w:pPr>
              <w:widowControl w:val="0"/>
              <w:autoSpaceDE w:val="0"/>
              <w:autoSpaceDN w:val="0"/>
              <w:adjustRightInd w:val="0"/>
              <w:rPr>
                <w:rFonts w:ascii="Garamond" w:hAnsi="Garamond"/>
                <w:i/>
                <w:iCs/>
                <w:sz w:val="20"/>
                <w:szCs w:val="20"/>
              </w:rPr>
            </w:pPr>
            <w:r w:rsidRPr="00DB6C99">
              <w:rPr>
                <w:rFonts w:ascii="Garamond" w:hAnsi="Garamond"/>
                <w:i/>
                <w:iCs/>
                <w:sz w:val="20"/>
                <w:szCs w:val="20"/>
                <w:lang w:val="en-GB"/>
              </w:rPr>
              <w:t>INST</w:t>
            </w:r>
          </w:p>
        </w:tc>
        <w:tc>
          <w:tcPr>
            <w:tcW w:w="1072" w:type="dxa"/>
            <w:vAlign w:val="center"/>
          </w:tcPr>
          <w:p w14:paraId="4360700A" w14:textId="77777777" w:rsidR="007C344D" w:rsidRPr="00DB6C99" w:rsidRDefault="007C344D" w:rsidP="007C344D">
            <w:pPr>
              <w:widowControl w:val="0"/>
              <w:tabs>
                <w:tab w:val="decimal" w:pos="312"/>
              </w:tabs>
              <w:autoSpaceDE w:val="0"/>
              <w:autoSpaceDN w:val="0"/>
              <w:adjustRightInd w:val="0"/>
              <w:jc w:val="center"/>
              <w:rPr>
                <w:rFonts w:ascii="Garamond" w:hAnsi="Garamond"/>
                <w:sz w:val="20"/>
                <w:szCs w:val="20"/>
              </w:rPr>
            </w:pPr>
            <w:r w:rsidRPr="00DB6C99">
              <w:rPr>
                <w:rFonts w:ascii="Garamond" w:hAnsi="Garamond"/>
                <w:sz w:val="20"/>
                <w:szCs w:val="20"/>
              </w:rPr>
              <w:t>0.736</w:t>
            </w:r>
          </w:p>
        </w:tc>
        <w:tc>
          <w:tcPr>
            <w:tcW w:w="1662" w:type="dxa"/>
            <w:vAlign w:val="center"/>
          </w:tcPr>
          <w:p w14:paraId="65B6F517" w14:textId="77777777" w:rsidR="007C344D" w:rsidRPr="00DB6C99" w:rsidRDefault="007C344D" w:rsidP="007C344D">
            <w:pPr>
              <w:widowControl w:val="0"/>
              <w:tabs>
                <w:tab w:val="decimal" w:pos="563"/>
              </w:tabs>
              <w:autoSpaceDE w:val="0"/>
              <w:autoSpaceDN w:val="0"/>
              <w:adjustRightInd w:val="0"/>
              <w:jc w:val="center"/>
              <w:rPr>
                <w:rFonts w:ascii="Garamond" w:hAnsi="Garamond"/>
                <w:sz w:val="20"/>
                <w:szCs w:val="20"/>
              </w:rPr>
            </w:pPr>
            <w:r w:rsidRPr="00DB6C99">
              <w:rPr>
                <w:rFonts w:ascii="Garamond" w:hAnsi="Garamond"/>
                <w:sz w:val="20"/>
                <w:szCs w:val="20"/>
              </w:rPr>
              <w:t>0.441</w:t>
            </w:r>
          </w:p>
        </w:tc>
        <w:tc>
          <w:tcPr>
            <w:tcW w:w="1908" w:type="dxa"/>
            <w:vAlign w:val="center"/>
          </w:tcPr>
          <w:p w14:paraId="36E55BCE" w14:textId="77777777" w:rsidR="007C344D" w:rsidRPr="00DB6C99" w:rsidRDefault="007C344D" w:rsidP="007C344D">
            <w:pPr>
              <w:widowControl w:val="0"/>
              <w:tabs>
                <w:tab w:val="decimal" w:pos="413"/>
              </w:tabs>
              <w:autoSpaceDE w:val="0"/>
              <w:autoSpaceDN w:val="0"/>
              <w:adjustRightInd w:val="0"/>
              <w:jc w:val="center"/>
              <w:rPr>
                <w:rFonts w:ascii="Garamond" w:hAnsi="Garamond"/>
                <w:sz w:val="20"/>
                <w:szCs w:val="20"/>
              </w:rPr>
            </w:pPr>
            <w:r w:rsidRPr="00DB6C99">
              <w:rPr>
                <w:rFonts w:ascii="Garamond" w:hAnsi="Garamond"/>
                <w:sz w:val="20"/>
                <w:szCs w:val="20"/>
              </w:rPr>
              <w:t>0.771</w:t>
            </w:r>
          </w:p>
        </w:tc>
        <w:tc>
          <w:tcPr>
            <w:tcW w:w="1599" w:type="dxa"/>
            <w:vAlign w:val="center"/>
          </w:tcPr>
          <w:p w14:paraId="17FFCF9F" w14:textId="77777777" w:rsidR="007C344D" w:rsidRPr="00DB6C99" w:rsidRDefault="007C344D" w:rsidP="007C344D">
            <w:pPr>
              <w:widowControl w:val="0"/>
              <w:tabs>
                <w:tab w:val="decimal" w:pos="412"/>
              </w:tabs>
              <w:autoSpaceDE w:val="0"/>
              <w:autoSpaceDN w:val="0"/>
              <w:adjustRightInd w:val="0"/>
              <w:jc w:val="center"/>
              <w:rPr>
                <w:rFonts w:ascii="Garamond" w:hAnsi="Garamond"/>
                <w:sz w:val="20"/>
                <w:szCs w:val="20"/>
              </w:rPr>
            </w:pPr>
            <w:r w:rsidRPr="00DB6C99">
              <w:rPr>
                <w:rFonts w:ascii="Garamond" w:hAnsi="Garamond"/>
                <w:sz w:val="20"/>
                <w:szCs w:val="20"/>
              </w:rPr>
              <w:t>0.730</w:t>
            </w:r>
          </w:p>
        </w:tc>
        <w:tc>
          <w:tcPr>
            <w:tcW w:w="1420" w:type="dxa"/>
            <w:vAlign w:val="center"/>
          </w:tcPr>
          <w:p w14:paraId="4BCCBBD0" w14:textId="77777777" w:rsidR="007C344D" w:rsidRPr="00DB6C99" w:rsidRDefault="007C344D" w:rsidP="007C344D">
            <w:pPr>
              <w:widowControl w:val="0"/>
              <w:tabs>
                <w:tab w:val="decimal" w:pos="304"/>
              </w:tabs>
              <w:autoSpaceDE w:val="0"/>
              <w:autoSpaceDN w:val="0"/>
              <w:adjustRightInd w:val="0"/>
              <w:jc w:val="both"/>
              <w:rPr>
                <w:rFonts w:ascii="Garamond" w:hAnsi="Garamond"/>
                <w:sz w:val="20"/>
                <w:szCs w:val="20"/>
              </w:rPr>
            </w:pPr>
            <w:r w:rsidRPr="00DB6C99">
              <w:rPr>
                <w:rFonts w:ascii="Garamond" w:hAnsi="Garamond"/>
                <w:sz w:val="20"/>
                <w:szCs w:val="20"/>
              </w:rPr>
              <w:t>0.041***</w:t>
            </w:r>
          </w:p>
        </w:tc>
      </w:tr>
      <w:tr w:rsidR="00DB6C99" w:rsidRPr="00DB6C99" w14:paraId="78C3368A" w14:textId="77777777" w:rsidTr="007C344D">
        <w:trPr>
          <w:trHeight w:val="276"/>
          <w:jc w:val="center"/>
        </w:trPr>
        <w:tc>
          <w:tcPr>
            <w:tcW w:w="2467" w:type="dxa"/>
            <w:tcBorders>
              <w:bottom w:val="nil"/>
            </w:tcBorders>
            <w:vAlign w:val="center"/>
          </w:tcPr>
          <w:p w14:paraId="2F5B7F79" w14:textId="77777777" w:rsidR="007C344D" w:rsidRPr="00DB6C99" w:rsidRDefault="007C344D" w:rsidP="007C344D">
            <w:pPr>
              <w:widowControl w:val="0"/>
              <w:autoSpaceDE w:val="0"/>
              <w:autoSpaceDN w:val="0"/>
              <w:adjustRightInd w:val="0"/>
              <w:rPr>
                <w:rFonts w:ascii="Garamond" w:hAnsi="Garamond"/>
                <w:i/>
                <w:iCs/>
                <w:sz w:val="20"/>
                <w:szCs w:val="20"/>
                <w:highlight w:val="yellow"/>
              </w:rPr>
            </w:pPr>
            <w:r w:rsidRPr="00DB6C99">
              <w:rPr>
                <w:rFonts w:ascii="Garamond" w:hAnsi="Garamond"/>
                <w:i/>
                <w:iCs/>
                <w:sz w:val="20"/>
                <w:szCs w:val="20"/>
                <w:lang w:val="en-GB"/>
              </w:rPr>
              <w:t>STATE</w:t>
            </w:r>
          </w:p>
        </w:tc>
        <w:tc>
          <w:tcPr>
            <w:tcW w:w="1072" w:type="dxa"/>
            <w:tcBorders>
              <w:bottom w:val="nil"/>
            </w:tcBorders>
            <w:vAlign w:val="center"/>
          </w:tcPr>
          <w:p w14:paraId="64361B0C" w14:textId="77777777" w:rsidR="007C344D" w:rsidRPr="00DB6C99" w:rsidRDefault="007C344D" w:rsidP="007C344D">
            <w:pPr>
              <w:widowControl w:val="0"/>
              <w:tabs>
                <w:tab w:val="decimal" w:pos="312"/>
              </w:tabs>
              <w:autoSpaceDE w:val="0"/>
              <w:autoSpaceDN w:val="0"/>
              <w:adjustRightInd w:val="0"/>
              <w:jc w:val="center"/>
              <w:rPr>
                <w:rFonts w:ascii="Garamond" w:hAnsi="Garamond"/>
                <w:sz w:val="20"/>
                <w:szCs w:val="20"/>
              </w:rPr>
            </w:pPr>
            <w:r w:rsidRPr="00DB6C99">
              <w:rPr>
                <w:rFonts w:ascii="Garamond" w:hAnsi="Garamond"/>
                <w:sz w:val="20"/>
                <w:szCs w:val="20"/>
              </w:rPr>
              <w:t>0.005</w:t>
            </w:r>
          </w:p>
        </w:tc>
        <w:tc>
          <w:tcPr>
            <w:tcW w:w="1662" w:type="dxa"/>
            <w:tcBorders>
              <w:bottom w:val="nil"/>
            </w:tcBorders>
            <w:vAlign w:val="center"/>
          </w:tcPr>
          <w:p w14:paraId="0AB89040" w14:textId="77777777" w:rsidR="007C344D" w:rsidRPr="00DB6C99" w:rsidRDefault="007C344D" w:rsidP="007C344D">
            <w:pPr>
              <w:widowControl w:val="0"/>
              <w:tabs>
                <w:tab w:val="decimal" w:pos="563"/>
              </w:tabs>
              <w:autoSpaceDE w:val="0"/>
              <w:autoSpaceDN w:val="0"/>
              <w:adjustRightInd w:val="0"/>
              <w:jc w:val="center"/>
              <w:rPr>
                <w:rFonts w:ascii="Garamond" w:hAnsi="Garamond"/>
                <w:sz w:val="20"/>
                <w:szCs w:val="20"/>
              </w:rPr>
            </w:pPr>
            <w:r w:rsidRPr="00DB6C99">
              <w:rPr>
                <w:rFonts w:ascii="Garamond" w:hAnsi="Garamond"/>
                <w:sz w:val="20"/>
                <w:szCs w:val="20"/>
              </w:rPr>
              <w:t>0.072</w:t>
            </w:r>
          </w:p>
        </w:tc>
        <w:tc>
          <w:tcPr>
            <w:tcW w:w="1908" w:type="dxa"/>
            <w:tcBorders>
              <w:bottom w:val="nil"/>
            </w:tcBorders>
            <w:vAlign w:val="center"/>
          </w:tcPr>
          <w:p w14:paraId="6582A883" w14:textId="77777777" w:rsidR="007C344D" w:rsidRPr="00DB6C99" w:rsidRDefault="007C344D" w:rsidP="007C344D">
            <w:pPr>
              <w:widowControl w:val="0"/>
              <w:tabs>
                <w:tab w:val="decimal" w:pos="413"/>
              </w:tabs>
              <w:autoSpaceDE w:val="0"/>
              <w:autoSpaceDN w:val="0"/>
              <w:adjustRightInd w:val="0"/>
              <w:jc w:val="center"/>
              <w:rPr>
                <w:rFonts w:ascii="Garamond" w:hAnsi="Garamond"/>
                <w:sz w:val="20"/>
                <w:szCs w:val="20"/>
              </w:rPr>
            </w:pPr>
            <w:r w:rsidRPr="00DB6C99">
              <w:rPr>
                <w:rFonts w:ascii="Garamond" w:hAnsi="Garamond"/>
                <w:sz w:val="20"/>
                <w:szCs w:val="20"/>
              </w:rPr>
              <w:t>0.004</w:t>
            </w:r>
          </w:p>
        </w:tc>
        <w:tc>
          <w:tcPr>
            <w:tcW w:w="1599" w:type="dxa"/>
            <w:tcBorders>
              <w:bottom w:val="nil"/>
            </w:tcBorders>
            <w:vAlign w:val="center"/>
          </w:tcPr>
          <w:p w14:paraId="60878B72" w14:textId="77777777" w:rsidR="007C344D" w:rsidRPr="00DB6C99" w:rsidRDefault="007C344D" w:rsidP="007C344D">
            <w:pPr>
              <w:widowControl w:val="0"/>
              <w:tabs>
                <w:tab w:val="decimal" w:pos="412"/>
              </w:tabs>
              <w:autoSpaceDE w:val="0"/>
              <w:autoSpaceDN w:val="0"/>
              <w:adjustRightInd w:val="0"/>
              <w:jc w:val="center"/>
              <w:rPr>
                <w:rFonts w:ascii="Garamond" w:hAnsi="Garamond"/>
                <w:sz w:val="20"/>
                <w:szCs w:val="20"/>
              </w:rPr>
            </w:pPr>
            <w:r w:rsidRPr="00DB6C99">
              <w:rPr>
                <w:rFonts w:ascii="Garamond" w:hAnsi="Garamond"/>
                <w:sz w:val="20"/>
                <w:szCs w:val="20"/>
              </w:rPr>
              <w:t>0.006</w:t>
            </w:r>
          </w:p>
        </w:tc>
        <w:tc>
          <w:tcPr>
            <w:tcW w:w="1420" w:type="dxa"/>
            <w:tcBorders>
              <w:bottom w:val="nil"/>
            </w:tcBorders>
            <w:vAlign w:val="center"/>
          </w:tcPr>
          <w:p w14:paraId="4AFD76CB" w14:textId="77777777" w:rsidR="007C344D" w:rsidRPr="00DB6C99" w:rsidRDefault="007C344D" w:rsidP="007C344D">
            <w:pPr>
              <w:widowControl w:val="0"/>
              <w:tabs>
                <w:tab w:val="decimal" w:pos="304"/>
              </w:tabs>
              <w:autoSpaceDE w:val="0"/>
              <w:autoSpaceDN w:val="0"/>
              <w:adjustRightInd w:val="0"/>
              <w:jc w:val="both"/>
              <w:rPr>
                <w:rFonts w:ascii="Garamond" w:hAnsi="Garamond"/>
                <w:sz w:val="20"/>
                <w:szCs w:val="20"/>
              </w:rPr>
            </w:pPr>
            <w:r w:rsidRPr="00DB6C99">
              <w:rPr>
                <w:rFonts w:ascii="Garamond" w:hAnsi="Garamond"/>
                <w:sz w:val="20"/>
                <w:szCs w:val="20"/>
              </w:rPr>
              <w:t>-0.002</w:t>
            </w:r>
          </w:p>
        </w:tc>
      </w:tr>
      <w:tr w:rsidR="00DB6C99" w:rsidRPr="00DB6C99" w14:paraId="48726288" w14:textId="77777777" w:rsidTr="007C344D">
        <w:trPr>
          <w:trHeight w:val="298"/>
          <w:jc w:val="center"/>
        </w:trPr>
        <w:tc>
          <w:tcPr>
            <w:tcW w:w="2467" w:type="dxa"/>
            <w:tcBorders>
              <w:top w:val="nil"/>
              <w:bottom w:val="single" w:sz="4" w:space="0" w:color="auto"/>
            </w:tcBorders>
            <w:vAlign w:val="center"/>
          </w:tcPr>
          <w:p w14:paraId="74104271" w14:textId="77777777" w:rsidR="007C344D" w:rsidRPr="00DB6C99" w:rsidRDefault="007C344D" w:rsidP="007C344D">
            <w:pPr>
              <w:widowControl w:val="0"/>
              <w:autoSpaceDE w:val="0"/>
              <w:autoSpaceDN w:val="0"/>
              <w:adjustRightInd w:val="0"/>
              <w:rPr>
                <w:rFonts w:ascii="Garamond" w:hAnsi="Garamond"/>
                <w:i/>
                <w:iCs/>
                <w:sz w:val="20"/>
                <w:szCs w:val="20"/>
                <w:highlight w:val="yellow"/>
              </w:rPr>
            </w:pPr>
            <w:r w:rsidRPr="00DB6C99">
              <w:rPr>
                <w:rFonts w:ascii="Garamond" w:hAnsi="Garamond"/>
                <w:i/>
                <w:iCs/>
                <w:sz w:val="20"/>
                <w:szCs w:val="20"/>
                <w:lang w:val="en-GB"/>
              </w:rPr>
              <w:t>SIZE</w:t>
            </w:r>
          </w:p>
        </w:tc>
        <w:tc>
          <w:tcPr>
            <w:tcW w:w="1072" w:type="dxa"/>
            <w:tcBorders>
              <w:top w:val="nil"/>
              <w:bottom w:val="single" w:sz="4" w:space="0" w:color="auto"/>
            </w:tcBorders>
            <w:vAlign w:val="center"/>
          </w:tcPr>
          <w:p w14:paraId="2ED1E210" w14:textId="77777777" w:rsidR="007C344D" w:rsidRPr="00DB6C99" w:rsidRDefault="007C344D" w:rsidP="007C344D">
            <w:pPr>
              <w:widowControl w:val="0"/>
              <w:tabs>
                <w:tab w:val="decimal" w:pos="312"/>
              </w:tabs>
              <w:autoSpaceDE w:val="0"/>
              <w:autoSpaceDN w:val="0"/>
              <w:adjustRightInd w:val="0"/>
              <w:jc w:val="center"/>
              <w:rPr>
                <w:rFonts w:ascii="Garamond" w:hAnsi="Garamond"/>
                <w:sz w:val="20"/>
                <w:szCs w:val="20"/>
              </w:rPr>
            </w:pPr>
            <w:r w:rsidRPr="00DB6C99">
              <w:rPr>
                <w:rFonts w:ascii="Garamond" w:hAnsi="Garamond"/>
                <w:sz w:val="20"/>
                <w:szCs w:val="20"/>
              </w:rPr>
              <w:t>15.344</w:t>
            </w:r>
          </w:p>
        </w:tc>
        <w:tc>
          <w:tcPr>
            <w:tcW w:w="1662" w:type="dxa"/>
            <w:tcBorders>
              <w:top w:val="nil"/>
              <w:bottom w:val="single" w:sz="4" w:space="0" w:color="auto"/>
            </w:tcBorders>
            <w:vAlign w:val="center"/>
          </w:tcPr>
          <w:p w14:paraId="44DA40C6" w14:textId="77777777" w:rsidR="007C344D" w:rsidRPr="00DB6C99" w:rsidRDefault="007C344D" w:rsidP="007C344D">
            <w:pPr>
              <w:widowControl w:val="0"/>
              <w:tabs>
                <w:tab w:val="decimal" w:pos="563"/>
              </w:tabs>
              <w:autoSpaceDE w:val="0"/>
              <w:autoSpaceDN w:val="0"/>
              <w:adjustRightInd w:val="0"/>
              <w:jc w:val="center"/>
              <w:rPr>
                <w:rFonts w:ascii="Garamond" w:hAnsi="Garamond"/>
                <w:sz w:val="20"/>
                <w:szCs w:val="20"/>
              </w:rPr>
            </w:pPr>
            <w:r w:rsidRPr="00DB6C99">
              <w:rPr>
                <w:rFonts w:ascii="Garamond" w:hAnsi="Garamond"/>
                <w:sz w:val="20"/>
                <w:szCs w:val="20"/>
              </w:rPr>
              <w:t>1.338</w:t>
            </w:r>
          </w:p>
        </w:tc>
        <w:tc>
          <w:tcPr>
            <w:tcW w:w="1908" w:type="dxa"/>
            <w:tcBorders>
              <w:top w:val="nil"/>
              <w:bottom w:val="single" w:sz="4" w:space="0" w:color="auto"/>
            </w:tcBorders>
            <w:vAlign w:val="center"/>
          </w:tcPr>
          <w:p w14:paraId="03F3D848" w14:textId="77777777" w:rsidR="007C344D" w:rsidRPr="00DB6C99" w:rsidRDefault="007C344D" w:rsidP="007C344D">
            <w:pPr>
              <w:widowControl w:val="0"/>
              <w:tabs>
                <w:tab w:val="decimal" w:pos="413"/>
              </w:tabs>
              <w:autoSpaceDE w:val="0"/>
              <w:autoSpaceDN w:val="0"/>
              <w:adjustRightInd w:val="0"/>
              <w:jc w:val="center"/>
              <w:rPr>
                <w:rFonts w:ascii="Garamond" w:hAnsi="Garamond"/>
                <w:sz w:val="20"/>
                <w:szCs w:val="20"/>
              </w:rPr>
            </w:pPr>
            <w:r w:rsidRPr="00DB6C99">
              <w:rPr>
                <w:rFonts w:ascii="Garamond" w:hAnsi="Garamond"/>
                <w:sz w:val="20"/>
                <w:szCs w:val="20"/>
              </w:rPr>
              <w:t>14.511</w:t>
            </w:r>
          </w:p>
        </w:tc>
        <w:tc>
          <w:tcPr>
            <w:tcW w:w="1599" w:type="dxa"/>
            <w:tcBorders>
              <w:top w:val="nil"/>
              <w:bottom w:val="single" w:sz="4" w:space="0" w:color="auto"/>
            </w:tcBorders>
            <w:vAlign w:val="center"/>
          </w:tcPr>
          <w:p w14:paraId="3CBCE84C" w14:textId="77777777" w:rsidR="007C344D" w:rsidRPr="00DB6C99" w:rsidRDefault="007C344D" w:rsidP="007C344D">
            <w:pPr>
              <w:widowControl w:val="0"/>
              <w:tabs>
                <w:tab w:val="decimal" w:pos="412"/>
              </w:tabs>
              <w:autoSpaceDE w:val="0"/>
              <w:autoSpaceDN w:val="0"/>
              <w:adjustRightInd w:val="0"/>
              <w:jc w:val="center"/>
              <w:rPr>
                <w:rFonts w:ascii="Garamond" w:hAnsi="Garamond"/>
                <w:sz w:val="20"/>
                <w:szCs w:val="20"/>
              </w:rPr>
            </w:pPr>
            <w:r w:rsidRPr="00DB6C99">
              <w:rPr>
                <w:rFonts w:ascii="Garamond" w:hAnsi="Garamond"/>
                <w:sz w:val="20"/>
                <w:szCs w:val="20"/>
              </w:rPr>
              <w:t>15.476</w:t>
            </w:r>
          </w:p>
        </w:tc>
        <w:tc>
          <w:tcPr>
            <w:tcW w:w="1420" w:type="dxa"/>
            <w:tcBorders>
              <w:top w:val="nil"/>
              <w:bottom w:val="single" w:sz="4" w:space="0" w:color="auto"/>
            </w:tcBorders>
            <w:vAlign w:val="center"/>
          </w:tcPr>
          <w:p w14:paraId="3628708B" w14:textId="77777777" w:rsidR="007C344D" w:rsidRPr="00DB6C99" w:rsidRDefault="007C344D" w:rsidP="007C344D">
            <w:pPr>
              <w:widowControl w:val="0"/>
              <w:tabs>
                <w:tab w:val="decimal" w:pos="304"/>
              </w:tabs>
              <w:autoSpaceDE w:val="0"/>
              <w:autoSpaceDN w:val="0"/>
              <w:adjustRightInd w:val="0"/>
              <w:jc w:val="both"/>
              <w:rPr>
                <w:rFonts w:ascii="Garamond" w:hAnsi="Garamond"/>
                <w:sz w:val="20"/>
                <w:szCs w:val="20"/>
              </w:rPr>
            </w:pPr>
            <w:r w:rsidRPr="00DB6C99">
              <w:rPr>
                <w:rFonts w:ascii="Garamond" w:hAnsi="Garamond"/>
                <w:sz w:val="20"/>
                <w:szCs w:val="20"/>
              </w:rPr>
              <w:t>-0.965***</w:t>
            </w:r>
          </w:p>
        </w:tc>
      </w:tr>
      <w:tr w:rsidR="00DB6C99" w:rsidRPr="00DB6C99" w14:paraId="42970993" w14:textId="77777777" w:rsidTr="007C344D">
        <w:trPr>
          <w:trHeight w:val="237"/>
          <w:jc w:val="center"/>
        </w:trPr>
        <w:tc>
          <w:tcPr>
            <w:tcW w:w="10128" w:type="dxa"/>
            <w:gridSpan w:val="6"/>
            <w:tcBorders>
              <w:top w:val="single" w:sz="4" w:space="0" w:color="auto"/>
              <w:bottom w:val="nil"/>
            </w:tcBorders>
            <w:vAlign w:val="center"/>
          </w:tcPr>
          <w:p w14:paraId="673AD3AB" w14:textId="77777777" w:rsidR="007C344D" w:rsidRPr="00DB6C99" w:rsidRDefault="007C344D" w:rsidP="007C344D">
            <w:pPr>
              <w:ind w:right="-150"/>
              <w:jc w:val="both"/>
              <w:rPr>
                <w:rFonts w:ascii="Garamond" w:hAnsi="Garamond"/>
                <w:b/>
                <w:bCs/>
                <w:sz w:val="20"/>
                <w:szCs w:val="18"/>
              </w:rPr>
            </w:pPr>
            <w:r w:rsidRPr="00DB6C99">
              <w:rPr>
                <w:rFonts w:ascii="Garamond" w:hAnsi="Garamond"/>
                <w:b/>
                <w:bCs/>
                <w:sz w:val="20"/>
                <w:szCs w:val="18"/>
              </w:rPr>
              <w:t xml:space="preserve">Note: </w:t>
            </w:r>
            <w:r w:rsidRPr="00DB6C99">
              <w:rPr>
                <w:rFonts w:ascii="Garamond" w:hAnsi="Garamond"/>
                <w:sz w:val="20"/>
                <w:szCs w:val="18"/>
              </w:rPr>
              <w:t>This table presents the summary statistics for all variables based on the whole sample and mean differences for the sub-sample of firms with and without female directors.</w:t>
            </w:r>
            <w:r w:rsidRPr="00DB6C99">
              <w:rPr>
                <w:rFonts w:ascii="Garamond" w:hAnsi="Garamond"/>
                <w:b/>
                <w:bCs/>
                <w:sz w:val="20"/>
                <w:szCs w:val="18"/>
              </w:rPr>
              <w:t xml:space="preserve"> </w:t>
            </w:r>
          </w:p>
          <w:p w14:paraId="56D74646" w14:textId="77777777" w:rsidR="007C344D" w:rsidRPr="00DB6C99" w:rsidRDefault="007C344D" w:rsidP="007C344D">
            <w:pPr>
              <w:jc w:val="both"/>
              <w:rPr>
                <w:rFonts w:ascii="Garamond" w:hAnsi="Garamond"/>
                <w:sz w:val="20"/>
                <w:szCs w:val="18"/>
              </w:rPr>
            </w:pPr>
            <w:r w:rsidRPr="00DB6C99">
              <w:rPr>
                <w:rFonts w:ascii="Garamond" w:hAnsi="Garamond"/>
                <w:sz w:val="20"/>
                <w:szCs w:val="18"/>
              </w:rPr>
              <w:t xml:space="preserve">*,**, *** Represent significance at 0.1, 0.05 and 0.01 levels, respectively. </w:t>
            </w:r>
          </w:p>
          <w:p w14:paraId="1BAFCEA3" w14:textId="77777777" w:rsidR="007C344D" w:rsidRPr="00DB6C99" w:rsidRDefault="007C344D" w:rsidP="007C344D">
            <w:pPr>
              <w:jc w:val="both"/>
              <w:rPr>
                <w:rFonts w:ascii="Garamond" w:hAnsi="Garamond"/>
                <w:sz w:val="20"/>
                <w:szCs w:val="20"/>
              </w:rPr>
            </w:pPr>
            <w:r w:rsidRPr="00DB6C99">
              <w:rPr>
                <w:rFonts w:ascii="Garamond" w:hAnsi="Garamond"/>
                <w:sz w:val="20"/>
                <w:szCs w:val="20"/>
              </w:rPr>
              <w:t>All variables are as defined in Table 1.</w:t>
            </w:r>
          </w:p>
        </w:tc>
      </w:tr>
    </w:tbl>
    <w:p w14:paraId="37571562" w14:textId="77777777" w:rsidR="007C344D" w:rsidRPr="00DB6C99" w:rsidRDefault="007C344D" w:rsidP="007C344D">
      <w:pPr>
        <w:spacing w:after="0" w:line="240" w:lineRule="auto"/>
        <w:rPr>
          <w:rFonts w:ascii="Garamond" w:hAnsi="Garamond"/>
        </w:rPr>
        <w:sectPr w:rsidR="007C344D" w:rsidRPr="00DB6C99" w:rsidSect="007C344D">
          <w:pgSz w:w="12240" w:h="15840"/>
          <w:pgMar w:top="1440" w:right="1440" w:bottom="1440" w:left="1440" w:header="720" w:footer="720" w:gutter="0"/>
          <w:cols w:space="720"/>
          <w:docGrid w:linePitch="360"/>
        </w:sectPr>
      </w:pPr>
    </w:p>
    <w:p w14:paraId="22DC274C" w14:textId="77777777" w:rsidR="007C344D" w:rsidRPr="00DB6C99" w:rsidRDefault="007C344D" w:rsidP="007C344D">
      <w:pPr>
        <w:spacing w:after="0" w:line="240" w:lineRule="auto"/>
        <w:rPr>
          <w:rFonts w:ascii="Garamond" w:hAnsi="Garamond"/>
        </w:rPr>
      </w:pPr>
      <w:r w:rsidRPr="00DB6C99">
        <w:rPr>
          <w:rFonts w:ascii="Garamond" w:hAnsi="Garamond"/>
          <w:b/>
          <w:bCs/>
        </w:rPr>
        <w:lastRenderedPageBreak/>
        <w:t xml:space="preserve">Table 3: </w:t>
      </w:r>
      <w:r w:rsidRPr="00DB6C99">
        <w:rPr>
          <w:rFonts w:ascii="Garamond" w:hAnsi="Garamond"/>
        </w:rPr>
        <w:t>Correlation matrix</w:t>
      </w:r>
    </w:p>
    <w:tbl>
      <w:tblPr>
        <w:tblStyle w:val="TableGrid"/>
        <w:tblW w:w="15389"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928"/>
        <w:gridCol w:w="992"/>
        <w:gridCol w:w="850"/>
        <w:gridCol w:w="851"/>
        <w:gridCol w:w="850"/>
        <w:gridCol w:w="851"/>
        <w:gridCol w:w="992"/>
        <w:gridCol w:w="992"/>
        <w:gridCol w:w="851"/>
        <w:gridCol w:w="850"/>
        <w:gridCol w:w="851"/>
        <w:gridCol w:w="851"/>
        <w:gridCol w:w="851"/>
        <w:gridCol w:w="851"/>
        <w:gridCol w:w="851"/>
        <w:gridCol w:w="851"/>
      </w:tblGrid>
      <w:tr w:rsidR="00DB6C99" w:rsidRPr="00DB6C99" w14:paraId="68CA8667" w14:textId="77777777" w:rsidTr="00444533">
        <w:trPr>
          <w:cantSplit/>
          <w:trHeight w:val="20"/>
          <w:jc w:val="center"/>
        </w:trPr>
        <w:tc>
          <w:tcPr>
            <w:tcW w:w="1276" w:type="dxa"/>
            <w:tcBorders>
              <w:top w:val="single" w:sz="4" w:space="0" w:color="auto"/>
              <w:bottom w:val="single" w:sz="4" w:space="0" w:color="auto"/>
            </w:tcBorders>
            <w:vAlign w:val="center"/>
          </w:tcPr>
          <w:p w14:paraId="72DC4827" w14:textId="77777777" w:rsidR="007C344D" w:rsidRPr="00DB6C99" w:rsidRDefault="007C344D" w:rsidP="007C344D">
            <w:pPr>
              <w:contextualSpacing/>
              <w:rPr>
                <w:rFonts w:ascii="Garamond" w:hAnsi="Garamond"/>
                <w:sz w:val="20"/>
                <w:szCs w:val="20"/>
              </w:rPr>
            </w:pPr>
            <w:r w:rsidRPr="00DB6C99">
              <w:rPr>
                <w:rFonts w:ascii="Garamond" w:hAnsi="Garamond"/>
                <w:b/>
                <w:bCs/>
                <w:sz w:val="20"/>
                <w:szCs w:val="20"/>
              </w:rPr>
              <w:t>Variables</w:t>
            </w:r>
          </w:p>
        </w:tc>
        <w:tc>
          <w:tcPr>
            <w:tcW w:w="928" w:type="dxa"/>
            <w:tcBorders>
              <w:top w:val="single" w:sz="4" w:space="0" w:color="auto"/>
              <w:bottom w:val="single" w:sz="4" w:space="0" w:color="auto"/>
            </w:tcBorders>
            <w:vAlign w:val="center"/>
          </w:tcPr>
          <w:p w14:paraId="07C8ED31" w14:textId="77777777" w:rsidR="007C344D" w:rsidRPr="00DB6C99" w:rsidRDefault="007C344D" w:rsidP="007C344D">
            <w:pPr>
              <w:tabs>
                <w:tab w:val="decimal" w:pos="295"/>
              </w:tabs>
              <w:contextualSpacing/>
              <w:jc w:val="center"/>
              <w:rPr>
                <w:rFonts w:ascii="Garamond" w:hAnsi="Garamond"/>
                <w:b/>
                <w:bCs/>
                <w:i/>
                <w:iCs/>
                <w:sz w:val="20"/>
                <w:szCs w:val="20"/>
              </w:rPr>
            </w:pPr>
            <w:r w:rsidRPr="00DB6C99">
              <w:rPr>
                <w:rFonts w:ascii="Garamond" w:hAnsi="Garamond"/>
                <w:b/>
                <w:bCs/>
                <w:i/>
                <w:iCs/>
                <w:sz w:val="20"/>
                <w:szCs w:val="20"/>
              </w:rPr>
              <w:t>1</w:t>
            </w:r>
          </w:p>
        </w:tc>
        <w:tc>
          <w:tcPr>
            <w:tcW w:w="992" w:type="dxa"/>
            <w:tcBorders>
              <w:top w:val="single" w:sz="4" w:space="0" w:color="auto"/>
              <w:bottom w:val="single" w:sz="4" w:space="0" w:color="auto"/>
            </w:tcBorders>
            <w:vAlign w:val="center"/>
          </w:tcPr>
          <w:p w14:paraId="42402F5E" w14:textId="77777777" w:rsidR="007C344D" w:rsidRPr="00DB6C99" w:rsidRDefault="007C344D" w:rsidP="007C344D">
            <w:pPr>
              <w:tabs>
                <w:tab w:val="decimal" w:pos="0"/>
              </w:tabs>
              <w:contextualSpacing/>
              <w:jc w:val="center"/>
              <w:rPr>
                <w:rFonts w:ascii="Garamond" w:hAnsi="Garamond"/>
                <w:b/>
                <w:bCs/>
                <w:i/>
                <w:iCs/>
                <w:sz w:val="20"/>
                <w:szCs w:val="20"/>
              </w:rPr>
            </w:pPr>
            <w:r w:rsidRPr="00DB6C99">
              <w:rPr>
                <w:rFonts w:ascii="Garamond" w:hAnsi="Garamond"/>
                <w:b/>
                <w:bCs/>
                <w:i/>
                <w:iCs/>
                <w:sz w:val="20"/>
                <w:szCs w:val="20"/>
              </w:rPr>
              <w:t>2</w:t>
            </w:r>
          </w:p>
        </w:tc>
        <w:tc>
          <w:tcPr>
            <w:tcW w:w="850" w:type="dxa"/>
            <w:tcBorders>
              <w:top w:val="single" w:sz="4" w:space="0" w:color="auto"/>
              <w:bottom w:val="single" w:sz="4" w:space="0" w:color="auto"/>
            </w:tcBorders>
            <w:vAlign w:val="center"/>
          </w:tcPr>
          <w:p w14:paraId="3365F653" w14:textId="77777777" w:rsidR="007C344D" w:rsidRPr="00DB6C99" w:rsidRDefault="007C344D" w:rsidP="007C344D">
            <w:pPr>
              <w:tabs>
                <w:tab w:val="decimal" w:pos="173"/>
              </w:tabs>
              <w:contextualSpacing/>
              <w:jc w:val="center"/>
              <w:rPr>
                <w:rFonts w:ascii="Garamond" w:hAnsi="Garamond"/>
                <w:b/>
                <w:bCs/>
                <w:i/>
                <w:iCs/>
                <w:sz w:val="20"/>
                <w:szCs w:val="20"/>
              </w:rPr>
            </w:pPr>
            <w:r w:rsidRPr="00DB6C99">
              <w:rPr>
                <w:rFonts w:ascii="Garamond" w:hAnsi="Garamond"/>
                <w:b/>
                <w:bCs/>
                <w:i/>
                <w:iCs/>
                <w:sz w:val="20"/>
                <w:szCs w:val="20"/>
              </w:rPr>
              <w:t>3</w:t>
            </w:r>
          </w:p>
        </w:tc>
        <w:tc>
          <w:tcPr>
            <w:tcW w:w="851" w:type="dxa"/>
            <w:tcBorders>
              <w:top w:val="single" w:sz="4" w:space="0" w:color="auto"/>
              <w:bottom w:val="single" w:sz="4" w:space="0" w:color="auto"/>
            </w:tcBorders>
            <w:vAlign w:val="center"/>
          </w:tcPr>
          <w:p w14:paraId="69A7AB70" w14:textId="77777777" w:rsidR="007C344D" w:rsidRPr="00DB6C99" w:rsidRDefault="007C344D" w:rsidP="007C344D">
            <w:pPr>
              <w:tabs>
                <w:tab w:val="decimal" w:pos="173"/>
              </w:tabs>
              <w:contextualSpacing/>
              <w:jc w:val="center"/>
              <w:rPr>
                <w:rFonts w:ascii="Garamond" w:hAnsi="Garamond"/>
                <w:b/>
                <w:bCs/>
                <w:i/>
                <w:iCs/>
                <w:sz w:val="20"/>
                <w:szCs w:val="20"/>
              </w:rPr>
            </w:pPr>
            <w:r w:rsidRPr="00DB6C99">
              <w:rPr>
                <w:rFonts w:ascii="Garamond" w:hAnsi="Garamond"/>
                <w:b/>
                <w:bCs/>
                <w:i/>
                <w:iCs/>
                <w:sz w:val="20"/>
                <w:szCs w:val="20"/>
              </w:rPr>
              <w:t>4</w:t>
            </w:r>
          </w:p>
        </w:tc>
        <w:tc>
          <w:tcPr>
            <w:tcW w:w="850" w:type="dxa"/>
            <w:tcBorders>
              <w:top w:val="single" w:sz="4" w:space="0" w:color="auto"/>
              <w:bottom w:val="single" w:sz="4" w:space="0" w:color="auto"/>
            </w:tcBorders>
            <w:vAlign w:val="center"/>
          </w:tcPr>
          <w:p w14:paraId="6068C6FF" w14:textId="77777777" w:rsidR="007C344D" w:rsidRPr="00DB6C99" w:rsidRDefault="007C344D" w:rsidP="007C344D">
            <w:pPr>
              <w:tabs>
                <w:tab w:val="decimal" w:pos="172"/>
              </w:tabs>
              <w:contextualSpacing/>
              <w:jc w:val="center"/>
              <w:rPr>
                <w:rFonts w:ascii="Garamond" w:hAnsi="Garamond"/>
                <w:b/>
                <w:bCs/>
                <w:i/>
                <w:iCs/>
                <w:sz w:val="20"/>
                <w:szCs w:val="20"/>
              </w:rPr>
            </w:pPr>
            <w:r w:rsidRPr="00DB6C99">
              <w:rPr>
                <w:rFonts w:ascii="Garamond" w:hAnsi="Garamond"/>
                <w:b/>
                <w:bCs/>
                <w:i/>
                <w:iCs/>
                <w:sz w:val="20"/>
                <w:szCs w:val="20"/>
              </w:rPr>
              <w:t>5</w:t>
            </w:r>
          </w:p>
        </w:tc>
        <w:tc>
          <w:tcPr>
            <w:tcW w:w="851" w:type="dxa"/>
            <w:tcBorders>
              <w:top w:val="single" w:sz="4" w:space="0" w:color="auto"/>
              <w:bottom w:val="single" w:sz="4" w:space="0" w:color="auto"/>
            </w:tcBorders>
            <w:vAlign w:val="center"/>
          </w:tcPr>
          <w:p w14:paraId="2EA70047" w14:textId="77777777" w:rsidR="007C344D" w:rsidRPr="00DB6C99" w:rsidRDefault="007C344D" w:rsidP="007C344D">
            <w:pPr>
              <w:tabs>
                <w:tab w:val="decimal" w:pos="172"/>
              </w:tabs>
              <w:contextualSpacing/>
              <w:jc w:val="center"/>
              <w:rPr>
                <w:rFonts w:ascii="Garamond" w:hAnsi="Garamond"/>
                <w:b/>
                <w:bCs/>
                <w:i/>
                <w:iCs/>
                <w:sz w:val="20"/>
                <w:szCs w:val="20"/>
              </w:rPr>
            </w:pPr>
            <w:r w:rsidRPr="00DB6C99">
              <w:rPr>
                <w:rFonts w:ascii="Garamond" w:hAnsi="Garamond"/>
                <w:b/>
                <w:bCs/>
                <w:i/>
                <w:iCs/>
                <w:sz w:val="20"/>
                <w:szCs w:val="20"/>
              </w:rPr>
              <w:t>6</w:t>
            </w:r>
          </w:p>
        </w:tc>
        <w:tc>
          <w:tcPr>
            <w:tcW w:w="992" w:type="dxa"/>
            <w:tcBorders>
              <w:top w:val="single" w:sz="4" w:space="0" w:color="auto"/>
              <w:bottom w:val="single" w:sz="4" w:space="0" w:color="auto"/>
            </w:tcBorders>
            <w:vAlign w:val="center"/>
          </w:tcPr>
          <w:p w14:paraId="57C25CE3" w14:textId="77777777" w:rsidR="007C344D" w:rsidRPr="00DB6C99" w:rsidRDefault="007C344D" w:rsidP="007C344D">
            <w:pPr>
              <w:tabs>
                <w:tab w:val="decimal" w:pos="313"/>
              </w:tabs>
              <w:contextualSpacing/>
              <w:jc w:val="center"/>
              <w:rPr>
                <w:rFonts w:ascii="Garamond" w:hAnsi="Garamond"/>
                <w:b/>
                <w:bCs/>
                <w:i/>
                <w:iCs/>
                <w:sz w:val="20"/>
                <w:szCs w:val="20"/>
              </w:rPr>
            </w:pPr>
            <w:r w:rsidRPr="00DB6C99">
              <w:rPr>
                <w:rFonts w:ascii="Garamond" w:hAnsi="Garamond"/>
                <w:b/>
                <w:bCs/>
                <w:i/>
                <w:iCs/>
                <w:sz w:val="20"/>
                <w:szCs w:val="20"/>
              </w:rPr>
              <w:t>7</w:t>
            </w:r>
          </w:p>
        </w:tc>
        <w:tc>
          <w:tcPr>
            <w:tcW w:w="992" w:type="dxa"/>
            <w:tcBorders>
              <w:top w:val="single" w:sz="4" w:space="0" w:color="auto"/>
              <w:bottom w:val="single" w:sz="4" w:space="0" w:color="auto"/>
            </w:tcBorders>
            <w:vAlign w:val="center"/>
          </w:tcPr>
          <w:p w14:paraId="56725A0A" w14:textId="77777777" w:rsidR="007C344D" w:rsidRPr="00DB6C99" w:rsidRDefault="007C344D" w:rsidP="007C344D">
            <w:pPr>
              <w:tabs>
                <w:tab w:val="decimal" w:pos="313"/>
              </w:tabs>
              <w:contextualSpacing/>
              <w:jc w:val="center"/>
              <w:rPr>
                <w:rFonts w:ascii="Garamond" w:hAnsi="Garamond"/>
                <w:b/>
                <w:bCs/>
                <w:i/>
                <w:iCs/>
                <w:sz w:val="20"/>
                <w:szCs w:val="20"/>
              </w:rPr>
            </w:pPr>
            <w:r w:rsidRPr="00DB6C99">
              <w:rPr>
                <w:rFonts w:ascii="Garamond" w:hAnsi="Garamond"/>
                <w:b/>
                <w:bCs/>
                <w:i/>
                <w:iCs/>
                <w:sz w:val="20"/>
                <w:szCs w:val="20"/>
              </w:rPr>
              <w:t>8</w:t>
            </w:r>
          </w:p>
        </w:tc>
        <w:tc>
          <w:tcPr>
            <w:tcW w:w="851" w:type="dxa"/>
            <w:tcBorders>
              <w:top w:val="single" w:sz="4" w:space="0" w:color="auto"/>
              <w:bottom w:val="single" w:sz="4" w:space="0" w:color="auto"/>
            </w:tcBorders>
            <w:vAlign w:val="center"/>
          </w:tcPr>
          <w:p w14:paraId="7BF508D9" w14:textId="77777777" w:rsidR="007C344D" w:rsidRPr="00DB6C99" w:rsidRDefault="007C344D" w:rsidP="007C344D">
            <w:pPr>
              <w:contextualSpacing/>
              <w:jc w:val="center"/>
              <w:rPr>
                <w:rFonts w:ascii="Garamond" w:hAnsi="Garamond"/>
                <w:b/>
                <w:bCs/>
                <w:i/>
                <w:iCs/>
                <w:sz w:val="20"/>
                <w:szCs w:val="20"/>
              </w:rPr>
            </w:pPr>
            <w:r w:rsidRPr="00DB6C99">
              <w:rPr>
                <w:rFonts w:ascii="Garamond" w:hAnsi="Garamond"/>
                <w:b/>
                <w:bCs/>
                <w:i/>
                <w:iCs/>
                <w:sz w:val="20"/>
                <w:szCs w:val="20"/>
              </w:rPr>
              <w:t>9</w:t>
            </w:r>
          </w:p>
        </w:tc>
        <w:tc>
          <w:tcPr>
            <w:tcW w:w="850" w:type="dxa"/>
            <w:tcBorders>
              <w:top w:val="single" w:sz="4" w:space="0" w:color="auto"/>
              <w:bottom w:val="single" w:sz="4" w:space="0" w:color="auto"/>
            </w:tcBorders>
            <w:vAlign w:val="center"/>
          </w:tcPr>
          <w:p w14:paraId="02615729" w14:textId="77777777" w:rsidR="007C344D" w:rsidRPr="00DB6C99" w:rsidRDefault="007C344D" w:rsidP="007C344D">
            <w:pPr>
              <w:tabs>
                <w:tab w:val="decimal" w:pos="170"/>
              </w:tabs>
              <w:contextualSpacing/>
              <w:jc w:val="center"/>
              <w:rPr>
                <w:rFonts w:ascii="Garamond" w:hAnsi="Garamond"/>
                <w:b/>
                <w:bCs/>
                <w:i/>
                <w:iCs/>
                <w:sz w:val="20"/>
                <w:szCs w:val="20"/>
              </w:rPr>
            </w:pPr>
            <w:r w:rsidRPr="00DB6C99">
              <w:rPr>
                <w:rFonts w:ascii="Garamond" w:hAnsi="Garamond"/>
                <w:b/>
                <w:bCs/>
                <w:i/>
                <w:iCs/>
                <w:sz w:val="20"/>
                <w:szCs w:val="20"/>
              </w:rPr>
              <w:t>10</w:t>
            </w:r>
          </w:p>
        </w:tc>
        <w:tc>
          <w:tcPr>
            <w:tcW w:w="851" w:type="dxa"/>
            <w:tcBorders>
              <w:top w:val="single" w:sz="4" w:space="0" w:color="auto"/>
              <w:bottom w:val="single" w:sz="4" w:space="0" w:color="auto"/>
            </w:tcBorders>
            <w:vAlign w:val="center"/>
          </w:tcPr>
          <w:p w14:paraId="6B5969C7" w14:textId="77777777" w:rsidR="007C344D" w:rsidRPr="00DB6C99" w:rsidRDefault="007C344D" w:rsidP="007C344D">
            <w:pPr>
              <w:tabs>
                <w:tab w:val="decimal" w:pos="181"/>
              </w:tabs>
              <w:contextualSpacing/>
              <w:jc w:val="center"/>
              <w:rPr>
                <w:rFonts w:ascii="Garamond" w:hAnsi="Garamond"/>
                <w:b/>
                <w:bCs/>
                <w:i/>
                <w:iCs/>
                <w:sz w:val="20"/>
                <w:szCs w:val="20"/>
              </w:rPr>
            </w:pPr>
            <w:r w:rsidRPr="00DB6C99">
              <w:rPr>
                <w:rFonts w:ascii="Garamond" w:hAnsi="Garamond"/>
                <w:b/>
                <w:bCs/>
                <w:i/>
                <w:iCs/>
                <w:sz w:val="20"/>
                <w:szCs w:val="20"/>
              </w:rPr>
              <w:t>11</w:t>
            </w:r>
          </w:p>
        </w:tc>
        <w:tc>
          <w:tcPr>
            <w:tcW w:w="851" w:type="dxa"/>
            <w:tcBorders>
              <w:top w:val="single" w:sz="4" w:space="0" w:color="auto"/>
              <w:bottom w:val="single" w:sz="4" w:space="0" w:color="auto"/>
            </w:tcBorders>
          </w:tcPr>
          <w:p w14:paraId="603BE5BD" w14:textId="77777777" w:rsidR="007C344D" w:rsidRPr="00DB6C99" w:rsidRDefault="007C344D" w:rsidP="007C344D">
            <w:pPr>
              <w:tabs>
                <w:tab w:val="decimal" w:pos="180"/>
              </w:tabs>
              <w:contextualSpacing/>
              <w:jc w:val="center"/>
              <w:rPr>
                <w:rFonts w:ascii="Garamond" w:hAnsi="Garamond"/>
                <w:b/>
                <w:bCs/>
                <w:i/>
                <w:iCs/>
                <w:sz w:val="20"/>
                <w:szCs w:val="20"/>
              </w:rPr>
            </w:pPr>
            <w:r w:rsidRPr="00DB6C99">
              <w:rPr>
                <w:rFonts w:ascii="Garamond" w:hAnsi="Garamond"/>
                <w:b/>
                <w:bCs/>
                <w:i/>
                <w:iCs/>
                <w:sz w:val="20"/>
                <w:szCs w:val="20"/>
              </w:rPr>
              <w:t>12</w:t>
            </w:r>
          </w:p>
        </w:tc>
        <w:tc>
          <w:tcPr>
            <w:tcW w:w="851" w:type="dxa"/>
            <w:tcBorders>
              <w:top w:val="single" w:sz="4" w:space="0" w:color="auto"/>
              <w:bottom w:val="single" w:sz="4" w:space="0" w:color="auto"/>
            </w:tcBorders>
          </w:tcPr>
          <w:p w14:paraId="74E96A89" w14:textId="77777777" w:rsidR="007C344D" w:rsidRPr="00DB6C99" w:rsidRDefault="007C344D" w:rsidP="007C344D">
            <w:pPr>
              <w:tabs>
                <w:tab w:val="decimal" w:pos="180"/>
              </w:tabs>
              <w:contextualSpacing/>
              <w:jc w:val="center"/>
              <w:rPr>
                <w:rFonts w:ascii="Garamond" w:hAnsi="Garamond"/>
                <w:b/>
                <w:bCs/>
                <w:i/>
                <w:iCs/>
                <w:sz w:val="20"/>
                <w:szCs w:val="20"/>
              </w:rPr>
            </w:pPr>
            <w:r w:rsidRPr="00DB6C99">
              <w:rPr>
                <w:rFonts w:ascii="Garamond" w:hAnsi="Garamond"/>
                <w:b/>
                <w:bCs/>
                <w:i/>
                <w:iCs/>
                <w:sz w:val="20"/>
                <w:szCs w:val="20"/>
              </w:rPr>
              <w:t>13</w:t>
            </w:r>
          </w:p>
        </w:tc>
        <w:tc>
          <w:tcPr>
            <w:tcW w:w="851" w:type="dxa"/>
            <w:tcBorders>
              <w:top w:val="single" w:sz="4" w:space="0" w:color="auto"/>
              <w:bottom w:val="single" w:sz="4" w:space="0" w:color="auto"/>
            </w:tcBorders>
          </w:tcPr>
          <w:p w14:paraId="39A8F2AB" w14:textId="77777777" w:rsidR="007C344D" w:rsidRPr="00DB6C99" w:rsidRDefault="007C344D" w:rsidP="007C344D">
            <w:pPr>
              <w:tabs>
                <w:tab w:val="decimal" w:pos="179"/>
              </w:tabs>
              <w:contextualSpacing/>
              <w:jc w:val="center"/>
              <w:rPr>
                <w:rFonts w:ascii="Garamond" w:hAnsi="Garamond"/>
                <w:b/>
                <w:bCs/>
                <w:i/>
                <w:iCs/>
                <w:sz w:val="20"/>
                <w:szCs w:val="20"/>
              </w:rPr>
            </w:pPr>
            <w:r w:rsidRPr="00DB6C99">
              <w:rPr>
                <w:rFonts w:ascii="Garamond" w:hAnsi="Garamond"/>
                <w:b/>
                <w:bCs/>
                <w:i/>
                <w:iCs/>
                <w:sz w:val="20"/>
                <w:szCs w:val="20"/>
              </w:rPr>
              <w:t>14</w:t>
            </w:r>
          </w:p>
        </w:tc>
        <w:tc>
          <w:tcPr>
            <w:tcW w:w="851" w:type="dxa"/>
            <w:tcBorders>
              <w:top w:val="single" w:sz="4" w:space="0" w:color="auto"/>
              <w:bottom w:val="single" w:sz="4" w:space="0" w:color="auto"/>
            </w:tcBorders>
          </w:tcPr>
          <w:p w14:paraId="21726F5A" w14:textId="77777777" w:rsidR="007C344D" w:rsidRPr="00DB6C99" w:rsidRDefault="007C344D" w:rsidP="007C344D">
            <w:pPr>
              <w:contextualSpacing/>
              <w:jc w:val="center"/>
              <w:rPr>
                <w:rFonts w:ascii="Garamond" w:hAnsi="Garamond"/>
                <w:b/>
                <w:bCs/>
                <w:i/>
                <w:iCs/>
                <w:sz w:val="20"/>
                <w:szCs w:val="20"/>
              </w:rPr>
            </w:pPr>
            <w:r w:rsidRPr="00DB6C99">
              <w:rPr>
                <w:rFonts w:ascii="Garamond" w:hAnsi="Garamond"/>
                <w:b/>
                <w:bCs/>
                <w:i/>
                <w:iCs/>
                <w:sz w:val="20"/>
                <w:szCs w:val="20"/>
              </w:rPr>
              <w:t>15</w:t>
            </w:r>
          </w:p>
        </w:tc>
        <w:tc>
          <w:tcPr>
            <w:tcW w:w="851" w:type="dxa"/>
            <w:tcBorders>
              <w:top w:val="single" w:sz="4" w:space="0" w:color="auto"/>
              <w:bottom w:val="single" w:sz="4" w:space="0" w:color="auto"/>
            </w:tcBorders>
          </w:tcPr>
          <w:p w14:paraId="3E269262" w14:textId="77777777" w:rsidR="007C344D" w:rsidRPr="00DB6C99" w:rsidRDefault="007C344D" w:rsidP="007C344D">
            <w:pPr>
              <w:contextualSpacing/>
              <w:jc w:val="center"/>
              <w:rPr>
                <w:rFonts w:ascii="Garamond" w:hAnsi="Garamond"/>
                <w:b/>
                <w:bCs/>
                <w:i/>
                <w:iCs/>
                <w:sz w:val="20"/>
                <w:szCs w:val="20"/>
              </w:rPr>
            </w:pPr>
            <w:r w:rsidRPr="00DB6C99">
              <w:rPr>
                <w:rFonts w:ascii="Garamond" w:hAnsi="Garamond"/>
                <w:b/>
                <w:bCs/>
                <w:i/>
                <w:iCs/>
                <w:sz w:val="20"/>
                <w:szCs w:val="20"/>
              </w:rPr>
              <w:t>16</w:t>
            </w:r>
          </w:p>
        </w:tc>
      </w:tr>
      <w:tr w:rsidR="00DB6C99" w:rsidRPr="00DB6C99" w14:paraId="38253CA6" w14:textId="77777777" w:rsidTr="00444533">
        <w:trPr>
          <w:cantSplit/>
          <w:trHeight w:val="20"/>
          <w:jc w:val="center"/>
        </w:trPr>
        <w:tc>
          <w:tcPr>
            <w:tcW w:w="1276" w:type="dxa"/>
            <w:tcBorders>
              <w:top w:val="single" w:sz="4" w:space="0" w:color="auto"/>
            </w:tcBorders>
            <w:vAlign w:val="center"/>
          </w:tcPr>
          <w:p w14:paraId="3C92FE3A" w14:textId="77777777" w:rsidR="007C344D" w:rsidRPr="00DB6C99" w:rsidRDefault="007C344D" w:rsidP="007C344D">
            <w:pPr>
              <w:pStyle w:val="ListParagraph"/>
              <w:numPr>
                <w:ilvl w:val="0"/>
                <w:numId w:val="4"/>
              </w:numPr>
              <w:ind w:left="338"/>
              <w:rPr>
                <w:rFonts w:ascii="Garamond" w:hAnsi="Garamond"/>
                <w:sz w:val="20"/>
                <w:szCs w:val="20"/>
              </w:rPr>
            </w:pPr>
            <w:r w:rsidRPr="00DB6C99">
              <w:rPr>
                <w:rFonts w:ascii="Garamond" w:hAnsi="Garamond"/>
                <w:i/>
                <w:iCs/>
                <w:sz w:val="20"/>
                <w:szCs w:val="20"/>
                <w:lang w:val="en-GB"/>
              </w:rPr>
              <w:t>GAP</w:t>
            </w:r>
          </w:p>
        </w:tc>
        <w:tc>
          <w:tcPr>
            <w:tcW w:w="928" w:type="dxa"/>
            <w:tcBorders>
              <w:top w:val="single" w:sz="4" w:space="0" w:color="auto"/>
            </w:tcBorders>
          </w:tcPr>
          <w:p w14:paraId="6E2FC49E" w14:textId="77777777" w:rsidR="007C344D" w:rsidRPr="00DB6C99" w:rsidRDefault="007C344D" w:rsidP="007C344D">
            <w:pPr>
              <w:tabs>
                <w:tab w:val="decimal" w:pos="108"/>
              </w:tabs>
              <w:contextualSpacing/>
              <w:jc w:val="center"/>
              <w:rPr>
                <w:rFonts w:ascii="Garamond" w:hAnsi="Garamond"/>
                <w:sz w:val="20"/>
                <w:szCs w:val="20"/>
              </w:rPr>
            </w:pPr>
            <w:r w:rsidRPr="00DB6C99">
              <w:rPr>
                <w:rFonts w:ascii="Garamond" w:hAnsi="Garamond"/>
                <w:sz w:val="20"/>
                <w:szCs w:val="20"/>
              </w:rPr>
              <w:t>1.000</w:t>
            </w:r>
          </w:p>
        </w:tc>
        <w:tc>
          <w:tcPr>
            <w:tcW w:w="992" w:type="dxa"/>
            <w:tcBorders>
              <w:top w:val="single" w:sz="4" w:space="0" w:color="auto"/>
            </w:tcBorders>
          </w:tcPr>
          <w:p w14:paraId="3996E187" w14:textId="77777777" w:rsidR="007C344D" w:rsidRPr="00DB6C99" w:rsidRDefault="007C344D" w:rsidP="007C344D">
            <w:pPr>
              <w:tabs>
                <w:tab w:val="decimal" w:pos="174"/>
              </w:tabs>
              <w:contextualSpacing/>
              <w:jc w:val="both"/>
              <w:rPr>
                <w:rFonts w:ascii="Garamond" w:hAnsi="Garamond"/>
                <w:sz w:val="20"/>
                <w:szCs w:val="20"/>
              </w:rPr>
            </w:pPr>
          </w:p>
        </w:tc>
        <w:tc>
          <w:tcPr>
            <w:tcW w:w="850" w:type="dxa"/>
            <w:tcBorders>
              <w:top w:val="single" w:sz="4" w:space="0" w:color="auto"/>
            </w:tcBorders>
          </w:tcPr>
          <w:p w14:paraId="6C56C2E5" w14:textId="77777777" w:rsidR="007C344D" w:rsidRPr="00DB6C99" w:rsidRDefault="007C344D" w:rsidP="007C344D">
            <w:pPr>
              <w:tabs>
                <w:tab w:val="decimal" w:pos="173"/>
              </w:tabs>
              <w:contextualSpacing/>
              <w:jc w:val="both"/>
              <w:rPr>
                <w:rFonts w:ascii="Garamond" w:hAnsi="Garamond"/>
                <w:sz w:val="20"/>
                <w:szCs w:val="20"/>
              </w:rPr>
            </w:pPr>
          </w:p>
        </w:tc>
        <w:tc>
          <w:tcPr>
            <w:tcW w:w="851" w:type="dxa"/>
            <w:tcBorders>
              <w:top w:val="single" w:sz="4" w:space="0" w:color="auto"/>
            </w:tcBorders>
          </w:tcPr>
          <w:p w14:paraId="577FB6A3" w14:textId="77777777" w:rsidR="007C344D" w:rsidRPr="00DB6C99" w:rsidRDefault="007C344D" w:rsidP="007C344D">
            <w:pPr>
              <w:tabs>
                <w:tab w:val="decimal" w:pos="173"/>
              </w:tabs>
              <w:contextualSpacing/>
              <w:jc w:val="both"/>
              <w:rPr>
                <w:rFonts w:ascii="Garamond" w:hAnsi="Garamond"/>
                <w:sz w:val="20"/>
                <w:szCs w:val="20"/>
              </w:rPr>
            </w:pPr>
          </w:p>
        </w:tc>
        <w:tc>
          <w:tcPr>
            <w:tcW w:w="850" w:type="dxa"/>
            <w:tcBorders>
              <w:top w:val="single" w:sz="4" w:space="0" w:color="auto"/>
            </w:tcBorders>
          </w:tcPr>
          <w:p w14:paraId="598E7756" w14:textId="77777777" w:rsidR="007C344D" w:rsidRPr="00DB6C99" w:rsidRDefault="007C344D" w:rsidP="007C344D">
            <w:pPr>
              <w:tabs>
                <w:tab w:val="decimal" w:pos="172"/>
              </w:tabs>
              <w:contextualSpacing/>
              <w:rPr>
                <w:rFonts w:ascii="Garamond" w:hAnsi="Garamond"/>
                <w:sz w:val="20"/>
                <w:szCs w:val="20"/>
              </w:rPr>
            </w:pPr>
          </w:p>
        </w:tc>
        <w:tc>
          <w:tcPr>
            <w:tcW w:w="851" w:type="dxa"/>
            <w:tcBorders>
              <w:top w:val="single" w:sz="4" w:space="0" w:color="auto"/>
            </w:tcBorders>
          </w:tcPr>
          <w:p w14:paraId="4984FC34" w14:textId="77777777" w:rsidR="007C344D" w:rsidRPr="00DB6C99" w:rsidRDefault="007C344D" w:rsidP="007C344D">
            <w:pPr>
              <w:tabs>
                <w:tab w:val="decimal" w:pos="172"/>
              </w:tabs>
              <w:contextualSpacing/>
              <w:rPr>
                <w:rFonts w:ascii="Garamond" w:hAnsi="Garamond"/>
                <w:sz w:val="20"/>
                <w:szCs w:val="20"/>
              </w:rPr>
            </w:pPr>
          </w:p>
        </w:tc>
        <w:tc>
          <w:tcPr>
            <w:tcW w:w="992" w:type="dxa"/>
            <w:tcBorders>
              <w:top w:val="single" w:sz="4" w:space="0" w:color="auto"/>
            </w:tcBorders>
          </w:tcPr>
          <w:p w14:paraId="0DCC2831" w14:textId="77777777" w:rsidR="007C344D" w:rsidRPr="00DB6C99" w:rsidRDefault="007C344D" w:rsidP="007C344D">
            <w:pPr>
              <w:tabs>
                <w:tab w:val="decimal" w:pos="313"/>
              </w:tabs>
              <w:contextualSpacing/>
              <w:rPr>
                <w:rFonts w:ascii="Garamond" w:hAnsi="Garamond"/>
                <w:sz w:val="20"/>
                <w:szCs w:val="20"/>
              </w:rPr>
            </w:pPr>
          </w:p>
        </w:tc>
        <w:tc>
          <w:tcPr>
            <w:tcW w:w="992" w:type="dxa"/>
            <w:tcBorders>
              <w:top w:val="single" w:sz="4" w:space="0" w:color="auto"/>
            </w:tcBorders>
          </w:tcPr>
          <w:p w14:paraId="6C2E9659" w14:textId="77777777" w:rsidR="007C344D" w:rsidRPr="00DB6C99" w:rsidRDefault="007C344D" w:rsidP="007C344D">
            <w:pPr>
              <w:tabs>
                <w:tab w:val="decimal" w:pos="313"/>
              </w:tabs>
              <w:contextualSpacing/>
              <w:rPr>
                <w:rFonts w:ascii="Garamond" w:hAnsi="Garamond"/>
                <w:sz w:val="20"/>
                <w:szCs w:val="20"/>
              </w:rPr>
            </w:pPr>
          </w:p>
        </w:tc>
        <w:tc>
          <w:tcPr>
            <w:tcW w:w="851" w:type="dxa"/>
            <w:tcBorders>
              <w:top w:val="single" w:sz="4" w:space="0" w:color="auto"/>
            </w:tcBorders>
          </w:tcPr>
          <w:p w14:paraId="524AB729" w14:textId="77777777" w:rsidR="007C344D" w:rsidRPr="00DB6C99" w:rsidRDefault="007C344D" w:rsidP="007C344D">
            <w:pPr>
              <w:contextualSpacing/>
              <w:jc w:val="both"/>
              <w:rPr>
                <w:rFonts w:ascii="Garamond" w:hAnsi="Garamond"/>
                <w:sz w:val="20"/>
                <w:szCs w:val="20"/>
              </w:rPr>
            </w:pPr>
          </w:p>
        </w:tc>
        <w:tc>
          <w:tcPr>
            <w:tcW w:w="850" w:type="dxa"/>
            <w:tcBorders>
              <w:top w:val="single" w:sz="4" w:space="0" w:color="auto"/>
            </w:tcBorders>
          </w:tcPr>
          <w:p w14:paraId="17619037" w14:textId="77777777" w:rsidR="007C344D" w:rsidRPr="00DB6C99" w:rsidRDefault="007C344D" w:rsidP="007C344D">
            <w:pPr>
              <w:tabs>
                <w:tab w:val="decimal" w:pos="170"/>
              </w:tabs>
              <w:contextualSpacing/>
              <w:rPr>
                <w:rFonts w:ascii="Garamond" w:hAnsi="Garamond"/>
                <w:sz w:val="20"/>
                <w:szCs w:val="20"/>
              </w:rPr>
            </w:pPr>
          </w:p>
        </w:tc>
        <w:tc>
          <w:tcPr>
            <w:tcW w:w="851" w:type="dxa"/>
            <w:tcBorders>
              <w:top w:val="single" w:sz="4" w:space="0" w:color="auto"/>
            </w:tcBorders>
          </w:tcPr>
          <w:p w14:paraId="14E64C2D" w14:textId="77777777" w:rsidR="007C344D" w:rsidRPr="00DB6C99" w:rsidRDefault="007C344D" w:rsidP="007C344D">
            <w:pPr>
              <w:tabs>
                <w:tab w:val="decimal" w:pos="181"/>
              </w:tabs>
              <w:contextualSpacing/>
              <w:rPr>
                <w:rFonts w:ascii="Garamond" w:hAnsi="Garamond"/>
                <w:sz w:val="20"/>
                <w:szCs w:val="20"/>
              </w:rPr>
            </w:pPr>
          </w:p>
        </w:tc>
        <w:tc>
          <w:tcPr>
            <w:tcW w:w="851" w:type="dxa"/>
            <w:tcBorders>
              <w:top w:val="single" w:sz="4" w:space="0" w:color="auto"/>
            </w:tcBorders>
          </w:tcPr>
          <w:p w14:paraId="620504AE" w14:textId="77777777" w:rsidR="007C344D" w:rsidRPr="00DB6C99" w:rsidRDefault="007C344D" w:rsidP="007C344D">
            <w:pPr>
              <w:tabs>
                <w:tab w:val="decimal" w:pos="180"/>
              </w:tabs>
              <w:contextualSpacing/>
              <w:rPr>
                <w:rFonts w:ascii="Garamond" w:hAnsi="Garamond"/>
                <w:sz w:val="20"/>
                <w:szCs w:val="20"/>
              </w:rPr>
            </w:pPr>
          </w:p>
        </w:tc>
        <w:tc>
          <w:tcPr>
            <w:tcW w:w="851" w:type="dxa"/>
            <w:tcBorders>
              <w:top w:val="single" w:sz="4" w:space="0" w:color="auto"/>
            </w:tcBorders>
          </w:tcPr>
          <w:p w14:paraId="75917919" w14:textId="77777777" w:rsidR="007C344D" w:rsidRPr="00DB6C99" w:rsidRDefault="007C344D" w:rsidP="007C344D">
            <w:pPr>
              <w:tabs>
                <w:tab w:val="decimal" w:pos="180"/>
              </w:tabs>
              <w:contextualSpacing/>
              <w:rPr>
                <w:rFonts w:ascii="Garamond" w:hAnsi="Garamond"/>
                <w:sz w:val="20"/>
                <w:szCs w:val="20"/>
              </w:rPr>
            </w:pPr>
          </w:p>
        </w:tc>
        <w:tc>
          <w:tcPr>
            <w:tcW w:w="851" w:type="dxa"/>
            <w:tcBorders>
              <w:top w:val="single" w:sz="4" w:space="0" w:color="auto"/>
            </w:tcBorders>
          </w:tcPr>
          <w:p w14:paraId="68DFB7E1" w14:textId="77777777" w:rsidR="007C344D" w:rsidRPr="00DB6C99" w:rsidRDefault="007C344D" w:rsidP="007C344D">
            <w:pPr>
              <w:tabs>
                <w:tab w:val="decimal" w:pos="179"/>
              </w:tabs>
              <w:contextualSpacing/>
              <w:rPr>
                <w:rFonts w:ascii="Garamond" w:hAnsi="Garamond"/>
                <w:sz w:val="20"/>
                <w:szCs w:val="20"/>
              </w:rPr>
            </w:pPr>
          </w:p>
        </w:tc>
        <w:tc>
          <w:tcPr>
            <w:tcW w:w="851" w:type="dxa"/>
            <w:tcBorders>
              <w:top w:val="single" w:sz="4" w:space="0" w:color="auto"/>
            </w:tcBorders>
          </w:tcPr>
          <w:p w14:paraId="699E200E" w14:textId="77777777" w:rsidR="007C344D" w:rsidRPr="00DB6C99" w:rsidRDefault="007C344D" w:rsidP="007C344D">
            <w:pPr>
              <w:contextualSpacing/>
              <w:rPr>
                <w:rFonts w:ascii="Garamond" w:hAnsi="Garamond"/>
                <w:sz w:val="20"/>
                <w:szCs w:val="20"/>
              </w:rPr>
            </w:pPr>
          </w:p>
        </w:tc>
        <w:tc>
          <w:tcPr>
            <w:tcW w:w="851" w:type="dxa"/>
            <w:tcBorders>
              <w:top w:val="single" w:sz="4" w:space="0" w:color="auto"/>
            </w:tcBorders>
          </w:tcPr>
          <w:p w14:paraId="7240B9CF" w14:textId="77777777" w:rsidR="007C344D" w:rsidRPr="00DB6C99" w:rsidRDefault="007C344D" w:rsidP="007C344D">
            <w:pPr>
              <w:contextualSpacing/>
              <w:rPr>
                <w:rFonts w:ascii="Garamond" w:hAnsi="Garamond"/>
                <w:sz w:val="20"/>
                <w:szCs w:val="20"/>
              </w:rPr>
            </w:pPr>
          </w:p>
        </w:tc>
      </w:tr>
      <w:tr w:rsidR="00DB6C99" w:rsidRPr="00DB6C99" w14:paraId="37B0DE90" w14:textId="77777777" w:rsidTr="00444533">
        <w:trPr>
          <w:cantSplit/>
          <w:trHeight w:val="20"/>
          <w:jc w:val="center"/>
        </w:trPr>
        <w:tc>
          <w:tcPr>
            <w:tcW w:w="1276" w:type="dxa"/>
            <w:vAlign w:val="center"/>
          </w:tcPr>
          <w:p w14:paraId="07948F4A" w14:textId="77777777" w:rsidR="007C344D" w:rsidRPr="00DB6C99" w:rsidRDefault="007C344D" w:rsidP="007C344D">
            <w:pPr>
              <w:pStyle w:val="ListParagraph"/>
              <w:numPr>
                <w:ilvl w:val="0"/>
                <w:numId w:val="4"/>
              </w:numPr>
              <w:ind w:left="338"/>
              <w:rPr>
                <w:rFonts w:ascii="Garamond" w:hAnsi="Garamond"/>
                <w:sz w:val="20"/>
                <w:szCs w:val="20"/>
              </w:rPr>
            </w:pPr>
            <w:r w:rsidRPr="00DB6C99">
              <w:rPr>
                <w:rFonts w:ascii="Garamond" w:hAnsi="Garamond"/>
                <w:i/>
                <w:iCs/>
                <w:sz w:val="20"/>
                <w:szCs w:val="20"/>
              </w:rPr>
              <w:t>FPRO</w:t>
            </w:r>
          </w:p>
        </w:tc>
        <w:tc>
          <w:tcPr>
            <w:tcW w:w="928" w:type="dxa"/>
          </w:tcPr>
          <w:p w14:paraId="6949BB55" w14:textId="77777777" w:rsidR="007C344D" w:rsidRPr="00DB6C99" w:rsidRDefault="007C344D" w:rsidP="007C344D">
            <w:pPr>
              <w:tabs>
                <w:tab w:val="decimal" w:pos="295"/>
              </w:tabs>
              <w:contextualSpacing/>
              <w:jc w:val="both"/>
              <w:rPr>
                <w:rFonts w:ascii="Garamond" w:hAnsi="Garamond"/>
                <w:sz w:val="20"/>
                <w:szCs w:val="20"/>
              </w:rPr>
            </w:pPr>
            <w:r w:rsidRPr="00DB6C99">
              <w:rPr>
                <w:rFonts w:ascii="Garamond" w:hAnsi="Garamond"/>
                <w:sz w:val="20"/>
                <w:szCs w:val="20"/>
              </w:rPr>
              <w:t>0.094*</w:t>
            </w:r>
          </w:p>
        </w:tc>
        <w:tc>
          <w:tcPr>
            <w:tcW w:w="992" w:type="dxa"/>
          </w:tcPr>
          <w:p w14:paraId="4CA4A796" w14:textId="77777777" w:rsidR="007C344D" w:rsidRPr="00DB6C99" w:rsidRDefault="007C344D" w:rsidP="007C344D">
            <w:pPr>
              <w:tabs>
                <w:tab w:val="decimal" w:pos="174"/>
              </w:tabs>
              <w:contextualSpacing/>
              <w:jc w:val="both"/>
              <w:rPr>
                <w:rFonts w:ascii="Garamond" w:hAnsi="Garamond"/>
                <w:sz w:val="20"/>
                <w:szCs w:val="20"/>
              </w:rPr>
            </w:pPr>
            <w:r w:rsidRPr="00DB6C99">
              <w:rPr>
                <w:rFonts w:ascii="Garamond" w:hAnsi="Garamond"/>
                <w:sz w:val="20"/>
                <w:szCs w:val="20"/>
              </w:rPr>
              <w:t>1.000</w:t>
            </w:r>
          </w:p>
        </w:tc>
        <w:tc>
          <w:tcPr>
            <w:tcW w:w="850" w:type="dxa"/>
          </w:tcPr>
          <w:p w14:paraId="63BDFB0F" w14:textId="77777777" w:rsidR="007C344D" w:rsidRPr="00DB6C99" w:rsidRDefault="007C344D" w:rsidP="007C344D">
            <w:pPr>
              <w:tabs>
                <w:tab w:val="decimal" w:pos="173"/>
              </w:tabs>
              <w:contextualSpacing/>
              <w:jc w:val="both"/>
              <w:rPr>
                <w:rFonts w:ascii="Garamond" w:hAnsi="Garamond"/>
                <w:sz w:val="20"/>
                <w:szCs w:val="20"/>
              </w:rPr>
            </w:pPr>
          </w:p>
        </w:tc>
        <w:tc>
          <w:tcPr>
            <w:tcW w:w="851" w:type="dxa"/>
          </w:tcPr>
          <w:p w14:paraId="0A5558ED" w14:textId="77777777" w:rsidR="007C344D" w:rsidRPr="00DB6C99" w:rsidRDefault="007C344D" w:rsidP="007C344D">
            <w:pPr>
              <w:tabs>
                <w:tab w:val="decimal" w:pos="173"/>
              </w:tabs>
              <w:contextualSpacing/>
              <w:jc w:val="both"/>
              <w:rPr>
                <w:rFonts w:ascii="Garamond" w:hAnsi="Garamond"/>
                <w:sz w:val="20"/>
                <w:szCs w:val="20"/>
              </w:rPr>
            </w:pPr>
          </w:p>
        </w:tc>
        <w:tc>
          <w:tcPr>
            <w:tcW w:w="850" w:type="dxa"/>
          </w:tcPr>
          <w:p w14:paraId="074133D9" w14:textId="77777777" w:rsidR="007C344D" w:rsidRPr="00DB6C99" w:rsidRDefault="007C344D" w:rsidP="007C344D">
            <w:pPr>
              <w:tabs>
                <w:tab w:val="decimal" w:pos="172"/>
              </w:tabs>
              <w:contextualSpacing/>
              <w:rPr>
                <w:rFonts w:ascii="Garamond" w:hAnsi="Garamond"/>
                <w:sz w:val="20"/>
                <w:szCs w:val="20"/>
              </w:rPr>
            </w:pPr>
          </w:p>
        </w:tc>
        <w:tc>
          <w:tcPr>
            <w:tcW w:w="851" w:type="dxa"/>
          </w:tcPr>
          <w:p w14:paraId="6B6EC4B3" w14:textId="77777777" w:rsidR="007C344D" w:rsidRPr="00DB6C99" w:rsidRDefault="007C344D" w:rsidP="007C344D">
            <w:pPr>
              <w:tabs>
                <w:tab w:val="decimal" w:pos="172"/>
              </w:tabs>
              <w:contextualSpacing/>
              <w:rPr>
                <w:rFonts w:ascii="Garamond" w:hAnsi="Garamond"/>
                <w:sz w:val="20"/>
                <w:szCs w:val="20"/>
              </w:rPr>
            </w:pPr>
          </w:p>
        </w:tc>
        <w:tc>
          <w:tcPr>
            <w:tcW w:w="992" w:type="dxa"/>
          </w:tcPr>
          <w:p w14:paraId="137D0210" w14:textId="77777777" w:rsidR="007C344D" w:rsidRPr="00DB6C99" w:rsidRDefault="007C344D" w:rsidP="007C344D">
            <w:pPr>
              <w:tabs>
                <w:tab w:val="decimal" w:pos="313"/>
              </w:tabs>
              <w:contextualSpacing/>
              <w:rPr>
                <w:rFonts w:ascii="Garamond" w:hAnsi="Garamond"/>
                <w:sz w:val="20"/>
                <w:szCs w:val="20"/>
              </w:rPr>
            </w:pPr>
          </w:p>
        </w:tc>
        <w:tc>
          <w:tcPr>
            <w:tcW w:w="992" w:type="dxa"/>
          </w:tcPr>
          <w:p w14:paraId="3DC4DD2E" w14:textId="77777777" w:rsidR="007C344D" w:rsidRPr="00DB6C99" w:rsidRDefault="007C344D" w:rsidP="007C344D">
            <w:pPr>
              <w:tabs>
                <w:tab w:val="decimal" w:pos="313"/>
              </w:tabs>
              <w:contextualSpacing/>
              <w:rPr>
                <w:rFonts w:ascii="Garamond" w:hAnsi="Garamond"/>
                <w:sz w:val="20"/>
                <w:szCs w:val="20"/>
              </w:rPr>
            </w:pPr>
          </w:p>
        </w:tc>
        <w:tc>
          <w:tcPr>
            <w:tcW w:w="851" w:type="dxa"/>
          </w:tcPr>
          <w:p w14:paraId="4465FE7C" w14:textId="77777777" w:rsidR="007C344D" w:rsidRPr="00DB6C99" w:rsidRDefault="007C344D" w:rsidP="007C344D">
            <w:pPr>
              <w:contextualSpacing/>
              <w:jc w:val="both"/>
              <w:rPr>
                <w:rFonts w:ascii="Garamond" w:hAnsi="Garamond"/>
                <w:sz w:val="20"/>
                <w:szCs w:val="20"/>
              </w:rPr>
            </w:pPr>
          </w:p>
        </w:tc>
        <w:tc>
          <w:tcPr>
            <w:tcW w:w="850" w:type="dxa"/>
          </w:tcPr>
          <w:p w14:paraId="17E0AD8C" w14:textId="77777777" w:rsidR="007C344D" w:rsidRPr="00DB6C99" w:rsidRDefault="007C344D" w:rsidP="007C344D">
            <w:pPr>
              <w:tabs>
                <w:tab w:val="decimal" w:pos="170"/>
              </w:tabs>
              <w:contextualSpacing/>
              <w:rPr>
                <w:rFonts w:ascii="Garamond" w:hAnsi="Garamond"/>
                <w:sz w:val="20"/>
                <w:szCs w:val="20"/>
              </w:rPr>
            </w:pPr>
          </w:p>
        </w:tc>
        <w:tc>
          <w:tcPr>
            <w:tcW w:w="851" w:type="dxa"/>
          </w:tcPr>
          <w:p w14:paraId="216E86D0" w14:textId="77777777" w:rsidR="007C344D" w:rsidRPr="00DB6C99" w:rsidRDefault="007C344D" w:rsidP="007C344D">
            <w:pPr>
              <w:tabs>
                <w:tab w:val="decimal" w:pos="181"/>
              </w:tabs>
              <w:contextualSpacing/>
              <w:rPr>
                <w:rFonts w:ascii="Garamond" w:hAnsi="Garamond"/>
                <w:sz w:val="20"/>
                <w:szCs w:val="20"/>
              </w:rPr>
            </w:pPr>
          </w:p>
        </w:tc>
        <w:tc>
          <w:tcPr>
            <w:tcW w:w="851" w:type="dxa"/>
          </w:tcPr>
          <w:p w14:paraId="2836A0D2" w14:textId="77777777" w:rsidR="007C344D" w:rsidRPr="00DB6C99" w:rsidRDefault="007C344D" w:rsidP="007C344D">
            <w:pPr>
              <w:tabs>
                <w:tab w:val="decimal" w:pos="180"/>
              </w:tabs>
              <w:contextualSpacing/>
              <w:rPr>
                <w:rFonts w:ascii="Garamond" w:hAnsi="Garamond"/>
                <w:sz w:val="20"/>
                <w:szCs w:val="20"/>
              </w:rPr>
            </w:pPr>
          </w:p>
        </w:tc>
        <w:tc>
          <w:tcPr>
            <w:tcW w:w="851" w:type="dxa"/>
          </w:tcPr>
          <w:p w14:paraId="52C46829" w14:textId="77777777" w:rsidR="007C344D" w:rsidRPr="00DB6C99" w:rsidRDefault="007C344D" w:rsidP="007C344D">
            <w:pPr>
              <w:tabs>
                <w:tab w:val="decimal" w:pos="180"/>
              </w:tabs>
              <w:contextualSpacing/>
              <w:rPr>
                <w:rFonts w:ascii="Garamond" w:hAnsi="Garamond"/>
                <w:sz w:val="20"/>
                <w:szCs w:val="20"/>
              </w:rPr>
            </w:pPr>
          </w:p>
        </w:tc>
        <w:tc>
          <w:tcPr>
            <w:tcW w:w="851" w:type="dxa"/>
          </w:tcPr>
          <w:p w14:paraId="53DCDEDC" w14:textId="77777777" w:rsidR="007C344D" w:rsidRPr="00DB6C99" w:rsidRDefault="007C344D" w:rsidP="007C344D">
            <w:pPr>
              <w:tabs>
                <w:tab w:val="decimal" w:pos="179"/>
              </w:tabs>
              <w:contextualSpacing/>
              <w:rPr>
                <w:rFonts w:ascii="Garamond" w:hAnsi="Garamond"/>
                <w:sz w:val="20"/>
                <w:szCs w:val="20"/>
              </w:rPr>
            </w:pPr>
          </w:p>
        </w:tc>
        <w:tc>
          <w:tcPr>
            <w:tcW w:w="851" w:type="dxa"/>
          </w:tcPr>
          <w:p w14:paraId="5B5E8253" w14:textId="77777777" w:rsidR="007C344D" w:rsidRPr="00DB6C99" w:rsidRDefault="007C344D" w:rsidP="007C344D">
            <w:pPr>
              <w:contextualSpacing/>
              <w:rPr>
                <w:rFonts w:ascii="Garamond" w:hAnsi="Garamond"/>
                <w:sz w:val="20"/>
                <w:szCs w:val="20"/>
              </w:rPr>
            </w:pPr>
          </w:p>
        </w:tc>
        <w:tc>
          <w:tcPr>
            <w:tcW w:w="851" w:type="dxa"/>
          </w:tcPr>
          <w:p w14:paraId="53BA9347" w14:textId="77777777" w:rsidR="007C344D" w:rsidRPr="00DB6C99" w:rsidRDefault="007C344D" w:rsidP="007C344D">
            <w:pPr>
              <w:contextualSpacing/>
              <w:rPr>
                <w:rFonts w:ascii="Garamond" w:hAnsi="Garamond"/>
                <w:sz w:val="20"/>
                <w:szCs w:val="20"/>
              </w:rPr>
            </w:pPr>
          </w:p>
        </w:tc>
      </w:tr>
      <w:tr w:rsidR="00DB6C99" w:rsidRPr="00DB6C99" w14:paraId="4CF7C99F" w14:textId="77777777" w:rsidTr="00444533">
        <w:trPr>
          <w:cantSplit/>
          <w:trHeight w:val="20"/>
          <w:jc w:val="center"/>
        </w:trPr>
        <w:tc>
          <w:tcPr>
            <w:tcW w:w="1276" w:type="dxa"/>
            <w:vAlign w:val="center"/>
          </w:tcPr>
          <w:p w14:paraId="17571700" w14:textId="77777777" w:rsidR="007C344D" w:rsidRPr="00DB6C99" w:rsidRDefault="007C344D" w:rsidP="007C344D">
            <w:pPr>
              <w:pStyle w:val="ListParagraph"/>
              <w:numPr>
                <w:ilvl w:val="0"/>
                <w:numId w:val="4"/>
              </w:numPr>
              <w:ind w:left="338"/>
              <w:rPr>
                <w:rFonts w:ascii="Garamond" w:hAnsi="Garamond"/>
                <w:sz w:val="20"/>
                <w:szCs w:val="20"/>
              </w:rPr>
            </w:pPr>
            <w:r w:rsidRPr="00DB6C99">
              <w:rPr>
                <w:rFonts w:ascii="Garamond" w:hAnsi="Garamond"/>
                <w:i/>
                <w:iCs/>
                <w:sz w:val="20"/>
                <w:szCs w:val="20"/>
                <w:lang w:val="en-GB"/>
              </w:rPr>
              <w:t>BSIZE</w:t>
            </w:r>
          </w:p>
        </w:tc>
        <w:tc>
          <w:tcPr>
            <w:tcW w:w="928" w:type="dxa"/>
          </w:tcPr>
          <w:p w14:paraId="031A28EE" w14:textId="77777777" w:rsidR="007C344D" w:rsidRPr="00DB6C99" w:rsidRDefault="007C344D" w:rsidP="007C344D">
            <w:pPr>
              <w:tabs>
                <w:tab w:val="decimal" w:pos="295"/>
              </w:tabs>
              <w:contextualSpacing/>
              <w:jc w:val="both"/>
              <w:rPr>
                <w:rFonts w:ascii="Garamond" w:hAnsi="Garamond"/>
                <w:sz w:val="20"/>
                <w:szCs w:val="20"/>
              </w:rPr>
            </w:pPr>
            <w:r w:rsidRPr="00DB6C99">
              <w:rPr>
                <w:rFonts w:ascii="Garamond" w:hAnsi="Garamond"/>
                <w:sz w:val="20"/>
                <w:szCs w:val="20"/>
              </w:rPr>
              <w:t>0.281*</w:t>
            </w:r>
          </w:p>
        </w:tc>
        <w:tc>
          <w:tcPr>
            <w:tcW w:w="992" w:type="dxa"/>
          </w:tcPr>
          <w:p w14:paraId="1DA0E258" w14:textId="77777777" w:rsidR="007C344D" w:rsidRPr="00DB6C99" w:rsidRDefault="007C344D" w:rsidP="007C344D">
            <w:pPr>
              <w:tabs>
                <w:tab w:val="decimal" w:pos="174"/>
              </w:tabs>
              <w:contextualSpacing/>
              <w:jc w:val="both"/>
              <w:rPr>
                <w:rFonts w:ascii="Garamond" w:hAnsi="Garamond"/>
                <w:sz w:val="20"/>
                <w:szCs w:val="20"/>
              </w:rPr>
            </w:pPr>
            <w:r w:rsidRPr="00DB6C99">
              <w:rPr>
                <w:rFonts w:ascii="Garamond" w:hAnsi="Garamond"/>
                <w:sz w:val="20"/>
                <w:szCs w:val="20"/>
              </w:rPr>
              <w:t>0.211*</w:t>
            </w:r>
          </w:p>
        </w:tc>
        <w:tc>
          <w:tcPr>
            <w:tcW w:w="850" w:type="dxa"/>
          </w:tcPr>
          <w:p w14:paraId="40180012" w14:textId="77777777" w:rsidR="007C344D" w:rsidRPr="00DB6C99" w:rsidRDefault="007C344D" w:rsidP="007C344D">
            <w:pPr>
              <w:tabs>
                <w:tab w:val="decimal" w:pos="173"/>
              </w:tabs>
              <w:contextualSpacing/>
              <w:jc w:val="both"/>
              <w:rPr>
                <w:rFonts w:ascii="Garamond" w:hAnsi="Garamond"/>
                <w:sz w:val="20"/>
                <w:szCs w:val="20"/>
              </w:rPr>
            </w:pPr>
            <w:r w:rsidRPr="00DB6C99">
              <w:rPr>
                <w:rFonts w:ascii="Garamond" w:hAnsi="Garamond"/>
                <w:sz w:val="20"/>
                <w:szCs w:val="20"/>
              </w:rPr>
              <w:t>1.000</w:t>
            </w:r>
          </w:p>
        </w:tc>
        <w:tc>
          <w:tcPr>
            <w:tcW w:w="851" w:type="dxa"/>
          </w:tcPr>
          <w:p w14:paraId="73C7828F" w14:textId="77777777" w:rsidR="007C344D" w:rsidRPr="00DB6C99" w:rsidRDefault="007C344D" w:rsidP="007C344D">
            <w:pPr>
              <w:tabs>
                <w:tab w:val="decimal" w:pos="173"/>
              </w:tabs>
              <w:contextualSpacing/>
              <w:jc w:val="both"/>
              <w:rPr>
                <w:rFonts w:ascii="Garamond" w:hAnsi="Garamond"/>
                <w:sz w:val="20"/>
                <w:szCs w:val="20"/>
              </w:rPr>
            </w:pPr>
          </w:p>
        </w:tc>
        <w:tc>
          <w:tcPr>
            <w:tcW w:w="850" w:type="dxa"/>
          </w:tcPr>
          <w:p w14:paraId="47E8A7DA" w14:textId="77777777" w:rsidR="007C344D" w:rsidRPr="00DB6C99" w:rsidRDefault="007C344D" w:rsidP="007C344D">
            <w:pPr>
              <w:tabs>
                <w:tab w:val="decimal" w:pos="172"/>
              </w:tabs>
              <w:contextualSpacing/>
              <w:rPr>
                <w:rFonts w:ascii="Garamond" w:hAnsi="Garamond"/>
                <w:sz w:val="20"/>
                <w:szCs w:val="20"/>
              </w:rPr>
            </w:pPr>
          </w:p>
        </w:tc>
        <w:tc>
          <w:tcPr>
            <w:tcW w:w="851" w:type="dxa"/>
          </w:tcPr>
          <w:p w14:paraId="437C326F" w14:textId="77777777" w:rsidR="007C344D" w:rsidRPr="00DB6C99" w:rsidRDefault="007C344D" w:rsidP="007C344D">
            <w:pPr>
              <w:tabs>
                <w:tab w:val="decimal" w:pos="172"/>
              </w:tabs>
              <w:contextualSpacing/>
              <w:rPr>
                <w:rFonts w:ascii="Garamond" w:hAnsi="Garamond"/>
                <w:sz w:val="20"/>
                <w:szCs w:val="20"/>
              </w:rPr>
            </w:pPr>
          </w:p>
        </w:tc>
        <w:tc>
          <w:tcPr>
            <w:tcW w:w="992" w:type="dxa"/>
          </w:tcPr>
          <w:p w14:paraId="0EA796CE" w14:textId="77777777" w:rsidR="007C344D" w:rsidRPr="00DB6C99" w:rsidRDefault="007C344D" w:rsidP="007C344D">
            <w:pPr>
              <w:tabs>
                <w:tab w:val="decimal" w:pos="313"/>
              </w:tabs>
              <w:contextualSpacing/>
              <w:rPr>
                <w:rFonts w:ascii="Garamond" w:hAnsi="Garamond"/>
                <w:sz w:val="20"/>
                <w:szCs w:val="20"/>
              </w:rPr>
            </w:pPr>
          </w:p>
        </w:tc>
        <w:tc>
          <w:tcPr>
            <w:tcW w:w="992" w:type="dxa"/>
          </w:tcPr>
          <w:p w14:paraId="4E512571" w14:textId="77777777" w:rsidR="007C344D" w:rsidRPr="00DB6C99" w:rsidRDefault="007C344D" w:rsidP="007C344D">
            <w:pPr>
              <w:tabs>
                <w:tab w:val="decimal" w:pos="313"/>
              </w:tabs>
              <w:contextualSpacing/>
              <w:rPr>
                <w:rFonts w:ascii="Garamond" w:hAnsi="Garamond"/>
                <w:sz w:val="20"/>
                <w:szCs w:val="20"/>
              </w:rPr>
            </w:pPr>
          </w:p>
        </w:tc>
        <w:tc>
          <w:tcPr>
            <w:tcW w:w="851" w:type="dxa"/>
          </w:tcPr>
          <w:p w14:paraId="1A163A44" w14:textId="77777777" w:rsidR="007C344D" w:rsidRPr="00DB6C99" w:rsidRDefault="007C344D" w:rsidP="007C344D">
            <w:pPr>
              <w:contextualSpacing/>
              <w:jc w:val="both"/>
              <w:rPr>
                <w:rFonts w:ascii="Garamond" w:hAnsi="Garamond"/>
                <w:sz w:val="20"/>
                <w:szCs w:val="20"/>
              </w:rPr>
            </w:pPr>
          </w:p>
        </w:tc>
        <w:tc>
          <w:tcPr>
            <w:tcW w:w="850" w:type="dxa"/>
          </w:tcPr>
          <w:p w14:paraId="61C610DA" w14:textId="77777777" w:rsidR="007C344D" w:rsidRPr="00DB6C99" w:rsidRDefault="007C344D" w:rsidP="007C344D">
            <w:pPr>
              <w:tabs>
                <w:tab w:val="decimal" w:pos="170"/>
              </w:tabs>
              <w:contextualSpacing/>
              <w:jc w:val="center"/>
              <w:rPr>
                <w:rFonts w:ascii="Garamond" w:hAnsi="Garamond"/>
                <w:sz w:val="20"/>
                <w:szCs w:val="20"/>
              </w:rPr>
            </w:pPr>
          </w:p>
        </w:tc>
        <w:tc>
          <w:tcPr>
            <w:tcW w:w="851" w:type="dxa"/>
          </w:tcPr>
          <w:p w14:paraId="06816659" w14:textId="77777777" w:rsidR="007C344D" w:rsidRPr="00DB6C99" w:rsidRDefault="007C344D" w:rsidP="007C344D">
            <w:pPr>
              <w:tabs>
                <w:tab w:val="decimal" w:pos="181"/>
              </w:tabs>
              <w:contextualSpacing/>
              <w:rPr>
                <w:rFonts w:ascii="Garamond" w:hAnsi="Garamond"/>
                <w:sz w:val="20"/>
                <w:szCs w:val="20"/>
              </w:rPr>
            </w:pPr>
          </w:p>
        </w:tc>
        <w:tc>
          <w:tcPr>
            <w:tcW w:w="851" w:type="dxa"/>
          </w:tcPr>
          <w:p w14:paraId="2D400E12" w14:textId="77777777" w:rsidR="007C344D" w:rsidRPr="00DB6C99" w:rsidRDefault="007C344D" w:rsidP="007C344D">
            <w:pPr>
              <w:tabs>
                <w:tab w:val="decimal" w:pos="180"/>
              </w:tabs>
              <w:contextualSpacing/>
              <w:rPr>
                <w:rFonts w:ascii="Garamond" w:hAnsi="Garamond"/>
                <w:sz w:val="20"/>
                <w:szCs w:val="20"/>
              </w:rPr>
            </w:pPr>
          </w:p>
        </w:tc>
        <w:tc>
          <w:tcPr>
            <w:tcW w:w="851" w:type="dxa"/>
          </w:tcPr>
          <w:p w14:paraId="0D6882B0" w14:textId="77777777" w:rsidR="007C344D" w:rsidRPr="00DB6C99" w:rsidRDefault="007C344D" w:rsidP="007C344D">
            <w:pPr>
              <w:tabs>
                <w:tab w:val="decimal" w:pos="180"/>
              </w:tabs>
              <w:contextualSpacing/>
              <w:rPr>
                <w:rFonts w:ascii="Garamond" w:hAnsi="Garamond"/>
                <w:sz w:val="20"/>
                <w:szCs w:val="20"/>
              </w:rPr>
            </w:pPr>
          </w:p>
        </w:tc>
        <w:tc>
          <w:tcPr>
            <w:tcW w:w="851" w:type="dxa"/>
          </w:tcPr>
          <w:p w14:paraId="7D6A4B9D" w14:textId="77777777" w:rsidR="007C344D" w:rsidRPr="00DB6C99" w:rsidRDefault="007C344D" w:rsidP="007C344D">
            <w:pPr>
              <w:tabs>
                <w:tab w:val="decimal" w:pos="179"/>
              </w:tabs>
              <w:contextualSpacing/>
              <w:rPr>
                <w:rFonts w:ascii="Garamond" w:hAnsi="Garamond"/>
                <w:sz w:val="20"/>
                <w:szCs w:val="20"/>
              </w:rPr>
            </w:pPr>
          </w:p>
        </w:tc>
        <w:tc>
          <w:tcPr>
            <w:tcW w:w="851" w:type="dxa"/>
          </w:tcPr>
          <w:p w14:paraId="71E3B048" w14:textId="77777777" w:rsidR="007C344D" w:rsidRPr="00DB6C99" w:rsidRDefault="007C344D" w:rsidP="007C344D">
            <w:pPr>
              <w:contextualSpacing/>
              <w:rPr>
                <w:rFonts w:ascii="Garamond" w:hAnsi="Garamond"/>
                <w:sz w:val="20"/>
                <w:szCs w:val="20"/>
              </w:rPr>
            </w:pPr>
          </w:p>
        </w:tc>
        <w:tc>
          <w:tcPr>
            <w:tcW w:w="851" w:type="dxa"/>
          </w:tcPr>
          <w:p w14:paraId="46EEA9E0" w14:textId="77777777" w:rsidR="007C344D" w:rsidRPr="00DB6C99" w:rsidRDefault="007C344D" w:rsidP="007C344D">
            <w:pPr>
              <w:contextualSpacing/>
              <w:rPr>
                <w:rFonts w:ascii="Garamond" w:hAnsi="Garamond"/>
                <w:sz w:val="20"/>
                <w:szCs w:val="20"/>
              </w:rPr>
            </w:pPr>
          </w:p>
        </w:tc>
      </w:tr>
      <w:tr w:rsidR="00DB6C99" w:rsidRPr="00DB6C99" w14:paraId="2F22BD86" w14:textId="77777777" w:rsidTr="00444533">
        <w:trPr>
          <w:cantSplit/>
          <w:trHeight w:val="20"/>
          <w:jc w:val="center"/>
        </w:trPr>
        <w:tc>
          <w:tcPr>
            <w:tcW w:w="1276" w:type="dxa"/>
            <w:vAlign w:val="center"/>
          </w:tcPr>
          <w:p w14:paraId="58FEAB08" w14:textId="77777777" w:rsidR="007C344D" w:rsidRPr="00DB6C99" w:rsidRDefault="007C344D" w:rsidP="007C344D">
            <w:pPr>
              <w:pStyle w:val="ListParagraph"/>
              <w:numPr>
                <w:ilvl w:val="0"/>
                <w:numId w:val="4"/>
              </w:numPr>
              <w:ind w:left="338"/>
              <w:rPr>
                <w:rFonts w:ascii="Garamond" w:hAnsi="Garamond"/>
                <w:sz w:val="20"/>
                <w:szCs w:val="20"/>
              </w:rPr>
            </w:pPr>
            <w:r w:rsidRPr="00DB6C99">
              <w:rPr>
                <w:rFonts w:ascii="Garamond" w:hAnsi="Garamond"/>
                <w:i/>
                <w:iCs/>
                <w:sz w:val="20"/>
                <w:szCs w:val="20"/>
                <w:lang w:val="en-GB"/>
              </w:rPr>
              <w:t>BIND</w:t>
            </w:r>
          </w:p>
        </w:tc>
        <w:tc>
          <w:tcPr>
            <w:tcW w:w="928" w:type="dxa"/>
          </w:tcPr>
          <w:p w14:paraId="3CF43CAE" w14:textId="77777777" w:rsidR="007C344D" w:rsidRPr="00DB6C99" w:rsidRDefault="007C344D" w:rsidP="007C344D">
            <w:pPr>
              <w:tabs>
                <w:tab w:val="decimal" w:pos="295"/>
              </w:tabs>
              <w:contextualSpacing/>
              <w:jc w:val="both"/>
              <w:rPr>
                <w:rFonts w:ascii="Garamond" w:hAnsi="Garamond"/>
                <w:sz w:val="20"/>
                <w:szCs w:val="20"/>
              </w:rPr>
            </w:pPr>
            <w:r w:rsidRPr="00DB6C99">
              <w:rPr>
                <w:rFonts w:ascii="Garamond" w:hAnsi="Garamond"/>
                <w:sz w:val="20"/>
                <w:szCs w:val="20"/>
              </w:rPr>
              <w:t>0.061*</w:t>
            </w:r>
          </w:p>
        </w:tc>
        <w:tc>
          <w:tcPr>
            <w:tcW w:w="992" w:type="dxa"/>
          </w:tcPr>
          <w:p w14:paraId="00C8B2D6" w14:textId="77777777" w:rsidR="007C344D" w:rsidRPr="00DB6C99" w:rsidRDefault="007C344D" w:rsidP="007C344D">
            <w:pPr>
              <w:tabs>
                <w:tab w:val="decimal" w:pos="174"/>
              </w:tabs>
              <w:contextualSpacing/>
              <w:jc w:val="both"/>
              <w:rPr>
                <w:rFonts w:ascii="Garamond" w:hAnsi="Garamond"/>
                <w:sz w:val="20"/>
                <w:szCs w:val="20"/>
              </w:rPr>
            </w:pPr>
            <w:r w:rsidRPr="00DB6C99">
              <w:rPr>
                <w:rFonts w:ascii="Garamond" w:hAnsi="Garamond"/>
                <w:sz w:val="20"/>
                <w:szCs w:val="20"/>
              </w:rPr>
              <w:t>0.173*</w:t>
            </w:r>
          </w:p>
        </w:tc>
        <w:tc>
          <w:tcPr>
            <w:tcW w:w="850" w:type="dxa"/>
          </w:tcPr>
          <w:p w14:paraId="2E816421" w14:textId="77777777" w:rsidR="007C344D" w:rsidRPr="00DB6C99" w:rsidRDefault="007C344D" w:rsidP="007C344D">
            <w:pPr>
              <w:tabs>
                <w:tab w:val="decimal" w:pos="173"/>
              </w:tabs>
              <w:contextualSpacing/>
              <w:jc w:val="both"/>
              <w:rPr>
                <w:rFonts w:ascii="Garamond" w:hAnsi="Garamond"/>
                <w:sz w:val="20"/>
                <w:szCs w:val="20"/>
              </w:rPr>
            </w:pPr>
            <w:r w:rsidRPr="00DB6C99">
              <w:rPr>
                <w:rFonts w:ascii="Garamond" w:hAnsi="Garamond"/>
                <w:sz w:val="20"/>
                <w:szCs w:val="20"/>
              </w:rPr>
              <w:t>0.270*</w:t>
            </w:r>
          </w:p>
        </w:tc>
        <w:tc>
          <w:tcPr>
            <w:tcW w:w="851" w:type="dxa"/>
          </w:tcPr>
          <w:p w14:paraId="34EB1C28" w14:textId="77777777" w:rsidR="007C344D" w:rsidRPr="00DB6C99" w:rsidRDefault="007C344D" w:rsidP="007C344D">
            <w:pPr>
              <w:tabs>
                <w:tab w:val="decimal" w:pos="173"/>
              </w:tabs>
              <w:contextualSpacing/>
              <w:jc w:val="both"/>
              <w:rPr>
                <w:rFonts w:ascii="Garamond" w:hAnsi="Garamond"/>
                <w:sz w:val="20"/>
                <w:szCs w:val="20"/>
              </w:rPr>
            </w:pPr>
            <w:r w:rsidRPr="00DB6C99">
              <w:rPr>
                <w:rFonts w:ascii="Garamond" w:hAnsi="Garamond"/>
                <w:sz w:val="20"/>
                <w:szCs w:val="20"/>
              </w:rPr>
              <w:t>1.000</w:t>
            </w:r>
          </w:p>
        </w:tc>
        <w:tc>
          <w:tcPr>
            <w:tcW w:w="850" w:type="dxa"/>
          </w:tcPr>
          <w:p w14:paraId="3AA40B87" w14:textId="77777777" w:rsidR="007C344D" w:rsidRPr="00DB6C99" w:rsidRDefault="007C344D" w:rsidP="007C344D">
            <w:pPr>
              <w:tabs>
                <w:tab w:val="decimal" w:pos="172"/>
              </w:tabs>
              <w:contextualSpacing/>
              <w:rPr>
                <w:rFonts w:ascii="Garamond" w:hAnsi="Garamond"/>
                <w:sz w:val="20"/>
                <w:szCs w:val="20"/>
              </w:rPr>
            </w:pPr>
          </w:p>
        </w:tc>
        <w:tc>
          <w:tcPr>
            <w:tcW w:w="851" w:type="dxa"/>
          </w:tcPr>
          <w:p w14:paraId="425B05D5" w14:textId="77777777" w:rsidR="007C344D" w:rsidRPr="00DB6C99" w:rsidRDefault="007C344D" w:rsidP="007C344D">
            <w:pPr>
              <w:tabs>
                <w:tab w:val="decimal" w:pos="172"/>
              </w:tabs>
              <w:contextualSpacing/>
              <w:rPr>
                <w:rFonts w:ascii="Garamond" w:hAnsi="Garamond"/>
                <w:sz w:val="20"/>
                <w:szCs w:val="20"/>
              </w:rPr>
            </w:pPr>
          </w:p>
        </w:tc>
        <w:tc>
          <w:tcPr>
            <w:tcW w:w="992" w:type="dxa"/>
          </w:tcPr>
          <w:p w14:paraId="38FB9EFC" w14:textId="77777777" w:rsidR="007C344D" w:rsidRPr="00DB6C99" w:rsidRDefault="007C344D" w:rsidP="007C344D">
            <w:pPr>
              <w:tabs>
                <w:tab w:val="decimal" w:pos="313"/>
              </w:tabs>
              <w:contextualSpacing/>
              <w:rPr>
                <w:rFonts w:ascii="Garamond" w:hAnsi="Garamond"/>
                <w:sz w:val="20"/>
                <w:szCs w:val="20"/>
              </w:rPr>
            </w:pPr>
          </w:p>
        </w:tc>
        <w:tc>
          <w:tcPr>
            <w:tcW w:w="992" w:type="dxa"/>
          </w:tcPr>
          <w:p w14:paraId="280F04E3" w14:textId="77777777" w:rsidR="007C344D" w:rsidRPr="00DB6C99" w:rsidRDefault="007C344D" w:rsidP="007C344D">
            <w:pPr>
              <w:tabs>
                <w:tab w:val="decimal" w:pos="313"/>
              </w:tabs>
              <w:contextualSpacing/>
              <w:rPr>
                <w:rFonts w:ascii="Garamond" w:hAnsi="Garamond"/>
                <w:sz w:val="20"/>
                <w:szCs w:val="20"/>
              </w:rPr>
            </w:pPr>
          </w:p>
        </w:tc>
        <w:tc>
          <w:tcPr>
            <w:tcW w:w="851" w:type="dxa"/>
          </w:tcPr>
          <w:p w14:paraId="633B3C0C" w14:textId="77777777" w:rsidR="007C344D" w:rsidRPr="00DB6C99" w:rsidRDefault="007C344D" w:rsidP="007C344D">
            <w:pPr>
              <w:contextualSpacing/>
              <w:jc w:val="both"/>
              <w:rPr>
                <w:rFonts w:ascii="Garamond" w:hAnsi="Garamond"/>
                <w:sz w:val="20"/>
                <w:szCs w:val="20"/>
              </w:rPr>
            </w:pPr>
          </w:p>
        </w:tc>
        <w:tc>
          <w:tcPr>
            <w:tcW w:w="850" w:type="dxa"/>
          </w:tcPr>
          <w:p w14:paraId="727B926A" w14:textId="77777777" w:rsidR="007C344D" w:rsidRPr="00DB6C99" w:rsidRDefault="007C344D" w:rsidP="007C344D">
            <w:pPr>
              <w:tabs>
                <w:tab w:val="decimal" w:pos="170"/>
              </w:tabs>
              <w:contextualSpacing/>
              <w:jc w:val="center"/>
              <w:rPr>
                <w:rFonts w:ascii="Garamond" w:hAnsi="Garamond"/>
                <w:sz w:val="20"/>
                <w:szCs w:val="20"/>
              </w:rPr>
            </w:pPr>
          </w:p>
        </w:tc>
        <w:tc>
          <w:tcPr>
            <w:tcW w:w="851" w:type="dxa"/>
          </w:tcPr>
          <w:p w14:paraId="09ACE898" w14:textId="77777777" w:rsidR="007C344D" w:rsidRPr="00DB6C99" w:rsidRDefault="007C344D" w:rsidP="007C344D">
            <w:pPr>
              <w:tabs>
                <w:tab w:val="decimal" w:pos="181"/>
              </w:tabs>
              <w:contextualSpacing/>
              <w:jc w:val="center"/>
              <w:rPr>
                <w:rFonts w:ascii="Garamond" w:hAnsi="Garamond"/>
                <w:sz w:val="20"/>
                <w:szCs w:val="20"/>
              </w:rPr>
            </w:pPr>
          </w:p>
        </w:tc>
        <w:tc>
          <w:tcPr>
            <w:tcW w:w="851" w:type="dxa"/>
          </w:tcPr>
          <w:p w14:paraId="4963BAE7" w14:textId="77777777" w:rsidR="007C344D" w:rsidRPr="00DB6C99" w:rsidRDefault="007C344D" w:rsidP="007C344D">
            <w:pPr>
              <w:tabs>
                <w:tab w:val="decimal" w:pos="180"/>
              </w:tabs>
              <w:contextualSpacing/>
              <w:jc w:val="center"/>
              <w:rPr>
                <w:rFonts w:ascii="Garamond" w:hAnsi="Garamond"/>
                <w:sz w:val="20"/>
                <w:szCs w:val="20"/>
              </w:rPr>
            </w:pPr>
          </w:p>
        </w:tc>
        <w:tc>
          <w:tcPr>
            <w:tcW w:w="851" w:type="dxa"/>
          </w:tcPr>
          <w:p w14:paraId="120605CA" w14:textId="77777777" w:rsidR="007C344D" w:rsidRPr="00DB6C99" w:rsidRDefault="007C344D" w:rsidP="007C344D">
            <w:pPr>
              <w:tabs>
                <w:tab w:val="decimal" w:pos="180"/>
              </w:tabs>
              <w:contextualSpacing/>
              <w:jc w:val="center"/>
              <w:rPr>
                <w:rFonts w:ascii="Garamond" w:hAnsi="Garamond"/>
                <w:sz w:val="20"/>
                <w:szCs w:val="20"/>
              </w:rPr>
            </w:pPr>
          </w:p>
        </w:tc>
        <w:tc>
          <w:tcPr>
            <w:tcW w:w="851" w:type="dxa"/>
          </w:tcPr>
          <w:p w14:paraId="0C18D002" w14:textId="77777777" w:rsidR="007C344D" w:rsidRPr="00DB6C99" w:rsidRDefault="007C344D" w:rsidP="007C344D">
            <w:pPr>
              <w:tabs>
                <w:tab w:val="decimal" w:pos="179"/>
              </w:tabs>
              <w:contextualSpacing/>
              <w:jc w:val="center"/>
              <w:rPr>
                <w:rFonts w:ascii="Garamond" w:hAnsi="Garamond"/>
                <w:sz w:val="20"/>
                <w:szCs w:val="20"/>
              </w:rPr>
            </w:pPr>
          </w:p>
        </w:tc>
        <w:tc>
          <w:tcPr>
            <w:tcW w:w="851" w:type="dxa"/>
          </w:tcPr>
          <w:p w14:paraId="2EF083FE" w14:textId="77777777" w:rsidR="007C344D" w:rsidRPr="00DB6C99" w:rsidRDefault="007C344D" w:rsidP="007C344D">
            <w:pPr>
              <w:contextualSpacing/>
              <w:jc w:val="center"/>
              <w:rPr>
                <w:rFonts w:ascii="Garamond" w:hAnsi="Garamond"/>
                <w:sz w:val="20"/>
                <w:szCs w:val="20"/>
              </w:rPr>
            </w:pPr>
          </w:p>
        </w:tc>
        <w:tc>
          <w:tcPr>
            <w:tcW w:w="851" w:type="dxa"/>
          </w:tcPr>
          <w:p w14:paraId="5C0461A4" w14:textId="77777777" w:rsidR="007C344D" w:rsidRPr="00DB6C99" w:rsidRDefault="007C344D" w:rsidP="007C344D">
            <w:pPr>
              <w:contextualSpacing/>
              <w:jc w:val="center"/>
              <w:rPr>
                <w:rFonts w:ascii="Garamond" w:hAnsi="Garamond"/>
                <w:sz w:val="20"/>
                <w:szCs w:val="20"/>
              </w:rPr>
            </w:pPr>
          </w:p>
        </w:tc>
      </w:tr>
      <w:tr w:rsidR="00DB6C99" w:rsidRPr="00DB6C99" w14:paraId="43A1B281" w14:textId="77777777" w:rsidTr="00444533">
        <w:trPr>
          <w:cantSplit/>
          <w:trHeight w:val="20"/>
          <w:jc w:val="center"/>
        </w:trPr>
        <w:tc>
          <w:tcPr>
            <w:tcW w:w="1276" w:type="dxa"/>
            <w:vAlign w:val="center"/>
          </w:tcPr>
          <w:p w14:paraId="62CD9B90" w14:textId="77777777" w:rsidR="007C344D" w:rsidRPr="00DB6C99" w:rsidRDefault="007C344D" w:rsidP="007C344D">
            <w:pPr>
              <w:pStyle w:val="ListParagraph"/>
              <w:numPr>
                <w:ilvl w:val="0"/>
                <w:numId w:val="4"/>
              </w:numPr>
              <w:ind w:left="338"/>
              <w:rPr>
                <w:rFonts w:ascii="Garamond" w:hAnsi="Garamond"/>
                <w:sz w:val="20"/>
                <w:szCs w:val="20"/>
              </w:rPr>
            </w:pPr>
            <w:r w:rsidRPr="00DB6C99">
              <w:rPr>
                <w:rFonts w:ascii="Garamond" w:hAnsi="Garamond"/>
                <w:i/>
                <w:iCs/>
                <w:sz w:val="20"/>
                <w:szCs w:val="20"/>
                <w:lang w:val="en-GB"/>
              </w:rPr>
              <w:t>BMEET</w:t>
            </w:r>
          </w:p>
        </w:tc>
        <w:tc>
          <w:tcPr>
            <w:tcW w:w="928" w:type="dxa"/>
          </w:tcPr>
          <w:p w14:paraId="04D5D402" w14:textId="77777777" w:rsidR="007C344D" w:rsidRPr="00DB6C99" w:rsidRDefault="007C344D" w:rsidP="007C344D">
            <w:pPr>
              <w:tabs>
                <w:tab w:val="decimal" w:pos="295"/>
              </w:tabs>
              <w:contextualSpacing/>
              <w:jc w:val="both"/>
              <w:rPr>
                <w:rFonts w:ascii="Garamond" w:hAnsi="Garamond"/>
                <w:sz w:val="20"/>
                <w:szCs w:val="20"/>
              </w:rPr>
            </w:pPr>
            <w:r w:rsidRPr="00DB6C99">
              <w:rPr>
                <w:rFonts w:ascii="Garamond" w:hAnsi="Garamond"/>
                <w:sz w:val="20"/>
                <w:szCs w:val="20"/>
              </w:rPr>
              <w:t>0.030*</w:t>
            </w:r>
          </w:p>
        </w:tc>
        <w:tc>
          <w:tcPr>
            <w:tcW w:w="992" w:type="dxa"/>
          </w:tcPr>
          <w:p w14:paraId="1A330B66" w14:textId="77777777" w:rsidR="007C344D" w:rsidRPr="00DB6C99" w:rsidRDefault="007C344D" w:rsidP="007C344D">
            <w:pPr>
              <w:tabs>
                <w:tab w:val="decimal" w:pos="174"/>
              </w:tabs>
              <w:contextualSpacing/>
              <w:jc w:val="both"/>
              <w:rPr>
                <w:rFonts w:ascii="Garamond" w:hAnsi="Garamond"/>
                <w:sz w:val="20"/>
                <w:szCs w:val="20"/>
              </w:rPr>
            </w:pPr>
            <w:r w:rsidRPr="00DB6C99">
              <w:rPr>
                <w:rFonts w:ascii="Garamond" w:hAnsi="Garamond"/>
                <w:sz w:val="20"/>
                <w:szCs w:val="20"/>
              </w:rPr>
              <w:t>0.021*</w:t>
            </w:r>
          </w:p>
        </w:tc>
        <w:tc>
          <w:tcPr>
            <w:tcW w:w="850" w:type="dxa"/>
          </w:tcPr>
          <w:p w14:paraId="33490426" w14:textId="77777777" w:rsidR="007C344D" w:rsidRPr="00DB6C99" w:rsidRDefault="007C344D" w:rsidP="007C344D">
            <w:pPr>
              <w:tabs>
                <w:tab w:val="decimal" w:pos="173"/>
              </w:tabs>
              <w:contextualSpacing/>
              <w:jc w:val="both"/>
              <w:rPr>
                <w:rFonts w:ascii="Garamond" w:hAnsi="Garamond"/>
                <w:sz w:val="20"/>
                <w:szCs w:val="20"/>
              </w:rPr>
            </w:pPr>
            <w:r w:rsidRPr="00DB6C99">
              <w:rPr>
                <w:rFonts w:ascii="Garamond" w:hAnsi="Garamond"/>
                <w:sz w:val="20"/>
                <w:szCs w:val="20"/>
              </w:rPr>
              <w:t>0.031*</w:t>
            </w:r>
          </w:p>
        </w:tc>
        <w:tc>
          <w:tcPr>
            <w:tcW w:w="851" w:type="dxa"/>
          </w:tcPr>
          <w:p w14:paraId="1330F335" w14:textId="77777777" w:rsidR="007C344D" w:rsidRPr="00DB6C99" w:rsidRDefault="007C344D" w:rsidP="007C344D">
            <w:pPr>
              <w:tabs>
                <w:tab w:val="decimal" w:pos="173"/>
              </w:tabs>
              <w:contextualSpacing/>
              <w:jc w:val="both"/>
              <w:rPr>
                <w:rFonts w:ascii="Garamond" w:hAnsi="Garamond"/>
                <w:sz w:val="20"/>
                <w:szCs w:val="20"/>
              </w:rPr>
            </w:pPr>
            <w:r w:rsidRPr="00DB6C99">
              <w:rPr>
                <w:rFonts w:ascii="Garamond" w:hAnsi="Garamond"/>
                <w:sz w:val="20"/>
                <w:szCs w:val="20"/>
              </w:rPr>
              <w:t>0.095*</w:t>
            </w:r>
          </w:p>
        </w:tc>
        <w:tc>
          <w:tcPr>
            <w:tcW w:w="850" w:type="dxa"/>
          </w:tcPr>
          <w:p w14:paraId="57EF0415" w14:textId="77777777" w:rsidR="007C344D" w:rsidRPr="00DB6C99" w:rsidRDefault="007C344D" w:rsidP="007C344D">
            <w:pPr>
              <w:tabs>
                <w:tab w:val="decimal" w:pos="172"/>
              </w:tabs>
              <w:contextualSpacing/>
              <w:rPr>
                <w:rFonts w:ascii="Garamond" w:hAnsi="Garamond"/>
                <w:sz w:val="20"/>
                <w:szCs w:val="20"/>
              </w:rPr>
            </w:pPr>
            <w:r w:rsidRPr="00DB6C99">
              <w:rPr>
                <w:rFonts w:ascii="Garamond" w:hAnsi="Garamond"/>
                <w:sz w:val="20"/>
                <w:szCs w:val="20"/>
              </w:rPr>
              <w:t>1.000</w:t>
            </w:r>
          </w:p>
        </w:tc>
        <w:tc>
          <w:tcPr>
            <w:tcW w:w="851" w:type="dxa"/>
          </w:tcPr>
          <w:p w14:paraId="077C6C94" w14:textId="77777777" w:rsidR="007C344D" w:rsidRPr="00DB6C99" w:rsidRDefault="007C344D" w:rsidP="007C344D">
            <w:pPr>
              <w:tabs>
                <w:tab w:val="decimal" w:pos="172"/>
              </w:tabs>
              <w:contextualSpacing/>
              <w:rPr>
                <w:rFonts w:ascii="Garamond" w:hAnsi="Garamond"/>
                <w:sz w:val="20"/>
                <w:szCs w:val="20"/>
              </w:rPr>
            </w:pPr>
          </w:p>
        </w:tc>
        <w:tc>
          <w:tcPr>
            <w:tcW w:w="992" w:type="dxa"/>
          </w:tcPr>
          <w:p w14:paraId="4B5E202A" w14:textId="77777777" w:rsidR="007C344D" w:rsidRPr="00DB6C99" w:rsidRDefault="007C344D" w:rsidP="007C344D">
            <w:pPr>
              <w:tabs>
                <w:tab w:val="decimal" w:pos="313"/>
              </w:tabs>
              <w:contextualSpacing/>
              <w:rPr>
                <w:rFonts w:ascii="Garamond" w:hAnsi="Garamond"/>
                <w:sz w:val="20"/>
                <w:szCs w:val="20"/>
              </w:rPr>
            </w:pPr>
          </w:p>
        </w:tc>
        <w:tc>
          <w:tcPr>
            <w:tcW w:w="992" w:type="dxa"/>
          </w:tcPr>
          <w:p w14:paraId="7504C026" w14:textId="77777777" w:rsidR="007C344D" w:rsidRPr="00DB6C99" w:rsidRDefault="007C344D" w:rsidP="007C344D">
            <w:pPr>
              <w:tabs>
                <w:tab w:val="decimal" w:pos="313"/>
              </w:tabs>
              <w:contextualSpacing/>
              <w:rPr>
                <w:rFonts w:ascii="Garamond" w:hAnsi="Garamond"/>
                <w:sz w:val="20"/>
                <w:szCs w:val="20"/>
              </w:rPr>
            </w:pPr>
          </w:p>
        </w:tc>
        <w:tc>
          <w:tcPr>
            <w:tcW w:w="851" w:type="dxa"/>
          </w:tcPr>
          <w:p w14:paraId="524C6A4A" w14:textId="77777777" w:rsidR="007C344D" w:rsidRPr="00DB6C99" w:rsidRDefault="007C344D" w:rsidP="007C344D">
            <w:pPr>
              <w:contextualSpacing/>
              <w:jc w:val="both"/>
              <w:rPr>
                <w:rFonts w:ascii="Garamond" w:hAnsi="Garamond"/>
                <w:sz w:val="20"/>
                <w:szCs w:val="20"/>
              </w:rPr>
            </w:pPr>
          </w:p>
        </w:tc>
        <w:tc>
          <w:tcPr>
            <w:tcW w:w="850" w:type="dxa"/>
          </w:tcPr>
          <w:p w14:paraId="589675B8" w14:textId="77777777" w:rsidR="007C344D" w:rsidRPr="00DB6C99" w:rsidRDefault="007C344D" w:rsidP="007C344D">
            <w:pPr>
              <w:tabs>
                <w:tab w:val="decimal" w:pos="170"/>
              </w:tabs>
              <w:contextualSpacing/>
              <w:rPr>
                <w:rFonts w:ascii="Garamond" w:hAnsi="Garamond"/>
                <w:sz w:val="20"/>
                <w:szCs w:val="20"/>
              </w:rPr>
            </w:pPr>
          </w:p>
        </w:tc>
        <w:tc>
          <w:tcPr>
            <w:tcW w:w="851" w:type="dxa"/>
          </w:tcPr>
          <w:p w14:paraId="1F2EEFB5" w14:textId="77777777" w:rsidR="007C344D" w:rsidRPr="00DB6C99" w:rsidRDefault="007C344D" w:rsidP="007C344D">
            <w:pPr>
              <w:tabs>
                <w:tab w:val="decimal" w:pos="181"/>
              </w:tabs>
              <w:contextualSpacing/>
              <w:jc w:val="center"/>
              <w:rPr>
                <w:rFonts w:ascii="Garamond" w:hAnsi="Garamond"/>
                <w:sz w:val="20"/>
                <w:szCs w:val="20"/>
              </w:rPr>
            </w:pPr>
          </w:p>
        </w:tc>
        <w:tc>
          <w:tcPr>
            <w:tcW w:w="851" w:type="dxa"/>
          </w:tcPr>
          <w:p w14:paraId="66AEC0C1" w14:textId="77777777" w:rsidR="007C344D" w:rsidRPr="00DB6C99" w:rsidRDefault="007C344D" w:rsidP="007C344D">
            <w:pPr>
              <w:tabs>
                <w:tab w:val="decimal" w:pos="180"/>
              </w:tabs>
              <w:contextualSpacing/>
              <w:jc w:val="center"/>
              <w:rPr>
                <w:rFonts w:ascii="Garamond" w:hAnsi="Garamond"/>
                <w:sz w:val="20"/>
                <w:szCs w:val="20"/>
              </w:rPr>
            </w:pPr>
          </w:p>
        </w:tc>
        <w:tc>
          <w:tcPr>
            <w:tcW w:w="851" w:type="dxa"/>
          </w:tcPr>
          <w:p w14:paraId="59258953" w14:textId="77777777" w:rsidR="007C344D" w:rsidRPr="00DB6C99" w:rsidRDefault="007C344D" w:rsidP="007C344D">
            <w:pPr>
              <w:tabs>
                <w:tab w:val="decimal" w:pos="180"/>
              </w:tabs>
              <w:contextualSpacing/>
              <w:jc w:val="center"/>
              <w:rPr>
                <w:rFonts w:ascii="Garamond" w:hAnsi="Garamond"/>
                <w:sz w:val="20"/>
                <w:szCs w:val="20"/>
              </w:rPr>
            </w:pPr>
          </w:p>
        </w:tc>
        <w:tc>
          <w:tcPr>
            <w:tcW w:w="851" w:type="dxa"/>
          </w:tcPr>
          <w:p w14:paraId="10120D7F" w14:textId="77777777" w:rsidR="007C344D" w:rsidRPr="00DB6C99" w:rsidRDefault="007C344D" w:rsidP="007C344D">
            <w:pPr>
              <w:tabs>
                <w:tab w:val="decimal" w:pos="179"/>
              </w:tabs>
              <w:contextualSpacing/>
              <w:jc w:val="center"/>
              <w:rPr>
                <w:rFonts w:ascii="Garamond" w:hAnsi="Garamond"/>
                <w:sz w:val="20"/>
                <w:szCs w:val="20"/>
              </w:rPr>
            </w:pPr>
          </w:p>
        </w:tc>
        <w:tc>
          <w:tcPr>
            <w:tcW w:w="851" w:type="dxa"/>
          </w:tcPr>
          <w:p w14:paraId="1F9C7A89" w14:textId="77777777" w:rsidR="007C344D" w:rsidRPr="00DB6C99" w:rsidRDefault="007C344D" w:rsidP="007C344D">
            <w:pPr>
              <w:contextualSpacing/>
              <w:jc w:val="center"/>
              <w:rPr>
                <w:rFonts w:ascii="Garamond" w:hAnsi="Garamond"/>
                <w:sz w:val="20"/>
                <w:szCs w:val="20"/>
              </w:rPr>
            </w:pPr>
          </w:p>
        </w:tc>
        <w:tc>
          <w:tcPr>
            <w:tcW w:w="851" w:type="dxa"/>
          </w:tcPr>
          <w:p w14:paraId="5115927D" w14:textId="77777777" w:rsidR="007C344D" w:rsidRPr="00DB6C99" w:rsidRDefault="007C344D" w:rsidP="007C344D">
            <w:pPr>
              <w:contextualSpacing/>
              <w:jc w:val="center"/>
              <w:rPr>
                <w:rFonts w:ascii="Garamond" w:hAnsi="Garamond"/>
                <w:sz w:val="20"/>
                <w:szCs w:val="20"/>
              </w:rPr>
            </w:pPr>
          </w:p>
        </w:tc>
      </w:tr>
      <w:tr w:rsidR="00DB6C99" w:rsidRPr="00DB6C99" w14:paraId="2C670E42" w14:textId="77777777" w:rsidTr="00444533">
        <w:trPr>
          <w:cantSplit/>
          <w:trHeight w:val="20"/>
          <w:jc w:val="center"/>
        </w:trPr>
        <w:tc>
          <w:tcPr>
            <w:tcW w:w="1276" w:type="dxa"/>
            <w:vAlign w:val="center"/>
          </w:tcPr>
          <w:p w14:paraId="2D49EAB0" w14:textId="77777777" w:rsidR="007C344D" w:rsidRPr="00DB6C99" w:rsidRDefault="007C344D" w:rsidP="007C344D">
            <w:pPr>
              <w:pStyle w:val="ListParagraph"/>
              <w:numPr>
                <w:ilvl w:val="0"/>
                <w:numId w:val="4"/>
              </w:numPr>
              <w:ind w:left="338"/>
              <w:rPr>
                <w:rFonts w:ascii="Garamond" w:hAnsi="Garamond"/>
                <w:sz w:val="20"/>
                <w:szCs w:val="20"/>
              </w:rPr>
            </w:pPr>
            <w:r w:rsidRPr="00DB6C99">
              <w:rPr>
                <w:rFonts w:ascii="Garamond" w:hAnsi="Garamond"/>
                <w:i/>
                <w:iCs/>
                <w:sz w:val="20"/>
                <w:szCs w:val="20"/>
                <w:lang w:val="en-GB"/>
              </w:rPr>
              <w:t>DUAL</w:t>
            </w:r>
          </w:p>
        </w:tc>
        <w:tc>
          <w:tcPr>
            <w:tcW w:w="928" w:type="dxa"/>
          </w:tcPr>
          <w:p w14:paraId="07BD2407" w14:textId="77777777" w:rsidR="007C344D" w:rsidRPr="00DB6C99" w:rsidRDefault="007C344D" w:rsidP="007C344D">
            <w:pPr>
              <w:tabs>
                <w:tab w:val="decimal" w:pos="295"/>
              </w:tabs>
              <w:contextualSpacing/>
              <w:jc w:val="both"/>
              <w:rPr>
                <w:rFonts w:ascii="Garamond" w:hAnsi="Garamond"/>
                <w:sz w:val="20"/>
                <w:szCs w:val="20"/>
              </w:rPr>
            </w:pPr>
            <w:r w:rsidRPr="00DB6C99">
              <w:rPr>
                <w:rFonts w:ascii="Garamond" w:hAnsi="Garamond"/>
                <w:sz w:val="20"/>
                <w:szCs w:val="20"/>
              </w:rPr>
              <w:t>0.066*</w:t>
            </w:r>
          </w:p>
        </w:tc>
        <w:tc>
          <w:tcPr>
            <w:tcW w:w="992" w:type="dxa"/>
          </w:tcPr>
          <w:p w14:paraId="7E1BDBF5" w14:textId="77777777" w:rsidR="007C344D" w:rsidRPr="00DB6C99" w:rsidRDefault="007C344D" w:rsidP="007C344D">
            <w:pPr>
              <w:tabs>
                <w:tab w:val="decimal" w:pos="174"/>
              </w:tabs>
              <w:contextualSpacing/>
              <w:jc w:val="both"/>
              <w:rPr>
                <w:rFonts w:ascii="Garamond" w:hAnsi="Garamond"/>
                <w:sz w:val="20"/>
                <w:szCs w:val="20"/>
              </w:rPr>
            </w:pPr>
            <w:r w:rsidRPr="00DB6C99">
              <w:rPr>
                <w:rFonts w:ascii="Garamond" w:hAnsi="Garamond"/>
                <w:sz w:val="20"/>
                <w:szCs w:val="20"/>
              </w:rPr>
              <w:t>0.049*</w:t>
            </w:r>
          </w:p>
        </w:tc>
        <w:tc>
          <w:tcPr>
            <w:tcW w:w="850" w:type="dxa"/>
          </w:tcPr>
          <w:p w14:paraId="0DD247C8" w14:textId="77777777" w:rsidR="007C344D" w:rsidRPr="00DB6C99" w:rsidRDefault="007C344D" w:rsidP="007C344D">
            <w:pPr>
              <w:tabs>
                <w:tab w:val="decimal" w:pos="173"/>
              </w:tabs>
              <w:contextualSpacing/>
              <w:jc w:val="both"/>
              <w:rPr>
                <w:rFonts w:ascii="Garamond" w:hAnsi="Garamond"/>
                <w:sz w:val="20"/>
                <w:szCs w:val="20"/>
              </w:rPr>
            </w:pPr>
            <w:r w:rsidRPr="00DB6C99">
              <w:rPr>
                <w:rFonts w:ascii="Garamond" w:hAnsi="Garamond"/>
                <w:sz w:val="20"/>
                <w:szCs w:val="20"/>
              </w:rPr>
              <w:t>0.084*</w:t>
            </w:r>
          </w:p>
        </w:tc>
        <w:tc>
          <w:tcPr>
            <w:tcW w:w="851" w:type="dxa"/>
          </w:tcPr>
          <w:p w14:paraId="57188E35" w14:textId="77777777" w:rsidR="007C344D" w:rsidRPr="00DB6C99" w:rsidRDefault="007C344D" w:rsidP="007C344D">
            <w:pPr>
              <w:tabs>
                <w:tab w:val="decimal" w:pos="173"/>
              </w:tabs>
              <w:contextualSpacing/>
              <w:jc w:val="both"/>
              <w:rPr>
                <w:rFonts w:ascii="Garamond" w:hAnsi="Garamond"/>
                <w:sz w:val="20"/>
                <w:szCs w:val="20"/>
              </w:rPr>
            </w:pPr>
            <w:r w:rsidRPr="00DB6C99">
              <w:rPr>
                <w:rFonts w:ascii="Garamond" w:hAnsi="Garamond"/>
                <w:sz w:val="20"/>
                <w:szCs w:val="20"/>
              </w:rPr>
              <w:t>-0.033*</w:t>
            </w:r>
          </w:p>
        </w:tc>
        <w:tc>
          <w:tcPr>
            <w:tcW w:w="850" w:type="dxa"/>
          </w:tcPr>
          <w:p w14:paraId="64147D30" w14:textId="77777777" w:rsidR="007C344D" w:rsidRPr="00DB6C99" w:rsidRDefault="007C344D" w:rsidP="007C344D">
            <w:pPr>
              <w:tabs>
                <w:tab w:val="decimal" w:pos="172"/>
              </w:tabs>
              <w:contextualSpacing/>
              <w:rPr>
                <w:rFonts w:ascii="Garamond" w:hAnsi="Garamond"/>
                <w:sz w:val="20"/>
                <w:szCs w:val="20"/>
              </w:rPr>
            </w:pPr>
            <w:r w:rsidRPr="00DB6C99">
              <w:rPr>
                <w:rFonts w:ascii="Garamond" w:hAnsi="Garamond"/>
                <w:sz w:val="20"/>
                <w:szCs w:val="20"/>
              </w:rPr>
              <w:t>-0.090*</w:t>
            </w:r>
          </w:p>
        </w:tc>
        <w:tc>
          <w:tcPr>
            <w:tcW w:w="851" w:type="dxa"/>
          </w:tcPr>
          <w:p w14:paraId="011396E6" w14:textId="77777777" w:rsidR="007C344D" w:rsidRPr="00DB6C99" w:rsidRDefault="007C344D" w:rsidP="007C344D">
            <w:pPr>
              <w:tabs>
                <w:tab w:val="decimal" w:pos="172"/>
              </w:tabs>
              <w:contextualSpacing/>
              <w:rPr>
                <w:rFonts w:ascii="Garamond" w:hAnsi="Garamond"/>
                <w:sz w:val="20"/>
                <w:szCs w:val="20"/>
              </w:rPr>
            </w:pPr>
            <w:r w:rsidRPr="00DB6C99">
              <w:rPr>
                <w:rFonts w:ascii="Garamond" w:hAnsi="Garamond"/>
                <w:sz w:val="20"/>
                <w:szCs w:val="20"/>
              </w:rPr>
              <w:t>1.000</w:t>
            </w:r>
          </w:p>
        </w:tc>
        <w:tc>
          <w:tcPr>
            <w:tcW w:w="992" w:type="dxa"/>
          </w:tcPr>
          <w:p w14:paraId="67909DB7" w14:textId="77777777" w:rsidR="007C344D" w:rsidRPr="00DB6C99" w:rsidRDefault="007C344D" w:rsidP="007C344D">
            <w:pPr>
              <w:tabs>
                <w:tab w:val="decimal" w:pos="313"/>
              </w:tabs>
              <w:contextualSpacing/>
              <w:rPr>
                <w:rFonts w:ascii="Garamond" w:hAnsi="Garamond"/>
                <w:sz w:val="20"/>
                <w:szCs w:val="20"/>
              </w:rPr>
            </w:pPr>
          </w:p>
        </w:tc>
        <w:tc>
          <w:tcPr>
            <w:tcW w:w="992" w:type="dxa"/>
          </w:tcPr>
          <w:p w14:paraId="31FF5D1C" w14:textId="77777777" w:rsidR="007C344D" w:rsidRPr="00DB6C99" w:rsidRDefault="007C344D" w:rsidP="007C344D">
            <w:pPr>
              <w:tabs>
                <w:tab w:val="decimal" w:pos="313"/>
              </w:tabs>
              <w:contextualSpacing/>
              <w:rPr>
                <w:rFonts w:ascii="Garamond" w:hAnsi="Garamond"/>
                <w:sz w:val="20"/>
                <w:szCs w:val="20"/>
              </w:rPr>
            </w:pPr>
          </w:p>
        </w:tc>
        <w:tc>
          <w:tcPr>
            <w:tcW w:w="851" w:type="dxa"/>
          </w:tcPr>
          <w:p w14:paraId="2CA3C221" w14:textId="77777777" w:rsidR="007C344D" w:rsidRPr="00DB6C99" w:rsidRDefault="007C344D" w:rsidP="007C344D">
            <w:pPr>
              <w:contextualSpacing/>
              <w:jc w:val="both"/>
              <w:rPr>
                <w:rFonts w:ascii="Garamond" w:hAnsi="Garamond"/>
                <w:sz w:val="20"/>
                <w:szCs w:val="20"/>
              </w:rPr>
            </w:pPr>
          </w:p>
        </w:tc>
        <w:tc>
          <w:tcPr>
            <w:tcW w:w="850" w:type="dxa"/>
          </w:tcPr>
          <w:p w14:paraId="215B465B" w14:textId="77777777" w:rsidR="007C344D" w:rsidRPr="00DB6C99" w:rsidRDefault="007C344D" w:rsidP="007C344D">
            <w:pPr>
              <w:tabs>
                <w:tab w:val="decimal" w:pos="170"/>
              </w:tabs>
              <w:contextualSpacing/>
              <w:rPr>
                <w:rFonts w:ascii="Garamond" w:hAnsi="Garamond"/>
                <w:sz w:val="20"/>
                <w:szCs w:val="20"/>
              </w:rPr>
            </w:pPr>
          </w:p>
        </w:tc>
        <w:tc>
          <w:tcPr>
            <w:tcW w:w="851" w:type="dxa"/>
          </w:tcPr>
          <w:p w14:paraId="45A6C6C8" w14:textId="77777777" w:rsidR="007C344D" w:rsidRPr="00DB6C99" w:rsidRDefault="007C344D" w:rsidP="007C344D">
            <w:pPr>
              <w:tabs>
                <w:tab w:val="decimal" w:pos="181"/>
              </w:tabs>
              <w:contextualSpacing/>
              <w:rPr>
                <w:rFonts w:ascii="Garamond" w:hAnsi="Garamond"/>
                <w:sz w:val="20"/>
                <w:szCs w:val="20"/>
              </w:rPr>
            </w:pPr>
          </w:p>
        </w:tc>
        <w:tc>
          <w:tcPr>
            <w:tcW w:w="851" w:type="dxa"/>
          </w:tcPr>
          <w:p w14:paraId="2A24C990" w14:textId="77777777" w:rsidR="007C344D" w:rsidRPr="00DB6C99" w:rsidRDefault="007C344D" w:rsidP="007C344D">
            <w:pPr>
              <w:tabs>
                <w:tab w:val="decimal" w:pos="180"/>
              </w:tabs>
              <w:contextualSpacing/>
              <w:rPr>
                <w:rFonts w:ascii="Garamond" w:hAnsi="Garamond"/>
                <w:sz w:val="20"/>
                <w:szCs w:val="20"/>
              </w:rPr>
            </w:pPr>
          </w:p>
        </w:tc>
        <w:tc>
          <w:tcPr>
            <w:tcW w:w="851" w:type="dxa"/>
          </w:tcPr>
          <w:p w14:paraId="60556A29" w14:textId="77777777" w:rsidR="007C344D" w:rsidRPr="00DB6C99" w:rsidRDefault="007C344D" w:rsidP="007C344D">
            <w:pPr>
              <w:tabs>
                <w:tab w:val="decimal" w:pos="180"/>
              </w:tabs>
              <w:contextualSpacing/>
              <w:rPr>
                <w:rFonts w:ascii="Garamond" w:hAnsi="Garamond"/>
                <w:sz w:val="20"/>
                <w:szCs w:val="20"/>
              </w:rPr>
            </w:pPr>
          </w:p>
        </w:tc>
        <w:tc>
          <w:tcPr>
            <w:tcW w:w="851" w:type="dxa"/>
          </w:tcPr>
          <w:p w14:paraId="47D6805C" w14:textId="77777777" w:rsidR="007C344D" w:rsidRPr="00DB6C99" w:rsidRDefault="007C344D" w:rsidP="007C344D">
            <w:pPr>
              <w:tabs>
                <w:tab w:val="decimal" w:pos="179"/>
              </w:tabs>
              <w:contextualSpacing/>
              <w:rPr>
                <w:rFonts w:ascii="Garamond" w:hAnsi="Garamond"/>
                <w:sz w:val="20"/>
                <w:szCs w:val="20"/>
              </w:rPr>
            </w:pPr>
          </w:p>
        </w:tc>
        <w:tc>
          <w:tcPr>
            <w:tcW w:w="851" w:type="dxa"/>
          </w:tcPr>
          <w:p w14:paraId="0B071E9E" w14:textId="77777777" w:rsidR="007C344D" w:rsidRPr="00DB6C99" w:rsidRDefault="007C344D" w:rsidP="007C344D">
            <w:pPr>
              <w:contextualSpacing/>
              <w:rPr>
                <w:rFonts w:ascii="Garamond" w:hAnsi="Garamond"/>
                <w:sz w:val="20"/>
                <w:szCs w:val="20"/>
              </w:rPr>
            </w:pPr>
          </w:p>
        </w:tc>
        <w:tc>
          <w:tcPr>
            <w:tcW w:w="851" w:type="dxa"/>
          </w:tcPr>
          <w:p w14:paraId="2B2E5B08" w14:textId="77777777" w:rsidR="007C344D" w:rsidRPr="00DB6C99" w:rsidRDefault="007C344D" w:rsidP="007C344D">
            <w:pPr>
              <w:contextualSpacing/>
              <w:rPr>
                <w:rFonts w:ascii="Garamond" w:hAnsi="Garamond"/>
                <w:sz w:val="20"/>
                <w:szCs w:val="20"/>
              </w:rPr>
            </w:pPr>
          </w:p>
        </w:tc>
      </w:tr>
      <w:tr w:rsidR="00DB6C99" w:rsidRPr="00DB6C99" w14:paraId="0E61122B" w14:textId="77777777" w:rsidTr="00444533">
        <w:trPr>
          <w:cantSplit/>
          <w:trHeight w:val="20"/>
          <w:jc w:val="center"/>
        </w:trPr>
        <w:tc>
          <w:tcPr>
            <w:tcW w:w="1276" w:type="dxa"/>
            <w:vAlign w:val="center"/>
          </w:tcPr>
          <w:p w14:paraId="089AD757" w14:textId="77777777" w:rsidR="007C344D" w:rsidRPr="00DB6C99" w:rsidRDefault="007C344D" w:rsidP="007C344D">
            <w:pPr>
              <w:pStyle w:val="ListParagraph"/>
              <w:numPr>
                <w:ilvl w:val="0"/>
                <w:numId w:val="4"/>
              </w:numPr>
              <w:ind w:left="338"/>
              <w:rPr>
                <w:rFonts w:ascii="Garamond" w:hAnsi="Garamond"/>
                <w:sz w:val="20"/>
                <w:szCs w:val="20"/>
              </w:rPr>
            </w:pPr>
            <w:r w:rsidRPr="00DB6C99">
              <w:rPr>
                <w:rFonts w:ascii="Garamond" w:hAnsi="Garamond"/>
                <w:i/>
                <w:iCs/>
                <w:sz w:val="20"/>
                <w:szCs w:val="20"/>
                <w:lang w:val="en-GB"/>
              </w:rPr>
              <w:t>PM</w:t>
            </w:r>
          </w:p>
        </w:tc>
        <w:tc>
          <w:tcPr>
            <w:tcW w:w="928" w:type="dxa"/>
          </w:tcPr>
          <w:p w14:paraId="3743E485" w14:textId="77777777" w:rsidR="007C344D" w:rsidRPr="00DB6C99" w:rsidRDefault="007C344D" w:rsidP="007C344D">
            <w:pPr>
              <w:tabs>
                <w:tab w:val="decimal" w:pos="295"/>
              </w:tabs>
              <w:contextualSpacing/>
              <w:jc w:val="both"/>
              <w:rPr>
                <w:rFonts w:ascii="Garamond" w:hAnsi="Garamond"/>
                <w:sz w:val="20"/>
                <w:szCs w:val="20"/>
              </w:rPr>
            </w:pPr>
            <w:r w:rsidRPr="00DB6C99">
              <w:rPr>
                <w:rFonts w:ascii="Garamond" w:hAnsi="Garamond"/>
                <w:sz w:val="20"/>
                <w:szCs w:val="20"/>
              </w:rPr>
              <w:t>0.019</w:t>
            </w:r>
          </w:p>
        </w:tc>
        <w:tc>
          <w:tcPr>
            <w:tcW w:w="992" w:type="dxa"/>
          </w:tcPr>
          <w:p w14:paraId="42A299D5" w14:textId="77777777" w:rsidR="007C344D" w:rsidRPr="00DB6C99" w:rsidRDefault="007C344D" w:rsidP="007C344D">
            <w:pPr>
              <w:tabs>
                <w:tab w:val="decimal" w:pos="174"/>
              </w:tabs>
              <w:contextualSpacing/>
              <w:jc w:val="both"/>
              <w:rPr>
                <w:rFonts w:ascii="Garamond" w:hAnsi="Garamond"/>
                <w:sz w:val="20"/>
                <w:szCs w:val="20"/>
              </w:rPr>
            </w:pPr>
            <w:r w:rsidRPr="00DB6C99">
              <w:rPr>
                <w:rFonts w:ascii="Garamond" w:hAnsi="Garamond"/>
                <w:sz w:val="20"/>
                <w:szCs w:val="20"/>
              </w:rPr>
              <w:t>0.007</w:t>
            </w:r>
          </w:p>
        </w:tc>
        <w:tc>
          <w:tcPr>
            <w:tcW w:w="850" w:type="dxa"/>
          </w:tcPr>
          <w:p w14:paraId="72F46036" w14:textId="77777777" w:rsidR="007C344D" w:rsidRPr="00DB6C99" w:rsidRDefault="007C344D" w:rsidP="007C344D">
            <w:pPr>
              <w:tabs>
                <w:tab w:val="decimal" w:pos="173"/>
              </w:tabs>
              <w:contextualSpacing/>
              <w:jc w:val="both"/>
              <w:rPr>
                <w:rFonts w:ascii="Garamond" w:hAnsi="Garamond"/>
                <w:sz w:val="20"/>
                <w:szCs w:val="20"/>
              </w:rPr>
            </w:pPr>
            <w:r w:rsidRPr="00DB6C99">
              <w:rPr>
                <w:rFonts w:ascii="Garamond" w:hAnsi="Garamond"/>
                <w:sz w:val="20"/>
                <w:szCs w:val="20"/>
              </w:rPr>
              <w:t>0.015</w:t>
            </w:r>
          </w:p>
        </w:tc>
        <w:tc>
          <w:tcPr>
            <w:tcW w:w="851" w:type="dxa"/>
          </w:tcPr>
          <w:p w14:paraId="241BDDAC" w14:textId="77777777" w:rsidR="007C344D" w:rsidRPr="00DB6C99" w:rsidRDefault="007C344D" w:rsidP="007C344D">
            <w:pPr>
              <w:tabs>
                <w:tab w:val="decimal" w:pos="173"/>
              </w:tabs>
              <w:contextualSpacing/>
              <w:jc w:val="both"/>
              <w:rPr>
                <w:rFonts w:ascii="Garamond" w:hAnsi="Garamond"/>
                <w:sz w:val="20"/>
                <w:szCs w:val="20"/>
              </w:rPr>
            </w:pPr>
            <w:r w:rsidRPr="00DB6C99">
              <w:rPr>
                <w:rFonts w:ascii="Garamond" w:hAnsi="Garamond"/>
                <w:sz w:val="20"/>
                <w:szCs w:val="20"/>
              </w:rPr>
              <w:t>-0.004</w:t>
            </w:r>
          </w:p>
        </w:tc>
        <w:tc>
          <w:tcPr>
            <w:tcW w:w="850" w:type="dxa"/>
          </w:tcPr>
          <w:p w14:paraId="5C13D23E" w14:textId="77777777" w:rsidR="007C344D" w:rsidRPr="00DB6C99" w:rsidRDefault="007C344D" w:rsidP="007C344D">
            <w:pPr>
              <w:tabs>
                <w:tab w:val="decimal" w:pos="172"/>
              </w:tabs>
              <w:contextualSpacing/>
              <w:rPr>
                <w:rFonts w:ascii="Garamond" w:hAnsi="Garamond"/>
                <w:sz w:val="20"/>
                <w:szCs w:val="20"/>
              </w:rPr>
            </w:pPr>
            <w:r w:rsidRPr="00DB6C99">
              <w:rPr>
                <w:rFonts w:ascii="Garamond" w:hAnsi="Garamond"/>
                <w:sz w:val="20"/>
                <w:szCs w:val="20"/>
              </w:rPr>
              <w:t>-0.006</w:t>
            </w:r>
          </w:p>
        </w:tc>
        <w:tc>
          <w:tcPr>
            <w:tcW w:w="851" w:type="dxa"/>
          </w:tcPr>
          <w:p w14:paraId="7F758EA7" w14:textId="77777777" w:rsidR="007C344D" w:rsidRPr="00DB6C99" w:rsidRDefault="007C344D" w:rsidP="007C344D">
            <w:pPr>
              <w:tabs>
                <w:tab w:val="decimal" w:pos="172"/>
              </w:tabs>
              <w:contextualSpacing/>
              <w:rPr>
                <w:rFonts w:ascii="Garamond" w:hAnsi="Garamond"/>
                <w:sz w:val="20"/>
                <w:szCs w:val="20"/>
              </w:rPr>
            </w:pPr>
            <w:r w:rsidRPr="00DB6C99">
              <w:rPr>
                <w:rFonts w:ascii="Garamond" w:hAnsi="Garamond"/>
                <w:sz w:val="20"/>
                <w:szCs w:val="20"/>
              </w:rPr>
              <w:t>0.027*</w:t>
            </w:r>
          </w:p>
        </w:tc>
        <w:tc>
          <w:tcPr>
            <w:tcW w:w="992" w:type="dxa"/>
          </w:tcPr>
          <w:p w14:paraId="5BEE9FB7" w14:textId="77777777" w:rsidR="007C344D" w:rsidRPr="00DB6C99" w:rsidRDefault="007C344D" w:rsidP="007C344D">
            <w:pPr>
              <w:tabs>
                <w:tab w:val="decimal" w:pos="313"/>
              </w:tabs>
              <w:contextualSpacing/>
              <w:rPr>
                <w:rFonts w:ascii="Garamond" w:hAnsi="Garamond"/>
                <w:sz w:val="20"/>
                <w:szCs w:val="20"/>
              </w:rPr>
            </w:pPr>
            <w:r w:rsidRPr="00DB6C99">
              <w:rPr>
                <w:rFonts w:ascii="Garamond" w:hAnsi="Garamond"/>
                <w:sz w:val="20"/>
                <w:szCs w:val="20"/>
              </w:rPr>
              <w:t>1.000</w:t>
            </w:r>
          </w:p>
        </w:tc>
        <w:tc>
          <w:tcPr>
            <w:tcW w:w="992" w:type="dxa"/>
          </w:tcPr>
          <w:p w14:paraId="6C7223D7" w14:textId="77777777" w:rsidR="007C344D" w:rsidRPr="00DB6C99" w:rsidRDefault="007C344D" w:rsidP="007C344D">
            <w:pPr>
              <w:tabs>
                <w:tab w:val="decimal" w:pos="313"/>
              </w:tabs>
              <w:contextualSpacing/>
              <w:rPr>
                <w:rFonts w:ascii="Garamond" w:hAnsi="Garamond"/>
                <w:sz w:val="20"/>
                <w:szCs w:val="20"/>
              </w:rPr>
            </w:pPr>
          </w:p>
        </w:tc>
        <w:tc>
          <w:tcPr>
            <w:tcW w:w="851" w:type="dxa"/>
          </w:tcPr>
          <w:p w14:paraId="71D5F2AD" w14:textId="77777777" w:rsidR="007C344D" w:rsidRPr="00DB6C99" w:rsidRDefault="007C344D" w:rsidP="007C344D">
            <w:pPr>
              <w:contextualSpacing/>
              <w:jc w:val="both"/>
              <w:rPr>
                <w:rFonts w:ascii="Garamond" w:hAnsi="Garamond"/>
                <w:sz w:val="20"/>
                <w:szCs w:val="20"/>
              </w:rPr>
            </w:pPr>
          </w:p>
        </w:tc>
        <w:tc>
          <w:tcPr>
            <w:tcW w:w="850" w:type="dxa"/>
          </w:tcPr>
          <w:p w14:paraId="37CBD58D" w14:textId="77777777" w:rsidR="007C344D" w:rsidRPr="00DB6C99" w:rsidRDefault="007C344D" w:rsidP="007C344D">
            <w:pPr>
              <w:tabs>
                <w:tab w:val="decimal" w:pos="170"/>
              </w:tabs>
              <w:contextualSpacing/>
              <w:rPr>
                <w:rFonts w:ascii="Garamond" w:hAnsi="Garamond"/>
                <w:sz w:val="20"/>
                <w:szCs w:val="20"/>
              </w:rPr>
            </w:pPr>
          </w:p>
        </w:tc>
        <w:tc>
          <w:tcPr>
            <w:tcW w:w="851" w:type="dxa"/>
          </w:tcPr>
          <w:p w14:paraId="21CC620F" w14:textId="77777777" w:rsidR="007C344D" w:rsidRPr="00DB6C99" w:rsidRDefault="007C344D" w:rsidP="007C344D">
            <w:pPr>
              <w:tabs>
                <w:tab w:val="decimal" w:pos="181"/>
              </w:tabs>
              <w:contextualSpacing/>
              <w:rPr>
                <w:rFonts w:ascii="Garamond" w:hAnsi="Garamond"/>
                <w:sz w:val="20"/>
                <w:szCs w:val="20"/>
              </w:rPr>
            </w:pPr>
          </w:p>
        </w:tc>
        <w:tc>
          <w:tcPr>
            <w:tcW w:w="851" w:type="dxa"/>
          </w:tcPr>
          <w:p w14:paraId="38DA9924" w14:textId="77777777" w:rsidR="007C344D" w:rsidRPr="00DB6C99" w:rsidRDefault="007C344D" w:rsidP="007C344D">
            <w:pPr>
              <w:tabs>
                <w:tab w:val="decimal" w:pos="180"/>
              </w:tabs>
              <w:contextualSpacing/>
              <w:rPr>
                <w:rFonts w:ascii="Garamond" w:hAnsi="Garamond"/>
                <w:sz w:val="20"/>
                <w:szCs w:val="20"/>
              </w:rPr>
            </w:pPr>
          </w:p>
        </w:tc>
        <w:tc>
          <w:tcPr>
            <w:tcW w:w="851" w:type="dxa"/>
          </w:tcPr>
          <w:p w14:paraId="3531BCB1" w14:textId="77777777" w:rsidR="007C344D" w:rsidRPr="00DB6C99" w:rsidRDefault="007C344D" w:rsidP="007C344D">
            <w:pPr>
              <w:tabs>
                <w:tab w:val="decimal" w:pos="180"/>
              </w:tabs>
              <w:contextualSpacing/>
              <w:rPr>
                <w:rFonts w:ascii="Garamond" w:hAnsi="Garamond"/>
                <w:sz w:val="20"/>
                <w:szCs w:val="20"/>
              </w:rPr>
            </w:pPr>
          </w:p>
        </w:tc>
        <w:tc>
          <w:tcPr>
            <w:tcW w:w="851" w:type="dxa"/>
          </w:tcPr>
          <w:p w14:paraId="50209822" w14:textId="77777777" w:rsidR="007C344D" w:rsidRPr="00DB6C99" w:rsidRDefault="007C344D" w:rsidP="007C344D">
            <w:pPr>
              <w:tabs>
                <w:tab w:val="decimal" w:pos="179"/>
              </w:tabs>
              <w:contextualSpacing/>
              <w:rPr>
                <w:rFonts w:ascii="Garamond" w:hAnsi="Garamond"/>
                <w:sz w:val="20"/>
                <w:szCs w:val="20"/>
              </w:rPr>
            </w:pPr>
          </w:p>
        </w:tc>
        <w:tc>
          <w:tcPr>
            <w:tcW w:w="851" w:type="dxa"/>
          </w:tcPr>
          <w:p w14:paraId="0D793549" w14:textId="77777777" w:rsidR="007C344D" w:rsidRPr="00DB6C99" w:rsidRDefault="007C344D" w:rsidP="007C344D">
            <w:pPr>
              <w:contextualSpacing/>
              <w:rPr>
                <w:rFonts w:ascii="Garamond" w:hAnsi="Garamond"/>
                <w:sz w:val="20"/>
                <w:szCs w:val="20"/>
              </w:rPr>
            </w:pPr>
          </w:p>
        </w:tc>
        <w:tc>
          <w:tcPr>
            <w:tcW w:w="851" w:type="dxa"/>
          </w:tcPr>
          <w:p w14:paraId="7DFDD854" w14:textId="77777777" w:rsidR="007C344D" w:rsidRPr="00DB6C99" w:rsidRDefault="007C344D" w:rsidP="007C344D">
            <w:pPr>
              <w:contextualSpacing/>
              <w:rPr>
                <w:rFonts w:ascii="Garamond" w:hAnsi="Garamond"/>
                <w:sz w:val="20"/>
                <w:szCs w:val="20"/>
              </w:rPr>
            </w:pPr>
          </w:p>
        </w:tc>
      </w:tr>
      <w:tr w:rsidR="00DB6C99" w:rsidRPr="00DB6C99" w14:paraId="0C614FFE" w14:textId="77777777" w:rsidTr="00444533">
        <w:trPr>
          <w:cantSplit/>
          <w:trHeight w:val="20"/>
          <w:jc w:val="center"/>
        </w:trPr>
        <w:tc>
          <w:tcPr>
            <w:tcW w:w="1276" w:type="dxa"/>
            <w:vAlign w:val="center"/>
          </w:tcPr>
          <w:p w14:paraId="3D02B4A4" w14:textId="77777777" w:rsidR="007C344D" w:rsidRPr="00DB6C99" w:rsidRDefault="007C344D" w:rsidP="007C344D">
            <w:pPr>
              <w:pStyle w:val="ListParagraph"/>
              <w:numPr>
                <w:ilvl w:val="0"/>
                <w:numId w:val="4"/>
              </w:numPr>
              <w:ind w:left="338"/>
              <w:rPr>
                <w:rFonts w:ascii="Garamond" w:hAnsi="Garamond"/>
                <w:sz w:val="20"/>
                <w:szCs w:val="20"/>
              </w:rPr>
            </w:pPr>
            <w:r w:rsidRPr="00DB6C99">
              <w:rPr>
                <w:rFonts w:ascii="Garamond" w:hAnsi="Garamond"/>
                <w:i/>
                <w:iCs/>
                <w:sz w:val="20"/>
                <w:szCs w:val="20"/>
                <w:lang w:val="en-GB"/>
              </w:rPr>
              <w:t>ROA</w:t>
            </w:r>
          </w:p>
        </w:tc>
        <w:tc>
          <w:tcPr>
            <w:tcW w:w="928" w:type="dxa"/>
          </w:tcPr>
          <w:p w14:paraId="2BD8DA2F" w14:textId="77777777" w:rsidR="007C344D" w:rsidRPr="00DB6C99" w:rsidRDefault="007C344D" w:rsidP="007C344D">
            <w:pPr>
              <w:tabs>
                <w:tab w:val="decimal" w:pos="295"/>
              </w:tabs>
              <w:contextualSpacing/>
              <w:jc w:val="both"/>
              <w:rPr>
                <w:rFonts w:ascii="Garamond" w:hAnsi="Garamond"/>
                <w:sz w:val="20"/>
                <w:szCs w:val="20"/>
              </w:rPr>
            </w:pPr>
            <w:r w:rsidRPr="00DB6C99">
              <w:rPr>
                <w:rFonts w:ascii="Garamond" w:hAnsi="Garamond"/>
                <w:sz w:val="20"/>
                <w:szCs w:val="20"/>
              </w:rPr>
              <w:t>0.056*</w:t>
            </w:r>
          </w:p>
        </w:tc>
        <w:tc>
          <w:tcPr>
            <w:tcW w:w="992" w:type="dxa"/>
          </w:tcPr>
          <w:p w14:paraId="3937186A" w14:textId="77777777" w:rsidR="007C344D" w:rsidRPr="00DB6C99" w:rsidRDefault="007C344D" w:rsidP="007C344D">
            <w:pPr>
              <w:tabs>
                <w:tab w:val="decimal" w:pos="174"/>
              </w:tabs>
              <w:contextualSpacing/>
              <w:jc w:val="both"/>
              <w:rPr>
                <w:rFonts w:ascii="Garamond" w:hAnsi="Garamond"/>
                <w:sz w:val="20"/>
                <w:szCs w:val="20"/>
              </w:rPr>
            </w:pPr>
            <w:r w:rsidRPr="00DB6C99">
              <w:rPr>
                <w:rFonts w:ascii="Garamond" w:hAnsi="Garamond"/>
                <w:sz w:val="20"/>
                <w:szCs w:val="20"/>
              </w:rPr>
              <w:t>0.041*</w:t>
            </w:r>
          </w:p>
        </w:tc>
        <w:tc>
          <w:tcPr>
            <w:tcW w:w="850" w:type="dxa"/>
          </w:tcPr>
          <w:p w14:paraId="11B05E19" w14:textId="77777777" w:rsidR="007C344D" w:rsidRPr="00DB6C99" w:rsidRDefault="007C344D" w:rsidP="007C344D">
            <w:pPr>
              <w:tabs>
                <w:tab w:val="decimal" w:pos="173"/>
              </w:tabs>
              <w:contextualSpacing/>
              <w:jc w:val="both"/>
              <w:rPr>
                <w:rFonts w:ascii="Garamond" w:hAnsi="Garamond"/>
                <w:sz w:val="20"/>
                <w:szCs w:val="20"/>
              </w:rPr>
            </w:pPr>
            <w:r w:rsidRPr="00DB6C99">
              <w:rPr>
                <w:rFonts w:ascii="Garamond" w:hAnsi="Garamond"/>
                <w:sz w:val="20"/>
                <w:szCs w:val="20"/>
              </w:rPr>
              <w:t>0.030*</w:t>
            </w:r>
          </w:p>
        </w:tc>
        <w:tc>
          <w:tcPr>
            <w:tcW w:w="851" w:type="dxa"/>
          </w:tcPr>
          <w:p w14:paraId="3616926A" w14:textId="77777777" w:rsidR="007C344D" w:rsidRPr="00DB6C99" w:rsidRDefault="007C344D" w:rsidP="007C344D">
            <w:pPr>
              <w:tabs>
                <w:tab w:val="decimal" w:pos="173"/>
              </w:tabs>
              <w:contextualSpacing/>
              <w:jc w:val="both"/>
              <w:rPr>
                <w:rFonts w:ascii="Garamond" w:hAnsi="Garamond"/>
                <w:sz w:val="20"/>
                <w:szCs w:val="20"/>
              </w:rPr>
            </w:pPr>
            <w:r w:rsidRPr="00DB6C99">
              <w:rPr>
                <w:rFonts w:ascii="Garamond" w:hAnsi="Garamond"/>
                <w:sz w:val="20"/>
                <w:szCs w:val="20"/>
              </w:rPr>
              <w:t>-0.045*</w:t>
            </w:r>
          </w:p>
        </w:tc>
        <w:tc>
          <w:tcPr>
            <w:tcW w:w="850" w:type="dxa"/>
          </w:tcPr>
          <w:p w14:paraId="1AFBC23A" w14:textId="77777777" w:rsidR="007C344D" w:rsidRPr="00DB6C99" w:rsidRDefault="007C344D" w:rsidP="007C344D">
            <w:pPr>
              <w:tabs>
                <w:tab w:val="decimal" w:pos="172"/>
              </w:tabs>
              <w:contextualSpacing/>
              <w:rPr>
                <w:rFonts w:ascii="Garamond" w:hAnsi="Garamond"/>
                <w:sz w:val="20"/>
                <w:szCs w:val="20"/>
              </w:rPr>
            </w:pPr>
            <w:r w:rsidRPr="00DB6C99">
              <w:rPr>
                <w:rFonts w:ascii="Garamond" w:hAnsi="Garamond"/>
                <w:sz w:val="20"/>
                <w:szCs w:val="20"/>
              </w:rPr>
              <w:t>-0.145*</w:t>
            </w:r>
          </w:p>
        </w:tc>
        <w:tc>
          <w:tcPr>
            <w:tcW w:w="851" w:type="dxa"/>
          </w:tcPr>
          <w:p w14:paraId="4756FD1E" w14:textId="77777777" w:rsidR="007C344D" w:rsidRPr="00DB6C99" w:rsidRDefault="007C344D" w:rsidP="007C344D">
            <w:pPr>
              <w:tabs>
                <w:tab w:val="decimal" w:pos="172"/>
              </w:tabs>
              <w:contextualSpacing/>
              <w:rPr>
                <w:rFonts w:ascii="Garamond" w:hAnsi="Garamond"/>
                <w:sz w:val="20"/>
                <w:szCs w:val="20"/>
              </w:rPr>
            </w:pPr>
            <w:r w:rsidRPr="00DB6C99">
              <w:rPr>
                <w:rFonts w:ascii="Garamond" w:hAnsi="Garamond"/>
                <w:sz w:val="20"/>
                <w:szCs w:val="20"/>
              </w:rPr>
              <w:t>0.093*</w:t>
            </w:r>
          </w:p>
        </w:tc>
        <w:tc>
          <w:tcPr>
            <w:tcW w:w="992" w:type="dxa"/>
          </w:tcPr>
          <w:p w14:paraId="6F393DC4" w14:textId="77777777" w:rsidR="007C344D" w:rsidRPr="00DB6C99" w:rsidRDefault="007C344D" w:rsidP="007C344D">
            <w:pPr>
              <w:tabs>
                <w:tab w:val="decimal" w:pos="313"/>
              </w:tabs>
              <w:contextualSpacing/>
              <w:rPr>
                <w:rFonts w:ascii="Garamond" w:hAnsi="Garamond"/>
                <w:sz w:val="20"/>
                <w:szCs w:val="20"/>
              </w:rPr>
            </w:pPr>
            <w:r w:rsidRPr="00DB6C99">
              <w:rPr>
                <w:rFonts w:ascii="Garamond" w:hAnsi="Garamond"/>
                <w:sz w:val="20"/>
                <w:szCs w:val="20"/>
              </w:rPr>
              <w:t>0.134*</w:t>
            </w:r>
          </w:p>
        </w:tc>
        <w:tc>
          <w:tcPr>
            <w:tcW w:w="992" w:type="dxa"/>
          </w:tcPr>
          <w:p w14:paraId="02036831" w14:textId="77777777" w:rsidR="007C344D" w:rsidRPr="00DB6C99" w:rsidRDefault="007C344D" w:rsidP="007C344D">
            <w:pPr>
              <w:tabs>
                <w:tab w:val="decimal" w:pos="313"/>
              </w:tabs>
              <w:contextualSpacing/>
              <w:rPr>
                <w:rFonts w:ascii="Garamond" w:hAnsi="Garamond"/>
                <w:sz w:val="20"/>
                <w:szCs w:val="20"/>
              </w:rPr>
            </w:pPr>
            <w:r w:rsidRPr="00DB6C99">
              <w:rPr>
                <w:rFonts w:ascii="Garamond" w:hAnsi="Garamond"/>
                <w:sz w:val="20"/>
                <w:szCs w:val="20"/>
              </w:rPr>
              <w:t>1.000</w:t>
            </w:r>
          </w:p>
        </w:tc>
        <w:tc>
          <w:tcPr>
            <w:tcW w:w="851" w:type="dxa"/>
          </w:tcPr>
          <w:p w14:paraId="57C0C723" w14:textId="77777777" w:rsidR="007C344D" w:rsidRPr="00DB6C99" w:rsidRDefault="007C344D" w:rsidP="007C344D">
            <w:pPr>
              <w:contextualSpacing/>
              <w:jc w:val="both"/>
              <w:rPr>
                <w:rFonts w:ascii="Garamond" w:hAnsi="Garamond"/>
                <w:sz w:val="20"/>
                <w:szCs w:val="20"/>
              </w:rPr>
            </w:pPr>
          </w:p>
        </w:tc>
        <w:tc>
          <w:tcPr>
            <w:tcW w:w="850" w:type="dxa"/>
          </w:tcPr>
          <w:p w14:paraId="19A4716C" w14:textId="77777777" w:rsidR="007C344D" w:rsidRPr="00DB6C99" w:rsidRDefault="007C344D" w:rsidP="007C344D">
            <w:pPr>
              <w:tabs>
                <w:tab w:val="decimal" w:pos="170"/>
              </w:tabs>
              <w:contextualSpacing/>
              <w:rPr>
                <w:rFonts w:ascii="Garamond" w:hAnsi="Garamond"/>
                <w:sz w:val="20"/>
                <w:szCs w:val="20"/>
              </w:rPr>
            </w:pPr>
          </w:p>
        </w:tc>
        <w:tc>
          <w:tcPr>
            <w:tcW w:w="851" w:type="dxa"/>
          </w:tcPr>
          <w:p w14:paraId="549FEF56" w14:textId="77777777" w:rsidR="007C344D" w:rsidRPr="00DB6C99" w:rsidRDefault="007C344D" w:rsidP="007C344D">
            <w:pPr>
              <w:tabs>
                <w:tab w:val="decimal" w:pos="181"/>
              </w:tabs>
              <w:contextualSpacing/>
              <w:rPr>
                <w:rFonts w:ascii="Garamond" w:hAnsi="Garamond"/>
                <w:sz w:val="20"/>
                <w:szCs w:val="20"/>
              </w:rPr>
            </w:pPr>
          </w:p>
        </w:tc>
        <w:tc>
          <w:tcPr>
            <w:tcW w:w="851" w:type="dxa"/>
          </w:tcPr>
          <w:p w14:paraId="16AD8B70" w14:textId="77777777" w:rsidR="007C344D" w:rsidRPr="00DB6C99" w:rsidRDefault="007C344D" w:rsidP="007C344D">
            <w:pPr>
              <w:tabs>
                <w:tab w:val="decimal" w:pos="180"/>
              </w:tabs>
              <w:contextualSpacing/>
              <w:rPr>
                <w:rFonts w:ascii="Garamond" w:hAnsi="Garamond"/>
                <w:sz w:val="20"/>
                <w:szCs w:val="20"/>
              </w:rPr>
            </w:pPr>
          </w:p>
        </w:tc>
        <w:tc>
          <w:tcPr>
            <w:tcW w:w="851" w:type="dxa"/>
          </w:tcPr>
          <w:p w14:paraId="1ACB0F52" w14:textId="77777777" w:rsidR="007C344D" w:rsidRPr="00DB6C99" w:rsidRDefault="007C344D" w:rsidP="007C344D">
            <w:pPr>
              <w:tabs>
                <w:tab w:val="decimal" w:pos="180"/>
              </w:tabs>
              <w:contextualSpacing/>
              <w:rPr>
                <w:rFonts w:ascii="Garamond" w:hAnsi="Garamond"/>
                <w:sz w:val="20"/>
                <w:szCs w:val="20"/>
              </w:rPr>
            </w:pPr>
          </w:p>
        </w:tc>
        <w:tc>
          <w:tcPr>
            <w:tcW w:w="851" w:type="dxa"/>
          </w:tcPr>
          <w:p w14:paraId="7B178923" w14:textId="77777777" w:rsidR="007C344D" w:rsidRPr="00DB6C99" w:rsidRDefault="007C344D" w:rsidP="007C344D">
            <w:pPr>
              <w:tabs>
                <w:tab w:val="decimal" w:pos="179"/>
              </w:tabs>
              <w:contextualSpacing/>
              <w:rPr>
                <w:rFonts w:ascii="Garamond" w:hAnsi="Garamond"/>
                <w:sz w:val="20"/>
                <w:szCs w:val="20"/>
              </w:rPr>
            </w:pPr>
          </w:p>
        </w:tc>
        <w:tc>
          <w:tcPr>
            <w:tcW w:w="851" w:type="dxa"/>
          </w:tcPr>
          <w:p w14:paraId="50F50770" w14:textId="77777777" w:rsidR="007C344D" w:rsidRPr="00DB6C99" w:rsidRDefault="007C344D" w:rsidP="007C344D">
            <w:pPr>
              <w:contextualSpacing/>
              <w:rPr>
                <w:rFonts w:ascii="Garamond" w:hAnsi="Garamond"/>
                <w:sz w:val="20"/>
                <w:szCs w:val="20"/>
              </w:rPr>
            </w:pPr>
          </w:p>
        </w:tc>
        <w:tc>
          <w:tcPr>
            <w:tcW w:w="851" w:type="dxa"/>
          </w:tcPr>
          <w:p w14:paraId="632B3A1D" w14:textId="77777777" w:rsidR="007C344D" w:rsidRPr="00DB6C99" w:rsidRDefault="007C344D" w:rsidP="007C344D">
            <w:pPr>
              <w:contextualSpacing/>
              <w:rPr>
                <w:rFonts w:ascii="Garamond" w:hAnsi="Garamond"/>
                <w:sz w:val="20"/>
                <w:szCs w:val="20"/>
              </w:rPr>
            </w:pPr>
          </w:p>
        </w:tc>
      </w:tr>
      <w:tr w:rsidR="00DB6C99" w:rsidRPr="00DB6C99" w14:paraId="6D322B69" w14:textId="77777777" w:rsidTr="00444533">
        <w:trPr>
          <w:cantSplit/>
          <w:trHeight w:val="20"/>
          <w:jc w:val="center"/>
        </w:trPr>
        <w:tc>
          <w:tcPr>
            <w:tcW w:w="1276" w:type="dxa"/>
            <w:vAlign w:val="center"/>
          </w:tcPr>
          <w:p w14:paraId="0C467481" w14:textId="77777777" w:rsidR="007C344D" w:rsidRPr="00DB6C99" w:rsidRDefault="007C344D" w:rsidP="007C344D">
            <w:pPr>
              <w:pStyle w:val="ListParagraph"/>
              <w:numPr>
                <w:ilvl w:val="0"/>
                <w:numId w:val="4"/>
              </w:numPr>
              <w:ind w:left="338"/>
              <w:rPr>
                <w:rFonts w:ascii="Garamond" w:hAnsi="Garamond"/>
                <w:sz w:val="20"/>
                <w:szCs w:val="20"/>
              </w:rPr>
            </w:pPr>
            <w:r w:rsidRPr="00DB6C99">
              <w:rPr>
                <w:rFonts w:ascii="Garamond" w:hAnsi="Garamond"/>
                <w:i/>
                <w:iCs/>
                <w:sz w:val="20"/>
                <w:szCs w:val="20"/>
                <w:lang w:val="en-GB"/>
              </w:rPr>
              <w:t>CI</w:t>
            </w:r>
          </w:p>
        </w:tc>
        <w:tc>
          <w:tcPr>
            <w:tcW w:w="928" w:type="dxa"/>
          </w:tcPr>
          <w:p w14:paraId="05F0394E" w14:textId="77777777" w:rsidR="007C344D" w:rsidRPr="00DB6C99" w:rsidRDefault="007C344D" w:rsidP="007C344D">
            <w:pPr>
              <w:tabs>
                <w:tab w:val="decimal" w:pos="295"/>
              </w:tabs>
              <w:contextualSpacing/>
              <w:jc w:val="both"/>
              <w:rPr>
                <w:rFonts w:ascii="Garamond" w:hAnsi="Garamond"/>
                <w:sz w:val="20"/>
                <w:szCs w:val="20"/>
              </w:rPr>
            </w:pPr>
            <w:r w:rsidRPr="00DB6C99">
              <w:rPr>
                <w:rFonts w:ascii="Garamond" w:hAnsi="Garamond"/>
                <w:sz w:val="20"/>
                <w:szCs w:val="20"/>
              </w:rPr>
              <w:t>-0.019</w:t>
            </w:r>
          </w:p>
        </w:tc>
        <w:tc>
          <w:tcPr>
            <w:tcW w:w="992" w:type="dxa"/>
          </w:tcPr>
          <w:p w14:paraId="6BD320E7" w14:textId="77777777" w:rsidR="007C344D" w:rsidRPr="00DB6C99" w:rsidRDefault="007C344D" w:rsidP="007C344D">
            <w:pPr>
              <w:tabs>
                <w:tab w:val="decimal" w:pos="174"/>
              </w:tabs>
              <w:contextualSpacing/>
              <w:jc w:val="both"/>
              <w:rPr>
                <w:rFonts w:ascii="Garamond" w:hAnsi="Garamond"/>
                <w:sz w:val="20"/>
                <w:szCs w:val="20"/>
              </w:rPr>
            </w:pPr>
            <w:r w:rsidRPr="00DB6C99">
              <w:rPr>
                <w:rFonts w:ascii="Garamond" w:hAnsi="Garamond"/>
                <w:sz w:val="20"/>
                <w:szCs w:val="20"/>
              </w:rPr>
              <w:t>-0.060*</w:t>
            </w:r>
          </w:p>
        </w:tc>
        <w:tc>
          <w:tcPr>
            <w:tcW w:w="850" w:type="dxa"/>
          </w:tcPr>
          <w:p w14:paraId="1DA22745" w14:textId="77777777" w:rsidR="007C344D" w:rsidRPr="00DB6C99" w:rsidRDefault="007C344D" w:rsidP="007C344D">
            <w:pPr>
              <w:tabs>
                <w:tab w:val="decimal" w:pos="173"/>
              </w:tabs>
              <w:contextualSpacing/>
              <w:jc w:val="both"/>
              <w:rPr>
                <w:rFonts w:ascii="Garamond" w:hAnsi="Garamond"/>
                <w:sz w:val="20"/>
                <w:szCs w:val="20"/>
              </w:rPr>
            </w:pPr>
            <w:r w:rsidRPr="00DB6C99">
              <w:rPr>
                <w:rFonts w:ascii="Garamond" w:hAnsi="Garamond"/>
                <w:sz w:val="20"/>
                <w:szCs w:val="20"/>
              </w:rPr>
              <w:t>-0.041*</w:t>
            </w:r>
          </w:p>
        </w:tc>
        <w:tc>
          <w:tcPr>
            <w:tcW w:w="851" w:type="dxa"/>
          </w:tcPr>
          <w:p w14:paraId="70C94486" w14:textId="77777777" w:rsidR="007C344D" w:rsidRPr="00DB6C99" w:rsidRDefault="007C344D" w:rsidP="007C344D">
            <w:pPr>
              <w:tabs>
                <w:tab w:val="decimal" w:pos="173"/>
              </w:tabs>
              <w:contextualSpacing/>
              <w:jc w:val="both"/>
              <w:rPr>
                <w:rFonts w:ascii="Garamond" w:hAnsi="Garamond"/>
                <w:sz w:val="20"/>
                <w:szCs w:val="20"/>
              </w:rPr>
            </w:pPr>
            <w:r w:rsidRPr="00DB6C99">
              <w:rPr>
                <w:rFonts w:ascii="Garamond" w:hAnsi="Garamond"/>
                <w:sz w:val="20"/>
                <w:szCs w:val="20"/>
              </w:rPr>
              <w:t>0.021*</w:t>
            </w:r>
          </w:p>
        </w:tc>
        <w:tc>
          <w:tcPr>
            <w:tcW w:w="850" w:type="dxa"/>
          </w:tcPr>
          <w:p w14:paraId="7456CD4D" w14:textId="77777777" w:rsidR="007C344D" w:rsidRPr="00DB6C99" w:rsidRDefault="007C344D" w:rsidP="007C344D">
            <w:pPr>
              <w:tabs>
                <w:tab w:val="decimal" w:pos="172"/>
              </w:tabs>
              <w:contextualSpacing/>
              <w:rPr>
                <w:rFonts w:ascii="Garamond" w:hAnsi="Garamond"/>
                <w:sz w:val="20"/>
                <w:szCs w:val="20"/>
              </w:rPr>
            </w:pPr>
            <w:r w:rsidRPr="00DB6C99">
              <w:rPr>
                <w:rFonts w:ascii="Garamond" w:hAnsi="Garamond"/>
                <w:sz w:val="20"/>
                <w:szCs w:val="20"/>
              </w:rPr>
              <w:t>0.065*</w:t>
            </w:r>
          </w:p>
        </w:tc>
        <w:tc>
          <w:tcPr>
            <w:tcW w:w="851" w:type="dxa"/>
          </w:tcPr>
          <w:p w14:paraId="410EF04B" w14:textId="77777777" w:rsidR="007C344D" w:rsidRPr="00DB6C99" w:rsidRDefault="007C344D" w:rsidP="007C344D">
            <w:pPr>
              <w:tabs>
                <w:tab w:val="decimal" w:pos="172"/>
              </w:tabs>
              <w:contextualSpacing/>
              <w:rPr>
                <w:rFonts w:ascii="Garamond" w:hAnsi="Garamond"/>
                <w:sz w:val="20"/>
                <w:szCs w:val="20"/>
              </w:rPr>
            </w:pPr>
            <w:r w:rsidRPr="00DB6C99">
              <w:rPr>
                <w:rFonts w:ascii="Garamond" w:hAnsi="Garamond"/>
                <w:sz w:val="20"/>
                <w:szCs w:val="20"/>
              </w:rPr>
              <w:t>-0.071*</w:t>
            </w:r>
          </w:p>
        </w:tc>
        <w:tc>
          <w:tcPr>
            <w:tcW w:w="992" w:type="dxa"/>
          </w:tcPr>
          <w:p w14:paraId="752547AE" w14:textId="77777777" w:rsidR="007C344D" w:rsidRPr="00DB6C99" w:rsidRDefault="007C344D" w:rsidP="007C344D">
            <w:pPr>
              <w:tabs>
                <w:tab w:val="decimal" w:pos="313"/>
              </w:tabs>
              <w:contextualSpacing/>
              <w:rPr>
                <w:rFonts w:ascii="Garamond" w:hAnsi="Garamond"/>
                <w:sz w:val="20"/>
                <w:szCs w:val="20"/>
              </w:rPr>
            </w:pPr>
            <w:r w:rsidRPr="00DB6C99">
              <w:rPr>
                <w:rFonts w:ascii="Garamond" w:hAnsi="Garamond"/>
                <w:sz w:val="20"/>
                <w:szCs w:val="20"/>
              </w:rPr>
              <w:t>-0.324*</w:t>
            </w:r>
          </w:p>
        </w:tc>
        <w:tc>
          <w:tcPr>
            <w:tcW w:w="992" w:type="dxa"/>
          </w:tcPr>
          <w:p w14:paraId="323BE7A1" w14:textId="77777777" w:rsidR="007C344D" w:rsidRPr="00DB6C99" w:rsidRDefault="007C344D" w:rsidP="007C344D">
            <w:pPr>
              <w:tabs>
                <w:tab w:val="decimal" w:pos="313"/>
              </w:tabs>
              <w:contextualSpacing/>
              <w:rPr>
                <w:rFonts w:ascii="Garamond" w:hAnsi="Garamond"/>
                <w:sz w:val="20"/>
                <w:szCs w:val="20"/>
              </w:rPr>
            </w:pPr>
            <w:r w:rsidRPr="00DB6C99">
              <w:rPr>
                <w:rFonts w:ascii="Garamond" w:hAnsi="Garamond"/>
                <w:sz w:val="20"/>
                <w:szCs w:val="20"/>
              </w:rPr>
              <w:t>-0.342*</w:t>
            </w:r>
          </w:p>
        </w:tc>
        <w:tc>
          <w:tcPr>
            <w:tcW w:w="851" w:type="dxa"/>
          </w:tcPr>
          <w:p w14:paraId="3F31EA6C" w14:textId="77777777" w:rsidR="007C344D" w:rsidRPr="00DB6C99" w:rsidRDefault="007C344D" w:rsidP="007C344D">
            <w:pPr>
              <w:contextualSpacing/>
              <w:jc w:val="both"/>
              <w:rPr>
                <w:rFonts w:ascii="Garamond" w:hAnsi="Garamond"/>
                <w:sz w:val="20"/>
                <w:szCs w:val="20"/>
              </w:rPr>
            </w:pPr>
            <w:r w:rsidRPr="00DB6C99">
              <w:rPr>
                <w:rFonts w:ascii="Garamond" w:hAnsi="Garamond"/>
                <w:sz w:val="20"/>
                <w:szCs w:val="20"/>
              </w:rPr>
              <w:t>1.000</w:t>
            </w:r>
          </w:p>
        </w:tc>
        <w:tc>
          <w:tcPr>
            <w:tcW w:w="850" w:type="dxa"/>
          </w:tcPr>
          <w:p w14:paraId="78FB1064" w14:textId="77777777" w:rsidR="007C344D" w:rsidRPr="00DB6C99" w:rsidRDefault="007C344D" w:rsidP="007C344D">
            <w:pPr>
              <w:tabs>
                <w:tab w:val="decimal" w:pos="170"/>
              </w:tabs>
              <w:contextualSpacing/>
              <w:rPr>
                <w:rFonts w:ascii="Garamond" w:hAnsi="Garamond"/>
                <w:sz w:val="20"/>
                <w:szCs w:val="20"/>
              </w:rPr>
            </w:pPr>
          </w:p>
        </w:tc>
        <w:tc>
          <w:tcPr>
            <w:tcW w:w="851" w:type="dxa"/>
          </w:tcPr>
          <w:p w14:paraId="52B0C064" w14:textId="77777777" w:rsidR="007C344D" w:rsidRPr="00DB6C99" w:rsidRDefault="007C344D" w:rsidP="007C344D">
            <w:pPr>
              <w:tabs>
                <w:tab w:val="decimal" w:pos="181"/>
              </w:tabs>
              <w:contextualSpacing/>
              <w:rPr>
                <w:rFonts w:ascii="Garamond" w:hAnsi="Garamond"/>
                <w:sz w:val="20"/>
                <w:szCs w:val="20"/>
              </w:rPr>
            </w:pPr>
          </w:p>
        </w:tc>
        <w:tc>
          <w:tcPr>
            <w:tcW w:w="851" w:type="dxa"/>
          </w:tcPr>
          <w:p w14:paraId="61D1A41A" w14:textId="77777777" w:rsidR="007C344D" w:rsidRPr="00DB6C99" w:rsidRDefault="007C344D" w:rsidP="007C344D">
            <w:pPr>
              <w:tabs>
                <w:tab w:val="decimal" w:pos="180"/>
              </w:tabs>
              <w:contextualSpacing/>
              <w:rPr>
                <w:rFonts w:ascii="Garamond" w:hAnsi="Garamond"/>
                <w:sz w:val="20"/>
                <w:szCs w:val="20"/>
              </w:rPr>
            </w:pPr>
          </w:p>
        </w:tc>
        <w:tc>
          <w:tcPr>
            <w:tcW w:w="851" w:type="dxa"/>
          </w:tcPr>
          <w:p w14:paraId="4291693D" w14:textId="77777777" w:rsidR="007C344D" w:rsidRPr="00DB6C99" w:rsidRDefault="007C344D" w:rsidP="007C344D">
            <w:pPr>
              <w:tabs>
                <w:tab w:val="decimal" w:pos="180"/>
              </w:tabs>
              <w:contextualSpacing/>
              <w:rPr>
                <w:rFonts w:ascii="Garamond" w:hAnsi="Garamond"/>
                <w:sz w:val="20"/>
                <w:szCs w:val="20"/>
              </w:rPr>
            </w:pPr>
          </w:p>
        </w:tc>
        <w:tc>
          <w:tcPr>
            <w:tcW w:w="851" w:type="dxa"/>
          </w:tcPr>
          <w:p w14:paraId="5F7F234C" w14:textId="77777777" w:rsidR="007C344D" w:rsidRPr="00DB6C99" w:rsidRDefault="007C344D" w:rsidP="007C344D">
            <w:pPr>
              <w:tabs>
                <w:tab w:val="decimal" w:pos="179"/>
              </w:tabs>
              <w:contextualSpacing/>
              <w:rPr>
                <w:rFonts w:ascii="Garamond" w:hAnsi="Garamond"/>
                <w:sz w:val="20"/>
                <w:szCs w:val="20"/>
              </w:rPr>
            </w:pPr>
          </w:p>
        </w:tc>
        <w:tc>
          <w:tcPr>
            <w:tcW w:w="851" w:type="dxa"/>
          </w:tcPr>
          <w:p w14:paraId="2B7A0828" w14:textId="77777777" w:rsidR="007C344D" w:rsidRPr="00DB6C99" w:rsidRDefault="007C344D" w:rsidP="007C344D">
            <w:pPr>
              <w:contextualSpacing/>
              <w:rPr>
                <w:rFonts w:ascii="Garamond" w:hAnsi="Garamond"/>
                <w:sz w:val="20"/>
                <w:szCs w:val="20"/>
              </w:rPr>
            </w:pPr>
          </w:p>
        </w:tc>
        <w:tc>
          <w:tcPr>
            <w:tcW w:w="851" w:type="dxa"/>
          </w:tcPr>
          <w:p w14:paraId="0397AF71" w14:textId="77777777" w:rsidR="007C344D" w:rsidRPr="00DB6C99" w:rsidRDefault="007C344D" w:rsidP="007C344D">
            <w:pPr>
              <w:contextualSpacing/>
              <w:rPr>
                <w:rFonts w:ascii="Garamond" w:hAnsi="Garamond"/>
                <w:sz w:val="20"/>
                <w:szCs w:val="20"/>
              </w:rPr>
            </w:pPr>
          </w:p>
        </w:tc>
      </w:tr>
      <w:tr w:rsidR="00DB6C99" w:rsidRPr="00DB6C99" w14:paraId="6761E8D4" w14:textId="77777777" w:rsidTr="00444533">
        <w:trPr>
          <w:cantSplit/>
          <w:trHeight w:val="20"/>
          <w:jc w:val="center"/>
        </w:trPr>
        <w:tc>
          <w:tcPr>
            <w:tcW w:w="1276" w:type="dxa"/>
            <w:vAlign w:val="center"/>
          </w:tcPr>
          <w:p w14:paraId="38B83F2D" w14:textId="77777777" w:rsidR="007C344D" w:rsidRPr="00DB6C99" w:rsidRDefault="007C344D" w:rsidP="007C344D">
            <w:pPr>
              <w:pStyle w:val="ListParagraph"/>
              <w:numPr>
                <w:ilvl w:val="0"/>
                <w:numId w:val="4"/>
              </w:numPr>
              <w:ind w:left="338"/>
              <w:rPr>
                <w:rFonts w:ascii="Garamond" w:hAnsi="Garamond"/>
                <w:i/>
                <w:iCs/>
                <w:sz w:val="20"/>
                <w:szCs w:val="20"/>
                <w:lang w:val="en-GB"/>
              </w:rPr>
            </w:pPr>
            <w:r w:rsidRPr="00DB6C99">
              <w:rPr>
                <w:rFonts w:ascii="Garamond" w:hAnsi="Garamond"/>
                <w:i/>
                <w:iCs/>
                <w:sz w:val="20"/>
                <w:szCs w:val="20"/>
                <w:lang w:val="en-GB"/>
              </w:rPr>
              <w:t>R&amp;D</w:t>
            </w:r>
          </w:p>
        </w:tc>
        <w:tc>
          <w:tcPr>
            <w:tcW w:w="928" w:type="dxa"/>
          </w:tcPr>
          <w:p w14:paraId="0F5C67B5" w14:textId="77777777" w:rsidR="007C344D" w:rsidRPr="00DB6C99" w:rsidRDefault="007C344D" w:rsidP="007C344D">
            <w:pPr>
              <w:tabs>
                <w:tab w:val="decimal" w:pos="295"/>
              </w:tabs>
              <w:contextualSpacing/>
              <w:jc w:val="both"/>
              <w:rPr>
                <w:rFonts w:ascii="Garamond" w:hAnsi="Garamond"/>
                <w:sz w:val="20"/>
                <w:szCs w:val="20"/>
              </w:rPr>
            </w:pPr>
            <w:r w:rsidRPr="00DB6C99">
              <w:rPr>
                <w:rFonts w:ascii="Garamond" w:hAnsi="Garamond"/>
                <w:sz w:val="20"/>
                <w:szCs w:val="20"/>
              </w:rPr>
              <w:t>-0.087*</w:t>
            </w:r>
          </w:p>
        </w:tc>
        <w:tc>
          <w:tcPr>
            <w:tcW w:w="992" w:type="dxa"/>
          </w:tcPr>
          <w:p w14:paraId="670353BB" w14:textId="77777777" w:rsidR="007C344D" w:rsidRPr="00DB6C99" w:rsidRDefault="007C344D" w:rsidP="007C344D">
            <w:pPr>
              <w:tabs>
                <w:tab w:val="decimal" w:pos="174"/>
              </w:tabs>
              <w:contextualSpacing/>
              <w:jc w:val="both"/>
              <w:rPr>
                <w:rFonts w:ascii="Garamond" w:hAnsi="Garamond"/>
                <w:sz w:val="20"/>
                <w:szCs w:val="20"/>
              </w:rPr>
            </w:pPr>
            <w:r w:rsidRPr="00DB6C99">
              <w:rPr>
                <w:rFonts w:ascii="Garamond" w:hAnsi="Garamond"/>
                <w:sz w:val="20"/>
                <w:szCs w:val="20"/>
              </w:rPr>
              <w:t>-0.049*</w:t>
            </w:r>
          </w:p>
        </w:tc>
        <w:tc>
          <w:tcPr>
            <w:tcW w:w="850" w:type="dxa"/>
          </w:tcPr>
          <w:p w14:paraId="05B029FE" w14:textId="77777777" w:rsidR="007C344D" w:rsidRPr="00DB6C99" w:rsidRDefault="007C344D" w:rsidP="007C344D">
            <w:pPr>
              <w:tabs>
                <w:tab w:val="decimal" w:pos="173"/>
              </w:tabs>
              <w:contextualSpacing/>
              <w:jc w:val="both"/>
              <w:rPr>
                <w:rFonts w:ascii="Garamond" w:hAnsi="Garamond"/>
                <w:sz w:val="20"/>
                <w:szCs w:val="20"/>
              </w:rPr>
            </w:pPr>
            <w:r w:rsidRPr="00DB6C99">
              <w:rPr>
                <w:rFonts w:ascii="Garamond" w:hAnsi="Garamond"/>
                <w:sz w:val="20"/>
                <w:szCs w:val="20"/>
              </w:rPr>
              <w:t>-0.167*</w:t>
            </w:r>
          </w:p>
        </w:tc>
        <w:tc>
          <w:tcPr>
            <w:tcW w:w="851" w:type="dxa"/>
          </w:tcPr>
          <w:p w14:paraId="5247AED1" w14:textId="77777777" w:rsidR="007C344D" w:rsidRPr="00DB6C99" w:rsidRDefault="007C344D" w:rsidP="007C344D">
            <w:pPr>
              <w:tabs>
                <w:tab w:val="decimal" w:pos="173"/>
              </w:tabs>
              <w:contextualSpacing/>
              <w:jc w:val="both"/>
              <w:rPr>
                <w:rFonts w:ascii="Garamond" w:hAnsi="Garamond"/>
                <w:sz w:val="20"/>
                <w:szCs w:val="20"/>
              </w:rPr>
            </w:pPr>
            <w:r w:rsidRPr="00DB6C99">
              <w:rPr>
                <w:rFonts w:ascii="Garamond" w:hAnsi="Garamond"/>
                <w:sz w:val="20"/>
                <w:szCs w:val="20"/>
              </w:rPr>
              <w:t>-0.059*</w:t>
            </w:r>
          </w:p>
        </w:tc>
        <w:tc>
          <w:tcPr>
            <w:tcW w:w="850" w:type="dxa"/>
          </w:tcPr>
          <w:p w14:paraId="230A74F3" w14:textId="77777777" w:rsidR="007C344D" w:rsidRPr="00DB6C99" w:rsidRDefault="007C344D" w:rsidP="007C344D">
            <w:pPr>
              <w:tabs>
                <w:tab w:val="decimal" w:pos="172"/>
              </w:tabs>
              <w:contextualSpacing/>
              <w:rPr>
                <w:rFonts w:ascii="Garamond" w:hAnsi="Garamond"/>
                <w:sz w:val="20"/>
                <w:szCs w:val="20"/>
              </w:rPr>
            </w:pPr>
            <w:r w:rsidRPr="00DB6C99">
              <w:rPr>
                <w:rFonts w:ascii="Garamond" w:hAnsi="Garamond"/>
                <w:sz w:val="20"/>
                <w:szCs w:val="20"/>
              </w:rPr>
              <w:t>0.031*</w:t>
            </w:r>
          </w:p>
        </w:tc>
        <w:tc>
          <w:tcPr>
            <w:tcW w:w="851" w:type="dxa"/>
          </w:tcPr>
          <w:p w14:paraId="63354CC4" w14:textId="77777777" w:rsidR="007C344D" w:rsidRPr="00DB6C99" w:rsidRDefault="007C344D" w:rsidP="007C344D">
            <w:pPr>
              <w:tabs>
                <w:tab w:val="decimal" w:pos="172"/>
              </w:tabs>
              <w:contextualSpacing/>
              <w:rPr>
                <w:rFonts w:ascii="Garamond" w:hAnsi="Garamond"/>
                <w:sz w:val="20"/>
                <w:szCs w:val="20"/>
              </w:rPr>
            </w:pPr>
            <w:r w:rsidRPr="00DB6C99">
              <w:rPr>
                <w:rFonts w:ascii="Garamond" w:hAnsi="Garamond"/>
                <w:sz w:val="20"/>
                <w:szCs w:val="20"/>
              </w:rPr>
              <w:t>-0.114*</w:t>
            </w:r>
          </w:p>
        </w:tc>
        <w:tc>
          <w:tcPr>
            <w:tcW w:w="992" w:type="dxa"/>
          </w:tcPr>
          <w:p w14:paraId="0ECEE7C7" w14:textId="77777777" w:rsidR="007C344D" w:rsidRPr="00DB6C99" w:rsidRDefault="007C344D" w:rsidP="007C344D">
            <w:pPr>
              <w:tabs>
                <w:tab w:val="decimal" w:pos="313"/>
              </w:tabs>
              <w:contextualSpacing/>
              <w:rPr>
                <w:rFonts w:ascii="Garamond" w:hAnsi="Garamond"/>
                <w:sz w:val="20"/>
                <w:szCs w:val="20"/>
              </w:rPr>
            </w:pPr>
            <w:r w:rsidRPr="00DB6C99">
              <w:rPr>
                <w:rFonts w:ascii="Garamond" w:hAnsi="Garamond"/>
                <w:sz w:val="20"/>
                <w:szCs w:val="20"/>
              </w:rPr>
              <w:t>-0.146*</w:t>
            </w:r>
          </w:p>
        </w:tc>
        <w:tc>
          <w:tcPr>
            <w:tcW w:w="992" w:type="dxa"/>
          </w:tcPr>
          <w:p w14:paraId="329E7856" w14:textId="77777777" w:rsidR="007C344D" w:rsidRPr="00DB6C99" w:rsidRDefault="007C344D" w:rsidP="007C344D">
            <w:pPr>
              <w:tabs>
                <w:tab w:val="decimal" w:pos="313"/>
              </w:tabs>
              <w:contextualSpacing/>
              <w:rPr>
                <w:rFonts w:ascii="Garamond" w:hAnsi="Garamond"/>
                <w:sz w:val="20"/>
                <w:szCs w:val="20"/>
              </w:rPr>
            </w:pPr>
            <w:r w:rsidRPr="00DB6C99">
              <w:rPr>
                <w:rFonts w:ascii="Garamond" w:hAnsi="Garamond"/>
                <w:sz w:val="20"/>
                <w:szCs w:val="20"/>
              </w:rPr>
              <w:t>-0.351*</w:t>
            </w:r>
          </w:p>
        </w:tc>
        <w:tc>
          <w:tcPr>
            <w:tcW w:w="851" w:type="dxa"/>
          </w:tcPr>
          <w:p w14:paraId="047B5A2E" w14:textId="77777777" w:rsidR="007C344D" w:rsidRPr="00DB6C99" w:rsidRDefault="007C344D" w:rsidP="007C344D">
            <w:pPr>
              <w:contextualSpacing/>
              <w:jc w:val="both"/>
              <w:rPr>
                <w:rFonts w:ascii="Garamond" w:hAnsi="Garamond"/>
                <w:sz w:val="20"/>
                <w:szCs w:val="20"/>
              </w:rPr>
            </w:pPr>
            <w:r w:rsidRPr="00DB6C99">
              <w:rPr>
                <w:rFonts w:ascii="Garamond" w:hAnsi="Garamond"/>
                <w:sz w:val="20"/>
                <w:szCs w:val="20"/>
              </w:rPr>
              <w:t>0.418*</w:t>
            </w:r>
          </w:p>
        </w:tc>
        <w:tc>
          <w:tcPr>
            <w:tcW w:w="850" w:type="dxa"/>
          </w:tcPr>
          <w:p w14:paraId="0B3F4F83" w14:textId="77777777" w:rsidR="007C344D" w:rsidRPr="00DB6C99" w:rsidRDefault="007C344D" w:rsidP="007C344D">
            <w:pPr>
              <w:tabs>
                <w:tab w:val="decimal" w:pos="170"/>
              </w:tabs>
              <w:contextualSpacing/>
              <w:rPr>
                <w:rFonts w:ascii="Garamond" w:hAnsi="Garamond"/>
                <w:sz w:val="20"/>
                <w:szCs w:val="20"/>
              </w:rPr>
            </w:pPr>
            <w:r w:rsidRPr="00DB6C99">
              <w:rPr>
                <w:rFonts w:ascii="Garamond" w:hAnsi="Garamond"/>
                <w:sz w:val="20"/>
                <w:szCs w:val="20"/>
              </w:rPr>
              <w:t>1.000</w:t>
            </w:r>
          </w:p>
        </w:tc>
        <w:tc>
          <w:tcPr>
            <w:tcW w:w="851" w:type="dxa"/>
          </w:tcPr>
          <w:p w14:paraId="16D9FBEE" w14:textId="77777777" w:rsidR="007C344D" w:rsidRPr="00DB6C99" w:rsidRDefault="007C344D" w:rsidP="007C344D">
            <w:pPr>
              <w:tabs>
                <w:tab w:val="decimal" w:pos="181"/>
              </w:tabs>
              <w:contextualSpacing/>
              <w:rPr>
                <w:rFonts w:ascii="Garamond" w:hAnsi="Garamond"/>
                <w:sz w:val="20"/>
                <w:szCs w:val="20"/>
              </w:rPr>
            </w:pPr>
          </w:p>
        </w:tc>
        <w:tc>
          <w:tcPr>
            <w:tcW w:w="851" w:type="dxa"/>
          </w:tcPr>
          <w:p w14:paraId="43A29ACC" w14:textId="77777777" w:rsidR="007C344D" w:rsidRPr="00DB6C99" w:rsidRDefault="007C344D" w:rsidP="007C344D">
            <w:pPr>
              <w:tabs>
                <w:tab w:val="decimal" w:pos="180"/>
              </w:tabs>
              <w:contextualSpacing/>
              <w:rPr>
                <w:rFonts w:ascii="Garamond" w:hAnsi="Garamond"/>
                <w:sz w:val="20"/>
                <w:szCs w:val="20"/>
              </w:rPr>
            </w:pPr>
          </w:p>
        </w:tc>
        <w:tc>
          <w:tcPr>
            <w:tcW w:w="851" w:type="dxa"/>
          </w:tcPr>
          <w:p w14:paraId="50196CEF" w14:textId="77777777" w:rsidR="007C344D" w:rsidRPr="00DB6C99" w:rsidRDefault="007C344D" w:rsidP="007C344D">
            <w:pPr>
              <w:tabs>
                <w:tab w:val="decimal" w:pos="180"/>
              </w:tabs>
              <w:contextualSpacing/>
              <w:rPr>
                <w:rFonts w:ascii="Garamond" w:hAnsi="Garamond"/>
                <w:sz w:val="20"/>
                <w:szCs w:val="20"/>
              </w:rPr>
            </w:pPr>
          </w:p>
        </w:tc>
        <w:tc>
          <w:tcPr>
            <w:tcW w:w="851" w:type="dxa"/>
          </w:tcPr>
          <w:p w14:paraId="7A74EB15" w14:textId="77777777" w:rsidR="007C344D" w:rsidRPr="00DB6C99" w:rsidRDefault="007C344D" w:rsidP="007C344D">
            <w:pPr>
              <w:tabs>
                <w:tab w:val="decimal" w:pos="179"/>
              </w:tabs>
              <w:contextualSpacing/>
              <w:rPr>
                <w:rFonts w:ascii="Garamond" w:hAnsi="Garamond"/>
                <w:sz w:val="20"/>
                <w:szCs w:val="20"/>
              </w:rPr>
            </w:pPr>
          </w:p>
        </w:tc>
        <w:tc>
          <w:tcPr>
            <w:tcW w:w="851" w:type="dxa"/>
          </w:tcPr>
          <w:p w14:paraId="726B71CC" w14:textId="77777777" w:rsidR="007C344D" w:rsidRPr="00DB6C99" w:rsidRDefault="007C344D" w:rsidP="007C344D">
            <w:pPr>
              <w:contextualSpacing/>
              <w:rPr>
                <w:rFonts w:ascii="Garamond" w:hAnsi="Garamond"/>
                <w:sz w:val="20"/>
                <w:szCs w:val="20"/>
              </w:rPr>
            </w:pPr>
          </w:p>
        </w:tc>
        <w:tc>
          <w:tcPr>
            <w:tcW w:w="851" w:type="dxa"/>
          </w:tcPr>
          <w:p w14:paraId="1EF991FA" w14:textId="77777777" w:rsidR="007C344D" w:rsidRPr="00DB6C99" w:rsidRDefault="007C344D" w:rsidP="007C344D">
            <w:pPr>
              <w:contextualSpacing/>
              <w:rPr>
                <w:rFonts w:ascii="Garamond" w:hAnsi="Garamond"/>
                <w:sz w:val="20"/>
                <w:szCs w:val="20"/>
              </w:rPr>
            </w:pPr>
          </w:p>
        </w:tc>
      </w:tr>
      <w:tr w:rsidR="00DB6C99" w:rsidRPr="00DB6C99" w14:paraId="389BB1D5" w14:textId="77777777" w:rsidTr="00444533">
        <w:trPr>
          <w:cantSplit/>
          <w:trHeight w:val="20"/>
          <w:jc w:val="center"/>
        </w:trPr>
        <w:tc>
          <w:tcPr>
            <w:tcW w:w="1276" w:type="dxa"/>
            <w:vAlign w:val="center"/>
          </w:tcPr>
          <w:p w14:paraId="322DF205" w14:textId="77777777" w:rsidR="007C344D" w:rsidRPr="00DB6C99" w:rsidRDefault="007C344D" w:rsidP="007C344D">
            <w:pPr>
              <w:pStyle w:val="ListParagraph"/>
              <w:numPr>
                <w:ilvl w:val="0"/>
                <w:numId w:val="4"/>
              </w:numPr>
              <w:ind w:left="338"/>
              <w:rPr>
                <w:rFonts w:ascii="Garamond" w:hAnsi="Garamond"/>
                <w:i/>
                <w:iCs/>
                <w:sz w:val="20"/>
                <w:szCs w:val="20"/>
                <w:lang w:val="en-GB"/>
              </w:rPr>
            </w:pPr>
            <w:r w:rsidRPr="00DB6C99">
              <w:rPr>
                <w:rFonts w:ascii="Garamond" w:hAnsi="Garamond"/>
                <w:i/>
                <w:iCs/>
                <w:sz w:val="20"/>
                <w:szCs w:val="20"/>
                <w:lang w:val="en-GB"/>
              </w:rPr>
              <w:t>AFE</w:t>
            </w:r>
          </w:p>
        </w:tc>
        <w:tc>
          <w:tcPr>
            <w:tcW w:w="928" w:type="dxa"/>
          </w:tcPr>
          <w:p w14:paraId="27AA7DF6" w14:textId="77777777" w:rsidR="007C344D" w:rsidRPr="00DB6C99" w:rsidRDefault="007C344D" w:rsidP="007C344D">
            <w:pPr>
              <w:tabs>
                <w:tab w:val="decimal" w:pos="295"/>
              </w:tabs>
              <w:contextualSpacing/>
              <w:jc w:val="both"/>
              <w:rPr>
                <w:rFonts w:ascii="Garamond" w:hAnsi="Garamond"/>
                <w:sz w:val="20"/>
                <w:szCs w:val="20"/>
              </w:rPr>
            </w:pPr>
            <w:r w:rsidRPr="00DB6C99">
              <w:rPr>
                <w:rFonts w:ascii="Garamond" w:hAnsi="Garamond"/>
                <w:sz w:val="20"/>
                <w:szCs w:val="20"/>
              </w:rPr>
              <w:t>0.044*</w:t>
            </w:r>
          </w:p>
        </w:tc>
        <w:tc>
          <w:tcPr>
            <w:tcW w:w="992" w:type="dxa"/>
          </w:tcPr>
          <w:p w14:paraId="52AF1F88" w14:textId="77777777" w:rsidR="007C344D" w:rsidRPr="00DB6C99" w:rsidRDefault="007C344D" w:rsidP="007C344D">
            <w:pPr>
              <w:tabs>
                <w:tab w:val="decimal" w:pos="174"/>
              </w:tabs>
              <w:contextualSpacing/>
              <w:jc w:val="both"/>
              <w:rPr>
                <w:rFonts w:ascii="Garamond" w:hAnsi="Garamond"/>
                <w:sz w:val="20"/>
                <w:szCs w:val="20"/>
              </w:rPr>
            </w:pPr>
            <w:r w:rsidRPr="00DB6C99">
              <w:rPr>
                <w:rFonts w:ascii="Garamond" w:hAnsi="Garamond"/>
                <w:sz w:val="20"/>
                <w:szCs w:val="20"/>
              </w:rPr>
              <w:t>0.003</w:t>
            </w:r>
          </w:p>
        </w:tc>
        <w:tc>
          <w:tcPr>
            <w:tcW w:w="850" w:type="dxa"/>
          </w:tcPr>
          <w:p w14:paraId="23598417" w14:textId="77777777" w:rsidR="007C344D" w:rsidRPr="00DB6C99" w:rsidRDefault="007C344D" w:rsidP="007C344D">
            <w:pPr>
              <w:tabs>
                <w:tab w:val="decimal" w:pos="173"/>
              </w:tabs>
              <w:contextualSpacing/>
              <w:jc w:val="both"/>
              <w:rPr>
                <w:rFonts w:ascii="Garamond" w:hAnsi="Garamond"/>
                <w:sz w:val="20"/>
                <w:szCs w:val="20"/>
              </w:rPr>
            </w:pPr>
            <w:r w:rsidRPr="00DB6C99">
              <w:rPr>
                <w:rFonts w:ascii="Garamond" w:hAnsi="Garamond"/>
                <w:sz w:val="20"/>
                <w:szCs w:val="20"/>
              </w:rPr>
              <w:t>0.031*</w:t>
            </w:r>
          </w:p>
        </w:tc>
        <w:tc>
          <w:tcPr>
            <w:tcW w:w="851" w:type="dxa"/>
          </w:tcPr>
          <w:p w14:paraId="3C2D3E79" w14:textId="77777777" w:rsidR="007C344D" w:rsidRPr="00DB6C99" w:rsidRDefault="007C344D" w:rsidP="007C344D">
            <w:pPr>
              <w:tabs>
                <w:tab w:val="decimal" w:pos="173"/>
              </w:tabs>
              <w:contextualSpacing/>
              <w:jc w:val="both"/>
              <w:rPr>
                <w:rFonts w:ascii="Garamond" w:hAnsi="Garamond"/>
                <w:sz w:val="20"/>
                <w:szCs w:val="20"/>
              </w:rPr>
            </w:pPr>
            <w:r w:rsidRPr="00DB6C99">
              <w:rPr>
                <w:rFonts w:ascii="Garamond" w:hAnsi="Garamond"/>
                <w:sz w:val="20"/>
                <w:szCs w:val="20"/>
              </w:rPr>
              <w:t>-0.015</w:t>
            </w:r>
          </w:p>
        </w:tc>
        <w:tc>
          <w:tcPr>
            <w:tcW w:w="850" w:type="dxa"/>
          </w:tcPr>
          <w:p w14:paraId="2EC272D0" w14:textId="77777777" w:rsidR="007C344D" w:rsidRPr="00DB6C99" w:rsidRDefault="007C344D" w:rsidP="007C344D">
            <w:pPr>
              <w:tabs>
                <w:tab w:val="decimal" w:pos="172"/>
              </w:tabs>
              <w:contextualSpacing/>
              <w:rPr>
                <w:rFonts w:ascii="Garamond" w:hAnsi="Garamond"/>
                <w:sz w:val="20"/>
                <w:szCs w:val="20"/>
              </w:rPr>
            </w:pPr>
            <w:r w:rsidRPr="00DB6C99">
              <w:rPr>
                <w:rFonts w:ascii="Garamond" w:hAnsi="Garamond"/>
                <w:sz w:val="20"/>
                <w:szCs w:val="20"/>
              </w:rPr>
              <w:t>-0.049*</w:t>
            </w:r>
          </w:p>
        </w:tc>
        <w:tc>
          <w:tcPr>
            <w:tcW w:w="851" w:type="dxa"/>
          </w:tcPr>
          <w:p w14:paraId="74BB5AA5" w14:textId="77777777" w:rsidR="007C344D" w:rsidRPr="00DB6C99" w:rsidRDefault="007C344D" w:rsidP="007C344D">
            <w:pPr>
              <w:tabs>
                <w:tab w:val="decimal" w:pos="172"/>
              </w:tabs>
              <w:contextualSpacing/>
              <w:rPr>
                <w:rFonts w:ascii="Garamond" w:hAnsi="Garamond"/>
                <w:sz w:val="20"/>
                <w:szCs w:val="20"/>
              </w:rPr>
            </w:pPr>
            <w:r w:rsidRPr="00DB6C99">
              <w:rPr>
                <w:rFonts w:ascii="Garamond" w:hAnsi="Garamond"/>
                <w:sz w:val="20"/>
                <w:szCs w:val="20"/>
              </w:rPr>
              <w:t>0.019</w:t>
            </w:r>
          </w:p>
        </w:tc>
        <w:tc>
          <w:tcPr>
            <w:tcW w:w="992" w:type="dxa"/>
          </w:tcPr>
          <w:p w14:paraId="529157EA" w14:textId="77777777" w:rsidR="007C344D" w:rsidRPr="00DB6C99" w:rsidRDefault="007C344D" w:rsidP="007C344D">
            <w:pPr>
              <w:tabs>
                <w:tab w:val="decimal" w:pos="313"/>
              </w:tabs>
              <w:contextualSpacing/>
              <w:rPr>
                <w:rFonts w:ascii="Garamond" w:hAnsi="Garamond"/>
                <w:sz w:val="20"/>
                <w:szCs w:val="20"/>
              </w:rPr>
            </w:pPr>
            <w:r w:rsidRPr="00DB6C99">
              <w:rPr>
                <w:rFonts w:ascii="Garamond" w:hAnsi="Garamond"/>
                <w:sz w:val="20"/>
                <w:szCs w:val="20"/>
              </w:rPr>
              <w:t>-0.001</w:t>
            </w:r>
          </w:p>
        </w:tc>
        <w:tc>
          <w:tcPr>
            <w:tcW w:w="992" w:type="dxa"/>
          </w:tcPr>
          <w:p w14:paraId="2CE67C1C" w14:textId="77777777" w:rsidR="007C344D" w:rsidRPr="00DB6C99" w:rsidRDefault="007C344D" w:rsidP="007C344D">
            <w:pPr>
              <w:tabs>
                <w:tab w:val="decimal" w:pos="313"/>
              </w:tabs>
              <w:contextualSpacing/>
              <w:rPr>
                <w:rFonts w:ascii="Garamond" w:hAnsi="Garamond"/>
                <w:sz w:val="20"/>
                <w:szCs w:val="20"/>
              </w:rPr>
            </w:pPr>
            <w:r w:rsidRPr="00DB6C99">
              <w:rPr>
                <w:rFonts w:ascii="Garamond" w:hAnsi="Garamond"/>
                <w:sz w:val="20"/>
                <w:szCs w:val="20"/>
              </w:rPr>
              <w:t>-0.011</w:t>
            </w:r>
          </w:p>
        </w:tc>
        <w:tc>
          <w:tcPr>
            <w:tcW w:w="851" w:type="dxa"/>
          </w:tcPr>
          <w:p w14:paraId="2133F852" w14:textId="77777777" w:rsidR="007C344D" w:rsidRPr="00DB6C99" w:rsidRDefault="007C344D" w:rsidP="007C344D">
            <w:pPr>
              <w:contextualSpacing/>
              <w:jc w:val="both"/>
              <w:rPr>
                <w:rFonts w:ascii="Garamond" w:hAnsi="Garamond"/>
                <w:sz w:val="20"/>
                <w:szCs w:val="20"/>
              </w:rPr>
            </w:pPr>
            <w:r w:rsidRPr="00DB6C99">
              <w:rPr>
                <w:rFonts w:ascii="Garamond" w:hAnsi="Garamond"/>
                <w:sz w:val="20"/>
                <w:szCs w:val="20"/>
              </w:rPr>
              <w:t>0.013</w:t>
            </w:r>
          </w:p>
        </w:tc>
        <w:tc>
          <w:tcPr>
            <w:tcW w:w="850" w:type="dxa"/>
          </w:tcPr>
          <w:p w14:paraId="61CA1377" w14:textId="77777777" w:rsidR="007C344D" w:rsidRPr="00DB6C99" w:rsidRDefault="007C344D" w:rsidP="007C344D">
            <w:pPr>
              <w:tabs>
                <w:tab w:val="decimal" w:pos="170"/>
              </w:tabs>
              <w:contextualSpacing/>
              <w:rPr>
                <w:rFonts w:ascii="Garamond" w:hAnsi="Garamond"/>
                <w:sz w:val="20"/>
                <w:szCs w:val="20"/>
              </w:rPr>
            </w:pPr>
            <w:r w:rsidRPr="00DB6C99">
              <w:rPr>
                <w:rFonts w:ascii="Garamond" w:hAnsi="Garamond"/>
                <w:sz w:val="20"/>
                <w:szCs w:val="20"/>
              </w:rPr>
              <w:t>-0.016</w:t>
            </w:r>
          </w:p>
        </w:tc>
        <w:tc>
          <w:tcPr>
            <w:tcW w:w="851" w:type="dxa"/>
          </w:tcPr>
          <w:p w14:paraId="2059A67B" w14:textId="77777777" w:rsidR="007C344D" w:rsidRPr="00DB6C99" w:rsidRDefault="007C344D" w:rsidP="007C344D">
            <w:pPr>
              <w:tabs>
                <w:tab w:val="decimal" w:pos="181"/>
              </w:tabs>
              <w:contextualSpacing/>
              <w:rPr>
                <w:rFonts w:ascii="Garamond" w:hAnsi="Garamond"/>
                <w:sz w:val="20"/>
                <w:szCs w:val="20"/>
              </w:rPr>
            </w:pPr>
            <w:r w:rsidRPr="00DB6C99">
              <w:rPr>
                <w:rFonts w:ascii="Garamond" w:hAnsi="Garamond"/>
                <w:sz w:val="20"/>
                <w:szCs w:val="20"/>
              </w:rPr>
              <w:t>1.000</w:t>
            </w:r>
          </w:p>
        </w:tc>
        <w:tc>
          <w:tcPr>
            <w:tcW w:w="851" w:type="dxa"/>
          </w:tcPr>
          <w:p w14:paraId="2A5485E4" w14:textId="77777777" w:rsidR="007C344D" w:rsidRPr="00DB6C99" w:rsidRDefault="007C344D" w:rsidP="007C344D">
            <w:pPr>
              <w:tabs>
                <w:tab w:val="decimal" w:pos="180"/>
              </w:tabs>
              <w:contextualSpacing/>
              <w:rPr>
                <w:rFonts w:ascii="Garamond" w:hAnsi="Garamond"/>
                <w:sz w:val="20"/>
                <w:szCs w:val="20"/>
              </w:rPr>
            </w:pPr>
          </w:p>
        </w:tc>
        <w:tc>
          <w:tcPr>
            <w:tcW w:w="851" w:type="dxa"/>
          </w:tcPr>
          <w:p w14:paraId="07A14111" w14:textId="77777777" w:rsidR="007C344D" w:rsidRPr="00DB6C99" w:rsidRDefault="007C344D" w:rsidP="007C344D">
            <w:pPr>
              <w:tabs>
                <w:tab w:val="decimal" w:pos="180"/>
              </w:tabs>
              <w:contextualSpacing/>
              <w:rPr>
                <w:rFonts w:ascii="Garamond" w:hAnsi="Garamond"/>
                <w:sz w:val="20"/>
                <w:szCs w:val="20"/>
              </w:rPr>
            </w:pPr>
          </w:p>
        </w:tc>
        <w:tc>
          <w:tcPr>
            <w:tcW w:w="851" w:type="dxa"/>
          </w:tcPr>
          <w:p w14:paraId="5049D65B" w14:textId="77777777" w:rsidR="007C344D" w:rsidRPr="00DB6C99" w:rsidRDefault="007C344D" w:rsidP="007C344D">
            <w:pPr>
              <w:tabs>
                <w:tab w:val="decimal" w:pos="179"/>
              </w:tabs>
              <w:contextualSpacing/>
              <w:rPr>
                <w:rFonts w:ascii="Garamond" w:hAnsi="Garamond"/>
                <w:sz w:val="20"/>
                <w:szCs w:val="20"/>
              </w:rPr>
            </w:pPr>
          </w:p>
        </w:tc>
        <w:tc>
          <w:tcPr>
            <w:tcW w:w="851" w:type="dxa"/>
          </w:tcPr>
          <w:p w14:paraId="3BB14F34" w14:textId="77777777" w:rsidR="007C344D" w:rsidRPr="00DB6C99" w:rsidRDefault="007C344D" w:rsidP="007C344D">
            <w:pPr>
              <w:contextualSpacing/>
              <w:rPr>
                <w:rFonts w:ascii="Garamond" w:hAnsi="Garamond"/>
                <w:sz w:val="20"/>
                <w:szCs w:val="20"/>
              </w:rPr>
            </w:pPr>
          </w:p>
        </w:tc>
        <w:tc>
          <w:tcPr>
            <w:tcW w:w="851" w:type="dxa"/>
          </w:tcPr>
          <w:p w14:paraId="1C38582F" w14:textId="77777777" w:rsidR="007C344D" w:rsidRPr="00DB6C99" w:rsidRDefault="007C344D" w:rsidP="007C344D">
            <w:pPr>
              <w:contextualSpacing/>
              <w:rPr>
                <w:rFonts w:ascii="Garamond" w:hAnsi="Garamond"/>
                <w:sz w:val="20"/>
                <w:szCs w:val="20"/>
              </w:rPr>
            </w:pPr>
          </w:p>
        </w:tc>
      </w:tr>
      <w:tr w:rsidR="00DB6C99" w:rsidRPr="00DB6C99" w14:paraId="5FAC7579" w14:textId="77777777" w:rsidTr="00444533">
        <w:trPr>
          <w:cantSplit/>
          <w:trHeight w:val="20"/>
          <w:jc w:val="center"/>
        </w:trPr>
        <w:tc>
          <w:tcPr>
            <w:tcW w:w="1276" w:type="dxa"/>
            <w:vAlign w:val="center"/>
          </w:tcPr>
          <w:p w14:paraId="4801F90B" w14:textId="77777777" w:rsidR="007C344D" w:rsidRPr="00DB6C99" w:rsidRDefault="007C344D" w:rsidP="007C344D">
            <w:pPr>
              <w:pStyle w:val="ListParagraph"/>
              <w:numPr>
                <w:ilvl w:val="0"/>
                <w:numId w:val="4"/>
              </w:numPr>
              <w:ind w:left="338"/>
              <w:rPr>
                <w:rFonts w:ascii="Garamond" w:hAnsi="Garamond"/>
                <w:i/>
                <w:iCs/>
                <w:sz w:val="20"/>
                <w:szCs w:val="20"/>
                <w:lang w:val="en-GB"/>
              </w:rPr>
            </w:pPr>
            <w:r w:rsidRPr="00DB6C99">
              <w:rPr>
                <w:rFonts w:ascii="Garamond" w:hAnsi="Garamond"/>
                <w:i/>
                <w:iCs/>
                <w:sz w:val="20"/>
                <w:szCs w:val="20"/>
                <w:lang w:val="en-GB"/>
              </w:rPr>
              <w:t>SLACK</w:t>
            </w:r>
          </w:p>
        </w:tc>
        <w:tc>
          <w:tcPr>
            <w:tcW w:w="928" w:type="dxa"/>
          </w:tcPr>
          <w:p w14:paraId="0EBBEB79" w14:textId="77777777" w:rsidR="007C344D" w:rsidRPr="00DB6C99" w:rsidRDefault="007C344D" w:rsidP="007C344D">
            <w:pPr>
              <w:tabs>
                <w:tab w:val="decimal" w:pos="295"/>
              </w:tabs>
              <w:contextualSpacing/>
              <w:jc w:val="both"/>
              <w:rPr>
                <w:rFonts w:ascii="Garamond" w:hAnsi="Garamond"/>
                <w:sz w:val="20"/>
                <w:szCs w:val="20"/>
              </w:rPr>
            </w:pPr>
            <w:r w:rsidRPr="00DB6C99">
              <w:rPr>
                <w:rFonts w:ascii="Garamond" w:hAnsi="Garamond"/>
                <w:sz w:val="20"/>
                <w:szCs w:val="20"/>
              </w:rPr>
              <w:t>-0.126*</w:t>
            </w:r>
          </w:p>
        </w:tc>
        <w:tc>
          <w:tcPr>
            <w:tcW w:w="992" w:type="dxa"/>
          </w:tcPr>
          <w:p w14:paraId="5A453794" w14:textId="77777777" w:rsidR="007C344D" w:rsidRPr="00DB6C99" w:rsidRDefault="007C344D" w:rsidP="007C344D">
            <w:pPr>
              <w:tabs>
                <w:tab w:val="decimal" w:pos="174"/>
              </w:tabs>
              <w:contextualSpacing/>
              <w:jc w:val="both"/>
              <w:rPr>
                <w:rFonts w:ascii="Garamond" w:hAnsi="Garamond"/>
                <w:sz w:val="20"/>
                <w:szCs w:val="20"/>
              </w:rPr>
            </w:pPr>
            <w:r w:rsidRPr="00DB6C99">
              <w:rPr>
                <w:rFonts w:ascii="Garamond" w:hAnsi="Garamond"/>
                <w:sz w:val="20"/>
                <w:szCs w:val="20"/>
              </w:rPr>
              <w:t>-0.096*</w:t>
            </w:r>
          </w:p>
        </w:tc>
        <w:tc>
          <w:tcPr>
            <w:tcW w:w="850" w:type="dxa"/>
          </w:tcPr>
          <w:p w14:paraId="2C721291" w14:textId="77777777" w:rsidR="007C344D" w:rsidRPr="00DB6C99" w:rsidRDefault="007C344D" w:rsidP="007C344D">
            <w:pPr>
              <w:tabs>
                <w:tab w:val="decimal" w:pos="173"/>
              </w:tabs>
              <w:contextualSpacing/>
              <w:jc w:val="both"/>
              <w:rPr>
                <w:rFonts w:ascii="Garamond" w:hAnsi="Garamond"/>
                <w:sz w:val="20"/>
                <w:szCs w:val="20"/>
              </w:rPr>
            </w:pPr>
            <w:r w:rsidRPr="00DB6C99">
              <w:rPr>
                <w:rFonts w:ascii="Garamond" w:hAnsi="Garamond"/>
                <w:sz w:val="20"/>
                <w:szCs w:val="20"/>
              </w:rPr>
              <w:t>-0.244*</w:t>
            </w:r>
          </w:p>
        </w:tc>
        <w:tc>
          <w:tcPr>
            <w:tcW w:w="851" w:type="dxa"/>
          </w:tcPr>
          <w:p w14:paraId="2F3F0A6F" w14:textId="77777777" w:rsidR="007C344D" w:rsidRPr="00DB6C99" w:rsidRDefault="007C344D" w:rsidP="007C344D">
            <w:pPr>
              <w:tabs>
                <w:tab w:val="decimal" w:pos="173"/>
              </w:tabs>
              <w:contextualSpacing/>
              <w:jc w:val="both"/>
              <w:rPr>
                <w:rFonts w:ascii="Garamond" w:hAnsi="Garamond"/>
                <w:sz w:val="20"/>
                <w:szCs w:val="20"/>
              </w:rPr>
            </w:pPr>
            <w:r w:rsidRPr="00DB6C99">
              <w:rPr>
                <w:rFonts w:ascii="Garamond" w:hAnsi="Garamond"/>
                <w:sz w:val="20"/>
                <w:szCs w:val="20"/>
              </w:rPr>
              <w:t>-0.206*</w:t>
            </w:r>
          </w:p>
        </w:tc>
        <w:tc>
          <w:tcPr>
            <w:tcW w:w="850" w:type="dxa"/>
          </w:tcPr>
          <w:p w14:paraId="20802249" w14:textId="77777777" w:rsidR="007C344D" w:rsidRPr="00DB6C99" w:rsidRDefault="007C344D" w:rsidP="007C344D">
            <w:pPr>
              <w:tabs>
                <w:tab w:val="decimal" w:pos="172"/>
              </w:tabs>
              <w:contextualSpacing/>
              <w:rPr>
                <w:rFonts w:ascii="Garamond" w:hAnsi="Garamond"/>
                <w:sz w:val="20"/>
                <w:szCs w:val="20"/>
              </w:rPr>
            </w:pPr>
            <w:r w:rsidRPr="00DB6C99">
              <w:rPr>
                <w:rFonts w:ascii="Garamond" w:hAnsi="Garamond"/>
                <w:sz w:val="20"/>
                <w:szCs w:val="20"/>
              </w:rPr>
              <w:t>-0.087*</w:t>
            </w:r>
          </w:p>
        </w:tc>
        <w:tc>
          <w:tcPr>
            <w:tcW w:w="851" w:type="dxa"/>
          </w:tcPr>
          <w:p w14:paraId="6EB01BD0" w14:textId="77777777" w:rsidR="007C344D" w:rsidRPr="00DB6C99" w:rsidRDefault="007C344D" w:rsidP="007C344D">
            <w:pPr>
              <w:tabs>
                <w:tab w:val="decimal" w:pos="172"/>
              </w:tabs>
              <w:contextualSpacing/>
              <w:rPr>
                <w:rFonts w:ascii="Garamond" w:hAnsi="Garamond"/>
                <w:sz w:val="20"/>
                <w:szCs w:val="20"/>
              </w:rPr>
            </w:pPr>
            <w:r w:rsidRPr="00DB6C99">
              <w:rPr>
                <w:rFonts w:ascii="Garamond" w:hAnsi="Garamond"/>
                <w:sz w:val="20"/>
                <w:szCs w:val="20"/>
              </w:rPr>
              <w:t>-0.073*</w:t>
            </w:r>
          </w:p>
        </w:tc>
        <w:tc>
          <w:tcPr>
            <w:tcW w:w="992" w:type="dxa"/>
          </w:tcPr>
          <w:p w14:paraId="7527FDD5" w14:textId="77777777" w:rsidR="007C344D" w:rsidRPr="00DB6C99" w:rsidRDefault="007C344D" w:rsidP="007C344D">
            <w:pPr>
              <w:tabs>
                <w:tab w:val="decimal" w:pos="313"/>
              </w:tabs>
              <w:contextualSpacing/>
              <w:rPr>
                <w:rFonts w:ascii="Garamond" w:hAnsi="Garamond"/>
                <w:sz w:val="20"/>
                <w:szCs w:val="20"/>
              </w:rPr>
            </w:pPr>
            <w:r w:rsidRPr="00DB6C99">
              <w:rPr>
                <w:rFonts w:ascii="Garamond" w:hAnsi="Garamond"/>
                <w:sz w:val="20"/>
                <w:szCs w:val="20"/>
              </w:rPr>
              <w:t>-0.056*</w:t>
            </w:r>
          </w:p>
        </w:tc>
        <w:tc>
          <w:tcPr>
            <w:tcW w:w="992" w:type="dxa"/>
          </w:tcPr>
          <w:p w14:paraId="1A41DD93" w14:textId="77777777" w:rsidR="007C344D" w:rsidRPr="00DB6C99" w:rsidRDefault="007C344D" w:rsidP="007C344D">
            <w:pPr>
              <w:tabs>
                <w:tab w:val="decimal" w:pos="313"/>
              </w:tabs>
              <w:contextualSpacing/>
              <w:rPr>
                <w:rFonts w:ascii="Garamond" w:hAnsi="Garamond"/>
                <w:sz w:val="20"/>
                <w:szCs w:val="20"/>
              </w:rPr>
            </w:pPr>
            <w:r w:rsidRPr="00DB6C99">
              <w:rPr>
                <w:rFonts w:ascii="Garamond" w:hAnsi="Garamond"/>
                <w:sz w:val="20"/>
                <w:szCs w:val="20"/>
              </w:rPr>
              <w:t>0.053*</w:t>
            </w:r>
          </w:p>
        </w:tc>
        <w:tc>
          <w:tcPr>
            <w:tcW w:w="851" w:type="dxa"/>
          </w:tcPr>
          <w:p w14:paraId="6BDE1A5B" w14:textId="77777777" w:rsidR="007C344D" w:rsidRPr="00DB6C99" w:rsidRDefault="007C344D" w:rsidP="007C344D">
            <w:pPr>
              <w:contextualSpacing/>
              <w:jc w:val="both"/>
              <w:rPr>
                <w:rFonts w:ascii="Garamond" w:hAnsi="Garamond"/>
                <w:sz w:val="20"/>
                <w:szCs w:val="20"/>
              </w:rPr>
            </w:pPr>
            <w:r w:rsidRPr="00DB6C99">
              <w:rPr>
                <w:rFonts w:ascii="Garamond" w:hAnsi="Garamond"/>
                <w:sz w:val="20"/>
                <w:szCs w:val="20"/>
              </w:rPr>
              <w:t>0.092*</w:t>
            </w:r>
          </w:p>
        </w:tc>
        <w:tc>
          <w:tcPr>
            <w:tcW w:w="850" w:type="dxa"/>
          </w:tcPr>
          <w:p w14:paraId="42A5F99D" w14:textId="77777777" w:rsidR="007C344D" w:rsidRPr="00DB6C99" w:rsidRDefault="007C344D" w:rsidP="007C344D">
            <w:pPr>
              <w:tabs>
                <w:tab w:val="decimal" w:pos="170"/>
              </w:tabs>
              <w:contextualSpacing/>
              <w:rPr>
                <w:rFonts w:ascii="Garamond" w:hAnsi="Garamond"/>
                <w:sz w:val="20"/>
                <w:szCs w:val="20"/>
              </w:rPr>
            </w:pPr>
            <w:r w:rsidRPr="00DB6C99">
              <w:rPr>
                <w:rFonts w:ascii="Garamond" w:hAnsi="Garamond"/>
                <w:sz w:val="20"/>
                <w:szCs w:val="20"/>
              </w:rPr>
              <w:t>0.363*</w:t>
            </w:r>
          </w:p>
        </w:tc>
        <w:tc>
          <w:tcPr>
            <w:tcW w:w="851" w:type="dxa"/>
          </w:tcPr>
          <w:p w14:paraId="7465CCE1" w14:textId="77777777" w:rsidR="007C344D" w:rsidRPr="00DB6C99" w:rsidRDefault="007C344D" w:rsidP="007C344D">
            <w:pPr>
              <w:tabs>
                <w:tab w:val="decimal" w:pos="181"/>
              </w:tabs>
              <w:contextualSpacing/>
              <w:rPr>
                <w:rFonts w:ascii="Garamond" w:hAnsi="Garamond"/>
                <w:sz w:val="20"/>
                <w:szCs w:val="20"/>
              </w:rPr>
            </w:pPr>
            <w:r w:rsidRPr="00DB6C99">
              <w:rPr>
                <w:rFonts w:ascii="Garamond" w:hAnsi="Garamond"/>
                <w:sz w:val="20"/>
                <w:szCs w:val="20"/>
              </w:rPr>
              <w:t>-0.017</w:t>
            </w:r>
          </w:p>
        </w:tc>
        <w:tc>
          <w:tcPr>
            <w:tcW w:w="851" w:type="dxa"/>
          </w:tcPr>
          <w:p w14:paraId="0071D392" w14:textId="77777777" w:rsidR="007C344D" w:rsidRPr="00DB6C99" w:rsidRDefault="007C344D" w:rsidP="007C344D">
            <w:pPr>
              <w:tabs>
                <w:tab w:val="decimal" w:pos="180"/>
              </w:tabs>
              <w:contextualSpacing/>
              <w:rPr>
                <w:rFonts w:ascii="Garamond" w:hAnsi="Garamond"/>
                <w:sz w:val="20"/>
                <w:szCs w:val="20"/>
              </w:rPr>
            </w:pPr>
            <w:r w:rsidRPr="00DB6C99">
              <w:rPr>
                <w:rFonts w:ascii="Garamond" w:hAnsi="Garamond"/>
                <w:sz w:val="20"/>
                <w:szCs w:val="20"/>
              </w:rPr>
              <w:t>1.000</w:t>
            </w:r>
          </w:p>
        </w:tc>
        <w:tc>
          <w:tcPr>
            <w:tcW w:w="851" w:type="dxa"/>
          </w:tcPr>
          <w:p w14:paraId="29CE3705" w14:textId="77777777" w:rsidR="007C344D" w:rsidRPr="00DB6C99" w:rsidRDefault="007C344D" w:rsidP="007C344D">
            <w:pPr>
              <w:tabs>
                <w:tab w:val="decimal" w:pos="180"/>
              </w:tabs>
              <w:contextualSpacing/>
              <w:rPr>
                <w:rFonts w:ascii="Garamond" w:hAnsi="Garamond"/>
                <w:sz w:val="20"/>
                <w:szCs w:val="20"/>
              </w:rPr>
            </w:pPr>
          </w:p>
        </w:tc>
        <w:tc>
          <w:tcPr>
            <w:tcW w:w="851" w:type="dxa"/>
          </w:tcPr>
          <w:p w14:paraId="67219062" w14:textId="77777777" w:rsidR="007C344D" w:rsidRPr="00DB6C99" w:rsidRDefault="007C344D" w:rsidP="007C344D">
            <w:pPr>
              <w:tabs>
                <w:tab w:val="decimal" w:pos="179"/>
              </w:tabs>
              <w:contextualSpacing/>
              <w:rPr>
                <w:rFonts w:ascii="Garamond" w:hAnsi="Garamond"/>
                <w:sz w:val="20"/>
                <w:szCs w:val="20"/>
              </w:rPr>
            </w:pPr>
          </w:p>
        </w:tc>
        <w:tc>
          <w:tcPr>
            <w:tcW w:w="851" w:type="dxa"/>
          </w:tcPr>
          <w:p w14:paraId="0DACF594" w14:textId="77777777" w:rsidR="007C344D" w:rsidRPr="00DB6C99" w:rsidRDefault="007C344D" w:rsidP="007C344D">
            <w:pPr>
              <w:contextualSpacing/>
              <w:rPr>
                <w:rFonts w:ascii="Garamond" w:hAnsi="Garamond"/>
                <w:sz w:val="20"/>
                <w:szCs w:val="20"/>
              </w:rPr>
            </w:pPr>
          </w:p>
        </w:tc>
        <w:tc>
          <w:tcPr>
            <w:tcW w:w="851" w:type="dxa"/>
          </w:tcPr>
          <w:p w14:paraId="3F55F533" w14:textId="77777777" w:rsidR="007C344D" w:rsidRPr="00DB6C99" w:rsidRDefault="007C344D" w:rsidP="007C344D">
            <w:pPr>
              <w:contextualSpacing/>
              <w:rPr>
                <w:rFonts w:ascii="Garamond" w:hAnsi="Garamond"/>
                <w:sz w:val="20"/>
                <w:szCs w:val="20"/>
              </w:rPr>
            </w:pPr>
          </w:p>
        </w:tc>
      </w:tr>
      <w:tr w:rsidR="00DB6C99" w:rsidRPr="00DB6C99" w14:paraId="74184D7F" w14:textId="77777777" w:rsidTr="00444533">
        <w:trPr>
          <w:cantSplit/>
          <w:trHeight w:val="20"/>
          <w:jc w:val="center"/>
        </w:trPr>
        <w:tc>
          <w:tcPr>
            <w:tcW w:w="1276" w:type="dxa"/>
            <w:vAlign w:val="center"/>
          </w:tcPr>
          <w:p w14:paraId="76239BE3" w14:textId="77777777" w:rsidR="007C344D" w:rsidRPr="00DB6C99" w:rsidRDefault="007C344D" w:rsidP="007C344D">
            <w:pPr>
              <w:pStyle w:val="ListParagraph"/>
              <w:numPr>
                <w:ilvl w:val="0"/>
                <w:numId w:val="4"/>
              </w:numPr>
              <w:ind w:left="338"/>
              <w:rPr>
                <w:rFonts w:ascii="Garamond" w:hAnsi="Garamond"/>
                <w:i/>
                <w:iCs/>
                <w:sz w:val="20"/>
                <w:szCs w:val="20"/>
                <w:lang w:val="en-GB"/>
              </w:rPr>
            </w:pPr>
            <w:r w:rsidRPr="00DB6C99">
              <w:rPr>
                <w:rFonts w:ascii="Garamond" w:hAnsi="Garamond"/>
                <w:i/>
                <w:iCs/>
                <w:sz w:val="20"/>
                <w:szCs w:val="20"/>
                <w:lang w:val="en-GB"/>
              </w:rPr>
              <w:t>COD</w:t>
            </w:r>
          </w:p>
        </w:tc>
        <w:tc>
          <w:tcPr>
            <w:tcW w:w="928" w:type="dxa"/>
          </w:tcPr>
          <w:p w14:paraId="4F205A1C" w14:textId="77777777" w:rsidR="007C344D" w:rsidRPr="00DB6C99" w:rsidRDefault="007C344D" w:rsidP="007C344D">
            <w:pPr>
              <w:tabs>
                <w:tab w:val="decimal" w:pos="295"/>
              </w:tabs>
              <w:contextualSpacing/>
              <w:jc w:val="both"/>
              <w:rPr>
                <w:rFonts w:ascii="Garamond" w:hAnsi="Garamond"/>
                <w:sz w:val="20"/>
                <w:szCs w:val="20"/>
              </w:rPr>
            </w:pPr>
            <w:r w:rsidRPr="00DB6C99">
              <w:rPr>
                <w:rFonts w:ascii="Garamond" w:hAnsi="Garamond"/>
                <w:sz w:val="20"/>
                <w:szCs w:val="20"/>
              </w:rPr>
              <w:t>0.015</w:t>
            </w:r>
          </w:p>
        </w:tc>
        <w:tc>
          <w:tcPr>
            <w:tcW w:w="992" w:type="dxa"/>
          </w:tcPr>
          <w:p w14:paraId="272DCDBF" w14:textId="77777777" w:rsidR="007C344D" w:rsidRPr="00DB6C99" w:rsidRDefault="007C344D" w:rsidP="007C344D">
            <w:pPr>
              <w:tabs>
                <w:tab w:val="decimal" w:pos="174"/>
              </w:tabs>
              <w:contextualSpacing/>
              <w:jc w:val="both"/>
              <w:rPr>
                <w:rFonts w:ascii="Garamond" w:hAnsi="Garamond"/>
                <w:sz w:val="20"/>
                <w:szCs w:val="20"/>
              </w:rPr>
            </w:pPr>
            <w:r w:rsidRPr="00DB6C99">
              <w:rPr>
                <w:rFonts w:ascii="Garamond" w:hAnsi="Garamond"/>
                <w:sz w:val="20"/>
                <w:szCs w:val="20"/>
              </w:rPr>
              <w:t>-0.023*</w:t>
            </w:r>
          </w:p>
        </w:tc>
        <w:tc>
          <w:tcPr>
            <w:tcW w:w="850" w:type="dxa"/>
          </w:tcPr>
          <w:p w14:paraId="233AEF9B" w14:textId="77777777" w:rsidR="007C344D" w:rsidRPr="00DB6C99" w:rsidRDefault="007C344D" w:rsidP="007C344D">
            <w:pPr>
              <w:tabs>
                <w:tab w:val="decimal" w:pos="173"/>
              </w:tabs>
              <w:contextualSpacing/>
              <w:jc w:val="both"/>
              <w:rPr>
                <w:rFonts w:ascii="Garamond" w:hAnsi="Garamond"/>
                <w:sz w:val="20"/>
                <w:szCs w:val="20"/>
              </w:rPr>
            </w:pPr>
            <w:r w:rsidRPr="00DB6C99">
              <w:rPr>
                <w:rFonts w:ascii="Garamond" w:hAnsi="Garamond"/>
                <w:sz w:val="20"/>
                <w:szCs w:val="20"/>
              </w:rPr>
              <w:t>-0.036*</w:t>
            </w:r>
          </w:p>
        </w:tc>
        <w:tc>
          <w:tcPr>
            <w:tcW w:w="851" w:type="dxa"/>
          </w:tcPr>
          <w:p w14:paraId="2706D145" w14:textId="77777777" w:rsidR="007C344D" w:rsidRPr="00DB6C99" w:rsidRDefault="007C344D" w:rsidP="007C344D">
            <w:pPr>
              <w:tabs>
                <w:tab w:val="decimal" w:pos="173"/>
              </w:tabs>
              <w:contextualSpacing/>
              <w:jc w:val="both"/>
              <w:rPr>
                <w:rFonts w:ascii="Garamond" w:hAnsi="Garamond"/>
                <w:sz w:val="20"/>
                <w:szCs w:val="20"/>
              </w:rPr>
            </w:pPr>
            <w:r w:rsidRPr="00DB6C99">
              <w:rPr>
                <w:rFonts w:ascii="Garamond" w:hAnsi="Garamond"/>
                <w:sz w:val="20"/>
                <w:szCs w:val="20"/>
              </w:rPr>
              <w:t>-0.040*</w:t>
            </w:r>
          </w:p>
        </w:tc>
        <w:tc>
          <w:tcPr>
            <w:tcW w:w="850" w:type="dxa"/>
          </w:tcPr>
          <w:p w14:paraId="4B97143D" w14:textId="77777777" w:rsidR="007C344D" w:rsidRPr="00DB6C99" w:rsidRDefault="007C344D" w:rsidP="007C344D">
            <w:pPr>
              <w:tabs>
                <w:tab w:val="decimal" w:pos="172"/>
              </w:tabs>
              <w:contextualSpacing/>
              <w:rPr>
                <w:rFonts w:ascii="Garamond" w:hAnsi="Garamond"/>
                <w:sz w:val="20"/>
                <w:szCs w:val="20"/>
              </w:rPr>
            </w:pPr>
            <w:r w:rsidRPr="00DB6C99">
              <w:rPr>
                <w:rFonts w:ascii="Garamond" w:hAnsi="Garamond"/>
                <w:sz w:val="20"/>
                <w:szCs w:val="20"/>
              </w:rPr>
              <w:t>0.007</w:t>
            </w:r>
          </w:p>
        </w:tc>
        <w:tc>
          <w:tcPr>
            <w:tcW w:w="851" w:type="dxa"/>
          </w:tcPr>
          <w:p w14:paraId="7DF04FA2" w14:textId="77777777" w:rsidR="007C344D" w:rsidRPr="00DB6C99" w:rsidRDefault="007C344D" w:rsidP="007C344D">
            <w:pPr>
              <w:tabs>
                <w:tab w:val="decimal" w:pos="172"/>
              </w:tabs>
              <w:contextualSpacing/>
              <w:rPr>
                <w:rFonts w:ascii="Garamond" w:hAnsi="Garamond"/>
                <w:sz w:val="20"/>
                <w:szCs w:val="20"/>
              </w:rPr>
            </w:pPr>
            <w:r w:rsidRPr="00DB6C99">
              <w:rPr>
                <w:rFonts w:ascii="Garamond" w:hAnsi="Garamond"/>
                <w:sz w:val="20"/>
                <w:szCs w:val="20"/>
              </w:rPr>
              <w:t>0.005</w:t>
            </w:r>
          </w:p>
        </w:tc>
        <w:tc>
          <w:tcPr>
            <w:tcW w:w="992" w:type="dxa"/>
          </w:tcPr>
          <w:p w14:paraId="072BF423" w14:textId="77777777" w:rsidR="007C344D" w:rsidRPr="00DB6C99" w:rsidRDefault="007C344D" w:rsidP="007C344D">
            <w:pPr>
              <w:tabs>
                <w:tab w:val="decimal" w:pos="313"/>
              </w:tabs>
              <w:contextualSpacing/>
              <w:rPr>
                <w:rFonts w:ascii="Garamond" w:hAnsi="Garamond"/>
                <w:sz w:val="20"/>
                <w:szCs w:val="20"/>
              </w:rPr>
            </w:pPr>
            <w:r w:rsidRPr="00DB6C99">
              <w:rPr>
                <w:rFonts w:ascii="Garamond" w:hAnsi="Garamond"/>
                <w:sz w:val="20"/>
                <w:szCs w:val="20"/>
              </w:rPr>
              <w:t>-0.002</w:t>
            </w:r>
          </w:p>
        </w:tc>
        <w:tc>
          <w:tcPr>
            <w:tcW w:w="992" w:type="dxa"/>
          </w:tcPr>
          <w:p w14:paraId="3C41A6FA" w14:textId="77777777" w:rsidR="007C344D" w:rsidRPr="00DB6C99" w:rsidRDefault="007C344D" w:rsidP="007C344D">
            <w:pPr>
              <w:tabs>
                <w:tab w:val="decimal" w:pos="313"/>
              </w:tabs>
              <w:contextualSpacing/>
              <w:rPr>
                <w:rFonts w:ascii="Garamond" w:hAnsi="Garamond"/>
                <w:sz w:val="20"/>
                <w:szCs w:val="20"/>
              </w:rPr>
            </w:pPr>
            <w:r w:rsidRPr="00DB6C99">
              <w:rPr>
                <w:rFonts w:ascii="Garamond" w:hAnsi="Garamond"/>
                <w:sz w:val="20"/>
                <w:szCs w:val="20"/>
              </w:rPr>
              <w:t>0.011</w:t>
            </w:r>
          </w:p>
        </w:tc>
        <w:tc>
          <w:tcPr>
            <w:tcW w:w="851" w:type="dxa"/>
          </w:tcPr>
          <w:p w14:paraId="3DAF8A81" w14:textId="77777777" w:rsidR="007C344D" w:rsidRPr="00DB6C99" w:rsidRDefault="007C344D" w:rsidP="007C344D">
            <w:pPr>
              <w:contextualSpacing/>
              <w:jc w:val="both"/>
              <w:rPr>
                <w:rFonts w:ascii="Garamond" w:hAnsi="Garamond"/>
                <w:sz w:val="20"/>
                <w:szCs w:val="20"/>
              </w:rPr>
            </w:pPr>
            <w:r w:rsidRPr="00DB6C99">
              <w:rPr>
                <w:rFonts w:ascii="Garamond" w:hAnsi="Garamond"/>
                <w:sz w:val="20"/>
                <w:szCs w:val="20"/>
              </w:rPr>
              <w:t>0.052*</w:t>
            </w:r>
          </w:p>
        </w:tc>
        <w:tc>
          <w:tcPr>
            <w:tcW w:w="850" w:type="dxa"/>
          </w:tcPr>
          <w:p w14:paraId="12614DDC" w14:textId="77777777" w:rsidR="007C344D" w:rsidRPr="00DB6C99" w:rsidRDefault="007C344D" w:rsidP="007C344D">
            <w:pPr>
              <w:tabs>
                <w:tab w:val="decimal" w:pos="170"/>
              </w:tabs>
              <w:contextualSpacing/>
              <w:rPr>
                <w:rFonts w:ascii="Garamond" w:hAnsi="Garamond"/>
                <w:sz w:val="20"/>
                <w:szCs w:val="20"/>
              </w:rPr>
            </w:pPr>
            <w:r w:rsidRPr="00DB6C99">
              <w:rPr>
                <w:rFonts w:ascii="Garamond" w:hAnsi="Garamond"/>
                <w:sz w:val="20"/>
                <w:szCs w:val="20"/>
              </w:rPr>
              <w:t>0.003</w:t>
            </w:r>
          </w:p>
        </w:tc>
        <w:tc>
          <w:tcPr>
            <w:tcW w:w="851" w:type="dxa"/>
          </w:tcPr>
          <w:p w14:paraId="39F49FFA" w14:textId="77777777" w:rsidR="007C344D" w:rsidRPr="00DB6C99" w:rsidRDefault="007C344D" w:rsidP="007C344D">
            <w:pPr>
              <w:tabs>
                <w:tab w:val="decimal" w:pos="181"/>
              </w:tabs>
              <w:contextualSpacing/>
              <w:rPr>
                <w:rFonts w:ascii="Garamond" w:hAnsi="Garamond"/>
                <w:sz w:val="20"/>
                <w:szCs w:val="20"/>
              </w:rPr>
            </w:pPr>
            <w:r w:rsidRPr="00DB6C99">
              <w:rPr>
                <w:rFonts w:ascii="Garamond" w:hAnsi="Garamond"/>
                <w:sz w:val="20"/>
                <w:szCs w:val="20"/>
              </w:rPr>
              <w:t>0.043*</w:t>
            </w:r>
          </w:p>
        </w:tc>
        <w:tc>
          <w:tcPr>
            <w:tcW w:w="851" w:type="dxa"/>
          </w:tcPr>
          <w:p w14:paraId="78AA165B" w14:textId="77777777" w:rsidR="007C344D" w:rsidRPr="00DB6C99" w:rsidRDefault="007C344D" w:rsidP="007C344D">
            <w:pPr>
              <w:tabs>
                <w:tab w:val="decimal" w:pos="180"/>
              </w:tabs>
              <w:contextualSpacing/>
              <w:rPr>
                <w:rFonts w:ascii="Garamond" w:hAnsi="Garamond"/>
                <w:sz w:val="20"/>
                <w:szCs w:val="20"/>
              </w:rPr>
            </w:pPr>
            <w:r w:rsidRPr="00DB6C99">
              <w:rPr>
                <w:rFonts w:ascii="Garamond" w:hAnsi="Garamond"/>
                <w:sz w:val="20"/>
                <w:szCs w:val="20"/>
              </w:rPr>
              <w:t>0.220*</w:t>
            </w:r>
          </w:p>
        </w:tc>
        <w:tc>
          <w:tcPr>
            <w:tcW w:w="851" w:type="dxa"/>
          </w:tcPr>
          <w:p w14:paraId="30288769" w14:textId="77777777" w:rsidR="007C344D" w:rsidRPr="00DB6C99" w:rsidRDefault="007C344D" w:rsidP="007C344D">
            <w:pPr>
              <w:tabs>
                <w:tab w:val="decimal" w:pos="180"/>
              </w:tabs>
              <w:contextualSpacing/>
              <w:rPr>
                <w:rFonts w:ascii="Garamond" w:hAnsi="Garamond"/>
                <w:sz w:val="20"/>
                <w:szCs w:val="20"/>
              </w:rPr>
            </w:pPr>
            <w:r w:rsidRPr="00DB6C99">
              <w:rPr>
                <w:rFonts w:ascii="Garamond" w:hAnsi="Garamond"/>
                <w:sz w:val="20"/>
                <w:szCs w:val="20"/>
              </w:rPr>
              <w:t>1.000</w:t>
            </w:r>
          </w:p>
        </w:tc>
        <w:tc>
          <w:tcPr>
            <w:tcW w:w="851" w:type="dxa"/>
          </w:tcPr>
          <w:p w14:paraId="1DDFA5C8" w14:textId="77777777" w:rsidR="007C344D" w:rsidRPr="00DB6C99" w:rsidRDefault="007C344D" w:rsidP="007C344D">
            <w:pPr>
              <w:tabs>
                <w:tab w:val="decimal" w:pos="179"/>
              </w:tabs>
              <w:contextualSpacing/>
              <w:rPr>
                <w:rFonts w:ascii="Garamond" w:hAnsi="Garamond"/>
                <w:sz w:val="20"/>
                <w:szCs w:val="20"/>
              </w:rPr>
            </w:pPr>
          </w:p>
        </w:tc>
        <w:tc>
          <w:tcPr>
            <w:tcW w:w="851" w:type="dxa"/>
          </w:tcPr>
          <w:p w14:paraId="27E7ACF2" w14:textId="77777777" w:rsidR="007C344D" w:rsidRPr="00DB6C99" w:rsidRDefault="007C344D" w:rsidP="007C344D">
            <w:pPr>
              <w:contextualSpacing/>
              <w:rPr>
                <w:rFonts w:ascii="Garamond" w:hAnsi="Garamond"/>
                <w:sz w:val="20"/>
                <w:szCs w:val="20"/>
              </w:rPr>
            </w:pPr>
          </w:p>
        </w:tc>
        <w:tc>
          <w:tcPr>
            <w:tcW w:w="851" w:type="dxa"/>
          </w:tcPr>
          <w:p w14:paraId="7DE277BB" w14:textId="77777777" w:rsidR="007C344D" w:rsidRPr="00DB6C99" w:rsidRDefault="007C344D" w:rsidP="007C344D">
            <w:pPr>
              <w:contextualSpacing/>
              <w:rPr>
                <w:rFonts w:ascii="Garamond" w:hAnsi="Garamond"/>
                <w:sz w:val="20"/>
                <w:szCs w:val="20"/>
              </w:rPr>
            </w:pPr>
          </w:p>
        </w:tc>
      </w:tr>
      <w:tr w:rsidR="00DB6C99" w:rsidRPr="00DB6C99" w14:paraId="1956EB7B" w14:textId="77777777" w:rsidTr="00444533">
        <w:trPr>
          <w:cantSplit/>
          <w:trHeight w:val="20"/>
          <w:jc w:val="center"/>
        </w:trPr>
        <w:tc>
          <w:tcPr>
            <w:tcW w:w="1276" w:type="dxa"/>
            <w:vAlign w:val="center"/>
          </w:tcPr>
          <w:p w14:paraId="6361F80C" w14:textId="77777777" w:rsidR="007C344D" w:rsidRPr="00DB6C99" w:rsidRDefault="007C344D" w:rsidP="007C344D">
            <w:pPr>
              <w:pStyle w:val="ListParagraph"/>
              <w:numPr>
                <w:ilvl w:val="0"/>
                <w:numId w:val="4"/>
              </w:numPr>
              <w:ind w:left="338"/>
              <w:rPr>
                <w:rFonts w:ascii="Garamond" w:hAnsi="Garamond"/>
                <w:sz w:val="20"/>
                <w:szCs w:val="20"/>
              </w:rPr>
            </w:pPr>
            <w:r w:rsidRPr="00DB6C99">
              <w:rPr>
                <w:rFonts w:ascii="Garamond" w:hAnsi="Garamond"/>
                <w:i/>
                <w:iCs/>
                <w:sz w:val="20"/>
                <w:szCs w:val="20"/>
                <w:lang w:val="en-GB"/>
              </w:rPr>
              <w:t>INST</w:t>
            </w:r>
          </w:p>
        </w:tc>
        <w:tc>
          <w:tcPr>
            <w:tcW w:w="928" w:type="dxa"/>
          </w:tcPr>
          <w:p w14:paraId="4075C864" w14:textId="77777777" w:rsidR="007C344D" w:rsidRPr="00DB6C99" w:rsidRDefault="007C344D" w:rsidP="007C344D">
            <w:pPr>
              <w:tabs>
                <w:tab w:val="decimal" w:pos="295"/>
              </w:tabs>
              <w:contextualSpacing/>
              <w:jc w:val="both"/>
              <w:rPr>
                <w:rFonts w:ascii="Garamond" w:hAnsi="Garamond"/>
                <w:sz w:val="20"/>
                <w:szCs w:val="20"/>
              </w:rPr>
            </w:pPr>
            <w:r w:rsidRPr="00DB6C99">
              <w:rPr>
                <w:rFonts w:ascii="Garamond" w:hAnsi="Garamond"/>
                <w:sz w:val="20"/>
                <w:szCs w:val="20"/>
              </w:rPr>
              <w:t>-0.203*</w:t>
            </w:r>
          </w:p>
        </w:tc>
        <w:tc>
          <w:tcPr>
            <w:tcW w:w="992" w:type="dxa"/>
          </w:tcPr>
          <w:p w14:paraId="01956A9D" w14:textId="77777777" w:rsidR="007C344D" w:rsidRPr="00DB6C99" w:rsidRDefault="007C344D" w:rsidP="007C344D">
            <w:pPr>
              <w:tabs>
                <w:tab w:val="decimal" w:pos="174"/>
              </w:tabs>
              <w:contextualSpacing/>
              <w:jc w:val="both"/>
              <w:rPr>
                <w:rFonts w:ascii="Garamond" w:hAnsi="Garamond"/>
                <w:sz w:val="20"/>
                <w:szCs w:val="20"/>
              </w:rPr>
            </w:pPr>
            <w:r w:rsidRPr="00DB6C99">
              <w:rPr>
                <w:rFonts w:ascii="Garamond" w:hAnsi="Garamond"/>
                <w:sz w:val="20"/>
                <w:szCs w:val="20"/>
              </w:rPr>
              <w:t>-0.029*</w:t>
            </w:r>
          </w:p>
        </w:tc>
        <w:tc>
          <w:tcPr>
            <w:tcW w:w="850" w:type="dxa"/>
          </w:tcPr>
          <w:p w14:paraId="5C27CB0C" w14:textId="77777777" w:rsidR="007C344D" w:rsidRPr="00DB6C99" w:rsidRDefault="007C344D" w:rsidP="007C344D">
            <w:pPr>
              <w:tabs>
                <w:tab w:val="decimal" w:pos="173"/>
              </w:tabs>
              <w:contextualSpacing/>
              <w:jc w:val="both"/>
              <w:rPr>
                <w:rFonts w:ascii="Garamond" w:hAnsi="Garamond"/>
                <w:sz w:val="20"/>
                <w:szCs w:val="20"/>
              </w:rPr>
            </w:pPr>
            <w:r w:rsidRPr="00DB6C99">
              <w:rPr>
                <w:rFonts w:ascii="Garamond" w:hAnsi="Garamond"/>
                <w:sz w:val="20"/>
                <w:szCs w:val="20"/>
              </w:rPr>
              <w:t>-0.197*</w:t>
            </w:r>
          </w:p>
        </w:tc>
        <w:tc>
          <w:tcPr>
            <w:tcW w:w="851" w:type="dxa"/>
          </w:tcPr>
          <w:p w14:paraId="7DA5662C" w14:textId="77777777" w:rsidR="007C344D" w:rsidRPr="00DB6C99" w:rsidRDefault="007C344D" w:rsidP="007C344D">
            <w:pPr>
              <w:tabs>
                <w:tab w:val="decimal" w:pos="173"/>
              </w:tabs>
              <w:contextualSpacing/>
              <w:jc w:val="both"/>
              <w:rPr>
                <w:rFonts w:ascii="Garamond" w:hAnsi="Garamond"/>
                <w:sz w:val="20"/>
                <w:szCs w:val="20"/>
              </w:rPr>
            </w:pPr>
            <w:r w:rsidRPr="00DB6C99">
              <w:rPr>
                <w:rFonts w:ascii="Garamond" w:hAnsi="Garamond"/>
                <w:sz w:val="20"/>
                <w:szCs w:val="20"/>
              </w:rPr>
              <w:t>-0.038*</w:t>
            </w:r>
          </w:p>
        </w:tc>
        <w:tc>
          <w:tcPr>
            <w:tcW w:w="850" w:type="dxa"/>
          </w:tcPr>
          <w:p w14:paraId="4D4D90FB" w14:textId="77777777" w:rsidR="007C344D" w:rsidRPr="00DB6C99" w:rsidRDefault="007C344D" w:rsidP="007C344D">
            <w:pPr>
              <w:tabs>
                <w:tab w:val="decimal" w:pos="172"/>
              </w:tabs>
              <w:contextualSpacing/>
              <w:rPr>
                <w:rFonts w:ascii="Garamond" w:hAnsi="Garamond"/>
                <w:sz w:val="20"/>
                <w:szCs w:val="20"/>
              </w:rPr>
            </w:pPr>
            <w:r w:rsidRPr="00DB6C99">
              <w:rPr>
                <w:rFonts w:ascii="Garamond" w:hAnsi="Garamond"/>
                <w:sz w:val="20"/>
                <w:szCs w:val="20"/>
              </w:rPr>
              <w:t>-0.023*</w:t>
            </w:r>
          </w:p>
        </w:tc>
        <w:tc>
          <w:tcPr>
            <w:tcW w:w="851" w:type="dxa"/>
          </w:tcPr>
          <w:p w14:paraId="33BFD5B6" w14:textId="77777777" w:rsidR="007C344D" w:rsidRPr="00DB6C99" w:rsidRDefault="007C344D" w:rsidP="007C344D">
            <w:pPr>
              <w:tabs>
                <w:tab w:val="decimal" w:pos="172"/>
              </w:tabs>
              <w:contextualSpacing/>
              <w:rPr>
                <w:rFonts w:ascii="Garamond" w:hAnsi="Garamond"/>
                <w:sz w:val="20"/>
                <w:szCs w:val="20"/>
              </w:rPr>
            </w:pPr>
            <w:r w:rsidRPr="00DB6C99">
              <w:rPr>
                <w:rFonts w:ascii="Garamond" w:hAnsi="Garamond"/>
                <w:sz w:val="20"/>
                <w:szCs w:val="20"/>
              </w:rPr>
              <w:t>-0.036*</w:t>
            </w:r>
          </w:p>
        </w:tc>
        <w:tc>
          <w:tcPr>
            <w:tcW w:w="992" w:type="dxa"/>
          </w:tcPr>
          <w:p w14:paraId="61766980" w14:textId="77777777" w:rsidR="007C344D" w:rsidRPr="00DB6C99" w:rsidRDefault="007C344D" w:rsidP="007C344D">
            <w:pPr>
              <w:tabs>
                <w:tab w:val="decimal" w:pos="313"/>
              </w:tabs>
              <w:contextualSpacing/>
              <w:rPr>
                <w:rFonts w:ascii="Garamond" w:hAnsi="Garamond"/>
                <w:sz w:val="20"/>
                <w:szCs w:val="20"/>
              </w:rPr>
            </w:pPr>
            <w:r w:rsidRPr="00DB6C99">
              <w:rPr>
                <w:rFonts w:ascii="Garamond" w:hAnsi="Garamond"/>
                <w:sz w:val="20"/>
                <w:szCs w:val="20"/>
              </w:rPr>
              <w:t>-0.010</w:t>
            </w:r>
          </w:p>
        </w:tc>
        <w:tc>
          <w:tcPr>
            <w:tcW w:w="992" w:type="dxa"/>
          </w:tcPr>
          <w:p w14:paraId="16BA5128" w14:textId="77777777" w:rsidR="007C344D" w:rsidRPr="00DB6C99" w:rsidRDefault="007C344D" w:rsidP="007C344D">
            <w:pPr>
              <w:tabs>
                <w:tab w:val="decimal" w:pos="313"/>
              </w:tabs>
              <w:contextualSpacing/>
              <w:rPr>
                <w:rFonts w:ascii="Garamond" w:hAnsi="Garamond"/>
                <w:sz w:val="20"/>
                <w:szCs w:val="20"/>
              </w:rPr>
            </w:pPr>
            <w:r w:rsidRPr="00DB6C99">
              <w:rPr>
                <w:rFonts w:ascii="Garamond" w:hAnsi="Garamond"/>
                <w:sz w:val="20"/>
                <w:szCs w:val="20"/>
              </w:rPr>
              <w:t>-0.049*</w:t>
            </w:r>
          </w:p>
        </w:tc>
        <w:tc>
          <w:tcPr>
            <w:tcW w:w="851" w:type="dxa"/>
          </w:tcPr>
          <w:p w14:paraId="04C83677" w14:textId="77777777" w:rsidR="007C344D" w:rsidRPr="00DB6C99" w:rsidRDefault="007C344D" w:rsidP="007C344D">
            <w:pPr>
              <w:contextualSpacing/>
              <w:jc w:val="both"/>
              <w:rPr>
                <w:rFonts w:ascii="Garamond" w:hAnsi="Garamond"/>
                <w:sz w:val="20"/>
                <w:szCs w:val="20"/>
              </w:rPr>
            </w:pPr>
            <w:r w:rsidRPr="00DB6C99">
              <w:rPr>
                <w:rFonts w:ascii="Garamond" w:hAnsi="Garamond"/>
                <w:sz w:val="20"/>
                <w:szCs w:val="20"/>
              </w:rPr>
              <w:t>-0.008</w:t>
            </w:r>
          </w:p>
        </w:tc>
        <w:tc>
          <w:tcPr>
            <w:tcW w:w="850" w:type="dxa"/>
          </w:tcPr>
          <w:p w14:paraId="0FDE18EC" w14:textId="77777777" w:rsidR="007C344D" w:rsidRPr="00DB6C99" w:rsidRDefault="007C344D" w:rsidP="007C344D">
            <w:pPr>
              <w:tabs>
                <w:tab w:val="decimal" w:pos="170"/>
              </w:tabs>
              <w:contextualSpacing/>
              <w:rPr>
                <w:rFonts w:ascii="Garamond" w:hAnsi="Garamond"/>
                <w:sz w:val="20"/>
                <w:szCs w:val="20"/>
              </w:rPr>
            </w:pPr>
            <w:r w:rsidRPr="00DB6C99">
              <w:rPr>
                <w:rFonts w:ascii="Garamond" w:hAnsi="Garamond"/>
                <w:sz w:val="20"/>
                <w:szCs w:val="20"/>
              </w:rPr>
              <w:t>0.059*</w:t>
            </w:r>
          </w:p>
        </w:tc>
        <w:tc>
          <w:tcPr>
            <w:tcW w:w="851" w:type="dxa"/>
          </w:tcPr>
          <w:p w14:paraId="566ED738" w14:textId="77777777" w:rsidR="007C344D" w:rsidRPr="00DB6C99" w:rsidRDefault="007C344D" w:rsidP="007C344D">
            <w:pPr>
              <w:tabs>
                <w:tab w:val="decimal" w:pos="181"/>
              </w:tabs>
              <w:contextualSpacing/>
              <w:rPr>
                <w:rFonts w:ascii="Garamond" w:hAnsi="Garamond"/>
                <w:sz w:val="20"/>
                <w:szCs w:val="20"/>
              </w:rPr>
            </w:pPr>
            <w:r w:rsidRPr="00DB6C99">
              <w:rPr>
                <w:rFonts w:ascii="Garamond" w:hAnsi="Garamond"/>
                <w:sz w:val="20"/>
                <w:szCs w:val="20"/>
              </w:rPr>
              <w:t>-0.055*</w:t>
            </w:r>
          </w:p>
        </w:tc>
        <w:tc>
          <w:tcPr>
            <w:tcW w:w="851" w:type="dxa"/>
          </w:tcPr>
          <w:p w14:paraId="7543761A" w14:textId="77777777" w:rsidR="007C344D" w:rsidRPr="00DB6C99" w:rsidRDefault="007C344D" w:rsidP="007C344D">
            <w:pPr>
              <w:tabs>
                <w:tab w:val="decimal" w:pos="180"/>
              </w:tabs>
              <w:contextualSpacing/>
              <w:rPr>
                <w:rFonts w:ascii="Garamond" w:hAnsi="Garamond"/>
                <w:sz w:val="20"/>
                <w:szCs w:val="20"/>
              </w:rPr>
            </w:pPr>
            <w:r w:rsidRPr="00DB6C99">
              <w:rPr>
                <w:rFonts w:ascii="Garamond" w:hAnsi="Garamond"/>
                <w:sz w:val="20"/>
                <w:szCs w:val="20"/>
              </w:rPr>
              <w:t>0.070*</w:t>
            </w:r>
          </w:p>
        </w:tc>
        <w:tc>
          <w:tcPr>
            <w:tcW w:w="851" w:type="dxa"/>
          </w:tcPr>
          <w:p w14:paraId="3816BFD4" w14:textId="77777777" w:rsidR="007C344D" w:rsidRPr="00DB6C99" w:rsidRDefault="007C344D" w:rsidP="007C344D">
            <w:pPr>
              <w:tabs>
                <w:tab w:val="decimal" w:pos="180"/>
              </w:tabs>
              <w:contextualSpacing/>
              <w:rPr>
                <w:rFonts w:ascii="Garamond" w:hAnsi="Garamond"/>
                <w:sz w:val="20"/>
                <w:szCs w:val="20"/>
              </w:rPr>
            </w:pPr>
            <w:r w:rsidRPr="00DB6C99">
              <w:rPr>
                <w:rFonts w:ascii="Garamond" w:hAnsi="Garamond"/>
                <w:sz w:val="20"/>
                <w:szCs w:val="20"/>
              </w:rPr>
              <w:t>0.006</w:t>
            </w:r>
          </w:p>
        </w:tc>
        <w:tc>
          <w:tcPr>
            <w:tcW w:w="851" w:type="dxa"/>
          </w:tcPr>
          <w:p w14:paraId="5BC9EF92" w14:textId="77777777" w:rsidR="007C344D" w:rsidRPr="00DB6C99" w:rsidRDefault="007C344D" w:rsidP="007C344D">
            <w:pPr>
              <w:tabs>
                <w:tab w:val="decimal" w:pos="179"/>
              </w:tabs>
              <w:contextualSpacing/>
              <w:rPr>
                <w:rFonts w:ascii="Garamond" w:hAnsi="Garamond"/>
                <w:sz w:val="20"/>
                <w:szCs w:val="20"/>
              </w:rPr>
            </w:pPr>
            <w:r w:rsidRPr="00DB6C99">
              <w:rPr>
                <w:rFonts w:ascii="Garamond" w:hAnsi="Garamond"/>
                <w:sz w:val="20"/>
                <w:szCs w:val="20"/>
              </w:rPr>
              <w:t>1.000</w:t>
            </w:r>
          </w:p>
        </w:tc>
        <w:tc>
          <w:tcPr>
            <w:tcW w:w="851" w:type="dxa"/>
          </w:tcPr>
          <w:p w14:paraId="6CF89FC9" w14:textId="77777777" w:rsidR="007C344D" w:rsidRPr="00DB6C99" w:rsidRDefault="007C344D" w:rsidP="007C344D">
            <w:pPr>
              <w:contextualSpacing/>
              <w:rPr>
                <w:rFonts w:ascii="Garamond" w:hAnsi="Garamond"/>
                <w:sz w:val="20"/>
                <w:szCs w:val="20"/>
              </w:rPr>
            </w:pPr>
          </w:p>
        </w:tc>
        <w:tc>
          <w:tcPr>
            <w:tcW w:w="851" w:type="dxa"/>
          </w:tcPr>
          <w:p w14:paraId="1916C381" w14:textId="77777777" w:rsidR="007C344D" w:rsidRPr="00DB6C99" w:rsidRDefault="007C344D" w:rsidP="007C344D">
            <w:pPr>
              <w:contextualSpacing/>
              <w:rPr>
                <w:rFonts w:ascii="Garamond" w:hAnsi="Garamond"/>
                <w:sz w:val="20"/>
                <w:szCs w:val="20"/>
              </w:rPr>
            </w:pPr>
          </w:p>
        </w:tc>
      </w:tr>
      <w:tr w:rsidR="00DB6C99" w:rsidRPr="00DB6C99" w14:paraId="2F0F251C" w14:textId="77777777" w:rsidTr="00444533">
        <w:trPr>
          <w:cantSplit/>
          <w:trHeight w:val="20"/>
          <w:jc w:val="center"/>
        </w:trPr>
        <w:tc>
          <w:tcPr>
            <w:tcW w:w="1276" w:type="dxa"/>
            <w:vAlign w:val="center"/>
          </w:tcPr>
          <w:p w14:paraId="36948954" w14:textId="77777777" w:rsidR="007C344D" w:rsidRPr="00DB6C99" w:rsidRDefault="007C344D" w:rsidP="007C344D">
            <w:pPr>
              <w:pStyle w:val="ListParagraph"/>
              <w:numPr>
                <w:ilvl w:val="0"/>
                <w:numId w:val="4"/>
              </w:numPr>
              <w:ind w:left="338"/>
              <w:rPr>
                <w:rFonts w:ascii="Garamond" w:hAnsi="Garamond"/>
                <w:sz w:val="20"/>
                <w:szCs w:val="20"/>
              </w:rPr>
            </w:pPr>
            <w:r w:rsidRPr="00DB6C99">
              <w:rPr>
                <w:rFonts w:ascii="Garamond" w:hAnsi="Garamond"/>
                <w:i/>
                <w:iCs/>
                <w:sz w:val="20"/>
                <w:szCs w:val="20"/>
                <w:lang w:val="en-GB"/>
              </w:rPr>
              <w:t>STATE</w:t>
            </w:r>
          </w:p>
        </w:tc>
        <w:tc>
          <w:tcPr>
            <w:tcW w:w="928" w:type="dxa"/>
          </w:tcPr>
          <w:p w14:paraId="7B652577" w14:textId="77777777" w:rsidR="007C344D" w:rsidRPr="00DB6C99" w:rsidRDefault="007C344D" w:rsidP="007C344D">
            <w:pPr>
              <w:tabs>
                <w:tab w:val="decimal" w:pos="295"/>
              </w:tabs>
              <w:contextualSpacing/>
              <w:jc w:val="both"/>
              <w:rPr>
                <w:rFonts w:ascii="Garamond" w:hAnsi="Garamond"/>
                <w:sz w:val="20"/>
                <w:szCs w:val="20"/>
              </w:rPr>
            </w:pPr>
            <w:r w:rsidRPr="00DB6C99">
              <w:rPr>
                <w:rFonts w:ascii="Garamond" w:hAnsi="Garamond"/>
                <w:sz w:val="20"/>
                <w:szCs w:val="20"/>
              </w:rPr>
              <w:t>0.030*</w:t>
            </w:r>
          </w:p>
        </w:tc>
        <w:tc>
          <w:tcPr>
            <w:tcW w:w="992" w:type="dxa"/>
          </w:tcPr>
          <w:p w14:paraId="725B5125" w14:textId="77777777" w:rsidR="007C344D" w:rsidRPr="00DB6C99" w:rsidRDefault="007C344D" w:rsidP="007C344D">
            <w:pPr>
              <w:tabs>
                <w:tab w:val="decimal" w:pos="174"/>
              </w:tabs>
              <w:contextualSpacing/>
              <w:jc w:val="both"/>
              <w:rPr>
                <w:rFonts w:ascii="Garamond" w:hAnsi="Garamond"/>
                <w:sz w:val="20"/>
                <w:szCs w:val="20"/>
              </w:rPr>
            </w:pPr>
            <w:r w:rsidRPr="00DB6C99">
              <w:rPr>
                <w:rFonts w:ascii="Garamond" w:hAnsi="Garamond"/>
                <w:sz w:val="20"/>
                <w:szCs w:val="20"/>
              </w:rPr>
              <w:t>0.005</w:t>
            </w:r>
          </w:p>
        </w:tc>
        <w:tc>
          <w:tcPr>
            <w:tcW w:w="850" w:type="dxa"/>
          </w:tcPr>
          <w:p w14:paraId="3444EFA7" w14:textId="77777777" w:rsidR="007C344D" w:rsidRPr="00DB6C99" w:rsidRDefault="007C344D" w:rsidP="007C344D">
            <w:pPr>
              <w:tabs>
                <w:tab w:val="decimal" w:pos="173"/>
              </w:tabs>
              <w:contextualSpacing/>
              <w:jc w:val="both"/>
              <w:rPr>
                <w:rFonts w:ascii="Garamond" w:hAnsi="Garamond"/>
                <w:sz w:val="20"/>
                <w:szCs w:val="20"/>
              </w:rPr>
            </w:pPr>
            <w:r w:rsidRPr="00DB6C99">
              <w:rPr>
                <w:rFonts w:ascii="Garamond" w:hAnsi="Garamond"/>
                <w:sz w:val="20"/>
                <w:szCs w:val="20"/>
              </w:rPr>
              <w:t>0.024*</w:t>
            </w:r>
          </w:p>
        </w:tc>
        <w:tc>
          <w:tcPr>
            <w:tcW w:w="851" w:type="dxa"/>
          </w:tcPr>
          <w:p w14:paraId="53AAB335" w14:textId="77777777" w:rsidR="007C344D" w:rsidRPr="00DB6C99" w:rsidRDefault="007C344D" w:rsidP="007C344D">
            <w:pPr>
              <w:tabs>
                <w:tab w:val="decimal" w:pos="173"/>
              </w:tabs>
              <w:contextualSpacing/>
              <w:jc w:val="both"/>
              <w:rPr>
                <w:rFonts w:ascii="Garamond" w:hAnsi="Garamond"/>
                <w:sz w:val="20"/>
                <w:szCs w:val="20"/>
              </w:rPr>
            </w:pPr>
            <w:r w:rsidRPr="00DB6C99">
              <w:rPr>
                <w:rFonts w:ascii="Garamond" w:hAnsi="Garamond"/>
                <w:sz w:val="20"/>
                <w:szCs w:val="20"/>
              </w:rPr>
              <w:t>0.026*</w:t>
            </w:r>
          </w:p>
        </w:tc>
        <w:tc>
          <w:tcPr>
            <w:tcW w:w="850" w:type="dxa"/>
          </w:tcPr>
          <w:p w14:paraId="56A9D46A" w14:textId="77777777" w:rsidR="007C344D" w:rsidRPr="00DB6C99" w:rsidRDefault="007C344D" w:rsidP="007C344D">
            <w:pPr>
              <w:tabs>
                <w:tab w:val="decimal" w:pos="172"/>
              </w:tabs>
              <w:contextualSpacing/>
              <w:rPr>
                <w:rFonts w:ascii="Garamond" w:hAnsi="Garamond"/>
                <w:sz w:val="20"/>
                <w:szCs w:val="20"/>
              </w:rPr>
            </w:pPr>
            <w:r w:rsidRPr="00DB6C99">
              <w:rPr>
                <w:rFonts w:ascii="Garamond" w:hAnsi="Garamond"/>
                <w:sz w:val="20"/>
                <w:szCs w:val="20"/>
              </w:rPr>
              <w:t>0.014</w:t>
            </w:r>
          </w:p>
        </w:tc>
        <w:tc>
          <w:tcPr>
            <w:tcW w:w="851" w:type="dxa"/>
          </w:tcPr>
          <w:p w14:paraId="4C46D062" w14:textId="77777777" w:rsidR="007C344D" w:rsidRPr="00DB6C99" w:rsidRDefault="007C344D" w:rsidP="007C344D">
            <w:pPr>
              <w:tabs>
                <w:tab w:val="decimal" w:pos="172"/>
              </w:tabs>
              <w:contextualSpacing/>
              <w:rPr>
                <w:rFonts w:ascii="Garamond" w:hAnsi="Garamond"/>
                <w:sz w:val="20"/>
                <w:szCs w:val="20"/>
              </w:rPr>
            </w:pPr>
            <w:r w:rsidRPr="00DB6C99">
              <w:rPr>
                <w:rFonts w:ascii="Garamond" w:hAnsi="Garamond"/>
                <w:sz w:val="20"/>
                <w:szCs w:val="20"/>
              </w:rPr>
              <w:t>-0.046*</w:t>
            </w:r>
          </w:p>
        </w:tc>
        <w:tc>
          <w:tcPr>
            <w:tcW w:w="992" w:type="dxa"/>
          </w:tcPr>
          <w:p w14:paraId="53B50C54" w14:textId="77777777" w:rsidR="007C344D" w:rsidRPr="00DB6C99" w:rsidRDefault="007C344D" w:rsidP="007C344D">
            <w:pPr>
              <w:tabs>
                <w:tab w:val="decimal" w:pos="313"/>
              </w:tabs>
              <w:contextualSpacing/>
              <w:rPr>
                <w:rFonts w:ascii="Garamond" w:hAnsi="Garamond"/>
                <w:sz w:val="20"/>
                <w:szCs w:val="20"/>
              </w:rPr>
            </w:pPr>
            <w:r w:rsidRPr="00DB6C99">
              <w:rPr>
                <w:rFonts w:ascii="Garamond" w:hAnsi="Garamond"/>
                <w:sz w:val="20"/>
                <w:szCs w:val="20"/>
              </w:rPr>
              <w:t>0.001</w:t>
            </w:r>
          </w:p>
        </w:tc>
        <w:tc>
          <w:tcPr>
            <w:tcW w:w="992" w:type="dxa"/>
          </w:tcPr>
          <w:p w14:paraId="63A6CC5A" w14:textId="77777777" w:rsidR="007C344D" w:rsidRPr="00DB6C99" w:rsidRDefault="007C344D" w:rsidP="007C344D">
            <w:pPr>
              <w:tabs>
                <w:tab w:val="decimal" w:pos="313"/>
              </w:tabs>
              <w:contextualSpacing/>
              <w:rPr>
                <w:rFonts w:ascii="Garamond" w:hAnsi="Garamond"/>
                <w:sz w:val="20"/>
                <w:szCs w:val="20"/>
              </w:rPr>
            </w:pPr>
            <w:r w:rsidRPr="00DB6C99">
              <w:rPr>
                <w:rFonts w:ascii="Garamond" w:hAnsi="Garamond"/>
                <w:sz w:val="20"/>
                <w:szCs w:val="20"/>
              </w:rPr>
              <w:t>-0.035*</w:t>
            </w:r>
          </w:p>
        </w:tc>
        <w:tc>
          <w:tcPr>
            <w:tcW w:w="851" w:type="dxa"/>
          </w:tcPr>
          <w:p w14:paraId="10FA90BC" w14:textId="77777777" w:rsidR="007C344D" w:rsidRPr="00DB6C99" w:rsidRDefault="007C344D" w:rsidP="007C344D">
            <w:pPr>
              <w:contextualSpacing/>
              <w:jc w:val="both"/>
              <w:rPr>
                <w:rFonts w:ascii="Garamond" w:hAnsi="Garamond"/>
                <w:sz w:val="20"/>
                <w:szCs w:val="20"/>
              </w:rPr>
            </w:pPr>
            <w:r w:rsidRPr="00DB6C99">
              <w:rPr>
                <w:rFonts w:ascii="Garamond" w:hAnsi="Garamond"/>
                <w:sz w:val="20"/>
                <w:szCs w:val="20"/>
              </w:rPr>
              <w:t>-0.003</w:t>
            </w:r>
          </w:p>
        </w:tc>
        <w:tc>
          <w:tcPr>
            <w:tcW w:w="850" w:type="dxa"/>
          </w:tcPr>
          <w:p w14:paraId="778F2F52" w14:textId="77777777" w:rsidR="007C344D" w:rsidRPr="00DB6C99" w:rsidRDefault="007C344D" w:rsidP="007C344D">
            <w:pPr>
              <w:tabs>
                <w:tab w:val="decimal" w:pos="170"/>
              </w:tabs>
              <w:contextualSpacing/>
              <w:rPr>
                <w:rFonts w:ascii="Garamond" w:hAnsi="Garamond"/>
                <w:sz w:val="20"/>
                <w:szCs w:val="20"/>
              </w:rPr>
            </w:pPr>
            <w:r w:rsidRPr="00DB6C99">
              <w:rPr>
                <w:rFonts w:ascii="Garamond" w:hAnsi="Garamond"/>
                <w:sz w:val="20"/>
                <w:szCs w:val="20"/>
              </w:rPr>
              <w:t>0.009</w:t>
            </w:r>
          </w:p>
        </w:tc>
        <w:tc>
          <w:tcPr>
            <w:tcW w:w="851" w:type="dxa"/>
          </w:tcPr>
          <w:p w14:paraId="4B175161" w14:textId="77777777" w:rsidR="007C344D" w:rsidRPr="00DB6C99" w:rsidRDefault="007C344D" w:rsidP="007C344D">
            <w:pPr>
              <w:tabs>
                <w:tab w:val="decimal" w:pos="181"/>
              </w:tabs>
              <w:contextualSpacing/>
              <w:rPr>
                <w:rFonts w:ascii="Garamond" w:hAnsi="Garamond"/>
                <w:sz w:val="20"/>
                <w:szCs w:val="20"/>
              </w:rPr>
            </w:pPr>
            <w:r w:rsidRPr="00DB6C99">
              <w:rPr>
                <w:rFonts w:ascii="Garamond" w:hAnsi="Garamond"/>
                <w:sz w:val="20"/>
                <w:szCs w:val="20"/>
              </w:rPr>
              <w:t>-0.003</w:t>
            </w:r>
          </w:p>
        </w:tc>
        <w:tc>
          <w:tcPr>
            <w:tcW w:w="851" w:type="dxa"/>
          </w:tcPr>
          <w:p w14:paraId="5899C1FD" w14:textId="77777777" w:rsidR="007C344D" w:rsidRPr="00DB6C99" w:rsidRDefault="007C344D" w:rsidP="007C344D">
            <w:pPr>
              <w:tabs>
                <w:tab w:val="decimal" w:pos="180"/>
              </w:tabs>
              <w:contextualSpacing/>
              <w:rPr>
                <w:rFonts w:ascii="Garamond" w:hAnsi="Garamond"/>
                <w:sz w:val="20"/>
                <w:szCs w:val="20"/>
              </w:rPr>
            </w:pPr>
            <w:r w:rsidRPr="00DB6C99">
              <w:rPr>
                <w:rFonts w:ascii="Garamond" w:hAnsi="Garamond"/>
                <w:sz w:val="20"/>
                <w:szCs w:val="20"/>
              </w:rPr>
              <w:t>-0.012</w:t>
            </w:r>
          </w:p>
        </w:tc>
        <w:tc>
          <w:tcPr>
            <w:tcW w:w="851" w:type="dxa"/>
          </w:tcPr>
          <w:p w14:paraId="1DB3F941" w14:textId="77777777" w:rsidR="007C344D" w:rsidRPr="00DB6C99" w:rsidRDefault="007C344D" w:rsidP="007C344D">
            <w:pPr>
              <w:tabs>
                <w:tab w:val="decimal" w:pos="180"/>
              </w:tabs>
              <w:contextualSpacing/>
              <w:rPr>
                <w:rFonts w:ascii="Garamond" w:hAnsi="Garamond"/>
                <w:sz w:val="20"/>
                <w:szCs w:val="20"/>
              </w:rPr>
            </w:pPr>
            <w:r w:rsidRPr="00DB6C99">
              <w:rPr>
                <w:rFonts w:ascii="Garamond" w:hAnsi="Garamond"/>
                <w:sz w:val="20"/>
                <w:szCs w:val="20"/>
              </w:rPr>
              <w:t>-0.009</w:t>
            </w:r>
          </w:p>
        </w:tc>
        <w:tc>
          <w:tcPr>
            <w:tcW w:w="851" w:type="dxa"/>
          </w:tcPr>
          <w:p w14:paraId="1C6DED23" w14:textId="77777777" w:rsidR="007C344D" w:rsidRPr="00DB6C99" w:rsidRDefault="007C344D" w:rsidP="007C344D">
            <w:pPr>
              <w:tabs>
                <w:tab w:val="decimal" w:pos="179"/>
              </w:tabs>
              <w:contextualSpacing/>
              <w:rPr>
                <w:rFonts w:ascii="Garamond" w:hAnsi="Garamond"/>
                <w:sz w:val="20"/>
                <w:szCs w:val="20"/>
              </w:rPr>
            </w:pPr>
            <w:r w:rsidRPr="00DB6C99">
              <w:rPr>
                <w:rFonts w:ascii="Garamond" w:hAnsi="Garamond"/>
                <w:sz w:val="20"/>
                <w:szCs w:val="20"/>
              </w:rPr>
              <w:t>-0.037*</w:t>
            </w:r>
          </w:p>
        </w:tc>
        <w:tc>
          <w:tcPr>
            <w:tcW w:w="851" w:type="dxa"/>
          </w:tcPr>
          <w:p w14:paraId="402F05DF" w14:textId="77777777" w:rsidR="007C344D" w:rsidRPr="00DB6C99" w:rsidRDefault="007C344D" w:rsidP="007C344D">
            <w:pPr>
              <w:contextualSpacing/>
              <w:rPr>
                <w:rFonts w:ascii="Garamond" w:hAnsi="Garamond"/>
                <w:sz w:val="20"/>
                <w:szCs w:val="20"/>
              </w:rPr>
            </w:pPr>
            <w:r w:rsidRPr="00DB6C99">
              <w:rPr>
                <w:rFonts w:ascii="Garamond" w:hAnsi="Garamond"/>
                <w:sz w:val="20"/>
                <w:szCs w:val="20"/>
              </w:rPr>
              <w:t>1.000</w:t>
            </w:r>
          </w:p>
        </w:tc>
        <w:tc>
          <w:tcPr>
            <w:tcW w:w="851" w:type="dxa"/>
          </w:tcPr>
          <w:p w14:paraId="670111A7" w14:textId="77777777" w:rsidR="007C344D" w:rsidRPr="00DB6C99" w:rsidRDefault="007C344D" w:rsidP="007C344D">
            <w:pPr>
              <w:contextualSpacing/>
              <w:rPr>
                <w:rFonts w:ascii="Garamond" w:hAnsi="Garamond"/>
                <w:sz w:val="20"/>
                <w:szCs w:val="20"/>
              </w:rPr>
            </w:pPr>
          </w:p>
        </w:tc>
      </w:tr>
      <w:tr w:rsidR="00DB6C99" w:rsidRPr="00DB6C99" w14:paraId="540A5504" w14:textId="77777777" w:rsidTr="00444533">
        <w:trPr>
          <w:cantSplit/>
          <w:trHeight w:val="20"/>
          <w:jc w:val="center"/>
        </w:trPr>
        <w:tc>
          <w:tcPr>
            <w:tcW w:w="1276" w:type="dxa"/>
            <w:vAlign w:val="center"/>
          </w:tcPr>
          <w:p w14:paraId="730F7D28" w14:textId="77777777" w:rsidR="007C344D" w:rsidRPr="00DB6C99" w:rsidRDefault="007C344D" w:rsidP="007C344D">
            <w:pPr>
              <w:pStyle w:val="ListParagraph"/>
              <w:numPr>
                <w:ilvl w:val="0"/>
                <w:numId w:val="4"/>
              </w:numPr>
              <w:ind w:left="338"/>
              <w:rPr>
                <w:rFonts w:ascii="Garamond" w:hAnsi="Garamond"/>
                <w:sz w:val="20"/>
                <w:szCs w:val="20"/>
              </w:rPr>
            </w:pPr>
            <w:r w:rsidRPr="00DB6C99">
              <w:rPr>
                <w:rFonts w:ascii="Garamond" w:hAnsi="Garamond"/>
                <w:i/>
                <w:iCs/>
                <w:sz w:val="20"/>
                <w:szCs w:val="20"/>
                <w:lang w:val="en-GB"/>
              </w:rPr>
              <w:t>SIZE</w:t>
            </w:r>
          </w:p>
        </w:tc>
        <w:tc>
          <w:tcPr>
            <w:tcW w:w="928" w:type="dxa"/>
          </w:tcPr>
          <w:p w14:paraId="34416D81" w14:textId="77777777" w:rsidR="007C344D" w:rsidRPr="00DB6C99" w:rsidRDefault="007C344D" w:rsidP="007C344D">
            <w:pPr>
              <w:tabs>
                <w:tab w:val="decimal" w:pos="295"/>
              </w:tabs>
              <w:contextualSpacing/>
              <w:jc w:val="both"/>
              <w:rPr>
                <w:rFonts w:ascii="Garamond" w:hAnsi="Garamond"/>
                <w:sz w:val="20"/>
                <w:szCs w:val="20"/>
              </w:rPr>
            </w:pPr>
            <w:r w:rsidRPr="00DB6C99">
              <w:rPr>
                <w:rFonts w:ascii="Garamond" w:hAnsi="Garamond"/>
                <w:sz w:val="20"/>
                <w:szCs w:val="20"/>
              </w:rPr>
              <w:t>0.420*</w:t>
            </w:r>
          </w:p>
        </w:tc>
        <w:tc>
          <w:tcPr>
            <w:tcW w:w="992" w:type="dxa"/>
          </w:tcPr>
          <w:p w14:paraId="4D12BF03" w14:textId="77777777" w:rsidR="007C344D" w:rsidRPr="00DB6C99" w:rsidRDefault="007C344D" w:rsidP="007C344D">
            <w:pPr>
              <w:tabs>
                <w:tab w:val="decimal" w:pos="174"/>
              </w:tabs>
              <w:contextualSpacing/>
              <w:jc w:val="both"/>
              <w:rPr>
                <w:rFonts w:ascii="Garamond" w:hAnsi="Garamond"/>
                <w:sz w:val="20"/>
                <w:szCs w:val="20"/>
              </w:rPr>
            </w:pPr>
            <w:r w:rsidRPr="00DB6C99">
              <w:rPr>
                <w:rFonts w:ascii="Garamond" w:hAnsi="Garamond"/>
                <w:sz w:val="20"/>
                <w:szCs w:val="20"/>
              </w:rPr>
              <w:t>0.211*</w:t>
            </w:r>
          </w:p>
        </w:tc>
        <w:tc>
          <w:tcPr>
            <w:tcW w:w="850" w:type="dxa"/>
          </w:tcPr>
          <w:p w14:paraId="6336A510" w14:textId="77777777" w:rsidR="007C344D" w:rsidRPr="00DB6C99" w:rsidRDefault="007C344D" w:rsidP="007C344D">
            <w:pPr>
              <w:tabs>
                <w:tab w:val="decimal" w:pos="173"/>
              </w:tabs>
              <w:contextualSpacing/>
              <w:jc w:val="both"/>
              <w:rPr>
                <w:rFonts w:ascii="Garamond" w:hAnsi="Garamond"/>
                <w:sz w:val="20"/>
                <w:szCs w:val="20"/>
              </w:rPr>
            </w:pPr>
            <w:r w:rsidRPr="00DB6C99">
              <w:rPr>
                <w:rFonts w:ascii="Garamond" w:hAnsi="Garamond"/>
                <w:sz w:val="20"/>
                <w:szCs w:val="20"/>
              </w:rPr>
              <w:t>0.496*</w:t>
            </w:r>
          </w:p>
        </w:tc>
        <w:tc>
          <w:tcPr>
            <w:tcW w:w="851" w:type="dxa"/>
          </w:tcPr>
          <w:p w14:paraId="426741E3" w14:textId="77777777" w:rsidR="007C344D" w:rsidRPr="00DB6C99" w:rsidRDefault="007C344D" w:rsidP="007C344D">
            <w:pPr>
              <w:tabs>
                <w:tab w:val="decimal" w:pos="173"/>
              </w:tabs>
              <w:jc w:val="both"/>
              <w:rPr>
                <w:rFonts w:ascii="Garamond" w:hAnsi="Garamond"/>
                <w:sz w:val="20"/>
                <w:szCs w:val="20"/>
              </w:rPr>
            </w:pPr>
            <w:r w:rsidRPr="00DB6C99">
              <w:rPr>
                <w:rFonts w:ascii="Garamond" w:hAnsi="Garamond"/>
                <w:sz w:val="20"/>
                <w:szCs w:val="20"/>
              </w:rPr>
              <w:t>0.169*</w:t>
            </w:r>
          </w:p>
        </w:tc>
        <w:tc>
          <w:tcPr>
            <w:tcW w:w="850" w:type="dxa"/>
          </w:tcPr>
          <w:p w14:paraId="0E576A99" w14:textId="77777777" w:rsidR="007C344D" w:rsidRPr="00DB6C99" w:rsidRDefault="007C344D" w:rsidP="007C344D">
            <w:pPr>
              <w:tabs>
                <w:tab w:val="decimal" w:pos="172"/>
              </w:tabs>
              <w:contextualSpacing/>
              <w:rPr>
                <w:rFonts w:ascii="Garamond" w:hAnsi="Garamond"/>
                <w:sz w:val="20"/>
                <w:szCs w:val="20"/>
              </w:rPr>
            </w:pPr>
            <w:r w:rsidRPr="00DB6C99">
              <w:rPr>
                <w:rFonts w:ascii="Garamond" w:hAnsi="Garamond"/>
                <w:sz w:val="20"/>
                <w:szCs w:val="20"/>
              </w:rPr>
              <w:t>0.045*</w:t>
            </w:r>
          </w:p>
        </w:tc>
        <w:tc>
          <w:tcPr>
            <w:tcW w:w="851" w:type="dxa"/>
          </w:tcPr>
          <w:p w14:paraId="4AA12DD9" w14:textId="77777777" w:rsidR="007C344D" w:rsidRPr="00DB6C99" w:rsidRDefault="007C344D" w:rsidP="007C344D">
            <w:pPr>
              <w:tabs>
                <w:tab w:val="decimal" w:pos="172"/>
              </w:tabs>
              <w:contextualSpacing/>
              <w:rPr>
                <w:rFonts w:ascii="Garamond" w:hAnsi="Garamond"/>
                <w:sz w:val="20"/>
                <w:szCs w:val="20"/>
              </w:rPr>
            </w:pPr>
            <w:r w:rsidRPr="00DB6C99">
              <w:rPr>
                <w:rFonts w:ascii="Garamond" w:hAnsi="Garamond"/>
                <w:sz w:val="20"/>
                <w:szCs w:val="20"/>
              </w:rPr>
              <w:t>0.172*</w:t>
            </w:r>
          </w:p>
        </w:tc>
        <w:tc>
          <w:tcPr>
            <w:tcW w:w="992" w:type="dxa"/>
          </w:tcPr>
          <w:p w14:paraId="2468B580" w14:textId="77777777" w:rsidR="007C344D" w:rsidRPr="00DB6C99" w:rsidRDefault="007C344D" w:rsidP="007C344D">
            <w:pPr>
              <w:tabs>
                <w:tab w:val="decimal" w:pos="313"/>
              </w:tabs>
              <w:contextualSpacing/>
              <w:rPr>
                <w:rFonts w:ascii="Garamond" w:hAnsi="Garamond"/>
                <w:sz w:val="20"/>
                <w:szCs w:val="20"/>
              </w:rPr>
            </w:pPr>
            <w:r w:rsidRPr="00DB6C99">
              <w:rPr>
                <w:rFonts w:ascii="Garamond" w:hAnsi="Garamond"/>
                <w:sz w:val="20"/>
                <w:szCs w:val="20"/>
              </w:rPr>
              <w:t>0.134*</w:t>
            </w:r>
          </w:p>
        </w:tc>
        <w:tc>
          <w:tcPr>
            <w:tcW w:w="992" w:type="dxa"/>
          </w:tcPr>
          <w:p w14:paraId="6007B6E8" w14:textId="77777777" w:rsidR="007C344D" w:rsidRPr="00DB6C99" w:rsidRDefault="007C344D" w:rsidP="007C344D">
            <w:pPr>
              <w:tabs>
                <w:tab w:val="decimal" w:pos="313"/>
              </w:tabs>
              <w:contextualSpacing/>
              <w:rPr>
                <w:rFonts w:ascii="Garamond" w:hAnsi="Garamond"/>
                <w:sz w:val="20"/>
                <w:szCs w:val="20"/>
              </w:rPr>
            </w:pPr>
            <w:r w:rsidRPr="00DB6C99">
              <w:rPr>
                <w:rFonts w:ascii="Garamond" w:hAnsi="Garamond"/>
                <w:sz w:val="20"/>
                <w:szCs w:val="20"/>
              </w:rPr>
              <w:t>0.220*</w:t>
            </w:r>
          </w:p>
        </w:tc>
        <w:tc>
          <w:tcPr>
            <w:tcW w:w="851" w:type="dxa"/>
          </w:tcPr>
          <w:p w14:paraId="2300C018" w14:textId="77777777" w:rsidR="007C344D" w:rsidRPr="00DB6C99" w:rsidRDefault="007C344D" w:rsidP="007C344D">
            <w:pPr>
              <w:contextualSpacing/>
              <w:jc w:val="both"/>
              <w:rPr>
                <w:rFonts w:ascii="Garamond" w:hAnsi="Garamond"/>
                <w:sz w:val="20"/>
                <w:szCs w:val="20"/>
              </w:rPr>
            </w:pPr>
            <w:r w:rsidRPr="00DB6C99">
              <w:rPr>
                <w:rFonts w:ascii="Garamond" w:hAnsi="Garamond"/>
                <w:sz w:val="20"/>
                <w:szCs w:val="20"/>
              </w:rPr>
              <w:t>-0.359*</w:t>
            </w:r>
          </w:p>
        </w:tc>
        <w:tc>
          <w:tcPr>
            <w:tcW w:w="850" w:type="dxa"/>
          </w:tcPr>
          <w:p w14:paraId="6ED61C14" w14:textId="77777777" w:rsidR="007C344D" w:rsidRPr="00DB6C99" w:rsidRDefault="007C344D" w:rsidP="007C344D">
            <w:pPr>
              <w:tabs>
                <w:tab w:val="decimal" w:pos="170"/>
              </w:tabs>
              <w:contextualSpacing/>
              <w:rPr>
                <w:rFonts w:ascii="Garamond" w:hAnsi="Garamond"/>
                <w:sz w:val="20"/>
                <w:szCs w:val="20"/>
              </w:rPr>
            </w:pPr>
            <w:r w:rsidRPr="00DB6C99">
              <w:rPr>
                <w:rFonts w:ascii="Garamond" w:hAnsi="Garamond"/>
                <w:sz w:val="20"/>
                <w:szCs w:val="20"/>
              </w:rPr>
              <w:t>-0.411*</w:t>
            </w:r>
          </w:p>
        </w:tc>
        <w:tc>
          <w:tcPr>
            <w:tcW w:w="851" w:type="dxa"/>
          </w:tcPr>
          <w:p w14:paraId="2700106C" w14:textId="77777777" w:rsidR="007C344D" w:rsidRPr="00DB6C99" w:rsidRDefault="007C344D" w:rsidP="007C344D">
            <w:pPr>
              <w:tabs>
                <w:tab w:val="decimal" w:pos="181"/>
              </w:tabs>
              <w:contextualSpacing/>
              <w:rPr>
                <w:rFonts w:ascii="Garamond" w:hAnsi="Garamond"/>
                <w:sz w:val="20"/>
                <w:szCs w:val="20"/>
              </w:rPr>
            </w:pPr>
            <w:r w:rsidRPr="00DB6C99">
              <w:rPr>
                <w:rFonts w:ascii="Garamond" w:hAnsi="Garamond"/>
                <w:sz w:val="20"/>
                <w:szCs w:val="20"/>
              </w:rPr>
              <w:t>0.085*</w:t>
            </w:r>
          </w:p>
        </w:tc>
        <w:tc>
          <w:tcPr>
            <w:tcW w:w="851" w:type="dxa"/>
          </w:tcPr>
          <w:p w14:paraId="4882BB1A" w14:textId="77777777" w:rsidR="007C344D" w:rsidRPr="00DB6C99" w:rsidRDefault="007C344D" w:rsidP="007C344D">
            <w:pPr>
              <w:tabs>
                <w:tab w:val="decimal" w:pos="180"/>
              </w:tabs>
              <w:contextualSpacing/>
              <w:rPr>
                <w:rFonts w:ascii="Garamond" w:hAnsi="Garamond"/>
                <w:sz w:val="20"/>
                <w:szCs w:val="20"/>
              </w:rPr>
            </w:pPr>
            <w:r w:rsidRPr="00DB6C99">
              <w:rPr>
                <w:rFonts w:ascii="Garamond" w:hAnsi="Garamond"/>
                <w:sz w:val="20"/>
                <w:szCs w:val="20"/>
              </w:rPr>
              <w:t>-0.310*</w:t>
            </w:r>
          </w:p>
        </w:tc>
        <w:tc>
          <w:tcPr>
            <w:tcW w:w="851" w:type="dxa"/>
          </w:tcPr>
          <w:p w14:paraId="5A50B34E" w14:textId="77777777" w:rsidR="007C344D" w:rsidRPr="00DB6C99" w:rsidRDefault="007C344D" w:rsidP="007C344D">
            <w:pPr>
              <w:tabs>
                <w:tab w:val="decimal" w:pos="180"/>
              </w:tabs>
              <w:contextualSpacing/>
              <w:rPr>
                <w:rFonts w:ascii="Garamond" w:hAnsi="Garamond"/>
                <w:sz w:val="20"/>
                <w:szCs w:val="20"/>
              </w:rPr>
            </w:pPr>
            <w:r w:rsidRPr="00DB6C99">
              <w:rPr>
                <w:rFonts w:ascii="Garamond" w:hAnsi="Garamond"/>
                <w:sz w:val="20"/>
                <w:szCs w:val="20"/>
              </w:rPr>
              <w:t>-0.093*</w:t>
            </w:r>
          </w:p>
        </w:tc>
        <w:tc>
          <w:tcPr>
            <w:tcW w:w="851" w:type="dxa"/>
          </w:tcPr>
          <w:p w14:paraId="64FB8F86" w14:textId="77777777" w:rsidR="007C344D" w:rsidRPr="00DB6C99" w:rsidRDefault="007C344D" w:rsidP="007C344D">
            <w:pPr>
              <w:tabs>
                <w:tab w:val="decimal" w:pos="179"/>
              </w:tabs>
              <w:contextualSpacing/>
              <w:rPr>
                <w:rFonts w:ascii="Garamond" w:hAnsi="Garamond"/>
                <w:sz w:val="20"/>
                <w:szCs w:val="20"/>
              </w:rPr>
            </w:pPr>
            <w:r w:rsidRPr="00DB6C99">
              <w:rPr>
                <w:rFonts w:ascii="Garamond" w:hAnsi="Garamond"/>
                <w:sz w:val="20"/>
                <w:szCs w:val="20"/>
              </w:rPr>
              <w:t>-0.278*</w:t>
            </w:r>
          </w:p>
        </w:tc>
        <w:tc>
          <w:tcPr>
            <w:tcW w:w="851" w:type="dxa"/>
          </w:tcPr>
          <w:p w14:paraId="21BDFFDE" w14:textId="77777777" w:rsidR="007C344D" w:rsidRPr="00DB6C99" w:rsidRDefault="007C344D" w:rsidP="007C344D">
            <w:pPr>
              <w:contextualSpacing/>
              <w:rPr>
                <w:rFonts w:ascii="Garamond" w:hAnsi="Garamond"/>
                <w:sz w:val="20"/>
                <w:szCs w:val="20"/>
              </w:rPr>
            </w:pPr>
            <w:r w:rsidRPr="00DB6C99">
              <w:rPr>
                <w:rFonts w:ascii="Garamond" w:hAnsi="Garamond"/>
                <w:sz w:val="20"/>
                <w:szCs w:val="20"/>
              </w:rPr>
              <w:t>0.034*</w:t>
            </w:r>
          </w:p>
        </w:tc>
        <w:tc>
          <w:tcPr>
            <w:tcW w:w="851" w:type="dxa"/>
          </w:tcPr>
          <w:p w14:paraId="110DA89D" w14:textId="77777777" w:rsidR="007C344D" w:rsidRPr="00DB6C99" w:rsidRDefault="007C344D" w:rsidP="007C344D">
            <w:pPr>
              <w:contextualSpacing/>
              <w:rPr>
                <w:rFonts w:ascii="Garamond" w:hAnsi="Garamond"/>
                <w:sz w:val="20"/>
                <w:szCs w:val="20"/>
              </w:rPr>
            </w:pPr>
            <w:r w:rsidRPr="00DB6C99">
              <w:rPr>
                <w:rFonts w:ascii="Garamond" w:hAnsi="Garamond"/>
                <w:sz w:val="20"/>
                <w:szCs w:val="20"/>
              </w:rPr>
              <w:t>1.000</w:t>
            </w:r>
          </w:p>
        </w:tc>
      </w:tr>
    </w:tbl>
    <w:p w14:paraId="2B6C6D52" w14:textId="77777777" w:rsidR="007C344D" w:rsidRPr="00DB6C99" w:rsidRDefault="007C344D" w:rsidP="007C344D">
      <w:pPr>
        <w:spacing w:after="0" w:line="240" w:lineRule="auto"/>
        <w:rPr>
          <w:rFonts w:ascii="Garamond" w:hAnsi="Garamond"/>
          <w:sz w:val="20"/>
          <w:szCs w:val="20"/>
        </w:rPr>
      </w:pPr>
      <w:r w:rsidRPr="00DB6C99">
        <w:rPr>
          <w:rFonts w:ascii="Garamond" w:hAnsi="Garamond"/>
          <w:b/>
          <w:bCs/>
          <w:sz w:val="20"/>
          <w:szCs w:val="18"/>
        </w:rPr>
        <w:t xml:space="preserve">Note: </w:t>
      </w:r>
      <w:r w:rsidRPr="00DB6C99">
        <w:rPr>
          <w:rFonts w:ascii="Garamond" w:hAnsi="Garamond"/>
          <w:sz w:val="20"/>
          <w:szCs w:val="20"/>
        </w:rPr>
        <w:t xml:space="preserve">All variables are as defined in Table 1. </w:t>
      </w:r>
    </w:p>
    <w:p w14:paraId="79AAA7B8" w14:textId="77777777" w:rsidR="007C344D" w:rsidRPr="00DB6C99" w:rsidRDefault="007C344D" w:rsidP="007C344D">
      <w:pPr>
        <w:spacing w:after="0" w:line="240" w:lineRule="auto"/>
        <w:rPr>
          <w:rFonts w:ascii="Garamond" w:hAnsi="Garamond"/>
          <w:sz w:val="20"/>
          <w:szCs w:val="20"/>
        </w:rPr>
        <w:sectPr w:rsidR="007C344D" w:rsidRPr="00DB6C99" w:rsidSect="007C344D">
          <w:pgSz w:w="15840" w:h="12240" w:orient="landscape"/>
          <w:pgMar w:top="1440" w:right="1440" w:bottom="1440" w:left="1440" w:header="720" w:footer="720" w:gutter="0"/>
          <w:cols w:space="720"/>
          <w:docGrid w:linePitch="360"/>
        </w:sectPr>
      </w:pPr>
      <w:r w:rsidRPr="00DB6C99">
        <w:rPr>
          <w:rFonts w:ascii="Garamond" w:hAnsi="Garamond"/>
          <w:sz w:val="20"/>
          <w:szCs w:val="20"/>
        </w:rPr>
        <w:t>* shows significance at the 0.05 level.</w:t>
      </w:r>
    </w:p>
    <w:p w14:paraId="22F1423F" w14:textId="77777777" w:rsidR="007C344D" w:rsidRPr="00DB6C99" w:rsidRDefault="007C344D" w:rsidP="007C344D">
      <w:pPr>
        <w:pStyle w:val="Caption"/>
        <w:spacing w:after="0"/>
        <w:jc w:val="both"/>
        <w:rPr>
          <w:rFonts w:ascii="Garamond" w:hAnsi="Garamond"/>
          <w:b w:val="0"/>
          <w:bCs w:val="0"/>
          <w:szCs w:val="24"/>
        </w:rPr>
      </w:pPr>
      <w:r w:rsidRPr="00DB6C99">
        <w:rPr>
          <w:rFonts w:ascii="Garamond" w:hAnsi="Garamond"/>
          <w:szCs w:val="24"/>
        </w:rPr>
        <w:lastRenderedPageBreak/>
        <w:t>Table 4:</w:t>
      </w:r>
      <w:r w:rsidRPr="00DB6C99">
        <w:rPr>
          <w:rFonts w:ascii="Garamond" w:hAnsi="Garamond"/>
          <w:spacing w:val="-1"/>
          <w:szCs w:val="24"/>
        </w:rPr>
        <w:t xml:space="preserve"> </w:t>
      </w:r>
      <w:r w:rsidRPr="00DB6C99">
        <w:rPr>
          <w:rFonts w:ascii="Garamond" w:hAnsi="Garamond"/>
          <w:b w:val="0"/>
          <w:bCs w:val="0"/>
          <w:szCs w:val="24"/>
        </w:rPr>
        <w:t>Female directors and CSR gap</w:t>
      </w:r>
    </w:p>
    <w:tbl>
      <w:tblPr>
        <w:tblW w:w="9360" w:type="dxa"/>
        <w:jc w:val="center"/>
        <w:tblLayout w:type="fixed"/>
        <w:tblCellMar>
          <w:left w:w="75" w:type="dxa"/>
          <w:right w:w="75" w:type="dxa"/>
        </w:tblCellMar>
        <w:tblLook w:val="0000" w:firstRow="0" w:lastRow="0" w:firstColumn="0" w:lastColumn="0" w:noHBand="0" w:noVBand="0"/>
      </w:tblPr>
      <w:tblGrid>
        <w:gridCol w:w="2160"/>
        <w:gridCol w:w="1980"/>
        <w:gridCol w:w="1890"/>
        <w:gridCol w:w="1800"/>
        <w:gridCol w:w="1530"/>
      </w:tblGrid>
      <w:tr w:rsidR="00DB6C99" w:rsidRPr="00DB6C99" w14:paraId="5838C714" w14:textId="77777777" w:rsidTr="007C344D">
        <w:trPr>
          <w:jc w:val="center"/>
        </w:trPr>
        <w:tc>
          <w:tcPr>
            <w:tcW w:w="2160" w:type="dxa"/>
            <w:vMerge w:val="restart"/>
            <w:tcBorders>
              <w:top w:val="single" w:sz="6" w:space="0" w:color="auto"/>
              <w:left w:val="nil"/>
              <w:right w:val="nil"/>
            </w:tcBorders>
            <w:vAlign w:val="center"/>
          </w:tcPr>
          <w:p w14:paraId="1C871CDE"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sz w:val="20"/>
                <w:szCs w:val="20"/>
              </w:rPr>
              <w:t>VARIABLES</w:t>
            </w:r>
          </w:p>
        </w:tc>
        <w:tc>
          <w:tcPr>
            <w:tcW w:w="7200" w:type="dxa"/>
            <w:gridSpan w:val="4"/>
            <w:tcBorders>
              <w:top w:val="single" w:sz="6" w:space="0" w:color="auto"/>
              <w:left w:val="nil"/>
              <w:bottom w:val="single" w:sz="6" w:space="0" w:color="auto"/>
              <w:right w:val="nil"/>
            </w:tcBorders>
          </w:tcPr>
          <w:p w14:paraId="066B2A0C" w14:textId="77777777" w:rsidR="007C344D" w:rsidRPr="00DB6C99" w:rsidRDefault="007C344D" w:rsidP="007C344D">
            <w:pPr>
              <w:widowControl w:val="0"/>
              <w:autoSpaceDE w:val="0"/>
              <w:autoSpaceDN w:val="0"/>
              <w:adjustRightInd w:val="0"/>
              <w:spacing w:after="0" w:line="240" w:lineRule="auto"/>
              <w:jc w:val="center"/>
              <w:rPr>
                <w:rFonts w:ascii="Garamond" w:hAnsi="Garamond"/>
                <w:i/>
                <w:iCs/>
                <w:sz w:val="20"/>
                <w:szCs w:val="20"/>
              </w:rPr>
            </w:pPr>
            <w:r w:rsidRPr="00DB6C99">
              <w:rPr>
                <w:rFonts w:ascii="Garamond" w:hAnsi="Garamond"/>
                <w:i/>
                <w:iCs/>
                <w:sz w:val="20"/>
                <w:szCs w:val="20"/>
              </w:rPr>
              <w:t>GAP</w:t>
            </w:r>
          </w:p>
        </w:tc>
      </w:tr>
      <w:tr w:rsidR="00DB6C99" w:rsidRPr="00DB6C99" w14:paraId="274334BE" w14:textId="77777777" w:rsidTr="007C344D">
        <w:trPr>
          <w:jc w:val="center"/>
        </w:trPr>
        <w:tc>
          <w:tcPr>
            <w:tcW w:w="2160" w:type="dxa"/>
            <w:vMerge/>
            <w:tcBorders>
              <w:left w:val="nil"/>
              <w:bottom w:val="single" w:sz="6" w:space="0" w:color="auto"/>
              <w:right w:val="nil"/>
            </w:tcBorders>
          </w:tcPr>
          <w:p w14:paraId="153A375D"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980" w:type="dxa"/>
            <w:tcBorders>
              <w:top w:val="single" w:sz="6" w:space="0" w:color="auto"/>
              <w:left w:val="nil"/>
              <w:bottom w:val="single" w:sz="6" w:space="0" w:color="auto"/>
              <w:right w:val="nil"/>
            </w:tcBorders>
            <w:vAlign w:val="center"/>
          </w:tcPr>
          <w:p w14:paraId="756AB03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b/>
                <w:sz w:val="20"/>
                <w:szCs w:val="20"/>
              </w:rPr>
              <w:t>FE</w:t>
            </w:r>
          </w:p>
        </w:tc>
        <w:tc>
          <w:tcPr>
            <w:tcW w:w="1890" w:type="dxa"/>
            <w:tcBorders>
              <w:top w:val="single" w:sz="6" w:space="0" w:color="auto"/>
              <w:left w:val="nil"/>
              <w:bottom w:val="single" w:sz="6" w:space="0" w:color="auto"/>
              <w:right w:val="nil"/>
            </w:tcBorders>
            <w:vAlign w:val="center"/>
          </w:tcPr>
          <w:p w14:paraId="18F822F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b/>
                <w:sz w:val="20"/>
                <w:szCs w:val="20"/>
              </w:rPr>
              <w:t>Lagged-FE</w:t>
            </w:r>
          </w:p>
        </w:tc>
        <w:tc>
          <w:tcPr>
            <w:tcW w:w="1800" w:type="dxa"/>
            <w:tcBorders>
              <w:top w:val="single" w:sz="6" w:space="0" w:color="auto"/>
              <w:left w:val="nil"/>
              <w:bottom w:val="single" w:sz="6" w:space="0" w:color="auto"/>
              <w:right w:val="nil"/>
            </w:tcBorders>
            <w:vAlign w:val="center"/>
          </w:tcPr>
          <w:p w14:paraId="02628C6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b/>
                <w:sz w:val="20"/>
                <w:szCs w:val="20"/>
              </w:rPr>
              <w:t>OLS</w:t>
            </w:r>
          </w:p>
        </w:tc>
        <w:tc>
          <w:tcPr>
            <w:tcW w:w="1530" w:type="dxa"/>
            <w:tcBorders>
              <w:top w:val="single" w:sz="6" w:space="0" w:color="auto"/>
              <w:left w:val="nil"/>
              <w:bottom w:val="single" w:sz="6" w:space="0" w:color="auto"/>
              <w:right w:val="nil"/>
            </w:tcBorders>
            <w:vAlign w:val="center"/>
          </w:tcPr>
          <w:p w14:paraId="19B09B5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b/>
                <w:sz w:val="20"/>
                <w:szCs w:val="20"/>
              </w:rPr>
              <w:t>Lagged-OLS</w:t>
            </w:r>
          </w:p>
        </w:tc>
      </w:tr>
      <w:tr w:rsidR="00DB6C99" w:rsidRPr="00DB6C99" w14:paraId="59DF46AA" w14:textId="77777777" w:rsidTr="007C344D">
        <w:trPr>
          <w:jc w:val="center"/>
        </w:trPr>
        <w:tc>
          <w:tcPr>
            <w:tcW w:w="2160" w:type="dxa"/>
            <w:tcBorders>
              <w:top w:val="nil"/>
              <w:left w:val="nil"/>
              <w:bottom w:val="nil"/>
              <w:right w:val="nil"/>
            </w:tcBorders>
            <w:vAlign w:val="center"/>
          </w:tcPr>
          <w:p w14:paraId="584B1DFC"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rPr>
              <w:t>FPRO</w:t>
            </w:r>
          </w:p>
        </w:tc>
        <w:tc>
          <w:tcPr>
            <w:tcW w:w="1980" w:type="dxa"/>
            <w:tcBorders>
              <w:top w:val="nil"/>
              <w:left w:val="nil"/>
              <w:bottom w:val="nil"/>
              <w:right w:val="nil"/>
            </w:tcBorders>
          </w:tcPr>
          <w:p w14:paraId="54CA38E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-0.451***</w:t>
            </w:r>
          </w:p>
        </w:tc>
        <w:tc>
          <w:tcPr>
            <w:tcW w:w="1890" w:type="dxa"/>
            <w:tcBorders>
              <w:top w:val="nil"/>
              <w:left w:val="nil"/>
              <w:bottom w:val="nil"/>
              <w:right w:val="nil"/>
            </w:tcBorders>
          </w:tcPr>
          <w:p w14:paraId="6CF575B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-0.648***</w:t>
            </w:r>
          </w:p>
        </w:tc>
        <w:tc>
          <w:tcPr>
            <w:tcW w:w="1800" w:type="dxa"/>
            <w:tcBorders>
              <w:top w:val="nil"/>
              <w:left w:val="nil"/>
              <w:bottom w:val="nil"/>
              <w:right w:val="nil"/>
            </w:tcBorders>
          </w:tcPr>
          <w:p w14:paraId="1FB0F29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-0.202**</w:t>
            </w:r>
          </w:p>
        </w:tc>
        <w:tc>
          <w:tcPr>
            <w:tcW w:w="1530" w:type="dxa"/>
            <w:tcBorders>
              <w:top w:val="nil"/>
              <w:left w:val="nil"/>
              <w:bottom w:val="nil"/>
              <w:right w:val="nil"/>
            </w:tcBorders>
          </w:tcPr>
          <w:p w14:paraId="6257B59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-0.202**</w:t>
            </w:r>
          </w:p>
        </w:tc>
      </w:tr>
      <w:tr w:rsidR="00DB6C99" w:rsidRPr="00DB6C99" w14:paraId="684FE2F5" w14:textId="77777777" w:rsidTr="007C344D">
        <w:trPr>
          <w:jc w:val="center"/>
        </w:trPr>
        <w:tc>
          <w:tcPr>
            <w:tcW w:w="2160" w:type="dxa"/>
            <w:tcBorders>
              <w:top w:val="nil"/>
              <w:left w:val="nil"/>
              <w:bottom w:val="nil"/>
              <w:right w:val="nil"/>
            </w:tcBorders>
            <w:vAlign w:val="center"/>
          </w:tcPr>
          <w:p w14:paraId="65A6C08C"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980" w:type="dxa"/>
            <w:tcBorders>
              <w:top w:val="nil"/>
              <w:left w:val="nil"/>
              <w:bottom w:val="nil"/>
              <w:right w:val="nil"/>
            </w:tcBorders>
          </w:tcPr>
          <w:p w14:paraId="49359E1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(-3.73)</w:t>
            </w:r>
          </w:p>
        </w:tc>
        <w:tc>
          <w:tcPr>
            <w:tcW w:w="1890" w:type="dxa"/>
            <w:tcBorders>
              <w:top w:val="nil"/>
              <w:left w:val="nil"/>
              <w:bottom w:val="nil"/>
              <w:right w:val="nil"/>
            </w:tcBorders>
          </w:tcPr>
          <w:p w14:paraId="28FDB88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(-4.86)</w:t>
            </w:r>
          </w:p>
        </w:tc>
        <w:tc>
          <w:tcPr>
            <w:tcW w:w="1800" w:type="dxa"/>
            <w:tcBorders>
              <w:top w:val="nil"/>
              <w:left w:val="nil"/>
              <w:bottom w:val="nil"/>
              <w:right w:val="nil"/>
            </w:tcBorders>
          </w:tcPr>
          <w:p w14:paraId="289D28C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(-2.35)</w:t>
            </w:r>
          </w:p>
        </w:tc>
        <w:tc>
          <w:tcPr>
            <w:tcW w:w="1530" w:type="dxa"/>
            <w:tcBorders>
              <w:top w:val="nil"/>
              <w:left w:val="nil"/>
              <w:bottom w:val="nil"/>
              <w:right w:val="nil"/>
            </w:tcBorders>
          </w:tcPr>
          <w:p w14:paraId="3031247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(-2.10)</w:t>
            </w:r>
          </w:p>
        </w:tc>
      </w:tr>
      <w:tr w:rsidR="00DB6C99" w:rsidRPr="00DB6C99" w14:paraId="231DA719" w14:textId="77777777" w:rsidTr="007C344D">
        <w:trPr>
          <w:jc w:val="center"/>
        </w:trPr>
        <w:tc>
          <w:tcPr>
            <w:tcW w:w="2160" w:type="dxa"/>
            <w:tcBorders>
              <w:top w:val="nil"/>
              <w:left w:val="nil"/>
              <w:bottom w:val="nil"/>
              <w:right w:val="nil"/>
            </w:tcBorders>
            <w:vAlign w:val="center"/>
          </w:tcPr>
          <w:p w14:paraId="5BC2BE06"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lang w:val="en-GB"/>
              </w:rPr>
              <w:t>BSIZE</w:t>
            </w:r>
          </w:p>
        </w:tc>
        <w:tc>
          <w:tcPr>
            <w:tcW w:w="1980" w:type="dxa"/>
            <w:tcBorders>
              <w:top w:val="nil"/>
              <w:left w:val="nil"/>
              <w:bottom w:val="nil"/>
              <w:right w:val="nil"/>
            </w:tcBorders>
          </w:tcPr>
          <w:p w14:paraId="5900D10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-0.073</w:t>
            </w:r>
          </w:p>
        </w:tc>
        <w:tc>
          <w:tcPr>
            <w:tcW w:w="1890" w:type="dxa"/>
            <w:tcBorders>
              <w:top w:val="nil"/>
              <w:left w:val="nil"/>
              <w:bottom w:val="nil"/>
              <w:right w:val="nil"/>
            </w:tcBorders>
          </w:tcPr>
          <w:p w14:paraId="0F600C7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0.041</w:t>
            </w:r>
          </w:p>
        </w:tc>
        <w:tc>
          <w:tcPr>
            <w:tcW w:w="1800" w:type="dxa"/>
            <w:tcBorders>
              <w:top w:val="nil"/>
              <w:left w:val="nil"/>
              <w:bottom w:val="nil"/>
              <w:right w:val="nil"/>
            </w:tcBorders>
          </w:tcPr>
          <w:p w14:paraId="72CB85B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0.128***</w:t>
            </w:r>
          </w:p>
        </w:tc>
        <w:tc>
          <w:tcPr>
            <w:tcW w:w="1530" w:type="dxa"/>
            <w:tcBorders>
              <w:top w:val="nil"/>
              <w:left w:val="nil"/>
              <w:bottom w:val="nil"/>
              <w:right w:val="nil"/>
            </w:tcBorders>
          </w:tcPr>
          <w:p w14:paraId="04D60F8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0.216***</w:t>
            </w:r>
          </w:p>
        </w:tc>
      </w:tr>
      <w:tr w:rsidR="00DB6C99" w:rsidRPr="00DB6C99" w14:paraId="3D741DF2" w14:textId="77777777" w:rsidTr="007C344D">
        <w:trPr>
          <w:jc w:val="center"/>
        </w:trPr>
        <w:tc>
          <w:tcPr>
            <w:tcW w:w="2160" w:type="dxa"/>
            <w:tcBorders>
              <w:top w:val="nil"/>
              <w:left w:val="nil"/>
              <w:bottom w:val="nil"/>
              <w:right w:val="nil"/>
            </w:tcBorders>
            <w:vAlign w:val="center"/>
          </w:tcPr>
          <w:p w14:paraId="43A03EC0"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980" w:type="dxa"/>
            <w:tcBorders>
              <w:top w:val="nil"/>
              <w:left w:val="nil"/>
              <w:bottom w:val="nil"/>
              <w:right w:val="nil"/>
            </w:tcBorders>
          </w:tcPr>
          <w:p w14:paraId="75942F5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(-1.24)</w:t>
            </w:r>
          </w:p>
        </w:tc>
        <w:tc>
          <w:tcPr>
            <w:tcW w:w="1890" w:type="dxa"/>
            <w:tcBorders>
              <w:top w:val="nil"/>
              <w:left w:val="nil"/>
              <w:bottom w:val="nil"/>
              <w:right w:val="nil"/>
            </w:tcBorders>
          </w:tcPr>
          <w:p w14:paraId="50E892B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(0.64)</w:t>
            </w:r>
          </w:p>
        </w:tc>
        <w:tc>
          <w:tcPr>
            <w:tcW w:w="1800" w:type="dxa"/>
            <w:tcBorders>
              <w:top w:val="nil"/>
              <w:left w:val="nil"/>
              <w:bottom w:val="nil"/>
              <w:right w:val="nil"/>
            </w:tcBorders>
          </w:tcPr>
          <w:p w14:paraId="0551513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(3.05)</w:t>
            </w:r>
          </w:p>
        </w:tc>
        <w:tc>
          <w:tcPr>
            <w:tcW w:w="1530" w:type="dxa"/>
            <w:tcBorders>
              <w:top w:val="nil"/>
              <w:left w:val="nil"/>
              <w:bottom w:val="nil"/>
              <w:right w:val="nil"/>
            </w:tcBorders>
          </w:tcPr>
          <w:p w14:paraId="1BA5A9E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(4.71)</w:t>
            </w:r>
          </w:p>
        </w:tc>
      </w:tr>
      <w:tr w:rsidR="00DB6C99" w:rsidRPr="00DB6C99" w14:paraId="60D03D91" w14:textId="77777777" w:rsidTr="007C344D">
        <w:trPr>
          <w:jc w:val="center"/>
        </w:trPr>
        <w:tc>
          <w:tcPr>
            <w:tcW w:w="2160" w:type="dxa"/>
            <w:tcBorders>
              <w:top w:val="nil"/>
              <w:left w:val="nil"/>
              <w:bottom w:val="nil"/>
              <w:right w:val="nil"/>
            </w:tcBorders>
            <w:vAlign w:val="center"/>
          </w:tcPr>
          <w:p w14:paraId="2AAD9FA3"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lang w:val="en-GB"/>
              </w:rPr>
              <w:t>BIND</w:t>
            </w:r>
          </w:p>
        </w:tc>
        <w:tc>
          <w:tcPr>
            <w:tcW w:w="1980" w:type="dxa"/>
            <w:tcBorders>
              <w:top w:val="nil"/>
              <w:left w:val="nil"/>
              <w:bottom w:val="nil"/>
              <w:right w:val="nil"/>
            </w:tcBorders>
          </w:tcPr>
          <w:p w14:paraId="61D1F81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-0.261*</w:t>
            </w:r>
          </w:p>
        </w:tc>
        <w:tc>
          <w:tcPr>
            <w:tcW w:w="1890" w:type="dxa"/>
            <w:tcBorders>
              <w:top w:val="nil"/>
              <w:left w:val="nil"/>
              <w:bottom w:val="nil"/>
              <w:right w:val="nil"/>
            </w:tcBorders>
          </w:tcPr>
          <w:p w14:paraId="4F26ABC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-0.512***</w:t>
            </w:r>
          </w:p>
        </w:tc>
        <w:tc>
          <w:tcPr>
            <w:tcW w:w="1800" w:type="dxa"/>
            <w:tcBorders>
              <w:top w:val="nil"/>
              <w:left w:val="nil"/>
              <w:bottom w:val="nil"/>
              <w:right w:val="nil"/>
            </w:tcBorders>
          </w:tcPr>
          <w:p w14:paraId="1999821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-0.215*</w:t>
            </w:r>
          </w:p>
        </w:tc>
        <w:tc>
          <w:tcPr>
            <w:tcW w:w="1530" w:type="dxa"/>
            <w:tcBorders>
              <w:top w:val="nil"/>
              <w:left w:val="nil"/>
              <w:bottom w:val="nil"/>
              <w:right w:val="nil"/>
            </w:tcBorders>
          </w:tcPr>
          <w:p w14:paraId="31212D3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-0.313***</w:t>
            </w:r>
          </w:p>
        </w:tc>
      </w:tr>
      <w:tr w:rsidR="00DB6C99" w:rsidRPr="00DB6C99" w14:paraId="1581431C" w14:textId="77777777" w:rsidTr="007C344D">
        <w:trPr>
          <w:jc w:val="center"/>
        </w:trPr>
        <w:tc>
          <w:tcPr>
            <w:tcW w:w="2160" w:type="dxa"/>
            <w:tcBorders>
              <w:top w:val="nil"/>
              <w:left w:val="nil"/>
              <w:bottom w:val="nil"/>
              <w:right w:val="nil"/>
            </w:tcBorders>
            <w:vAlign w:val="center"/>
          </w:tcPr>
          <w:p w14:paraId="2FD6D26C"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980" w:type="dxa"/>
            <w:tcBorders>
              <w:top w:val="nil"/>
              <w:left w:val="nil"/>
              <w:bottom w:val="nil"/>
              <w:right w:val="nil"/>
            </w:tcBorders>
          </w:tcPr>
          <w:p w14:paraId="5F533E8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(-1.68)</w:t>
            </w:r>
          </w:p>
        </w:tc>
        <w:tc>
          <w:tcPr>
            <w:tcW w:w="1890" w:type="dxa"/>
            <w:tcBorders>
              <w:top w:val="nil"/>
              <w:left w:val="nil"/>
              <w:bottom w:val="nil"/>
              <w:right w:val="nil"/>
            </w:tcBorders>
          </w:tcPr>
          <w:p w14:paraId="1793350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(-3.07)</w:t>
            </w:r>
          </w:p>
        </w:tc>
        <w:tc>
          <w:tcPr>
            <w:tcW w:w="1800" w:type="dxa"/>
            <w:tcBorders>
              <w:top w:val="nil"/>
              <w:left w:val="nil"/>
              <w:bottom w:val="nil"/>
              <w:right w:val="nil"/>
            </w:tcBorders>
          </w:tcPr>
          <w:p w14:paraId="056577C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(-1.93)</w:t>
            </w:r>
          </w:p>
        </w:tc>
        <w:tc>
          <w:tcPr>
            <w:tcW w:w="1530" w:type="dxa"/>
            <w:tcBorders>
              <w:top w:val="nil"/>
              <w:left w:val="nil"/>
              <w:bottom w:val="nil"/>
              <w:right w:val="nil"/>
            </w:tcBorders>
          </w:tcPr>
          <w:p w14:paraId="20AFDB6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(-2.61)</w:t>
            </w:r>
          </w:p>
        </w:tc>
      </w:tr>
      <w:tr w:rsidR="00DB6C99" w:rsidRPr="00DB6C99" w14:paraId="00FE22F3" w14:textId="77777777" w:rsidTr="007C344D">
        <w:trPr>
          <w:jc w:val="center"/>
        </w:trPr>
        <w:tc>
          <w:tcPr>
            <w:tcW w:w="2160" w:type="dxa"/>
            <w:tcBorders>
              <w:top w:val="nil"/>
              <w:left w:val="nil"/>
              <w:bottom w:val="nil"/>
              <w:right w:val="nil"/>
            </w:tcBorders>
            <w:vAlign w:val="center"/>
          </w:tcPr>
          <w:p w14:paraId="1AF8353B"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lang w:val="en-GB"/>
              </w:rPr>
              <w:t>BMEET</w:t>
            </w:r>
          </w:p>
        </w:tc>
        <w:tc>
          <w:tcPr>
            <w:tcW w:w="1980" w:type="dxa"/>
            <w:tcBorders>
              <w:top w:val="nil"/>
              <w:left w:val="nil"/>
              <w:bottom w:val="nil"/>
              <w:right w:val="nil"/>
            </w:tcBorders>
          </w:tcPr>
          <w:p w14:paraId="3F1EEAC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-0.062***</w:t>
            </w:r>
          </w:p>
        </w:tc>
        <w:tc>
          <w:tcPr>
            <w:tcW w:w="1890" w:type="dxa"/>
            <w:tcBorders>
              <w:top w:val="nil"/>
              <w:left w:val="nil"/>
              <w:bottom w:val="nil"/>
              <w:right w:val="nil"/>
            </w:tcBorders>
          </w:tcPr>
          <w:p w14:paraId="2021C60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-0.047*</w:t>
            </w:r>
          </w:p>
        </w:tc>
        <w:tc>
          <w:tcPr>
            <w:tcW w:w="1800" w:type="dxa"/>
            <w:tcBorders>
              <w:top w:val="nil"/>
              <w:left w:val="nil"/>
              <w:bottom w:val="nil"/>
              <w:right w:val="nil"/>
            </w:tcBorders>
          </w:tcPr>
          <w:p w14:paraId="4AB716C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-0.057***</w:t>
            </w:r>
          </w:p>
        </w:tc>
        <w:tc>
          <w:tcPr>
            <w:tcW w:w="1530" w:type="dxa"/>
            <w:tcBorders>
              <w:top w:val="nil"/>
              <w:left w:val="nil"/>
              <w:bottom w:val="nil"/>
              <w:right w:val="nil"/>
            </w:tcBorders>
          </w:tcPr>
          <w:p w14:paraId="6CF152B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-0.059***</w:t>
            </w:r>
          </w:p>
        </w:tc>
      </w:tr>
      <w:tr w:rsidR="00DB6C99" w:rsidRPr="00DB6C99" w14:paraId="3676B114" w14:textId="77777777" w:rsidTr="007C344D">
        <w:trPr>
          <w:jc w:val="center"/>
        </w:trPr>
        <w:tc>
          <w:tcPr>
            <w:tcW w:w="2160" w:type="dxa"/>
            <w:tcBorders>
              <w:top w:val="nil"/>
              <w:left w:val="nil"/>
              <w:bottom w:val="nil"/>
              <w:right w:val="nil"/>
            </w:tcBorders>
            <w:vAlign w:val="center"/>
          </w:tcPr>
          <w:p w14:paraId="308F853E"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980" w:type="dxa"/>
            <w:tcBorders>
              <w:top w:val="nil"/>
              <w:left w:val="nil"/>
              <w:bottom w:val="nil"/>
              <w:right w:val="nil"/>
            </w:tcBorders>
          </w:tcPr>
          <w:p w14:paraId="0CF7618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(-2.72)</w:t>
            </w:r>
          </w:p>
        </w:tc>
        <w:tc>
          <w:tcPr>
            <w:tcW w:w="1890" w:type="dxa"/>
            <w:tcBorders>
              <w:top w:val="nil"/>
              <w:left w:val="nil"/>
              <w:bottom w:val="nil"/>
              <w:right w:val="nil"/>
            </w:tcBorders>
          </w:tcPr>
          <w:p w14:paraId="0964903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(-1.88)</w:t>
            </w:r>
          </w:p>
        </w:tc>
        <w:tc>
          <w:tcPr>
            <w:tcW w:w="1800" w:type="dxa"/>
            <w:tcBorders>
              <w:top w:val="nil"/>
              <w:left w:val="nil"/>
              <w:bottom w:val="nil"/>
              <w:right w:val="nil"/>
            </w:tcBorders>
          </w:tcPr>
          <w:p w14:paraId="71FDFB0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(-2.84)</w:t>
            </w:r>
          </w:p>
        </w:tc>
        <w:tc>
          <w:tcPr>
            <w:tcW w:w="1530" w:type="dxa"/>
            <w:tcBorders>
              <w:top w:val="nil"/>
              <w:left w:val="nil"/>
              <w:bottom w:val="nil"/>
              <w:right w:val="nil"/>
            </w:tcBorders>
          </w:tcPr>
          <w:p w14:paraId="3793A6E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(-2.61)</w:t>
            </w:r>
          </w:p>
        </w:tc>
      </w:tr>
      <w:tr w:rsidR="00DB6C99" w:rsidRPr="00DB6C99" w14:paraId="5FF5C9FE" w14:textId="77777777" w:rsidTr="007C344D">
        <w:trPr>
          <w:jc w:val="center"/>
        </w:trPr>
        <w:tc>
          <w:tcPr>
            <w:tcW w:w="2160" w:type="dxa"/>
            <w:tcBorders>
              <w:top w:val="nil"/>
              <w:left w:val="nil"/>
              <w:bottom w:val="nil"/>
              <w:right w:val="nil"/>
            </w:tcBorders>
            <w:vAlign w:val="center"/>
          </w:tcPr>
          <w:p w14:paraId="027418D9"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lang w:val="en-GB"/>
              </w:rPr>
              <w:t>DUAL</w:t>
            </w:r>
          </w:p>
        </w:tc>
        <w:tc>
          <w:tcPr>
            <w:tcW w:w="1980" w:type="dxa"/>
            <w:tcBorders>
              <w:top w:val="nil"/>
              <w:left w:val="nil"/>
              <w:bottom w:val="nil"/>
              <w:right w:val="nil"/>
            </w:tcBorders>
          </w:tcPr>
          <w:p w14:paraId="3AE9E25F"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-0.023</w:t>
            </w:r>
          </w:p>
        </w:tc>
        <w:tc>
          <w:tcPr>
            <w:tcW w:w="1890" w:type="dxa"/>
            <w:tcBorders>
              <w:top w:val="nil"/>
              <w:left w:val="nil"/>
              <w:bottom w:val="nil"/>
              <w:right w:val="nil"/>
            </w:tcBorders>
          </w:tcPr>
          <w:p w14:paraId="399E306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0.003</w:t>
            </w:r>
          </w:p>
        </w:tc>
        <w:tc>
          <w:tcPr>
            <w:tcW w:w="1800" w:type="dxa"/>
            <w:tcBorders>
              <w:top w:val="nil"/>
              <w:left w:val="nil"/>
              <w:bottom w:val="nil"/>
              <w:right w:val="nil"/>
            </w:tcBorders>
          </w:tcPr>
          <w:p w14:paraId="04B4B53F"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-0.019</w:t>
            </w:r>
          </w:p>
        </w:tc>
        <w:tc>
          <w:tcPr>
            <w:tcW w:w="1530" w:type="dxa"/>
            <w:tcBorders>
              <w:top w:val="nil"/>
              <w:left w:val="nil"/>
              <w:bottom w:val="nil"/>
              <w:right w:val="nil"/>
            </w:tcBorders>
          </w:tcPr>
          <w:p w14:paraId="2399D7B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-0.003</w:t>
            </w:r>
          </w:p>
        </w:tc>
      </w:tr>
      <w:tr w:rsidR="00DB6C99" w:rsidRPr="00DB6C99" w14:paraId="0051212E" w14:textId="77777777" w:rsidTr="007C344D">
        <w:trPr>
          <w:jc w:val="center"/>
        </w:trPr>
        <w:tc>
          <w:tcPr>
            <w:tcW w:w="2160" w:type="dxa"/>
            <w:tcBorders>
              <w:top w:val="nil"/>
              <w:left w:val="nil"/>
              <w:bottom w:val="nil"/>
              <w:right w:val="nil"/>
            </w:tcBorders>
            <w:vAlign w:val="center"/>
          </w:tcPr>
          <w:p w14:paraId="735303CA"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980" w:type="dxa"/>
            <w:tcBorders>
              <w:top w:val="nil"/>
              <w:left w:val="nil"/>
              <w:bottom w:val="nil"/>
              <w:right w:val="nil"/>
            </w:tcBorders>
          </w:tcPr>
          <w:p w14:paraId="52C5598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(-1.02)</w:t>
            </w:r>
          </w:p>
        </w:tc>
        <w:tc>
          <w:tcPr>
            <w:tcW w:w="1890" w:type="dxa"/>
            <w:tcBorders>
              <w:top w:val="nil"/>
              <w:left w:val="nil"/>
              <w:bottom w:val="nil"/>
              <w:right w:val="nil"/>
            </w:tcBorders>
          </w:tcPr>
          <w:p w14:paraId="7807DD9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(0.14)</w:t>
            </w:r>
          </w:p>
        </w:tc>
        <w:tc>
          <w:tcPr>
            <w:tcW w:w="1800" w:type="dxa"/>
            <w:tcBorders>
              <w:top w:val="nil"/>
              <w:left w:val="nil"/>
              <w:bottom w:val="nil"/>
              <w:right w:val="nil"/>
            </w:tcBorders>
          </w:tcPr>
          <w:p w14:paraId="60CDC6DF"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(-1.18)</w:t>
            </w:r>
          </w:p>
        </w:tc>
        <w:tc>
          <w:tcPr>
            <w:tcW w:w="1530" w:type="dxa"/>
            <w:tcBorders>
              <w:top w:val="nil"/>
              <w:left w:val="nil"/>
              <w:bottom w:val="nil"/>
              <w:right w:val="nil"/>
            </w:tcBorders>
          </w:tcPr>
          <w:p w14:paraId="5153362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(-0.18)</w:t>
            </w:r>
          </w:p>
        </w:tc>
      </w:tr>
      <w:tr w:rsidR="00DB6C99" w:rsidRPr="00DB6C99" w14:paraId="69627ED6" w14:textId="77777777" w:rsidTr="007C344D">
        <w:trPr>
          <w:jc w:val="center"/>
        </w:trPr>
        <w:tc>
          <w:tcPr>
            <w:tcW w:w="2160" w:type="dxa"/>
            <w:tcBorders>
              <w:top w:val="nil"/>
              <w:left w:val="nil"/>
              <w:bottom w:val="nil"/>
              <w:right w:val="nil"/>
            </w:tcBorders>
            <w:vAlign w:val="center"/>
          </w:tcPr>
          <w:p w14:paraId="43729F3A"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lang w:val="en-GB"/>
              </w:rPr>
              <w:t>PM</w:t>
            </w:r>
          </w:p>
        </w:tc>
        <w:tc>
          <w:tcPr>
            <w:tcW w:w="1980" w:type="dxa"/>
            <w:tcBorders>
              <w:top w:val="nil"/>
              <w:left w:val="nil"/>
              <w:bottom w:val="nil"/>
              <w:right w:val="nil"/>
            </w:tcBorders>
          </w:tcPr>
          <w:p w14:paraId="1F5352C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-0.063</w:t>
            </w:r>
          </w:p>
        </w:tc>
        <w:tc>
          <w:tcPr>
            <w:tcW w:w="1890" w:type="dxa"/>
            <w:tcBorders>
              <w:top w:val="nil"/>
              <w:left w:val="nil"/>
              <w:bottom w:val="nil"/>
              <w:right w:val="nil"/>
            </w:tcBorders>
          </w:tcPr>
          <w:p w14:paraId="5A9B9B4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-0.002</w:t>
            </w:r>
          </w:p>
        </w:tc>
        <w:tc>
          <w:tcPr>
            <w:tcW w:w="1800" w:type="dxa"/>
            <w:tcBorders>
              <w:top w:val="nil"/>
              <w:left w:val="nil"/>
              <w:bottom w:val="nil"/>
              <w:right w:val="nil"/>
            </w:tcBorders>
          </w:tcPr>
          <w:p w14:paraId="1EA187E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0.184***</w:t>
            </w:r>
          </w:p>
        </w:tc>
        <w:tc>
          <w:tcPr>
            <w:tcW w:w="1530" w:type="dxa"/>
            <w:tcBorders>
              <w:top w:val="nil"/>
              <w:left w:val="nil"/>
              <w:bottom w:val="nil"/>
              <w:right w:val="nil"/>
            </w:tcBorders>
          </w:tcPr>
          <w:p w14:paraId="35E6915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0.208***</w:t>
            </w:r>
          </w:p>
        </w:tc>
      </w:tr>
      <w:tr w:rsidR="00DB6C99" w:rsidRPr="00DB6C99" w14:paraId="316E5B84" w14:textId="77777777" w:rsidTr="007C344D">
        <w:trPr>
          <w:jc w:val="center"/>
        </w:trPr>
        <w:tc>
          <w:tcPr>
            <w:tcW w:w="2160" w:type="dxa"/>
            <w:tcBorders>
              <w:top w:val="nil"/>
              <w:left w:val="nil"/>
              <w:bottom w:val="nil"/>
              <w:right w:val="nil"/>
            </w:tcBorders>
            <w:vAlign w:val="center"/>
          </w:tcPr>
          <w:p w14:paraId="02A8B57B"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980" w:type="dxa"/>
            <w:tcBorders>
              <w:top w:val="nil"/>
              <w:left w:val="nil"/>
              <w:bottom w:val="nil"/>
              <w:right w:val="nil"/>
            </w:tcBorders>
          </w:tcPr>
          <w:p w14:paraId="1D46EC1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(-0.79)</w:t>
            </w:r>
          </w:p>
        </w:tc>
        <w:tc>
          <w:tcPr>
            <w:tcW w:w="1890" w:type="dxa"/>
            <w:tcBorders>
              <w:top w:val="nil"/>
              <w:left w:val="nil"/>
              <w:bottom w:val="nil"/>
              <w:right w:val="nil"/>
            </w:tcBorders>
          </w:tcPr>
          <w:p w14:paraId="44DB7E2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(-0.03)</w:t>
            </w:r>
          </w:p>
        </w:tc>
        <w:tc>
          <w:tcPr>
            <w:tcW w:w="1800" w:type="dxa"/>
            <w:tcBorders>
              <w:top w:val="nil"/>
              <w:left w:val="nil"/>
              <w:bottom w:val="nil"/>
              <w:right w:val="nil"/>
            </w:tcBorders>
          </w:tcPr>
          <w:p w14:paraId="33847D0F"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(2.80)</w:t>
            </w:r>
          </w:p>
        </w:tc>
        <w:tc>
          <w:tcPr>
            <w:tcW w:w="1530" w:type="dxa"/>
            <w:tcBorders>
              <w:top w:val="nil"/>
              <w:left w:val="nil"/>
              <w:bottom w:val="nil"/>
              <w:right w:val="nil"/>
            </w:tcBorders>
          </w:tcPr>
          <w:p w14:paraId="7CBE73D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(2.70)</w:t>
            </w:r>
          </w:p>
        </w:tc>
      </w:tr>
      <w:tr w:rsidR="00DB6C99" w:rsidRPr="00DB6C99" w14:paraId="7EA3E1FB" w14:textId="77777777" w:rsidTr="007C344D">
        <w:trPr>
          <w:jc w:val="center"/>
        </w:trPr>
        <w:tc>
          <w:tcPr>
            <w:tcW w:w="2160" w:type="dxa"/>
            <w:tcBorders>
              <w:top w:val="nil"/>
              <w:left w:val="nil"/>
              <w:bottom w:val="nil"/>
              <w:right w:val="nil"/>
            </w:tcBorders>
            <w:vAlign w:val="center"/>
          </w:tcPr>
          <w:p w14:paraId="71B9A626"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lang w:val="en-GB"/>
              </w:rPr>
              <w:t>ROA</w:t>
            </w:r>
          </w:p>
        </w:tc>
        <w:tc>
          <w:tcPr>
            <w:tcW w:w="1980" w:type="dxa"/>
            <w:tcBorders>
              <w:top w:val="nil"/>
              <w:left w:val="nil"/>
              <w:bottom w:val="nil"/>
              <w:right w:val="nil"/>
            </w:tcBorders>
          </w:tcPr>
          <w:p w14:paraId="7A27FFC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0.057</w:t>
            </w:r>
          </w:p>
        </w:tc>
        <w:tc>
          <w:tcPr>
            <w:tcW w:w="1890" w:type="dxa"/>
            <w:tcBorders>
              <w:top w:val="nil"/>
              <w:left w:val="nil"/>
              <w:bottom w:val="nil"/>
              <w:right w:val="nil"/>
            </w:tcBorders>
          </w:tcPr>
          <w:p w14:paraId="6B8C7EC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0.004</w:t>
            </w:r>
          </w:p>
        </w:tc>
        <w:tc>
          <w:tcPr>
            <w:tcW w:w="1800" w:type="dxa"/>
            <w:tcBorders>
              <w:top w:val="nil"/>
              <w:left w:val="nil"/>
              <w:bottom w:val="nil"/>
              <w:right w:val="nil"/>
            </w:tcBorders>
          </w:tcPr>
          <w:p w14:paraId="07E8CAD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-0.129</w:t>
            </w:r>
          </w:p>
        </w:tc>
        <w:tc>
          <w:tcPr>
            <w:tcW w:w="1530" w:type="dxa"/>
            <w:tcBorders>
              <w:top w:val="nil"/>
              <w:left w:val="nil"/>
              <w:bottom w:val="nil"/>
              <w:right w:val="nil"/>
            </w:tcBorders>
          </w:tcPr>
          <w:p w14:paraId="08BABAF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-0.173</w:t>
            </w:r>
          </w:p>
        </w:tc>
      </w:tr>
      <w:tr w:rsidR="00DB6C99" w:rsidRPr="00DB6C99" w14:paraId="55FCE0EE" w14:textId="77777777" w:rsidTr="007C344D">
        <w:trPr>
          <w:jc w:val="center"/>
        </w:trPr>
        <w:tc>
          <w:tcPr>
            <w:tcW w:w="2160" w:type="dxa"/>
            <w:tcBorders>
              <w:top w:val="nil"/>
              <w:left w:val="nil"/>
              <w:bottom w:val="nil"/>
              <w:right w:val="nil"/>
            </w:tcBorders>
            <w:vAlign w:val="center"/>
          </w:tcPr>
          <w:p w14:paraId="7021603A"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980" w:type="dxa"/>
            <w:tcBorders>
              <w:top w:val="nil"/>
              <w:left w:val="nil"/>
              <w:bottom w:val="nil"/>
              <w:right w:val="nil"/>
            </w:tcBorders>
          </w:tcPr>
          <w:p w14:paraId="4B758FA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(0.38)</w:t>
            </w:r>
          </w:p>
        </w:tc>
        <w:tc>
          <w:tcPr>
            <w:tcW w:w="1890" w:type="dxa"/>
            <w:tcBorders>
              <w:top w:val="nil"/>
              <w:left w:val="nil"/>
              <w:bottom w:val="nil"/>
              <w:right w:val="nil"/>
            </w:tcBorders>
          </w:tcPr>
          <w:p w14:paraId="7813BF0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(0.03)</w:t>
            </w:r>
          </w:p>
        </w:tc>
        <w:tc>
          <w:tcPr>
            <w:tcW w:w="1800" w:type="dxa"/>
            <w:tcBorders>
              <w:top w:val="nil"/>
              <w:left w:val="nil"/>
              <w:bottom w:val="nil"/>
              <w:right w:val="nil"/>
            </w:tcBorders>
          </w:tcPr>
          <w:p w14:paraId="2894111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(-0.97)</w:t>
            </w:r>
          </w:p>
        </w:tc>
        <w:tc>
          <w:tcPr>
            <w:tcW w:w="1530" w:type="dxa"/>
            <w:tcBorders>
              <w:top w:val="nil"/>
              <w:left w:val="nil"/>
              <w:bottom w:val="nil"/>
              <w:right w:val="nil"/>
            </w:tcBorders>
          </w:tcPr>
          <w:p w14:paraId="5361476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(-1.12)</w:t>
            </w:r>
          </w:p>
        </w:tc>
      </w:tr>
      <w:tr w:rsidR="00DB6C99" w:rsidRPr="00DB6C99" w14:paraId="79C378E2" w14:textId="77777777" w:rsidTr="007C344D">
        <w:trPr>
          <w:jc w:val="center"/>
        </w:trPr>
        <w:tc>
          <w:tcPr>
            <w:tcW w:w="2160" w:type="dxa"/>
            <w:tcBorders>
              <w:top w:val="nil"/>
              <w:left w:val="nil"/>
              <w:bottom w:val="nil"/>
              <w:right w:val="nil"/>
            </w:tcBorders>
            <w:vAlign w:val="center"/>
          </w:tcPr>
          <w:p w14:paraId="614DF23C"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lang w:val="en-GB"/>
              </w:rPr>
              <w:t>CI</w:t>
            </w:r>
          </w:p>
        </w:tc>
        <w:tc>
          <w:tcPr>
            <w:tcW w:w="1980" w:type="dxa"/>
            <w:tcBorders>
              <w:top w:val="nil"/>
              <w:left w:val="nil"/>
              <w:bottom w:val="nil"/>
              <w:right w:val="nil"/>
            </w:tcBorders>
          </w:tcPr>
          <w:p w14:paraId="0652D79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0.014***</w:t>
            </w:r>
          </w:p>
        </w:tc>
        <w:tc>
          <w:tcPr>
            <w:tcW w:w="1890" w:type="dxa"/>
            <w:tcBorders>
              <w:top w:val="nil"/>
              <w:left w:val="nil"/>
              <w:bottom w:val="nil"/>
              <w:right w:val="nil"/>
            </w:tcBorders>
          </w:tcPr>
          <w:p w14:paraId="332595FF"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0.023***</w:t>
            </w:r>
          </w:p>
        </w:tc>
        <w:tc>
          <w:tcPr>
            <w:tcW w:w="1800" w:type="dxa"/>
            <w:tcBorders>
              <w:top w:val="nil"/>
              <w:left w:val="nil"/>
              <w:bottom w:val="nil"/>
              <w:right w:val="nil"/>
            </w:tcBorders>
          </w:tcPr>
          <w:p w14:paraId="43F81ED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0.015***</w:t>
            </w:r>
          </w:p>
        </w:tc>
        <w:tc>
          <w:tcPr>
            <w:tcW w:w="1530" w:type="dxa"/>
            <w:tcBorders>
              <w:top w:val="nil"/>
              <w:left w:val="nil"/>
              <w:bottom w:val="nil"/>
              <w:right w:val="nil"/>
            </w:tcBorders>
          </w:tcPr>
          <w:p w14:paraId="20C3273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0.020***</w:t>
            </w:r>
          </w:p>
        </w:tc>
      </w:tr>
      <w:tr w:rsidR="00DB6C99" w:rsidRPr="00DB6C99" w14:paraId="649025DC" w14:textId="77777777" w:rsidTr="007C344D">
        <w:trPr>
          <w:jc w:val="center"/>
        </w:trPr>
        <w:tc>
          <w:tcPr>
            <w:tcW w:w="2160" w:type="dxa"/>
            <w:tcBorders>
              <w:top w:val="nil"/>
              <w:left w:val="nil"/>
              <w:bottom w:val="nil"/>
              <w:right w:val="nil"/>
            </w:tcBorders>
            <w:vAlign w:val="center"/>
          </w:tcPr>
          <w:p w14:paraId="5B01807E"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980" w:type="dxa"/>
            <w:tcBorders>
              <w:top w:val="nil"/>
              <w:left w:val="nil"/>
              <w:bottom w:val="nil"/>
              <w:right w:val="nil"/>
            </w:tcBorders>
          </w:tcPr>
          <w:p w14:paraId="63AB4E7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(3.15)</w:t>
            </w:r>
          </w:p>
        </w:tc>
        <w:tc>
          <w:tcPr>
            <w:tcW w:w="1890" w:type="dxa"/>
            <w:tcBorders>
              <w:top w:val="nil"/>
              <w:left w:val="nil"/>
              <w:bottom w:val="nil"/>
              <w:right w:val="nil"/>
            </w:tcBorders>
          </w:tcPr>
          <w:p w14:paraId="3DEF271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(3.05)</w:t>
            </w:r>
          </w:p>
        </w:tc>
        <w:tc>
          <w:tcPr>
            <w:tcW w:w="1800" w:type="dxa"/>
            <w:tcBorders>
              <w:top w:val="nil"/>
              <w:left w:val="nil"/>
              <w:bottom w:val="nil"/>
              <w:right w:val="nil"/>
            </w:tcBorders>
          </w:tcPr>
          <w:p w14:paraId="1ABC809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(5.30)</w:t>
            </w:r>
          </w:p>
        </w:tc>
        <w:tc>
          <w:tcPr>
            <w:tcW w:w="1530" w:type="dxa"/>
            <w:tcBorders>
              <w:top w:val="nil"/>
              <w:left w:val="nil"/>
              <w:bottom w:val="nil"/>
              <w:right w:val="nil"/>
            </w:tcBorders>
          </w:tcPr>
          <w:p w14:paraId="4C9E00C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(5.22)</w:t>
            </w:r>
          </w:p>
        </w:tc>
      </w:tr>
      <w:tr w:rsidR="00DB6C99" w:rsidRPr="00DB6C99" w14:paraId="7E3862C6" w14:textId="77777777" w:rsidTr="007C344D">
        <w:trPr>
          <w:jc w:val="center"/>
        </w:trPr>
        <w:tc>
          <w:tcPr>
            <w:tcW w:w="2160" w:type="dxa"/>
            <w:tcBorders>
              <w:top w:val="nil"/>
              <w:left w:val="nil"/>
              <w:bottom w:val="nil"/>
              <w:right w:val="nil"/>
            </w:tcBorders>
            <w:vAlign w:val="center"/>
          </w:tcPr>
          <w:p w14:paraId="09094DC7"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lang w:val="en-GB"/>
              </w:rPr>
              <w:t>R&amp;D</w:t>
            </w:r>
          </w:p>
        </w:tc>
        <w:tc>
          <w:tcPr>
            <w:tcW w:w="1980" w:type="dxa"/>
            <w:tcBorders>
              <w:top w:val="nil"/>
              <w:left w:val="nil"/>
              <w:bottom w:val="nil"/>
              <w:right w:val="nil"/>
            </w:tcBorders>
          </w:tcPr>
          <w:p w14:paraId="44F9918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0.422*</w:t>
            </w:r>
          </w:p>
        </w:tc>
        <w:tc>
          <w:tcPr>
            <w:tcW w:w="1890" w:type="dxa"/>
            <w:tcBorders>
              <w:top w:val="nil"/>
              <w:left w:val="nil"/>
              <w:bottom w:val="nil"/>
              <w:right w:val="nil"/>
            </w:tcBorders>
          </w:tcPr>
          <w:p w14:paraId="354FBCE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0.299</w:t>
            </w:r>
          </w:p>
        </w:tc>
        <w:tc>
          <w:tcPr>
            <w:tcW w:w="1800" w:type="dxa"/>
            <w:tcBorders>
              <w:top w:val="nil"/>
              <w:left w:val="nil"/>
              <w:bottom w:val="nil"/>
              <w:right w:val="nil"/>
            </w:tcBorders>
          </w:tcPr>
          <w:p w14:paraId="4F0EEF3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0.270***</w:t>
            </w:r>
          </w:p>
        </w:tc>
        <w:tc>
          <w:tcPr>
            <w:tcW w:w="1530" w:type="dxa"/>
            <w:tcBorders>
              <w:top w:val="nil"/>
              <w:left w:val="nil"/>
              <w:bottom w:val="nil"/>
              <w:right w:val="nil"/>
            </w:tcBorders>
          </w:tcPr>
          <w:p w14:paraId="0AFBF02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0.322***</w:t>
            </w:r>
          </w:p>
        </w:tc>
      </w:tr>
      <w:tr w:rsidR="00DB6C99" w:rsidRPr="00DB6C99" w14:paraId="5A6A342C" w14:textId="77777777" w:rsidTr="007C344D">
        <w:trPr>
          <w:jc w:val="center"/>
        </w:trPr>
        <w:tc>
          <w:tcPr>
            <w:tcW w:w="2160" w:type="dxa"/>
            <w:tcBorders>
              <w:top w:val="nil"/>
              <w:left w:val="nil"/>
              <w:bottom w:val="nil"/>
              <w:right w:val="nil"/>
            </w:tcBorders>
            <w:vAlign w:val="center"/>
          </w:tcPr>
          <w:p w14:paraId="543253FE"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980" w:type="dxa"/>
            <w:tcBorders>
              <w:top w:val="nil"/>
              <w:left w:val="nil"/>
              <w:bottom w:val="nil"/>
              <w:right w:val="nil"/>
            </w:tcBorders>
          </w:tcPr>
          <w:p w14:paraId="29CD201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(1.93)</w:t>
            </w:r>
          </w:p>
        </w:tc>
        <w:tc>
          <w:tcPr>
            <w:tcW w:w="1890" w:type="dxa"/>
            <w:tcBorders>
              <w:top w:val="nil"/>
              <w:left w:val="nil"/>
              <w:bottom w:val="nil"/>
              <w:right w:val="nil"/>
            </w:tcBorders>
          </w:tcPr>
          <w:p w14:paraId="3D553D5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(1.05)</w:t>
            </w:r>
          </w:p>
        </w:tc>
        <w:tc>
          <w:tcPr>
            <w:tcW w:w="1800" w:type="dxa"/>
            <w:tcBorders>
              <w:top w:val="nil"/>
              <w:left w:val="nil"/>
              <w:bottom w:val="nil"/>
              <w:right w:val="nil"/>
            </w:tcBorders>
          </w:tcPr>
          <w:p w14:paraId="0A1F1FC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(2.67)</w:t>
            </w:r>
          </w:p>
        </w:tc>
        <w:tc>
          <w:tcPr>
            <w:tcW w:w="1530" w:type="dxa"/>
            <w:tcBorders>
              <w:top w:val="nil"/>
              <w:left w:val="nil"/>
              <w:bottom w:val="nil"/>
              <w:right w:val="nil"/>
            </w:tcBorders>
          </w:tcPr>
          <w:p w14:paraId="6712E1B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(2.75)</w:t>
            </w:r>
          </w:p>
        </w:tc>
      </w:tr>
      <w:tr w:rsidR="00DB6C99" w:rsidRPr="00DB6C99" w14:paraId="2D535FF6" w14:textId="77777777" w:rsidTr="007C344D">
        <w:trPr>
          <w:jc w:val="center"/>
        </w:trPr>
        <w:tc>
          <w:tcPr>
            <w:tcW w:w="2160" w:type="dxa"/>
            <w:tcBorders>
              <w:top w:val="nil"/>
              <w:left w:val="nil"/>
              <w:bottom w:val="nil"/>
              <w:right w:val="nil"/>
            </w:tcBorders>
            <w:vAlign w:val="center"/>
          </w:tcPr>
          <w:p w14:paraId="37605E24"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lang w:val="en-GB"/>
              </w:rPr>
              <w:t>AFE</w:t>
            </w:r>
          </w:p>
        </w:tc>
        <w:tc>
          <w:tcPr>
            <w:tcW w:w="1980" w:type="dxa"/>
            <w:tcBorders>
              <w:top w:val="nil"/>
              <w:left w:val="nil"/>
              <w:bottom w:val="nil"/>
              <w:right w:val="nil"/>
            </w:tcBorders>
          </w:tcPr>
          <w:p w14:paraId="070862F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0.000</w:t>
            </w:r>
          </w:p>
        </w:tc>
        <w:tc>
          <w:tcPr>
            <w:tcW w:w="1890" w:type="dxa"/>
            <w:tcBorders>
              <w:top w:val="nil"/>
              <w:left w:val="nil"/>
              <w:bottom w:val="nil"/>
              <w:right w:val="nil"/>
            </w:tcBorders>
          </w:tcPr>
          <w:p w14:paraId="67C9A06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0.000</w:t>
            </w:r>
          </w:p>
        </w:tc>
        <w:tc>
          <w:tcPr>
            <w:tcW w:w="1800" w:type="dxa"/>
            <w:tcBorders>
              <w:top w:val="nil"/>
              <w:left w:val="nil"/>
              <w:bottom w:val="nil"/>
              <w:right w:val="nil"/>
            </w:tcBorders>
          </w:tcPr>
          <w:p w14:paraId="3D1B873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0.000</w:t>
            </w:r>
          </w:p>
        </w:tc>
        <w:tc>
          <w:tcPr>
            <w:tcW w:w="1530" w:type="dxa"/>
            <w:tcBorders>
              <w:top w:val="nil"/>
              <w:left w:val="nil"/>
              <w:bottom w:val="nil"/>
              <w:right w:val="nil"/>
            </w:tcBorders>
          </w:tcPr>
          <w:p w14:paraId="641FA6E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-0.000</w:t>
            </w:r>
          </w:p>
        </w:tc>
      </w:tr>
      <w:tr w:rsidR="00DB6C99" w:rsidRPr="00DB6C99" w14:paraId="2782C603" w14:textId="77777777" w:rsidTr="007C344D">
        <w:trPr>
          <w:jc w:val="center"/>
        </w:trPr>
        <w:tc>
          <w:tcPr>
            <w:tcW w:w="2160" w:type="dxa"/>
            <w:tcBorders>
              <w:top w:val="nil"/>
              <w:left w:val="nil"/>
              <w:bottom w:val="nil"/>
              <w:right w:val="nil"/>
            </w:tcBorders>
            <w:vAlign w:val="center"/>
          </w:tcPr>
          <w:p w14:paraId="72952AFE"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980" w:type="dxa"/>
            <w:tcBorders>
              <w:top w:val="nil"/>
              <w:left w:val="nil"/>
              <w:bottom w:val="nil"/>
              <w:right w:val="nil"/>
            </w:tcBorders>
          </w:tcPr>
          <w:p w14:paraId="5F9F4F2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(0.04)</w:t>
            </w:r>
          </w:p>
        </w:tc>
        <w:tc>
          <w:tcPr>
            <w:tcW w:w="1890" w:type="dxa"/>
            <w:tcBorders>
              <w:top w:val="nil"/>
              <w:left w:val="nil"/>
              <w:bottom w:val="nil"/>
              <w:right w:val="nil"/>
            </w:tcBorders>
          </w:tcPr>
          <w:p w14:paraId="7DAD69C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(0.07)</w:t>
            </w:r>
          </w:p>
        </w:tc>
        <w:tc>
          <w:tcPr>
            <w:tcW w:w="1800" w:type="dxa"/>
            <w:tcBorders>
              <w:top w:val="nil"/>
              <w:left w:val="nil"/>
              <w:bottom w:val="nil"/>
              <w:right w:val="nil"/>
            </w:tcBorders>
          </w:tcPr>
          <w:p w14:paraId="00BF0D5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(0.14)</w:t>
            </w:r>
          </w:p>
        </w:tc>
        <w:tc>
          <w:tcPr>
            <w:tcW w:w="1530" w:type="dxa"/>
            <w:tcBorders>
              <w:top w:val="nil"/>
              <w:left w:val="nil"/>
              <w:bottom w:val="nil"/>
              <w:right w:val="nil"/>
            </w:tcBorders>
          </w:tcPr>
          <w:p w14:paraId="3C6FC91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(-0.29)</w:t>
            </w:r>
          </w:p>
        </w:tc>
      </w:tr>
      <w:tr w:rsidR="00DB6C99" w:rsidRPr="00DB6C99" w14:paraId="40FBC39D" w14:textId="77777777" w:rsidTr="007C344D">
        <w:trPr>
          <w:jc w:val="center"/>
        </w:trPr>
        <w:tc>
          <w:tcPr>
            <w:tcW w:w="2160" w:type="dxa"/>
            <w:tcBorders>
              <w:top w:val="nil"/>
              <w:left w:val="nil"/>
              <w:bottom w:val="nil"/>
              <w:right w:val="nil"/>
            </w:tcBorders>
            <w:vAlign w:val="center"/>
          </w:tcPr>
          <w:p w14:paraId="5EF31EAE"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lang w:val="en-GB"/>
              </w:rPr>
              <w:t>SLACK</w:t>
            </w:r>
          </w:p>
        </w:tc>
        <w:tc>
          <w:tcPr>
            <w:tcW w:w="1980" w:type="dxa"/>
            <w:tcBorders>
              <w:top w:val="nil"/>
              <w:left w:val="nil"/>
              <w:bottom w:val="nil"/>
              <w:right w:val="nil"/>
            </w:tcBorders>
          </w:tcPr>
          <w:p w14:paraId="2FECDEE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0.021**</w:t>
            </w:r>
          </w:p>
        </w:tc>
        <w:tc>
          <w:tcPr>
            <w:tcW w:w="1890" w:type="dxa"/>
            <w:tcBorders>
              <w:top w:val="nil"/>
              <w:left w:val="nil"/>
              <w:bottom w:val="nil"/>
              <w:right w:val="nil"/>
            </w:tcBorders>
          </w:tcPr>
          <w:p w14:paraId="2D2F96F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0.025**</w:t>
            </w:r>
          </w:p>
        </w:tc>
        <w:tc>
          <w:tcPr>
            <w:tcW w:w="1800" w:type="dxa"/>
            <w:tcBorders>
              <w:top w:val="nil"/>
              <w:left w:val="nil"/>
              <w:bottom w:val="nil"/>
              <w:right w:val="nil"/>
            </w:tcBorders>
          </w:tcPr>
          <w:p w14:paraId="15BF35CF"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-0.001</w:t>
            </w:r>
          </w:p>
        </w:tc>
        <w:tc>
          <w:tcPr>
            <w:tcW w:w="1530" w:type="dxa"/>
            <w:tcBorders>
              <w:top w:val="nil"/>
              <w:left w:val="nil"/>
              <w:bottom w:val="nil"/>
              <w:right w:val="nil"/>
            </w:tcBorders>
          </w:tcPr>
          <w:p w14:paraId="638002E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0.005</w:t>
            </w:r>
          </w:p>
        </w:tc>
      </w:tr>
      <w:tr w:rsidR="00DB6C99" w:rsidRPr="00DB6C99" w14:paraId="1D842124" w14:textId="77777777" w:rsidTr="007C344D">
        <w:trPr>
          <w:jc w:val="center"/>
        </w:trPr>
        <w:tc>
          <w:tcPr>
            <w:tcW w:w="2160" w:type="dxa"/>
            <w:tcBorders>
              <w:top w:val="nil"/>
              <w:left w:val="nil"/>
              <w:bottom w:val="nil"/>
              <w:right w:val="nil"/>
            </w:tcBorders>
            <w:vAlign w:val="center"/>
          </w:tcPr>
          <w:p w14:paraId="158C2F43"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980" w:type="dxa"/>
            <w:tcBorders>
              <w:top w:val="nil"/>
              <w:left w:val="nil"/>
              <w:bottom w:val="nil"/>
              <w:right w:val="nil"/>
            </w:tcBorders>
          </w:tcPr>
          <w:p w14:paraId="3DFDCCE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(2.02)</w:t>
            </w:r>
          </w:p>
        </w:tc>
        <w:tc>
          <w:tcPr>
            <w:tcW w:w="1890" w:type="dxa"/>
            <w:tcBorders>
              <w:top w:val="nil"/>
              <w:left w:val="nil"/>
              <w:bottom w:val="nil"/>
              <w:right w:val="nil"/>
            </w:tcBorders>
          </w:tcPr>
          <w:p w14:paraId="4CAB3A5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(2.08)</w:t>
            </w:r>
          </w:p>
        </w:tc>
        <w:tc>
          <w:tcPr>
            <w:tcW w:w="1800" w:type="dxa"/>
            <w:tcBorders>
              <w:top w:val="nil"/>
              <w:left w:val="nil"/>
              <w:bottom w:val="nil"/>
              <w:right w:val="nil"/>
            </w:tcBorders>
          </w:tcPr>
          <w:p w14:paraId="5FE94BA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(-0.11)</w:t>
            </w:r>
          </w:p>
        </w:tc>
        <w:tc>
          <w:tcPr>
            <w:tcW w:w="1530" w:type="dxa"/>
            <w:tcBorders>
              <w:top w:val="nil"/>
              <w:left w:val="nil"/>
              <w:bottom w:val="nil"/>
              <w:right w:val="nil"/>
            </w:tcBorders>
          </w:tcPr>
          <w:p w14:paraId="14084D2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(0.61)</w:t>
            </w:r>
          </w:p>
        </w:tc>
      </w:tr>
      <w:tr w:rsidR="00DB6C99" w:rsidRPr="00DB6C99" w14:paraId="1530F956" w14:textId="77777777" w:rsidTr="007C344D">
        <w:trPr>
          <w:jc w:val="center"/>
        </w:trPr>
        <w:tc>
          <w:tcPr>
            <w:tcW w:w="2160" w:type="dxa"/>
            <w:tcBorders>
              <w:top w:val="nil"/>
              <w:left w:val="nil"/>
              <w:bottom w:val="nil"/>
              <w:right w:val="nil"/>
            </w:tcBorders>
            <w:vAlign w:val="center"/>
          </w:tcPr>
          <w:p w14:paraId="70F82B5B" w14:textId="77777777" w:rsidR="007C344D" w:rsidRPr="00DB6C99" w:rsidRDefault="007C344D" w:rsidP="007C344D">
            <w:pPr>
              <w:widowControl w:val="0"/>
              <w:autoSpaceDE w:val="0"/>
              <w:autoSpaceDN w:val="0"/>
              <w:adjustRightInd w:val="0"/>
              <w:spacing w:after="0" w:line="240" w:lineRule="auto"/>
              <w:rPr>
                <w:rFonts w:ascii="Garamond" w:hAnsi="Garamond"/>
                <w:i/>
                <w:iCs/>
                <w:sz w:val="20"/>
                <w:szCs w:val="20"/>
              </w:rPr>
            </w:pPr>
            <w:r w:rsidRPr="00DB6C99">
              <w:rPr>
                <w:rFonts w:ascii="Garamond" w:hAnsi="Garamond"/>
                <w:i/>
                <w:iCs/>
                <w:sz w:val="20"/>
                <w:szCs w:val="20"/>
              </w:rPr>
              <w:t>COD</w:t>
            </w:r>
          </w:p>
        </w:tc>
        <w:tc>
          <w:tcPr>
            <w:tcW w:w="1980" w:type="dxa"/>
            <w:tcBorders>
              <w:top w:val="nil"/>
              <w:left w:val="nil"/>
              <w:bottom w:val="nil"/>
              <w:right w:val="nil"/>
            </w:tcBorders>
          </w:tcPr>
          <w:p w14:paraId="7BA4349F"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-0.040</w:t>
            </w:r>
          </w:p>
        </w:tc>
        <w:tc>
          <w:tcPr>
            <w:tcW w:w="1890" w:type="dxa"/>
            <w:tcBorders>
              <w:top w:val="nil"/>
              <w:left w:val="nil"/>
              <w:bottom w:val="nil"/>
              <w:right w:val="nil"/>
            </w:tcBorders>
          </w:tcPr>
          <w:p w14:paraId="6583AD9F"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0.066</w:t>
            </w:r>
          </w:p>
        </w:tc>
        <w:tc>
          <w:tcPr>
            <w:tcW w:w="1800" w:type="dxa"/>
            <w:tcBorders>
              <w:top w:val="nil"/>
              <w:left w:val="nil"/>
              <w:bottom w:val="nil"/>
              <w:right w:val="nil"/>
            </w:tcBorders>
          </w:tcPr>
          <w:p w14:paraId="07A8A25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0.097</w:t>
            </w:r>
          </w:p>
        </w:tc>
        <w:tc>
          <w:tcPr>
            <w:tcW w:w="1530" w:type="dxa"/>
            <w:tcBorders>
              <w:top w:val="nil"/>
              <w:left w:val="nil"/>
              <w:bottom w:val="nil"/>
              <w:right w:val="nil"/>
            </w:tcBorders>
          </w:tcPr>
          <w:p w14:paraId="6B6823C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0.133</w:t>
            </w:r>
          </w:p>
        </w:tc>
      </w:tr>
      <w:tr w:rsidR="00DB6C99" w:rsidRPr="00DB6C99" w14:paraId="60CDBF61" w14:textId="77777777" w:rsidTr="007C344D">
        <w:trPr>
          <w:jc w:val="center"/>
        </w:trPr>
        <w:tc>
          <w:tcPr>
            <w:tcW w:w="2160" w:type="dxa"/>
            <w:tcBorders>
              <w:top w:val="nil"/>
              <w:left w:val="nil"/>
              <w:bottom w:val="nil"/>
              <w:right w:val="nil"/>
            </w:tcBorders>
            <w:vAlign w:val="center"/>
          </w:tcPr>
          <w:p w14:paraId="12DA17B6"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980" w:type="dxa"/>
            <w:tcBorders>
              <w:top w:val="nil"/>
              <w:left w:val="nil"/>
              <w:bottom w:val="nil"/>
              <w:right w:val="nil"/>
            </w:tcBorders>
          </w:tcPr>
          <w:p w14:paraId="53CC4ED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(-0.21)</w:t>
            </w:r>
          </w:p>
        </w:tc>
        <w:tc>
          <w:tcPr>
            <w:tcW w:w="1890" w:type="dxa"/>
            <w:tcBorders>
              <w:top w:val="nil"/>
              <w:left w:val="nil"/>
              <w:bottom w:val="nil"/>
              <w:right w:val="nil"/>
            </w:tcBorders>
          </w:tcPr>
          <w:p w14:paraId="5FF8C6D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(0.32)</w:t>
            </w:r>
          </w:p>
        </w:tc>
        <w:tc>
          <w:tcPr>
            <w:tcW w:w="1800" w:type="dxa"/>
            <w:tcBorders>
              <w:top w:val="nil"/>
              <w:left w:val="nil"/>
              <w:bottom w:val="nil"/>
              <w:right w:val="nil"/>
            </w:tcBorders>
          </w:tcPr>
          <w:p w14:paraId="65F156A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(0.59)</w:t>
            </w:r>
          </w:p>
        </w:tc>
        <w:tc>
          <w:tcPr>
            <w:tcW w:w="1530" w:type="dxa"/>
            <w:tcBorders>
              <w:top w:val="nil"/>
              <w:left w:val="nil"/>
              <w:bottom w:val="nil"/>
              <w:right w:val="nil"/>
            </w:tcBorders>
          </w:tcPr>
          <w:p w14:paraId="769582F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(0.74)</w:t>
            </w:r>
          </w:p>
        </w:tc>
      </w:tr>
      <w:tr w:rsidR="00DB6C99" w:rsidRPr="00DB6C99" w14:paraId="469F6F69" w14:textId="77777777" w:rsidTr="007C344D">
        <w:trPr>
          <w:jc w:val="center"/>
        </w:trPr>
        <w:tc>
          <w:tcPr>
            <w:tcW w:w="2160" w:type="dxa"/>
            <w:tcBorders>
              <w:top w:val="nil"/>
              <w:left w:val="nil"/>
              <w:bottom w:val="nil"/>
              <w:right w:val="nil"/>
            </w:tcBorders>
            <w:vAlign w:val="center"/>
          </w:tcPr>
          <w:p w14:paraId="5033C614"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lang w:val="en-GB"/>
              </w:rPr>
              <w:t>INST</w:t>
            </w:r>
          </w:p>
        </w:tc>
        <w:tc>
          <w:tcPr>
            <w:tcW w:w="1980" w:type="dxa"/>
            <w:tcBorders>
              <w:top w:val="nil"/>
              <w:left w:val="nil"/>
              <w:bottom w:val="nil"/>
              <w:right w:val="nil"/>
            </w:tcBorders>
          </w:tcPr>
          <w:p w14:paraId="6D42BEEF"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-0.032*</w:t>
            </w:r>
          </w:p>
        </w:tc>
        <w:tc>
          <w:tcPr>
            <w:tcW w:w="1890" w:type="dxa"/>
            <w:tcBorders>
              <w:top w:val="nil"/>
              <w:left w:val="nil"/>
              <w:bottom w:val="nil"/>
              <w:right w:val="nil"/>
            </w:tcBorders>
          </w:tcPr>
          <w:p w14:paraId="34A3D69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-0.016</w:t>
            </w:r>
          </w:p>
        </w:tc>
        <w:tc>
          <w:tcPr>
            <w:tcW w:w="1800" w:type="dxa"/>
            <w:tcBorders>
              <w:top w:val="nil"/>
              <w:left w:val="nil"/>
              <w:bottom w:val="nil"/>
              <w:right w:val="nil"/>
            </w:tcBorders>
          </w:tcPr>
          <w:p w14:paraId="0C6BBA1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-0.087***</w:t>
            </w:r>
          </w:p>
        </w:tc>
        <w:tc>
          <w:tcPr>
            <w:tcW w:w="1530" w:type="dxa"/>
            <w:tcBorders>
              <w:top w:val="nil"/>
              <w:left w:val="nil"/>
              <w:bottom w:val="nil"/>
              <w:right w:val="nil"/>
            </w:tcBorders>
          </w:tcPr>
          <w:p w14:paraId="1BCDF0E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-0.077***</w:t>
            </w:r>
          </w:p>
        </w:tc>
      </w:tr>
      <w:tr w:rsidR="00DB6C99" w:rsidRPr="00DB6C99" w14:paraId="7FD9E63D" w14:textId="77777777" w:rsidTr="007C344D">
        <w:trPr>
          <w:jc w:val="center"/>
        </w:trPr>
        <w:tc>
          <w:tcPr>
            <w:tcW w:w="2160" w:type="dxa"/>
            <w:tcBorders>
              <w:top w:val="nil"/>
              <w:left w:val="nil"/>
              <w:bottom w:val="nil"/>
              <w:right w:val="nil"/>
            </w:tcBorders>
            <w:vAlign w:val="center"/>
          </w:tcPr>
          <w:p w14:paraId="6D81F066"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980" w:type="dxa"/>
            <w:tcBorders>
              <w:top w:val="nil"/>
              <w:left w:val="nil"/>
              <w:bottom w:val="nil"/>
              <w:right w:val="nil"/>
            </w:tcBorders>
          </w:tcPr>
          <w:p w14:paraId="2CF0706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(-1.87)</w:t>
            </w:r>
          </w:p>
        </w:tc>
        <w:tc>
          <w:tcPr>
            <w:tcW w:w="1890" w:type="dxa"/>
            <w:tcBorders>
              <w:top w:val="nil"/>
              <w:left w:val="nil"/>
              <w:bottom w:val="nil"/>
              <w:right w:val="nil"/>
            </w:tcBorders>
          </w:tcPr>
          <w:p w14:paraId="1F1579F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(-0.88)</w:t>
            </w:r>
          </w:p>
        </w:tc>
        <w:tc>
          <w:tcPr>
            <w:tcW w:w="1800" w:type="dxa"/>
            <w:tcBorders>
              <w:top w:val="nil"/>
              <w:left w:val="nil"/>
              <w:bottom w:val="nil"/>
              <w:right w:val="nil"/>
            </w:tcBorders>
          </w:tcPr>
          <w:p w14:paraId="15F58C7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(-5.04)</w:t>
            </w:r>
          </w:p>
        </w:tc>
        <w:tc>
          <w:tcPr>
            <w:tcW w:w="1530" w:type="dxa"/>
            <w:tcBorders>
              <w:top w:val="nil"/>
              <w:left w:val="nil"/>
              <w:bottom w:val="nil"/>
              <w:right w:val="nil"/>
            </w:tcBorders>
          </w:tcPr>
          <w:p w14:paraId="081A9BD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(-4.13)</w:t>
            </w:r>
          </w:p>
        </w:tc>
      </w:tr>
      <w:tr w:rsidR="00DB6C99" w:rsidRPr="00DB6C99" w14:paraId="54604A07" w14:textId="77777777" w:rsidTr="007C344D">
        <w:trPr>
          <w:jc w:val="center"/>
        </w:trPr>
        <w:tc>
          <w:tcPr>
            <w:tcW w:w="2160" w:type="dxa"/>
            <w:tcBorders>
              <w:top w:val="nil"/>
              <w:left w:val="nil"/>
              <w:bottom w:val="nil"/>
              <w:right w:val="nil"/>
            </w:tcBorders>
            <w:vAlign w:val="center"/>
          </w:tcPr>
          <w:p w14:paraId="6562AF83"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lang w:val="en-GB"/>
              </w:rPr>
              <w:t>STATE</w:t>
            </w:r>
          </w:p>
        </w:tc>
        <w:tc>
          <w:tcPr>
            <w:tcW w:w="1980" w:type="dxa"/>
            <w:tcBorders>
              <w:top w:val="nil"/>
              <w:left w:val="nil"/>
              <w:bottom w:val="nil"/>
              <w:right w:val="nil"/>
            </w:tcBorders>
          </w:tcPr>
          <w:p w14:paraId="15F4307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0.109</w:t>
            </w:r>
          </w:p>
        </w:tc>
        <w:tc>
          <w:tcPr>
            <w:tcW w:w="1890" w:type="dxa"/>
            <w:tcBorders>
              <w:top w:val="nil"/>
              <w:left w:val="nil"/>
              <w:bottom w:val="nil"/>
              <w:right w:val="nil"/>
            </w:tcBorders>
          </w:tcPr>
          <w:p w14:paraId="53F368E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0.129</w:t>
            </w:r>
          </w:p>
        </w:tc>
        <w:tc>
          <w:tcPr>
            <w:tcW w:w="1800" w:type="dxa"/>
            <w:tcBorders>
              <w:top w:val="nil"/>
              <w:left w:val="nil"/>
              <w:bottom w:val="nil"/>
              <w:right w:val="nil"/>
            </w:tcBorders>
          </w:tcPr>
          <w:p w14:paraId="3C0CE19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0.180*</w:t>
            </w:r>
          </w:p>
        </w:tc>
        <w:tc>
          <w:tcPr>
            <w:tcW w:w="1530" w:type="dxa"/>
            <w:tcBorders>
              <w:top w:val="nil"/>
              <w:left w:val="nil"/>
              <w:bottom w:val="nil"/>
              <w:right w:val="nil"/>
            </w:tcBorders>
          </w:tcPr>
          <w:p w14:paraId="5537AFC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0.161</w:t>
            </w:r>
          </w:p>
        </w:tc>
      </w:tr>
      <w:tr w:rsidR="00DB6C99" w:rsidRPr="00DB6C99" w14:paraId="3FCF78BE" w14:textId="77777777" w:rsidTr="007C344D">
        <w:trPr>
          <w:jc w:val="center"/>
        </w:trPr>
        <w:tc>
          <w:tcPr>
            <w:tcW w:w="2160" w:type="dxa"/>
            <w:tcBorders>
              <w:top w:val="nil"/>
              <w:left w:val="nil"/>
              <w:bottom w:val="nil"/>
              <w:right w:val="nil"/>
            </w:tcBorders>
            <w:vAlign w:val="center"/>
          </w:tcPr>
          <w:p w14:paraId="0D04C05E"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980" w:type="dxa"/>
            <w:tcBorders>
              <w:top w:val="nil"/>
              <w:left w:val="nil"/>
              <w:bottom w:val="nil"/>
              <w:right w:val="nil"/>
            </w:tcBorders>
          </w:tcPr>
          <w:p w14:paraId="0A54971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(1.01)</w:t>
            </w:r>
          </w:p>
        </w:tc>
        <w:tc>
          <w:tcPr>
            <w:tcW w:w="1890" w:type="dxa"/>
            <w:tcBorders>
              <w:top w:val="nil"/>
              <w:left w:val="nil"/>
              <w:bottom w:val="nil"/>
              <w:right w:val="nil"/>
            </w:tcBorders>
          </w:tcPr>
          <w:p w14:paraId="6A35F98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(1.09)</w:t>
            </w:r>
          </w:p>
        </w:tc>
        <w:tc>
          <w:tcPr>
            <w:tcW w:w="1800" w:type="dxa"/>
            <w:tcBorders>
              <w:top w:val="nil"/>
              <w:left w:val="nil"/>
              <w:bottom w:val="nil"/>
              <w:right w:val="nil"/>
            </w:tcBorders>
          </w:tcPr>
          <w:p w14:paraId="33B22FD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(1.83)</w:t>
            </w:r>
          </w:p>
        </w:tc>
        <w:tc>
          <w:tcPr>
            <w:tcW w:w="1530" w:type="dxa"/>
            <w:tcBorders>
              <w:top w:val="nil"/>
              <w:left w:val="nil"/>
              <w:bottom w:val="nil"/>
              <w:right w:val="nil"/>
            </w:tcBorders>
          </w:tcPr>
          <w:p w14:paraId="55E1503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(1.54)</w:t>
            </w:r>
          </w:p>
        </w:tc>
      </w:tr>
      <w:tr w:rsidR="00DB6C99" w:rsidRPr="00DB6C99" w14:paraId="7F0D40F3" w14:textId="77777777" w:rsidTr="007C344D">
        <w:trPr>
          <w:jc w:val="center"/>
        </w:trPr>
        <w:tc>
          <w:tcPr>
            <w:tcW w:w="2160" w:type="dxa"/>
            <w:tcBorders>
              <w:top w:val="nil"/>
              <w:left w:val="nil"/>
              <w:bottom w:val="nil"/>
              <w:right w:val="nil"/>
            </w:tcBorders>
            <w:vAlign w:val="center"/>
          </w:tcPr>
          <w:p w14:paraId="1557E94B"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lang w:val="en-GB"/>
              </w:rPr>
              <w:t>SIZE</w:t>
            </w:r>
          </w:p>
        </w:tc>
        <w:tc>
          <w:tcPr>
            <w:tcW w:w="1980" w:type="dxa"/>
            <w:tcBorders>
              <w:top w:val="nil"/>
              <w:left w:val="nil"/>
              <w:bottom w:val="nil"/>
              <w:right w:val="nil"/>
            </w:tcBorders>
          </w:tcPr>
          <w:p w14:paraId="689D94A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0.185***</w:t>
            </w:r>
          </w:p>
        </w:tc>
        <w:tc>
          <w:tcPr>
            <w:tcW w:w="1890" w:type="dxa"/>
            <w:tcBorders>
              <w:top w:val="nil"/>
              <w:left w:val="nil"/>
              <w:bottom w:val="nil"/>
              <w:right w:val="nil"/>
            </w:tcBorders>
          </w:tcPr>
          <w:p w14:paraId="005D6DB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0.205***</w:t>
            </w:r>
          </w:p>
        </w:tc>
        <w:tc>
          <w:tcPr>
            <w:tcW w:w="1800" w:type="dxa"/>
            <w:tcBorders>
              <w:top w:val="nil"/>
              <w:left w:val="nil"/>
              <w:bottom w:val="nil"/>
              <w:right w:val="nil"/>
            </w:tcBorders>
          </w:tcPr>
          <w:p w14:paraId="1B45E5A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0.261***</w:t>
            </w:r>
          </w:p>
        </w:tc>
        <w:tc>
          <w:tcPr>
            <w:tcW w:w="1530" w:type="dxa"/>
            <w:tcBorders>
              <w:top w:val="nil"/>
              <w:left w:val="nil"/>
              <w:bottom w:val="nil"/>
              <w:right w:val="nil"/>
            </w:tcBorders>
          </w:tcPr>
          <w:p w14:paraId="63884D6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0.280***</w:t>
            </w:r>
          </w:p>
        </w:tc>
      </w:tr>
      <w:tr w:rsidR="00DB6C99" w:rsidRPr="00DB6C99" w14:paraId="2A006E28" w14:textId="77777777" w:rsidTr="007C344D">
        <w:trPr>
          <w:jc w:val="center"/>
        </w:trPr>
        <w:tc>
          <w:tcPr>
            <w:tcW w:w="2160" w:type="dxa"/>
            <w:tcBorders>
              <w:top w:val="nil"/>
              <w:left w:val="nil"/>
              <w:bottom w:val="nil"/>
              <w:right w:val="nil"/>
            </w:tcBorders>
            <w:vAlign w:val="center"/>
          </w:tcPr>
          <w:p w14:paraId="3A81ABC1"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980" w:type="dxa"/>
            <w:tcBorders>
              <w:top w:val="nil"/>
              <w:left w:val="nil"/>
              <w:bottom w:val="nil"/>
              <w:right w:val="nil"/>
            </w:tcBorders>
          </w:tcPr>
          <w:p w14:paraId="1BA6E02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(8.18)</w:t>
            </w:r>
          </w:p>
        </w:tc>
        <w:tc>
          <w:tcPr>
            <w:tcW w:w="1890" w:type="dxa"/>
            <w:tcBorders>
              <w:top w:val="nil"/>
              <w:left w:val="nil"/>
              <w:bottom w:val="nil"/>
              <w:right w:val="nil"/>
            </w:tcBorders>
          </w:tcPr>
          <w:p w14:paraId="6BF23E9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(8.06)</w:t>
            </w:r>
          </w:p>
        </w:tc>
        <w:tc>
          <w:tcPr>
            <w:tcW w:w="1800" w:type="dxa"/>
            <w:tcBorders>
              <w:top w:val="nil"/>
              <w:left w:val="nil"/>
              <w:bottom w:val="nil"/>
              <w:right w:val="nil"/>
            </w:tcBorders>
          </w:tcPr>
          <w:p w14:paraId="4757FB7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(31.61)</w:t>
            </w:r>
          </w:p>
        </w:tc>
        <w:tc>
          <w:tcPr>
            <w:tcW w:w="1530" w:type="dxa"/>
            <w:tcBorders>
              <w:top w:val="nil"/>
              <w:left w:val="nil"/>
              <w:bottom w:val="nil"/>
              <w:right w:val="nil"/>
            </w:tcBorders>
          </w:tcPr>
          <w:p w14:paraId="1556477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(30.39)</w:t>
            </w:r>
          </w:p>
        </w:tc>
      </w:tr>
      <w:tr w:rsidR="00DB6C99" w:rsidRPr="00DB6C99" w14:paraId="01229BAC" w14:textId="77777777" w:rsidTr="007C344D">
        <w:trPr>
          <w:jc w:val="center"/>
        </w:trPr>
        <w:tc>
          <w:tcPr>
            <w:tcW w:w="2160" w:type="dxa"/>
            <w:tcBorders>
              <w:top w:val="nil"/>
              <w:left w:val="nil"/>
              <w:bottom w:val="nil"/>
              <w:right w:val="nil"/>
            </w:tcBorders>
            <w:vAlign w:val="center"/>
          </w:tcPr>
          <w:p w14:paraId="6D8ECAC5"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rPr>
              <w:t>I</w:t>
            </w:r>
            <w:r w:rsidRPr="00DB6C99">
              <w:rPr>
                <w:rFonts w:ascii="Garamond" w:hAnsi="Garamond"/>
                <w:i/>
                <w:iCs/>
                <w:spacing w:val="-2"/>
                <w:sz w:val="20"/>
                <w:szCs w:val="20"/>
              </w:rPr>
              <w:t>n</w:t>
            </w:r>
            <w:r w:rsidRPr="00DB6C99">
              <w:rPr>
                <w:rFonts w:ascii="Garamond" w:hAnsi="Garamond"/>
                <w:i/>
                <w:iCs/>
                <w:spacing w:val="-1"/>
                <w:sz w:val="20"/>
                <w:szCs w:val="20"/>
              </w:rPr>
              <w:t>t</w:t>
            </w:r>
            <w:r w:rsidRPr="00DB6C99">
              <w:rPr>
                <w:rFonts w:ascii="Garamond" w:hAnsi="Garamond"/>
                <w:i/>
                <w:iCs/>
                <w:sz w:val="20"/>
                <w:szCs w:val="20"/>
              </w:rPr>
              <w:t>erce</w:t>
            </w:r>
            <w:r w:rsidRPr="00DB6C99">
              <w:rPr>
                <w:rFonts w:ascii="Garamond" w:hAnsi="Garamond"/>
                <w:i/>
                <w:iCs/>
                <w:spacing w:val="1"/>
                <w:sz w:val="20"/>
                <w:szCs w:val="20"/>
              </w:rPr>
              <w:t>p</w:t>
            </w:r>
            <w:r w:rsidRPr="00DB6C99">
              <w:rPr>
                <w:rFonts w:ascii="Garamond" w:hAnsi="Garamond"/>
                <w:i/>
                <w:iCs/>
                <w:sz w:val="20"/>
                <w:szCs w:val="20"/>
              </w:rPr>
              <w:t>t</w:t>
            </w:r>
          </w:p>
        </w:tc>
        <w:tc>
          <w:tcPr>
            <w:tcW w:w="1980" w:type="dxa"/>
            <w:tcBorders>
              <w:top w:val="nil"/>
              <w:left w:val="nil"/>
              <w:bottom w:val="nil"/>
              <w:right w:val="nil"/>
            </w:tcBorders>
          </w:tcPr>
          <w:p w14:paraId="1A05EA6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-4.069***</w:t>
            </w:r>
          </w:p>
        </w:tc>
        <w:tc>
          <w:tcPr>
            <w:tcW w:w="1890" w:type="dxa"/>
            <w:tcBorders>
              <w:top w:val="nil"/>
              <w:left w:val="nil"/>
              <w:bottom w:val="nil"/>
              <w:right w:val="nil"/>
            </w:tcBorders>
          </w:tcPr>
          <w:p w14:paraId="6FFDDDD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-4.901***</w:t>
            </w:r>
          </w:p>
        </w:tc>
        <w:tc>
          <w:tcPr>
            <w:tcW w:w="1800" w:type="dxa"/>
            <w:tcBorders>
              <w:top w:val="nil"/>
              <w:left w:val="nil"/>
              <w:bottom w:val="nil"/>
              <w:right w:val="nil"/>
            </w:tcBorders>
          </w:tcPr>
          <w:p w14:paraId="7935317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-5.692***</w:t>
            </w:r>
          </w:p>
        </w:tc>
        <w:tc>
          <w:tcPr>
            <w:tcW w:w="1530" w:type="dxa"/>
            <w:tcBorders>
              <w:top w:val="nil"/>
              <w:left w:val="nil"/>
              <w:bottom w:val="nil"/>
              <w:right w:val="nil"/>
            </w:tcBorders>
          </w:tcPr>
          <w:p w14:paraId="08B7757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-6.642***</w:t>
            </w:r>
          </w:p>
        </w:tc>
      </w:tr>
      <w:tr w:rsidR="00DB6C99" w:rsidRPr="00DB6C99" w14:paraId="4C1719FC" w14:textId="77777777" w:rsidTr="007C344D">
        <w:trPr>
          <w:jc w:val="center"/>
        </w:trPr>
        <w:tc>
          <w:tcPr>
            <w:tcW w:w="2160" w:type="dxa"/>
            <w:tcBorders>
              <w:top w:val="nil"/>
              <w:left w:val="nil"/>
              <w:bottom w:val="nil"/>
              <w:right w:val="nil"/>
            </w:tcBorders>
          </w:tcPr>
          <w:p w14:paraId="27BABA80"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980" w:type="dxa"/>
            <w:tcBorders>
              <w:top w:val="nil"/>
              <w:left w:val="nil"/>
              <w:bottom w:val="nil"/>
              <w:right w:val="nil"/>
            </w:tcBorders>
          </w:tcPr>
          <w:p w14:paraId="4191900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(-11.37)</w:t>
            </w:r>
          </w:p>
        </w:tc>
        <w:tc>
          <w:tcPr>
            <w:tcW w:w="1890" w:type="dxa"/>
            <w:tcBorders>
              <w:top w:val="nil"/>
              <w:left w:val="nil"/>
              <w:bottom w:val="nil"/>
              <w:right w:val="nil"/>
            </w:tcBorders>
          </w:tcPr>
          <w:p w14:paraId="084E2AA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(-12.03)</w:t>
            </w:r>
          </w:p>
        </w:tc>
        <w:tc>
          <w:tcPr>
            <w:tcW w:w="1800" w:type="dxa"/>
            <w:tcBorders>
              <w:top w:val="nil"/>
              <w:left w:val="nil"/>
              <w:bottom w:val="nil"/>
              <w:right w:val="nil"/>
            </w:tcBorders>
          </w:tcPr>
          <w:p w14:paraId="39C61D6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(-28.46)</w:t>
            </w:r>
          </w:p>
        </w:tc>
        <w:tc>
          <w:tcPr>
            <w:tcW w:w="1530" w:type="dxa"/>
            <w:tcBorders>
              <w:top w:val="nil"/>
              <w:left w:val="nil"/>
              <w:bottom w:val="nil"/>
              <w:right w:val="nil"/>
            </w:tcBorders>
          </w:tcPr>
          <w:p w14:paraId="0062099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(-29.58)</w:t>
            </w:r>
          </w:p>
        </w:tc>
      </w:tr>
      <w:tr w:rsidR="00DB6C99" w:rsidRPr="00DB6C99" w14:paraId="44DDAB5C" w14:textId="77777777" w:rsidTr="007C344D">
        <w:trPr>
          <w:jc w:val="center"/>
        </w:trPr>
        <w:tc>
          <w:tcPr>
            <w:tcW w:w="2160" w:type="dxa"/>
            <w:tcBorders>
              <w:top w:val="nil"/>
              <w:left w:val="nil"/>
              <w:bottom w:val="nil"/>
              <w:right w:val="nil"/>
            </w:tcBorders>
          </w:tcPr>
          <w:p w14:paraId="2D4CA580" w14:textId="77777777" w:rsidR="007C344D" w:rsidRPr="00DB6C99" w:rsidRDefault="007C344D" w:rsidP="007C344D">
            <w:pPr>
              <w:widowControl w:val="0"/>
              <w:autoSpaceDE w:val="0"/>
              <w:autoSpaceDN w:val="0"/>
              <w:adjustRightInd w:val="0"/>
              <w:spacing w:after="0" w:line="240" w:lineRule="auto"/>
              <w:rPr>
                <w:rFonts w:ascii="Garamond" w:hAnsi="Garamond"/>
                <w:i/>
                <w:iCs/>
                <w:sz w:val="20"/>
                <w:szCs w:val="20"/>
              </w:rPr>
            </w:pPr>
          </w:p>
        </w:tc>
        <w:tc>
          <w:tcPr>
            <w:tcW w:w="1980" w:type="dxa"/>
            <w:tcBorders>
              <w:top w:val="nil"/>
              <w:left w:val="nil"/>
              <w:bottom w:val="nil"/>
              <w:right w:val="nil"/>
            </w:tcBorders>
          </w:tcPr>
          <w:p w14:paraId="7075F64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p>
        </w:tc>
        <w:tc>
          <w:tcPr>
            <w:tcW w:w="1890" w:type="dxa"/>
            <w:tcBorders>
              <w:top w:val="nil"/>
              <w:left w:val="nil"/>
              <w:bottom w:val="nil"/>
              <w:right w:val="nil"/>
            </w:tcBorders>
          </w:tcPr>
          <w:p w14:paraId="7875759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p>
        </w:tc>
        <w:tc>
          <w:tcPr>
            <w:tcW w:w="1800" w:type="dxa"/>
            <w:tcBorders>
              <w:top w:val="nil"/>
              <w:left w:val="nil"/>
              <w:bottom w:val="nil"/>
              <w:right w:val="nil"/>
            </w:tcBorders>
          </w:tcPr>
          <w:p w14:paraId="4D2C97B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p>
        </w:tc>
        <w:tc>
          <w:tcPr>
            <w:tcW w:w="1530" w:type="dxa"/>
            <w:tcBorders>
              <w:top w:val="nil"/>
              <w:left w:val="nil"/>
              <w:bottom w:val="nil"/>
              <w:right w:val="nil"/>
            </w:tcBorders>
          </w:tcPr>
          <w:p w14:paraId="42C619EF"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p>
        </w:tc>
      </w:tr>
      <w:tr w:rsidR="00DB6C99" w:rsidRPr="00DB6C99" w14:paraId="518F75FD" w14:textId="77777777" w:rsidTr="007C344D">
        <w:trPr>
          <w:jc w:val="center"/>
        </w:trPr>
        <w:tc>
          <w:tcPr>
            <w:tcW w:w="2160" w:type="dxa"/>
            <w:tcBorders>
              <w:top w:val="nil"/>
              <w:left w:val="nil"/>
              <w:bottom w:val="nil"/>
              <w:right w:val="nil"/>
            </w:tcBorders>
          </w:tcPr>
          <w:p w14:paraId="0703B17B" w14:textId="77777777" w:rsidR="007C344D" w:rsidRPr="00DB6C99" w:rsidRDefault="007C344D" w:rsidP="007C344D">
            <w:pPr>
              <w:widowControl w:val="0"/>
              <w:autoSpaceDE w:val="0"/>
              <w:autoSpaceDN w:val="0"/>
              <w:adjustRightInd w:val="0"/>
              <w:spacing w:after="0" w:line="240" w:lineRule="auto"/>
              <w:rPr>
                <w:rFonts w:ascii="Garamond" w:hAnsi="Garamond"/>
                <w:i/>
                <w:iCs/>
                <w:sz w:val="20"/>
                <w:szCs w:val="20"/>
              </w:rPr>
            </w:pPr>
            <w:r w:rsidRPr="00DB6C99">
              <w:rPr>
                <w:rFonts w:ascii="Garamond" w:hAnsi="Garamond"/>
                <w:i/>
                <w:iCs/>
                <w:sz w:val="20"/>
                <w:szCs w:val="20"/>
              </w:rPr>
              <w:t>N</w:t>
            </w:r>
          </w:p>
        </w:tc>
        <w:tc>
          <w:tcPr>
            <w:tcW w:w="1980" w:type="dxa"/>
            <w:tcBorders>
              <w:top w:val="nil"/>
              <w:left w:val="nil"/>
              <w:bottom w:val="nil"/>
              <w:right w:val="nil"/>
            </w:tcBorders>
          </w:tcPr>
          <w:p w14:paraId="33BC72F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9,276</w:t>
            </w:r>
          </w:p>
        </w:tc>
        <w:tc>
          <w:tcPr>
            <w:tcW w:w="1890" w:type="dxa"/>
            <w:tcBorders>
              <w:top w:val="nil"/>
              <w:left w:val="nil"/>
              <w:bottom w:val="nil"/>
              <w:right w:val="nil"/>
            </w:tcBorders>
          </w:tcPr>
          <w:p w14:paraId="5F93E2F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7,801</w:t>
            </w:r>
          </w:p>
        </w:tc>
        <w:tc>
          <w:tcPr>
            <w:tcW w:w="1800" w:type="dxa"/>
            <w:tcBorders>
              <w:top w:val="nil"/>
              <w:left w:val="nil"/>
              <w:bottom w:val="nil"/>
              <w:right w:val="nil"/>
            </w:tcBorders>
          </w:tcPr>
          <w:p w14:paraId="4777317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9,276</w:t>
            </w:r>
          </w:p>
        </w:tc>
        <w:tc>
          <w:tcPr>
            <w:tcW w:w="1530" w:type="dxa"/>
            <w:tcBorders>
              <w:top w:val="nil"/>
              <w:left w:val="nil"/>
              <w:bottom w:val="nil"/>
              <w:right w:val="nil"/>
            </w:tcBorders>
          </w:tcPr>
          <w:p w14:paraId="42B269B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7,801</w:t>
            </w:r>
          </w:p>
        </w:tc>
      </w:tr>
      <w:tr w:rsidR="00DB6C99" w:rsidRPr="00DB6C99" w14:paraId="1103890B" w14:textId="77777777" w:rsidTr="007C344D">
        <w:trPr>
          <w:jc w:val="center"/>
        </w:trPr>
        <w:tc>
          <w:tcPr>
            <w:tcW w:w="2160" w:type="dxa"/>
            <w:tcBorders>
              <w:top w:val="nil"/>
              <w:left w:val="nil"/>
              <w:bottom w:val="nil"/>
              <w:right w:val="nil"/>
            </w:tcBorders>
          </w:tcPr>
          <w:p w14:paraId="07AE4E32"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rPr>
              <w:t>Firm &amp; Year</w:t>
            </w:r>
          </w:p>
        </w:tc>
        <w:tc>
          <w:tcPr>
            <w:tcW w:w="1980" w:type="dxa"/>
            <w:tcBorders>
              <w:top w:val="nil"/>
              <w:left w:val="nil"/>
              <w:bottom w:val="nil"/>
              <w:right w:val="nil"/>
            </w:tcBorders>
          </w:tcPr>
          <w:p w14:paraId="44FA7B2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Yes</w:t>
            </w:r>
          </w:p>
        </w:tc>
        <w:tc>
          <w:tcPr>
            <w:tcW w:w="1890" w:type="dxa"/>
            <w:tcBorders>
              <w:top w:val="nil"/>
              <w:left w:val="nil"/>
              <w:bottom w:val="nil"/>
              <w:right w:val="nil"/>
            </w:tcBorders>
          </w:tcPr>
          <w:p w14:paraId="585265D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Yes</w:t>
            </w:r>
          </w:p>
        </w:tc>
        <w:tc>
          <w:tcPr>
            <w:tcW w:w="1800" w:type="dxa"/>
            <w:tcBorders>
              <w:top w:val="nil"/>
              <w:left w:val="nil"/>
              <w:bottom w:val="nil"/>
              <w:right w:val="nil"/>
            </w:tcBorders>
          </w:tcPr>
          <w:p w14:paraId="6C1A0CE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w:t>
            </w:r>
          </w:p>
        </w:tc>
        <w:tc>
          <w:tcPr>
            <w:tcW w:w="1530" w:type="dxa"/>
            <w:tcBorders>
              <w:top w:val="nil"/>
              <w:left w:val="nil"/>
              <w:bottom w:val="nil"/>
              <w:right w:val="nil"/>
            </w:tcBorders>
          </w:tcPr>
          <w:p w14:paraId="3E6DAFF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w:t>
            </w:r>
          </w:p>
        </w:tc>
      </w:tr>
      <w:tr w:rsidR="00DB6C99" w:rsidRPr="00DB6C99" w14:paraId="241E291B" w14:textId="77777777" w:rsidTr="007C344D">
        <w:trPr>
          <w:jc w:val="center"/>
        </w:trPr>
        <w:tc>
          <w:tcPr>
            <w:tcW w:w="2160" w:type="dxa"/>
            <w:tcBorders>
              <w:top w:val="nil"/>
              <w:left w:val="nil"/>
              <w:bottom w:val="nil"/>
              <w:right w:val="nil"/>
            </w:tcBorders>
          </w:tcPr>
          <w:p w14:paraId="4FAD3254"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rPr>
              <w:t>Industry &amp; Year</w:t>
            </w:r>
          </w:p>
        </w:tc>
        <w:tc>
          <w:tcPr>
            <w:tcW w:w="1980" w:type="dxa"/>
            <w:tcBorders>
              <w:top w:val="nil"/>
              <w:left w:val="nil"/>
              <w:bottom w:val="nil"/>
              <w:right w:val="nil"/>
            </w:tcBorders>
          </w:tcPr>
          <w:p w14:paraId="4270975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w:t>
            </w:r>
          </w:p>
        </w:tc>
        <w:tc>
          <w:tcPr>
            <w:tcW w:w="1890" w:type="dxa"/>
            <w:tcBorders>
              <w:top w:val="nil"/>
              <w:left w:val="nil"/>
              <w:bottom w:val="nil"/>
              <w:right w:val="nil"/>
            </w:tcBorders>
          </w:tcPr>
          <w:p w14:paraId="746B6BE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w:t>
            </w:r>
          </w:p>
        </w:tc>
        <w:tc>
          <w:tcPr>
            <w:tcW w:w="1800" w:type="dxa"/>
            <w:tcBorders>
              <w:top w:val="nil"/>
              <w:left w:val="nil"/>
              <w:bottom w:val="nil"/>
              <w:right w:val="nil"/>
            </w:tcBorders>
          </w:tcPr>
          <w:p w14:paraId="581761B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Yes</w:t>
            </w:r>
          </w:p>
        </w:tc>
        <w:tc>
          <w:tcPr>
            <w:tcW w:w="1530" w:type="dxa"/>
            <w:tcBorders>
              <w:top w:val="nil"/>
              <w:left w:val="nil"/>
              <w:bottom w:val="nil"/>
              <w:right w:val="nil"/>
            </w:tcBorders>
          </w:tcPr>
          <w:p w14:paraId="140BCF5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Yes</w:t>
            </w:r>
          </w:p>
        </w:tc>
      </w:tr>
      <w:tr w:rsidR="00DB6C99" w:rsidRPr="00DB6C99" w14:paraId="5D68BFD6" w14:textId="77777777" w:rsidTr="007C344D">
        <w:trPr>
          <w:jc w:val="center"/>
        </w:trPr>
        <w:tc>
          <w:tcPr>
            <w:tcW w:w="2160" w:type="dxa"/>
            <w:tcBorders>
              <w:top w:val="nil"/>
              <w:left w:val="nil"/>
              <w:bottom w:val="nil"/>
              <w:right w:val="nil"/>
            </w:tcBorders>
          </w:tcPr>
          <w:p w14:paraId="341BA4E3" w14:textId="77777777" w:rsidR="007C344D" w:rsidRPr="00DB6C99" w:rsidRDefault="007C344D" w:rsidP="007C344D">
            <w:pPr>
              <w:widowControl w:val="0"/>
              <w:autoSpaceDE w:val="0"/>
              <w:autoSpaceDN w:val="0"/>
              <w:adjustRightInd w:val="0"/>
              <w:spacing w:after="0" w:line="240" w:lineRule="auto"/>
              <w:rPr>
                <w:rFonts w:ascii="Garamond" w:hAnsi="Garamond"/>
                <w:i/>
                <w:iCs/>
                <w:sz w:val="20"/>
                <w:szCs w:val="20"/>
              </w:rPr>
            </w:pPr>
            <w:r w:rsidRPr="00DB6C99">
              <w:rPr>
                <w:rFonts w:ascii="Garamond" w:hAnsi="Garamond"/>
                <w:i/>
                <w:iCs/>
                <w:sz w:val="20"/>
                <w:szCs w:val="20"/>
              </w:rPr>
              <w:t>Adj. R</w:t>
            </w:r>
            <w:r w:rsidRPr="00DB6C99">
              <w:rPr>
                <w:rFonts w:ascii="Garamond" w:hAnsi="Garamond"/>
                <w:i/>
                <w:iCs/>
                <w:sz w:val="20"/>
                <w:szCs w:val="20"/>
                <w:vertAlign w:val="superscript"/>
              </w:rPr>
              <w:t>2</w:t>
            </w:r>
          </w:p>
        </w:tc>
        <w:tc>
          <w:tcPr>
            <w:tcW w:w="1980" w:type="dxa"/>
            <w:tcBorders>
              <w:top w:val="nil"/>
              <w:left w:val="nil"/>
              <w:bottom w:val="nil"/>
              <w:right w:val="nil"/>
            </w:tcBorders>
          </w:tcPr>
          <w:p w14:paraId="2391552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0.184</w:t>
            </w:r>
          </w:p>
        </w:tc>
        <w:tc>
          <w:tcPr>
            <w:tcW w:w="1890" w:type="dxa"/>
            <w:tcBorders>
              <w:top w:val="nil"/>
              <w:left w:val="nil"/>
              <w:bottom w:val="nil"/>
              <w:right w:val="nil"/>
            </w:tcBorders>
          </w:tcPr>
          <w:p w14:paraId="197CBE5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0.189</w:t>
            </w:r>
          </w:p>
        </w:tc>
        <w:tc>
          <w:tcPr>
            <w:tcW w:w="1800" w:type="dxa"/>
            <w:tcBorders>
              <w:top w:val="nil"/>
              <w:left w:val="nil"/>
              <w:bottom w:val="nil"/>
              <w:right w:val="nil"/>
            </w:tcBorders>
          </w:tcPr>
          <w:p w14:paraId="619DFAA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0.315</w:t>
            </w:r>
          </w:p>
        </w:tc>
        <w:tc>
          <w:tcPr>
            <w:tcW w:w="1530" w:type="dxa"/>
            <w:tcBorders>
              <w:top w:val="nil"/>
              <w:left w:val="nil"/>
              <w:bottom w:val="nil"/>
              <w:right w:val="nil"/>
            </w:tcBorders>
          </w:tcPr>
          <w:p w14:paraId="04A5884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0.326</w:t>
            </w:r>
          </w:p>
        </w:tc>
      </w:tr>
      <w:tr w:rsidR="00DB6C99" w:rsidRPr="00DB6C99" w14:paraId="1214F771" w14:textId="77777777" w:rsidTr="007C344D">
        <w:tblPrEx>
          <w:tblBorders>
            <w:bottom w:val="single" w:sz="6" w:space="0" w:color="auto"/>
          </w:tblBorders>
        </w:tblPrEx>
        <w:trPr>
          <w:jc w:val="center"/>
        </w:trPr>
        <w:tc>
          <w:tcPr>
            <w:tcW w:w="2160" w:type="dxa"/>
            <w:tcBorders>
              <w:top w:val="nil"/>
              <w:left w:val="nil"/>
              <w:bottom w:val="single" w:sz="6" w:space="0" w:color="auto"/>
              <w:right w:val="nil"/>
            </w:tcBorders>
          </w:tcPr>
          <w:p w14:paraId="1694649D" w14:textId="77777777" w:rsidR="007C344D" w:rsidRPr="00DB6C99" w:rsidRDefault="007C344D" w:rsidP="007C344D">
            <w:pPr>
              <w:widowControl w:val="0"/>
              <w:autoSpaceDE w:val="0"/>
              <w:autoSpaceDN w:val="0"/>
              <w:adjustRightInd w:val="0"/>
              <w:spacing w:after="0" w:line="240" w:lineRule="auto"/>
              <w:rPr>
                <w:rFonts w:ascii="Garamond" w:hAnsi="Garamond"/>
                <w:i/>
                <w:iCs/>
                <w:sz w:val="20"/>
                <w:szCs w:val="20"/>
              </w:rPr>
            </w:pPr>
            <w:r w:rsidRPr="00DB6C99">
              <w:rPr>
                <w:rFonts w:ascii="Garamond" w:hAnsi="Garamond"/>
                <w:i/>
                <w:iCs/>
                <w:sz w:val="20"/>
                <w:szCs w:val="20"/>
              </w:rPr>
              <w:t>F-stat</w:t>
            </w:r>
          </w:p>
        </w:tc>
        <w:tc>
          <w:tcPr>
            <w:tcW w:w="1980" w:type="dxa"/>
            <w:tcBorders>
              <w:top w:val="nil"/>
              <w:left w:val="nil"/>
              <w:bottom w:val="single" w:sz="6" w:space="0" w:color="auto"/>
              <w:right w:val="nil"/>
            </w:tcBorders>
          </w:tcPr>
          <w:p w14:paraId="55E495C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16.39</w:t>
            </w:r>
          </w:p>
        </w:tc>
        <w:tc>
          <w:tcPr>
            <w:tcW w:w="1890" w:type="dxa"/>
            <w:tcBorders>
              <w:top w:val="nil"/>
              <w:left w:val="nil"/>
              <w:bottom w:val="single" w:sz="6" w:space="0" w:color="auto"/>
              <w:right w:val="nil"/>
            </w:tcBorders>
          </w:tcPr>
          <w:p w14:paraId="3D52DCB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12.38</w:t>
            </w:r>
          </w:p>
        </w:tc>
        <w:tc>
          <w:tcPr>
            <w:tcW w:w="1800" w:type="dxa"/>
            <w:tcBorders>
              <w:top w:val="nil"/>
              <w:left w:val="nil"/>
              <w:bottom w:val="single" w:sz="6" w:space="0" w:color="auto"/>
              <w:right w:val="nil"/>
            </w:tcBorders>
          </w:tcPr>
          <w:p w14:paraId="2EEA482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25.71</w:t>
            </w:r>
          </w:p>
        </w:tc>
        <w:tc>
          <w:tcPr>
            <w:tcW w:w="1530" w:type="dxa"/>
            <w:tcBorders>
              <w:top w:val="nil"/>
              <w:left w:val="nil"/>
              <w:bottom w:val="single" w:sz="6" w:space="0" w:color="auto"/>
              <w:right w:val="nil"/>
            </w:tcBorders>
          </w:tcPr>
          <w:p w14:paraId="6CDDBFD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23.05</w:t>
            </w:r>
          </w:p>
        </w:tc>
      </w:tr>
    </w:tbl>
    <w:p w14:paraId="49657235" w14:textId="77777777" w:rsidR="007C344D" w:rsidRPr="00DB6C99" w:rsidRDefault="007C344D" w:rsidP="007C344D">
      <w:pPr>
        <w:widowControl w:val="0"/>
        <w:kinsoku w:val="0"/>
        <w:overflowPunct w:val="0"/>
        <w:autoSpaceDE w:val="0"/>
        <w:autoSpaceDN w:val="0"/>
        <w:adjustRightInd w:val="0"/>
        <w:spacing w:after="0" w:line="240" w:lineRule="auto"/>
        <w:jc w:val="both"/>
        <w:rPr>
          <w:rFonts w:ascii="Garamond" w:hAnsi="Garamond"/>
          <w:sz w:val="20"/>
          <w:szCs w:val="18"/>
        </w:rPr>
      </w:pPr>
      <w:r w:rsidRPr="00DB6C99">
        <w:rPr>
          <w:rFonts w:ascii="Garamond" w:hAnsi="Garamond"/>
          <w:b/>
          <w:bCs/>
          <w:sz w:val="20"/>
          <w:szCs w:val="18"/>
        </w:rPr>
        <w:t xml:space="preserve">Note: </w:t>
      </w:r>
      <w:r w:rsidRPr="00DB6C99">
        <w:rPr>
          <w:rFonts w:ascii="Garamond" w:hAnsi="Garamond"/>
          <w:sz w:val="20"/>
          <w:szCs w:val="18"/>
        </w:rPr>
        <w:t xml:space="preserve">*,**, *** Represent significance at 0.1, 0.05 and 0.01 levels, respectively. </w:t>
      </w:r>
      <w:r w:rsidRPr="00DB6C99">
        <w:rPr>
          <w:rFonts w:ascii="Garamond" w:hAnsi="Garamond"/>
          <w:sz w:val="20"/>
          <w:szCs w:val="20"/>
        </w:rPr>
        <w:t>T statistics are given in parenthesis.</w:t>
      </w:r>
    </w:p>
    <w:p w14:paraId="53DB3205" w14:textId="77777777" w:rsidR="007C344D" w:rsidRPr="00DB6C99" w:rsidRDefault="007C344D" w:rsidP="007C344D">
      <w:pPr>
        <w:widowControl w:val="0"/>
        <w:kinsoku w:val="0"/>
        <w:overflowPunct w:val="0"/>
        <w:autoSpaceDE w:val="0"/>
        <w:autoSpaceDN w:val="0"/>
        <w:adjustRightInd w:val="0"/>
        <w:spacing w:after="0" w:line="240" w:lineRule="auto"/>
        <w:jc w:val="both"/>
        <w:rPr>
          <w:rFonts w:ascii="Garamond" w:hAnsi="Garamond"/>
          <w:sz w:val="20"/>
          <w:szCs w:val="18"/>
        </w:rPr>
      </w:pPr>
      <w:r w:rsidRPr="00DB6C99">
        <w:rPr>
          <w:rFonts w:ascii="Garamond" w:hAnsi="Garamond"/>
          <w:sz w:val="20"/>
          <w:szCs w:val="18"/>
        </w:rPr>
        <w:t>All variables are as defined in Table 1.</w:t>
      </w:r>
    </w:p>
    <w:p w14:paraId="1B1AD0B2" w14:textId="77777777" w:rsidR="007C344D" w:rsidRPr="00DB6C99" w:rsidRDefault="007C344D" w:rsidP="007C344D">
      <w:pPr>
        <w:spacing w:after="0" w:line="240" w:lineRule="auto"/>
        <w:rPr>
          <w:rFonts w:ascii="Garamond" w:hAnsi="Garamond"/>
          <w:sz w:val="20"/>
          <w:szCs w:val="18"/>
        </w:rPr>
      </w:pPr>
      <w:r w:rsidRPr="00DB6C99">
        <w:rPr>
          <w:rFonts w:ascii="Garamond" w:hAnsi="Garamond"/>
          <w:sz w:val="20"/>
          <w:szCs w:val="18"/>
        </w:rPr>
        <w:br w:type="page"/>
      </w:r>
    </w:p>
    <w:p w14:paraId="6EC4FF33" w14:textId="77777777" w:rsidR="007C344D" w:rsidRPr="00DB6C99" w:rsidRDefault="007C344D" w:rsidP="007C344D">
      <w:pPr>
        <w:pStyle w:val="Caption"/>
        <w:spacing w:after="0"/>
        <w:jc w:val="both"/>
        <w:rPr>
          <w:rFonts w:ascii="Garamond" w:hAnsi="Garamond"/>
          <w:b w:val="0"/>
          <w:bCs w:val="0"/>
          <w:szCs w:val="24"/>
        </w:rPr>
      </w:pPr>
      <w:r w:rsidRPr="00DB6C99">
        <w:rPr>
          <w:rFonts w:ascii="Garamond" w:hAnsi="Garamond"/>
          <w:szCs w:val="24"/>
        </w:rPr>
        <w:lastRenderedPageBreak/>
        <w:t>Table 5:</w:t>
      </w:r>
      <w:r w:rsidRPr="00DB6C99">
        <w:rPr>
          <w:rFonts w:ascii="Garamond" w:hAnsi="Garamond"/>
          <w:spacing w:val="-1"/>
          <w:szCs w:val="24"/>
        </w:rPr>
        <w:t xml:space="preserve"> </w:t>
      </w:r>
      <w:r w:rsidRPr="00DB6C99">
        <w:rPr>
          <w:rFonts w:ascii="Garamond" w:hAnsi="Garamond"/>
          <w:b w:val="0"/>
          <w:bCs w:val="0"/>
          <w:spacing w:val="-1"/>
          <w:szCs w:val="24"/>
        </w:rPr>
        <w:t xml:space="preserve">Non-executive vs. executive </w:t>
      </w:r>
      <w:r w:rsidRPr="00DB6C99">
        <w:rPr>
          <w:rFonts w:ascii="Garamond" w:hAnsi="Garamond"/>
          <w:b w:val="0"/>
          <w:bCs w:val="0"/>
          <w:szCs w:val="24"/>
        </w:rPr>
        <w:t xml:space="preserve">female directors and CSR gap </w:t>
      </w:r>
    </w:p>
    <w:tbl>
      <w:tblPr>
        <w:tblW w:w="9360" w:type="dxa"/>
        <w:jc w:val="center"/>
        <w:tblLayout w:type="fixed"/>
        <w:tblCellMar>
          <w:left w:w="75" w:type="dxa"/>
          <w:right w:w="75" w:type="dxa"/>
        </w:tblCellMar>
        <w:tblLook w:val="0000" w:firstRow="0" w:lastRow="0" w:firstColumn="0" w:lastColumn="0" w:noHBand="0" w:noVBand="0"/>
      </w:tblPr>
      <w:tblGrid>
        <w:gridCol w:w="2160"/>
        <w:gridCol w:w="1980"/>
        <w:gridCol w:w="1890"/>
        <w:gridCol w:w="1800"/>
        <w:gridCol w:w="1530"/>
      </w:tblGrid>
      <w:tr w:rsidR="00DB6C99" w:rsidRPr="00DB6C99" w14:paraId="103BE4EF" w14:textId="77777777" w:rsidTr="007C344D">
        <w:trPr>
          <w:jc w:val="center"/>
        </w:trPr>
        <w:tc>
          <w:tcPr>
            <w:tcW w:w="2160" w:type="dxa"/>
            <w:vMerge w:val="restart"/>
            <w:tcBorders>
              <w:top w:val="single" w:sz="6" w:space="0" w:color="auto"/>
              <w:left w:val="nil"/>
              <w:right w:val="nil"/>
            </w:tcBorders>
            <w:vAlign w:val="center"/>
          </w:tcPr>
          <w:p w14:paraId="167F2CC2"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sz w:val="20"/>
                <w:szCs w:val="20"/>
              </w:rPr>
              <w:t>VARIABLES</w:t>
            </w:r>
          </w:p>
        </w:tc>
        <w:tc>
          <w:tcPr>
            <w:tcW w:w="7200" w:type="dxa"/>
            <w:gridSpan w:val="4"/>
            <w:tcBorders>
              <w:top w:val="single" w:sz="6" w:space="0" w:color="auto"/>
              <w:left w:val="nil"/>
              <w:bottom w:val="single" w:sz="6" w:space="0" w:color="auto"/>
              <w:right w:val="nil"/>
            </w:tcBorders>
          </w:tcPr>
          <w:p w14:paraId="27E4D13D" w14:textId="77777777" w:rsidR="007C344D" w:rsidRPr="00DB6C99" w:rsidRDefault="007C344D" w:rsidP="007C344D">
            <w:pPr>
              <w:widowControl w:val="0"/>
              <w:autoSpaceDE w:val="0"/>
              <w:autoSpaceDN w:val="0"/>
              <w:adjustRightInd w:val="0"/>
              <w:spacing w:after="0" w:line="240" w:lineRule="auto"/>
              <w:jc w:val="center"/>
              <w:rPr>
                <w:rFonts w:ascii="Garamond" w:hAnsi="Garamond"/>
                <w:i/>
                <w:iCs/>
                <w:sz w:val="20"/>
                <w:szCs w:val="20"/>
              </w:rPr>
            </w:pPr>
            <w:r w:rsidRPr="00DB6C99">
              <w:rPr>
                <w:rFonts w:ascii="Garamond" w:hAnsi="Garamond"/>
                <w:i/>
                <w:iCs/>
                <w:sz w:val="20"/>
                <w:szCs w:val="20"/>
              </w:rPr>
              <w:t>GAP</w:t>
            </w:r>
          </w:p>
        </w:tc>
      </w:tr>
      <w:tr w:rsidR="00DB6C99" w:rsidRPr="00DB6C99" w14:paraId="160C2EBD" w14:textId="77777777" w:rsidTr="007C344D">
        <w:trPr>
          <w:jc w:val="center"/>
        </w:trPr>
        <w:tc>
          <w:tcPr>
            <w:tcW w:w="2160" w:type="dxa"/>
            <w:vMerge/>
            <w:tcBorders>
              <w:left w:val="nil"/>
              <w:bottom w:val="single" w:sz="6" w:space="0" w:color="auto"/>
              <w:right w:val="nil"/>
            </w:tcBorders>
          </w:tcPr>
          <w:p w14:paraId="64CA5B25"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980" w:type="dxa"/>
            <w:tcBorders>
              <w:top w:val="single" w:sz="6" w:space="0" w:color="auto"/>
              <w:left w:val="nil"/>
              <w:bottom w:val="single" w:sz="6" w:space="0" w:color="auto"/>
              <w:right w:val="nil"/>
            </w:tcBorders>
            <w:vAlign w:val="center"/>
          </w:tcPr>
          <w:p w14:paraId="42178EB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b/>
                <w:sz w:val="20"/>
                <w:szCs w:val="20"/>
              </w:rPr>
              <w:t>FE</w:t>
            </w:r>
          </w:p>
        </w:tc>
        <w:tc>
          <w:tcPr>
            <w:tcW w:w="1890" w:type="dxa"/>
            <w:tcBorders>
              <w:top w:val="single" w:sz="6" w:space="0" w:color="auto"/>
              <w:left w:val="nil"/>
              <w:bottom w:val="single" w:sz="6" w:space="0" w:color="auto"/>
              <w:right w:val="nil"/>
            </w:tcBorders>
            <w:vAlign w:val="center"/>
          </w:tcPr>
          <w:p w14:paraId="1CCB722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b/>
                <w:sz w:val="20"/>
                <w:szCs w:val="20"/>
              </w:rPr>
              <w:t>Lagged-FE</w:t>
            </w:r>
          </w:p>
        </w:tc>
        <w:tc>
          <w:tcPr>
            <w:tcW w:w="1800" w:type="dxa"/>
            <w:tcBorders>
              <w:top w:val="single" w:sz="6" w:space="0" w:color="auto"/>
              <w:left w:val="nil"/>
              <w:bottom w:val="single" w:sz="6" w:space="0" w:color="auto"/>
              <w:right w:val="nil"/>
            </w:tcBorders>
            <w:vAlign w:val="center"/>
          </w:tcPr>
          <w:p w14:paraId="43E804CF"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b/>
                <w:sz w:val="20"/>
                <w:szCs w:val="20"/>
              </w:rPr>
              <w:t>OLS</w:t>
            </w:r>
          </w:p>
        </w:tc>
        <w:tc>
          <w:tcPr>
            <w:tcW w:w="1530" w:type="dxa"/>
            <w:tcBorders>
              <w:top w:val="single" w:sz="6" w:space="0" w:color="auto"/>
              <w:left w:val="nil"/>
              <w:bottom w:val="single" w:sz="6" w:space="0" w:color="auto"/>
              <w:right w:val="nil"/>
            </w:tcBorders>
            <w:vAlign w:val="center"/>
          </w:tcPr>
          <w:p w14:paraId="370D589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b/>
                <w:sz w:val="20"/>
                <w:szCs w:val="20"/>
              </w:rPr>
              <w:t>Lagged-OLS</w:t>
            </w:r>
          </w:p>
        </w:tc>
      </w:tr>
      <w:tr w:rsidR="00DB6C99" w:rsidRPr="00DB6C99" w14:paraId="52C8AFF1" w14:textId="77777777" w:rsidTr="007C344D">
        <w:trPr>
          <w:jc w:val="center"/>
        </w:trPr>
        <w:tc>
          <w:tcPr>
            <w:tcW w:w="2160" w:type="dxa"/>
            <w:tcBorders>
              <w:top w:val="nil"/>
              <w:left w:val="nil"/>
              <w:bottom w:val="nil"/>
              <w:right w:val="nil"/>
            </w:tcBorders>
            <w:vAlign w:val="center"/>
          </w:tcPr>
          <w:p w14:paraId="6C69BDA2" w14:textId="77777777" w:rsidR="00600E5E" w:rsidRPr="00DB6C99" w:rsidRDefault="00600E5E" w:rsidP="00600E5E">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rPr>
              <w:t>FNEDPRO</w:t>
            </w:r>
          </w:p>
        </w:tc>
        <w:tc>
          <w:tcPr>
            <w:tcW w:w="1980" w:type="dxa"/>
            <w:tcBorders>
              <w:top w:val="nil"/>
              <w:left w:val="nil"/>
              <w:bottom w:val="nil"/>
              <w:right w:val="nil"/>
            </w:tcBorders>
          </w:tcPr>
          <w:p w14:paraId="2F9CD9CD" w14:textId="3DBF7F02"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cs="Times New Roman"/>
                <w:sz w:val="20"/>
                <w:szCs w:val="20"/>
              </w:rPr>
              <w:t>-0.434***</w:t>
            </w:r>
          </w:p>
        </w:tc>
        <w:tc>
          <w:tcPr>
            <w:tcW w:w="1890" w:type="dxa"/>
            <w:tcBorders>
              <w:top w:val="nil"/>
              <w:left w:val="nil"/>
              <w:bottom w:val="nil"/>
              <w:right w:val="nil"/>
            </w:tcBorders>
          </w:tcPr>
          <w:p w14:paraId="2F5C6152"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-0.615***</w:t>
            </w:r>
          </w:p>
        </w:tc>
        <w:tc>
          <w:tcPr>
            <w:tcW w:w="1800" w:type="dxa"/>
            <w:tcBorders>
              <w:top w:val="nil"/>
              <w:left w:val="nil"/>
              <w:bottom w:val="nil"/>
              <w:right w:val="nil"/>
            </w:tcBorders>
          </w:tcPr>
          <w:p w14:paraId="060E4416"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-0.214**</w:t>
            </w:r>
          </w:p>
        </w:tc>
        <w:tc>
          <w:tcPr>
            <w:tcW w:w="1530" w:type="dxa"/>
            <w:tcBorders>
              <w:top w:val="nil"/>
              <w:left w:val="nil"/>
              <w:bottom w:val="nil"/>
              <w:right w:val="nil"/>
            </w:tcBorders>
          </w:tcPr>
          <w:p w14:paraId="6C56A36E"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-0.202**</w:t>
            </w:r>
          </w:p>
        </w:tc>
      </w:tr>
      <w:tr w:rsidR="00DB6C99" w:rsidRPr="00DB6C99" w14:paraId="28336B01" w14:textId="77777777" w:rsidTr="007C344D">
        <w:trPr>
          <w:jc w:val="center"/>
        </w:trPr>
        <w:tc>
          <w:tcPr>
            <w:tcW w:w="2160" w:type="dxa"/>
            <w:tcBorders>
              <w:top w:val="nil"/>
              <w:left w:val="nil"/>
              <w:bottom w:val="nil"/>
              <w:right w:val="nil"/>
            </w:tcBorders>
            <w:vAlign w:val="center"/>
          </w:tcPr>
          <w:p w14:paraId="7812897D" w14:textId="77777777" w:rsidR="00600E5E" w:rsidRPr="00DB6C99" w:rsidRDefault="00600E5E" w:rsidP="00600E5E">
            <w:pPr>
              <w:widowControl w:val="0"/>
              <w:autoSpaceDE w:val="0"/>
              <w:autoSpaceDN w:val="0"/>
              <w:adjustRightInd w:val="0"/>
              <w:spacing w:after="0" w:line="240" w:lineRule="auto"/>
              <w:rPr>
                <w:rFonts w:ascii="Garamond" w:hAnsi="Garamond"/>
                <w:sz w:val="20"/>
                <w:szCs w:val="20"/>
              </w:rPr>
            </w:pPr>
          </w:p>
        </w:tc>
        <w:tc>
          <w:tcPr>
            <w:tcW w:w="1980" w:type="dxa"/>
            <w:tcBorders>
              <w:top w:val="nil"/>
              <w:left w:val="nil"/>
              <w:bottom w:val="nil"/>
              <w:right w:val="nil"/>
            </w:tcBorders>
          </w:tcPr>
          <w:p w14:paraId="7A31718C" w14:textId="031F5FE5"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cs="Times New Roman"/>
                <w:sz w:val="20"/>
                <w:szCs w:val="20"/>
              </w:rPr>
              <w:t>(-3.49)</w:t>
            </w:r>
          </w:p>
        </w:tc>
        <w:tc>
          <w:tcPr>
            <w:tcW w:w="1890" w:type="dxa"/>
            <w:tcBorders>
              <w:top w:val="nil"/>
              <w:left w:val="nil"/>
              <w:bottom w:val="nil"/>
              <w:right w:val="nil"/>
            </w:tcBorders>
          </w:tcPr>
          <w:p w14:paraId="55DE12DA"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(-3.15)</w:t>
            </w:r>
          </w:p>
        </w:tc>
        <w:tc>
          <w:tcPr>
            <w:tcW w:w="1800" w:type="dxa"/>
            <w:tcBorders>
              <w:top w:val="nil"/>
              <w:left w:val="nil"/>
              <w:bottom w:val="nil"/>
              <w:right w:val="nil"/>
            </w:tcBorders>
          </w:tcPr>
          <w:p w14:paraId="43860CF0"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(-2.41)</w:t>
            </w:r>
          </w:p>
        </w:tc>
        <w:tc>
          <w:tcPr>
            <w:tcW w:w="1530" w:type="dxa"/>
            <w:tcBorders>
              <w:top w:val="nil"/>
              <w:left w:val="nil"/>
              <w:bottom w:val="nil"/>
              <w:right w:val="nil"/>
            </w:tcBorders>
          </w:tcPr>
          <w:p w14:paraId="08AB2191"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(-2.05)</w:t>
            </w:r>
          </w:p>
        </w:tc>
      </w:tr>
      <w:tr w:rsidR="00DB6C99" w:rsidRPr="00DB6C99" w14:paraId="2901AEBF" w14:textId="77777777" w:rsidTr="007C344D">
        <w:trPr>
          <w:jc w:val="center"/>
        </w:trPr>
        <w:tc>
          <w:tcPr>
            <w:tcW w:w="2160" w:type="dxa"/>
            <w:tcBorders>
              <w:top w:val="nil"/>
              <w:left w:val="nil"/>
              <w:bottom w:val="nil"/>
              <w:right w:val="nil"/>
            </w:tcBorders>
            <w:vAlign w:val="center"/>
          </w:tcPr>
          <w:p w14:paraId="579CC919" w14:textId="77777777" w:rsidR="00600E5E" w:rsidRPr="00DB6C99" w:rsidRDefault="00600E5E" w:rsidP="00600E5E">
            <w:pPr>
              <w:widowControl w:val="0"/>
              <w:autoSpaceDE w:val="0"/>
              <w:autoSpaceDN w:val="0"/>
              <w:adjustRightInd w:val="0"/>
              <w:spacing w:after="0" w:line="240" w:lineRule="auto"/>
              <w:rPr>
                <w:rFonts w:ascii="Garamond" w:hAnsi="Garamond"/>
                <w:i/>
                <w:iCs/>
                <w:sz w:val="20"/>
                <w:szCs w:val="20"/>
                <w:lang w:val="en-GB"/>
              </w:rPr>
            </w:pPr>
            <w:r w:rsidRPr="00DB6C99">
              <w:rPr>
                <w:rFonts w:ascii="Garamond" w:hAnsi="Garamond"/>
                <w:i/>
                <w:iCs/>
                <w:sz w:val="20"/>
                <w:szCs w:val="20"/>
                <w:lang w:val="en-GB"/>
              </w:rPr>
              <w:t>FEDPRO</w:t>
            </w:r>
          </w:p>
        </w:tc>
        <w:tc>
          <w:tcPr>
            <w:tcW w:w="1980" w:type="dxa"/>
            <w:tcBorders>
              <w:top w:val="nil"/>
              <w:left w:val="nil"/>
              <w:bottom w:val="nil"/>
              <w:right w:val="nil"/>
            </w:tcBorders>
          </w:tcPr>
          <w:p w14:paraId="34DBA5B7" w14:textId="74C82F15"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cs="Times New Roman"/>
                <w:sz w:val="20"/>
                <w:szCs w:val="20"/>
              </w:rPr>
              <w:t>-0.741</w:t>
            </w:r>
          </w:p>
        </w:tc>
        <w:tc>
          <w:tcPr>
            <w:tcW w:w="1890" w:type="dxa"/>
            <w:tcBorders>
              <w:top w:val="nil"/>
              <w:left w:val="nil"/>
              <w:bottom w:val="nil"/>
              <w:right w:val="nil"/>
            </w:tcBorders>
          </w:tcPr>
          <w:p w14:paraId="69712AF4"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-1.279</w:t>
            </w:r>
          </w:p>
        </w:tc>
        <w:tc>
          <w:tcPr>
            <w:tcW w:w="1800" w:type="dxa"/>
            <w:tcBorders>
              <w:top w:val="nil"/>
              <w:left w:val="nil"/>
              <w:bottom w:val="nil"/>
              <w:right w:val="nil"/>
            </w:tcBorders>
          </w:tcPr>
          <w:p w14:paraId="3589CBCD"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-0.254</w:t>
            </w:r>
          </w:p>
        </w:tc>
        <w:tc>
          <w:tcPr>
            <w:tcW w:w="1530" w:type="dxa"/>
            <w:tcBorders>
              <w:top w:val="nil"/>
              <w:left w:val="nil"/>
              <w:bottom w:val="nil"/>
              <w:right w:val="nil"/>
            </w:tcBorders>
          </w:tcPr>
          <w:p w14:paraId="025C464D"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-0.320</w:t>
            </w:r>
          </w:p>
        </w:tc>
      </w:tr>
      <w:tr w:rsidR="00DB6C99" w:rsidRPr="00DB6C99" w14:paraId="597C838D" w14:textId="77777777" w:rsidTr="007C344D">
        <w:trPr>
          <w:jc w:val="center"/>
        </w:trPr>
        <w:tc>
          <w:tcPr>
            <w:tcW w:w="2160" w:type="dxa"/>
            <w:tcBorders>
              <w:top w:val="nil"/>
              <w:left w:val="nil"/>
              <w:bottom w:val="nil"/>
              <w:right w:val="nil"/>
            </w:tcBorders>
            <w:vAlign w:val="center"/>
          </w:tcPr>
          <w:p w14:paraId="4099A6C3" w14:textId="77777777" w:rsidR="00600E5E" w:rsidRPr="00DB6C99" w:rsidRDefault="00600E5E" w:rsidP="00600E5E">
            <w:pPr>
              <w:widowControl w:val="0"/>
              <w:autoSpaceDE w:val="0"/>
              <w:autoSpaceDN w:val="0"/>
              <w:adjustRightInd w:val="0"/>
              <w:spacing w:after="0" w:line="240" w:lineRule="auto"/>
              <w:rPr>
                <w:rFonts w:ascii="Garamond" w:hAnsi="Garamond"/>
                <w:i/>
                <w:iCs/>
                <w:sz w:val="20"/>
                <w:szCs w:val="20"/>
                <w:lang w:val="en-GB"/>
              </w:rPr>
            </w:pPr>
          </w:p>
        </w:tc>
        <w:tc>
          <w:tcPr>
            <w:tcW w:w="1980" w:type="dxa"/>
            <w:tcBorders>
              <w:top w:val="nil"/>
              <w:left w:val="nil"/>
              <w:bottom w:val="nil"/>
              <w:right w:val="nil"/>
            </w:tcBorders>
          </w:tcPr>
          <w:p w14:paraId="619F5B5B" w14:textId="639027E1"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cs="Times New Roman"/>
                <w:sz w:val="20"/>
                <w:szCs w:val="20"/>
              </w:rPr>
              <w:t>(-1.55)</w:t>
            </w:r>
          </w:p>
        </w:tc>
        <w:tc>
          <w:tcPr>
            <w:tcW w:w="1890" w:type="dxa"/>
            <w:tcBorders>
              <w:top w:val="nil"/>
              <w:left w:val="nil"/>
              <w:bottom w:val="nil"/>
              <w:right w:val="nil"/>
            </w:tcBorders>
          </w:tcPr>
          <w:p w14:paraId="3980AE11"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(-1.47)</w:t>
            </w:r>
          </w:p>
        </w:tc>
        <w:tc>
          <w:tcPr>
            <w:tcW w:w="1800" w:type="dxa"/>
            <w:tcBorders>
              <w:top w:val="nil"/>
              <w:left w:val="nil"/>
              <w:bottom w:val="nil"/>
              <w:right w:val="nil"/>
            </w:tcBorders>
          </w:tcPr>
          <w:p w14:paraId="18A28D42"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(-0.74)</w:t>
            </w:r>
          </w:p>
        </w:tc>
        <w:tc>
          <w:tcPr>
            <w:tcW w:w="1530" w:type="dxa"/>
            <w:tcBorders>
              <w:top w:val="nil"/>
              <w:left w:val="nil"/>
              <w:bottom w:val="nil"/>
              <w:right w:val="nil"/>
            </w:tcBorders>
          </w:tcPr>
          <w:p w14:paraId="2F11D09B"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(-0.83)</w:t>
            </w:r>
          </w:p>
        </w:tc>
      </w:tr>
      <w:tr w:rsidR="00DB6C99" w:rsidRPr="00DB6C99" w14:paraId="0822B688" w14:textId="77777777" w:rsidTr="007C344D">
        <w:trPr>
          <w:jc w:val="center"/>
        </w:trPr>
        <w:tc>
          <w:tcPr>
            <w:tcW w:w="2160" w:type="dxa"/>
            <w:tcBorders>
              <w:top w:val="nil"/>
              <w:left w:val="nil"/>
              <w:bottom w:val="nil"/>
              <w:right w:val="nil"/>
            </w:tcBorders>
            <w:vAlign w:val="center"/>
          </w:tcPr>
          <w:p w14:paraId="18CFAFBC" w14:textId="77777777" w:rsidR="00600E5E" w:rsidRPr="00DB6C99" w:rsidRDefault="00600E5E" w:rsidP="00600E5E">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lang w:val="en-GB"/>
              </w:rPr>
              <w:t>BSIZE</w:t>
            </w:r>
          </w:p>
        </w:tc>
        <w:tc>
          <w:tcPr>
            <w:tcW w:w="1980" w:type="dxa"/>
            <w:tcBorders>
              <w:top w:val="nil"/>
              <w:left w:val="nil"/>
              <w:bottom w:val="nil"/>
              <w:right w:val="nil"/>
            </w:tcBorders>
          </w:tcPr>
          <w:p w14:paraId="72958E45" w14:textId="1833D86E"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cs="Times New Roman"/>
                <w:sz w:val="20"/>
                <w:szCs w:val="20"/>
              </w:rPr>
              <w:t>-0.072</w:t>
            </w:r>
          </w:p>
        </w:tc>
        <w:tc>
          <w:tcPr>
            <w:tcW w:w="1890" w:type="dxa"/>
            <w:tcBorders>
              <w:top w:val="nil"/>
              <w:left w:val="nil"/>
              <w:bottom w:val="nil"/>
              <w:right w:val="nil"/>
            </w:tcBorders>
          </w:tcPr>
          <w:p w14:paraId="6E7FD823"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0.043</w:t>
            </w:r>
          </w:p>
        </w:tc>
        <w:tc>
          <w:tcPr>
            <w:tcW w:w="1800" w:type="dxa"/>
            <w:tcBorders>
              <w:top w:val="nil"/>
              <w:left w:val="nil"/>
              <w:bottom w:val="nil"/>
              <w:right w:val="nil"/>
            </w:tcBorders>
          </w:tcPr>
          <w:p w14:paraId="3993A649"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0.140***</w:t>
            </w:r>
          </w:p>
        </w:tc>
        <w:tc>
          <w:tcPr>
            <w:tcW w:w="1530" w:type="dxa"/>
            <w:tcBorders>
              <w:top w:val="nil"/>
              <w:left w:val="nil"/>
              <w:bottom w:val="nil"/>
              <w:right w:val="nil"/>
            </w:tcBorders>
          </w:tcPr>
          <w:p w14:paraId="705F03D3"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0.234***</w:t>
            </w:r>
          </w:p>
        </w:tc>
      </w:tr>
      <w:tr w:rsidR="00DB6C99" w:rsidRPr="00DB6C99" w14:paraId="7D7A7C05" w14:textId="77777777" w:rsidTr="007C344D">
        <w:trPr>
          <w:jc w:val="center"/>
        </w:trPr>
        <w:tc>
          <w:tcPr>
            <w:tcW w:w="2160" w:type="dxa"/>
            <w:tcBorders>
              <w:top w:val="nil"/>
              <w:left w:val="nil"/>
              <w:bottom w:val="nil"/>
              <w:right w:val="nil"/>
            </w:tcBorders>
            <w:vAlign w:val="center"/>
          </w:tcPr>
          <w:p w14:paraId="36C14311" w14:textId="77777777" w:rsidR="00600E5E" w:rsidRPr="00DB6C99" w:rsidRDefault="00600E5E" w:rsidP="00600E5E">
            <w:pPr>
              <w:widowControl w:val="0"/>
              <w:autoSpaceDE w:val="0"/>
              <w:autoSpaceDN w:val="0"/>
              <w:adjustRightInd w:val="0"/>
              <w:spacing w:after="0" w:line="240" w:lineRule="auto"/>
              <w:rPr>
                <w:rFonts w:ascii="Garamond" w:hAnsi="Garamond"/>
                <w:sz w:val="20"/>
                <w:szCs w:val="20"/>
              </w:rPr>
            </w:pPr>
          </w:p>
        </w:tc>
        <w:tc>
          <w:tcPr>
            <w:tcW w:w="1980" w:type="dxa"/>
            <w:tcBorders>
              <w:top w:val="nil"/>
              <w:left w:val="nil"/>
              <w:bottom w:val="nil"/>
              <w:right w:val="nil"/>
            </w:tcBorders>
          </w:tcPr>
          <w:p w14:paraId="2F36BDD7" w14:textId="3A00984C"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cs="Times New Roman"/>
                <w:sz w:val="20"/>
                <w:szCs w:val="20"/>
              </w:rPr>
              <w:t>(-1.23)</w:t>
            </w:r>
          </w:p>
        </w:tc>
        <w:tc>
          <w:tcPr>
            <w:tcW w:w="1890" w:type="dxa"/>
            <w:tcBorders>
              <w:top w:val="nil"/>
              <w:left w:val="nil"/>
              <w:bottom w:val="nil"/>
              <w:right w:val="nil"/>
            </w:tcBorders>
          </w:tcPr>
          <w:p w14:paraId="621DB2B3"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(0.49)</w:t>
            </w:r>
          </w:p>
        </w:tc>
        <w:tc>
          <w:tcPr>
            <w:tcW w:w="1800" w:type="dxa"/>
            <w:tcBorders>
              <w:top w:val="nil"/>
              <w:left w:val="nil"/>
              <w:bottom w:val="nil"/>
              <w:right w:val="nil"/>
            </w:tcBorders>
          </w:tcPr>
          <w:p w14:paraId="285D75D0"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(3.34)</w:t>
            </w:r>
          </w:p>
        </w:tc>
        <w:tc>
          <w:tcPr>
            <w:tcW w:w="1530" w:type="dxa"/>
            <w:tcBorders>
              <w:top w:val="nil"/>
              <w:left w:val="nil"/>
              <w:bottom w:val="nil"/>
              <w:right w:val="nil"/>
            </w:tcBorders>
          </w:tcPr>
          <w:p w14:paraId="247D7EE9"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(5.10)</w:t>
            </w:r>
          </w:p>
        </w:tc>
      </w:tr>
      <w:tr w:rsidR="00DB6C99" w:rsidRPr="00DB6C99" w14:paraId="7BBA27DB" w14:textId="77777777" w:rsidTr="007C344D">
        <w:trPr>
          <w:jc w:val="center"/>
        </w:trPr>
        <w:tc>
          <w:tcPr>
            <w:tcW w:w="2160" w:type="dxa"/>
            <w:tcBorders>
              <w:top w:val="nil"/>
              <w:left w:val="nil"/>
              <w:bottom w:val="nil"/>
              <w:right w:val="nil"/>
            </w:tcBorders>
            <w:vAlign w:val="center"/>
          </w:tcPr>
          <w:p w14:paraId="5EF4C1AD" w14:textId="77777777" w:rsidR="00600E5E" w:rsidRPr="00DB6C99" w:rsidRDefault="00600E5E" w:rsidP="00600E5E">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lang w:val="en-GB"/>
              </w:rPr>
              <w:t>BIND</w:t>
            </w:r>
          </w:p>
        </w:tc>
        <w:tc>
          <w:tcPr>
            <w:tcW w:w="1980" w:type="dxa"/>
            <w:tcBorders>
              <w:top w:val="nil"/>
              <w:left w:val="nil"/>
              <w:bottom w:val="nil"/>
              <w:right w:val="nil"/>
            </w:tcBorders>
          </w:tcPr>
          <w:p w14:paraId="6EB6FF68" w14:textId="6F75A544"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cs="Times New Roman"/>
                <w:sz w:val="20"/>
                <w:szCs w:val="20"/>
              </w:rPr>
              <w:t>-0.253</w:t>
            </w:r>
          </w:p>
        </w:tc>
        <w:tc>
          <w:tcPr>
            <w:tcW w:w="1890" w:type="dxa"/>
            <w:tcBorders>
              <w:top w:val="nil"/>
              <w:left w:val="nil"/>
              <w:bottom w:val="nil"/>
              <w:right w:val="nil"/>
            </w:tcBorders>
          </w:tcPr>
          <w:p w14:paraId="7D7138C1"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-0.515**</w:t>
            </w:r>
          </w:p>
        </w:tc>
        <w:tc>
          <w:tcPr>
            <w:tcW w:w="1800" w:type="dxa"/>
            <w:tcBorders>
              <w:top w:val="nil"/>
              <w:left w:val="nil"/>
              <w:bottom w:val="nil"/>
              <w:right w:val="nil"/>
            </w:tcBorders>
          </w:tcPr>
          <w:p w14:paraId="7B9B4D9A"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-0.191*</w:t>
            </w:r>
          </w:p>
        </w:tc>
        <w:tc>
          <w:tcPr>
            <w:tcW w:w="1530" w:type="dxa"/>
            <w:tcBorders>
              <w:top w:val="nil"/>
              <w:left w:val="nil"/>
              <w:bottom w:val="nil"/>
              <w:right w:val="nil"/>
            </w:tcBorders>
          </w:tcPr>
          <w:p w14:paraId="0FFD1924"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-0.299**</w:t>
            </w:r>
          </w:p>
        </w:tc>
      </w:tr>
      <w:tr w:rsidR="00DB6C99" w:rsidRPr="00DB6C99" w14:paraId="387331C4" w14:textId="77777777" w:rsidTr="007C344D">
        <w:trPr>
          <w:jc w:val="center"/>
        </w:trPr>
        <w:tc>
          <w:tcPr>
            <w:tcW w:w="2160" w:type="dxa"/>
            <w:tcBorders>
              <w:top w:val="nil"/>
              <w:left w:val="nil"/>
              <w:bottom w:val="nil"/>
              <w:right w:val="nil"/>
            </w:tcBorders>
            <w:vAlign w:val="center"/>
          </w:tcPr>
          <w:p w14:paraId="2F97FC16" w14:textId="77777777" w:rsidR="00600E5E" w:rsidRPr="00DB6C99" w:rsidRDefault="00600E5E" w:rsidP="00600E5E">
            <w:pPr>
              <w:widowControl w:val="0"/>
              <w:autoSpaceDE w:val="0"/>
              <w:autoSpaceDN w:val="0"/>
              <w:adjustRightInd w:val="0"/>
              <w:spacing w:after="0" w:line="240" w:lineRule="auto"/>
              <w:rPr>
                <w:rFonts w:ascii="Garamond" w:hAnsi="Garamond"/>
                <w:sz w:val="20"/>
                <w:szCs w:val="20"/>
              </w:rPr>
            </w:pPr>
          </w:p>
        </w:tc>
        <w:tc>
          <w:tcPr>
            <w:tcW w:w="1980" w:type="dxa"/>
            <w:tcBorders>
              <w:top w:val="nil"/>
              <w:left w:val="nil"/>
              <w:bottom w:val="nil"/>
              <w:right w:val="nil"/>
            </w:tcBorders>
          </w:tcPr>
          <w:p w14:paraId="74AEB7D3" w14:textId="593F9D3E"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cs="Times New Roman"/>
                <w:sz w:val="20"/>
                <w:szCs w:val="20"/>
              </w:rPr>
              <w:t>(-1.60)</w:t>
            </w:r>
          </w:p>
        </w:tc>
        <w:tc>
          <w:tcPr>
            <w:tcW w:w="1890" w:type="dxa"/>
            <w:tcBorders>
              <w:top w:val="nil"/>
              <w:left w:val="nil"/>
              <w:bottom w:val="nil"/>
              <w:right w:val="nil"/>
            </w:tcBorders>
          </w:tcPr>
          <w:p w14:paraId="6DCEFFB4"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(-2.06)</w:t>
            </w:r>
          </w:p>
        </w:tc>
        <w:tc>
          <w:tcPr>
            <w:tcW w:w="1800" w:type="dxa"/>
            <w:tcBorders>
              <w:top w:val="nil"/>
              <w:left w:val="nil"/>
              <w:bottom w:val="nil"/>
              <w:right w:val="nil"/>
            </w:tcBorders>
          </w:tcPr>
          <w:p w14:paraId="39348584"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(-1.68)</w:t>
            </w:r>
          </w:p>
        </w:tc>
        <w:tc>
          <w:tcPr>
            <w:tcW w:w="1530" w:type="dxa"/>
            <w:tcBorders>
              <w:top w:val="nil"/>
              <w:left w:val="nil"/>
              <w:bottom w:val="nil"/>
              <w:right w:val="nil"/>
            </w:tcBorders>
          </w:tcPr>
          <w:p w14:paraId="2EF2ECCD"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(-2.43)</w:t>
            </w:r>
          </w:p>
        </w:tc>
      </w:tr>
      <w:tr w:rsidR="00DB6C99" w:rsidRPr="00DB6C99" w14:paraId="2064B336" w14:textId="77777777" w:rsidTr="007C344D">
        <w:trPr>
          <w:jc w:val="center"/>
        </w:trPr>
        <w:tc>
          <w:tcPr>
            <w:tcW w:w="2160" w:type="dxa"/>
            <w:tcBorders>
              <w:top w:val="nil"/>
              <w:left w:val="nil"/>
              <w:bottom w:val="nil"/>
              <w:right w:val="nil"/>
            </w:tcBorders>
            <w:vAlign w:val="center"/>
          </w:tcPr>
          <w:p w14:paraId="3648F602" w14:textId="77777777" w:rsidR="00600E5E" w:rsidRPr="00DB6C99" w:rsidRDefault="00600E5E" w:rsidP="00600E5E">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lang w:val="en-GB"/>
              </w:rPr>
              <w:t>BMEET</w:t>
            </w:r>
          </w:p>
        </w:tc>
        <w:tc>
          <w:tcPr>
            <w:tcW w:w="1980" w:type="dxa"/>
            <w:tcBorders>
              <w:top w:val="nil"/>
              <w:left w:val="nil"/>
              <w:bottom w:val="nil"/>
              <w:right w:val="nil"/>
            </w:tcBorders>
          </w:tcPr>
          <w:p w14:paraId="28128158" w14:textId="6902B2D3"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cs="Times New Roman"/>
                <w:sz w:val="20"/>
                <w:szCs w:val="20"/>
              </w:rPr>
              <w:t>-0.062***</w:t>
            </w:r>
          </w:p>
        </w:tc>
        <w:tc>
          <w:tcPr>
            <w:tcW w:w="1890" w:type="dxa"/>
            <w:tcBorders>
              <w:top w:val="nil"/>
              <w:left w:val="nil"/>
              <w:bottom w:val="nil"/>
              <w:right w:val="nil"/>
            </w:tcBorders>
          </w:tcPr>
          <w:p w14:paraId="68F8E5E8"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-0.046*</w:t>
            </w:r>
          </w:p>
        </w:tc>
        <w:tc>
          <w:tcPr>
            <w:tcW w:w="1800" w:type="dxa"/>
            <w:tcBorders>
              <w:top w:val="nil"/>
              <w:left w:val="nil"/>
              <w:bottom w:val="nil"/>
              <w:right w:val="nil"/>
            </w:tcBorders>
          </w:tcPr>
          <w:p w14:paraId="2F98E66D"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-0.055***</w:t>
            </w:r>
          </w:p>
        </w:tc>
        <w:tc>
          <w:tcPr>
            <w:tcW w:w="1530" w:type="dxa"/>
            <w:tcBorders>
              <w:top w:val="nil"/>
              <w:left w:val="nil"/>
              <w:bottom w:val="nil"/>
              <w:right w:val="nil"/>
            </w:tcBorders>
          </w:tcPr>
          <w:p w14:paraId="17CCA1B7"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-0.054**</w:t>
            </w:r>
          </w:p>
        </w:tc>
      </w:tr>
      <w:tr w:rsidR="00DB6C99" w:rsidRPr="00DB6C99" w14:paraId="27895A0C" w14:textId="77777777" w:rsidTr="007C344D">
        <w:trPr>
          <w:jc w:val="center"/>
        </w:trPr>
        <w:tc>
          <w:tcPr>
            <w:tcW w:w="2160" w:type="dxa"/>
            <w:tcBorders>
              <w:top w:val="nil"/>
              <w:left w:val="nil"/>
              <w:bottom w:val="nil"/>
              <w:right w:val="nil"/>
            </w:tcBorders>
            <w:vAlign w:val="center"/>
          </w:tcPr>
          <w:p w14:paraId="523BEE44" w14:textId="77777777" w:rsidR="00600E5E" w:rsidRPr="00DB6C99" w:rsidRDefault="00600E5E" w:rsidP="00600E5E">
            <w:pPr>
              <w:widowControl w:val="0"/>
              <w:autoSpaceDE w:val="0"/>
              <w:autoSpaceDN w:val="0"/>
              <w:adjustRightInd w:val="0"/>
              <w:spacing w:after="0" w:line="240" w:lineRule="auto"/>
              <w:rPr>
                <w:rFonts w:ascii="Garamond" w:hAnsi="Garamond"/>
                <w:sz w:val="20"/>
                <w:szCs w:val="20"/>
              </w:rPr>
            </w:pPr>
          </w:p>
        </w:tc>
        <w:tc>
          <w:tcPr>
            <w:tcW w:w="1980" w:type="dxa"/>
            <w:tcBorders>
              <w:top w:val="nil"/>
              <w:left w:val="nil"/>
              <w:bottom w:val="nil"/>
              <w:right w:val="nil"/>
            </w:tcBorders>
          </w:tcPr>
          <w:p w14:paraId="603083C3" w14:textId="565F2240"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cs="Times New Roman"/>
                <w:sz w:val="20"/>
                <w:szCs w:val="20"/>
              </w:rPr>
              <w:t>(-2.71)</w:t>
            </w:r>
          </w:p>
        </w:tc>
        <w:tc>
          <w:tcPr>
            <w:tcW w:w="1890" w:type="dxa"/>
            <w:tcBorders>
              <w:top w:val="nil"/>
              <w:left w:val="nil"/>
              <w:bottom w:val="nil"/>
              <w:right w:val="nil"/>
            </w:tcBorders>
          </w:tcPr>
          <w:p w14:paraId="403BC09B"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(-1.66)</w:t>
            </w:r>
          </w:p>
        </w:tc>
        <w:tc>
          <w:tcPr>
            <w:tcW w:w="1800" w:type="dxa"/>
            <w:tcBorders>
              <w:top w:val="nil"/>
              <w:left w:val="nil"/>
              <w:bottom w:val="nil"/>
              <w:right w:val="nil"/>
            </w:tcBorders>
          </w:tcPr>
          <w:p w14:paraId="4F58E24F"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(-2.71)</w:t>
            </w:r>
          </w:p>
        </w:tc>
        <w:tc>
          <w:tcPr>
            <w:tcW w:w="1530" w:type="dxa"/>
            <w:tcBorders>
              <w:top w:val="nil"/>
              <w:left w:val="nil"/>
              <w:bottom w:val="nil"/>
              <w:right w:val="nil"/>
            </w:tcBorders>
          </w:tcPr>
          <w:p w14:paraId="1FEECF09"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(-2.42)</w:t>
            </w:r>
          </w:p>
        </w:tc>
      </w:tr>
      <w:tr w:rsidR="00DB6C99" w:rsidRPr="00DB6C99" w14:paraId="1FB3E831" w14:textId="77777777" w:rsidTr="007C344D">
        <w:trPr>
          <w:jc w:val="center"/>
        </w:trPr>
        <w:tc>
          <w:tcPr>
            <w:tcW w:w="2160" w:type="dxa"/>
            <w:tcBorders>
              <w:top w:val="nil"/>
              <w:left w:val="nil"/>
              <w:bottom w:val="nil"/>
              <w:right w:val="nil"/>
            </w:tcBorders>
            <w:vAlign w:val="center"/>
          </w:tcPr>
          <w:p w14:paraId="5B5046AA" w14:textId="77777777" w:rsidR="00600E5E" w:rsidRPr="00DB6C99" w:rsidRDefault="00600E5E" w:rsidP="00600E5E">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lang w:val="en-GB"/>
              </w:rPr>
              <w:t>DUAL</w:t>
            </w:r>
          </w:p>
        </w:tc>
        <w:tc>
          <w:tcPr>
            <w:tcW w:w="1980" w:type="dxa"/>
            <w:tcBorders>
              <w:top w:val="nil"/>
              <w:left w:val="nil"/>
              <w:bottom w:val="nil"/>
              <w:right w:val="nil"/>
            </w:tcBorders>
          </w:tcPr>
          <w:p w14:paraId="31B3CC76" w14:textId="3269FBC9"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cs="Times New Roman"/>
                <w:sz w:val="20"/>
                <w:szCs w:val="20"/>
              </w:rPr>
              <w:t>-0.022</w:t>
            </w:r>
          </w:p>
        </w:tc>
        <w:tc>
          <w:tcPr>
            <w:tcW w:w="1890" w:type="dxa"/>
            <w:tcBorders>
              <w:top w:val="nil"/>
              <w:left w:val="nil"/>
              <w:bottom w:val="nil"/>
              <w:right w:val="nil"/>
            </w:tcBorders>
          </w:tcPr>
          <w:p w14:paraId="59B7A980"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0.004</w:t>
            </w:r>
          </w:p>
        </w:tc>
        <w:tc>
          <w:tcPr>
            <w:tcW w:w="1800" w:type="dxa"/>
            <w:tcBorders>
              <w:top w:val="nil"/>
              <w:left w:val="nil"/>
              <w:bottom w:val="nil"/>
              <w:right w:val="nil"/>
            </w:tcBorders>
          </w:tcPr>
          <w:p w14:paraId="75EE7D25"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-0.018</w:t>
            </w:r>
          </w:p>
        </w:tc>
        <w:tc>
          <w:tcPr>
            <w:tcW w:w="1530" w:type="dxa"/>
            <w:tcBorders>
              <w:top w:val="nil"/>
              <w:left w:val="nil"/>
              <w:bottom w:val="nil"/>
              <w:right w:val="nil"/>
            </w:tcBorders>
          </w:tcPr>
          <w:p w14:paraId="5943F8FD"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-0.001</w:t>
            </w:r>
          </w:p>
        </w:tc>
      </w:tr>
      <w:tr w:rsidR="00DB6C99" w:rsidRPr="00DB6C99" w14:paraId="612417A2" w14:textId="77777777" w:rsidTr="007C344D">
        <w:trPr>
          <w:jc w:val="center"/>
        </w:trPr>
        <w:tc>
          <w:tcPr>
            <w:tcW w:w="2160" w:type="dxa"/>
            <w:tcBorders>
              <w:top w:val="nil"/>
              <w:left w:val="nil"/>
              <w:bottom w:val="nil"/>
              <w:right w:val="nil"/>
            </w:tcBorders>
            <w:vAlign w:val="center"/>
          </w:tcPr>
          <w:p w14:paraId="53DF50F4" w14:textId="77777777" w:rsidR="00600E5E" w:rsidRPr="00DB6C99" w:rsidRDefault="00600E5E" w:rsidP="00600E5E">
            <w:pPr>
              <w:widowControl w:val="0"/>
              <w:autoSpaceDE w:val="0"/>
              <w:autoSpaceDN w:val="0"/>
              <w:adjustRightInd w:val="0"/>
              <w:spacing w:after="0" w:line="240" w:lineRule="auto"/>
              <w:rPr>
                <w:rFonts w:ascii="Garamond" w:hAnsi="Garamond"/>
                <w:sz w:val="20"/>
                <w:szCs w:val="20"/>
              </w:rPr>
            </w:pPr>
          </w:p>
        </w:tc>
        <w:tc>
          <w:tcPr>
            <w:tcW w:w="1980" w:type="dxa"/>
            <w:tcBorders>
              <w:top w:val="nil"/>
              <w:left w:val="nil"/>
              <w:bottom w:val="nil"/>
              <w:right w:val="nil"/>
            </w:tcBorders>
          </w:tcPr>
          <w:p w14:paraId="3931807A" w14:textId="72F6B66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cs="Times New Roman"/>
                <w:sz w:val="20"/>
                <w:szCs w:val="20"/>
              </w:rPr>
              <w:t>(-1.01)</w:t>
            </w:r>
          </w:p>
        </w:tc>
        <w:tc>
          <w:tcPr>
            <w:tcW w:w="1890" w:type="dxa"/>
            <w:tcBorders>
              <w:top w:val="nil"/>
              <w:left w:val="nil"/>
              <w:bottom w:val="nil"/>
              <w:right w:val="nil"/>
            </w:tcBorders>
          </w:tcPr>
          <w:p w14:paraId="3B1A8803"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(0.11)</w:t>
            </w:r>
          </w:p>
        </w:tc>
        <w:tc>
          <w:tcPr>
            <w:tcW w:w="1800" w:type="dxa"/>
            <w:tcBorders>
              <w:top w:val="nil"/>
              <w:left w:val="nil"/>
              <w:bottom w:val="nil"/>
              <w:right w:val="nil"/>
            </w:tcBorders>
          </w:tcPr>
          <w:p w14:paraId="03E09DB5"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(-1.10)</w:t>
            </w:r>
          </w:p>
        </w:tc>
        <w:tc>
          <w:tcPr>
            <w:tcW w:w="1530" w:type="dxa"/>
            <w:tcBorders>
              <w:top w:val="nil"/>
              <w:left w:val="nil"/>
              <w:bottom w:val="nil"/>
              <w:right w:val="nil"/>
            </w:tcBorders>
          </w:tcPr>
          <w:p w14:paraId="5B0EC839"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(-0.05)</w:t>
            </w:r>
          </w:p>
        </w:tc>
      </w:tr>
      <w:tr w:rsidR="00DB6C99" w:rsidRPr="00DB6C99" w14:paraId="2F4518C7" w14:textId="77777777" w:rsidTr="007C344D">
        <w:trPr>
          <w:jc w:val="center"/>
        </w:trPr>
        <w:tc>
          <w:tcPr>
            <w:tcW w:w="2160" w:type="dxa"/>
            <w:tcBorders>
              <w:top w:val="nil"/>
              <w:left w:val="nil"/>
              <w:bottom w:val="nil"/>
              <w:right w:val="nil"/>
            </w:tcBorders>
            <w:vAlign w:val="center"/>
          </w:tcPr>
          <w:p w14:paraId="40AB9564" w14:textId="77777777" w:rsidR="00600E5E" w:rsidRPr="00DB6C99" w:rsidRDefault="00600E5E" w:rsidP="00600E5E">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lang w:val="en-GB"/>
              </w:rPr>
              <w:t>PM</w:t>
            </w:r>
          </w:p>
        </w:tc>
        <w:tc>
          <w:tcPr>
            <w:tcW w:w="1980" w:type="dxa"/>
            <w:tcBorders>
              <w:top w:val="nil"/>
              <w:left w:val="nil"/>
              <w:bottom w:val="nil"/>
              <w:right w:val="nil"/>
            </w:tcBorders>
          </w:tcPr>
          <w:p w14:paraId="118EFA9E" w14:textId="5C1A8022"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cs="Times New Roman"/>
                <w:sz w:val="20"/>
                <w:szCs w:val="20"/>
              </w:rPr>
              <w:t>-0.063</w:t>
            </w:r>
          </w:p>
        </w:tc>
        <w:tc>
          <w:tcPr>
            <w:tcW w:w="1890" w:type="dxa"/>
            <w:tcBorders>
              <w:top w:val="nil"/>
              <w:left w:val="nil"/>
              <w:bottom w:val="nil"/>
              <w:right w:val="nil"/>
            </w:tcBorders>
          </w:tcPr>
          <w:p w14:paraId="35313858"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-0.003</w:t>
            </w:r>
          </w:p>
        </w:tc>
        <w:tc>
          <w:tcPr>
            <w:tcW w:w="1800" w:type="dxa"/>
            <w:tcBorders>
              <w:top w:val="nil"/>
              <w:left w:val="nil"/>
              <w:bottom w:val="nil"/>
              <w:right w:val="nil"/>
            </w:tcBorders>
          </w:tcPr>
          <w:p w14:paraId="3C4B639B"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0.121*</w:t>
            </w:r>
          </w:p>
        </w:tc>
        <w:tc>
          <w:tcPr>
            <w:tcW w:w="1530" w:type="dxa"/>
            <w:tcBorders>
              <w:top w:val="nil"/>
              <w:left w:val="nil"/>
              <w:bottom w:val="nil"/>
              <w:right w:val="nil"/>
            </w:tcBorders>
          </w:tcPr>
          <w:p w14:paraId="333910C5"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0.172**</w:t>
            </w:r>
          </w:p>
        </w:tc>
      </w:tr>
      <w:tr w:rsidR="00DB6C99" w:rsidRPr="00DB6C99" w14:paraId="4EA67AC1" w14:textId="77777777" w:rsidTr="007C344D">
        <w:trPr>
          <w:jc w:val="center"/>
        </w:trPr>
        <w:tc>
          <w:tcPr>
            <w:tcW w:w="2160" w:type="dxa"/>
            <w:tcBorders>
              <w:top w:val="nil"/>
              <w:left w:val="nil"/>
              <w:bottom w:val="nil"/>
              <w:right w:val="nil"/>
            </w:tcBorders>
            <w:vAlign w:val="center"/>
          </w:tcPr>
          <w:p w14:paraId="08D46183" w14:textId="77777777" w:rsidR="00600E5E" w:rsidRPr="00DB6C99" w:rsidRDefault="00600E5E" w:rsidP="00600E5E">
            <w:pPr>
              <w:widowControl w:val="0"/>
              <w:autoSpaceDE w:val="0"/>
              <w:autoSpaceDN w:val="0"/>
              <w:adjustRightInd w:val="0"/>
              <w:spacing w:after="0" w:line="240" w:lineRule="auto"/>
              <w:rPr>
                <w:rFonts w:ascii="Garamond" w:hAnsi="Garamond"/>
                <w:sz w:val="20"/>
                <w:szCs w:val="20"/>
              </w:rPr>
            </w:pPr>
          </w:p>
        </w:tc>
        <w:tc>
          <w:tcPr>
            <w:tcW w:w="1980" w:type="dxa"/>
            <w:tcBorders>
              <w:top w:val="nil"/>
              <w:left w:val="nil"/>
              <w:bottom w:val="nil"/>
              <w:right w:val="nil"/>
            </w:tcBorders>
          </w:tcPr>
          <w:p w14:paraId="56ADA28C" w14:textId="7C690CBF"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cs="Times New Roman"/>
                <w:sz w:val="20"/>
                <w:szCs w:val="20"/>
              </w:rPr>
              <w:t>(-0.79)</w:t>
            </w:r>
          </w:p>
        </w:tc>
        <w:tc>
          <w:tcPr>
            <w:tcW w:w="1890" w:type="dxa"/>
            <w:tcBorders>
              <w:top w:val="nil"/>
              <w:left w:val="nil"/>
              <w:bottom w:val="nil"/>
              <w:right w:val="nil"/>
            </w:tcBorders>
          </w:tcPr>
          <w:p w14:paraId="5E41CB65"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(-0.02)</w:t>
            </w:r>
          </w:p>
        </w:tc>
        <w:tc>
          <w:tcPr>
            <w:tcW w:w="1800" w:type="dxa"/>
            <w:tcBorders>
              <w:top w:val="nil"/>
              <w:left w:val="nil"/>
              <w:bottom w:val="nil"/>
              <w:right w:val="nil"/>
            </w:tcBorders>
          </w:tcPr>
          <w:p w14:paraId="1D24C92B"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(1.87)</w:t>
            </w:r>
          </w:p>
        </w:tc>
        <w:tc>
          <w:tcPr>
            <w:tcW w:w="1530" w:type="dxa"/>
            <w:tcBorders>
              <w:top w:val="nil"/>
              <w:left w:val="nil"/>
              <w:bottom w:val="nil"/>
              <w:right w:val="nil"/>
            </w:tcBorders>
          </w:tcPr>
          <w:p w14:paraId="27464A8B"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(2.24)</w:t>
            </w:r>
          </w:p>
        </w:tc>
      </w:tr>
      <w:tr w:rsidR="00DB6C99" w:rsidRPr="00DB6C99" w14:paraId="3CB2D429" w14:textId="77777777" w:rsidTr="007C344D">
        <w:trPr>
          <w:jc w:val="center"/>
        </w:trPr>
        <w:tc>
          <w:tcPr>
            <w:tcW w:w="2160" w:type="dxa"/>
            <w:tcBorders>
              <w:top w:val="nil"/>
              <w:left w:val="nil"/>
              <w:bottom w:val="nil"/>
              <w:right w:val="nil"/>
            </w:tcBorders>
            <w:vAlign w:val="center"/>
          </w:tcPr>
          <w:p w14:paraId="63C02A28" w14:textId="77777777" w:rsidR="00600E5E" w:rsidRPr="00DB6C99" w:rsidRDefault="00600E5E" w:rsidP="00600E5E">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lang w:val="en-GB"/>
              </w:rPr>
              <w:t>ROA</w:t>
            </w:r>
          </w:p>
        </w:tc>
        <w:tc>
          <w:tcPr>
            <w:tcW w:w="1980" w:type="dxa"/>
            <w:tcBorders>
              <w:top w:val="nil"/>
              <w:left w:val="nil"/>
              <w:bottom w:val="nil"/>
              <w:right w:val="nil"/>
            </w:tcBorders>
          </w:tcPr>
          <w:p w14:paraId="5E1E3DE3" w14:textId="53C8C8EB"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cs="Times New Roman"/>
                <w:sz w:val="20"/>
                <w:szCs w:val="20"/>
              </w:rPr>
              <w:t>0.056</w:t>
            </w:r>
          </w:p>
        </w:tc>
        <w:tc>
          <w:tcPr>
            <w:tcW w:w="1890" w:type="dxa"/>
            <w:tcBorders>
              <w:top w:val="nil"/>
              <w:left w:val="nil"/>
              <w:bottom w:val="nil"/>
              <w:right w:val="nil"/>
            </w:tcBorders>
          </w:tcPr>
          <w:p w14:paraId="493902E2"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0.007</w:t>
            </w:r>
          </w:p>
        </w:tc>
        <w:tc>
          <w:tcPr>
            <w:tcW w:w="1800" w:type="dxa"/>
            <w:tcBorders>
              <w:top w:val="nil"/>
              <w:left w:val="nil"/>
              <w:bottom w:val="nil"/>
              <w:right w:val="nil"/>
            </w:tcBorders>
          </w:tcPr>
          <w:p w14:paraId="2B3074A4"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-0.098</w:t>
            </w:r>
          </w:p>
        </w:tc>
        <w:tc>
          <w:tcPr>
            <w:tcW w:w="1530" w:type="dxa"/>
            <w:tcBorders>
              <w:top w:val="nil"/>
              <w:left w:val="nil"/>
              <w:bottom w:val="nil"/>
              <w:right w:val="nil"/>
            </w:tcBorders>
          </w:tcPr>
          <w:p w14:paraId="7CF77790"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-0.185</w:t>
            </w:r>
          </w:p>
        </w:tc>
      </w:tr>
      <w:tr w:rsidR="00DB6C99" w:rsidRPr="00DB6C99" w14:paraId="78E5589E" w14:textId="77777777" w:rsidTr="007C344D">
        <w:trPr>
          <w:jc w:val="center"/>
        </w:trPr>
        <w:tc>
          <w:tcPr>
            <w:tcW w:w="2160" w:type="dxa"/>
            <w:tcBorders>
              <w:top w:val="nil"/>
              <w:left w:val="nil"/>
              <w:bottom w:val="nil"/>
              <w:right w:val="nil"/>
            </w:tcBorders>
            <w:vAlign w:val="center"/>
          </w:tcPr>
          <w:p w14:paraId="338204AF" w14:textId="77777777" w:rsidR="00600E5E" w:rsidRPr="00DB6C99" w:rsidRDefault="00600E5E" w:rsidP="00600E5E">
            <w:pPr>
              <w:widowControl w:val="0"/>
              <w:autoSpaceDE w:val="0"/>
              <w:autoSpaceDN w:val="0"/>
              <w:adjustRightInd w:val="0"/>
              <w:spacing w:after="0" w:line="240" w:lineRule="auto"/>
              <w:rPr>
                <w:rFonts w:ascii="Garamond" w:hAnsi="Garamond"/>
                <w:sz w:val="20"/>
                <w:szCs w:val="20"/>
              </w:rPr>
            </w:pPr>
          </w:p>
        </w:tc>
        <w:tc>
          <w:tcPr>
            <w:tcW w:w="1980" w:type="dxa"/>
            <w:tcBorders>
              <w:top w:val="nil"/>
              <w:left w:val="nil"/>
              <w:bottom w:val="nil"/>
              <w:right w:val="nil"/>
            </w:tcBorders>
          </w:tcPr>
          <w:p w14:paraId="1DFA749C" w14:textId="595E49CC"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cs="Times New Roman"/>
                <w:sz w:val="20"/>
                <w:szCs w:val="20"/>
              </w:rPr>
              <w:t>(0.37)</w:t>
            </w:r>
          </w:p>
        </w:tc>
        <w:tc>
          <w:tcPr>
            <w:tcW w:w="1890" w:type="dxa"/>
            <w:tcBorders>
              <w:top w:val="nil"/>
              <w:left w:val="nil"/>
              <w:bottom w:val="nil"/>
              <w:right w:val="nil"/>
            </w:tcBorders>
          </w:tcPr>
          <w:p w14:paraId="2C583FA4"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(0.03)</w:t>
            </w:r>
          </w:p>
        </w:tc>
        <w:tc>
          <w:tcPr>
            <w:tcW w:w="1800" w:type="dxa"/>
            <w:tcBorders>
              <w:top w:val="nil"/>
              <w:left w:val="nil"/>
              <w:bottom w:val="nil"/>
              <w:right w:val="nil"/>
            </w:tcBorders>
          </w:tcPr>
          <w:p w14:paraId="508E4E8B"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(-0.74)</w:t>
            </w:r>
          </w:p>
        </w:tc>
        <w:tc>
          <w:tcPr>
            <w:tcW w:w="1530" w:type="dxa"/>
            <w:tcBorders>
              <w:top w:val="nil"/>
              <w:left w:val="nil"/>
              <w:bottom w:val="nil"/>
              <w:right w:val="nil"/>
            </w:tcBorders>
          </w:tcPr>
          <w:p w14:paraId="7E680DC6"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(-1.19)</w:t>
            </w:r>
          </w:p>
        </w:tc>
      </w:tr>
      <w:tr w:rsidR="00DB6C99" w:rsidRPr="00DB6C99" w14:paraId="3B270624" w14:textId="77777777" w:rsidTr="007C344D">
        <w:trPr>
          <w:jc w:val="center"/>
        </w:trPr>
        <w:tc>
          <w:tcPr>
            <w:tcW w:w="2160" w:type="dxa"/>
            <w:tcBorders>
              <w:top w:val="nil"/>
              <w:left w:val="nil"/>
              <w:bottom w:val="nil"/>
              <w:right w:val="nil"/>
            </w:tcBorders>
            <w:vAlign w:val="center"/>
          </w:tcPr>
          <w:p w14:paraId="118590A0" w14:textId="77777777" w:rsidR="00600E5E" w:rsidRPr="00DB6C99" w:rsidRDefault="00600E5E" w:rsidP="00600E5E">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lang w:val="en-GB"/>
              </w:rPr>
              <w:t>CI</w:t>
            </w:r>
          </w:p>
        </w:tc>
        <w:tc>
          <w:tcPr>
            <w:tcW w:w="1980" w:type="dxa"/>
            <w:tcBorders>
              <w:top w:val="nil"/>
              <w:left w:val="nil"/>
              <w:bottom w:val="nil"/>
              <w:right w:val="nil"/>
            </w:tcBorders>
          </w:tcPr>
          <w:p w14:paraId="4C09FAE7" w14:textId="2CED279C"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cs="Times New Roman"/>
                <w:sz w:val="20"/>
                <w:szCs w:val="20"/>
              </w:rPr>
              <w:t>0.014***</w:t>
            </w:r>
          </w:p>
        </w:tc>
        <w:tc>
          <w:tcPr>
            <w:tcW w:w="1890" w:type="dxa"/>
            <w:tcBorders>
              <w:top w:val="nil"/>
              <w:left w:val="nil"/>
              <w:bottom w:val="nil"/>
              <w:right w:val="nil"/>
            </w:tcBorders>
          </w:tcPr>
          <w:p w14:paraId="35EB5346"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0.023*</w:t>
            </w:r>
          </w:p>
        </w:tc>
        <w:tc>
          <w:tcPr>
            <w:tcW w:w="1800" w:type="dxa"/>
            <w:tcBorders>
              <w:top w:val="nil"/>
              <w:left w:val="nil"/>
              <w:bottom w:val="nil"/>
              <w:right w:val="nil"/>
            </w:tcBorders>
          </w:tcPr>
          <w:p w14:paraId="1FE678BA"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0.000</w:t>
            </w:r>
          </w:p>
        </w:tc>
        <w:tc>
          <w:tcPr>
            <w:tcW w:w="1530" w:type="dxa"/>
            <w:tcBorders>
              <w:top w:val="nil"/>
              <w:left w:val="nil"/>
              <w:bottom w:val="nil"/>
              <w:right w:val="nil"/>
            </w:tcBorders>
          </w:tcPr>
          <w:p w14:paraId="67B2384E"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0.001*</w:t>
            </w:r>
          </w:p>
        </w:tc>
      </w:tr>
      <w:tr w:rsidR="00DB6C99" w:rsidRPr="00DB6C99" w14:paraId="2EACF8C8" w14:textId="77777777" w:rsidTr="007C344D">
        <w:trPr>
          <w:jc w:val="center"/>
        </w:trPr>
        <w:tc>
          <w:tcPr>
            <w:tcW w:w="2160" w:type="dxa"/>
            <w:tcBorders>
              <w:top w:val="nil"/>
              <w:left w:val="nil"/>
              <w:bottom w:val="nil"/>
              <w:right w:val="nil"/>
            </w:tcBorders>
            <w:vAlign w:val="center"/>
          </w:tcPr>
          <w:p w14:paraId="63236BF1" w14:textId="77777777" w:rsidR="00600E5E" w:rsidRPr="00DB6C99" w:rsidRDefault="00600E5E" w:rsidP="00600E5E">
            <w:pPr>
              <w:widowControl w:val="0"/>
              <w:autoSpaceDE w:val="0"/>
              <w:autoSpaceDN w:val="0"/>
              <w:adjustRightInd w:val="0"/>
              <w:spacing w:after="0" w:line="240" w:lineRule="auto"/>
              <w:rPr>
                <w:rFonts w:ascii="Garamond" w:hAnsi="Garamond"/>
                <w:sz w:val="20"/>
                <w:szCs w:val="20"/>
              </w:rPr>
            </w:pPr>
          </w:p>
        </w:tc>
        <w:tc>
          <w:tcPr>
            <w:tcW w:w="1980" w:type="dxa"/>
            <w:tcBorders>
              <w:top w:val="nil"/>
              <w:left w:val="nil"/>
              <w:bottom w:val="nil"/>
              <w:right w:val="nil"/>
            </w:tcBorders>
          </w:tcPr>
          <w:p w14:paraId="60F0E6B9" w14:textId="4BC1D153"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cs="Times New Roman"/>
                <w:sz w:val="20"/>
                <w:szCs w:val="20"/>
              </w:rPr>
              <w:t>(3.15)</w:t>
            </w:r>
          </w:p>
        </w:tc>
        <w:tc>
          <w:tcPr>
            <w:tcW w:w="1890" w:type="dxa"/>
            <w:tcBorders>
              <w:top w:val="nil"/>
              <w:left w:val="nil"/>
              <w:bottom w:val="nil"/>
              <w:right w:val="nil"/>
            </w:tcBorders>
          </w:tcPr>
          <w:p w14:paraId="14D02FCF"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(1.88)</w:t>
            </w:r>
          </w:p>
        </w:tc>
        <w:tc>
          <w:tcPr>
            <w:tcW w:w="1800" w:type="dxa"/>
            <w:tcBorders>
              <w:top w:val="nil"/>
              <w:left w:val="nil"/>
              <w:bottom w:val="nil"/>
              <w:right w:val="nil"/>
            </w:tcBorders>
          </w:tcPr>
          <w:p w14:paraId="11C6E18F"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(0.09)</w:t>
            </w:r>
          </w:p>
        </w:tc>
        <w:tc>
          <w:tcPr>
            <w:tcW w:w="1530" w:type="dxa"/>
            <w:tcBorders>
              <w:top w:val="nil"/>
              <w:left w:val="nil"/>
              <w:bottom w:val="nil"/>
              <w:right w:val="nil"/>
            </w:tcBorders>
          </w:tcPr>
          <w:p w14:paraId="15C7D7C2"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(1.72)</w:t>
            </w:r>
          </w:p>
        </w:tc>
      </w:tr>
      <w:tr w:rsidR="00DB6C99" w:rsidRPr="00DB6C99" w14:paraId="6405F130" w14:textId="77777777" w:rsidTr="007C344D">
        <w:trPr>
          <w:jc w:val="center"/>
        </w:trPr>
        <w:tc>
          <w:tcPr>
            <w:tcW w:w="2160" w:type="dxa"/>
            <w:tcBorders>
              <w:top w:val="nil"/>
              <w:left w:val="nil"/>
              <w:bottom w:val="nil"/>
              <w:right w:val="nil"/>
            </w:tcBorders>
            <w:vAlign w:val="center"/>
          </w:tcPr>
          <w:p w14:paraId="3CD0D930" w14:textId="77777777" w:rsidR="00600E5E" w:rsidRPr="00DB6C99" w:rsidRDefault="00600E5E" w:rsidP="00600E5E">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lang w:val="en-GB"/>
              </w:rPr>
              <w:t>R&amp;D</w:t>
            </w:r>
          </w:p>
        </w:tc>
        <w:tc>
          <w:tcPr>
            <w:tcW w:w="1980" w:type="dxa"/>
            <w:tcBorders>
              <w:top w:val="nil"/>
              <w:left w:val="nil"/>
              <w:bottom w:val="nil"/>
              <w:right w:val="nil"/>
            </w:tcBorders>
          </w:tcPr>
          <w:p w14:paraId="3328D9AF" w14:textId="34C3EAAE"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cs="Times New Roman"/>
                <w:sz w:val="20"/>
                <w:szCs w:val="20"/>
              </w:rPr>
              <w:t>0.423*</w:t>
            </w:r>
          </w:p>
        </w:tc>
        <w:tc>
          <w:tcPr>
            <w:tcW w:w="1890" w:type="dxa"/>
            <w:tcBorders>
              <w:top w:val="nil"/>
              <w:left w:val="nil"/>
              <w:bottom w:val="nil"/>
              <w:right w:val="nil"/>
            </w:tcBorders>
          </w:tcPr>
          <w:p w14:paraId="4133E0D9"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0.297</w:t>
            </w:r>
          </w:p>
        </w:tc>
        <w:tc>
          <w:tcPr>
            <w:tcW w:w="1800" w:type="dxa"/>
            <w:tcBorders>
              <w:top w:val="nil"/>
              <w:left w:val="nil"/>
              <w:bottom w:val="nil"/>
              <w:right w:val="nil"/>
            </w:tcBorders>
          </w:tcPr>
          <w:p w14:paraId="7E45A93D"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0.383***</w:t>
            </w:r>
          </w:p>
        </w:tc>
        <w:tc>
          <w:tcPr>
            <w:tcW w:w="1530" w:type="dxa"/>
            <w:tcBorders>
              <w:top w:val="nil"/>
              <w:left w:val="nil"/>
              <w:bottom w:val="nil"/>
              <w:right w:val="nil"/>
            </w:tcBorders>
          </w:tcPr>
          <w:p w14:paraId="517A8325"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0.417***</w:t>
            </w:r>
          </w:p>
        </w:tc>
      </w:tr>
      <w:tr w:rsidR="00DB6C99" w:rsidRPr="00DB6C99" w14:paraId="16CC146C" w14:textId="77777777" w:rsidTr="007C344D">
        <w:trPr>
          <w:jc w:val="center"/>
        </w:trPr>
        <w:tc>
          <w:tcPr>
            <w:tcW w:w="2160" w:type="dxa"/>
            <w:tcBorders>
              <w:top w:val="nil"/>
              <w:left w:val="nil"/>
              <w:bottom w:val="nil"/>
              <w:right w:val="nil"/>
            </w:tcBorders>
            <w:vAlign w:val="center"/>
          </w:tcPr>
          <w:p w14:paraId="5302BAF8" w14:textId="77777777" w:rsidR="00600E5E" w:rsidRPr="00DB6C99" w:rsidRDefault="00600E5E" w:rsidP="00600E5E">
            <w:pPr>
              <w:widowControl w:val="0"/>
              <w:autoSpaceDE w:val="0"/>
              <w:autoSpaceDN w:val="0"/>
              <w:adjustRightInd w:val="0"/>
              <w:spacing w:after="0" w:line="240" w:lineRule="auto"/>
              <w:rPr>
                <w:rFonts w:ascii="Garamond" w:hAnsi="Garamond"/>
                <w:sz w:val="20"/>
                <w:szCs w:val="20"/>
              </w:rPr>
            </w:pPr>
          </w:p>
        </w:tc>
        <w:tc>
          <w:tcPr>
            <w:tcW w:w="1980" w:type="dxa"/>
            <w:tcBorders>
              <w:top w:val="nil"/>
              <w:left w:val="nil"/>
              <w:bottom w:val="nil"/>
              <w:right w:val="nil"/>
            </w:tcBorders>
          </w:tcPr>
          <w:p w14:paraId="2ACB9197" w14:textId="6668BDBB"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cs="Times New Roman"/>
                <w:sz w:val="20"/>
                <w:szCs w:val="20"/>
              </w:rPr>
              <w:t>(1.94)</w:t>
            </w:r>
          </w:p>
        </w:tc>
        <w:tc>
          <w:tcPr>
            <w:tcW w:w="1890" w:type="dxa"/>
            <w:tcBorders>
              <w:top w:val="nil"/>
              <w:left w:val="nil"/>
              <w:bottom w:val="nil"/>
              <w:right w:val="nil"/>
            </w:tcBorders>
          </w:tcPr>
          <w:p w14:paraId="5E9D0AFF"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(0.65)</w:t>
            </w:r>
          </w:p>
        </w:tc>
        <w:tc>
          <w:tcPr>
            <w:tcW w:w="1800" w:type="dxa"/>
            <w:tcBorders>
              <w:top w:val="nil"/>
              <w:left w:val="nil"/>
              <w:bottom w:val="nil"/>
              <w:right w:val="nil"/>
            </w:tcBorders>
          </w:tcPr>
          <w:p w14:paraId="49BBBADE"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(3.85)</w:t>
            </w:r>
          </w:p>
        </w:tc>
        <w:tc>
          <w:tcPr>
            <w:tcW w:w="1530" w:type="dxa"/>
            <w:tcBorders>
              <w:top w:val="nil"/>
              <w:left w:val="nil"/>
              <w:bottom w:val="nil"/>
              <w:right w:val="nil"/>
            </w:tcBorders>
          </w:tcPr>
          <w:p w14:paraId="41FCB582"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(3.58)</w:t>
            </w:r>
          </w:p>
        </w:tc>
      </w:tr>
      <w:tr w:rsidR="00DB6C99" w:rsidRPr="00DB6C99" w14:paraId="26BE5C61" w14:textId="77777777" w:rsidTr="007C344D">
        <w:trPr>
          <w:jc w:val="center"/>
        </w:trPr>
        <w:tc>
          <w:tcPr>
            <w:tcW w:w="2160" w:type="dxa"/>
            <w:tcBorders>
              <w:top w:val="nil"/>
              <w:left w:val="nil"/>
              <w:bottom w:val="nil"/>
              <w:right w:val="nil"/>
            </w:tcBorders>
            <w:vAlign w:val="center"/>
          </w:tcPr>
          <w:p w14:paraId="2E381EB2" w14:textId="77777777" w:rsidR="00600E5E" w:rsidRPr="00DB6C99" w:rsidRDefault="00600E5E" w:rsidP="00600E5E">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lang w:val="en-GB"/>
              </w:rPr>
              <w:t>AFE</w:t>
            </w:r>
          </w:p>
        </w:tc>
        <w:tc>
          <w:tcPr>
            <w:tcW w:w="1980" w:type="dxa"/>
            <w:tcBorders>
              <w:top w:val="nil"/>
              <w:left w:val="nil"/>
              <w:bottom w:val="nil"/>
              <w:right w:val="nil"/>
            </w:tcBorders>
          </w:tcPr>
          <w:p w14:paraId="39FE53A1" w14:textId="4A55B4EB"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cs="Times New Roman"/>
                <w:sz w:val="20"/>
                <w:szCs w:val="20"/>
              </w:rPr>
              <w:t>0.000</w:t>
            </w:r>
          </w:p>
        </w:tc>
        <w:tc>
          <w:tcPr>
            <w:tcW w:w="1890" w:type="dxa"/>
            <w:tcBorders>
              <w:top w:val="nil"/>
              <w:left w:val="nil"/>
              <w:bottom w:val="nil"/>
              <w:right w:val="nil"/>
            </w:tcBorders>
          </w:tcPr>
          <w:p w14:paraId="6CDB0D78"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0.000</w:t>
            </w:r>
          </w:p>
        </w:tc>
        <w:tc>
          <w:tcPr>
            <w:tcW w:w="1800" w:type="dxa"/>
            <w:tcBorders>
              <w:top w:val="nil"/>
              <w:left w:val="nil"/>
              <w:bottom w:val="nil"/>
              <w:right w:val="nil"/>
            </w:tcBorders>
          </w:tcPr>
          <w:p w14:paraId="2AA0A776"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0.000</w:t>
            </w:r>
          </w:p>
        </w:tc>
        <w:tc>
          <w:tcPr>
            <w:tcW w:w="1530" w:type="dxa"/>
            <w:tcBorders>
              <w:top w:val="nil"/>
              <w:left w:val="nil"/>
              <w:bottom w:val="nil"/>
              <w:right w:val="nil"/>
            </w:tcBorders>
          </w:tcPr>
          <w:p w14:paraId="70451EE0"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-0.000</w:t>
            </w:r>
          </w:p>
        </w:tc>
      </w:tr>
      <w:tr w:rsidR="00DB6C99" w:rsidRPr="00DB6C99" w14:paraId="45A51E09" w14:textId="77777777" w:rsidTr="007C344D">
        <w:trPr>
          <w:jc w:val="center"/>
        </w:trPr>
        <w:tc>
          <w:tcPr>
            <w:tcW w:w="2160" w:type="dxa"/>
            <w:tcBorders>
              <w:top w:val="nil"/>
              <w:left w:val="nil"/>
              <w:bottom w:val="nil"/>
              <w:right w:val="nil"/>
            </w:tcBorders>
            <w:vAlign w:val="center"/>
          </w:tcPr>
          <w:p w14:paraId="6FEAC961" w14:textId="77777777" w:rsidR="00600E5E" w:rsidRPr="00DB6C99" w:rsidRDefault="00600E5E" w:rsidP="00600E5E">
            <w:pPr>
              <w:widowControl w:val="0"/>
              <w:autoSpaceDE w:val="0"/>
              <w:autoSpaceDN w:val="0"/>
              <w:adjustRightInd w:val="0"/>
              <w:spacing w:after="0" w:line="240" w:lineRule="auto"/>
              <w:rPr>
                <w:rFonts w:ascii="Garamond" w:hAnsi="Garamond"/>
                <w:sz w:val="20"/>
                <w:szCs w:val="20"/>
              </w:rPr>
            </w:pPr>
          </w:p>
        </w:tc>
        <w:tc>
          <w:tcPr>
            <w:tcW w:w="1980" w:type="dxa"/>
            <w:tcBorders>
              <w:top w:val="nil"/>
              <w:left w:val="nil"/>
              <w:bottom w:val="nil"/>
              <w:right w:val="nil"/>
            </w:tcBorders>
          </w:tcPr>
          <w:p w14:paraId="1D3C8DC5" w14:textId="0E0001A1"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cs="Times New Roman"/>
                <w:sz w:val="20"/>
                <w:szCs w:val="20"/>
              </w:rPr>
              <w:t>(0.03)</w:t>
            </w:r>
          </w:p>
        </w:tc>
        <w:tc>
          <w:tcPr>
            <w:tcW w:w="1890" w:type="dxa"/>
            <w:tcBorders>
              <w:top w:val="nil"/>
              <w:left w:val="nil"/>
              <w:bottom w:val="nil"/>
              <w:right w:val="nil"/>
            </w:tcBorders>
          </w:tcPr>
          <w:p w14:paraId="3717780A"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(0.48)</w:t>
            </w:r>
          </w:p>
        </w:tc>
        <w:tc>
          <w:tcPr>
            <w:tcW w:w="1800" w:type="dxa"/>
            <w:tcBorders>
              <w:top w:val="nil"/>
              <w:left w:val="nil"/>
              <w:bottom w:val="nil"/>
              <w:right w:val="nil"/>
            </w:tcBorders>
          </w:tcPr>
          <w:p w14:paraId="1A64D753"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(0.31)</w:t>
            </w:r>
          </w:p>
        </w:tc>
        <w:tc>
          <w:tcPr>
            <w:tcW w:w="1530" w:type="dxa"/>
            <w:tcBorders>
              <w:top w:val="nil"/>
              <w:left w:val="nil"/>
              <w:bottom w:val="nil"/>
              <w:right w:val="nil"/>
            </w:tcBorders>
          </w:tcPr>
          <w:p w14:paraId="29A54DC4"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(-0.10)</w:t>
            </w:r>
          </w:p>
        </w:tc>
      </w:tr>
      <w:tr w:rsidR="00DB6C99" w:rsidRPr="00DB6C99" w14:paraId="16B07215" w14:textId="77777777" w:rsidTr="007C344D">
        <w:trPr>
          <w:jc w:val="center"/>
        </w:trPr>
        <w:tc>
          <w:tcPr>
            <w:tcW w:w="2160" w:type="dxa"/>
            <w:tcBorders>
              <w:top w:val="nil"/>
              <w:left w:val="nil"/>
              <w:bottom w:val="nil"/>
              <w:right w:val="nil"/>
            </w:tcBorders>
            <w:vAlign w:val="center"/>
          </w:tcPr>
          <w:p w14:paraId="6A7E2432" w14:textId="77777777" w:rsidR="00600E5E" w:rsidRPr="00DB6C99" w:rsidRDefault="00600E5E" w:rsidP="00600E5E">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lang w:val="en-GB"/>
              </w:rPr>
              <w:t>SLACK</w:t>
            </w:r>
          </w:p>
        </w:tc>
        <w:tc>
          <w:tcPr>
            <w:tcW w:w="1980" w:type="dxa"/>
            <w:tcBorders>
              <w:top w:val="nil"/>
              <w:left w:val="nil"/>
              <w:bottom w:val="nil"/>
              <w:right w:val="nil"/>
            </w:tcBorders>
          </w:tcPr>
          <w:p w14:paraId="043F85B5" w14:textId="2B6EB33E"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cs="Times New Roman"/>
                <w:sz w:val="20"/>
                <w:szCs w:val="20"/>
              </w:rPr>
              <w:t>0.021**</w:t>
            </w:r>
          </w:p>
        </w:tc>
        <w:tc>
          <w:tcPr>
            <w:tcW w:w="1890" w:type="dxa"/>
            <w:tcBorders>
              <w:top w:val="nil"/>
              <w:left w:val="nil"/>
              <w:bottom w:val="nil"/>
              <w:right w:val="nil"/>
            </w:tcBorders>
          </w:tcPr>
          <w:p w14:paraId="13F927AE"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0.025</w:t>
            </w:r>
          </w:p>
        </w:tc>
        <w:tc>
          <w:tcPr>
            <w:tcW w:w="1800" w:type="dxa"/>
            <w:tcBorders>
              <w:top w:val="nil"/>
              <w:left w:val="nil"/>
              <w:bottom w:val="nil"/>
              <w:right w:val="nil"/>
            </w:tcBorders>
          </w:tcPr>
          <w:p w14:paraId="5873F728"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0.001</w:t>
            </w:r>
          </w:p>
        </w:tc>
        <w:tc>
          <w:tcPr>
            <w:tcW w:w="1530" w:type="dxa"/>
            <w:tcBorders>
              <w:top w:val="nil"/>
              <w:left w:val="nil"/>
              <w:bottom w:val="nil"/>
              <w:right w:val="nil"/>
            </w:tcBorders>
          </w:tcPr>
          <w:p w14:paraId="73DD952A"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0.006</w:t>
            </w:r>
          </w:p>
        </w:tc>
      </w:tr>
      <w:tr w:rsidR="00DB6C99" w:rsidRPr="00DB6C99" w14:paraId="2AA2BB0F" w14:textId="77777777" w:rsidTr="007C344D">
        <w:trPr>
          <w:jc w:val="center"/>
        </w:trPr>
        <w:tc>
          <w:tcPr>
            <w:tcW w:w="2160" w:type="dxa"/>
            <w:tcBorders>
              <w:top w:val="nil"/>
              <w:left w:val="nil"/>
              <w:bottom w:val="nil"/>
              <w:right w:val="nil"/>
            </w:tcBorders>
            <w:vAlign w:val="center"/>
          </w:tcPr>
          <w:p w14:paraId="0A1552FE" w14:textId="77777777" w:rsidR="00600E5E" w:rsidRPr="00DB6C99" w:rsidRDefault="00600E5E" w:rsidP="00600E5E">
            <w:pPr>
              <w:widowControl w:val="0"/>
              <w:autoSpaceDE w:val="0"/>
              <w:autoSpaceDN w:val="0"/>
              <w:adjustRightInd w:val="0"/>
              <w:spacing w:after="0" w:line="240" w:lineRule="auto"/>
              <w:rPr>
                <w:rFonts w:ascii="Garamond" w:hAnsi="Garamond"/>
                <w:sz w:val="20"/>
                <w:szCs w:val="20"/>
              </w:rPr>
            </w:pPr>
          </w:p>
        </w:tc>
        <w:tc>
          <w:tcPr>
            <w:tcW w:w="1980" w:type="dxa"/>
            <w:tcBorders>
              <w:top w:val="nil"/>
              <w:left w:val="nil"/>
              <w:bottom w:val="nil"/>
              <w:right w:val="nil"/>
            </w:tcBorders>
          </w:tcPr>
          <w:p w14:paraId="6F1D9910" w14:textId="1995A2BB"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cs="Times New Roman"/>
                <w:sz w:val="20"/>
                <w:szCs w:val="20"/>
              </w:rPr>
              <w:t>(2.02)</w:t>
            </w:r>
          </w:p>
        </w:tc>
        <w:tc>
          <w:tcPr>
            <w:tcW w:w="1890" w:type="dxa"/>
            <w:tcBorders>
              <w:top w:val="nil"/>
              <w:left w:val="nil"/>
              <w:bottom w:val="nil"/>
              <w:right w:val="nil"/>
            </w:tcBorders>
          </w:tcPr>
          <w:p w14:paraId="5D85DCE4"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(1.03)</w:t>
            </w:r>
          </w:p>
        </w:tc>
        <w:tc>
          <w:tcPr>
            <w:tcW w:w="1800" w:type="dxa"/>
            <w:tcBorders>
              <w:top w:val="nil"/>
              <w:left w:val="nil"/>
              <w:bottom w:val="nil"/>
              <w:right w:val="nil"/>
            </w:tcBorders>
          </w:tcPr>
          <w:p w14:paraId="73780E30"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(0.09)</w:t>
            </w:r>
          </w:p>
        </w:tc>
        <w:tc>
          <w:tcPr>
            <w:tcW w:w="1530" w:type="dxa"/>
            <w:tcBorders>
              <w:top w:val="nil"/>
              <w:left w:val="nil"/>
              <w:bottom w:val="nil"/>
              <w:right w:val="nil"/>
            </w:tcBorders>
          </w:tcPr>
          <w:p w14:paraId="5FC52ED6"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(0.70)</w:t>
            </w:r>
          </w:p>
        </w:tc>
      </w:tr>
      <w:tr w:rsidR="00DB6C99" w:rsidRPr="00DB6C99" w14:paraId="1EF61450" w14:textId="77777777" w:rsidTr="007C344D">
        <w:trPr>
          <w:jc w:val="center"/>
        </w:trPr>
        <w:tc>
          <w:tcPr>
            <w:tcW w:w="2160" w:type="dxa"/>
            <w:tcBorders>
              <w:top w:val="nil"/>
              <w:left w:val="nil"/>
              <w:bottom w:val="nil"/>
              <w:right w:val="nil"/>
            </w:tcBorders>
            <w:vAlign w:val="center"/>
          </w:tcPr>
          <w:p w14:paraId="3FEEF6D5" w14:textId="77777777" w:rsidR="00600E5E" w:rsidRPr="00DB6C99" w:rsidRDefault="00600E5E" w:rsidP="00600E5E">
            <w:pPr>
              <w:widowControl w:val="0"/>
              <w:autoSpaceDE w:val="0"/>
              <w:autoSpaceDN w:val="0"/>
              <w:adjustRightInd w:val="0"/>
              <w:spacing w:after="0" w:line="240" w:lineRule="auto"/>
              <w:rPr>
                <w:rFonts w:ascii="Garamond" w:hAnsi="Garamond"/>
                <w:i/>
                <w:iCs/>
                <w:sz w:val="20"/>
                <w:szCs w:val="20"/>
              </w:rPr>
            </w:pPr>
            <w:r w:rsidRPr="00DB6C99">
              <w:rPr>
                <w:rFonts w:ascii="Garamond" w:hAnsi="Garamond"/>
                <w:i/>
                <w:iCs/>
                <w:sz w:val="20"/>
                <w:szCs w:val="20"/>
              </w:rPr>
              <w:t>COD</w:t>
            </w:r>
          </w:p>
        </w:tc>
        <w:tc>
          <w:tcPr>
            <w:tcW w:w="1980" w:type="dxa"/>
            <w:tcBorders>
              <w:top w:val="nil"/>
              <w:left w:val="nil"/>
              <w:bottom w:val="nil"/>
              <w:right w:val="nil"/>
            </w:tcBorders>
          </w:tcPr>
          <w:p w14:paraId="4D800EB0" w14:textId="7411B6AE"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cs="Times New Roman"/>
                <w:sz w:val="20"/>
                <w:szCs w:val="20"/>
              </w:rPr>
              <w:t>-0.033</w:t>
            </w:r>
          </w:p>
        </w:tc>
        <w:tc>
          <w:tcPr>
            <w:tcW w:w="1890" w:type="dxa"/>
            <w:tcBorders>
              <w:top w:val="nil"/>
              <w:left w:val="nil"/>
              <w:bottom w:val="nil"/>
              <w:right w:val="nil"/>
            </w:tcBorders>
          </w:tcPr>
          <w:p w14:paraId="44C05073"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0.072</w:t>
            </w:r>
          </w:p>
        </w:tc>
        <w:tc>
          <w:tcPr>
            <w:tcW w:w="1800" w:type="dxa"/>
            <w:tcBorders>
              <w:top w:val="nil"/>
              <w:left w:val="nil"/>
              <w:bottom w:val="nil"/>
              <w:right w:val="nil"/>
            </w:tcBorders>
          </w:tcPr>
          <w:p w14:paraId="20DB35CE"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0.082</w:t>
            </w:r>
          </w:p>
        </w:tc>
        <w:tc>
          <w:tcPr>
            <w:tcW w:w="1530" w:type="dxa"/>
            <w:tcBorders>
              <w:top w:val="nil"/>
              <w:left w:val="nil"/>
              <w:bottom w:val="nil"/>
              <w:right w:val="nil"/>
            </w:tcBorders>
          </w:tcPr>
          <w:p w14:paraId="14ABD424"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0.110</w:t>
            </w:r>
          </w:p>
        </w:tc>
      </w:tr>
      <w:tr w:rsidR="00DB6C99" w:rsidRPr="00DB6C99" w14:paraId="43ED80FE" w14:textId="77777777" w:rsidTr="007C344D">
        <w:trPr>
          <w:jc w:val="center"/>
        </w:trPr>
        <w:tc>
          <w:tcPr>
            <w:tcW w:w="2160" w:type="dxa"/>
            <w:tcBorders>
              <w:top w:val="nil"/>
              <w:left w:val="nil"/>
              <w:bottom w:val="nil"/>
              <w:right w:val="nil"/>
            </w:tcBorders>
            <w:vAlign w:val="center"/>
          </w:tcPr>
          <w:p w14:paraId="6176137B" w14:textId="77777777" w:rsidR="00600E5E" w:rsidRPr="00DB6C99" w:rsidRDefault="00600E5E" w:rsidP="00600E5E">
            <w:pPr>
              <w:widowControl w:val="0"/>
              <w:autoSpaceDE w:val="0"/>
              <w:autoSpaceDN w:val="0"/>
              <w:adjustRightInd w:val="0"/>
              <w:spacing w:after="0" w:line="240" w:lineRule="auto"/>
              <w:rPr>
                <w:rFonts w:ascii="Garamond" w:hAnsi="Garamond"/>
                <w:sz w:val="20"/>
                <w:szCs w:val="20"/>
              </w:rPr>
            </w:pPr>
          </w:p>
        </w:tc>
        <w:tc>
          <w:tcPr>
            <w:tcW w:w="1980" w:type="dxa"/>
            <w:tcBorders>
              <w:top w:val="nil"/>
              <w:left w:val="nil"/>
              <w:bottom w:val="nil"/>
              <w:right w:val="nil"/>
            </w:tcBorders>
          </w:tcPr>
          <w:p w14:paraId="09D64E66" w14:textId="442A240C"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cs="Times New Roman"/>
                <w:sz w:val="20"/>
                <w:szCs w:val="20"/>
              </w:rPr>
              <w:t>(-0.17)</w:t>
            </w:r>
          </w:p>
        </w:tc>
        <w:tc>
          <w:tcPr>
            <w:tcW w:w="1890" w:type="dxa"/>
            <w:tcBorders>
              <w:top w:val="nil"/>
              <w:left w:val="nil"/>
              <w:bottom w:val="nil"/>
              <w:right w:val="nil"/>
            </w:tcBorders>
          </w:tcPr>
          <w:p w14:paraId="7D8A4411"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(0.24)</w:t>
            </w:r>
          </w:p>
        </w:tc>
        <w:tc>
          <w:tcPr>
            <w:tcW w:w="1800" w:type="dxa"/>
            <w:tcBorders>
              <w:top w:val="nil"/>
              <w:left w:val="nil"/>
              <w:bottom w:val="nil"/>
              <w:right w:val="nil"/>
            </w:tcBorders>
          </w:tcPr>
          <w:p w14:paraId="3C62360A"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(0.50)</w:t>
            </w:r>
          </w:p>
        </w:tc>
        <w:tc>
          <w:tcPr>
            <w:tcW w:w="1530" w:type="dxa"/>
            <w:tcBorders>
              <w:top w:val="nil"/>
              <w:left w:val="nil"/>
              <w:bottom w:val="nil"/>
              <w:right w:val="nil"/>
            </w:tcBorders>
          </w:tcPr>
          <w:p w14:paraId="1EBFECD6"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(0.61)</w:t>
            </w:r>
          </w:p>
        </w:tc>
      </w:tr>
      <w:tr w:rsidR="00DB6C99" w:rsidRPr="00DB6C99" w14:paraId="17DBE641" w14:textId="77777777" w:rsidTr="007C344D">
        <w:trPr>
          <w:jc w:val="center"/>
        </w:trPr>
        <w:tc>
          <w:tcPr>
            <w:tcW w:w="2160" w:type="dxa"/>
            <w:tcBorders>
              <w:top w:val="nil"/>
              <w:left w:val="nil"/>
              <w:bottom w:val="nil"/>
              <w:right w:val="nil"/>
            </w:tcBorders>
            <w:vAlign w:val="center"/>
          </w:tcPr>
          <w:p w14:paraId="097A7368" w14:textId="77777777" w:rsidR="00600E5E" w:rsidRPr="00DB6C99" w:rsidRDefault="00600E5E" w:rsidP="00600E5E">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lang w:val="en-GB"/>
              </w:rPr>
              <w:t>INST</w:t>
            </w:r>
          </w:p>
        </w:tc>
        <w:tc>
          <w:tcPr>
            <w:tcW w:w="1980" w:type="dxa"/>
            <w:tcBorders>
              <w:top w:val="nil"/>
              <w:left w:val="nil"/>
              <w:bottom w:val="nil"/>
              <w:right w:val="nil"/>
            </w:tcBorders>
          </w:tcPr>
          <w:p w14:paraId="39AA1C2C" w14:textId="17734232"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cs="Times New Roman"/>
                <w:sz w:val="20"/>
                <w:szCs w:val="20"/>
              </w:rPr>
              <w:t>-0.032*</w:t>
            </w:r>
          </w:p>
        </w:tc>
        <w:tc>
          <w:tcPr>
            <w:tcW w:w="1890" w:type="dxa"/>
            <w:tcBorders>
              <w:top w:val="nil"/>
              <w:left w:val="nil"/>
              <w:bottom w:val="nil"/>
              <w:right w:val="nil"/>
            </w:tcBorders>
          </w:tcPr>
          <w:p w14:paraId="4E079116"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-0.016</w:t>
            </w:r>
          </w:p>
        </w:tc>
        <w:tc>
          <w:tcPr>
            <w:tcW w:w="1800" w:type="dxa"/>
            <w:tcBorders>
              <w:top w:val="nil"/>
              <w:left w:val="nil"/>
              <w:bottom w:val="nil"/>
              <w:right w:val="nil"/>
            </w:tcBorders>
          </w:tcPr>
          <w:p w14:paraId="1355CF50"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-0.093***</w:t>
            </w:r>
          </w:p>
        </w:tc>
        <w:tc>
          <w:tcPr>
            <w:tcW w:w="1530" w:type="dxa"/>
            <w:tcBorders>
              <w:top w:val="nil"/>
              <w:left w:val="nil"/>
              <w:bottom w:val="nil"/>
              <w:right w:val="nil"/>
            </w:tcBorders>
          </w:tcPr>
          <w:p w14:paraId="5DFEED21"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-0.083***</w:t>
            </w:r>
          </w:p>
        </w:tc>
      </w:tr>
      <w:tr w:rsidR="00DB6C99" w:rsidRPr="00DB6C99" w14:paraId="0D2D4DED" w14:textId="77777777" w:rsidTr="007C344D">
        <w:trPr>
          <w:jc w:val="center"/>
        </w:trPr>
        <w:tc>
          <w:tcPr>
            <w:tcW w:w="2160" w:type="dxa"/>
            <w:tcBorders>
              <w:top w:val="nil"/>
              <w:left w:val="nil"/>
              <w:bottom w:val="nil"/>
              <w:right w:val="nil"/>
            </w:tcBorders>
            <w:vAlign w:val="center"/>
          </w:tcPr>
          <w:p w14:paraId="6A1D083A" w14:textId="77777777" w:rsidR="00600E5E" w:rsidRPr="00DB6C99" w:rsidRDefault="00600E5E" w:rsidP="00600E5E">
            <w:pPr>
              <w:widowControl w:val="0"/>
              <w:autoSpaceDE w:val="0"/>
              <w:autoSpaceDN w:val="0"/>
              <w:adjustRightInd w:val="0"/>
              <w:spacing w:after="0" w:line="240" w:lineRule="auto"/>
              <w:rPr>
                <w:rFonts w:ascii="Garamond" w:hAnsi="Garamond"/>
                <w:sz w:val="20"/>
                <w:szCs w:val="20"/>
              </w:rPr>
            </w:pPr>
          </w:p>
        </w:tc>
        <w:tc>
          <w:tcPr>
            <w:tcW w:w="1980" w:type="dxa"/>
            <w:tcBorders>
              <w:top w:val="nil"/>
              <w:left w:val="nil"/>
              <w:bottom w:val="nil"/>
              <w:right w:val="nil"/>
            </w:tcBorders>
          </w:tcPr>
          <w:p w14:paraId="76D1973F" w14:textId="334FBDD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cs="Times New Roman"/>
                <w:sz w:val="20"/>
                <w:szCs w:val="20"/>
              </w:rPr>
              <w:t>(-1.89)</w:t>
            </w:r>
          </w:p>
        </w:tc>
        <w:tc>
          <w:tcPr>
            <w:tcW w:w="1890" w:type="dxa"/>
            <w:tcBorders>
              <w:top w:val="nil"/>
              <w:left w:val="nil"/>
              <w:bottom w:val="nil"/>
              <w:right w:val="nil"/>
            </w:tcBorders>
          </w:tcPr>
          <w:p w14:paraId="61A44797"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(-0.64)</w:t>
            </w:r>
          </w:p>
        </w:tc>
        <w:tc>
          <w:tcPr>
            <w:tcW w:w="1800" w:type="dxa"/>
            <w:tcBorders>
              <w:top w:val="nil"/>
              <w:left w:val="nil"/>
              <w:bottom w:val="nil"/>
              <w:right w:val="nil"/>
            </w:tcBorders>
          </w:tcPr>
          <w:p w14:paraId="765B67DC"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(-5.40)</w:t>
            </w:r>
          </w:p>
        </w:tc>
        <w:tc>
          <w:tcPr>
            <w:tcW w:w="1530" w:type="dxa"/>
            <w:tcBorders>
              <w:top w:val="nil"/>
              <w:left w:val="nil"/>
              <w:bottom w:val="nil"/>
              <w:right w:val="nil"/>
            </w:tcBorders>
          </w:tcPr>
          <w:p w14:paraId="2BAC545D"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(-4.41)</w:t>
            </w:r>
          </w:p>
        </w:tc>
      </w:tr>
      <w:tr w:rsidR="00DB6C99" w:rsidRPr="00DB6C99" w14:paraId="04C49D7E" w14:textId="77777777" w:rsidTr="007C344D">
        <w:trPr>
          <w:jc w:val="center"/>
        </w:trPr>
        <w:tc>
          <w:tcPr>
            <w:tcW w:w="2160" w:type="dxa"/>
            <w:tcBorders>
              <w:top w:val="nil"/>
              <w:left w:val="nil"/>
              <w:bottom w:val="nil"/>
              <w:right w:val="nil"/>
            </w:tcBorders>
            <w:vAlign w:val="center"/>
          </w:tcPr>
          <w:p w14:paraId="1E134448" w14:textId="77777777" w:rsidR="00600E5E" w:rsidRPr="00DB6C99" w:rsidRDefault="00600E5E" w:rsidP="00600E5E">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lang w:val="en-GB"/>
              </w:rPr>
              <w:t>STATE</w:t>
            </w:r>
          </w:p>
        </w:tc>
        <w:tc>
          <w:tcPr>
            <w:tcW w:w="1980" w:type="dxa"/>
            <w:tcBorders>
              <w:top w:val="nil"/>
              <w:left w:val="nil"/>
              <w:bottom w:val="nil"/>
              <w:right w:val="nil"/>
            </w:tcBorders>
          </w:tcPr>
          <w:p w14:paraId="642F470F" w14:textId="56B64206"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cs="Times New Roman"/>
                <w:sz w:val="20"/>
                <w:szCs w:val="20"/>
              </w:rPr>
              <w:t>0.109</w:t>
            </w:r>
          </w:p>
        </w:tc>
        <w:tc>
          <w:tcPr>
            <w:tcW w:w="1890" w:type="dxa"/>
            <w:tcBorders>
              <w:top w:val="nil"/>
              <w:left w:val="nil"/>
              <w:bottom w:val="nil"/>
              <w:right w:val="nil"/>
            </w:tcBorders>
          </w:tcPr>
          <w:p w14:paraId="04C6008A"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0.126</w:t>
            </w:r>
          </w:p>
        </w:tc>
        <w:tc>
          <w:tcPr>
            <w:tcW w:w="1800" w:type="dxa"/>
            <w:tcBorders>
              <w:top w:val="nil"/>
              <w:left w:val="nil"/>
              <w:bottom w:val="nil"/>
              <w:right w:val="nil"/>
            </w:tcBorders>
          </w:tcPr>
          <w:p w14:paraId="3B0F6BCD"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0.176*</w:t>
            </w:r>
          </w:p>
        </w:tc>
        <w:tc>
          <w:tcPr>
            <w:tcW w:w="1530" w:type="dxa"/>
            <w:tcBorders>
              <w:top w:val="nil"/>
              <w:left w:val="nil"/>
              <w:bottom w:val="nil"/>
              <w:right w:val="nil"/>
            </w:tcBorders>
          </w:tcPr>
          <w:p w14:paraId="59A75DC1"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0.153</w:t>
            </w:r>
          </w:p>
        </w:tc>
      </w:tr>
      <w:tr w:rsidR="00DB6C99" w:rsidRPr="00DB6C99" w14:paraId="51A8DC0A" w14:textId="77777777" w:rsidTr="007C344D">
        <w:trPr>
          <w:jc w:val="center"/>
        </w:trPr>
        <w:tc>
          <w:tcPr>
            <w:tcW w:w="2160" w:type="dxa"/>
            <w:tcBorders>
              <w:top w:val="nil"/>
              <w:left w:val="nil"/>
              <w:bottom w:val="nil"/>
              <w:right w:val="nil"/>
            </w:tcBorders>
            <w:vAlign w:val="center"/>
          </w:tcPr>
          <w:p w14:paraId="05DA9F3A" w14:textId="77777777" w:rsidR="00600E5E" w:rsidRPr="00DB6C99" w:rsidRDefault="00600E5E" w:rsidP="00600E5E">
            <w:pPr>
              <w:widowControl w:val="0"/>
              <w:autoSpaceDE w:val="0"/>
              <w:autoSpaceDN w:val="0"/>
              <w:adjustRightInd w:val="0"/>
              <w:spacing w:after="0" w:line="240" w:lineRule="auto"/>
              <w:rPr>
                <w:rFonts w:ascii="Garamond" w:hAnsi="Garamond"/>
                <w:sz w:val="20"/>
                <w:szCs w:val="20"/>
              </w:rPr>
            </w:pPr>
          </w:p>
        </w:tc>
        <w:tc>
          <w:tcPr>
            <w:tcW w:w="1980" w:type="dxa"/>
            <w:tcBorders>
              <w:top w:val="nil"/>
              <w:left w:val="nil"/>
              <w:bottom w:val="nil"/>
              <w:right w:val="nil"/>
            </w:tcBorders>
          </w:tcPr>
          <w:p w14:paraId="2F1B2D3E" w14:textId="5D7F6B0B"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cs="Times New Roman"/>
                <w:sz w:val="20"/>
                <w:szCs w:val="20"/>
              </w:rPr>
              <w:t>(1.02)</w:t>
            </w:r>
          </w:p>
        </w:tc>
        <w:tc>
          <w:tcPr>
            <w:tcW w:w="1890" w:type="dxa"/>
            <w:tcBorders>
              <w:top w:val="nil"/>
              <w:left w:val="nil"/>
              <w:bottom w:val="nil"/>
              <w:right w:val="nil"/>
            </w:tcBorders>
          </w:tcPr>
          <w:p w14:paraId="40A36DB4"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(0.86)</w:t>
            </w:r>
          </w:p>
        </w:tc>
        <w:tc>
          <w:tcPr>
            <w:tcW w:w="1800" w:type="dxa"/>
            <w:tcBorders>
              <w:top w:val="nil"/>
              <w:left w:val="nil"/>
              <w:bottom w:val="nil"/>
              <w:right w:val="nil"/>
            </w:tcBorders>
          </w:tcPr>
          <w:p w14:paraId="58B4657C"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(1.79)</w:t>
            </w:r>
          </w:p>
        </w:tc>
        <w:tc>
          <w:tcPr>
            <w:tcW w:w="1530" w:type="dxa"/>
            <w:tcBorders>
              <w:top w:val="nil"/>
              <w:left w:val="nil"/>
              <w:bottom w:val="nil"/>
              <w:right w:val="nil"/>
            </w:tcBorders>
          </w:tcPr>
          <w:p w14:paraId="1BA630BF"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(1.46)</w:t>
            </w:r>
          </w:p>
        </w:tc>
      </w:tr>
      <w:tr w:rsidR="00DB6C99" w:rsidRPr="00DB6C99" w14:paraId="27AED3BA" w14:textId="77777777" w:rsidTr="007C344D">
        <w:trPr>
          <w:jc w:val="center"/>
        </w:trPr>
        <w:tc>
          <w:tcPr>
            <w:tcW w:w="2160" w:type="dxa"/>
            <w:tcBorders>
              <w:top w:val="nil"/>
              <w:left w:val="nil"/>
              <w:bottom w:val="nil"/>
              <w:right w:val="nil"/>
            </w:tcBorders>
            <w:vAlign w:val="center"/>
          </w:tcPr>
          <w:p w14:paraId="560E3E81" w14:textId="77777777" w:rsidR="00600E5E" w:rsidRPr="00DB6C99" w:rsidRDefault="00600E5E" w:rsidP="00600E5E">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lang w:val="en-GB"/>
              </w:rPr>
              <w:t>SIZE</w:t>
            </w:r>
          </w:p>
        </w:tc>
        <w:tc>
          <w:tcPr>
            <w:tcW w:w="1980" w:type="dxa"/>
            <w:tcBorders>
              <w:top w:val="nil"/>
              <w:left w:val="nil"/>
              <w:bottom w:val="nil"/>
              <w:right w:val="nil"/>
            </w:tcBorders>
          </w:tcPr>
          <w:p w14:paraId="7B80B0A7" w14:textId="6A45FC05"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cs="Times New Roman"/>
                <w:sz w:val="20"/>
                <w:szCs w:val="20"/>
              </w:rPr>
              <w:t>0.185***</w:t>
            </w:r>
          </w:p>
        </w:tc>
        <w:tc>
          <w:tcPr>
            <w:tcW w:w="1890" w:type="dxa"/>
            <w:tcBorders>
              <w:top w:val="nil"/>
              <w:left w:val="nil"/>
              <w:bottom w:val="nil"/>
              <w:right w:val="nil"/>
            </w:tcBorders>
          </w:tcPr>
          <w:p w14:paraId="1305F60D"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0.204***</w:t>
            </w:r>
          </w:p>
        </w:tc>
        <w:tc>
          <w:tcPr>
            <w:tcW w:w="1800" w:type="dxa"/>
            <w:tcBorders>
              <w:top w:val="nil"/>
              <w:left w:val="nil"/>
              <w:bottom w:val="nil"/>
              <w:right w:val="nil"/>
            </w:tcBorders>
          </w:tcPr>
          <w:p w14:paraId="66BCFC1B"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0.256***</w:t>
            </w:r>
          </w:p>
        </w:tc>
        <w:tc>
          <w:tcPr>
            <w:tcW w:w="1530" w:type="dxa"/>
            <w:tcBorders>
              <w:top w:val="nil"/>
              <w:left w:val="nil"/>
              <w:bottom w:val="nil"/>
              <w:right w:val="nil"/>
            </w:tcBorders>
          </w:tcPr>
          <w:p w14:paraId="7B20782A"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0.274***</w:t>
            </w:r>
          </w:p>
        </w:tc>
      </w:tr>
      <w:tr w:rsidR="00DB6C99" w:rsidRPr="00DB6C99" w14:paraId="2A6B80FC" w14:textId="77777777" w:rsidTr="007C344D">
        <w:trPr>
          <w:jc w:val="center"/>
        </w:trPr>
        <w:tc>
          <w:tcPr>
            <w:tcW w:w="2160" w:type="dxa"/>
            <w:tcBorders>
              <w:top w:val="nil"/>
              <w:left w:val="nil"/>
              <w:bottom w:val="nil"/>
              <w:right w:val="nil"/>
            </w:tcBorders>
            <w:vAlign w:val="center"/>
          </w:tcPr>
          <w:p w14:paraId="78FD52C5" w14:textId="77777777" w:rsidR="00600E5E" w:rsidRPr="00DB6C99" w:rsidRDefault="00600E5E" w:rsidP="00600E5E">
            <w:pPr>
              <w:widowControl w:val="0"/>
              <w:autoSpaceDE w:val="0"/>
              <w:autoSpaceDN w:val="0"/>
              <w:adjustRightInd w:val="0"/>
              <w:spacing w:after="0" w:line="240" w:lineRule="auto"/>
              <w:rPr>
                <w:rFonts w:ascii="Garamond" w:hAnsi="Garamond"/>
                <w:sz w:val="20"/>
                <w:szCs w:val="20"/>
              </w:rPr>
            </w:pPr>
          </w:p>
        </w:tc>
        <w:tc>
          <w:tcPr>
            <w:tcW w:w="1980" w:type="dxa"/>
            <w:tcBorders>
              <w:top w:val="nil"/>
              <w:left w:val="nil"/>
              <w:bottom w:val="nil"/>
              <w:right w:val="nil"/>
            </w:tcBorders>
          </w:tcPr>
          <w:p w14:paraId="295D455B" w14:textId="156F1CD3"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cs="Times New Roman"/>
                <w:sz w:val="20"/>
                <w:szCs w:val="20"/>
              </w:rPr>
              <w:t>(8.14)</w:t>
            </w:r>
          </w:p>
        </w:tc>
        <w:tc>
          <w:tcPr>
            <w:tcW w:w="1890" w:type="dxa"/>
            <w:tcBorders>
              <w:top w:val="nil"/>
              <w:left w:val="nil"/>
              <w:bottom w:val="nil"/>
              <w:right w:val="nil"/>
            </w:tcBorders>
          </w:tcPr>
          <w:p w14:paraId="7A3A7C36"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(4.88)</w:t>
            </w:r>
          </w:p>
        </w:tc>
        <w:tc>
          <w:tcPr>
            <w:tcW w:w="1800" w:type="dxa"/>
            <w:tcBorders>
              <w:top w:val="nil"/>
              <w:left w:val="nil"/>
              <w:bottom w:val="nil"/>
              <w:right w:val="nil"/>
            </w:tcBorders>
          </w:tcPr>
          <w:p w14:paraId="30BC20C0"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(31.16)</w:t>
            </w:r>
          </w:p>
        </w:tc>
        <w:tc>
          <w:tcPr>
            <w:tcW w:w="1530" w:type="dxa"/>
            <w:tcBorders>
              <w:top w:val="nil"/>
              <w:left w:val="nil"/>
              <w:bottom w:val="nil"/>
              <w:right w:val="nil"/>
            </w:tcBorders>
          </w:tcPr>
          <w:p w14:paraId="3C41266A"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(29.88)</w:t>
            </w:r>
          </w:p>
        </w:tc>
      </w:tr>
      <w:tr w:rsidR="00DB6C99" w:rsidRPr="00DB6C99" w14:paraId="63D707A1" w14:textId="77777777" w:rsidTr="007C344D">
        <w:trPr>
          <w:jc w:val="center"/>
        </w:trPr>
        <w:tc>
          <w:tcPr>
            <w:tcW w:w="2160" w:type="dxa"/>
            <w:tcBorders>
              <w:top w:val="nil"/>
              <w:left w:val="nil"/>
              <w:bottom w:val="nil"/>
              <w:right w:val="nil"/>
            </w:tcBorders>
            <w:vAlign w:val="center"/>
          </w:tcPr>
          <w:p w14:paraId="793FFA2B" w14:textId="77777777" w:rsidR="00600E5E" w:rsidRPr="00DB6C99" w:rsidRDefault="00600E5E" w:rsidP="00600E5E">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rPr>
              <w:t>I</w:t>
            </w:r>
            <w:r w:rsidRPr="00DB6C99">
              <w:rPr>
                <w:rFonts w:ascii="Garamond" w:hAnsi="Garamond"/>
                <w:i/>
                <w:iCs/>
                <w:spacing w:val="-2"/>
                <w:sz w:val="20"/>
                <w:szCs w:val="20"/>
              </w:rPr>
              <w:t>n</w:t>
            </w:r>
            <w:r w:rsidRPr="00DB6C99">
              <w:rPr>
                <w:rFonts w:ascii="Garamond" w:hAnsi="Garamond"/>
                <w:i/>
                <w:iCs/>
                <w:spacing w:val="-1"/>
                <w:sz w:val="20"/>
                <w:szCs w:val="20"/>
              </w:rPr>
              <w:t>t</w:t>
            </w:r>
            <w:r w:rsidRPr="00DB6C99">
              <w:rPr>
                <w:rFonts w:ascii="Garamond" w:hAnsi="Garamond"/>
                <w:i/>
                <w:iCs/>
                <w:sz w:val="20"/>
                <w:szCs w:val="20"/>
              </w:rPr>
              <w:t>erce</w:t>
            </w:r>
            <w:r w:rsidRPr="00DB6C99">
              <w:rPr>
                <w:rFonts w:ascii="Garamond" w:hAnsi="Garamond"/>
                <w:i/>
                <w:iCs/>
                <w:spacing w:val="1"/>
                <w:sz w:val="20"/>
                <w:szCs w:val="20"/>
              </w:rPr>
              <w:t>p</w:t>
            </w:r>
            <w:r w:rsidRPr="00DB6C99">
              <w:rPr>
                <w:rFonts w:ascii="Garamond" w:hAnsi="Garamond"/>
                <w:i/>
                <w:iCs/>
                <w:sz w:val="20"/>
                <w:szCs w:val="20"/>
              </w:rPr>
              <w:t>t</w:t>
            </w:r>
          </w:p>
        </w:tc>
        <w:tc>
          <w:tcPr>
            <w:tcW w:w="1980" w:type="dxa"/>
            <w:tcBorders>
              <w:top w:val="nil"/>
              <w:left w:val="nil"/>
              <w:bottom w:val="nil"/>
              <w:right w:val="nil"/>
            </w:tcBorders>
          </w:tcPr>
          <w:p w14:paraId="266D2D6C" w14:textId="5000F57C"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cs="Times New Roman"/>
                <w:sz w:val="20"/>
                <w:szCs w:val="20"/>
              </w:rPr>
              <w:t>-4.069***</w:t>
            </w:r>
          </w:p>
        </w:tc>
        <w:tc>
          <w:tcPr>
            <w:tcW w:w="1890" w:type="dxa"/>
            <w:tcBorders>
              <w:top w:val="nil"/>
              <w:left w:val="nil"/>
              <w:bottom w:val="nil"/>
              <w:right w:val="nil"/>
            </w:tcBorders>
          </w:tcPr>
          <w:p w14:paraId="45744DFE"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-4.895***</w:t>
            </w:r>
          </w:p>
        </w:tc>
        <w:tc>
          <w:tcPr>
            <w:tcW w:w="1800" w:type="dxa"/>
            <w:tcBorders>
              <w:top w:val="nil"/>
              <w:left w:val="nil"/>
              <w:bottom w:val="nil"/>
              <w:right w:val="nil"/>
            </w:tcBorders>
          </w:tcPr>
          <w:p w14:paraId="19E0E73C"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-5.655***</w:t>
            </w:r>
          </w:p>
        </w:tc>
        <w:tc>
          <w:tcPr>
            <w:tcW w:w="1530" w:type="dxa"/>
            <w:tcBorders>
              <w:top w:val="nil"/>
              <w:left w:val="nil"/>
              <w:bottom w:val="nil"/>
              <w:right w:val="nil"/>
            </w:tcBorders>
          </w:tcPr>
          <w:p w14:paraId="6413BA18"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-6.580***</w:t>
            </w:r>
          </w:p>
        </w:tc>
      </w:tr>
      <w:tr w:rsidR="00DB6C99" w:rsidRPr="00DB6C99" w14:paraId="2824709F" w14:textId="77777777" w:rsidTr="007C344D">
        <w:trPr>
          <w:jc w:val="center"/>
        </w:trPr>
        <w:tc>
          <w:tcPr>
            <w:tcW w:w="2160" w:type="dxa"/>
            <w:tcBorders>
              <w:top w:val="nil"/>
              <w:left w:val="nil"/>
              <w:bottom w:val="nil"/>
              <w:right w:val="nil"/>
            </w:tcBorders>
          </w:tcPr>
          <w:p w14:paraId="4B4C8E51" w14:textId="77777777" w:rsidR="00600E5E" w:rsidRPr="00DB6C99" w:rsidRDefault="00600E5E" w:rsidP="00600E5E">
            <w:pPr>
              <w:widowControl w:val="0"/>
              <w:autoSpaceDE w:val="0"/>
              <w:autoSpaceDN w:val="0"/>
              <w:adjustRightInd w:val="0"/>
              <w:spacing w:after="0" w:line="240" w:lineRule="auto"/>
              <w:rPr>
                <w:rFonts w:ascii="Garamond" w:hAnsi="Garamond"/>
                <w:sz w:val="20"/>
                <w:szCs w:val="20"/>
              </w:rPr>
            </w:pPr>
          </w:p>
        </w:tc>
        <w:tc>
          <w:tcPr>
            <w:tcW w:w="1980" w:type="dxa"/>
            <w:tcBorders>
              <w:top w:val="nil"/>
              <w:left w:val="nil"/>
              <w:bottom w:val="nil"/>
              <w:right w:val="nil"/>
            </w:tcBorders>
          </w:tcPr>
          <w:p w14:paraId="52FCA9AB" w14:textId="71E259E0"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cs="Times New Roman"/>
                <w:sz w:val="20"/>
                <w:szCs w:val="20"/>
              </w:rPr>
              <w:t>(-11.34)</w:t>
            </w:r>
          </w:p>
        </w:tc>
        <w:tc>
          <w:tcPr>
            <w:tcW w:w="1890" w:type="dxa"/>
            <w:tcBorders>
              <w:top w:val="nil"/>
              <w:left w:val="nil"/>
              <w:bottom w:val="nil"/>
              <w:right w:val="nil"/>
            </w:tcBorders>
          </w:tcPr>
          <w:p w14:paraId="4205E2B5"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(-7.51)</w:t>
            </w:r>
          </w:p>
        </w:tc>
        <w:tc>
          <w:tcPr>
            <w:tcW w:w="1800" w:type="dxa"/>
            <w:tcBorders>
              <w:top w:val="nil"/>
              <w:left w:val="nil"/>
              <w:bottom w:val="nil"/>
              <w:right w:val="nil"/>
            </w:tcBorders>
          </w:tcPr>
          <w:p w14:paraId="76D70E92"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(-28.10)</w:t>
            </w:r>
          </w:p>
        </w:tc>
        <w:tc>
          <w:tcPr>
            <w:tcW w:w="1530" w:type="dxa"/>
            <w:tcBorders>
              <w:top w:val="nil"/>
              <w:left w:val="nil"/>
              <w:bottom w:val="nil"/>
              <w:right w:val="nil"/>
            </w:tcBorders>
          </w:tcPr>
          <w:p w14:paraId="3356E88E"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(-29.13)</w:t>
            </w:r>
          </w:p>
        </w:tc>
      </w:tr>
      <w:tr w:rsidR="00DB6C99" w:rsidRPr="00DB6C99" w14:paraId="7672F2B7" w14:textId="77777777" w:rsidTr="007C344D">
        <w:trPr>
          <w:jc w:val="center"/>
        </w:trPr>
        <w:tc>
          <w:tcPr>
            <w:tcW w:w="2160" w:type="dxa"/>
            <w:tcBorders>
              <w:top w:val="nil"/>
              <w:left w:val="nil"/>
              <w:bottom w:val="nil"/>
              <w:right w:val="nil"/>
            </w:tcBorders>
          </w:tcPr>
          <w:p w14:paraId="19013FDB" w14:textId="77777777" w:rsidR="00600E5E" w:rsidRPr="00DB6C99" w:rsidRDefault="00600E5E" w:rsidP="00600E5E">
            <w:pPr>
              <w:widowControl w:val="0"/>
              <w:autoSpaceDE w:val="0"/>
              <w:autoSpaceDN w:val="0"/>
              <w:adjustRightInd w:val="0"/>
              <w:spacing w:after="0" w:line="240" w:lineRule="auto"/>
              <w:rPr>
                <w:rFonts w:ascii="Garamond" w:hAnsi="Garamond"/>
                <w:i/>
                <w:iCs/>
                <w:sz w:val="20"/>
                <w:szCs w:val="20"/>
              </w:rPr>
            </w:pPr>
          </w:p>
        </w:tc>
        <w:tc>
          <w:tcPr>
            <w:tcW w:w="1980" w:type="dxa"/>
            <w:tcBorders>
              <w:top w:val="nil"/>
              <w:left w:val="nil"/>
              <w:bottom w:val="nil"/>
              <w:right w:val="nil"/>
            </w:tcBorders>
          </w:tcPr>
          <w:p w14:paraId="5FFB81F5"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p>
        </w:tc>
        <w:tc>
          <w:tcPr>
            <w:tcW w:w="1890" w:type="dxa"/>
            <w:tcBorders>
              <w:top w:val="nil"/>
              <w:left w:val="nil"/>
              <w:bottom w:val="nil"/>
              <w:right w:val="nil"/>
            </w:tcBorders>
          </w:tcPr>
          <w:p w14:paraId="4EB58632"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p>
        </w:tc>
        <w:tc>
          <w:tcPr>
            <w:tcW w:w="1800" w:type="dxa"/>
            <w:tcBorders>
              <w:top w:val="nil"/>
              <w:left w:val="nil"/>
              <w:bottom w:val="nil"/>
              <w:right w:val="nil"/>
            </w:tcBorders>
          </w:tcPr>
          <w:p w14:paraId="24E9FF1D"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p>
        </w:tc>
        <w:tc>
          <w:tcPr>
            <w:tcW w:w="1530" w:type="dxa"/>
            <w:tcBorders>
              <w:top w:val="nil"/>
              <w:left w:val="nil"/>
              <w:bottom w:val="nil"/>
              <w:right w:val="nil"/>
            </w:tcBorders>
          </w:tcPr>
          <w:p w14:paraId="3FECB1EF"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p>
        </w:tc>
      </w:tr>
      <w:tr w:rsidR="00DB6C99" w:rsidRPr="00DB6C99" w14:paraId="0E3FCDA8" w14:textId="77777777" w:rsidTr="007C344D">
        <w:trPr>
          <w:jc w:val="center"/>
        </w:trPr>
        <w:tc>
          <w:tcPr>
            <w:tcW w:w="2160" w:type="dxa"/>
            <w:tcBorders>
              <w:top w:val="nil"/>
              <w:left w:val="nil"/>
              <w:bottom w:val="nil"/>
              <w:right w:val="nil"/>
            </w:tcBorders>
          </w:tcPr>
          <w:p w14:paraId="32D64EF7" w14:textId="77777777" w:rsidR="00600E5E" w:rsidRPr="00DB6C99" w:rsidRDefault="00600E5E" w:rsidP="00600E5E">
            <w:pPr>
              <w:widowControl w:val="0"/>
              <w:autoSpaceDE w:val="0"/>
              <w:autoSpaceDN w:val="0"/>
              <w:adjustRightInd w:val="0"/>
              <w:spacing w:after="0" w:line="240" w:lineRule="auto"/>
              <w:rPr>
                <w:rFonts w:ascii="Garamond" w:hAnsi="Garamond"/>
                <w:i/>
                <w:iCs/>
                <w:sz w:val="20"/>
                <w:szCs w:val="20"/>
              </w:rPr>
            </w:pPr>
            <w:r w:rsidRPr="00DB6C99">
              <w:rPr>
                <w:rFonts w:ascii="Garamond" w:hAnsi="Garamond"/>
                <w:i/>
                <w:iCs/>
                <w:sz w:val="20"/>
                <w:szCs w:val="20"/>
              </w:rPr>
              <w:t>N</w:t>
            </w:r>
          </w:p>
        </w:tc>
        <w:tc>
          <w:tcPr>
            <w:tcW w:w="1980" w:type="dxa"/>
            <w:tcBorders>
              <w:top w:val="nil"/>
              <w:left w:val="nil"/>
              <w:bottom w:val="nil"/>
              <w:right w:val="nil"/>
            </w:tcBorders>
          </w:tcPr>
          <w:p w14:paraId="62A03691" w14:textId="4E0CBB09"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cs="Times New Roman"/>
                <w:sz w:val="20"/>
                <w:szCs w:val="20"/>
              </w:rPr>
              <w:t>9,276</w:t>
            </w:r>
          </w:p>
        </w:tc>
        <w:tc>
          <w:tcPr>
            <w:tcW w:w="1890" w:type="dxa"/>
            <w:tcBorders>
              <w:top w:val="nil"/>
              <w:left w:val="nil"/>
              <w:bottom w:val="nil"/>
              <w:right w:val="nil"/>
            </w:tcBorders>
          </w:tcPr>
          <w:p w14:paraId="375A348A"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7,801</w:t>
            </w:r>
          </w:p>
        </w:tc>
        <w:tc>
          <w:tcPr>
            <w:tcW w:w="1800" w:type="dxa"/>
            <w:tcBorders>
              <w:top w:val="nil"/>
              <w:left w:val="nil"/>
              <w:bottom w:val="nil"/>
              <w:right w:val="nil"/>
            </w:tcBorders>
          </w:tcPr>
          <w:p w14:paraId="1A9E6023"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9,276</w:t>
            </w:r>
          </w:p>
        </w:tc>
        <w:tc>
          <w:tcPr>
            <w:tcW w:w="1530" w:type="dxa"/>
            <w:tcBorders>
              <w:top w:val="nil"/>
              <w:left w:val="nil"/>
              <w:bottom w:val="nil"/>
              <w:right w:val="nil"/>
            </w:tcBorders>
          </w:tcPr>
          <w:p w14:paraId="48DAD590" w14:textId="77777777" w:rsidR="00600E5E" w:rsidRPr="00DB6C99" w:rsidRDefault="00600E5E" w:rsidP="00600E5E">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7,801</w:t>
            </w:r>
          </w:p>
        </w:tc>
      </w:tr>
      <w:tr w:rsidR="00DB6C99" w:rsidRPr="00DB6C99" w14:paraId="7E01EFF6" w14:textId="77777777" w:rsidTr="007C344D">
        <w:trPr>
          <w:jc w:val="center"/>
        </w:trPr>
        <w:tc>
          <w:tcPr>
            <w:tcW w:w="2160" w:type="dxa"/>
            <w:tcBorders>
              <w:top w:val="nil"/>
              <w:left w:val="nil"/>
              <w:bottom w:val="nil"/>
              <w:right w:val="nil"/>
            </w:tcBorders>
          </w:tcPr>
          <w:p w14:paraId="40C15F6D" w14:textId="77777777" w:rsidR="007C344D" w:rsidRPr="00DB6C99" w:rsidRDefault="007C344D" w:rsidP="007C344D">
            <w:pPr>
              <w:widowControl w:val="0"/>
              <w:autoSpaceDE w:val="0"/>
              <w:autoSpaceDN w:val="0"/>
              <w:adjustRightInd w:val="0"/>
              <w:spacing w:after="0" w:line="240" w:lineRule="auto"/>
              <w:rPr>
                <w:rFonts w:ascii="Garamond" w:hAnsi="Garamond"/>
                <w:i/>
                <w:iCs/>
                <w:sz w:val="20"/>
                <w:szCs w:val="20"/>
              </w:rPr>
            </w:pPr>
            <w:r w:rsidRPr="00DB6C99">
              <w:rPr>
                <w:rFonts w:ascii="Garamond" w:hAnsi="Garamond"/>
                <w:i/>
                <w:iCs/>
                <w:sz w:val="20"/>
                <w:szCs w:val="20"/>
              </w:rPr>
              <w:t>Firm &amp; Year</w:t>
            </w:r>
          </w:p>
        </w:tc>
        <w:tc>
          <w:tcPr>
            <w:tcW w:w="1980" w:type="dxa"/>
            <w:tcBorders>
              <w:top w:val="nil"/>
              <w:left w:val="nil"/>
              <w:bottom w:val="nil"/>
              <w:right w:val="nil"/>
            </w:tcBorders>
          </w:tcPr>
          <w:p w14:paraId="5576B7A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Yes</w:t>
            </w:r>
          </w:p>
        </w:tc>
        <w:tc>
          <w:tcPr>
            <w:tcW w:w="1890" w:type="dxa"/>
            <w:tcBorders>
              <w:top w:val="nil"/>
              <w:left w:val="nil"/>
              <w:bottom w:val="nil"/>
              <w:right w:val="nil"/>
            </w:tcBorders>
          </w:tcPr>
          <w:p w14:paraId="46717B4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Yes</w:t>
            </w:r>
          </w:p>
        </w:tc>
        <w:tc>
          <w:tcPr>
            <w:tcW w:w="1800" w:type="dxa"/>
            <w:tcBorders>
              <w:top w:val="nil"/>
              <w:left w:val="nil"/>
              <w:bottom w:val="nil"/>
              <w:right w:val="nil"/>
            </w:tcBorders>
          </w:tcPr>
          <w:p w14:paraId="0A944B2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w:t>
            </w:r>
          </w:p>
        </w:tc>
        <w:tc>
          <w:tcPr>
            <w:tcW w:w="1530" w:type="dxa"/>
            <w:tcBorders>
              <w:top w:val="nil"/>
              <w:left w:val="nil"/>
              <w:bottom w:val="nil"/>
              <w:right w:val="nil"/>
            </w:tcBorders>
          </w:tcPr>
          <w:p w14:paraId="761425F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w:t>
            </w:r>
          </w:p>
        </w:tc>
      </w:tr>
      <w:tr w:rsidR="00DB6C99" w:rsidRPr="00DB6C99" w14:paraId="1F443B7B" w14:textId="77777777" w:rsidTr="007C344D">
        <w:trPr>
          <w:jc w:val="center"/>
        </w:trPr>
        <w:tc>
          <w:tcPr>
            <w:tcW w:w="2160" w:type="dxa"/>
            <w:tcBorders>
              <w:top w:val="nil"/>
              <w:left w:val="nil"/>
              <w:bottom w:val="nil"/>
              <w:right w:val="nil"/>
            </w:tcBorders>
          </w:tcPr>
          <w:p w14:paraId="2B5FB238" w14:textId="77777777" w:rsidR="007C344D" w:rsidRPr="00DB6C99" w:rsidRDefault="007C344D" w:rsidP="007C344D">
            <w:pPr>
              <w:widowControl w:val="0"/>
              <w:autoSpaceDE w:val="0"/>
              <w:autoSpaceDN w:val="0"/>
              <w:adjustRightInd w:val="0"/>
              <w:spacing w:after="0" w:line="240" w:lineRule="auto"/>
              <w:rPr>
                <w:rFonts w:ascii="Garamond" w:hAnsi="Garamond"/>
                <w:i/>
                <w:iCs/>
                <w:sz w:val="20"/>
                <w:szCs w:val="20"/>
              </w:rPr>
            </w:pPr>
            <w:r w:rsidRPr="00DB6C99">
              <w:rPr>
                <w:rFonts w:ascii="Garamond" w:hAnsi="Garamond"/>
                <w:i/>
                <w:iCs/>
                <w:sz w:val="20"/>
                <w:szCs w:val="20"/>
              </w:rPr>
              <w:t>Industry &amp; Year</w:t>
            </w:r>
          </w:p>
        </w:tc>
        <w:tc>
          <w:tcPr>
            <w:tcW w:w="1980" w:type="dxa"/>
            <w:tcBorders>
              <w:top w:val="nil"/>
              <w:left w:val="nil"/>
              <w:bottom w:val="nil"/>
              <w:right w:val="nil"/>
            </w:tcBorders>
          </w:tcPr>
          <w:p w14:paraId="1144DFF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w:t>
            </w:r>
          </w:p>
        </w:tc>
        <w:tc>
          <w:tcPr>
            <w:tcW w:w="1890" w:type="dxa"/>
            <w:tcBorders>
              <w:top w:val="nil"/>
              <w:left w:val="nil"/>
              <w:bottom w:val="nil"/>
              <w:right w:val="nil"/>
            </w:tcBorders>
          </w:tcPr>
          <w:p w14:paraId="1A4FF2F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w:t>
            </w:r>
          </w:p>
        </w:tc>
        <w:tc>
          <w:tcPr>
            <w:tcW w:w="1800" w:type="dxa"/>
            <w:tcBorders>
              <w:top w:val="nil"/>
              <w:left w:val="nil"/>
              <w:bottom w:val="nil"/>
              <w:right w:val="nil"/>
            </w:tcBorders>
          </w:tcPr>
          <w:p w14:paraId="08290CCF"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Yes</w:t>
            </w:r>
          </w:p>
        </w:tc>
        <w:tc>
          <w:tcPr>
            <w:tcW w:w="1530" w:type="dxa"/>
            <w:tcBorders>
              <w:top w:val="nil"/>
              <w:left w:val="nil"/>
              <w:bottom w:val="nil"/>
              <w:right w:val="nil"/>
            </w:tcBorders>
          </w:tcPr>
          <w:p w14:paraId="29DD063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Yes</w:t>
            </w:r>
          </w:p>
        </w:tc>
      </w:tr>
      <w:tr w:rsidR="00DB6C99" w:rsidRPr="00DB6C99" w14:paraId="7722E46F" w14:textId="77777777" w:rsidTr="007C344D">
        <w:trPr>
          <w:jc w:val="center"/>
        </w:trPr>
        <w:tc>
          <w:tcPr>
            <w:tcW w:w="2160" w:type="dxa"/>
            <w:tcBorders>
              <w:top w:val="nil"/>
              <w:left w:val="nil"/>
              <w:bottom w:val="nil"/>
              <w:right w:val="nil"/>
            </w:tcBorders>
          </w:tcPr>
          <w:p w14:paraId="17AAACD0" w14:textId="77777777" w:rsidR="007C344D" w:rsidRPr="00DB6C99" w:rsidRDefault="007C344D" w:rsidP="007C344D">
            <w:pPr>
              <w:widowControl w:val="0"/>
              <w:autoSpaceDE w:val="0"/>
              <w:autoSpaceDN w:val="0"/>
              <w:adjustRightInd w:val="0"/>
              <w:spacing w:after="0" w:line="240" w:lineRule="auto"/>
              <w:rPr>
                <w:rFonts w:ascii="Garamond" w:hAnsi="Garamond"/>
                <w:i/>
                <w:iCs/>
                <w:sz w:val="20"/>
                <w:szCs w:val="20"/>
              </w:rPr>
            </w:pPr>
            <w:r w:rsidRPr="00DB6C99">
              <w:rPr>
                <w:rFonts w:ascii="Garamond" w:hAnsi="Garamond"/>
                <w:i/>
                <w:iCs/>
                <w:sz w:val="20"/>
                <w:szCs w:val="20"/>
              </w:rPr>
              <w:t>Adj. R</w:t>
            </w:r>
            <w:r w:rsidRPr="00DB6C99">
              <w:rPr>
                <w:rFonts w:ascii="Garamond" w:hAnsi="Garamond"/>
                <w:i/>
                <w:iCs/>
                <w:sz w:val="20"/>
                <w:szCs w:val="20"/>
                <w:vertAlign w:val="superscript"/>
              </w:rPr>
              <w:t>2</w:t>
            </w:r>
          </w:p>
        </w:tc>
        <w:tc>
          <w:tcPr>
            <w:tcW w:w="1980" w:type="dxa"/>
            <w:tcBorders>
              <w:top w:val="nil"/>
              <w:left w:val="nil"/>
              <w:bottom w:val="nil"/>
              <w:right w:val="nil"/>
            </w:tcBorders>
          </w:tcPr>
          <w:p w14:paraId="09B453D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0.184</w:t>
            </w:r>
          </w:p>
        </w:tc>
        <w:tc>
          <w:tcPr>
            <w:tcW w:w="1890" w:type="dxa"/>
            <w:tcBorders>
              <w:top w:val="nil"/>
              <w:left w:val="nil"/>
              <w:bottom w:val="nil"/>
              <w:right w:val="nil"/>
            </w:tcBorders>
          </w:tcPr>
          <w:p w14:paraId="66016CB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0.189</w:t>
            </w:r>
          </w:p>
        </w:tc>
        <w:tc>
          <w:tcPr>
            <w:tcW w:w="1800" w:type="dxa"/>
            <w:tcBorders>
              <w:top w:val="nil"/>
              <w:left w:val="nil"/>
              <w:bottom w:val="nil"/>
              <w:right w:val="nil"/>
            </w:tcBorders>
          </w:tcPr>
          <w:p w14:paraId="5FB4B43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0.313</w:t>
            </w:r>
          </w:p>
        </w:tc>
        <w:tc>
          <w:tcPr>
            <w:tcW w:w="1530" w:type="dxa"/>
            <w:tcBorders>
              <w:top w:val="nil"/>
              <w:left w:val="nil"/>
              <w:bottom w:val="nil"/>
              <w:right w:val="nil"/>
            </w:tcBorders>
          </w:tcPr>
          <w:p w14:paraId="3272BF5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0.324</w:t>
            </w:r>
          </w:p>
        </w:tc>
      </w:tr>
      <w:tr w:rsidR="00DB6C99" w:rsidRPr="00DB6C99" w14:paraId="17F76E17" w14:textId="77777777" w:rsidTr="007C344D">
        <w:tblPrEx>
          <w:tblBorders>
            <w:bottom w:val="single" w:sz="6" w:space="0" w:color="auto"/>
          </w:tblBorders>
        </w:tblPrEx>
        <w:trPr>
          <w:jc w:val="center"/>
        </w:trPr>
        <w:tc>
          <w:tcPr>
            <w:tcW w:w="2160" w:type="dxa"/>
            <w:tcBorders>
              <w:top w:val="nil"/>
              <w:left w:val="nil"/>
              <w:bottom w:val="single" w:sz="6" w:space="0" w:color="auto"/>
              <w:right w:val="nil"/>
            </w:tcBorders>
          </w:tcPr>
          <w:p w14:paraId="10A27E3F" w14:textId="77777777" w:rsidR="007C344D" w:rsidRPr="00DB6C99" w:rsidRDefault="007C344D" w:rsidP="007C344D">
            <w:pPr>
              <w:widowControl w:val="0"/>
              <w:autoSpaceDE w:val="0"/>
              <w:autoSpaceDN w:val="0"/>
              <w:adjustRightInd w:val="0"/>
              <w:spacing w:after="0" w:line="240" w:lineRule="auto"/>
              <w:rPr>
                <w:rFonts w:ascii="Garamond" w:hAnsi="Garamond"/>
                <w:i/>
                <w:iCs/>
                <w:sz w:val="20"/>
                <w:szCs w:val="20"/>
              </w:rPr>
            </w:pPr>
            <w:r w:rsidRPr="00DB6C99">
              <w:rPr>
                <w:rFonts w:ascii="Garamond" w:hAnsi="Garamond"/>
                <w:i/>
                <w:iCs/>
                <w:sz w:val="20"/>
                <w:szCs w:val="20"/>
              </w:rPr>
              <w:t>F-stat</w:t>
            </w:r>
          </w:p>
        </w:tc>
        <w:tc>
          <w:tcPr>
            <w:tcW w:w="1980" w:type="dxa"/>
            <w:tcBorders>
              <w:top w:val="nil"/>
              <w:left w:val="nil"/>
              <w:bottom w:val="single" w:sz="6" w:space="0" w:color="auto"/>
              <w:right w:val="nil"/>
            </w:tcBorders>
          </w:tcPr>
          <w:p w14:paraId="44D1FD8B" w14:textId="5FB9094A"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w:t>
            </w:r>
            <w:r w:rsidR="00600E5E" w:rsidRPr="00DB6C99">
              <w:rPr>
                <w:rFonts w:ascii="Garamond" w:hAnsi="Garamond"/>
                <w:sz w:val="20"/>
                <w:szCs w:val="20"/>
              </w:rPr>
              <w:t>5</w:t>
            </w:r>
            <w:r w:rsidRPr="00DB6C99">
              <w:rPr>
                <w:rFonts w:ascii="Garamond" w:hAnsi="Garamond"/>
                <w:sz w:val="20"/>
                <w:szCs w:val="20"/>
              </w:rPr>
              <w:t>.</w:t>
            </w:r>
            <w:r w:rsidR="00600E5E" w:rsidRPr="00DB6C99">
              <w:rPr>
                <w:rFonts w:ascii="Garamond" w:hAnsi="Garamond"/>
                <w:sz w:val="20"/>
                <w:szCs w:val="20"/>
              </w:rPr>
              <w:t>86</w:t>
            </w:r>
          </w:p>
        </w:tc>
        <w:tc>
          <w:tcPr>
            <w:tcW w:w="1890" w:type="dxa"/>
            <w:tcBorders>
              <w:top w:val="nil"/>
              <w:left w:val="nil"/>
              <w:bottom w:val="single" w:sz="6" w:space="0" w:color="auto"/>
              <w:right w:val="nil"/>
            </w:tcBorders>
          </w:tcPr>
          <w:p w14:paraId="46F8A25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13.35</w:t>
            </w:r>
          </w:p>
        </w:tc>
        <w:tc>
          <w:tcPr>
            <w:tcW w:w="1800" w:type="dxa"/>
            <w:tcBorders>
              <w:top w:val="nil"/>
              <w:left w:val="nil"/>
              <w:bottom w:val="single" w:sz="6" w:space="0" w:color="auto"/>
              <w:right w:val="nil"/>
            </w:tcBorders>
          </w:tcPr>
          <w:p w14:paraId="4B791CE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25.32</w:t>
            </w:r>
          </w:p>
        </w:tc>
        <w:tc>
          <w:tcPr>
            <w:tcW w:w="1530" w:type="dxa"/>
            <w:tcBorders>
              <w:top w:val="nil"/>
              <w:left w:val="nil"/>
              <w:bottom w:val="single" w:sz="6" w:space="0" w:color="auto"/>
              <w:right w:val="nil"/>
            </w:tcBorders>
          </w:tcPr>
          <w:p w14:paraId="0056AB5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22.69</w:t>
            </w:r>
          </w:p>
        </w:tc>
      </w:tr>
    </w:tbl>
    <w:p w14:paraId="0A472128" w14:textId="77777777" w:rsidR="007C344D" w:rsidRPr="00DB6C99" w:rsidRDefault="007C344D" w:rsidP="007C344D">
      <w:pPr>
        <w:widowControl w:val="0"/>
        <w:kinsoku w:val="0"/>
        <w:overflowPunct w:val="0"/>
        <w:autoSpaceDE w:val="0"/>
        <w:autoSpaceDN w:val="0"/>
        <w:adjustRightInd w:val="0"/>
        <w:spacing w:after="0" w:line="240" w:lineRule="auto"/>
        <w:jc w:val="both"/>
        <w:rPr>
          <w:rFonts w:ascii="Garamond" w:hAnsi="Garamond"/>
          <w:sz w:val="20"/>
          <w:szCs w:val="18"/>
        </w:rPr>
      </w:pPr>
      <w:r w:rsidRPr="00DB6C99">
        <w:rPr>
          <w:rFonts w:ascii="Garamond" w:hAnsi="Garamond"/>
          <w:b/>
          <w:bCs/>
          <w:sz w:val="20"/>
          <w:szCs w:val="18"/>
        </w:rPr>
        <w:t xml:space="preserve">Note: </w:t>
      </w:r>
      <w:r w:rsidRPr="00DB6C99">
        <w:rPr>
          <w:rFonts w:ascii="Garamond" w:hAnsi="Garamond"/>
          <w:sz w:val="20"/>
          <w:szCs w:val="18"/>
        </w:rPr>
        <w:t xml:space="preserve">*,**, *** Represent significance at 0.1, 0.05 and 0.01 levels, respectively. </w:t>
      </w:r>
      <w:r w:rsidRPr="00DB6C99">
        <w:rPr>
          <w:rFonts w:ascii="Garamond" w:hAnsi="Garamond"/>
          <w:sz w:val="20"/>
          <w:szCs w:val="20"/>
        </w:rPr>
        <w:t>T statistics are given in parenthesis.</w:t>
      </w:r>
      <w:r w:rsidRPr="00DB6C99">
        <w:rPr>
          <w:rFonts w:ascii="Garamond" w:hAnsi="Garamond"/>
          <w:sz w:val="20"/>
          <w:szCs w:val="18"/>
        </w:rPr>
        <w:t xml:space="preserve"> </w:t>
      </w:r>
    </w:p>
    <w:p w14:paraId="65CFB13C" w14:textId="77777777" w:rsidR="007C344D" w:rsidRPr="00DB6C99" w:rsidRDefault="007C344D" w:rsidP="007C344D">
      <w:pPr>
        <w:widowControl w:val="0"/>
        <w:kinsoku w:val="0"/>
        <w:overflowPunct w:val="0"/>
        <w:autoSpaceDE w:val="0"/>
        <w:autoSpaceDN w:val="0"/>
        <w:adjustRightInd w:val="0"/>
        <w:spacing w:after="0" w:line="240" w:lineRule="auto"/>
        <w:jc w:val="both"/>
        <w:rPr>
          <w:rFonts w:ascii="Garamond" w:hAnsi="Garamond"/>
          <w:sz w:val="20"/>
          <w:szCs w:val="18"/>
        </w:rPr>
      </w:pPr>
      <w:r w:rsidRPr="00DB6C99">
        <w:rPr>
          <w:rFonts w:ascii="Garamond" w:hAnsi="Garamond"/>
          <w:sz w:val="20"/>
          <w:szCs w:val="18"/>
        </w:rPr>
        <w:t>All variables are as defined in Table 1.</w:t>
      </w:r>
      <w:r w:rsidRPr="00DB6C99">
        <w:rPr>
          <w:rFonts w:ascii="Garamond" w:hAnsi="Garamond"/>
          <w:sz w:val="20"/>
          <w:szCs w:val="18"/>
        </w:rPr>
        <w:br w:type="page"/>
      </w:r>
    </w:p>
    <w:p w14:paraId="6BCF358C" w14:textId="77777777" w:rsidR="007C344D" w:rsidRPr="00DB6C99" w:rsidRDefault="007C344D" w:rsidP="007C344D">
      <w:pPr>
        <w:pStyle w:val="Caption"/>
        <w:spacing w:after="0"/>
        <w:jc w:val="both"/>
        <w:rPr>
          <w:rFonts w:ascii="Garamond" w:hAnsi="Garamond"/>
          <w:b w:val="0"/>
          <w:bCs w:val="0"/>
          <w:szCs w:val="24"/>
        </w:rPr>
      </w:pPr>
      <w:r w:rsidRPr="00DB6C99">
        <w:rPr>
          <w:rFonts w:ascii="Garamond" w:hAnsi="Garamond"/>
          <w:szCs w:val="24"/>
        </w:rPr>
        <w:lastRenderedPageBreak/>
        <w:t>Table 6:</w:t>
      </w:r>
      <w:r w:rsidRPr="00DB6C99">
        <w:rPr>
          <w:rFonts w:ascii="Garamond" w:hAnsi="Garamond"/>
          <w:spacing w:val="-1"/>
          <w:szCs w:val="24"/>
        </w:rPr>
        <w:t xml:space="preserve"> </w:t>
      </w:r>
      <w:r w:rsidRPr="00DB6C99">
        <w:rPr>
          <w:rFonts w:ascii="Garamond" w:hAnsi="Garamond"/>
          <w:b w:val="0"/>
          <w:bCs w:val="0"/>
          <w:spacing w:val="-1"/>
          <w:szCs w:val="24"/>
        </w:rPr>
        <w:t>Critical mass of</w:t>
      </w:r>
      <w:r w:rsidRPr="00DB6C99">
        <w:rPr>
          <w:rFonts w:ascii="Garamond" w:hAnsi="Garamond"/>
          <w:spacing w:val="-1"/>
          <w:szCs w:val="24"/>
        </w:rPr>
        <w:t xml:space="preserve"> </w:t>
      </w:r>
      <w:r w:rsidRPr="00DB6C99">
        <w:rPr>
          <w:rFonts w:ascii="Garamond" w:hAnsi="Garamond"/>
          <w:b w:val="0"/>
          <w:bCs w:val="0"/>
          <w:szCs w:val="24"/>
        </w:rPr>
        <w:t>female directors and CSR gap</w:t>
      </w:r>
    </w:p>
    <w:tbl>
      <w:tblPr>
        <w:tblW w:w="9360" w:type="dxa"/>
        <w:jc w:val="center"/>
        <w:tblLayout w:type="fixed"/>
        <w:tblCellMar>
          <w:left w:w="75" w:type="dxa"/>
          <w:right w:w="75" w:type="dxa"/>
        </w:tblCellMar>
        <w:tblLook w:val="0000" w:firstRow="0" w:lastRow="0" w:firstColumn="0" w:lastColumn="0" w:noHBand="0" w:noVBand="0"/>
      </w:tblPr>
      <w:tblGrid>
        <w:gridCol w:w="2160"/>
        <w:gridCol w:w="1980"/>
        <w:gridCol w:w="1890"/>
        <w:gridCol w:w="1800"/>
        <w:gridCol w:w="1530"/>
      </w:tblGrid>
      <w:tr w:rsidR="00DB6C99" w:rsidRPr="00DB6C99" w14:paraId="00517EE8" w14:textId="77777777" w:rsidTr="007C344D">
        <w:trPr>
          <w:jc w:val="center"/>
        </w:trPr>
        <w:tc>
          <w:tcPr>
            <w:tcW w:w="2160" w:type="dxa"/>
            <w:vMerge w:val="restart"/>
            <w:tcBorders>
              <w:top w:val="single" w:sz="6" w:space="0" w:color="auto"/>
              <w:left w:val="nil"/>
              <w:right w:val="nil"/>
            </w:tcBorders>
            <w:vAlign w:val="center"/>
          </w:tcPr>
          <w:p w14:paraId="07463DB7"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sz w:val="20"/>
                <w:szCs w:val="20"/>
              </w:rPr>
              <w:t>VARIABLES</w:t>
            </w:r>
          </w:p>
        </w:tc>
        <w:tc>
          <w:tcPr>
            <w:tcW w:w="7200" w:type="dxa"/>
            <w:gridSpan w:val="4"/>
            <w:tcBorders>
              <w:top w:val="single" w:sz="6" w:space="0" w:color="auto"/>
              <w:left w:val="nil"/>
              <w:bottom w:val="single" w:sz="6" w:space="0" w:color="auto"/>
              <w:right w:val="nil"/>
            </w:tcBorders>
          </w:tcPr>
          <w:p w14:paraId="2CBA40B7" w14:textId="77777777" w:rsidR="007C344D" w:rsidRPr="00DB6C99" w:rsidRDefault="007C344D" w:rsidP="007C344D">
            <w:pPr>
              <w:widowControl w:val="0"/>
              <w:autoSpaceDE w:val="0"/>
              <w:autoSpaceDN w:val="0"/>
              <w:adjustRightInd w:val="0"/>
              <w:spacing w:after="0" w:line="240" w:lineRule="auto"/>
              <w:jc w:val="center"/>
              <w:rPr>
                <w:rFonts w:ascii="Garamond" w:hAnsi="Garamond"/>
                <w:i/>
                <w:iCs/>
                <w:sz w:val="20"/>
                <w:szCs w:val="20"/>
              </w:rPr>
            </w:pPr>
            <w:r w:rsidRPr="00DB6C99">
              <w:rPr>
                <w:rFonts w:ascii="Garamond" w:hAnsi="Garamond"/>
                <w:i/>
                <w:iCs/>
                <w:sz w:val="20"/>
                <w:szCs w:val="20"/>
              </w:rPr>
              <w:t>GAP</w:t>
            </w:r>
          </w:p>
        </w:tc>
      </w:tr>
      <w:tr w:rsidR="00DB6C99" w:rsidRPr="00DB6C99" w14:paraId="600207C8" w14:textId="77777777" w:rsidTr="007C344D">
        <w:trPr>
          <w:jc w:val="center"/>
        </w:trPr>
        <w:tc>
          <w:tcPr>
            <w:tcW w:w="2160" w:type="dxa"/>
            <w:vMerge/>
            <w:tcBorders>
              <w:left w:val="nil"/>
              <w:bottom w:val="single" w:sz="6" w:space="0" w:color="auto"/>
              <w:right w:val="nil"/>
            </w:tcBorders>
          </w:tcPr>
          <w:p w14:paraId="517E3643"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980" w:type="dxa"/>
            <w:tcBorders>
              <w:top w:val="single" w:sz="6" w:space="0" w:color="auto"/>
              <w:left w:val="nil"/>
              <w:bottom w:val="single" w:sz="6" w:space="0" w:color="auto"/>
              <w:right w:val="nil"/>
            </w:tcBorders>
            <w:vAlign w:val="center"/>
          </w:tcPr>
          <w:p w14:paraId="71F49A1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b/>
                <w:sz w:val="20"/>
                <w:szCs w:val="20"/>
              </w:rPr>
              <w:t>FE</w:t>
            </w:r>
          </w:p>
        </w:tc>
        <w:tc>
          <w:tcPr>
            <w:tcW w:w="1890" w:type="dxa"/>
            <w:tcBorders>
              <w:top w:val="single" w:sz="6" w:space="0" w:color="auto"/>
              <w:left w:val="nil"/>
              <w:bottom w:val="single" w:sz="6" w:space="0" w:color="auto"/>
              <w:right w:val="nil"/>
            </w:tcBorders>
            <w:vAlign w:val="center"/>
          </w:tcPr>
          <w:p w14:paraId="4FC7F58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b/>
                <w:sz w:val="20"/>
                <w:szCs w:val="20"/>
              </w:rPr>
              <w:t>Lagged-FE</w:t>
            </w:r>
          </w:p>
        </w:tc>
        <w:tc>
          <w:tcPr>
            <w:tcW w:w="1800" w:type="dxa"/>
            <w:tcBorders>
              <w:top w:val="single" w:sz="6" w:space="0" w:color="auto"/>
              <w:left w:val="nil"/>
              <w:bottom w:val="single" w:sz="6" w:space="0" w:color="auto"/>
              <w:right w:val="nil"/>
            </w:tcBorders>
            <w:vAlign w:val="center"/>
          </w:tcPr>
          <w:p w14:paraId="4522935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b/>
                <w:sz w:val="20"/>
                <w:szCs w:val="20"/>
              </w:rPr>
              <w:t>OLS</w:t>
            </w:r>
          </w:p>
        </w:tc>
        <w:tc>
          <w:tcPr>
            <w:tcW w:w="1530" w:type="dxa"/>
            <w:tcBorders>
              <w:top w:val="single" w:sz="6" w:space="0" w:color="auto"/>
              <w:left w:val="nil"/>
              <w:bottom w:val="single" w:sz="6" w:space="0" w:color="auto"/>
              <w:right w:val="nil"/>
            </w:tcBorders>
            <w:vAlign w:val="center"/>
          </w:tcPr>
          <w:p w14:paraId="5A7BF20F"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b/>
                <w:sz w:val="20"/>
                <w:szCs w:val="20"/>
              </w:rPr>
              <w:t>Lagged-OLS</w:t>
            </w:r>
          </w:p>
        </w:tc>
      </w:tr>
      <w:tr w:rsidR="00DB6C99" w:rsidRPr="00DB6C99" w14:paraId="350083BE" w14:textId="77777777" w:rsidTr="007C344D">
        <w:trPr>
          <w:jc w:val="center"/>
        </w:trPr>
        <w:tc>
          <w:tcPr>
            <w:tcW w:w="2160" w:type="dxa"/>
            <w:tcBorders>
              <w:top w:val="nil"/>
              <w:left w:val="nil"/>
              <w:bottom w:val="nil"/>
              <w:right w:val="nil"/>
            </w:tcBorders>
            <w:vAlign w:val="center"/>
          </w:tcPr>
          <w:p w14:paraId="48F177CB"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lang w:val="en-GB"/>
              </w:rPr>
              <w:t>SKEWED</w:t>
            </w:r>
          </w:p>
        </w:tc>
        <w:tc>
          <w:tcPr>
            <w:tcW w:w="1980" w:type="dxa"/>
            <w:tcBorders>
              <w:top w:val="nil"/>
              <w:left w:val="nil"/>
              <w:bottom w:val="nil"/>
              <w:right w:val="nil"/>
            </w:tcBorders>
          </w:tcPr>
          <w:p w14:paraId="728D956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-0.035*</w:t>
            </w:r>
          </w:p>
        </w:tc>
        <w:tc>
          <w:tcPr>
            <w:tcW w:w="1890" w:type="dxa"/>
            <w:tcBorders>
              <w:top w:val="nil"/>
              <w:left w:val="nil"/>
              <w:bottom w:val="nil"/>
              <w:right w:val="nil"/>
            </w:tcBorders>
          </w:tcPr>
          <w:p w14:paraId="3CA9E83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-0.009</w:t>
            </w:r>
          </w:p>
        </w:tc>
        <w:tc>
          <w:tcPr>
            <w:tcW w:w="1800" w:type="dxa"/>
            <w:tcBorders>
              <w:top w:val="nil"/>
              <w:left w:val="nil"/>
              <w:bottom w:val="nil"/>
              <w:right w:val="nil"/>
            </w:tcBorders>
          </w:tcPr>
          <w:p w14:paraId="5D3E3E4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-0.056***</w:t>
            </w:r>
          </w:p>
        </w:tc>
        <w:tc>
          <w:tcPr>
            <w:tcW w:w="1530" w:type="dxa"/>
            <w:tcBorders>
              <w:top w:val="nil"/>
              <w:left w:val="nil"/>
              <w:bottom w:val="nil"/>
              <w:right w:val="nil"/>
            </w:tcBorders>
          </w:tcPr>
          <w:p w14:paraId="37E706E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-0.049**</w:t>
            </w:r>
          </w:p>
        </w:tc>
      </w:tr>
      <w:tr w:rsidR="00DB6C99" w:rsidRPr="00DB6C99" w14:paraId="51DA6245" w14:textId="77777777" w:rsidTr="007C344D">
        <w:trPr>
          <w:jc w:val="center"/>
        </w:trPr>
        <w:tc>
          <w:tcPr>
            <w:tcW w:w="2160" w:type="dxa"/>
            <w:tcBorders>
              <w:top w:val="nil"/>
              <w:left w:val="nil"/>
              <w:bottom w:val="nil"/>
              <w:right w:val="nil"/>
            </w:tcBorders>
            <w:vAlign w:val="center"/>
          </w:tcPr>
          <w:p w14:paraId="6FCACFDC"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980" w:type="dxa"/>
            <w:tcBorders>
              <w:top w:val="nil"/>
              <w:left w:val="nil"/>
              <w:bottom w:val="nil"/>
              <w:right w:val="nil"/>
            </w:tcBorders>
          </w:tcPr>
          <w:p w14:paraId="529521D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(-1.72)</w:t>
            </w:r>
          </w:p>
        </w:tc>
        <w:tc>
          <w:tcPr>
            <w:tcW w:w="1890" w:type="dxa"/>
            <w:tcBorders>
              <w:top w:val="nil"/>
              <w:left w:val="nil"/>
              <w:bottom w:val="nil"/>
              <w:right w:val="nil"/>
            </w:tcBorders>
          </w:tcPr>
          <w:p w14:paraId="3E3FCC6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(-0.41)</w:t>
            </w:r>
          </w:p>
        </w:tc>
        <w:tc>
          <w:tcPr>
            <w:tcW w:w="1800" w:type="dxa"/>
            <w:tcBorders>
              <w:top w:val="nil"/>
              <w:left w:val="nil"/>
              <w:bottom w:val="nil"/>
              <w:right w:val="nil"/>
            </w:tcBorders>
          </w:tcPr>
          <w:p w14:paraId="30919E6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(-2.89)</w:t>
            </w:r>
          </w:p>
        </w:tc>
        <w:tc>
          <w:tcPr>
            <w:tcW w:w="1530" w:type="dxa"/>
            <w:tcBorders>
              <w:top w:val="nil"/>
              <w:left w:val="nil"/>
              <w:bottom w:val="nil"/>
              <w:right w:val="nil"/>
            </w:tcBorders>
          </w:tcPr>
          <w:p w14:paraId="5D77A3F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(-2.33)</w:t>
            </w:r>
          </w:p>
        </w:tc>
      </w:tr>
      <w:tr w:rsidR="00DB6C99" w:rsidRPr="00DB6C99" w14:paraId="7778B6C2" w14:textId="77777777" w:rsidTr="007C344D">
        <w:trPr>
          <w:jc w:val="center"/>
        </w:trPr>
        <w:tc>
          <w:tcPr>
            <w:tcW w:w="2160" w:type="dxa"/>
            <w:tcBorders>
              <w:top w:val="nil"/>
              <w:left w:val="nil"/>
              <w:bottom w:val="nil"/>
              <w:right w:val="nil"/>
            </w:tcBorders>
            <w:vAlign w:val="center"/>
          </w:tcPr>
          <w:p w14:paraId="41F8D09A" w14:textId="77777777" w:rsidR="007C344D" w:rsidRPr="00DB6C99" w:rsidRDefault="007C344D" w:rsidP="007C344D">
            <w:pPr>
              <w:widowControl w:val="0"/>
              <w:autoSpaceDE w:val="0"/>
              <w:autoSpaceDN w:val="0"/>
              <w:adjustRightInd w:val="0"/>
              <w:spacing w:after="0" w:line="240" w:lineRule="auto"/>
              <w:rPr>
                <w:rFonts w:ascii="Garamond" w:hAnsi="Garamond"/>
                <w:i/>
                <w:iCs/>
                <w:sz w:val="20"/>
                <w:szCs w:val="20"/>
                <w:lang w:val="en-GB"/>
              </w:rPr>
            </w:pPr>
            <w:r w:rsidRPr="00DB6C99">
              <w:rPr>
                <w:rFonts w:ascii="Garamond" w:hAnsi="Garamond"/>
                <w:i/>
                <w:iCs/>
                <w:sz w:val="20"/>
                <w:szCs w:val="20"/>
                <w:lang w:val="en-GB"/>
              </w:rPr>
              <w:t>TILTED</w:t>
            </w:r>
          </w:p>
        </w:tc>
        <w:tc>
          <w:tcPr>
            <w:tcW w:w="1980" w:type="dxa"/>
            <w:tcBorders>
              <w:top w:val="nil"/>
              <w:left w:val="nil"/>
              <w:bottom w:val="nil"/>
              <w:right w:val="nil"/>
            </w:tcBorders>
          </w:tcPr>
          <w:p w14:paraId="01676E2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-0.076***</w:t>
            </w:r>
          </w:p>
        </w:tc>
        <w:tc>
          <w:tcPr>
            <w:tcW w:w="1890" w:type="dxa"/>
            <w:tcBorders>
              <w:top w:val="nil"/>
              <w:left w:val="nil"/>
              <w:bottom w:val="nil"/>
              <w:right w:val="nil"/>
            </w:tcBorders>
          </w:tcPr>
          <w:p w14:paraId="77F894B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-0.083***</w:t>
            </w:r>
          </w:p>
        </w:tc>
        <w:tc>
          <w:tcPr>
            <w:tcW w:w="1800" w:type="dxa"/>
            <w:tcBorders>
              <w:top w:val="nil"/>
              <w:left w:val="nil"/>
              <w:bottom w:val="nil"/>
              <w:right w:val="nil"/>
            </w:tcBorders>
          </w:tcPr>
          <w:p w14:paraId="166E418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-0.058**</w:t>
            </w:r>
          </w:p>
        </w:tc>
        <w:tc>
          <w:tcPr>
            <w:tcW w:w="1530" w:type="dxa"/>
            <w:tcBorders>
              <w:top w:val="nil"/>
              <w:left w:val="nil"/>
              <w:bottom w:val="nil"/>
              <w:right w:val="nil"/>
            </w:tcBorders>
          </w:tcPr>
          <w:p w14:paraId="1ED549B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-0.053**</w:t>
            </w:r>
          </w:p>
        </w:tc>
      </w:tr>
      <w:tr w:rsidR="00DB6C99" w:rsidRPr="00DB6C99" w14:paraId="3B4330BA" w14:textId="77777777" w:rsidTr="007C344D">
        <w:trPr>
          <w:jc w:val="center"/>
        </w:trPr>
        <w:tc>
          <w:tcPr>
            <w:tcW w:w="2160" w:type="dxa"/>
            <w:tcBorders>
              <w:top w:val="nil"/>
              <w:left w:val="nil"/>
              <w:bottom w:val="nil"/>
              <w:right w:val="nil"/>
            </w:tcBorders>
            <w:vAlign w:val="center"/>
          </w:tcPr>
          <w:p w14:paraId="6D0817CD" w14:textId="77777777" w:rsidR="007C344D" w:rsidRPr="00DB6C99" w:rsidRDefault="007C344D" w:rsidP="007C344D">
            <w:pPr>
              <w:widowControl w:val="0"/>
              <w:autoSpaceDE w:val="0"/>
              <w:autoSpaceDN w:val="0"/>
              <w:adjustRightInd w:val="0"/>
              <w:spacing w:after="0" w:line="240" w:lineRule="auto"/>
              <w:rPr>
                <w:rFonts w:ascii="Garamond" w:hAnsi="Garamond"/>
                <w:i/>
                <w:iCs/>
                <w:sz w:val="20"/>
                <w:szCs w:val="20"/>
                <w:lang w:val="en-GB"/>
              </w:rPr>
            </w:pPr>
          </w:p>
        </w:tc>
        <w:tc>
          <w:tcPr>
            <w:tcW w:w="1980" w:type="dxa"/>
            <w:tcBorders>
              <w:top w:val="nil"/>
              <w:left w:val="nil"/>
              <w:bottom w:val="nil"/>
              <w:right w:val="nil"/>
            </w:tcBorders>
          </w:tcPr>
          <w:p w14:paraId="6A85FFE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(-3.02)</w:t>
            </w:r>
          </w:p>
        </w:tc>
        <w:tc>
          <w:tcPr>
            <w:tcW w:w="1890" w:type="dxa"/>
            <w:tcBorders>
              <w:top w:val="nil"/>
              <w:left w:val="nil"/>
              <w:bottom w:val="nil"/>
              <w:right w:val="nil"/>
            </w:tcBorders>
          </w:tcPr>
          <w:p w14:paraId="31B6C7B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(-3.01)</w:t>
            </w:r>
          </w:p>
        </w:tc>
        <w:tc>
          <w:tcPr>
            <w:tcW w:w="1800" w:type="dxa"/>
            <w:tcBorders>
              <w:top w:val="nil"/>
              <w:left w:val="nil"/>
              <w:bottom w:val="nil"/>
              <w:right w:val="nil"/>
            </w:tcBorders>
          </w:tcPr>
          <w:p w14:paraId="4C19657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(-2.53)</w:t>
            </w:r>
          </w:p>
        </w:tc>
        <w:tc>
          <w:tcPr>
            <w:tcW w:w="1530" w:type="dxa"/>
            <w:tcBorders>
              <w:top w:val="nil"/>
              <w:left w:val="nil"/>
              <w:bottom w:val="nil"/>
              <w:right w:val="nil"/>
            </w:tcBorders>
          </w:tcPr>
          <w:p w14:paraId="05557A5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(-2.06)</w:t>
            </w:r>
          </w:p>
        </w:tc>
      </w:tr>
      <w:tr w:rsidR="00DB6C99" w:rsidRPr="00DB6C99" w14:paraId="5135008A" w14:textId="77777777" w:rsidTr="007C344D">
        <w:trPr>
          <w:jc w:val="center"/>
        </w:trPr>
        <w:tc>
          <w:tcPr>
            <w:tcW w:w="2160" w:type="dxa"/>
            <w:tcBorders>
              <w:top w:val="nil"/>
              <w:left w:val="nil"/>
              <w:bottom w:val="nil"/>
              <w:right w:val="nil"/>
            </w:tcBorders>
            <w:vAlign w:val="center"/>
          </w:tcPr>
          <w:p w14:paraId="1BB1103C" w14:textId="77777777" w:rsidR="007C344D" w:rsidRPr="00DB6C99" w:rsidRDefault="007C344D" w:rsidP="007C344D">
            <w:pPr>
              <w:widowControl w:val="0"/>
              <w:autoSpaceDE w:val="0"/>
              <w:autoSpaceDN w:val="0"/>
              <w:adjustRightInd w:val="0"/>
              <w:spacing w:after="0" w:line="240" w:lineRule="auto"/>
              <w:rPr>
                <w:rFonts w:ascii="Garamond" w:hAnsi="Garamond"/>
                <w:i/>
                <w:iCs/>
                <w:sz w:val="20"/>
                <w:szCs w:val="20"/>
                <w:lang w:val="en-GB"/>
              </w:rPr>
            </w:pPr>
            <w:r w:rsidRPr="00DB6C99">
              <w:rPr>
                <w:rFonts w:ascii="Garamond" w:hAnsi="Garamond"/>
                <w:i/>
                <w:iCs/>
                <w:sz w:val="20"/>
                <w:szCs w:val="20"/>
                <w:lang w:val="en-GB"/>
              </w:rPr>
              <w:t>BALANCED</w:t>
            </w:r>
          </w:p>
        </w:tc>
        <w:tc>
          <w:tcPr>
            <w:tcW w:w="1980" w:type="dxa"/>
            <w:tcBorders>
              <w:top w:val="nil"/>
              <w:left w:val="nil"/>
              <w:bottom w:val="nil"/>
              <w:right w:val="nil"/>
            </w:tcBorders>
          </w:tcPr>
          <w:p w14:paraId="72C89E4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-0.156**</w:t>
            </w:r>
          </w:p>
        </w:tc>
        <w:tc>
          <w:tcPr>
            <w:tcW w:w="1890" w:type="dxa"/>
            <w:tcBorders>
              <w:top w:val="nil"/>
              <w:left w:val="nil"/>
              <w:bottom w:val="nil"/>
              <w:right w:val="nil"/>
            </w:tcBorders>
          </w:tcPr>
          <w:p w14:paraId="156C9A0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-0.142*</w:t>
            </w:r>
          </w:p>
        </w:tc>
        <w:tc>
          <w:tcPr>
            <w:tcW w:w="1800" w:type="dxa"/>
            <w:tcBorders>
              <w:top w:val="nil"/>
              <w:left w:val="nil"/>
              <w:bottom w:val="nil"/>
              <w:right w:val="nil"/>
            </w:tcBorders>
          </w:tcPr>
          <w:p w14:paraId="025ECE9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-0.184***</w:t>
            </w:r>
          </w:p>
        </w:tc>
        <w:tc>
          <w:tcPr>
            <w:tcW w:w="1530" w:type="dxa"/>
            <w:tcBorders>
              <w:top w:val="nil"/>
              <w:left w:val="nil"/>
              <w:bottom w:val="nil"/>
              <w:right w:val="nil"/>
            </w:tcBorders>
          </w:tcPr>
          <w:p w14:paraId="0A28905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-0.195***</w:t>
            </w:r>
          </w:p>
        </w:tc>
      </w:tr>
      <w:tr w:rsidR="00DB6C99" w:rsidRPr="00DB6C99" w14:paraId="7141189D" w14:textId="77777777" w:rsidTr="007C344D">
        <w:trPr>
          <w:jc w:val="center"/>
        </w:trPr>
        <w:tc>
          <w:tcPr>
            <w:tcW w:w="2160" w:type="dxa"/>
            <w:tcBorders>
              <w:top w:val="nil"/>
              <w:left w:val="nil"/>
              <w:bottom w:val="nil"/>
              <w:right w:val="nil"/>
            </w:tcBorders>
            <w:vAlign w:val="center"/>
          </w:tcPr>
          <w:p w14:paraId="796296CC" w14:textId="77777777" w:rsidR="007C344D" w:rsidRPr="00DB6C99" w:rsidRDefault="007C344D" w:rsidP="007C344D">
            <w:pPr>
              <w:widowControl w:val="0"/>
              <w:autoSpaceDE w:val="0"/>
              <w:autoSpaceDN w:val="0"/>
              <w:adjustRightInd w:val="0"/>
              <w:spacing w:after="0" w:line="240" w:lineRule="auto"/>
              <w:rPr>
                <w:rFonts w:ascii="Garamond" w:hAnsi="Garamond"/>
                <w:i/>
                <w:iCs/>
                <w:sz w:val="20"/>
                <w:szCs w:val="20"/>
                <w:lang w:val="en-GB"/>
              </w:rPr>
            </w:pPr>
          </w:p>
        </w:tc>
        <w:tc>
          <w:tcPr>
            <w:tcW w:w="1980" w:type="dxa"/>
            <w:tcBorders>
              <w:top w:val="nil"/>
              <w:left w:val="nil"/>
              <w:bottom w:val="nil"/>
              <w:right w:val="nil"/>
            </w:tcBorders>
          </w:tcPr>
          <w:p w14:paraId="563FF78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(-2.29)</w:t>
            </w:r>
          </w:p>
        </w:tc>
        <w:tc>
          <w:tcPr>
            <w:tcW w:w="1890" w:type="dxa"/>
            <w:tcBorders>
              <w:top w:val="nil"/>
              <w:left w:val="nil"/>
              <w:bottom w:val="nil"/>
              <w:right w:val="nil"/>
            </w:tcBorders>
          </w:tcPr>
          <w:p w14:paraId="6F07298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(-1.82)</w:t>
            </w:r>
          </w:p>
        </w:tc>
        <w:tc>
          <w:tcPr>
            <w:tcW w:w="1800" w:type="dxa"/>
            <w:tcBorders>
              <w:top w:val="nil"/>
              <w:left w:val="nil"/>
              <w:bottom w:val="nil"/>
              <w:right w:val="nil"/>
            </w:tcBorders>
          </w:tcPr>
          <w:p w14:paraId="00D181E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(-3.04)</w:t>
            </w:r>
          </w:p>
        </w:tc>
        <w:tc>
          <w:tcPr>
            <w:tcW w:w="1530" w:type="dxa"/>
            <w:tcBorders>
              <w:top w:val="nil"/>
              <w:left w:val="nil"/>
              <w:bottom w:val="nil"/>
              <w:right w:val="nil"/>
            </w:tcBorders>
          </w:tcPr>
          <w:p w14:paraId="00705A3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(-2.75)</w:t>
            </w:r>
          </w:p>
        </w:tc>
      </w:tr>
      <w:tr w:rsidR="00DB6C99" w:rsidRPr="00DB6C99" w14:paraId="4C607401" w14:textId="77777777" w:rsidTr="007C344D">
        <w:trPr>
          <w:jc w:val="center"/>
        </w:trPr>
        <w:tc>
          <w:tcPr>
            <w:tcW w:w="2160" w:type="dxa"/>
            <w:tcBorders>
              <w:top w:val="nil"/>
              <w:left w:val="nil"/>
              <w:bottom w:val="nil"/>
              <w:right w:val="nil"/>
            </w:tcBorders>
            <w:vAlign w:val="center"/>
          </w:tcPr>
          <w:p w14:paraId="695A2C50"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lang w:val="en-GB"/>
              </w:rPr>
              <w:t>BSIZE</w:t>
            </w:r>
          </w:p>
        </w:tc>
        <w:tc>
          <w:tcPr>
            <w:tcW w:w="1980" w:type="dxa"/>
            <w:tcBorders>
              <w:top w:val="nil"/>
              <w:left w:val="nil"/>
              <w:bottom w:val="nil"/>
              <w:right w:val="nil"/>
            </w:tcBorders>
          </w:tcPr>
          <w:p w14:paraId="4362F28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-0.063</w:t>
            </w:r>
          </w:p>
        </w:tc>
        <w:tc>
          <w:tcPr>
            <w:tcW w:w="1890" w:type="dxa"/>
            <w:tcBorders>
              <w:top w:val="nil"/>
              <w:left w:val="nil"/>
              <w:bottom w:val="nil"/>
              <w:right w:val="nil"/>
            </w:tcBorders>
          </w:tcPr>
          <w:p w14:paraId="45FEC30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0.038</w:t>
            </w:r>
          </w:p>
        </w:tc>
        <w:tc>
          <w:tcPr>
            <w:tcW w:w="1800" w:type="dxa"/>
            <w:tcBorders>
              <w:top w:val="nil"/>
              <w:left w:val="nil"/>
              <w:bottom w:val="nil"/>
              <w:right w:val="nil"/>
            </w:tcBorders>
          </w:tcPr>
          <w:p w14:paraId="598C3D1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0.158***</w:t>
            </w:r>
          </w:p>
        </w:tc>
        <w:tc>
          <w:tcPr>
            <w:tcW w:w="1530" w:type="dxa"/>
            <w:tcBorders>
              <w:top w:val="nil"/>
              <w:left w:val="nil"/>
              <w:bottom w:val="nil"/>
              <w:right w:val="nil"/>
            </w:tcBorders>
          </w:tcPr>
          <w:p w14:paraId="741107A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0.249***</w:t>
            </w:r>
          </w:p>
        </w:tc>
      </w:tr>
      <w:tr w:rsidR="00DB6C99" w:rsidRPr="00DB6C99" w14:paraId="0F95CBD3" w14:textId="77777777" w:rsidTr="007C344D">
        <w:trPr>
          <w:jc w:val="center"/>
        </w:trPr>
        <w:tc>
          <w:tcPr>
            <w:tcW w:w="2160" w:type="dxa"/>
            <w:tcBorders>
              <w:top w:val="nil"/>
              <w:left w:val="nil"/>
              <w:bottom w:val="nil"/>
              <w:right w:val="nil"/>
            </w:tcBorders>
            <w:vAlign w:val="center"/>
          </w:tcPr>
          <w:p w14:paraId="2B4F2374"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980" w:type="dxa"/>
            <w:tcBorders>
              <w:top w:val="nil"/>
              <w:left w:val="nil"/>
              <w:bottom w:val="nil"/>
              <w:right w:val="nil"/>
            </w:tcBorders>
          </w:tcPr>
          <w:p w14:paraId="160FF1D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(-1.05)</w:t>
            </w:r>
          </w:p>
        </w:tc>
        <w:tc>
          <w:tcPr>
            <w:tcW w:w="1890" w:type="dxa"/>
            <w:tcBorders>
              <w:top w:val="nil"/>
              <w:left w:val="nil"/>
              <w:bottom w:val="nil"/>
              <w:right w:val="nil"/>
            </w:tcBorders>
          </w:tcPr>
          <w:p w14:paraId="7CBE3AC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(0.58)</w:t>
            </w:r>
          </w:p>
        </w:tc>
        <w:tc>
          <w:tcPr>
            <w:tcW w:w="1800" w:type="dxa"/>
            <w:tcBorders>
              <w:top w:val="nil"/>
              <w:left w:val="nil"/>
              <w:bottom w:val="nil"/>
              <w:right w:val="nil"/>
            </w:tcBorders>
          </w:tcPr>
          <w:p w14:paraId="28E26E9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(3.68)</w:t>
            </w:r>
          </w:p>
        </w:tc>
        <w:tc>
          <w:tcPr>
            <w:tcW w:w="1530" w:type="dxa"/>
            <w:tcBorders>
              <w:top w:val="nil"/>
              <w:left w:val="nil"/>
              <w:bottom w:val="nil"/>
              <w:right w:val="nil"/>
            </w:tcBorders>
          </w:tcPr>
          <w:p w14:paraId="11B95F9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(5.31)</w:t>
            </w:r>
          </w:p>
        </w:tc>
      </w:tr>
      <w:tr w:rsidR="00DB6C99" w:rsidRPr="00DB6C99" w14:paraId="710F80AE" w14:textId="77777777" w:rsidTr="007C344D">
        <w:trPr>
          <w:jc w:val="center"/>
        </w:trPr>
        <w:tc>
          <w:tcPr>
            <w:tcW w:w="2160" w:type="dxa"/>
            <w:tcBorders>
              <w:top w:val="nil"/>
              <w:left w:val="nil"/>
              <w:bottom w:val="nil"/>
              <w:right w:val="nil"/>
            </w:tcBorders>
            <w:vAlign w:val="center"/>
          </w:tcPr>
          <w:p w14:paraId="00B92391"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lang w:val="en-GB"/>
              </w:rPr>
              <w:t>BIND</w:t>
            </w:r>
          </w:p>
        </w:tc>
        <w:tc>
          <w:tcPr>
            <w:tcW w:w="1980" w:type="dxa"/>
            <w:tcBorders>
              <w:top w:val="nil"/>
              <w:left w:val="nil"/>
              <w:bottom w:val="nil"/>
              <w:right w:val="nil"/>
            </w:tcBorders>
          </w:tcPr>
          <w:p w14:paraId="599610D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-0.274*</w:t>
            </w:r>
          </w:p>
        </w:tc>
        <w:tc>
          <w:tcPr>
            <w:tcW w:w="1890" w:type="dxa"/>
            <w:tcBorders>
              <w:top w:val="nil"/>
              <w:left w:val="nil"/>
              <w:bottom w:val="nil"/>
              <w:right w:val="nil"/>
            </w:tcBorders>
          </w:tcPr>
          <w:p w14:paraId="6D111DE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-0.536***</w:t>
            </w:r>
          </w:p>
        </w:tc>
        <w:tc>
          <w:tcPr>
            <w:tcW w:w="1800" w:type="dxa"/>
            <w:tcBorders>
              <w:top w:val="nil"/>
              <w:left w:val="nil"/>
              <w:bottom w:val="nil"/>
              <w:right w:val="nil"/>
            </w:tcBorders>
          </w:tcPr>
          <w:p w14:paraId="44B4769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-0.208*</w:t>
            </w:r>
          </w:p>
        </w:tc>
        <w:tc>
          <w:tcPr>
            <w:tcW w:w="1530" w:type="dxa"/>
            <w:tcBorders>
              <w:top w:val="nil"/>
              <w:left w:val="nil"/>
              <w:bottom w:val="nil"/>
              <w:right w:val="nil"/>
            </w:tcBorders>
          </w:tcPr>
          <w:p w14:paraId="5A3652B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-0.310***</w:t>
            </w:r>
          </w:p>
        </w:tc>
      </w:tr>
      <w:tr w:rsidR="00DB6C99" w:rsidRPr="00DB6C99" w14:paraId="6411E99F" w14:textId="77777777" w:rsidTr="007C344D">
        <w:trPr>
          <w:jc w:val="center"/>
        </w:trPr>
        <w:tc>
          <w:tcPr>
            <w:tcW w:w="2160" w:type="dxa"/>
            <w:tcBorders>
              <w:top w:val="nil"/>
              <w:left w:val="nil"/>
              <w:bottom w:val="nil"/>
              <w:right w:val="nil"/>
            </w:tcBorders>
            <w:vAlign w:val="center"/>
          </w:tcPr>
          <w:p w14:paraId="7AC88360"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980" w:type="dxa"/>
            <w:tcBorders>
              <w:top w:val="nil"/>
              <w:left w:val="nil"/>
              <w:bottom w:val="nil"/>
              <w:right w:val="nil"/>
            </w:tcBorders>
          </w:tcPr>
          <w:p w14:paraId="7964F6E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(-1.76)</w:t>
            </w:r>
          </w:p>
        </w:tc>
        <w:tc>
          <w:tcPr>
            <w:tcW w:w="1890" w:type="dxa"/>
            <w:tcBorders>
              <w:top w:val="nil"/>
              <w:left w:val="nil"/>
              <w:bottom w:val="nil"/>
              <w:right w:val="nil"/>
            </w:tcBorders>
          </w:tcPr>
          <w:p w14:paraId="3161E87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(-3.20)</w:t>
            </w:r>
          </w:p>
        </w:tc>
        <w:tc>
          <w:tcPr>
            <w:tcW w:w="1800" w:type="dxa"/>
            <w:tcBorders>
              <w:top w:val="nil"/>
              <w:left w:val="nil"/>
              <w:bottom w:val="nil"/>
              <w:right w:val="nil"/>
            </w:tcBorders>
          </w:tcPr>
          <w:p w14:paraId="141F2B1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(-1.88)</w:t>
            </w:r>
          </w:p>
        </w:tc>
        <w:tc>
          <w:tcPr>
            <w:tcW w:w="1530" w:type="dxa"/>
            <w:tcBorders>
              <w:top w:val="nil"/>
              <w:left w:val="nil"/>
              <w:bottom w:val="nil"/>
              <w:right w:val="nil"/>
            </w:tcBorders>
          </w:tcPr>
          <w:p w14:paraId="0AC5DF3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(-2.60)</w:t>
            </w:r>
          </w:p>
        </w:tc>
      </w:tr>
      <w:tr w:rsidR="00DB6C99" w:rsidRPr="00DB6C99" w14:paraId="161AF10F" w14:textId="77777777" w:rsidTr="007C344D">
        <w:trPr>
          <w:jc w:val="center"/>
        </w:trPr>
        <w:tc>
          <w:tcPr>
            <w:tcW w:w="2160" w:type="dxa"/>
            <w:tcBorders>
              <w:top w:val="nil"/>
              <w:left w:val="nil"/>
              <w:bottom w:val="nil"/>
              <w:right w:val="nil"/>
            </w:tcBorders>
            <w:vAlign w:val="center"/>
          </w:tcPr>
          <w:p w14:paraId="1E3C5706"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lang w:val="en-GB"/>
              </w:rPr>
              <w:t>BMEET</w:t>
            </w:r>
          </w:p>
        </w:tc>
        <w:tc>
          <w:tcPr>
            <w:tcW w:w="1980" w:type="dxa"/>
            <w:tcBorders>
              <w:top w:val="nil"/>
              <w:left w:val="nil"/>
              <w:bottom w:val="nil"/>
              <w:right w:val="nil"/>
            </w:tcBorders>
          </w:tcPr>
          <w:p w14:paraId="0BE347F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-0.062***</w:t>
            </w:r>
          </w:p>
        </w:tc>
        <w:tc>
          <w:tcPr>
            <w:tcW w:w="1890" w:type="dxa"/>
            <w:tcBorders>
              <w:top w:val="nil"/>
              <w:left w:val="nil"/>
              <w:bottom w:val="nil"/>
              <w:right w:val="nil"/>
            </w:tcBorders>
          </w:tcPr>
          <w:p w14:paraId="294D815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-0.047*</w:t>
            </w:r>
          </w:p>
        </w:tc>
        <w:tc>
          <w:tcPr>
            <w:tcW w:w="1800" w:type="dxa"/>
            <w:tcBorders>
              <w:top w:val="nil"/>
              <w:left w:val="nil"/>
              <w:bottom w:val="nil"/>
              <w:right w:val="nil"/>
            </w:tcBorders>
          </w:tcPr>
          <w:p w14:paraId="1D67A49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-0.056***</w:t>
            </w:r>
          </w:p>
        </w:tc>
        <w:tc>
          <w:tcPr>
            <w:tcW w:w="1530" w:type="dxa"/>
            <w:tcBorders>
              <w:top w:val="nil"/>
              <w:left w:val="nil"/>
              <w:bottom w:val="nil"/>
              <w:right w:val="nil"/>
            </w:tcBorders>
          </w:tcPr>
          <w:p w14:paraId="2C21573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-0.056**</w:t>
            </w:r>
          </w:p>
        </w:tc>
      </w:tr>
      <w:tr w:rsidR="00DB6C99" w:rsidRPr="00DB6C99" w14:paraId="454F0F54" w14:textId="77777777" w:rsidTr="007C344D">
        <w:trPr>
          <w:jc w:val="center"/>
        </w:trPr>
        <w:tc>
          <w:tcPr>
            <w:tcW w:w="2160" w:type="dxa"/>
            <w:tcBorders>
              <w:top w:val="nil"/>
              <w:left w:val="nil"/>
              <w:bottom w:val="nil"/>
              <w:right w:val="nil"/>
            </w:tcBorders>
            <w:vAlign w:val="center"/>
          </w:tcPr>
          <w:p w14:paraId="229E8266"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980" w:type="dxa"/>
            <w:tcBorders>
              <w:top w:val="nil"/>
              <w:left w:val="nil"/>
              <w:bottom w:val="nil"/>
              <w:right w:val="nil"/>
            </w:tcBorders>
          </w:tcPr>
          <w:p w14:paraId="35FD548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(-2.74)</w:t>
            </w:r>
          </w:p>
        </w:tc>
        <w:tc>
          <w:tcPr>
            <w:tcW w:w="1890" w:type="dxa"/>
            <w:tcBorders>
              <w:top w:val="nil"/>
              <w:left w:val="nil"/>
              <w:bottom w:val="nil"/>
              <w:right w:val="nil"/>
            </w:tcBorders>
          </w:tcPr>
          <w:p w14:paraId="529F9D5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(-1.88)</w:t>
            </w:r>
          </w:p>
        </w:tc>
        <w:tc>
          <w:tcPr>
            <w:tcW w:w="1800" w:type="dxa"/>
            <w:tcBorders>
              <w:top w:val="nil"/>
              <w:left w:val="nil"/>
              <w:bottom w:val="nil"/>
              <w:right w:val="nil"/>
            </w:tcBorders>
          </w:tcPr>
          <w:p w14:paraId="506439E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(-2.77)</w:t>
            </w:r>
          </w:p>
        </w:tc>
        <w:tc>
          <w:tcPr>
            <w:tcW w:w="1530" w:type="dxa"/>
            <w:tcBorders>
              <w:top w:val="nil"/>
              <w:left w:val="nil"/>
              <w:bottom w:val="nil"/>
              <w:right w:val="nil"/>
            </w:tcBorders>
          </w:tcPr>
          <w:p w14:paraId="300EDD5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(-2.47)</w:t>
            </w:r>
          </w:p>
        </w:tc>
      </w:tr>
      <w:tr w:rsidR="00DB6C99" w:rsidRPr="00DB6C99" w14:paraId="353CD313" w14:textId="77777777" w:rsidTr="007C344D">
        <w:trPr>
          <w:jc w:val="center"/>
        </w:trPr>
        <w:tc>
          <w:tcPr>
            <w:tcW w:w="2160" w:type="dxa"/>
            <w:tcBorders>
              <w:top w:val="nil"/>
              <w:left w:val="nil"/>
              <w:bottom w:val="nil"/>
              <w:right w:val="nil"/>
            </w:tcBorders>
            <w:vAlign w:val="center"/>
          </w:tcPr>
          <w:p w14:paraId="050BDB7E"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lang w:val="en-GB"/>
              </w:rPr>
              <w:t>DUAL</w:t>
            </w:r>
          </w:p>
        </w:tc>
        <w:tc>
          <w:tcPr>
            <w:tcW w:w="1980" w:type="dxa"/>
            <w:tcBorders>
              <w:top w:val="nil"/>
              <w:left w:val="nil"/>
              <w:bottom w:val="nil"/>
              <w:right w:val="nil"/>
            </w:tcBorders>
          </w:tcPr>
          <w:p w14:paraId="32F0195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-0.021</w:t>
            </w:r>
          </w:p>
        </w:tc>
        <w:tc>
          <w:tcPr>
            <w:tcW w:w="1890" w:type="dxa"/>
            <w:tcBorders>
              <w:top w:val="nil"/>
              <w:left w:val="nil"/>
              <w:bottom w:val="nil"/>
              <w:right w:val="nil"/>
            </w:tcBorders>
          </w:tcPr>
          <w:p w14:paraId="4007CFC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0.006</w:t>
            </w:r>
          </w:p>
        </w:tc>
        <w:tc>
          <w:tcPr>
            <w:tcW w:w="1800" w:type="dxa"/>
            <w:tcBorders>
              <w:top w:val="nil"/>
              <w:left w:val="nil"/>
              <w:bottom w:val="nil"/>
              <w:right w:val="nil"/>
            </w:tcBorders>
          </w:tcPr>
          <w:p w14:paraId="06BBDF1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-0.020</w:t>
            </w:r>
          </w:p>
        </w:tc>
        <w:tc>
          <w:tcPr>
            <w:tcW w:w="1530" w:type="dxa"/>
            <w:tcBorders>
              <w:top w:val="nil"/>
              <w:left w:val="nil"/>
              <w:bottom w:val="nil"/>
              <w:right w:val="nil"/>
            </w:tcBorders>
          </w:tcPr>
          <w:p w14:paraId="706A333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-0.002</w:t>
            </w:r>
          </w:p>
        </w:tc>
      </w:tr>
      <w:tr w:rsidR="00DB6C99" w:rsidRPr="00DB6C99" w14:paraId="66A86918" w14:textId="77777777" w:rsidTr="007C344D">
        <w:trPr>
          <w:jc w:val="center"/>
        </w:trPr>
        <w:tc>
          <w:tcPr>
            <w:tcW w:w="2160" w:type="dxa"/>
            <w:tcBorders>
              <w:top w:val="nil"/>
              <w:left w:val="nil"/>
              <w:bottom w:val="nil"/>
              <w:right w:val="nil"/>
            </w:tcBorders>
            <w:vAlign w:val="center"/>
          </w:tcPr>
          <w:p w14:paraId="797A5BFC"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980" w:type="dxa"/>
            <w:tcBorders>
              <w:top w:val="nil"/>
              <w:left w:val="nil"/>
              <w:bottom w:val="nil"/>
              <w:right w:val="nil"/>
            </w:tcBorders>
          </w:tcPr>
          <w:p w14:paraId="6627DBD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(-0.94)</w:t>
            </w:r>
          </w:p>
        </w:tc>
        <w:tc>
          <w:tcPr>
            <w:tcW w:w="1890" w:type="dxa"/>
            <w:tcBorders>
              <w:top w:val="nil"/>
              <w:left w:val="nil"/>
              <w:bottom w:val="nil"/>
              <w:right w:val="nil"/>
            </w:tcBorders>
          </w:tcPr>
          <w:p w14:paraId="2228B1C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(0.26)</w:t>
            </w:r>
          </w:p>
        </w:tc>
        <w:tc>
          <w:tcPr>
            <w:tcW w:w="1800" w:type="dxa"/>
            <w:tcBorders>
              <w:top w:val="nil"/>
              <w:left w:val="nil"/>
              <w:bottom w:val="nil"/>
              <w:right w:val="nil"/>
            </w:tcBorders>
          </w:tcPr>
          <w:p w14:paraId="0E38D26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(-1.19)</w:t>
            </w:r>
          </w:p>
        </w:tc>
        <w:tc>
          <w:tcPr>
            <w:tcW w:w="1530" w:type="dxa"/>
            <w:tcBorders>
              <w:top w:val="nil"/>
              <w:left w:val="nil"/>
              <w:bottom w:val="nil"/>
              <w:right w:val="nil"/>
            </w:tcBorders>
          </w:tcPr>
          <w:p w14:paraId="34EC41E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(-0.10)</w:t>
            </w:r>
          </w:p>
        </w:tc>
      </w:tr>
      <w:tr w:rsidR="00DB6C99" w:rsidRPr="00DB6C99" w14:paraId="794A0D54" w14:textId="77777777" w:rsidTr="007C344D">
        <w:trPr>
          <w:jc w:val="center"/>
        </w:trPr>
        <w:tc>
          <w:tcPr>
            <w:tcW w:w="2160" w:type="dxa"/>
            <w:tcBorders>
              <w:top w:val="nil"/>
              <w:left w:val="nil"/>
              <w:bottom w:val="nil"/>
              <w:right w:val="nil"/>
            </w:tcBorders>
            <w:vAlign w:val="center"/>
          </w:tcPr>
          <w:p w14:paraId="65D4B06F"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lang w:val="en-GB"/>
              </w:rPr>
              <w:t>PM</w:t>
            </w:r>
          </w:p>
        </w:tc>
        <w:tc>
          <w:tcPr>
            <w:tcW w:w="1980" w:type="dxa"/>
            <w:tcBorders>
              <w:top w:val="nil"/>
              <w:left w:val="nil"/>
              <w:bottom w:val="nil"/>
              <w:right w:val="nil"/>
            </w:tcBorders>
          </w:tcPr>
          <w:p w14:paraId="2B816FB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-0.064</w:t>
            </w:r>
          </w:p>
        </w:tc>
        <w:tc>
          <w:tcPr>
            <w:tcW w:w="1890" w:type="dxa"/>
            <w:tcBorders>
              <w:top w:val="nil"/>
              <w:left w:val="nil"/>
              <w:bottom w:val="nil"/>
              <w:right w:val="nil"/>
            </w:tcBorders>
          </w:tcPr>
          <w:p w14:paraId="1FA672D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0.001</w:t>
            </w:r>
          </w:p>
        </w:tc>
        <w:tc>
          <w:tcPr>
            <w:tcW w:w="1800" w:type="dxa"/>
            <w:tcBorders>
              <w:top w:val="nil"/>
              <w:left w:val="nil"/>
              <w:bottom w:val="nil"/>
              <w:right w:val="nil"/>
            </w:tcBorders>
          </w:tcPr>
          <w:p w14:paraId="4F90ECB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0.119*</w:t>
            </w:r>
          </w:p>
        </w:tc>
        <w:tc>
          <w:tcPr>
            <w:tcW w:w="1530" w:type="dxa"/>
            <w:tcBorders>
              <w:top w:val="nil"/>
              <w:left w:val="nil"/>
              <w:bottom w:val="nil"/>
              <w:right w:val="nil"/>
            </w:tcBorders>
          </w:tcPr>
          <w:p w14:paraId="05D5E1F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0.172**</w:t>
            </w:r>
          </w:p>
        </w:tc>
      </w:tr>
      <w:tr w:rsidR="00DB6C99" w:rsidRPr="00DB6C99" w14:paraId="06659498" w14:textId="77777777" w:rsidTr="007C344D">
        <w:trPr>
          <w:jc w:val="center"/>
        </w:trPr>
        <w:tc>
          <w:tcPr>
            <w:tcW w:w="2160" w:type="dxa"/>
            <w:tcBorders>
              <w:top w:val="nil"/>
              <w:left w:val="nil"/>
              <w:bottom w:val="nil"/>
              <w:right w:val="nil"/>
            </w:tcBorders>
            <w:vAlign w:val="center"/>
          </w:tcPr>
          <w:p w14:paraId="28EE387E"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980" w:type="dxa"/>
            <w:tcBorders>
              <w:top w:val="nil"/>
              <w:left w:val="nil"/>
              <w:bottom w:val="nil"/>
              <w:right w:val="nil"/>
            </w:tcBorders>
          </w:tcPr>
          <w:p w14:paraId="55F9FFA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(-0.81)</w:t>
            </w:r>
          </w:p>
        </w:tc>
        <w:tc>
          <w:tcPr>
            <w:tcW w:w="1890" w:type="dxa"/>
            <w:tcBorders>
              <w:top w:val="nil"/>
              <w:left w:val="nil"/>
              <w:bottom w:val="nil"/>
              <w:right w:val="nil"/>
            </w:tcBorders>
          </w:tcPr>
          <w:p w14:paraId="72D2A21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(0.01)</w:t>
            </w:r>
          </w:p>
        </w:tc>
        <w:tc>
          <w:tcPr>
            <w:tcW w:w="1800" w:type="dxa"/>
            <w:tcBorders>
              <w:top w:val="nil"/>
              <w:left w:val="nil"/>
              <w:bottom w:val="nil"/>
              <w:right w:val="nil"/>
            </w:tcBorders>
          </w:tcPr>
          <w:p w14:paraId="15A1D53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(1.84)</w:t>
            </w:r>
          </w:p>
        </w:tc>
        <w:tc>
          <w:tcPr>
            <w:tcW w:w="1530" w:type="dxa"/>
            <w:tcBorders>
              <w:top w:val="nil"/>
              <w:left w:val="nil"/>
              <w:bottom w:val="nil"/>
              <w:right w:val="nil"/>
            </w:tcBorders>
          </w:tcPr>
          <w:p w14:paraId="7C7DEFC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(2.23)</w:t>
            </w:r>
          </w:p>
        </w:tc>
      </w:tr>
      <w:tr w:rsidR="00DB6C99" w:rsidRPr="00DB6C99" w14:paraId="4000F0A3" w14:textId="77777777" w:rsidTr="007C344D">
        <w:trPr>
          <w:jc w:val="center"/>
        </w:trPr>
        <w:tc>
          <w:tcPr>
            <w:tcW w:w="2160" w:type="dxa"/>
            <w:tcBorders>
              <w:top w:val="nil"/>
              <w:left w:val="nil"/>
              <w:bottom w:val="nil"/>
              <w:right w:val="nil"/>
            </w:tcBorders>
            <w:vAlign w:val="center"/>
          </w:tcPr>
          <w:p w14:paraId="02024E49"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lang w:val="en-GB"/>
              </w:rPr>
              <w:t>ROA</w:t>
            </w:r>
          </w:p>
        </w:tc>
        <w:tc>
          <w:tcPr>
            <w:tcW w:w="1980" w:type="dxa"/>
            <w:tcBorders>
              <w:top w:val="nil"/>
              <w:left w:val="nil"/>
              <w:bottom w:val="nil"/>
              <w:right w:val="nil"/>
            </w:tcBorders>
          </w:tcPr>
          <w:p w14:paraId="2D81E97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0.058</w:t>
            </w:r>
          </w:p>
        </w:tc>
        <w:tc>
          <w:tcPr>
            <w:tcW w:w="1890" w:type="dxa"/>
            <w:tcBorders>
              <w:top w:val="nil"/>
              <w:left w:val="nil"/>
              <w:bottom w:val="nil"/>
              <w:right w:val="nil"/>
            </w:tcBorders>
          </w:tcPr>
          <w:p w14:paraId="6BE539E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0.000</w:t>
            </w:r>
          </w:p>
        </w:tc>
        <w:tc>
          <w:tcPr>
            <w:tcW w:w="1800" w:type="dxa"/>
            <w:tcBorders>
              <w:top w:val="nil"/>
              <w:left w:val="nil"/>
              <w:bottom w:val="nil"/>
              <w:right w:val="nil"/>
            </w:tcBorders>
          </w:tcPr>
          <w:p w14:paraId="53EAC64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-0.100</w:t>
            </w:r>
          </w:p>
        </w:tc>
        <w:tc>
          <w:tcPr>
            <w:tcW w:w="1530" w:type="dxa"/>
            <w:tcBorders>
              <w:top w:val="nil"/>
              <w:left w:val="nil"/>
              <w:bottom w:val="nil"/>
              <w:right w:val="nil"/>
            </w:tcBorders>
          </w:tcPr>
          <w:p w14:paraId="70C4912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-0.189</w:t>
            </w:r>
          </w:p>
        </w:tc>
      </w:tr>
      <w:tr w:rsidR="00DB6C99" w:rsidRPr="00DB6C99" w14:paraId="623631E2" w14:textId="77777777" w:rsidTr="007C344D">
        <w:trPr>
          <w:jc w:val="center"/>
        </w:trPr>
        <w:tc>
          <w:tcPr>
            <w:tcW w:w="2160" w:type="dxa"/>
            <w:tcBorders>
              <w:top w:val="nil"/>
              <w:left w:val="nil"/>
              <w:bottom w:val="nil"/>
              <w:right w:val="nil"/>
            </w:tcBorders>
            <w:vAlign w:val="center"/>
          </w:tcPr>
          <w:p w14:paraId="7F1C800B"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980" w:type="dxa"/>
            <w:tcBorders>
              <w:top w:val="nil"/>
              <w:left w:val="nil"/>
              <w:bottom w:val="nil"/>
              <w:right w:val="nil"/>
            </w:tcBorders>
          </w:tcPr>
          <w:p w14:paraId="0369163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(0.38)</w:t>
            </w:r>
          </w:p>
        </w:tc>
        <w:tc>
          <w:tcPr>
            <w:tcW w:w="1890" w:type="dxa"/>
            <w:tcBorders>
              <w:top w:val="nil"/>
              <w:left w:val="nil"/>
              <w:bottom w:val="nil"/>
              <w:right w:val="nil"/>
            </w:tcBorders>
          </w:tcPr>
          <w:p w14:paraId="7186FFE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w:t>
            </w:r>
          </w:p>
        </w:tc>
        <w:tc>
          <w:tcPr>
            <w:tcW w:w="1800" w:type="dxa"/>
            <w:tcBorders>
              <w:top w:val="nil"/>
              <w:left w:val="nil"/>
              <w:bottom w:val="nil"/>
              <w:right w:val="nil"/>
            </w:tcBorders>
          </w:tcPr>
          <w:p w14:paraId="6313D6F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(-0.75)</w:t>
            </w:r>
          </w:p>
        </w:tc>
        <w:tc>
          <w:tcPr>
            <w:tcW w:w="1530" w:type="dxa"/>
            <w:tcBorders>
              <w:top w:val="nil"/>
              <w:left w:val="nil"/>
              <w:bottom w:val="nil"/>
              <w:right w:val="nil"/>
            </w:tcBorders>
          </w:tcPr>
          <w:p w14:paraId="0B29EB5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(-1.22)</w:t>
            </w:r>
          </w:p>
        </w:tc>
      </w:tr>
      <w:tr w:rsidR="00DB6C99" w:rsidRPr="00DB6C99" w14:paraId="756C433E" w14:textId="77777777" w:rsidTr="007C344D">
        <w:trPr>
          <w:jc w:val="center"/>
        </w:trPr>
        <w:tc>
          <w:tcPr>
            <w:tcW w:w="2160" w:type="dxa"/>
            <w:tcBorders>
              <w:top w:val="nil"/>
              <w:left w:val="nil"/>
              <w:bottom w:val="nil"/>
              <w:right w:val="nil"/>
            </w:tcBorders>
            <w:vAlign w:val="center"/>
          </w:tcPr>
          <w:p w14:paraId="54249DAA"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lang w:val="en-GB"/>
              </w:rPr>
              <w:t>CI</w:t>
            </w:r>
          </w:p>
        </w:tc>
        <w:tc>
          <w:tcPr>
            <w:tcW w:w="1980" w:type="dxa"/>
            <w:tcBorders>
              <w:top w:val="nil"/>
              <w:left w:val="nil"/>
              <w:bottom w:val="nil"/>
              <w:right w:val="nil"/>
            </w:tcBorders>
          </w:tcPr>
          <w:p w14:paraId="1BC1788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0.014***</w:t>
            </w:r>
          </w:p>
        </w:tc>
        <w:tc>
          <w:tcPr>
            <w:tcW w:w="1890" w:type="dxa"/>
            <w:tcBorders>
              <w:top w:val="nil"/>
              <w:left w:val="nil"/>
              <w:bottom w:val="nil"/>
              <w:right w:val="nil"/>
            </w:tcBorders>
          </w:tcPr>
          <w:p w14:paraId="683A5B0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0.023***</w:t>
            </w:r>
          </w:p>
        </w:tc>
        <w:tc>
          <w:tcPr>
            <w:tcW w:w="1800" w:type="dxa"/>
            <w:tcBorders>
              <w:top w:val="nil"/>
              <w:left w:val="nil"/>
              <w:bottom w:val="nil"/>
              <w:right w:val="nil"/>
            </w:tcBorders>
          </w:tcPr>
          <w:p w14:paraId="21C27F3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0.000</w:t>
            </w:r>
          </w:p>
        </w:tc>
        <w:tc>
          <w:tcPr>
            <w:tcW w:w="1530" w:type="dxa"/>
            <w:tcBorders>
              <w:top w:val="nil"/>
              <w:left w:val="nil"/>
              <w:bottom w:val="nil"/>
              <w:right w:val="nil"/>
            </w:tcBorders>
          </w:tcPr>
          <w:p w14:paraId="3D976E3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0.001*</w:t>
            </w:r>
          </w:p>
        </w:tc>
      </w:tr>
      <w:tr w:rsidR="00DB6C99" w:rsidRPr="00DB6C99" w14:paraId="4823E71F" w14:textId="77777777" w:rsidTr="007C344D">
        <w:trPr>
          <w:jc w:val="center"/>
        </w:trPr>
        <w:tc>
          <w:tcPr>
            <w:tcW w:w="2160" w:type="dxa"/>
            <w:tcBorders>
              <w:top w:val="nil"/>
              <w:left w:val="nil"/>
              <w:bottom w:val="nil"/>
              <w:right w:val="nil"/>
            </w:tcBorders>
            <w:vAlign w:val="center"/>
          </w:tcPr>
          <w:p w14:paraId="555C86C0"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980" w:type="dxa"/>
            <w:tcBorders>
              <w:top w:val="nil"/>
              <w:left w:val="nil"/>
              <w:bottom w:val="nil"/>
              <w:right w:val="nil"/>
            </w:tcBorders>
          </w:tcPr>
          <w:p w14:paraId="59AA5CE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(3.14)</w:t>
            </w:r>
          </w:p>
        </w:tc>
        <w:tc>
          <w:tcPr>
            <w:tcW w:w="1890" w:type="dxa"/>
            <w:tcBorders>
              <w:top w:val="nil"/>
              <w:left w:val="nil"/>
              <w:bottom w:val="nil"/>
              <w:right w:val="nil"/>
            </w:tcBorders>
          </w:tcPr>
          <w:p w14:paraId="77B9D12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(3.07)</w:t>
            </w:r>
          </w:p>
        </w:tc>
        <w:tc>
          <w:tcPr>
            <w:tcW w:w="1800" w:type="dxa"/>
            <w:tcBorders>
              <w:top w:val="nil"/>
              <w:left w:val="nil"/>
              <w:bottom w:val="nil"/>
              <w:right w:val="nil"/>
            </w:tcBorders>
          </w:tcPr>
          <w:p w14:paraId="2E99552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(0.09)</w:t>
            </w:r>
          </w:p>
        </w:tc>
        <w:tc>
          <w:tcPr>
            <w:tcW w:w="1530" w:type="dxa"/>
            <w:tcBorders>
              <w:top w:val="nil"/>
              <w:left w:val="nil"/>
              <w:bottom w:val="nil"/>
              <w:right w:val="nil"/>
            </w:tcBorders>
          </w:tcPr>
          <w:p w14:paraId="4B63A0F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(1.73)</w:t>
            </w:r>
          </w:p>
        </w:tc>
      </w:tr>
      <w:tr w:rsidR="00DB6C99" w:rsidRPr="00DB6C99" w14:paraId="55C60D05" w14:textId="77777777" w:rsidTr="007C344D">
        <w:trPr>
          <w:jc w:val="center"/>
        </w:trPr>
        <w:tc>
          <w:tcPr>
            <w:tcW w:w="2160" w:type="dxa"/>
            <w:tcBorders>
              <w:top w:val="nil"/>
              <w:left w:val="nil"/>
              <w:bottom w:val="nil"/>
              <w:right w:val="nil"/>
            </w:tcBorders>
            <w:vAlign w:val="center"/>
          </w:tcPr>
          <w:p w14:paraId="2466689B"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lang w:val="en-GB"/>
              </w:rPr>
              <w:t>R&amp;D</w:t>
            </w:r>
          </w:p>
        </w:tc>
        <w:tc>
          <w:tcPr>
            <w:tcW w:w="1980" w:type="dxa"/>
            <w:tcBorders>
              <w:top w:val="nil"/>
              <w:left w:val="nil"/>
              <w:bottom w:val="nil"/>
              <w:right w:val="nil"/>
            </w:tcBorders>
          </w:tcPr>
          <w:p w14:paraId="07C7BBB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0.430**</w:t>
            </w:r>
          </w:p>
        </w:tc>
        <w:tc>
          <w:tcPr>
            <w:tcW w:w="1890" w:type="dxa"/>
            <w:tcBorders>
              <w:top w:val="nil"/>
              <w:left w:val="nil"/>
              <w:bottom w:val="nil"/>
              <w:right w:val="nil"/>
            </w:tcBorders>
          </w:tcPr>
          <w:p w14:paraId="1478C77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0.310</w:t>
            </w:r>
          </w:p>
        </w:tc>
        <w:tc>
          <w:tcPr>
            <w:tcW w:w="1800" w:type="dxa"/>
            <w:tcBorders>
              <w:top w:val="nil"/>
              <w:left w:val="nil"/>
              <w:bottom w:val="nil"/>
              <w:right w:val="nil"/>
            </w:tcBorders>
          </w:tcPr>
          <w:p w14:paraId="78895A0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0.377***</w:t>
            </w:r>
          </w:p>
        </w:tc>
        <w:tc>
          <w:tcPr>
            <w:tcW w:w="1530" w:type="dxa"/>
            <w:tcBorders>
              <w:top w:val="nil"/>
              <w:left w:val="nil"/>
              <w:bottom w:val="nil"/>
              <w:right w:val="nil"/>
            </w:tcBorders>
          </w:tcPr>
          <w:p w14:paraId="4850908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0.412***</w:t>
            </w:r>
          </w:p>
        </w:tc>
      </w:tr>
      <w:tr w:rsidR="00DB6C99" w:rsidRPr="00DB6C99" w14:paraId="515FDCEB" w14:textId="77777777" w:rsidTr="007C344D">
        <w:trPr>
          <w:jc w:val="center"/>
        </w:trPr>
        <w:tc>
          <w:tcPr>
            <w:tcW w:w="2160" w:type="dxa"/>
            <w:tcBorders>
              <w:top w:val="nil"/>
              <w:left w:val="nil"/>
              <w:bottom w:val="nil"/>
              <w:right w:val="nil"/>
            </w:tcBorders>
            <w:vAlign w:val="center"/>
          </w:tcPr>
          <w:p w14:paraId="29EE6191"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980" w:type="dxa"/>
            <w:tcBorders>
              <w:top w:val="nil"/>
              <w:left w:val="nil"/>
              <w:bottom w:val="nil"/>
              <w:right w:val="nil"/>
            </w:tcBorders>
          </w:tcPr>
          <w:p w14:paraId="3921CEF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(1.97)</w:t>
            </w:r>
          </w:p>
        </w:tc>
        <w:tc>
          <w:tcPr>
            <w:tcW w:w="1890" w:type="dxa"/>
            <w:tcBorders>
              <w:top w:val="nil"/>
              <w:left w:val="nil"/>
              <w:bottom w:val="nil"/>
              <w:right w:val="nil"/>
            </w:tcBorders>
          </w:tcPr>
          <w:p w14:paraId="610DCB0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(1.09)</w:t>
            </w:r>
          </w:p>
        </w:tc>
        <w:tc>
          <w:tcPr>
            <w:tcW w:w="1800" w:type="dxa"/>
            <w:tcBorders>
              <w:top w:val="nil"/>
              <w:left w:val="nil"/>
              <w:bottom w:val="nil"/>
              <w:right w:val="nil"/>
            </w:tcBorders>
          </w:tcPr>
          <w:p w14:paraId="6932713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(3.80)</w:t>
            </w:r>
          </w:p>
        </w:tc>
        <w:tc>
          <w:tcPr>
            <w:tcW w:w="1530" w:type="dxa"/>
            <w:tcBorders>
              <w:top w:val="nil"/>
              <w:left w:val="nil"/>
              <w:bottom w:val="nil"/>
              <w:right w:val="nil"/>
            </w:tcBorders>
          </w:tcPr>
          <w:p w14:paraId="4F2ECC4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(3.55)</w:t>
            </w:r>
          </w:p>
        </w:tc>
      </w:tr>
      <w:tr w:rsidR="00DB6C99" w:rsidRPr="00DB6C99" w14:paraId="4F7D87B3" w14:textId="77777777" w:rsidTr="007C344D">
        <w:trPr>
          <w:jc w:val="center"/>
        </w:trPr>
        <w:tc>
          <w:tcPr>
            <w:tcW w:w="2160" w:type="dxa"/>
            <w:tcBorders>
              <w:top w:val="nil"/>
              <w:left w:val="nil"/>
              <w:bottom w:val="nil"/>
              <w:right w:val="nil"/>
            </w:tcBorders>
            <w:vAlign w:val="center"/>
          </w:tcPr>
          <w:p w14:paraId="65AAF963"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lang w:val="en-GB"/>
              </w:rPr>
              <w:t>AFE</w:t>
            </w:r>
          </w:p>
        </w:tc>
        <w:tc>
          <w:tcPr>
            <w:tcW w:w="1980" w:type="dxa"/>
            <w:tcBorders>
              <w:top w:val="nil"/>
              <w:left w:val="nil"/>
              <w:bottom w:val="nil"/>
              <w:right w:val="nil"/>
            </w:tcBorders>
          </w:tcPr>
          <w:p w14:paraId="6B2E38E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0.000</w:t>
            </w:r>
          </w:p>
        </w:tc>
        <w:tc>
          <w:tcPr>
            <w:tcW w:w="1890" w:type="dxa"/>
            <w:tcBorders>
              <w:top w:val="nil"/>
              <w:left w:val="nil"/>
              <w:bottom w:val="nil"/>
              <w:right w:val="nil"/>
            </w:tcBorders>
          </w:tcPr>
          <w:p w14:paraId="674921D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0.000</w:t>
            </w:r>
          </w:p>
        </w:tc>
        <w:tc>
          <w:tcPr>
            <w:tcW w:w="1800" w:type="dxa"/>
            <w:tcBorders>
              <w:top w:val="nil"/>
              <w:left w:val="nil"/>
              <w:bottom w:val="nil"/>
              <w:right w:val="nil"/>
            </w:tcBorders>
          </w:tcPr>
          <w:p w14:paraId="7BA4637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0.000</w:t>
            </w:r>
          </w:p>
        </w:tc>
        <w:tc>
          <w:tcPr>
            <w:tcW w:w="1530" w:type="dxa"/>
            <w:tcBorders>
              <w:top w:val="nil"/>
              <w:left w:val="nil"/>
              <w:bottom w:val="nil"/>
              <w:right w:val="nil"/>
            </w:tcBorders>
          </w:tcPr>
          <w:p w14:paraId="6C8899B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-0.000</w:t>
            </w:r>
          </w:p>
        </w:tc>
      </w:tr>
      <w:tr w:rsidR="00DB6C99" w:rsidRPr="00DB6C99" w14:paraId="34DAA9C9" w14:textId="77777777" w:rsidTr="007C344D">
        <w:trPr>
          <w:jc w:val="center"/>
        </w:trPr>
        <w:tc>
          <w:tcPr>
            <w:tcW w:w="2160" w:type="dxa"/>
            <w:tcBorders>
              <w:top w:val="nil"/>
              <w:left w:val="nil"/>
              <w:bottom w:val="nil"/>
              <w:right w:val="nil"/>
            </w:tcBorders>
            <w:vAlign w:val="center"/>
          </w:tcPr>
          <w:p w14:paraId="1DCBBADE"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980" w:type="dxa"/>
            <w:tcBorders>
              <w:top w:val="nil"/>
              <w:left w:val="nil"/>
              <w:bottom w:val="nil"/>
              <w:right w:val="nil"/>
            </w:tcBorders>
          </w:tcPr>
          <w:p w14:paraId="2BCC8C2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(0.05)</w:t>
            </w:r>
          </w:p>
        </w:tc>
        <w:tc>
          <w:tcPr>
            <w:tcW w:w="1890" w:type="dxa"/>
            <w:tcBorders>
              <w:top w:val="nil"/>
              <w:left w:val="nil"/>
              <w:bottom w:val="nil"/>
              <w:right w:val="nil"/>
            </w:tcBorders>
          </w:tcPr>
          <w:p w14:paraId="61295BC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(0.03)</w:t>
            </w:r>
          </w:p>
        </w:tc>
        <w:tc>
          <w:tcPr>
            <w:tcW w:w="1800" w:type="dxa"/>
            <w:tcBorders>
              <w:top w:val="nil"/>
              <w:left w:val="nil"/>
              <w:bottom w:val="nil"/>
              <w:right w:val="nil"/>
            </w:tcBorders>
          </w:tcPr>
          <w:p w14:paraId="0AB3CB0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(0.33)</w:t>
            </w:r>
          </w:p>
        </w:tc>
        <w:tc>
          <w:tcPr>
            <w:tcW w:w="1530" w:type="dxa"/>
            <w:tcBorders>
              <w:top w:val="nil"/>
              <w:left w:val="nil"/>
              <w:bottom w:val="nil"/>
              <w:right w:val="nil"/>
            </w:tcBorders>
          </w:tcPr>
          <w:p w14:paraId="2E8163B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(-0.09)</w:t>
            </w:r>
          </w:p>
        </w:tc>
      </w:tr>
      <w:tr w:rsidR="00DB6C99" w:rsidRPr="00DB6C99" w14:paraId="000EB522" w14:textId="77777777" w:rsidTr="007C344D">
        <w:trPr>
          <w:jc w:val="center"/>
        </w:trPr>
        <w:tc>
          <w:tcPr>
            <w:tcW w:w="2160" w:type="dxa"/>
            <w:tcBorders>
              <w:top w:val="nil"/>
              <w:left w:val="nil"/>
              <w:bottom w:val="nil"/>
              <w:right w:val="nil"/>
            </w:tcBorders>
            <w:vAlign w:val="center"/>
          </w:tcPr>
          <w:p w14:paraId="43B0631B"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lang w:val="en-GB"/>
              </w:rPr>
              <w:t>SLACK</w:t>
            </w:r>
          </w:p>
        </w:tc>
        <w:tc>
          <w:tcPr>
            <w:tcW w:w="1980" w:type="dxa"/>
            <w:tcBorders>
              <w:top w:val="nil"/>
              <w:left w:val="nil"/>
              <w:bottom w:val="nil"/>
              <w:right w:val="nil"/>
            </w:tcBorders>
          </w:tcPr>
          <w:p w14:paraId="60D6C98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0.020*</w:t>
            </w:r>
          </w:p>
        </w:tc>
        <w:tc>
          <w:tcPr>
            <w:tcW w:w="1890" w:type="dxa"/>
            <w:tcBorders>
              <w:top w:val="nil"/>
              <w:left w:val="nil"/>
              <w:bottom w:val="nil"/>
              <w:right w:val="nil"/>
            </w:tcBorders>
          </w:tcPr>
          <w:p w14:paraId="2AFE9EF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0.024**</w:t>
            </w:r>
          </w:p>
        </w:tc>
        <w:tc>
          <w:tcPr>
            <w:tcW w:w="1800" w:type="dxa"/>
            <w:tcBorders>
              <w:top w:val="nil"/>
              <w:left w:val="nil"/>
              <w:bottom w:val="nil"/>
              <w:right w:val="nil"/>
            </w:tcBorders>
          </w:tcPr>
          <w:p w14:paraId="0524DF1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0.001</w:t>
            </w:r>
          </w:p>
        </w:tc>
        <w:tc>
          <w:tcPr>
            <w:tcW w:w="1530" w:type="dxa"/>
            <w:tcBorders>
              <w:top w:val="nil"/>
              <w:left w:val="nil"/>
              <w:bottom w:val="nil"/>
              <w:right w:val="nil"/>
            </w:tcBorders>
          </w:tcPr>
          <w:p w14:paraId="728F572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0.006</w:t>
            </w:r>
          </w:p>
        </w:tc>
      </w:tr>
      <w:tr w:rsidR="00DB6C99" w:rsidRPr="00DB6C99" w14:paraId="00E0B944" w14:textId="77777777" w:rsidTr="007C344D">
        <w:trPr>
          <w:jc w:val="center"/>
        </w:trPr>
        <w:tc>
          <w:tcPr>
            <w:tcW w:w="2160" w:type="dxa"/>
            <w:tcBorders>
              <w:top w:val="nil"/>
              <w:left w:val="nil"/>
              <w:bottom w:val="nil"/>
              <w:right w:val="nil"/>
            </w:tcBorders>
            <w:vAlign w:val="center"/>
          </w:tcPr>
          <w:p w14:paraId="4F477D8B"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980" w:type="dxa"/>
            <w:tcBorders>
              <w:top w:val="nil"/>
              <w:left w:val="nil"/>
              <w:bottom w:val="nil"/>
              <w:right w:val="nil"/>
            </w:tcBorders>
          </w:tcPr>
          <w:p w14:paraId="04A80D1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(1.94)</w:t>
            </w:r>
          </w:p>
        </w:tc>
        <w:tc>
          <w:tcPr>
            <w:tcW w:w="1890" w:type="dxa"/>
            <w:tcBorders>
              <w:top w:val="nil"/>
              <w:left w:val="nil"/>
              <w:bottom w:val="nil"/>
              <w:right w:val="nil"/>
            </w:tcBorders>
          </w:tcPr>
          <w:p w14:paraId="3E0A4F4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(2.01)</w:t>
            </w:r>
          </w:p>
        </w:tc>
        <w:tc>
          <w:tcPr>
            <w:tcW w:w="1800" w:type="dxa"/>
            <w:tcBorders>
              <w:top w:val="nil"/>
              <w:left w:val="nil"/>
              <w:bottom w:val="nil"/>
              <w:right w:val="nil"/>
            </w:tcBorders>
          </w:tcPr>
          <w:p w14:paraId="2C8FDAD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(0.08)</w:t>
            </w:r>
          </w:p>
        </w:tc>
        <w:tc>
          <w:tcPr>
            <w:tcW w:w="1530" w:type="dxa"/>
            <w:tcBorders>
              <w:top w:val="nil"/>
              <w:left w:val="nil"/>
              <w:bottom w:val="nil"/>
              <w:right w:val="nil"/>
            </w:tcBorders>
          </w:tcPr>
          <w:p w14:paraId="25CB3C9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(0.72)</w:t>
            </w:r>
          </w:p>
        </w:tc>
      </w:tr>
      <w:tr w:rsidR="00DB6C99" w:rsidRPr="00DB6C99" w14:paraId="01BCFE9A" w14:textId="77777777" w:rsidTr="007C344D">
        <w:trPr>
          <w:jc w:val="center"/>
        </w:trPr>
        <w:tc>
          <w:tcPr>
            <w:tcW w:w="2160" w:type="dxa"/>
            <w:tcBorders>
              <w:top w:val="nil"/>
              <w:left w:val="nil"/>
              <w:bottom w:val="nil"/>
              <w:right w:val="nil"/>
            </w:tcBorders>
            <w:vAlign w:val="center"/>
          </w:tcPr>
          <w:p w14:paraId="48300699" w14:textId="77777777" w:rsidR="007C344D" w:rsidRPr="00DB6C99" w:rsidRDefault="007C344D" w:rsidP="007C344D">
            <w:pPr>
              <w:widowControl w:val="0"/>
              <w:autoSpaceDE w:val="0"/>
              <w:autoSpaceDN w:val="0"/>
              <w:adjustRightInd w:val="0"/>
              <w:spacing w:after="0" w:line="240" w:lineRule="auto"/>
              <w:rPr>
                <w:rFonts w:ascii="Garamond" w:hAnsi="Garamond"/>
                <w:i/>
                <w:iCs/>
                <w:sz w:val="20"/>
                <w:szCs w:val="20"/>
              </w:rPr>
            </w:pPr>
            <w:r w:rsidRPr="00DB6C99">
              <w:rPr>
                <w:rFonts w:ascii="Garamond" w:hAnsi="Garamond"/>
                <w:i/>
                <w:iCs/>
                <w:sz w:val="20"/>
                <w:szCs w:val="20"/>
              </w:rPr>
              <w:t>COD</w:t>
            </w:r>
          </w:p>
        </w:tc>
        <w:tc>
          <w:tcPr>
            <w:tcW w:w="1980" w:type="dxa"/>
            <w:tcBorders>
              <w:top w:val="nil"/>
              <w:left w:val="nil"/>
              <w:bottom w:val="nil"/>
              <w:right w:val="nil"/>
            </w:tcBorders>
          </w:tcPr>
          <w:p w14:paraId="7579EB7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-0.031</w:t>
            </w:r>
          </w:p>
        </w:tc>
        <w:tc>
          <w:tcPr>
            <w:tcW w:w="1890" w:type="dxa"/>
            <w:tcBorders>
              <w:top w:val="nil"/>
              <w:left w:val="nil"/>
              <w:bottom w:val="nil"/>
              <w:right w:val="nil"/>
            </w:tcBorders>
          </w:tcPr>
          <w:p w14:paraId="614ABE9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0.054</w:t>
            </w:r>
          </w:p>
        </w:tc>
        <w:tc>
          <w:tcPr>
            <w:tcW w:w="1800" w:type="dxa"/>
            <w:tcBorders>
              <w:top w:val="nil"/>
              <w:left w:val="nil"/>
              <w:bottom w:val="nil"/>
              <w:right w:val="nil"/>
            </w:tcBorders>
          </w:tcPr>
          <w:p w14:paraId="0B7DC39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0.083</w:t>
            </w:r>
          </w:p>
        </w:tc>
        <w:tc>
          <w:tcPr>
            <w:tcW w:w="1530" w:type="dxa"/>
            <w:tcBorders>
              <w:top w:val="nil"/>
              <w:left w:val="nil"/>
              <w:bottom w:val="nil"/>
              <w:right w:val="nil"/>
            </w:tcBorders>
          </w:tcPr>
          <w:p w14:paraId="72C4C4C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0.111</w:t>
            </w:r>
          </w:p>
        </w:tc>
      </w:tr>
      <w:tr w:rsidR="00DB6C99" w:rsidRPr="00DB6C99" w14:paraId="3A12ABCE" w14:textId="77777777" w:rsidTr="007C344D">
        <w:trPr>
          <w:jc w:val="center"/>
        </w:trPr>
        <w:tc>
          <w:tcPr>
            <w:tcW w:w="2160" w:type="dxa"/>
            <w:tcBorders>
              <w:top w:val="nil"/>
              <w:left w:val="nil"/>
              <w:bottom w:val="nil"/>
              <w:right w:val="nil"/>
            </w:tcBorders>
            <w:vAlign w:val="center"/>
          </w:tcPr>
          <w:p w14:paraId="4A800F5E"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980" w:type="dxa"/>
            <w:tcBorders>
              <w:top w:val="nil"/>
              <w:left w:val="nil"/>
              <w:bottom w:val="nil"/>
              <w:right w:val="nil"/>
            </w:tcBorders>
          </w:tcPr>
          <w:p w14:paraId="2DDA768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(-0.16)</w:t>
            </w:r>
          </w:p>
        </w:tc>
        <w:tc>
          <w:tcPr>
            <w:tcW w:w="1890" w:type="dxa"/>
            <w:tcBorders>
              <w:top w:val="nil"/>
              <w:left w:val="nil"/>
              <w:bottom w:val="nil"/>
              <w:right w:val="nil"/>
            </w:tcBorders>
          </w:tcPr>
          <w:p w14:paraId="3102AAD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(0.26)</w:t>
            </w:r>
          </w:p>
        </w:tc>
        <w:tc>
          <w:tcPr>
            <w:tcW w:w="1800" w:type="dxa"/>
            <w:tcBorders>
              <w:top w:val="nil"/>
              <w:left w:val="nil"/>
              <w:bottom w:val="nil"/>
              <w:right w:val="nil"/>
            </w:tcBorders>
          </w:tcPr>
          <w:p w14:paraId="4E607C4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(0.51)</w:t>
            </w:r>
          </w:p>
        </w:tc>
        <w:tc>
          <w:tcPr>
            <w:tcW w:w="1530" w:type="dxa"/>
            <w:tcBorders>
              <w:top w:val="nil"/>
              <w:left w:val="nil"/>
              <w:bottom w:val="nil"/>
              <w:right w:val="nil"/>
            </w:tcBorders>
          </w:tcPr>
          <w:p w14:paraId="668C93E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(0.62)</w:t>
            </w:r>
          </w:p>
        </w:tc>
      </w:tr>
      <w:tr w:rsidR="00DB6C99" w:rsidRPr="00DB6C99" w14:paraId="01E6BA42" w14:textId="77777777" w:rsidTr="007C344D">
        <w:trPr>
          <w:jc w:val="center"/>
        </w:trPr>
        <w:tc>
          <w:tcPr>
            <w:tcW w:w="2160" w:type="dxa"/>
            <w:tcBorders>
              <w:top w:val="nil"/>
              <w:left w:val="nil"/>
              <w:bottom w:val="nil"/>
              <w:right w:val="nil"/>
            </w:tcBorders>
            <w:vAlign w:val="center"/>
          </w:tcPr>
          <w:p w14:paraId="7955E216"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lang w:val="en-GB"/>
              </w:rPr>
              <w:t>INST</w:t>
            </w:r>
          </w:p>
        </w:tc>
        <w:tc>
          <w:tcPr>
            <w:tcW w:w="1980" w:type="dxa"/>
            <w:tcBorders>
              <w:top w:val="nil"/>
              <w:left w:val="nil"/>
              <w:bottom w:val="nil"/>
              <w:right w:val="nil"/>
            </w:tcBorders>
          </w:tcPr>
          <w:p w14:paraId="6ECF678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-0.034*</w:t>
            </w:r>
          </w:p>
        </w:tc>
        <w:tc>
          <w:tcPr>
            <w:tcW w:w="1890" w:type="dxa"/>
            <w:tcBorders>
              <w:top w:val="nil"/>
              <w:left w:val="nil"/>
              <w:bottom w:val="nil"/>
              <w:right w:val="nil"/>
            </w:tcBorders>
          </w:tcPr>
          <w:p w14:paraId="25C41B9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-0.018</w:t>
            </w:r>
          </w:p>
        </w:tc>
        <w:tc>
          <w:tcPr>
            <w:tcW w:w="1800" w:type="dxa"/>
            <w:tcBorders>
              <w:top w:val="nil"/>
              <w:left w:val="nil"/>
              <w:bottom w:val="nil"/>
              <w:right w:val="nil"/>
            </w:tcBorders>
          </w:tcPr>
          <w:p w14:paraId="6F63061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-0.093***</w:t>
            </w:r>
          </w:p>
        </w:tc>
        <w:tc>
          <w:tcPr>
            <w:tcW w:w="1530" w:type="dxa"/>
            <w:tcBorders>
              <w:top w:val="nil"/>
              <w:left w:val="nil"/>
              <w:bottom w:val="nil"/>
              <w:right w:val="nil"/>
            </w:tcBorders>
          </w:tcPr>
          <w:p w14:paraId="44EE37F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-0.081***</w:t>
            </w:r>
          </w:p>
        </w:tc>
      </w:tr>
      <w:tr w:rsidR="00DB6C99" w:rsidRPr="00DB6C99" w14:paraId="11FADC3F" w14:textId="77777777" w:rsidTr="007C344D">
        <w:trPr>
          <w:jc w:val="center"/>
        </w:trPr>
        <w:tc>
          <w:tcPr>
            <w:tcW w:w="2160" w:type="dxa"/>
            <w:tcBorders>
              <w:top w:val="nil"/>
              <w:left w:val="nil"/>
              <w:bottom w:val="nil"/>
              <w:right w:val="nil"/>
            </w:tcBorders>
            <w:vAlign w:val="center"/>
          </w:tcPr>
          <w:p w14:paraId="0B84252F"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980" w:type="dxa"/>
            <w:tcBorders>
              <w:top w:val="nil"/>
              <w:left w:val="nil"/>
              <w:bottom w:val="nil"/>
              <w:right w:val="nil"/>
            </w:tcBorders>
          </w:tcPr>
          <w:p w14:paraId="6793402F"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(-1.95)</w:t>
            </w:r>
          </w:p>
        </w:tc>
        <w:tc>
          <w:tcPr>
            <w:tcW w:w="1890" w:type="dxa"/>
            <w:tcBorders>
              <w:top w:val="nil"/>
              <w:left w:val="nil"/>
              <w:bottom w:val="nil"/>
              <w:right w:val="nil"/>
            </w:tcBorders>
          </w:tcPr>
          <w:p w14:paraId="1712402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(-0.96)</w:t>
            </w:r>
          </w:p>
        </w:tc>
        <w:tc>
          <w:tcPr>
            <w:tcW w:w="1800" w:type="dxa"/>
            <w:tcBorders>
              <w:top w:val="nil"/>
              <w:left w:val="nil"/>
              <w:bottom w:val="nil"/>
              <w:right w:val="nil"/>
            </w:tcBorders>
          </w:tcPr>
          <w:p w14:paraId="3234EB9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(-5.36)</w:t>
            </w:r>
          </w:p>
        </w:tc>
        <w:tc>
          <w:tcPr>
            <w:tcW w:w="1530" w:type="dxa"/>
            <w:tcBorders>
              <w:top w:val="nil"/>
              <w:left w:val="nil"/>
              <w:bottom w:val="nil"/>
              <w:right w:val="nil"/>
            </w:tcBorders>
          </w:tcPr>
          <w:p w14:paraId="333EF99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(-4.34)</w:t>
            </w:r>
          </w:p>
        </w:tc>
      </w:tr>
      <w:tr w:rsidR="00DB6C99" w:rsidRPr="00DB6C99" w14:paraId="365BB840" w14:textId="77777777" w:rsidTr="007C344D">
        <w:trPr>
          <w:jc w:val="center"/>
        </w:trPr>
        <w:tc>
          <w:tcPr>
            <w:tcW w:w="2160" w:type="dxa"/>
            <w:tcBorders>
              <w:top w:val="nil"/>
              <w:left w:val="nil"/>
              <w:bottom w:val="nil"/>
              <w:right w:val="nil"/>
            </w:tcBorders>
            <w:vAlign w:val="center"/>
          </w:tcPr>
          <w:p w14:paraId="5FE0190D"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lang w:val="en-GB"/>
              </w:rPr>
              <w:t>STATE</w:t>
            </w:r>
          </w:p>
        </w:tc>
        <w:tc>
          <w:tcPr>
            <w:tcW w:w="1980" w:type="dxa"/>
            <w:tcBorders>
              <w:top w:val="nil"/>
              <w:left w:val="nil"/>
              <w:bottom w:val="nil"/>
              <w:right w:val="nil"/>
            </w:tcBorders>
          </w:tcPr>
          <w:p w14:paraId="332E027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0.103</w:t>
            </w:r>
          </w:p>
        </w:tc>
        <w:tc>
          <w:tcPr>
            <w:tcW w:w="1890" w:type="dxa"/>
            <w:tcBorders>
              <w:top w:val="nil"/>
              <w:left w:val="nil"/>
              <w:bottom w:val="nil"/>
              <w:right w:val="nil"/>
            </w:tcBorders>
          </w:tcPr>
          <w:p w14:paraId="07210A3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0.122</w:t>
            </w:r>
          </w:p>
        </w:tc>
        <w:tc>
          <w:tcPr>
            <w:tcW w:w="1800" w:type="dxa"/>
            <w:tcBorders>
              <w:top w:val="nil"/>
              <w:left w:val="nil"/>
              <w:bottom w:val="nil"/>
              <w:right w:val="nil"/>
            </w:tcBorders>
          </w:tcPr>
          <w:p w14:paraId="19918CF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0.171*</w:t>
            </w:r>
          </w:p>
        </w:tc>
        <w:tc>
          <w:tcPr>
            <w:tcW w:w="1530" w:type="dxa"/>
            <w:tcBorders>
              <w:top w:val="nil"/>
              <w:left w:val="nil"/>
              <w:bottom w:val="nil"/>
              <w:right w:val="nil"/>
            </w:tcBorders>
          </w:tcPr>
          <w:p w14:paraId="7FD8AC6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0.152</w:t>
            </w:r>
          </w:p>
        </w:tc>
      </w:tr>
      <w:tr w:rsidR="00DB6C99" w:rsidRPr="00DB6C99" w14:paraId="03C9B0DC" w14:textId="77777777" w:rsidTr="007C344D">
        <w:trPr>
          <w:jc w:val="center"/>
        </w:trPr>
        <w:tc>
          <w:tcPr>
            <w:tcW w:w="2160" w:type="dxa"/>
            <w:tcBorders>
              <w:top w:val="nil"/>
              <w:left w:val="nil"/>
              <w:bottom w:val="nil"/>
              <w:right w:val="nil"/>
            </w:tcBorders>
            <w:vAlign w:val="center"/>
          </w:tcPr>
          <w:p w14:paraId="77B84364"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980" w:type="dxa"/>
            <w:tcBorders>
              <w:top w:val="nil"/>
              <w:left w:val="nil"/>
              <w:bottom w:val="nil"/>
              <w:right w:val="nil"/>
            </w:tcBorders>
          </w:tcPr>
          <w:p w14:paraId="72FE52D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(0.96)</w:t>
            </w:r>
          </w:p>
        </w:tc>
        <w:tc>
          <w:tcPr>
            <w:tcW w:w="1890" w:type="dxa"/>
            <w:tcBorders>
              <w:top w:val="nil"/>
              <w:left w:val="nil"/>
              <w:bottom w:val="nil"/>
              <w:right w:val="nil"/>
            </w:tcBorders>
          </w:tcPr>
          <w:p w14:paraId="21BD7B6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(1.02)</w:t>
            </w:r>
          </w:p>
        </w:tc>
        <w:tc>
          <w:tcPr>
            <w:tcW w:w="1800" w:type="dxa"/>
            <w:tcBorders>
              <w:top w:val="nil"/>
              <w:left w:val="nil"/>
              <w:bottom w:val="nil"/>
              <w:right w:val="nil"/>
            </w:tcBorders>
          </w:tcPr>
          <w:p w14:paraId="7D33917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(1.74)</w:t>
            </w:r>
          </w:p>
        </w:tc>
        <w:tc>
          <w:tcPr>
            <w:tcW w:w="1530" w:type="dxa"/>
            <w:tcBorders>
              <w:top w:val="nil"/>
              <w:left w:val="nil"/>
              <w:bottom w:val="nil"/>
              <w:right w:val="nil"/>
            </w:tcBorders>
          </w:tcPr>
          <w:p w14:paraId="3E5FFF1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(1.45)</w:t>
            </w:r>
          </w:p>
        </w:tc>
      </w:tr>
      <w:tr w:rsidR="00DB6C99" w:rsidRPr="00DB6C99" w14:paraId="28031D96" w14:textId="77777777" w:rsidTr="007C344D">
        <w:trPr>
          <w:jc w:val="center"/>
        </w:trPr>
        <w:tc>
          <w:tcPr>
            <w:tcW w:w="2160" w:type="dxa"/>
            <w:tcBorders>
              <w:top w:val="nil"/>
              <w:left w:val="nil"/>
              <w:bottom w:val="nil"/>
              <w:right w:val="nil"/>
            </w:tcBorders>
            <w:vAlign w:val="center"/>
          </w:tcPr>
          <w:p w14:paraId="6B928E6F"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lang w:val="en-GB"/>
              </w:rPr>
              <w:t>SIZE</w:t>
            </w:r>
          </w:p>
        </w:tc>
        <w:tc>
          <w:tcPr>
            <w:tcW w:w="1980" w:type="dxa"/>
            <w:tcBorders>
              <w:top w:val="nil"/>
              <w:left w:val="nil"/>
              <w:bottom w:val="nil"/>
              <w:right w:val="nil"/>
            </w:tcBorders>
          </w:tcPr>
          <w:p w14:paraId="706F201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0.185***</w:t>
            </w:r>
          </w:p>
        </w:tc>
        <w:tc>
          <w:tcPr>
            <w:tcW w:w="1890" w:type="dxa"/>
            <w:tcBorders>
              <w:top w:val="nil"/>
              <w:left w:val="nil"/>
              <w:bottom w:val="nil"/>
              <w:right w:val="nil"/>
            </w:tcBorders>
          </w:tcPr>
          <w:p w14:paraId="722F4EF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0.203***</w:t>
            </w:r>
          </w:p>
        </w:tc>
        <w:tc>
          <w:tcPr>
            <w:tcW w:w="1800" w:type="dxa"/>
            <w:tcBorders>
              <w:top w:val="nil"/>
              <w:left w:val="nil"/>
              <w:bottom w:val="nil"/>
              <w:right w:val="nil"/>
            </w:tcBorders>
          </w:tcPr>
          <w:p w14:paraId="1BF4A17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0.255***</w:t>
            </w:r>
          </w:p>
        </w:tc>
        <w:tc>
          <w:tcPr>
            <w:tcW w:w="1530" w:type="dxa"/>
            <w:tcBorders>
              <w:top w:val="nil"/>
              <w:left w:val="nil"/>
              <w:bottom w:val="nil"/>
              <w:right w:val="nil"/>
            </w:tcBorders>
          </w:tcPr>
          <w:p w14:paraId="12E2F5F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0.273***</w:t>
            </w:r>
          </w:p>
        </w:tc>
      </w:tr>
      <w:tr w:rsidR="00DB6C99" w:rsidRPr="00DB6C99" w14:paraId="39F6A667" w14:textId="77777777" w:rsidTr="007C344D">
        <w:trPr>
          <w:jc w:val="center"/>
        </w:trPr>
        <w:tc>
          <w:tcPr>
            <w:tcW w:w="2160" w:type="dxa"/>
            <w:tcBorders>
              <w:top w:val="nil"/>
              <w:left w:val="nil"/>
              <w:bottom w:val="nil"/>
              <w:right w:val="nil"/>
            </w:tcBorders>
            <w:vAlign w:val="center"/>
          </w:tcPr>
          <w:p w14:paraId="1A92CBF3"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980" w:type="dxa"/>
            <w:tcBorders>
              <w:top w:val="nil"/>
              <w:left w:val="nil"/>
              <w:bottom w:val="nil"/>
              <w:right w:val="nil"/>
            </w:tcBorders>
          </w:tcPr>
          <w:p w14:paraId="0CA6F58F"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(8.14)</w:t>
            </w:r>
          </w:p>
        </w:tc>
        <w:tc>
          <w:tcPr>
            <w:tcW w:w="1890" w:type="dxa"/>
            <w:tcBorders>
              <w:top w:val="nil"/>
              <w:left w:val="nil"/>
              <w:bottom w:val="nil"/>
              <w:right w:val="nil"/>
            </w:tcBorders>
          </w:tcPr>
          <w:p w14:paraId="7C271EF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(7.97)</w:t>
            </w:r>
          </w:p>
        </w:tc>
        <w:tc>
          <w:tcPr>
            <w:tcW w:w="1800" w:type="dxa"/>
            <w:tcBorders>
              <w:top w:val="nil"/>
              <w:left w:val="nil"/>
              <w:bottom w:val="nil"/>
              <w:right w:val="nil"/>
            </w:tcBorders>
          </w:tcPr>
          <w:p w14:paraId="03DC473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(31.20)</w:t>
            </w:r>
          </w:p>
        </w:tc>
        <w:tc>
          <w:tcPr>
            <w:tcW w:w="1530" w:type="dxa"/>
            <w:tcBorders>
              <w:top w:val="nil"/>
              <w:left w:val="nil"/>
              <w:bottom w:val="nil"/>
              <w:right w:val="nil"/>
            </w:tcBorders>
          </w:tcPr>
          <w:p w14:paraId="34A5067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(29.97)</w:t>
            </w:r>
          </w:p>
        </w:tc>
      </w:tr>
      <w:tr w:rsidR="00DB6C99" w:rsidRPr="00DB6C99" w14:paraId="299B1E08" w14:textId="77777777" w:rsidTr="007C344D">
        <w:trPr>
          <w:jc w:val="center"/>
        </w:trPr>
        <w:tc>
          <w:tcPr>
            <w:tcW w:w="2160" w:type="dxa"/>
            <w:tcBorders>
              <w:top w:val="nil"/>
              <w:left w:val="nil"/>
              <w:bottom w:val="nil"/>
              <w:right w:val="nil"/>
            </w:tcBorders>
            <w:vAlign w:val="center"/>
          </w:tcPr>
          <w:p w14:paraId="465A91B6"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rPr>
              <w:t>I</w:t>
            </w:r>
            <w:r w:rsidRPr="00DB6C99">
              <w:rPr>
                <w:rFonts w:ascii="Garamond" w:hAnsi="Garamond"/>
                <w:i/>
                <w:iCs/>
                <w:spacing w:val="-2"/>
                <w:sz w:val="20"/>
                <w:szCs w:val="20"/>
              </w:rPr>
              <w:t>n</w:t>
            </w:r>
            <w:r w:rsidRPr="00DB6C99">
              <w:rPr>
                <w:rFonts w:ascii="Garamond" w:hAnsi="Garamond"/>
                <w:i/>
                <w:iCs/>
                <w:spacing w:val="-1"/>
                <w:sz w:val="20"/>
                <w:szCs w:val="20"/>
              </w:rPr>
              <w:t>t</w:t>
            </w:r>
            <w:r w:rsidRPr="00DB6C99">
              <w:rPr>
                <w:rFonts w:ascii="Garamond" w:hAnsi="Garamond"/>
                <w:i/>
                <w:iCs/>
                <w:sz w:val="20"/>
                <w:szCs w:val="20"/>
              </w:rPr>
              <w:t>erce</w:t>
            </w:r>
            <w:r w:rsidRPr="00DB6C99">
              <w:rPr>
                <w:rFonts w:ascii="Garamond" w:hAnsi="Garamond"/>
                <w:i/>
                <w:iCs/>
                <w:spacing w:val="1"/>
                <w:sz w:val="20"/>
                <w:szCs w:val="20"/>
              </w:rPr>
              <w:t>p</w:t>
            </w:r>
            <w:r w:rsidRPr="00DB6C99">
              <w:rPr>
                <w:rFonts w:ascii="Garamond" w:hAnsi="Garamond"/>
                <w:i/>
                <w:iCs/>
                <w:sz w:val="20"/>
                <w:szCs w:val="20"/>
              </w:rPr>
              <w:t>t</w:t>
            </w:r>
          </w:p>
        </w:tc>
        <w:tc>
          <w:tcPr>
            <w:tcW w:w="1980" w:type="dxa"/>
            <w:tcBorders>
              <w:top w:val="nil"/>
              <w:left w:val="nil"/>
              <w:bottom w:val="nil"/>
              <w:right w:val="nil"/>
            </w:tcBorders>
          </w:tcPr>
          <w:p w14:paraId="1B94DA3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-4.085***</w:t>
            </w:r>
          </w:p>
        </w:tc>
        <w:tc>
          <w:tcPr>
            <w:tcW w:w="1890" w:type="dxa"/>
            <w:tcBorders>
              <w:top w:val="nil"/>
              <w:left w:val="nil"/>
              <w:bottom w:val="nil"/>
              <w:right w:val="nil"/>
            </w:tcBorders>
          </w:tcPr>
          <w:p w14:paraId="38846DC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-4.897***</w:t>
            </w:r>
          </w:p>
        </w:tc>
        <w:tc>
          <w:tcPr>
            <w:tcW w:w="1800" w:type="dxa"/>
            <w:tcBorders>
              <w:top w:val="nil"/>
              <w:left w:val="nil"/>
              <w:bottom w:val="nil"/>
              <w:right w:val="nil"/>
            </w:tcBorders>
          </w:tcPr>
          <w:p w14:paraId="4B7490E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-5.642***</w:t>
            </w:r>
          </w:p>
        </w:tc>
        <w:tc>
          <w:tcPr>
            <w:tcW w:w="1530" w:type="dxa"/>
            <w:tcBorders>
              <w:top w:val="nil"/>
              <w:left w:val="nil"/>
              <w:bottom w:val="nil"/>
              <w:right w:val="nil"/>
            </w:tcBorders>
          </w:tcPr>
          <w:p w14:paraId="51E7184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-6.571***</w:t>
            </w:r>
          </w:p>
        </w:tc>
      </w:tr>
      <w:tr w:rsidR="00DB6C99" w:rsidRPr="00DB6C99" w14:paraId="5A307469" w14:textId="77777777" w:rsidTr="007C344D">
        <w:trPr>
          <w:jc w:val="center"/>
        </w:trPr>
        <w:tc>
          <w:tcPr>
            <w:tcW w:w="2160" w:type="dxa"/>
            <w:tcBorders>
              <w:top w:val="nil"/>
              <w:left w:val="nil"/>
              <w:bottom w:val="nil"/>
              <w:right w:val="nil"/>
            </w:tcBorders>
          </w:tcPr>
          <w:p w14:paraId="3EDBE243"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980" w:type="dxa"/>
            <w:tcBorders>
              <w:top w:val="nil"/>
              <w:left w:val="nil"/>
              <w:bottom w:val="nil"/>
              <w:right w:val="nil"/>
            </w:tcBorders>
          </w:tcPr>
          <w:p w14:paraId="1483F78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(-11.39)</w:t>
            </w:r>
          </w:p>
        </w:tc>
        <w:tc>
          <w:tcPr>
            <w:tcW w:w="1890" w:type="dxa"/>
            <w:tcBorders>
              <w:top w:val="nil"/>
              <w:left w:val="nil"/>
              <w:bottom w:val="nil"/>
              <w:right w:val="nil"/>
            </w:tcBorders>
          </w:tcPr>
          <w:p w14:paraId="25BB27E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(-11.99)</w:t>
            </w:r>
          </w:p>
        </w:tc>
        <w:tc>
          <w:tcPr>
            <w:tcW w:w="1800" w:type="dxa"/>
            <w:tcBorders>
              <w:top w:val="nil"/>
              <w:left w:val="nil"/>
              <w:bottom w:val="nil"/>
              <w:right w:val="nil"/>
            </w:tcBorders>
          </w:tcPr>
          <w:p w14:paraId="17F644B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(-28.39)</w:t>
            </w:r>
          </w:p>
        </w:tc>
        <w:tc>
          <w:tcPr>
            <w:tcW w:w="1530" w:type="dxa"/>
            <w:tcBorders>
              <w:top w:val="nil"/>
              <w:left w:val="nil"/>
              <w:bottom w:val="nil"/>
              <w:right w:val="nil"/>
            </w:tcBorders>
          </w:tcPr>
          <w:p w14:paraId="5DB7407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(-29.46)</w:t>
            </w:r>
          </w:p>
        </w:tc>
      </w:tr>
      <w:tr w:rsidR="00DB6C99" w:rsidRPr="00DB6C99" w14:paraId="3D824428" w14:textId="77777777" w:rsidTr="007C344D">
        <w:trPr>
          <w:jc w:val="center"/>
        </w:trPr>
        <w:tc>
          <w:tcPr>
            <w:tcW w:w="2160" w:type="dxa"/>
            <w:tcBorders>
              <w:top w:val="nil"/>
              <w:left w:val="nil"/>
              <w:bottom w:val="nil"/>
              <w:right w:val="nil"/>
            </w:tcBorders>
          </w:tcPr>
          <w:p w14:paraId="0FEECAEC" w14:textId="77777777" w:rsidR="007C344D" w:rsidRPr="00DB6C99" w:rsidRDefault="007C344D" w:rsidP="007C344D">
            <w:pPr>
              <w:widowControl w:val="0"/>
              <w:autoSpaceDE w:val="0"/>
              <w:autoSpaceDN w:val="0"/>
              <w:adjustRightInd w:val="0"/>
              <w:spacing w:after="0" w:line="240" w:lineRule="auto"/>
              <w:rPr>
                <w:rFonts w:ascii="Garamond" w:hAnsi="Garamond"/>
                <w:i/>
                <w:iCs/>
                <w:sz w:val="20"/>
                <w:szCs w:val="20"/>
              </w:rPr>
            </w:pPr>
          </w:p>
        </w:tc>
        <w:tc>
          <w:tcPr>
            <w:tcW w:w="1980" w:type="dxa"/>
            <w:tcBorders>
              <w:top w:val="nil"/>
              <w:left w:val="nil"/>
              <w:bottom w:val="nil"/>
              <w:right w:val="nil"/>
            </w:tcBorders>
          </w:tcPr>
          <w:p w14:paraId="56EB6CF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p>
        </w:tc>
        <w:tc>
          <w:tcPr>
            <w:tcW w:w="1890" w:type="dxa"/>
            <w:tcBorders>
              <w:top w:val="nil"/>
              <w:left w:val="nil"/>
              <w:bottom w:val="nil"/>
              <w:right w:val="nil"/>
            </w:tcBorders>
          </w:tcPr>
          <w:p w14:paraId="20C11B0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p>
        </w:tc>
        <w:tc>
          <w:tcPr>
            <w:tcW w:w="1800" w:type="dxa"/>
            <w:tcBorders>
              <w:top w:val="nil"/>
              <w:left w:val="nil"/>
              <w:bottom w:val="nil"/>
              <w:right w:val="nil"/>
            </w:tcBorders>
          </w:tcPr>
          <w:p w14:paraId="2B368B5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p>
        </w:tc>
        <w:tc>
          <w:tcPr>
            <w:tcW w:w="1530" w:type="dxa"/>
            <w:tcBorders>
              <w:top w:val="nil"/>
              <w:left w:val="nil"/>
              <w:bottom w:val="nil"/>
              <w:right w:val="nil"/>
            </w:tcBorders>
          </w:tcPr>
          <w:p w14:paraId="668CAAD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p>
        </w:tc>
      </w:tr>
      <w:tr w:rsidR="00DB6C99" w:rsidRPr="00DB6C99" w14:paraId="3C425C5E" w14:textId="77777777" w:rsidTr="007C344D">
        <w:trPr>
          <w:jc w:val="center"/>
        </w:trPr>
        <w:tc>
          <w:tcPr>
            <w:tcW w:w="2160" w:type="dxa"/>
            <w:tcBorders>
              <w:top w:val="nil"/>
              <w:left w:val="nil"/>
              <w:bottom w:val="nil"/>
              <w:right w:val="nil"/>
            </w:tcBorders>
          </w:tcPr>
          <w:p w14:paraId="497D94C3" w14:textId="77777777" w:rsidR="007C344D" w:rsidRPr="00DB6C99" w:rsidRDefault="007C344D" w:rsidP="007C344D">
            <w:pPr>
              <w:widowControl w:val="0"/>
              <w:autoSpaceDE w:val="0"/>
              <w:autoSpaceDN w:val="0"/>
              <w:adjustRightInd w:val="0"/>
              <w:spacing w:after="0" w:line="240" w:lineRule="auto"/>
              <w:rPr>
                <w:rFonts w:ascii="Garamond" w:hAnsi="Garamond"/>
                <w:i/>
                <w:iCs/>
                <w:sz w:val="20"/>
                <w:szCs w:val="20"/>
              </w:rPr>
            </w:pPr>
            <w:r w:rsidRPr="00DB6C99">
              <w:rPr>
                <w:rFonts w:ascii="Garamond" w:hAnsi="Garamond"/>
                <w:i/>
                <w:iCs/>
                <w:sz w:val="20"/>
                <w:szCs w:val="20"/>
              </w:rPr>
              <w:t>N</w:t>
            </w:r>
          </w:p>
        </w:tc>
        <w:tc>
          <w:tcPr>
            <w:tcW w:w="1980" w:type="dxa"/>
            <w:tcBorders>
              <w:top w:val="nil"/>
              <w:left w:val="nil"/>
              <w:bottom w:val="nil"/>
              <w:right w:val="nil"/>
            </w:tcBorders>
          </w:tcPr>
          <w:p w14:paraId="71C0DBB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9,276</w:t>
            </w:r>
          </w:p>
        </w:tc>
        <w:tc>
          <w:tcPr>
            <w:tcW w:w="1890" w:type="dxa"/>
            <w:tcBorders>
              <w:top w:val="nil"/>
              <w:left w:val="nil"/>
              <w:bottom w:val="nil"/>
              <w:right w:val="nil"/>
            </w:tcBorders>
          </w:tcPr>
          <w:p w14:paraId="0EB93A3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7,801</w:t>
            </w:r>
          </w:p>
        </w:tc>
        <w:tc>
          <w:tcPr>
            <w:tcW w:w="1800" w:type="dxa"/>
            <w:tcBorders>
              <w:top w:val="nil"/>
              <w:left w:val="nil"/>
              <w:bottom w:val="nil"/>
              <w:right w:val="nil"/>
            </w:tcBorders>
          </w:tcPr>
          <w:p w14:paraId="72FB483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9,276</w:t>
            </w:r>
          </w:p>
        </w:tc>
        <w:tc>
          <w:tcPr>
            <w:tcW w:w="1530" w:type="dxa"/>
            <w:tcBorders>
              <w:top w:val="nil"/>
              <w:left w:val="nil"/>
              <w:bottom w:val="nil"/>
              <w:right w:val="nil"/>
            </w:tcBorders>
          </w:tcPr>
          <w:p w14:paraId="2D0F3A7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7,801</w:t>
            </w:r>
          </w:p>
        </w:tc>
      </w:tr>
      <w:tr w:rsidR="00DB6C99" w:rsidRPr="00DB6C99" w14:paraId="449FB36A" w14:textId="77777777" w:rsidTr="007C344D">
        <w:trPr>
          <w:jc w:val="center"/>
        </w:trPr>
        <w:tc>
          <w:tcPr>
            <w:tcW w:w="2160" w:type="dxa"/>
            <w:tcBorders>
              <w:top w:val="nil"/>
              <w:left w:val="nil"/>
              <w:bottom w:val="nil"/>
              <w:right w:val="nil"/>
            </w:tcBorders>
          </w:tcPr>
          <w:p w14:paraId="58DE4F06" w14:textId="77777777" w:rsidR="007C344D" w:rsidRPr="00DB6C99" w:rsidRDefault="007C344D" w:rsidP="007C344D">
            <w:pPr>
              <w:widowControl w:val="0"/>
              <w:autoSpaceDE w:val="0"/>
              <w:autoSpaceDN w:val="0"/>
              <w:adjustRightInd w:val="0"/>
              <w:spacing w:after="0" w:line="240" w:lineRule="auto"/>
              <w:rPr>
                <w:rFonts w:ascii="Garamond" w:hAnsi="Garamond"/>
                <w:i/>
                <w:iCs/>
                <w:sz w:val="20"/>
                <w:szCs w:val="20"/>
              </w:rPr>
            </w:pPr>
            <w:r w:rsidRPr="00DB6C99">
              <w:rPr>
                <w:rFonts w:ascii="Garamond" w:hAnsi="Garamond"/>
                <w:i/>
                <w:iCs/>
                <w:sz w:val="20"/>
                <w:szCs w:val="20"/>
              </w:rPr>
              <w:t>Firm &amp; Year</w:t>
            </w:r>
          </w:p>
        </w:tc>
        <w:tc>
          <w:tcPr>
            <w:tcW w:w="1980" w:type="dxa"/>
            <w:tcBorders>
              <w:top w:val="nil"/>
              <w:left w:val="nil"/>
              <w:bottom w:val="nil"/>
              <w:right w:val="nil"/>
            </w:tcBorders>
          </w:tcPr>
          <w:p w14:paraId="638A80F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Yes</w:t>
            </w:r>
          </w:p>
        </w:tc>
        <w:tc>
          <w:tcPr>
            <w:tcW w:w="1890" w:type="dxa"/>
            <w:tcBorders>
              <w:top w:val="nil"/>
              <w:left w:val="nil"/>
              <w:bottom w:val="nil"/>
              <w:right w:val="nil"/>
            </w:tcBorders>
          </w:tcPr>
          <w:p w14:paraId="5382006F"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Yes</w:t>
            </w:r>
          </w:p>
        </w:tc>
        <w:tc>
          <w:tcPr>
            <w:tcW w:w="1800" w:type="dxa"/>
            <w:tcBorders>
              <w:top w:val="nil"/>
              <w:left w:val="nil"/>
              <w:bottom w:val="nil"/>
              <w:right w:val="nil"/>
            </w:tcBorders>
          </w:tcPr>
          <w:p w14:paraId="3D577C7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w:t>
            </w:r>
          </w:p>
        </w:tc>
        <w:tc>
          <w:tcPr>
            <w:tcW w:w="1530" w:type="dxa"/>
            <w:tcBorders>
              <w:top w:val="nil"/>
              <w:left w:val="nil"/>
              <w:bottom w:val="nil"/>
              <w:right w:val="nil"/>
            </w:tcBorders>
          </w:tcPr>
          <w:p w14:paraId="604EA86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w:t>
            </w:r>
          </w:p>
        </w:tc>
      </w:tr>
      <w:tr w:rsidR="00DB6C99" w:rsidRPr="00DB6C99" w14:paraId="74E0E207" w14:textId="77777777" w:rsidTr="007C344D">
        <w:trPr>
          <w:jc w:val="center"/>
        </w:trPr>
        <w:tc>
          <w:tcPr>
            <w:tcW w:w="2160" w:type="dxa"/>
            <w:tcBorders>
              <w:top w:val="nil"/>
              <w:left w:val="nil"/>
              <w:bottom w:val="nil"/>
              <w:right w:val="nil"/>
            </w:tcBorders>
          </w:tcPr>
          <w:p w14:paraId="3DB2B93B" w14:textId="77777777" w:rsidR="007C344D" w:rsidRPr="00DB6C99" w:rsidRDefault="007C344D" w:rsidP="007C344D">
            <w:pPr>
              <w:widowControl w:val="0"/>
              <w:autoSpaceDE w:val="0"/>
              <w:autoSpaceDN w:val="0"/>
              <w:adjustRightInd w:val="0"/>
              <w:spacing w:after="0" w:line="240" w:lineRule="auto"/>
              <w:rPr>
                <w:rFonts w:ascii="Garamond" w:hAnsi="Garamond"/>
                <w:i/>
                <w:iCs/>
                <w:sz w:val="20"/>
                <w:szCs w:val="20"/>
              </w:rPr>
            </w:pPr>
            <w:r w:rsidRPr="00DB6C99">
              <w:rPr>
                <w:rFonts w:ascii="Garamond" w:hAnsi="Garamond"/>
                <w:i/>
                <w:iCs/>
                <w:sz w:val="20"/>
                <w:szCs w:val="20"/>
              </w:rPr>
              <w:t>Industry &amp; Year</w:t>
            </w:r>
          </w:p>
        </w:tc>
        <w:tc>
          <w:tcPr>
            <w:tcW w:w="1980" w:type="dxa"/>
            <w:tcBorders>
              <w:top w:val="nil"/>
              <w:left w:val="nil"/>
              <w:bottom w:val="nil"/>
              <w:right w:val="nil"/>
            </w:tcBorders>
          </w:tcPr>
          <w:p w14:paraId="0C78F07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w:t>
            </w:r>
          </w:p>
        </w:tc>
        <w:tc>
          <w:tcPr>
            <w:tcW w:w="1890" w:type="dxa"/>
            <w:tcBorders>
              <w:top w:val="nil"/>
              <w:left w:val="nil"/>
              <w:bottom w:val="nil"/>
              <w:right w:val="nil"/>
            </w:tcBorders>
          </w:tcPr>
          <w:p w14:paraId="16ADCB8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w:t>
            </w:r>
          </w:p>
        </w:tc>
        <w:tc>
          <w:tcPr>
            <w:tcW w:w="1800" w:type="dxa"/>
            <w:tcBorders>
              <w:top w:val="nil"/>
              <w:left w:val="nil"/>
              <w:bottom w:val="nil"/>
              <w:right w:val="nil"/>
            </w:tcBorders>
          </w:tcPr>
          <w:p w14:paraId="246548F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Yes</w:t>
            </w:r>
          </w:p>
        </w:tc>
        <w:tc>
          <w:tcPr>
            <w:tcW w:w="1530" w:type="dxa"/>
            <w:tcBorders>
              <w:top w:val="nil"/>
              <w:left w:val="nil"/>
              <w:bottom w:val="nil"/>
              <w:right w:val="nil"/>
            </w:tcBorders>
          </w:tcPr>
          <w:p w14:paraId="5CAD068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Yes</w:t>
            </w:r>
          </w:p>
        </w:tc>
      </w:tr>
      <w:tr w:rsidR="00DB6C99" w:rsidRPr="00DB6C99" w14:paraId="5279E137" w14:textId="77777777" w:rsidTr="007C344D">
        <w:trPr>
          <w:jc w:val="center"/>
        </w:trPr>
        <w:tc>
          <w:tcPr>
            <w:tcW w:w="2160" w:type="dxa"/>
            <w:tcBorders>
              <w:top w:val="nil"/>
              <w:left w:val="nil"/>
              <w:bottom w:val="nil"/>
              <w:right w:val="nil"/>
            </w:tcBorders>
          </w:tcPr>
          <w:p w14:paraId="724C1715" w14:textId="77777777" w:rsidR="007C344D" w:rsidRPr="00DB6C99" w:rsidRDefault="007C344D" w:rsidP="007C344D">
            <w:pPr>
              <w:widowControl w:val="0"/>
              <w:autoSpaceDE w:val="0"/>
              <w:autoSpaceDN w:val="0"/>
              <w:adjustRightInd w:val="0"/>
              <w:spacing w:after="0" w:line="240" w:lineRule="auto"/>
              <w:rPr>
                <w:rFonts w:ascii="Garamond" w:hAnsi="Garamond"/>
                <w:i/>
                <w:iCs/>
                <w:sz w:val="20"/>
                <w:szCs w:val="20"/>
              </w:rPr>
            </w:pPr>
            <w:r w:rsidRPr="00DB6C99">
              <w:rPr>
                <w:rFonts w:ascii="Garamond" w:hAnsi="Garamond"/>
                <w:i/>
                <w:iCs/>
                <w:sz w:val="20"/>
                <w:szCs w:val="20"/>
              </w:rPr>
              <w:t>Adj. R</w:t>
            </w:r>
            <w:r w:rsidRPr="00DB6C99">
              <w:rPr>
                <w:rFonts w:ascii="Garamond" w:hAnsi="Garamond"/>
                <w:i/>
                <w:iCs/>
                <w:sz w:val="20"/>
                <w:szCs w:val="20"/>
                <w:vertAlign w:val="superscript"/>
              </w:rPr>
              <w:t>2</w:t>
            </w:r>
          </w:p>
        </w:tc>
        <w:tc>
          <w:tcPr>
            <w:tcW w:w="1980" w:type="dxa"/>
            <w:tcBorders>
              <w:top w:val="nil"/>
              <w:left w:val="nil"/>
              <w:bottom w:val="nil"/>
              <w:right w:val="nil"/>
            </w:tcBorders>
          </w:tcPr>
          <w:p w14:paraId="6C1E7A3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0.192</w:t>
            </w:r>
          </w:p>
        </w:tc>
        <w:tc>
          <w:tcPr>
            <w:tcW w:w="1890" w:type="dxa"/>
            <w:tcBorders>
              <w:top w:val="nil"/>
              <w:left w:val="nil"/>
              <w:bottom w:val="nil"/>
              <w:right w:val="nil"/>
            </w:tcBorders>
          </w:tcPr>
          <w:p w14:paraId="6844488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0.201</w:t>
            </w:r>
          </w:p>
        </w:tc>
        <w:tc>
          <w:tcPr>
            <w:tcW w:w="1800" w:type="dxa"/>
            <w:tcBorders>
              <w:top w:val="nil"/>
              <w:left w:val="nil"/>
              <w:bottom w:val="nil"/>
              <w:right w:val="nil"/>
            </w:tcBorders>
          </w:tcPr>
          <w:p w14:paraId="1E9E6EAF"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0.314</w:t>
            </w:r>
          </w:p>
        </w:tc>
        <w:tc>
          <w:tcPr>
            <w:tcW w:w="1530" w:type="dxa"/>
            <w:tcBorders>
              <w:top w:val="nil"/>
              <w:left w:val="nil"/>
              <w:bottom w:val="nil"/>
              <w:right w:val="nil"/>
            </w:tcBorders>
          </w:tcPr>
          <w:p w14:paraId="3F08DFA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0.324</w:t>
            </w:r>
          </w:p>
        </w:tc>
      </w:tr>
      <w:tr w:rsidR="00DB6C99" w:rsidRPr="00DB6C99" w14:paraId="2D7A6AEF" w14:textId="77777777" w:rsidTr="007C344D">
        <w:tblPrEx>
          <w:tblBorders>
            <w:bottom w:val="single" w:sz="6" w:space="0" w:color="auto"/>
          </w:tblBorders>
        </w:tblPrEx>
        <w:trPr>
          <w:jc w:val="center"/>
        </w:trPr>
        <w:tc>
          <w:tcPr>
            <w:tcW w:w="2160" w:type="dxa"/>
            <w:tcBorders>
              <w:top w:val="nil"/>
              <w:left w:val="nil"/>
              <w:bottom w:val="single" w:sz="6" w:space="0" w:color="auto"/>
              <w:right w:val="nil"/>
            </w:tcBorders>
          </w:tcPr>
          <w:p w14:paraId="28C1CE01" w14:textId="77777777" w:rsidR="007C344D" w:rsidRPr="00DB6C99" w:rsidRDefault="007C344D" w:rsidP="007C344D">
            <w:pPr>
              <w:widowControl w:val="0"/>
              <w:autoSpaceDE w:val="0"/>
              <w:autoSpaceDN w:val="0"/>
              <w:adjustRightInd w:val="0"/>
              <w:spacing w:after="0" w:line="240" w:lineRule="auto"/>
              <w:rPr>
                <w:rFonts w:ascii="Garamond" w:hAnsi="Garamond"/>
                <w:i/>
                <w:iCs/>
                <w:sz w:val="20"/>
                <w:szCs w:val="20"/>
              </w:rPr>
            </w:pPr>
            <w:r w:rsidRPr="00DB6C99">
              <w:rPr>
                <w:rFonts w:ascii="Garamond" w:hAnsi="Garamond"/>
                <w:i/>
                <w:iCs/>
                <w:sz w:val="20"/>
                <w:szCs w:val="20"/>
              </w:rPr>
              <w:t>F-stat</w:t>
            </w:r>
          </w:p>
        </w:tc>
        <w:tc>
          <w:tcPr>
            <w:tcW w:w="1980" w:type="dxa"/>
            <w:tcBorders>
              <w:top w:val="nil"/>
              <w:left w:val="nil"/>
              <w:bottom w:val="single" w:sz="6" w:space="0" w:color="auto"/>
              <w:right w:val="nil"/>
            </w:tcBorders>
          </w:tcPr>
          <w:p w14:paraId="2E08B9B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15.23</w:t>
            </w:r>
          </w:p>
        </w:tc>
        <w:tc>
          <w:tcPr>
            <w:tcW w:w="1890" w:type="dxa"/>
            <w:tcBorders>
              <w:top w:val="nil"/>
              <w:left w:val="nil"/>
              <w:bottom w:val="single" w:sz="6" w:space="0" w:color="auto"/>
              <w:right w:val="nil"/>
            </w:tcBorders>
          </w:tcPr>
          <w:p w14:paraId="1FCA0BB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11.16</w:t>
            </w:r>
          </w:p>
        </w:tc>
        <w:tc>
          <w:tcPr>
            <w:tcW w:w="1800" w:type="dxa"/>
            <w:tcBorders>
              <w:top w:val="nil"/>
              <w:left w:val="nil"/>
              <w:bottom w:val="single" w:sz="6" w:space="0" w:color="auto"/>
              <w:right w:val="nil"/>
            </w:tcBorders>
          </w:tcPr>
          <w:p w14:paraId="252FF14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25.24</w:t>
            </w:r>
          </w:p>
        </w:tc>
        <w:tc>
          <w:tcPr>
            <w:tcW w:w="1530" w:type="dxa"/>
            <w:tcBorders>
              <w:top w:val="nil"/>
              <w:left w:val="nil"/>
              <w:bottom w:val="single" w:sz="6" w:space="0" w:color="auto"/>
              <w:right w:val="nil"/>
            </w:tcBorders>
          </w:tcPr>
          <w:p w14:paraId="3B46FD9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22.61</w:t>
            </w:r>
          </w:p>
        </w:tc>
      </w:tr>
    </w:tbl>
    <w:p w14:paraId="4C6522B3" w14:textId="77777777" w:rsidR="007C344D" w:rsidRPr="00DB6C99" w:rsidRDefault="007C344D" w:rsidP="007C344D">
      <w:pPr>
        <w:widowControl w:val="0"/>
        <w:kinsoku w:val="0"/>
        <w:overflowPunct w:val="0"/>
        <w:autoSpaceDE w:val="0"/>
        <w:autoSpaceDN w:val="0"/>
        <w:adjustRightInd w:val="0"/>
        <w:spacing w:after="0" w:line="240" w:lineRule="auto"/>
        <w:jc w:val="both"/>
        <w:rPr>
          <w:rFonts w:ascii="Garamond" w:hAnsi="Garamond"/>
          <w:sz w:val="20"/>
          <w:szCs w:val="18"/>
        </w:rPr>
      </w:pPr>
      <w:r w:rsidRPr="00DB6C99">
        <w:rPr>
          <w:rFonts w:ascii="Garamond" w:hAnsi="Garamond"/>
          <w:b/>
          <w:bCs/>
          <w:sz w:val="20"/>
          <w:szCs w:val="18"/>
        </w:rPr>
        <w:t>Note:</w:t>
      </w:r>
      <w:r w:rsidRPr="00DB6C99">
        <w:rPr>
          <w:rFonts w:ascii="Garamond" w:hAnsi="Garamond"/>
          <w:sz w:val="20"/>
          <w:szCs w:val="18"/>
        </w:rPr>
        <w:t xml:space="preserve"> *,**, *** Represent significance at 0.1, 0.05 and 0.01 levels, respectively. </w:t>
      </w:r>
      <w:r w:rsidRPr="00DB6C99">
        <w:rPr>
          <w:rFonts w:ascii="Garamond" w:hAnsi="Garamond"/>
          <w:sz w:val="20"/>
          <w:szCs w:val="20"/>
        </w:rPr>
        <w:t>T statistics are given in parenthesis.</w:t>
      </w:r>
    </w:p>
    <w:p w14:paraId="5EF0F8A1" w14:textId="77777777" w:rsidR="007C344D" w:rsidRPr="00DB6C99" w:rsidRDefault="007C344D" w:rsidP="007C344D">
      <w:pPr>
        <w:spacing w:after="0" w:line="240" w:lineRule="auto"/>
        <w:rPr>
          <w:rFonts w:ascii="Garamond" w:hAnsi="Garamond"/>
          <w:sz w:val="20"/>
          <w:szCs w:val="18"/>
        </w:rPr>
        <w:sectPr w:rsidR="007C344D" w:rsidRPr="00DB6C99" w:rsidSect="007C344D">
          <w:pgSz w:w="12240" w:h="15840"/>
          <w:pgMar w:top="1417" w:right="1417" w:bottom="1417" w:left="1417" w:header="720" w:footer="720" w:gutter="0"/>
          <w:cols w:space="720"/>
          <w:docGrid w:linePitch="360"/>
        </w:sectPr>
      </w:pPr>
      <w:r w:rsidRPr="00DB6C99">
        <w:rPr>
          <w:rFonts w:ascii="Garamond" w:hAnsi="Garamond"/>
          <w:sz w:val="20"/>
          <w:szCs w:val="18"/>
        </w:rPr>
        <w:t>All variables are as defined in Table 1.</w:t>
      </w:r>
    </w:p>
    <w:p w14:paraId="5D7F1CE4" w14:textId="77777777" w:rsidR="007C344D" w:rsidRPr="00DB6C99" w:rsidRDefault="007C344D" w:rsidP="007C344D">
      <w:pPr>
        <w:spacing w:after="0" w:line="240" w:lineRule="auto"/>
        <w:rPr>
          <w:rFonts w:ascii="Garamond" w:hAnsi="Garamond"/>
        </w:rPr>
      </w:pPr>
      <w:r w:rsidRPr="00DB6C99">
        <w:rPr>
          <w:rFonts w:ascii="Garamond" w:hAnsi="Garamond"/>
          <w:b/>
          <w:bCs/>
        </w:rPr>
        <w:lastRenderedPageBreak/>
        <w:t>Table 7:</w:t>
      </w:r>
      <w:r w:rsidRPr="00DB6C99">
        <w:rPr>
          <w:rFonts w:ascii="Garamond" w:hAnsi="Garamond"/>
          <w:spacing w:val="-1"/>
        </w:rPr>
        <w:t xml:space="preserve"> </w:t>
      </w:r>
      <w:r w:rsidRPr="00DB6C99">
        <w:rPr>
          <w:rFonts w:ascii="Garamond" w:hAnsi="Garamond"/>
        </w:rPr>
        <w:t>Female directors, information asymmetry and CSR gap</w:t>
      </w:r>
    </w:p>
    <w:tbl>
      <w:tblPr>
        <w:tblW w:w="11309" w:type="dxa"/>
        <w:jc w:val="center"/>
        <w:tblLayout w:type="fixed"/>
        <w:tblCellMar>
          <w:left w:w="75" w:type="dxa"/>
          <w:right w:w="75" w:type="dxa"/>
        </w:tblCellMar>
        <w:tblLook w:val="0000" w:firstRow="0" w:lastRow="0" w:firstColumn="0" w:lastColumn="0" w:noHBand="0" w:noVBand="0"/>
      </w:tblPr>
      <w:tblGrid>
        <w:gridCol w:w="1947"/>
        <w:gridCol w:w="1097"/>
        <w:gridCol w:w="1088"/>
        <w:gridCol w:w="1174"/>
        <w:gridCol w:w="1217"/>
        <w:gridCol w:w="1149"/>
        <w:gridCol w:w="1204"/>
        <w:gridCol w:w="1142"/>
        <w:gridCol w:w="1291"/>
      </w:tblGrid>
      <w:tr w:rsidR="00DB6C99" w:rsidRPr="00DB6C99" w14:paraId="52CA88A2" w14:textId="77777777" w:rsidTr="007C344D">
        <w:trPr>
          <w:jc w:val="center"/>
        </w:trPr>
        <w:tc>
          <w:tcPr>
            <w:tcW w:w="1947" w:type="dxa"/>
            <w:vMerge w:val="restart"/>
            <w:tcBorders>
              <w:top w:val="single" w:sz="6" w:space="0" w:color="auto"/>
              <w:left w:val="nil"/>
              <w:right w:val="nil"/>
            </w:tcBorders>
            <w:vAlign w:val="center"/>
          </w:tcPr>
          <w:p w14:paraId="70843FF3"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sz w:val="20"/>
                <w:szCs w:val="20"/>
              </w:rPr>
              <w:t>VARIABLES</w:t>
            </w:r>
          </w:p>
        </w:tc>
        <w:tc>
          <w:tcPr>
            <w:tcW w:w="2185" w:type="dxa"/>
            <w:gridSpan w:val="2"/>
            <w:tcBorders>
              <w:top w:val="single" w:sz="6" w:space="0" w:color="auto"/>
              <w:left w:val="nil"/>
              <w:bottom w:val="single" w:sz="6" w:space="0" w:color="auto"/>
              <w:right w:val="nil"/>
            </w:tcBorders>
          </w:tcPr>
          <w:p w14:paraId="1C96476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b/>
                <w:bCs/>
                <w:sz w:val="20"/>
                <w:szCs w:val="20"/>
              </w:rPr>
              <w:t>FE</w:t>
            </w:r>
          </w:p>
        </w:tc>
        <w:tc>
          <w:tcPr>
            <w:tcW w:w="2391" w:type="dxa"/>
            <w:gridSpan w:val="2"/>
            <w:tcBorders>
              <w:top w:val="single" w:sz="6" w:space="0" w:color="auto"/>
              <w:left w:val="nil"/>
              <w:bottom w:val="single" w:sz="6" w:space="0" w:color="auto"/>
              <w:right w:val="nil"/>
            </w:tcBorders>
          </w:tcPr>
          <w:p w14:paraId="4C3E63F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b/>
                <w:bCs/>
                <w:sz w:val="20"/>
                <w:szCs w:val="20"/>
              </w:rPr>
              <w:t>Lagged-FE</w:t>
            </w:r>
          </w:p>
        </w:tc>
        <w:tc>
          <w:tcPr>
            <w:tcW w:w="2353" w:type="dxa"/>
            <w:gridSpan w:val="2"/>
            <w:tcBorders>
              <w:top w:val="single" w:sz="6" w:space="0" w:color="auto"/>
              <w:left w:val="nil"/>
              <w:bottom w:val="single" w:sz="6" w:space="0" w:color="auto"/>
              <w:right w:val="nil"/>
            </w:tcBorders>
          </w:tcPr>
          <w:p w14:paraId="108E700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b/>
                <w:bCs/>
                <w:sz w:val="20"/>
                <w:szCs w:val="20"/>
              </w:rPr>
              <w:t>OLS</w:t>
            </w:r>
          </w:p>
        </w:tc>
        <w:tc>
          <w:tcPr>
            <w:tcW w:w="2433" w:type="dxa"/>
            <w:gridSpan w:val="2"/>
            <w:tcBorders>
              <w:top w:val="single" w:sz="6" w:space="0" w:color="auto"/>
              <w:left w:val="nil"/>
              <w:bottom w:val="single" w:sz="6" w:space="0" w:color="auto"/>
              <w:right w:val="nil"/>
            </w:tcBorders>
          </w:tcPr>
          <w:p w14:paraId="436D4A5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b/>
                <w:bCs/>
                <w:sz w:val="20"/>
                <w:szCs w:val="20"/>
              </w:rPr>
              <w:t>Lagged-OLS</w:t>
            </w:r>
          </w:p>
        </w:tc>
      </w:tr>
      <w:tr w:rsidR="00DB6C99" w:rsidRPr="00DB6C99" w14:paraId="4EA2C587" w14:textId="77777777" w:rsidTr="007C344D">
        <w:trPr>
          <w:jc w:val="center"/>
        </w:trPr>
        <w:tc>
          <w:tcPr>
            <w:tcW w:w="1947" w:type="dxa"/>
            <w:vMerge/>
            <w:tcBorders>
              <w:left w:val="nil"/>
              <w:bottom w:val="single" w:sz="6" w:space="0" w:color="auto"/>
              <w:right w:val="nil"/>
            </w:tcBorders>
          </w:tcPr>
          <w:p w14:paraId="3EE88731"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097" w:type="dxa"/>
            <w:tcBorders>
              <w:top w:val="single" w:sz="6" w:space="0" w:color="auto"/>
              <w:left w:val="nil"/>
              <w:bottom w:val="single" w:sz="6" w:space="0" w:color="auto"/>
              <w:right w:val="nil"/>
            </w:tcBorders>
          </w:tcPr>
          <w:p w14:paraId="7997428E" w14:textId="124973DB" w:rsidR="007C344D" w:rsidRPr="00DB6C99" w:rsidRDefault="00234E02" w:rsidP="007C344D">
            <w:pPr>
              <w:widowControl w:val="0"/>
              <w:autoSpaceDE w:val="0"/>
              <w:autoSpaceDN w:val="0"/>
              <w:adjustRightInd w:val="0"/>
              <w:spacing w:after="0" w:line="240" w:lineRule="auto"/>
              <w:jc w:val="center"/>
              <w:rPr>
                <w:rFonts w:ascii="Garamond" w:hAnsi="Garamond"/>
                <w:i/>
                <w:iCs/>
                <w:sz w:val="20"/>
                <w:szCs w:val="20"/>
              </w:rPr>
            </w:pPr>
            <w:r w:rsidRPr="00DB6C99">
              <w:rPr>
                <w:rFonts w:ascii="Garamond" w:hAnsi="Garamond"/>
                <w:i/>
                <w:iCs/>
                <w:sz w:val="20"/>
                <w:szCs w:val="20"/>
              </w:rPr>
              <w:t>AEM</w:t>
            </w:r>
          </w:p>
        </w:tc>
        <w:tc>
          <w:tcPr>
            <w:tcW w:w="1088" w:type="dxa"/>
            <w:tcBorders>
              <w:top w:val="single" w:sz="6" w:space="0" w:color="auto"/>
              <w:left w:val="nil"/>
              <w:bottom w:val="single" w:sz="6" w:space="0" w:color="auto"/>
              <w:right w:val="nil"/>
            </w:tcBorders>
          </w:tcPr>
          <w:p w14:paraId="3AE14709" w14:textId="77777777" w:rsidR="007C344D" w:rsidRPr="00DB6C99" w:rsidRDefault="007C344D" w:rsidP="007C344D">
            <w:pPr>
              <w:widowControl w:val="0"/>
              <w:autoSpaceDE w:val="0"/>
              <w:autoSpaceDN w:val="0"/>
              <w:adjustRightInd w:val="0"/>
              <w:spacing w:after="0" w:line="240" w:lineRule="auto"/>
              <w:jc w:val="center"/>
              <w:rPr>
                <w:rFonts w:ascii="Garamond" w:hAnsi="Garamond"/>
                <w:i/>
                <w:iCs/>
                <w:sz w:val="20"/>
                <w:szCs w:val="20"/>
              </w:rPr>
            </w:pPr>
            <w:r w:rsidRPr="00DB6C99">
              <w:rPr>
                <w:rFonts w:ascii="Garamond" w:hAnsi="Garamond"/>
                <w:i/>
                <w:iCs/>
                <w:sz w:val="20"/>
                <w:szCs w:val="20"/>
              </w:rPr>
              <w:t>GAP</w:t>
            </w:r>
          </w:p>
        </w:tc>
        <w:tc>
          <w:tcPr>
            <w:tcW w:w="1174" w:type="dxa"/>
            <w:tcBorders>
              <w:top w:val="single" w:sz="6" w:space="0" w:color="auto"/>
              <w:left w:val="nil"/>
              <w:bottom w:val="single" w:sz="6" w:space="0" w:color="auto"/>
              <w:right w:val="nil"/>
            </w:tcBorders>
          </w:tcPr>
          <w:p w14:paraId="6F6EEB13" w14:textId="04E934E0" w:rsidR="007C344D" w:rsidRPr="00DB6C99" w:rsidRDefault="00234E02" w:rsidP="007C344D">
            <w:pPr>
              <w:widowControl w:val="0"/>
              <w:autoSpaceDE w:val="0"/>
              <w:autoSpaceDN w:val="0"/>
              <w:adjustRightInd w:val="0"/>
              <w:spacing w:after="0" w:line="240" w:lineRule="auto"/>
              <w:jc w:val="center"/>
              <w:rPr>
                <w:rFonts w:ascii="Garamond" w:hAnsi="Garamond"/>
                <w:i/>
                <w:iCs/>
                <w:sz w:val="20"/>
                <w:szCs w:val="20"/>
              </w:rPr>
            </w:pPr>
            <w:r w:rsidRPr="00DB6C99">
              <w:rPr>
                <w:rFonts w:ascii="Garamond" w:hAnsi="Garamond"/>
                <w:i/>
                <w:iCs/>
                <w:sz w:val="20"/>
                <w:szCs w:val="20"/>
              </w:rPr>
              <w:t>AEM</w:t>
            </w:r>
          </w:p>
        </w:tc>
        <w:tc>
          <w:tcPr>
            <w:tcW w:w="1217" w:type="dxa"/>
            <w:tcBorders>
              <w:top w:val="single" w:sz="6" w:space="0" w:color="auto"/>
              <w:left w:val="nil"/>
              <w:bottom w:val="single" w:sz="6" w:space="0" w:color="auto"/>
              <w:right w:val="nil"/>
            </w:tcBorders>
          </w:tcPr>
          <w:p w14:paraId="0D3D2AB2" w14:textId="77777777" w:rsidR="007C344D" w:rsidRPr="00DB6C99" w:rsidRDefault="007C344D" w:rsidP="007C344D">
            <w:pPr>
              <w:widowControl w:val="0"/>
              <w:autoSpaceDE w:val="0"/>
              <w:autoSpaceDN w:val="0"/>
              <w:adjustRightInd w:val="0"/>
              <w:spacing w:after="0" w:line="240" w:lineRule="auto"/>
              <w:jc w:val="center"/>
              <w:rPr>
                <w:rFonts w:ascii="Garamond" w:hAnsi="Garamond"/>
                <w:i/>
                <w:iCs/>
                <w:sz w:val="20"/>
                <w:szCs w:val="20"/>
              </w:rPr>
            </w:pPr>
            <w:r w:rsidRPr="00DB6C99">
              <w:rPr>
                <w:rFonts w:ascii="Garamond" w:hAnsi="Garamond"/>
                <w:i/>
                <w:iCs/>
                <w:sz w:val="20"/>
                <w:szCs w:val="20"/>
              </w:rPr>
              <w:t>GAP</w:t>
            </w:r>
          </w:p>
        </w:tc>
        <w:tc>
          <w:tcPr>
            <w:tcW w:w="1149" w:type="dxa"/>
            <w:tcBorders>
              <w:top w:val="single" w:sz="6" w:space="0" w:color="auto"/>
              <w:left w:val="nil"/>
              <w:bottom w:val="single" w:sz="6" w:space="0" w:color="auto"/>
              <w:right w:val="nil"/>
            </w:tcBorders>
          </w:tcPr>
          <w:p w14:paraId="7E9BACA0" w14:textId="08D44B2B" w:rsidR="007C344D" w:rsidRPr="00DB6C99" w:rsidRDefault="00234E02" w:rsidP="007C344D">
            <w:pPr>
              <w:widowControl w:val="0"/>
              <w:autoSpaceDE w:val="0"/>
              <w:autoSpaceDN w:val="0"/>
              <w:adjustRightInd w:val="0"/>
              <w:spacing w:after="0" w:line="240" w:lineRule="auto"/>
              <w:jc w:val="center"/>
              <w:rPr>
                <w:rFonts w:ascii="Garamond" w:hAnsi="Garamond"/>
                <w:i/>
                <w:iCs/>
                <w:sz w:val="20"/>
                <w:szCs w:val="20"/>
              </w:rPr>
            </w:pPr>
            <w:r w:rsidRPr="00DB6C99">
              <w:rPr>
                <w:rFonts w:ascii="Garamond" w:hAnsi="Garamond"/>
                <w:i/>
                <w:iCs/>
                <w:sz w:val="20"/>
                <w:szCs w:val="20"/>
              </w:rPr>
              <w:t>AEM</w:t>
            </w:r>
          </w:p>
        </w:tc>
        <w:tc>
          <w:tcPr>
            <w:tcW w:w="1204" w:type="dxa"/>
            <w:tcBorders>
              <w:top w:val="single" w:sz="6" w:space="0" w:color="auto"/>
              <w:left w:val="nil"/>
              <w:bottom w:val="single" w:sz="6" w:space="0" w:color="auto"/>
              <w:right w:val="nil"/>
            </w:tcBorders>
          </w:tcPr>
          <w:p w14:paraId="353A7EA5" w14:textId="77777777" w:rsidR="007C344D" w:rsidRPr="00DB6C99" w:rsidRDefault="007C344D" w:rsidP="007C344D">
            <w:pPr>
              <w:widowControl w:val="0"/>
              <w:autoSpaceDE w:val="0"/>
              <w:autoSpaceDN w:val="0"/>
              <w:adjustRightInd w:val="0"/>
              <w:spacing w:after="0" w:line="240" w:lineRule="auto"/>
              <w:jc w:val="center"/>
              <w:rPr>
                <w:rFonts w:ascii="Garamond" w:hAnsi="Garamond"/>
                <w:i/>
                <w:iCs/>
                <w:sz w:val="20"/>
                <w:szCs w:val="20"/>
              </w:rPr>
            </w:pPr>
            <w:r w:rsidRPr="00DB6C99">
              <w:rPr>
                <w:rFonts w:ascii="Garamond" w:hAnsi="Garamond"/>
                <w:i/>
                <w:iCs/>
                <w:sz w:val="20"/>
                <w:szCs w:val="20"/>
              </w:rPr>
              <w:t>GAP</w:t>
            </w:r>
          </w:p>
        </w:tc>
        <w:tc>
          <w:tcPr>
            <w:tcW w:w="1142" w:type="dxa"/>
            <w:tcBorders>
              <w:top w:val="single" w:sz="6" w:space="0" w:color="auto"/>
              <w:left w:val="nil"/>
              <w:bottom w:val="single" w:sz="6" w:space="0" w:color="auto"/>
              <w:right w:val="nil"/>
            </w:tcBorders>
          </w:tcPr>
          <w:p w14:paraId="201957FC" w14:textId="0F68504A" w:rsidR="007C344D" w:rsidRPr="00DB6C99" w:rsidRDefault="00234E02" w:rsidP="007C344D">
            <w:pPr>
              <w:widowControl w:val="0"/>
              <w:autoSpaceDE w:val="0"/>
              <w:autoSpaceDN w:val="0"/>
              <w:adjustRightInd w:val="0"/>
              <w:spacing w:after="0" w:line="240" w:lineRule="auto"/>
              <w:jc w:val="center"/>
              <w:rPr>
                <w:rFonts w:ascii="Garamond" w:hAnsi="Garamond"/>
                <w:i/>
                <w:iCs/>
                <w:sz w:val="20"/>
                <w:szCs w:val="20"/>
              </w:rPr>
            </w:pPr>
            <w:r w:rsidRPr="00DB6C99">
              <w:rPr>
                <w:rFonts w:ascii="Garamond" w:hAnsi="Garamond"/>
                <w:i/>
                <w:iCs/>
                <w:sz w:val="20"/>
                <w:szCs w:val="20"/>
              </w:rPr>
              <w:t>AEM</w:t>
            </w:r>
          </w:p>
        </w:tc>
        <w:tc>
          <w:tcPr>
            <w:tcW w:w="1291" w:type="dxa"/>
            <w:tcBorders>
              <w:top w:val="single" w:sz="6" w:space="0" w:color="auto"/>
              <w:left w:val="nil"/>
              <w:bottom w:val="single" w:sz="6" w:space="0" w:color="auto"/>
              <w:right w:val="nil"/>
            </w:tcBorders>
          </w:tcPr>
          <w:p w14:paraId="07512270" w14:textId="77777777" w:rsidR="007C344D" w:rsidRPr="00DB6C99" w:rsidRDefault="007C344D" w:rsidP="007C344D">
            <w:pPr>
              <w:widowControl w:val="0"/>
              <w:autoSpaceDE w:val="0"/>
              <w:autoSpaceDN w:val="0"/>
              <w:adjustRightInd w:val="0"/>
              <w:spacing w:after="0" w:line="240" w:lineRule="auto"/>
              <w:jc w:val="center"/>
              <w:rPr>
                <w:rFonts w:ascii="Garamond" w:hAnsi="Garamond"/>
                <w:i/>
                <w:iCs/>
                <w:sz w:val="20"/>
                <w:szCs w:val="20"/>
              </w:rPr>
            </w:pPr>
            <w:r w:rsidRPr="00DB6C99">
              <w:rPr>
                <w:rFonts w:ascii="Garamond" w:hAnsi="Garamond"/>
                <w:i/>
                <w:iCs/>
                <w:sz w:val="20"/>
                <w:szCs w:val="20"/>
              </w:rPr>
              <w:t>GAP</w:t>
            </w:r>
          </w:p>
        </w:tc>
      </w:tr>
      <w:tr w:rsidR="00DB6C99" w:rsidRPr="00DB6C99" w14:paraId="5F1FD0B3" w14:textId="77777777" w:rsidTr="007C344D">
        <w:trPr>
          <w:jc w:val="center"/>
        </w:trPr>
        <w:tc>
          <w:tcPr>
            <w:tcW w:w="1947" w:type="dxa"/>
            <w:tcBorders>
              <w:top w:val="nil"/>
              <w:left w:val="nil"/>
              <w:bottom w:val="nil"/>
              <w:right w:val="nil"/>
            </w:tcBorders>
          </w:tcPr>
          <w:p w14:paraId="5580B7A4"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rPr>
              <w:t>FPRO</w:t>
            </w:r>
          </w:p>
        </w:tc>
        <w:tc>
          <w:tcPr>
            <w:tcW w:w="1097" w:type="dxa"/>
            <w:tcBorders>
              <w:top w:val="nil"/>
              <w:left w:val="nil"/>
              <w:bottom w:val="nil"/>
              <w:right w:val="nil"/>
            </w:tcBorders>
          </w:tcPr>
          <w:p w14:paraId="4611E22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-0.029***</w:t>
            </w:r>
          </w:p>
        </w:tc>
        <w:tc>
          <w:tcPr>
            <w:tcW w:w="1088" w:type="dxa"/>
            <w:tcBorders>
              <w:top w:val="nil"/>
              <w:left w:val="nil"/>
              <w:bottom w:val="nil"/>
              <w:right w:val="nil"/>
            </w:tcBorders>
          </w:tcPr>
          <w:p w14:paraId="371CAD6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-0.034</w:t>
            </w:r>
          </w:p>
        </w:tc>
        <w:tc>
          <w:tcPr>
            <w:tcW w:w="1174" w:type="dxa"/>
            <w:tcBorders>
              <w:top w:val="nil"/>
              <w:left w:val="nil"/>
              <w:bottom w:val="nil"/>
              <w:right w:val="nil"/>
            </w:tcBorders>
          </w:tcPr>
          <w:p w14:paraId="6235491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-0.014**</w:t>
            </w:r>
          </w:p>
        </w:tc>
        <w:tc>
          <w:tcPr>
            <w:tcW w:w="1217" w:type="dxa"/>
            <w:tcBorders>
              <w:top w:val="nil"/>
              <w:left w:val="nil"/>
              <w:bottom w:val="nil"/>
              <w:right w:val="nil"/>
            </w:tcBorders>
          </w:tcPr>
          <w:p w14:paraId="31410CA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-0.080</w:t>
            </w:r>
          </w:p>
        </w:tc>
        <w:tc>
          <w:tcPr>
            <w:tcW w:w="1149" w:type="dxa"/>
            <w:tcBorders>
              <w:top w:val="nil"/>
              <w:left w:val="nil"/>
              <w:bottom w:val="nil"/>
              <w:right w:val="nil"/>
            </w:tcBorders>
          </w:tcPr>
          <w:p w14:paraId="278F700F"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-0.023***</w:t>
            </w:r>
          </w:p>
        </w:tc>
        <w:tc>
          <w:tcPr>
            <w:tcW w:w="1204" w:type="dxa"/>
            <w:tcBorders>
              <w:top w:val="nil"/>
              <w:left w:val="nil"/>
              <w:bottom w:val="nil"/>
              <w:right w:val="nil"/>
            </w:tcBorders>
          </w:tcPr>
          <w:p w14:paraId="44CABFE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0.476***</w:t>
            </w:r>
          </w:p>
        </w:tc>
        <w:tc>
          <w:tcPr>
            <w:tcW w:w="1142" w:type="dxa"/>
            <w:tcBorders>
              <w:top w:val="nil"/>
              <w:left w:val="nil"/>
              <w:bottom w:val="nil"/>
              <w:right w:val="nil"/>
            </w:tcBorders>
          </w:tcPr>
          <w:p w14:paraId="31319DB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-0.019***</w:t>
            </w:r>
          </w:p>
        </w:tc>
        <w:tc>
          <w:tcPr>
            <w:tcW w:w="1291" w:type="dxa"/>
            <w:tcBorders>
              <w:top w:val="nil"/>
              <w:left w:val="nil"/>
              <w:bottom w:val="nil"/>
              <w:right w:val="nil"/>
            </w:tcBorders>
          </w:tcPr>
          <w:p w14:paraId="577C85A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0.534***</w:t>
            </w:r>
          </w:p>
        </w:tc>
      </w:tr>
      <w:tr w:rsidR="00DB6C99" w:rsidRPr="00DB6C99" w14:paraId="792279F5" w14:textId="77777777" w:rsidTr="007C344D">
        <w:trPr>
          <w:jc w:val="center"/>
        </w:trPr>
        <w:tc>
          <w:tcPr>
            <w:tcW w:w="1947" w:type="dxa"/>
            <w:tcBorders>
              <w:top w:val="nil"/>
              <w:left w:val="nil"/>
              <w:bottom w:val="nil"/>
              <w:right w:val="nil"/>
            </w:tcBorders>
          </w:tcPr>
          <w:p w14:paraId="629640FC"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097" w:type="dxa"/>
            <w:tcBorders>
              <w:top w:val="nil"/>
              <w:left w:val="nil"/>
              <w:bottom w:val="nil"/>
              <w:right w:val="nil"/>
            </w:tcBorders>
          </w:tcPr>
          <w:p w14:paraId="3947FB3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(-3.55)</w:t>
            </w:r>
          </w:p>
        </w:tc>
        <w:tc>
          <w:tcPr>
            <w:tcW w:w="1088" w:type="dxa"/>
            <w:tcBorders>
              <w:top w:val="nil"/>
              <w:left w:val="nil"/>
              <w:bottom w:val="nil"/>
              <w:right w:val="nil"/>
            </w:tcBorders>
          </w:tcPr>
          <w:p w14:paraId="197CFD2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(-0.19)</w:t>
            </w:r>
          </w:p>
        </w:tc>
        <w:tc>
          <w:tcPr>
            <w:tcW w:w="1174" w:type="dxa"/>
            <w:tcBorders>
              <w:top w:val="nil"/>
              <w:left w:val="nil"/>
              <w:bottom w:val="nil"/>
              <w:right w:val="nil"/>
            </w:tcBorders>
          </w:tcPr>
          <w:p w14:paraId="6B09171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(-2.08)</w:t>
            </w:r>
          </w:p>
        </w:tc>
        <w:tc>
          <w:tcPr>
            <w:tcW w:w="1217" w:type="dxa"/>
            <w:tcBorders>
              <w:top w:val="nil"/>
              <w:left w:val="nil"/>
              <w:bottom w:val="nil"/>
              <w:right w:val="nil"/>
            </w:tcBorders>
          </w:tcPr>
          <w:p w14:paraId="56C7973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(-0.40)</w:t>
            </w:r>
          </w:p>
        </w:tc>
        <w:tc>
          <w:tcPr>
            <w:tcW w:w="1149" w:type="dxa"/>
            <w:tcBorders>
              <w:top w:val="nil"/>
              <w:left w:val="nil"/>
              <w:bottom w:val="nil"/>
              <w:right w:val="nil"/>
            </w:tcBorders>
          </w:tcPr>
          <w:p w14:paraId="4201B68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(-4.57)</w:t>
            </w:r>
          </w:p>
        </w:tc>
        <w:tc>
          <w:tcPr>
            <w:tcW w:w="1204" w:type="dxa"/>
            <w:tcBorders>
              <w:top w:val="nil"/>
              <w:left w:val="nil"/>
              <w:bottom w:val="nil"/>
              <w:right w:val="nil"/>
            </w:tcBorders>
          </w:tcPr>
          <w:p w14:paraId="56C4622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(3.17)</w:t>
            </w:r>
          </w:p>
        </w:tc>
        <w:tc>
          <w:tcPr>
            <w:tcW w:w="1142" w:type="dxa"/>
            <w:tcBorders>
              <w:top w:val="nil"/>
              <w:left w:val="nil"/>
              <w:bottom w:val="nil"/>
              <w:right w:val="nil"/>
            </w:tcBorders>
          </w:tcPr>
          <w:p w14:paraId="46F6A82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(-4.29)</w:t>
            </w:r>
          </w:p>
        </w:tc>
        <w:tc>
          <w:tcPr>
            <w:tcW w:w="1291" w:type="dxa"/>
            <w:tcBorders>
              <w:top w:val="nil"/>
              <w:left w:val="nil"/>
              <w:bottom w:val="nil"/>
              <w:right w:val="nil"/>
            </w:tcBorders>
          </w:tcPr>
          <w:p w14:paraId="7F9E5B5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(3.23)</w:t>
            </w:r>
          </w:p>
        </w:tc>
      </w:tr>
      <w:tr w:rsidR="00DB6C99" w:rsidRPr="00DB6C99" w14:paraId="2B7C91FE" w14:textId="77777777" w:rsidTr="007C344D">
        <w:trPr>
          <w:jc w:val="center"/>
        </w:trPr>
        <w:tc>
          <w:tcPr>
            <w:tcW w:w="1947" w:type="dxa"/>
            <w:tcBorders>
              <w:top w:val="nil"/>
              <w:left w:val="nil"/>
              <w:bottom w:val="nil"/>
              <w:right w:val="nil"/>
            </w:tcBorders>
          </w:tcPr>
          <w:p w14:paraId="3AADA11E" w14:textId="3CE929B3" w:rsidR="007C344D" w:rsidRPr="00DB6C99" w:rsidRDefault="00234E02"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rPr>
              <w:t>AEM</w:t>
            </w:r>
          </w:p>
        </w:tc>
        <w:tc>
          <w:tcPr>
            <w:tcW w:w="1097" w:type="dxa"/>
            <w:tcBorders>
              <w:top w:val="nil"/>
              <w:left w:val="nil"/>
              <w:bottom w:val="nil"/>
              <w:right w:val="nil"/>
            </w:tcBorders>
          </w:tcPr>
          <w:p w14:paraId="320AD22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p>
        </w:tc>
        <w:tc>
          <w:tcPr>
            <w:tcW w:w="1088" w:type="dxa"/>
            <w:tcBorders>
              <w:top w:val="nil"/>
              <w:left w:val="nil"/>
              <w:bottom w:val="nil"/>
              <w:right w:val="nil"/>
            </w:tcBorders>
          </w:tcPr>
          <w:p w14:paraId="642C8B8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0.519**</w:t>
            </w:r>
          </w:p>
        </w:tc>
        <w:tc>
          <w:tcPr>
            <w:tcW w:w="1174" w:type="dxa"/>
            <w:tcBorders>
              <w:top w:val="nil"/>
              <w:left w:val="nil"/>
              <w:bottom w:val="nil"/>
              <w:right w:val="nil"/>
            </w:tcBorders>
          </w:tcPr>
          <w:p w14:paraId="1BF20C8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p>
        </w:tc>
        <w:tc>
          <w:tcPr>
            <w:tcW w:w="1217" w:type="dxa"/>
            <w:tcBorders>
              <w:top w:val="nil"/>
              <w:left w:val="nil"/>
              <w:bottom w:val="nil"/>
              <w:right w:val="nil"/>
            </w:tcBorders>
          </w:tcPr>
          <w:p w14:paraId="2FD7068F"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0.818***</w:t>
            </w:r>
          </w:p>
        </w:tc>
        <w:tc>
          <w:tcPr>
            <w:tcW w:w="1149" w:type="dxa"/>
            <w:tcBorders>
              <w:top w:val="nil"/>
              <w:left w:val="nil"/>
              <w:bottom w:val="nil"/>
              <w:right w:val="nil"/>
            </w:tcBorders>
          </w:tcPr>
          <w:p w14:paraId="6723774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p>
        </w:tc>
        <w:tc>
          <w:tcPr>
            <w:tcW w:w="1204" w:type="dxa"/>
            <w:tcBorders>
              <w:top w:val="nil"/>
              <w:left w:val="nil"/>
              <w:bottom w:val="nil"/>
              <w:right w:val="nil"/>
            </w:tcBorders>
          </w:tcPr>
          <w:p w14:paraId="56A4157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0.425*</w:t>
            </w:r>
          </w:p>
        </w:tc>
        <w:tc>
          <w:tcPr>
            <w:tcW w:w="1142" w:type="dxa"/>
            <w:tcBorders>
              <w:top w:val="nil"/>
              <w:left w:val="nil"/>
              <w:bottom w:val="nil"/>
              <w:right w:val="nil"/>
            </w:tcBorders>
          </w:tcPr>
          <w:p w14:paraId="6FD8704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p>
        </w:tc>
        <w:tc>
          <w:tcPr>
            <w:tcW w:w="1291" w:type="dxa"/>
            <w:tcBorders>
              <w:top w:val="nil"/>
              <w:left w:val="nil"/>
              <w:bottom w:val="nil"/>
              <w:right w:val="nil"/>
            </w:tcBorders>
          </w:tcPr>
          <w:p w14:paraId="5D589C9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0.672***</w:t>
            </w:r>
          </w:p>
        </w:tc>
      </w:tr>
      <w:tr w:rsidR="00DB6C99" w:rsidRPr="00DB6C99" w14:paraId="0A36E083" w14:textId="77777777" w:rsidTr="007C344D">
        <w:trPr>
          <w:jc w:val="center"/>
        </w:trPr>
        <w:tc>
          <w:tcPr>
            <w:tcW w:w="1947" w:type="dxa"/>
            <w:tcBorders>
              <w:top w:val="nil"/>
              <w:left w:val="nil"/>
              <w:bottom w:val="nil"/>
              <w:right w:val="nil"/>
            </w:tcBorders>
          </w:tcPr>
          <w:p w14:paraId="64F99324"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097" w:type="dxa"/>
            <w:tcBorders>
              <w:top w:val="nil"/>
              <w:left w:val="nil"/>
              <w:bottom w:val="nil"/>
              <w:right w:val="nil"/>
            </w:tcBorders>
          </w:tcPr>
          <w:p w14:paraId="558EAC0F"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p>
        </w:tc>
        <w:tc>
          <w:tcPr>
            <w:tcW w:w="1088" w:type="dxa"/>
            <w:tcBorders>
              <w:top w:val="nil"/>
              <w:left w:val="nil"/>
              <w:bottom w:val="nil"/>
              <w:right w:val="nil"/>
            </w:tcBorders>
          </w:tcPr>
          <w:p w14:paraId="5D6BAF7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(2.48)</w:t>
            </w:r>
          </w:p>
        </w:tc>
        <w:tc>
          <w:tcPr>
            <w:tcW w:w="1174" w:type="dxa"/>
            <w:tcBorders>
              <w:top w:val="nil"/>
              <w:left w:val="nil"/>
              <w:bottom w:val="nil"/>
              <w:right w:val="nil"/>
            </w:tcBorders>
          </w:tcPr>
          <w:p w14:paraId="07363C6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p>
        </w:tc>
        <w:tc>
          <w:tcPr>
            <w:tcW w:w="1217" w:type="dxa"/>
            <w:tcBorders>
              <w:top w:val="nil"/>
              <w:left w:val="nil"/>
              <w:bottom w:val="nil"/>
              <w:right w:val="nil"/>
            </w:tcBorders>
          </w:tcPr>
          <w:p w14:paraId="46B8C1D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(3.84)</w:t>
            </w:r>
          </w:p>
        </w:tc>
        <w:tc>
          <w:tcPr>
            <w:tcW w:w="1149" w:type="dxa"/>
            <w:tcBorders>
              <w:top w:val="nil"/>
              <w:left w:val="nil"/>
              <w:bottom w:val="nil"/>
              <w:right w:val="nil"/>
            </w:tcBorders>
          </w:tcPr>
          <w:p w14:paraId="38F04CD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p>
        </w:tc>
        <w:tc>
          <w:tcPr>
            <w:tcW w:w="1204" w:type="dxa"/>
            <w:tcBorders>
              <w:top w:val="nil"/>
              <w:left w:val="nil"/>
              <w:bottom w:val="nil"/>
              <w:right w:val="nil"/>
            </w:tcBorders>
          </w:tcPr>
          <w:p w14:paraId="75BF91E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(1.82)</w:t>
            </w:r>
          </w:p>
        </w:tc>
        <w:tc>
          <w:tcPr>
            <w:tcW w:w="1142" w:type="dxa"/>
            <w:tcBorders>
              <w:top w:val="nil"/>
              <w:left w:val="nil"/>
              <w:bottom w:val="nil"/>
              <w:right w:val="nil"/>
            </w:tcBorders>
          </w:tcPr>
          <w:p w14:paraId="514CB8D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p>
        </w:tc>
        <w:tc>
          <w:tcPr>
            <w:tcW w:w="1291" w:type="dxa"/>
            <w:tcBorders>
              <w:top w:val="nil"/>
              <w:left w:val="nil"/>
              <w:bottom w:val="nil"/>
              <w:right w:val="nil"/>
            </w:tcBorders>
          </w:tcPr>
          <w:p w14:paraId="075CB27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(2.73)</w:t>
            </w:r>
          </w:p>
        </w:tc>
      </w:tr>
      <w:tr w:rsidR="00DB6C99" w:rsidRPr="00DB6C99" w14:paraId="7E31CD2C" w14:textId="77777777" w:rsidTr="007C344D">
        <w:trPr>
          <w:jc w:val="center"/>
        </w:trPr>
        <w:tc>
          <w:tcPr>
            <w:tcW w:w="1947" w:type="dxa"/>
            <w:tcBorders>
              <w:top w:val="nil"/>
              <w:left w:val="nil"/>
              <w:bottom w:val="nil"/>
              <w:right w:val="nil"/>
            </w:tcBorders>
          </w:tcPr>
          <w:p w14:paraId="764FC94B" w14:textId="6903DA90"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rPr>
              <w:t xml:space="preserve">FPRO </w:t>
            </w:r>
            <w:r w:rsidRPr="00DB6C99">
              <w:rPr>
                <w:rFonts w:ascii="Garamond" w:hAnsi="Garamond"/>
                <w:i/>
                <w:iCs/>
                <w:sz w:val="20"/>
                <w:szCs w:val="20"/>
                <w:highlight w:val="lightGray"/>
              </w:rPr>
              <w:t>X</w:t>
            </w:r>
            <w:r w:rsidRPr="00DB6C99">
              <w:rPr>
                <w:rFonts w:ascii="Garamond" w:hAnsi="Garamond"/>
                <w:i/>
                <w:iCs/>
                <w:sz w:val="20"/>
                <w:szCs w:val="20"/>
              </w:rPr>
              <w:t xml:space="preserve"> </w:t>
            </w:r>
            <w:r w:rsidR="00234E02" w:rsidRPr="00DB6C99">
              <w:rPr>
                <w:rFonts w:ascii="Garamond" w:hAnsi="Garamond"/>
                <w:i/>
                <w:iCs/>
                <w:sz w:val="20"/>
                <w:szCs w:val="20"/>
              </w:rPr>
              <w:t>AEM</w:t>
            </w:r>
          </w:p>
        </w:tc>
        <w:tc>
          <w:tcPr>
            <w:tcW w:w="1097" w:type="dxa"/>
            <w:tcBorders>
              <w:top w:val="nil"/>
              <w:left w:val="nil"/>
              <w:bottom w:val="nil"/>
              <w:right w:val="nil"/>
            </w:tcBorders>
          </w:tcPr>
          <w:p w14:paraId="6DEA3BE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p>
        </w:tc>
        <w:tc>
          <w:tcPr>
            <w:tcW w:w="1088" w:type="dxa"/>
            <w:tcBorders>
              <w:top w:val="nil"/>
              <w:left w:val="nil"/>
              <w:bottom w:val="nil"/>
              <w:right w:val="nil"/>
            </w:tcBorders>
          </w:tcPr>
          <w:p w14:paraId="4E09F2B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-4.502**</w:t>
            </w:r>
          </w:p>
        </w:tc>
        <w:tc>
          <w:tcPr>
            <w:tcW w:w="1174" w:type="dxa"/>
            <w:tcBorders>
              <w:top w:val="nil"/>
              <w:left w:val="nil"/>
              <w:bottom w:val="nil"/>
              <w:right w:val="nil"/>
            </w:tcBorders>
          </w:tcPr>
          <w:p w14:paraId="6EB0A3C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p>
        </w:tc>
        <w:tc>
          <w:tcPr>
            <w:tcW w:w="1217" w:type="dxa"/>
            <w:tcBorders>
              <w:top w:val="nil"/>
              <w:left w:val="nil"/>
              <w:bottom w:val="nil"/>
              <w:right w:val="nil"/>
            </w:tcBorders>
          </w:tcPr>
          <w:p w14:paraId="0986FE1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-6.475***</w:t>
            </w:r>
          </w:p>
        </w:tc>
        <w:tc>
          <w:tcPr>
            <w:tcW w:w="1149" w:type="dxa"/>
            <w:tcBorders>
              <w:top w:val="nil"/>
              <w:left w:val="nil"/>
              <w:bottom w:val="nil"/>
              <w:right w:val="nil"/>
            </w:tcBorders>
          </w:tcPr>
          <w:p w14:paraId="1ACE0C8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p>
        </w:tc>
        <w:tc>
          <w:tcPr>
            <w:tcW w:w="1204" w:type="dxa"/>
            <w:tcBorders>
              <w:top w:val="nil"/>
              <w:left w:val="nil"/>
              <w:bottom w:val="nil"/>
              <w:right w:val="nil"/>
            </w:tcBorders>
          </w:tcPr>
          <w:p w14:paraId="6DC3408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-4.436**</w:t>
            </w:r>
          </w:p>
        </w:tc>
        <w:tc>
          <w:tcPr>
            <w:tcW w:w="1142" w:type="dxa"/>
            <w:tcBorders>
              <w:top w:val="nil"/>
              <w:left w:val="nil"/>
              <w:bottom w:val="nil"/>
              <w:right w:val="nil"/>
            </w:tcBorders>
          </w:tcPr>
          <w:p w14:paraId="7690533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p>
        </w:tc>
        <w:tc>
          <w:tcPr>
            <w:tcW w:w="1291" w:type="dxa"/>
            <w:tcBorders>
              <w:top w:val="nil"/>
              <w:left w:val="nil"/>
              <w:bottom w:val="nil"/>
              <w:right w:val="nil"/>
            </w:tcBorders>
          </w:tcPr>
          <w:p w14:paraId="19D43CE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-4.804**</w:t>
            </w:r>
          </w:p>
        </w:tc>
      </w:tr>
      <w:tr w:rsidR="00DB6C99" w:rsidRPr="00DB6C99" w14:paraId="2134E0AC" w14:textId="77777777" w:rsidTr="007C344D">
        <w:trPr>
          <w:jc w:val="center"/>
        </w:trPr>
        <w:tc>
          <w:tcPr>
            <w:tcW w:w="1947" w:type="dxa"/>
            <w:tcBorders>
              <w:top w:val="nil"/>
              <w:left w:val="nil"/>
              <w:bottom w:val="nil"/>
              <w:right w:val="nil"/>
            </w:tcBorders>
          </w:tcPr>
          <w:p w14:paraId="57990DF7"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097" w:type="dxa"/>
            <w:tcBorders>
              <w:top w:val="nil"/>
              <w:left w:val="nil"/>
              <w:bottom w:val="nil"/>
              <w:right w:val="nil"/>
            </w:tcBorders>
          </w:tcPr>
          <w:p w14:paraId="25B995A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p>
        </w:tc>
        <w:tc>
          <w:tcPr>
            <w:tcW w:w="1088" w:type="dxa"/>
            <w:tcBorders>
              <w:top w:val="nil"/>
              <w:left w:val="nil"/>
              <w:bottom w:val="nil"/>
              <w:right w:val="nil"/>
            </w:tcBorders>
          </w:tcPr>
          <w:p w14:paraId="5BAFB24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(-2.32)</w:t>
            </w:r>
          </w:p>
        </w:tc>
        <w:tc>
          <w:tcPr>
            <w:tcW w:w="1174" w:type="dxa"/>
            <w:tcBorders>
              <w:top w:val="nil"/>
              <w:left w:val="nil"/>
              <w:bottom w:val="nil"/>
              <w:right w:val="nil"/>
            </w:tcBorders>
          </w:tcPr>
          <w:p w14:paraId="7E5698D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p>
        </w:tc>
        <w:tc>
          <w:tcPr>
            <w:tcW w:w="1217" w:type="dxa"/>
            <w:tcBorders>
              <w:top w:val="nil"/>
              <w:left w:val="nil"/>
              <w:bottom w:val="nil"/>
              <w:right w:val="nil"/>
            </w:tcBorders>
          </w:tcPr>
          <w:p w14:paraId="5B317A0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(-2.98)</w:t>
            </w:r>
          </w:p>
        </w:tc>
        <w:tc>
          <w:tcPr>
            <w:tcW w:w="1149" w:type="dxa"/>
            <w:tcBorders>
              <w:top w:val="nil"/>
              <w:left w:val="nil"/>
              <w:bottom w:val="nil"/>
              <w:right w:val="nil"/>
            </w:tcBorders>
          </w:tcPr>
          <w:p w14:paraId="1422E17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p>
        </w:tc>
        <w:tc>
          <w:tcPr>
            <w:tcW w:w="1204" w:type="dxa"/>
            <w:tcBorders>
              <w:top w:val="nil"/>
              <w:left w:val="nil"/>
              <w:bottom w:val="nil"/>
              <w:right w:val="nil"/>
            </w:tcBorders>
          </w:tcPr>
          <w:p w14:paraId="19306F4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(-2.38)</w:t>
            </w:r>
          </w:p>
        </w:tc>
        <w:tc>
          <w:tcPr>
            <w:tcW w:w="1142" w:type="dxa"/>
            <w:tcBorders>
              <w:top w:val="nil"/>
              <w:left w:val="nil"/>
              <w:bottom w:val="nil"/>
              <w:right w:val="nil"/>
            </w:tcBorders>
          </w:tcPr>
          <w:p w14:paraId="722A5AA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p>
        </w:tc>
        <w:tc>
          <w:tcPr>
            <w:tcW w:w="1291" w:type="dxa"/>
            <w:tcBorders>
              <w:top w:val="nil"/>
              <w:left w:val="nil"/>
              <w:bottom w:val="nil"/>
              <w:right w:val="nil"/>
            </w:tcBorders>
          </w:tcPr>
          <w:p w14:paraId="5DE47A4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(-2.31)</w:t>
            </w:r>
          </w:p>
        </w:tc>
      </w:tr>
      <w:tr w:rsidR="00DB6C99" w:rsidRPr="00DB6C99" w14:paraId="2FA3E6C2" w14:textId="77777777" w:rsidTr="007C344D">
        <w:trPr>
          <w:jc w:val="center"/>
        </w:trPr>
        <w:tc>
          <w:tcPr>
            <w:tcW w:w="1947" w:type="dxa"/>
            <w:tcBorders>
              <w:top w:val="nil"/>
              <w:left w:val="nil"/>
              <w:bottom w:val="nil"/>
              <w:right w:val="nil"/>
            </w:tcBorders>
          </w:tcPr>
          <w:p w14:paraId="049BF444"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rPr>
              <w:t>BSIZE</w:t>
            </w:r>
          </w:p>
        </w:tc>
        <w:tc>
          <w:tcPr>
            <w:tcW w:w="1097" w:type="dxa"/>
            <w:tcBorders>
              <w:top w:val="nil"/>
              <w:left w:val="nil"/>
              <w:bottom w:val="nil"/>
              <w:right w:val="nil"/>
            </w:tcBorders>
          </w:tcPr>
          <w:p w14:paraId="6DF676A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0.005</w:t>
            </w:r>
          </w:p>
        </w:tc>
        <w:tc>
          <w:tcPr>
            <w:tcW w:w="1088" w:type="dxa"/>
            <w:tcBorders>
              <w:top w:val="nil"/>
              <w:left w:val="nil"/>
              <w:bottom w:val="nil"/>
              <w:right w:val="nil"/>
            </w:tcBorders>
          </w:tcPr>
          <w:p w14:paraId="23327CA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-0.059</w:t>
            </w:r>
          </w:p>
        </w:tc>
        <w:tc>
          <w:tcPr>
            <w:tcW w:w="1174" w:type="dxa"/>
            <w:tcBorders>
              <w:top w:val="nil"/>
              <w:left w:val="nil"/>
              <w:bottom w:val="nil"/>
              <w:right w:val="nil"/>
            </w:tcBorders>
          </w:tcPr>
          <w:p w14:paraId="62E4A49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-0.006</w:t>
            </w:r>
          </w:p>
        </w:tc>
        <w:tc>
          <w:tcPr>
            <w:tcW w:w="1217" w:type="dxa"/>
            <w:tcBorders>
              <w:top w:val="nil"/>
              <w:left w:val="nil"/>
              <w:bottom w:val="nil"/>
              <w:right w:val="nil"/>
            </w:tcBorders>
          </w:tcPr>
          <w:p w14:paraId="788A850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0.025</w:t>
            </w:r>
          </w:p>
        </w:tc>
        <w:tc>
          <w:tcPr>
            <w:tcW w:w="1149" w:type="dxa"/>
            <w:tcBorders>
              <w:top w:val="nil"/>
              <w:left w:val="nil"/>
              <w:bottom w:val="nil"/>
              <w:right w:val="nil"/>
            </w:tcBorders>
          </w:tcPr>
          <w:p w14:paraId="751F21E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0.004</w:t>
            </w:r>
          </w:p>
        </w:tc>
        <w:tc>
          <w:tcPr>
            <w:tcW w:w="1204" w:type="dxa"/>
            <w:tcBorders>
              <w:top w:val="nil"/>
              <w:left w:val="nil"/>
              <w:bottom w:val="nil"/>
              <w:right w:val="nil"/>
            </w:tcBorders>
          </w:tcPr>
          <w:p w14:paraId="4664A78F"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0.211***</w:t>
            </w:r>
          </w:p>
        </w:tc>
        <w:tc>
          <w:tcPr>
            <w:tcW w:w="1142" w:type="dxa"/>
            <w:tcBorders>
              <w:top w:val="nil"/>
              <w:left w:val="nil"/>
              <w:bottom w:val="nil"/>
              <w:right w:val="nil"/>
            </w:tcBorders>
          </w:tcPr>
          <w:p w14:paraId="1E7CF08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-0.000</w:t>
            </w:r>
          </w:p>
        </w:tc>
        <w:tc>
          <w:tcPr>
            <w:tcW w:w="1291" w:type="dxa"/>
            <w:tcBorders>
              <w:top w:val="nil"/>
              <w:left w:val="nil"/>
              <w:bottom w:val="nil"/>
              <w:right w:val="nil"/>
            </w:tcBorders>
          </w:tcPr>
          <w:p w14:paraId="3A24C4EF"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0.262***</w:t>
            </w:r>
          </w:p>
        </w:tc>
      </w:tr>
      <w:tr w:rsidR="00DB6C99" w:rsidRPr="00DB6C99" w14:paraId="37CE8961" w14:textId="77777777" w:rsidTr="007C344D">
        <w:trPr>
          <w:jc w:val="center"/>
        </w:trPr>
        <w:tc>
          <w:tcPr>
            <w:tcW w:w="1947" w:type="dxa"/>
            <w:tcBorders>
              <w:top w:val="nil"/>
              <w:left w:val="nil"/>
              <w:bottom w:val="nil"/>
              <w:right w:val="nil"/>
            </w:tcBorders>
          </w:tcPr>
          <w:p w14:paraId="3DD86377"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097" w:type="dxa"/>
            <w:tcBorders>
              <w:top w:val="nil"/>
              <w:left w:val="nil"/>
              <w:bottom w:val="nil"/>
              <w:right w:val="nil"/>
            </w:tcBorders>
          </w:tcPr>
          <w:p w14:paraId="316C8E8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(1.28)</w:t>
            </w:r>
          </w:p>
        </w:tc>
        <w:tc>
          <w:tcPr>
            <w:tcW w:w="1088" w:type="dxa"/>
            <w:tcBorders>
              <w:top w:val="nil"/>
              <w:left w:val="nil"/>
              <w:bottom w:val="nil"/>
              <w:right w:val="nil"/>
            </w:tcBorders>
          </w:tcPr>
          <w:p w14:paraId="2CA53AD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(-0.93)</w:t>
            </w:r>
          </w:p>
        </w:tc>
        <w:tc>
          <w:tcPr>
            <w:tcW w:w="1174" w:type="dxa"/>
            <w:tcBorders>
              <w:top w:val="nil"/>
              <w:left w:val="nil"/>
              <w:bottom w:val="nil"/>
              <w:right w:val="nil"/>
            </w:tcBorders>
          </w:tcPr>
          <w:p w14:paraId="59CE595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(-1.64)</w:t>
            </w:r>
          </w:p>
        </w:tc>
        <w:tc>
          <w:tcPr>
            <w:tcW w:w="1217" w:type="dxa"/>
            <w:tcBorders>
              <w:top w:val="nil"/>
              <w:left w:val="nil"/>
              <w:bottom w:val="nil"/>
              <w:right w:val="nil"/>
            </w:tcBorders>
          </w:tcPr>
          <w:p w14:paraId="5C462A4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(0.37)</w:t>
            </w:r>
          </w:p>
        </w:tc>
        <w:tc>
          <w:tcPr>
            <w:tcW w:w="1149" w:type="dxa"/>
            <w:tcBorders>
              <w:top w:val="nil"/>
              <w:left w:val="nil"/>
              <w:bottom w:val="nil"/>
              <w:right w:val="nil"/>
            </w:tcBorders>
          </w:tcPr>
          <w:p w14:paraId="0AD0F78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(1.41)</w:t>
            </w:r>
          </w:p>
        </w:tc>
        <w:tc>
          <w:tcPr>
            <w:tcW w:w="1204" w:type="dxa"/>
            <w:tcBorders>
              <w:top w:val="nil"/>
              <w:left w:val="nil"/>
              <w:bottom w:val="nil"/>
              <w:right w:val="nil"/>
            </w:tcBorders>
          </w:tcPr>
          <w:p w14:paraId="0DB4DB0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(4.73)</w:t>
            </w:r>
          </w:p>
        </w:tc>
        <w:tc>
          <w:tcPr>
            <w:tcW w:w="1142" w:type="dxa"/>
            <w:tcBorders>
              <w:top w:val="nil"/>
              <w:left w:val="nil"/>
              <w:bottom w:val="nil"/>
              <w:right w:val="nil"/>
            </w:tcBorders>
          </w:tcPr>
          <w:p w14:paraId="6E442F8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(-0.08)</w:t>
            </w:r>
          </w:p>
        </w:tc>
        <w:tc>
          <w:tcPr>
            <w:tcW w:w="1291" w:type="dxa"/>
            <w:tcBorders>
              <w:top w:val="nil"/>
              <w:left w:val="nil"/>
              <w:bottom w:val="nil"/>
              <w:right w:val="nil"/>
            </w:tcBorders>
          </w:tcPr>
          <w:p w14:paraId="48DF410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(5.41)</w:t>
            </w:r>
          </w:p>
        </w:tc>
      </w:tr>
      <w:tr w:rsidR="00DB6C99" w:rsidRPr="00DB6C99" w14:paraId="1A956331" w14:textId="77777777" w:rsidTr="007C344D">
        <w:trPr>
          <w:jc w:val="center"/>
        </w:trPr>
        <w:tc>
          <w:tcPr>
            <w:tcW w:w="1947" w:type="dxa"/>
            <w:tcBorders>
              <w:top w:val="nil"/>
              <w:left w:val="nil"/>
              <w:bottom w:val="nil"/>
              <w:right w:val="nil"/>
            </w:tcBorders>
          </w:tcPr>
          <w:p w14:paraId="09790DEE"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rPr>
              <w:t>BIND</w:t>
            </w:r>
          </w:p>
        </w:tc>
        <w:tc>
          <w:tcPr>
            <w:tcW w:w="1097" w:type="dxa"/>
            <w:tcBorders>
              <w:top w:val="nil"/>
              <w:left w:val="nil"/>
              <w:bottom w:val="nil"/>
              <w:right w:val="nil"/>
            </w:tcBorders>
          </w:tcPr>
          <w:p w14:paraId="0418261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0.003</w:t>
            </w:r>
          </w:p>
        </w:tc>
        <w:tc>
          <w:tcPr>
            <w:tcW w:w="1088" w:type="dxa"/>
            <w:tcBorders>
              <w:top w:val="nil"/>
              <w:left w:val="nil"/>
              <w:bottom w:val="nil"/>
              <w:right w:val="nil"/>
            </w:tcBorders>
          </w:tcPr>
          <w:p w14:paraId="2D796CB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-0.202</w:t>
            </w:r>
          </w:p>
        </w:tc>
        <w:tc>
          <w:tcPr>
            <w:tcW w:w="1174" w:type="dxa"/>
            <w:tcBorders>
              <w:top w:val="nil"/>
              <w:left w:val="nil"/>
              <w:bottom w:val="nil"/>
              <w:right w:val="nil"/>
            </w:tcBorders>
          </w:tcPr>
          <w:p w14:paraId="264D4D3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-0.007</w:t>
            </w:r>
          </w:p>
        </w:tc>
        <w:tc>
          <w:tcPr>
            <w:tcW w:w="1217" w:type="dxa"/>
            <w:tcBorders>
              <w:top w:val="nil"/>
              <w:left w:val="nil"/>
              <w:bottom w:val="nil"/>
              <w:right w:val="nil"/>
            </w:tcBorders>
          </w:tcPr>
          <w:p w14:paraId="7E98773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-0.452**</w:t>
            </w:r>
          </w:p>
        </w:tc>
        <w:tc>
          <w:tcPr>
            <w:tcW w:w="1149" w:type="dxa"/>
            <w:tcBorders>
              <w:top w:val="nil"/>
              <w:left w:val="nil"/>
              <w:bottom w:val="nil"/>
              <w:right w:val="nil"/>
            </w:tcBorders>
          </w:tcPr>
          <w:p w14:paraId="3A23892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0.012*</w:t>
            </w:r>
          </w:p>
        </w:tc>
        <w:tc>
          <w:tcPr>
            <w:tcW w:w="1204" w:type="dxa"/>
            <w:tcBorders>
              <w:top w:val="nil"/>
              <w:left w:val="nil"/>
              <w:bottom w:val="nil"/>
              <w:right w:val="nil"/>
            </w:tcBorders>
          </w:tcPr>
          <w:p w14:paraId="00523C5F"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-0.284**</w:t>
            </w:r>
          </w:p>
        </w:tc>
        <w:tc>
          <w:tcPr>
            <w:tcW w:w="1142" w:type="dxa"/>
            <w:tcBorders>
              <w:top w:val="nil"/>
              <w:left w:val="nil"/>
              <w:bottom w:val="nil"/>
              <w:right w:val="nil"/>
            </w:tcBorders>
          </w:tcPr>
          <w:p w14:paraId="6DE2C4C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0.007</w:t>
            </w:r>
          </w:p>
        </w:tc>
        <w:tc>
          <w:tcPr>
            <w:tcW w:w="1291" w:type="dxa"/>
            <w:tcBorders>
              <w:top w:val="nil"/>
              <w:left w:val="nil"/>
              <w:bottom w:val="nil"/>
              <w:right w:val="nil"/>
            </w:tcBorders>
          </w:tcPr>
          <w:p w14:paraId="2FA2FB7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-0.297**</w:t>
            </w:r>
          </w:p>
        </w:tc>
      </w:tr>
      <w:tr w:rsidR="00DB6C99" w:rsidRPr="00DB6C99" w14:paraId="63C8B139" w14:textId="77777777" w:rsidTr="007C344D">
        <w:trPr>
          <w:jc w:val="center"/>
        </w:trPr>
        <w:tc>
          <w:tcPr>
            <w:tcW w:w="1947" w:type="dxa"/>
            <w:tcBorders>
              <w:top w:val="nil"/>
              <w:left w:val="nil"/>
              <w:bottom w:val="nil"/>
              <w:right w:val="nil"/>
            </w:tcBorders>
          </w:tcPr>
          <w:p w14:paraId="700AFE4D"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097" w:type="dxa"/>
            <w:tcBorders>
              <w:top w:val="nil"/>
              <w:left w:val="nil"/>
              <w:bottom w:val="nil"/>
              <w:right w:val="nil"/>
            </w:tcBorders>
          </w:tcPr>
          <w:p w14:paraId="70CAD65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(0.30)</w:t>
            </w:r>
          </w:p>
        </w:tc>
        <w:tc>
          <w:tcPr>
            <w:tcW w:w="1088" w:type="dxa"/>
            <w:tcBorders>
              <w:top w:val="nil"/>
              <w:left w:val="nil"/>
              <w:bottom w:val="nil"/>
              <w:right w:val="nil"/>
            </w:tcBorders>
          </w:tcPr>
          <w:p w14:paraId="308CD57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(-1.22)</w:t>
            </w:r>
          </w:p>
        </w:tc>
        <w:tc>
          <w:tcPr>
            <w:tcW w:w="1174" w:type="dxa"/>
            <w:tcBorders>
              <w:top w:val="nil"/>
              <w:left w:val="nil"/>
              <w:bottom w:val="nil"/>
              <w:right w:val="nil"/>
            </w:tcBorders>
          </w:tcPr>
          <w:p w14:paraId="25E7043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(-0.82)</w:t>
            </w:r>
          </w:p>
        </w:tc>
        <w:tc>
          <w:tcPr>
            <w:tcW w:w="1217" w:type="dxa"/>
            <w:tcBorders>
              <w:top w:val="nil"/>
              <w:left w:val="nil"/>
              <w:bottom w:val="nil"/>
              <w:right w:val="nil"/>
            </w:tcBorders>
          </w:tcPr>
          <w:p w14:paraId="2A986ED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(-2.54)</w:t>
            </w:r>
          </w:p>
        </w:tc>
        <w:tc>
          <w:tcPr>
            <w:tcW w:w="1149" w:type="dxa"/>
            <w:tcBorders>
              <w:top w:val="nil"/>
              <w:left w:val="nil"/>
              <w:bottom w:val="nil"/>
              <w:right w:val="nil"/>
            </w:tcBorders>
          </w:tcPr>
          <w:p w14:paraId="34E214C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(1.77)</w:t>
            </w:r>
          </w:p>
        </w:tc>
        <w:tc>
          <w:tcPr>
            <w:tcW w:w="1204" w:type="dxa"/>
            <w:tcBorders>
              <w:top w:val="nil"/>
              <w:left w:val="nil"/>
              <w:bottom w:val="nil"/>
              <w:right w:val="nil"/>
            </w:tcBorders>
          </w:tcPr>
          <w:p w14:paraId="6044509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(-2.41)</w:t>
            </w:r>
          </w:p>
        </w:tc>
        <w:tc>
          <w:tcPr>
            <w:tcW w:w="1142" w:type="dxa"/>
            <w:tcBorders>
              <w:top w:val="nil"/>
              <w:left w:val="nil"/>
              <w:bottom w:val="nil"/>
              <w:right w:val="nil"/>
            </w:tcBorders>
          </w:tcPr>
          <w:p w14:paraId="37D3939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(1.12)</w:t>
            </w:r>
          </w:p>
        </w:tc>
        <w:tc>
          <w:tcPr>
            <w:tcW w:w="1291" w:type="dxa"/>
            <w:tcBorders>
              <w:top w:val="nil"/>
              <w:left w:val="nil"/>
              <w:bottom w:val="nil"/>
              <w:right w:val="nil"/>
            </w:tcBorders>
          </w:tcPr>
          <w:p w14:paraId="4AD18AD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(-2.36)</w:t>
            </w:r>
          </w:p>
        </w:tc>
      </w:tr>
      <w:tr w:rsidR="00DB6C99" w:rsidRPr="00DB6C99" w14:paraId="301CA15D" w14:textId="77777777" w:rsidTr="007C344D">
        <w:trPr>
          <w:jc w:val="center"/>
        </w:trPr>
        <w:tc>
          <w:tcPr>
            <w:tcW w:w="1947" w:type="dxa"/>
            <w:tcBorders>
              <w:top w:val="nil"/>
              <w:left w:val="nil"/>
              <w:bottom w:val="nil"/>
              <w:right w:val="nil"/>
            </w:tcBorders>
          </w:tcPr>
          <w:p w14:paraId="2543C45B"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rPr>
              <w:t>BMEET</w:t>
            </w:r>
          </w:p>
        </w:tc>
        <w:tc>
          <w:tcPr>
            <w:tcW w:w="1097" w:type="dxa"/>
            <w:tcBorders>
              <w:top w:val="nil"/>
              <w:left w:val="nil"/>
              <w:bottom w:val="nil"/>
              <w:right w:val="nil"/>
            </w:tcBorders>
          </w:tcPr>
          <w:p w14:paraId="33D0991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0.001</w:t>
            </w:r>
          </w:p>
        </w:tc>
        <w:tc>
          <w:tcPr>
            <w:tcW w:w="1088" w:type="dxa"/>
            <w:tcBorders>
              <w:top w:val="nil"/>
              <w:left w:val="nil"/>
              <w:bottom w:val="nil"/>
              <w:right w:val="nil"/>
            </w:tcBorders>
          </w:tcPr>
          <w:p w14:paraId="648D225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-0.071***</w:t>
            </w:r>
          </w:p>
        </w:tc>
        <w:tc>
          <w:tcPr>
            <w:tcW w:w="1174" w:type="dxa"/>
            <w:tcBorders>
              <w:top w:val="nil"/>
              <w:left w:val="nil"/>
              <w:bottom w:val="nil"/>
              <w:right w:val="nil"/>
            </w:tcBorders>
          </w:tcPr>
          <w:p w14:paraId="156BB63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0.003**</w:t>
            </w:r>
          </w:p>
        </w:tc>
        <w:tc>
          <w:tcPr>
            <w:tcW w:w="1217" w:type="dxa"/>
            <w:tcBorders>
              <w:top w:val="nil"/>
              <w:left w:val="nil"/>
              <w:bottom w:val="nil"/>
              <w:right w:val="nil"/>
            </w:tcBorders>
          </w:tcPr>
          <w:p w14:paraId="603ABF9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-0.049*</w:t>
            </w:r>
          </w:p>
        </w:tc>
        <w:tc>
          <w:tcPr>
            <w:tcW w:w="1149" w:type="dxa"/>
            <w:tcBorders>
              <w:top w:val="nil"/>
              <w:left w:val="nil"/>
              <w:bottom w:val="nil"/>
              <w:right w:val="nil"/>
            </w:tcBorders>
          </w:tcPr>
          <w:p w14:paraId="48D5BD2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0.002*</w:t>
            </w:r>
          </w:p>
        </w:tc>
        <w:tc>
          <w:tcPr>
            <w:tcW w:w="1204" w:type="dxa"/>
            <w:tcBorders>
              <w:top w:val="nil"/>
              <w:left w:val="nil"/>
              <w:bottom w:val="nil"/>
              <w:right w:val="nil"/>
            </w:tcBorders>
          </w:tcPr>
          <w:p w14:paraId="4AC585B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-0.038*</w:t>
            </w:r>
          </w:p>
        </w:tc>
        <w:tc>
          <w:tcPr>
            <w:tcW w:w="1142" w:type="dxa"/>
            <w:tcBorders>
              <w:top w:val="nil"/>
              <w:left w:val="nil"/>
              <w:bottom w:val="nil"/>
              <w:right w:val="nil"/>
            </w:tcBorders>
          </w:tcPr>
          <w:p w14:paraId="16A67D9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0.003***</w:t>
            </w:r>
          </w:p>
        </w:tc>
        <w:tc>
          <w:tcPr>
            <w:tcW w:w="1291" w:type="dxa"/>
            <w:tcBorders>
              <w:top w:val="nil"/>
              <w:left w:val="nil"/>
              <w:bottom w:val="nil"/>
              <w:right w:val="nil"/>
            </w:tcBorders>
          </w:tcPr>
          <w:p w14:paraId="0C2CDCB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-0.025</w:t>
            </w:r>
          </w:p>
        </w:tc>
      </w:tr>
      <w:tr w:rsidR="00DB6C99" w:rsidRPr="00DB6C99" w14:paraId="40128808" w14:textId="77777777" w:rsidTr="007C344D">
        <w:trPr>
          <w:jc w:val="center"/>
        </w:trPr>
        <w:tc>
          <w:tcPr>
            <w:tcW w:w="1947" w:type="dxa"/>
            <w:tcBorders>
              <w:top w:val="nil"/>
              <w:left w:val="nil"/>
              <w:bottom w:val="nil"/>
              <w:right w:val="nil"/>
            </w:tcBorders>
          </w:tcPr>
          <w:p w14:paraId="556745CD"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097" w:type="dxa"/>
            <w:tcBorders>
              <w:top w:val="nil"/>
              <w:left w:val="nil"/>
              <w:bottom w:val="nil"/>
              <w:right w:val="nil"/>
            </w:tcBorders>
          </w:tcPr>
          <w:p w14:paraId="75ED9B3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(0.75)</w:t>
            </w:r>
          </w:p>
        </w:tc>
        <w:tc>
          <w:tcPr>
            <w:tcW w:w="1088" w:type="dxa"/>
            <w:tcBorders>
              <w:top w:val="nil"/>
              <w:left w:val="nil"/>
              <w:bottom w:val="nil"/>
              <w:right w:val="nil"/>
            </w:tcBorders>
          </w:tcPr>
          <w:p w14:paraId="376893B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(-2.92)</w:t>
            </w:r>
          </w:p>
        </w:tc>
        <w:tc>
          <w:tcPr>
            <w:tcW w:w="1174" w:type="dxa"/>
            <w:tcBorders>
              <w:top w:val="nil"/>
              <w:left w:val="nil"/>
              <w:bottom w:val="nil"/>
              <w:right w:val="nil"/>
            </w:tcBorders>
          </w:tcPr>
          <w:p w14:paraId="41F72AA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(2.28)</w:t>
            </w:r>
          </w:p>
        </w:tc>
        <w:tc>
          <w:tcPr>
            <w:tcW w:w="1217" w:type="dxa"/>
            <w:tcBorders>
              <w:top w:val="nil"/>
              <w:left w:val="nil"/>
              <w:bottom w:val="nil"/>
              <w:right w:val="nil"/>
            </w:tcBorders>
          </w:tcPr>
          <w:p w14:paraId="422BD60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(-1.84)</w:t>
            </w:r>
          </w:p>
        </w:tc>
        <w:tc>
          <w:tcPr>
            <w:tcW w:w="1149" w:type="dxa"/>
            <w:tcBorders>
              <w:top w:val="nil"/>
              <w:left w:val="nil"/>
              <w:bottom w:val="nil"/>
              <w:right w:val="nil"/>
            </w:tcBorders>
          </w:tcPr>
          <w:p w14:paraId="26BDCAF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(1.87)</w:t>
            </w:r>
          </w:p>
        </w:tc>
        <w:tc>
          <w:tcPr>
            <w:tcW w:w="1204" w:type="dxa"/>
            <w:tcBorders>
              <w:top w:val="nil"/>
              <w:left w:val="nil"/>
              <w:bottom w:val="nil"/>
              <w:right w:val="nil"/>
            </w:tcBorders>
          </w:tcPr>
          <w:p w14:paraId="5A1F4C9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(-1.76)</w:t>
            </w:r>
          </w:p>
        </w:tc>
        <w:tc>
          <w:tcPr>
            <w:tcW w:w="1142" w:type="dxa"/>
            <w:tcBorders>
              <w:top w:val="nil"/>
              <w:left w:val="nil"/>
              <w:bottom w:val="nil"/>
              <w:right w:val="nil"/>
            </w:tcBorders>
          </w:tcPr>
          <w:p w14:paraId="7DC9991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(2.96)</w:t>
            </w:r>
          </w:p>
        </w:tc>
        <w:tc>
          <w:tcPr>
            <w:tcW w:w="1291" w:type="dxa"/>
            <w:tcBorders>
              <w:top w:val="nil"/>
              <w:left w:val="nil"/>
              <w:bottom w:val="nil"/>
              <w:right w:val="nil"/>
            </w:tcBorders>
          </w:tcPr>
          <w:p w14:paraId="3A03D51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(-1.05)</w:t>
            </w:r>
          </w:p>
        </w:tc>
      </w:tr>
      <w:tr w:rsidR="00DB6C99" w:rsidRPr="00DB6C99" w14:paraId="7EE6574B" w14:textId="77777777" w:rsidTr="007C344D">
        <w:trPr>
          <w:jc w:val="center"/>
        </w:trPr>
        <w:tc>
          <w:tcPr>
            <w:tcW w:w="1947" w:type="dxa"/>
            <w:tcBorders>
              <w:top w:val="nil"/>
              <w:left w:val="nil"/>
              <w:bottom w:val="nil"/>
              <w:right w:val="nil"/>
            </w:tcBorders>
          </w:tcPr>
          <w:p w14:paraId="21F968FC"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rPr>
              <w:t>DUAL</w:t>
            </w:r>
          </w:p>
        </w:tc>
        <w:tc>
          <w:tcPr>
            <w:tcW w:w="1097" w:type="dxa"/>
            <w:tcBorders>
              <w:top w:val="nil"/>
              <w:left w:val="nil"/>
              <w:bottom w:val="nil"/>
              <w:right w:val="nil"/>
            </w:tcBorders>
          </w:tcPr>
          <w:p w14:paraId="783D495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-0.002</w:t>
            </w:r>
          </w:p>
        </w:tc>
        <w:tc>
          <w:tcPr>
            <w:tcW w:w="1088" w:type="dxa"/>
            <w:tcBorders>
              <w:top w:val="nil"/>
              <w:left w:val="nil"/>
              <w:bottom w:val="nil"/>
              <w:right w:val="nil"/>
            </w:tcBorders>
          </w:tcPr>
          <w:p w14:paraId="6234490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-0.052**</w:t>
            </w:r>
          </w:p>
        </w:tc>
        <w:tc>
          <w:tcPr>
            <w:tcW w:w="1174" w:type="dxa"/>
            <w:tcBorders>
              <w:top w:val="nil"/>
              <w:left w:val="nil"/>
              <w:bottom w:val="nil"/>
              <w:right w:val="nil"/>
            </w:tcBorders>
          </w:tcPr>
          <w:p w14:paraId="0AE18B8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-0.001</w:t>
            </w:r>
          </w:p>
        </w:tc>
        <w:tc>
          <w:tcPr>
            <w:tcW w:w="1217" w:type="dxa"/>
            <w:tcBorders>
              <w:top w:val="nil"/>
              <w:left w:val="nil"/>
              <w:bottom w:val="nil"/>
              <w:right w:val="nil"/>
            </w:tcBorders>
          </w:tcPr>
          <w:p w14:paraId="09B162B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-0.009</w:t>
            </w:r>
          </w:p>
        </w:tc>
        <w:tc>
          <w:tcPr>
            <w:tcW w:w="1149" w:type="dxa"/>
            <w:tcBorders>
              <w:top w:val="nil"/>
              <w:left w:val="nil"/>
              <w:bottom w:val="nil"/>
              <w:right w:val="nil"/>
            </w:tcBorders>
          </w:tcPr>
          <w:p w14:paraId="7524458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-0.002</w:t>
            </w:r>
          </w:p>
        </w:tc>
        <w:tc>
          <w:tcPr>
            <w:tcW w:w="1204" w:type="dxa"/>
            <w:tcBorders>
              <w:top w:val="nil"/>
              <w:left w:val="nil"/>
              <w:bottom w:val="nil"/>
              <w:right w:val="nil"/>
            </w:tcBorders>
          </w:tcPr>
          <w:p w14:paraId="0B8BC6A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-0.051***</w:t>
            </w:r>
          </w:p>
        </w:tc>
        <w:tc>
          <w:tcPr>
            <w:tcW w:w="1142" w:type="dxa"/>
            <w:tcBorders>
              <w:top w:val="nil"/>
              <w:left w:val="nil"/>
              <w:bottom w:val="nil"/>
              <w:right w:val="nil"/>
            </w:tcBorders>
          </w:tcPr>
          <w:p w14:paraId="0C50A52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-0.002*</w:t>
            </w:r>
          </w:p>
        </w:tc>
        <w:tc>
          <w:tcPr>
            <w:tcW w:w="1291" w:type="dxa"/>
            <w:tcBorders>
              <w:top w:val="nil"/>
              <w:left w:val="nil"/>
              <w:bottom w:val="nil"/>
              <w:right w:val="nil"/>
            </w:tcBorders>
          </w:tcPr>
          <w:p w14:paraId="0CDC6A4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-0.038**</w:t>
            </w:r>
          </w:p>
        </w:tc>
      </w:tr>
      <w:tr w:rsidR="00DB6C99" w:rsidRPr="00DB6C99" w14:paraId="797CB377" w14:textId="77777777" w:rsidTr="007C344D">
        <w:trPr>
          <w:jc w:val="center"/>
        </w:trPr>
        <w:tc>
          <w:tcPr>
            <w:tcW w:w="1947" w:type="dxa"/>
            <w:tcBorders>
              <w:top w:val="nil"/>
              <w:left w:val="nil"/>
              <w:bottom w:val="nil"/>
              <w:right w:val="nil"/>
            </w:tcBorders>
          </w:tcPr>
          <w:p w14:paraId="65AFE436"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097" w:type="dxa"/>
            <w:tcBorders>
              <w:top w:val="nil"/>
              <w:left w:val="nil"/>
              <w:bottom w:val="nil"/>
              <w:right w:val="nil"/>
            </w:tcBorders>
          </w:tcPr>
          <w:p w14:paraId="27D2D12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(-1.36)</w:t>
            </w:r>
          </w:p>
        </w:tc>
        <w:tc>
          <w:tcPr>
            <w:tcW w:w="1088" w:type="dxa"/>
            <w:tcBorders>
              <w:top w:val="nil"/>
              <w:left w:val="nil"/>
              <w:bottom w:val="nil"/>
              <w:right w:val="nil"/>
            </w:tcBorders>
          </w:tcPr>
          <w:p w14:paraId="5DAE570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(-2.14)</w:t>
            </w:r>
          </w:p>
        </w:tc>
        <w:tc>
          <w:tcPr>
            <w:tcW w:w="1174" w:type="dxa"/>
            <w:tcBorders>
              <w:top w:val="nil"/>
              <w:left w:val="nil"/>
              <w:bottom w:val="nil"/>
              <w:right w:val="nil"/>
            </w:tcBorders>
          </w:tcPr>
          <w:p w14:paraId="044C7DAF"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(-0.76)</w:t>
            </w:r>
          </w:p>
        </w:tc>
        <w:tc>
          <w:tcPr>
            <w:tcW w:w="1217" w:type="dxa"/>
            <w:tcBorders>
              <w:top w:val="nil"/>
              <w:left w:val="nil"/>
              <w:bottom w:val="nil"/>
              <w:right w:val="nil"/>
            </w:tcBorders>
          </w:tcPr>
          <w:p w14:paraId="057E5E8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(-0.34)</w:t>
            </w:r>
          </w:p>
        </w:tc>
        <w:tc>
          <w:tcPr>
            <w:tcW w:w="1149" w:type="dxa"/>
            <w:tcBorders>
              <w:top w:val="nil"/>
              <w:left w:val="nil"/>
              <w:bottom w:val="nil"/>
              <w:right w:val="nil"/>
            </w:tcBorders>
          </w:tcPr>
          <w:p w14:paraId="5BFCD3C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(-1.51)</w:t>
            </w:r>
          </w:p>
        </w:tc>
        <w:tc>
          <w:tcPr>
            <w:tcW w:w="1204" w:type="dxa"/>
            <w:tcBorders>
              <w:top w:val="nil"/>
              <w:left w:val="nil"/>
              <w:bottom w:val="nil"/>
              <w:right w:val="nil"/>
            </w:tcBorders>
          </w:tcPr>
          <w:p w14:paraId="0D5573B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(-2.91)</w:t>
            </w:r>
          </w:p>
        </w:tc>
        <w:tc>
          <w:tcPr>
            <w:tcW w:w="1142" w:type="dxa"/>
            <w:tcBorders>
              <w:top w:val="nil"/>
              <w:left w:val="nil"/>
              <w:bottom w:val="nil"/>
              <w:right w:val="nil"/>
            </w:tcBorders>
          </w:tcPr>
          <w:p w14:paraId="224578C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(-1.75)</w:t>
            </w:r>
          </w:p>
        </w:tc>
        <w:tc>
          <w:tcPr>
            <w:tcW w:w="1291" w:type="dxa"/>
            <w:tcBorders>
              <w:top w:val="nil"/>
              <w:left w:val="nil"/>
              <w:bottom w:val="nil"/>
              <w:right w:val="nil"/>
            </w:tcBorders>
          </w:tcPr>
          <w:p w14:paraId="5E36DB0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(-1.96)</w:t>
            </w:r>
          </w:p>
        </w:tc>
      </w:tr>
      <w:tr w:rsidR="00DB6C99" w:rsidRPr="00DB6C99" w14:paraId="6D5675BB" w14:textId="77777777" w:rsidTr="007C344D">
        <w:trPr>
          <w:jc w:val="center"/>
        </w:trPr>
        <w:tc>
          <w:tcPr>
            <w:tcW w:w="1947" w:type="dxa"/>
            <w:tcBorders>
              <w:top w:val="nil"/>
              <w:left w:val="nil"/>
              <w:bottom w:val="nil"/>
              <w:right w:val="nil"/>
            </w:tcBorders>
          </w:tcPr>
          <w:p w14:paraId="3FFDD0F8"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rPr>
              <w:t>PM</w:t>
            </w:r>
          </w:p>
        </w:tc>
        <w:tc>
          <w:tcPr>
            <w:tcW w:w="1097" w:type="dxa"/>
            <w:tcBorders>
              <w:top w:val="nil"/>
              <w:left w:val="nil"/>
              <w:bottom w:val="nil"/>
              <w:right w:val="nil"/>
            </w:tcBorders>
          </w:tcPr>
          <w:p w14:paraId="074693F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-0.037***</w:t>
            </w:r>
          </w:p>
        </w:tc>
        <w:tc>
          <w:tcPr>
            <w:tcW w:w="1088" w:type="dxa"/>
            <w:tcBorders>
              <w:top w:val="nil"/>
              <w:left w:val="nil"/>
              <w:bottom w:val="nil"/>
              <w:right w:val="nil"/>
            </w:tcBorders>
          </w:tcPr>
          <w:p w14:paraId="39A6097F"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-0.034</w:t>
            </w:r>
          </w:p>
        </w:tc>
        <w:tc>
          <w:tcPr>
            <w:tcW w:w="1174" w:type="dxa"/>
            <w:tcBorders>
              <w:top w:val="nil"/>
              <w:left w:val="nil"/>
              <w:bottom w:val="nil"/>
              <w:right w:val="nil"/>
            </w:tcBorders>
          </w:tcPr>
          <w:p w14:paraId="31C7268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-0.008</w:t>
            </w:r>
          </w:p>
        </w:tc>
        <w:tc>
          <w:tcPr>
            <w:tcW w:w="1217" w:type="dxa"/>
            <w:tcBorders>
              <w:top w:val="nil"/>
              <w:left w:val="nil"/>
              <w:bottom w:val="nil"/>
              <w:right w:val="nil"/>
            </w:tcBorders>
          </w:tcPr>
          <w:p w14:paraId="401DD74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-0.018</w:t>
            </w:r>
          </w:p>
        </w:tc>
        <w:tc>
          <w:tcPr>
            <w:tcW w:w="1149" w:type="dxa"/>
            <w:tcBorders>
              <w:top w:val="nil"/>
              <w:left w:val="nil"/>
              <w:bottom w:val="nil"/>
              <w:right w:val="nil"/>
            </w:tcBorders>
          </w:tcPr>
          <w:p w14:paraId="53D83DD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-0.016***</w:t>
            </w:r>
          </w:p>
        </w:tc>
        <w:tc>
          <w:tcPr>
            <w:tcW w:w="1204" w:type="dxa"/>
            <w:tcBorders>
              <w:top w:val="nil"/>
              <w:left w:val="nil"/>
              <w:bottom w:val="nil"/>
              <w:right w:val="nil"/>
            </w:tcBorders>
          </w:tcPr>
          <w:p w14:paraId="29C86D4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0.466***</w:t>
            </w:r>
          </w:p>
        </w:tc>
        <w:tc>
          <w:tcPr>
            <w:tcW w:w="1142" w:type="dxa"/>
            <w:tcBorders>
              <w:top w:val="nil"/>
              <w:left w:val="nil"/>
              <w:bottom w:val="nil"/>
              <w:right w:val="nil"/>
            </w:tcBorders>
          </w:tcPr>
          <w:p w14:paraId="0914AA9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-0.004</w:t>
            </w:r>
          </w:p>
        </w:tc>
        <w:tc>
          <w:tcPr>
            <w:tcW w:w="1291" w:type="dxa"/>
            <w:tcBorders>
              <w:top w:val="nil"/>
              <w:left w:val="nil"/>
              <w:bottom w:val="nil"/>
              <w:right w:val="nil"/>
            </w:tcBorders>
          </w:tcPr>
          <w:p w14:paraId="78E1110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0.303***</w:t>
            </w:r>
          </w:p>
        </w:tc>
      </w:tr>
      <w:tr w:rsidR="00DB6C99" w:rsidRPr="00DB6C99" w14:paraId="57B52509" w14:textId="77777777" w:rsidTr="007C344D">
        <w:trPr>
          <w:jc w:val="center"/>
        </w:trPr>
        <w:tc>
          <w:tcPr>
            <w:tcW w:w="1947" w:type="dxa"/>
            <w:tcBorders>
              <w:top w:val="nil"/>
              <w:left w:val="nil"/>
              <w:bottom w:val="nil"/>
              <w:right w:val="nil"/>
            </w:tcBorders>
          </w:tcPr>
          <w:p w14:paraId="28EF7874"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097" w:type="dxa"/>
            <w:tcBorders>
              <w:top w:val="nil"/>
              <w:left w:val="nil"/>
              <w:bottom w:val="nil"/>
              <w:right w:val="nil"/>
            </w:tcBorders>
          </w:tcPr>
          <w:p w14:paraId="05ECB4D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(-6.28)</w:t>
            </w:r>
          </w:p>
        </w:tc>
        <w:tc>
          <w:tcPr>
            <w:tcW w:w="1088" w:type="dxa"/>
            <w:tcBorders>
              <w:top w:val="nil"/>
              <w:left w:val="nil"/>
              <w:bottom w:val="nil"/>
              <w:right w:val="nil"/>
            </w:tcBorders>
          </w:tcPr>
          <w:p w14:paraId="64E14BA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(-0.38)</w:t>
            </w:r>
          </w:p>
        </w:tc>
        <w:tc>
          <w:tcPr>
            <w:tcW w:w="1174" w:type="dxa"/>
            <w:tcBorders>
              <w:top w:val="nil"/>
              <w:left w:val="nil"/>
              <w:bottom w:val="nil"/>
              <w:right w:val="nil"/>
            </w:tcBorders>
          </w:tcPr>
          <w:p w14:paraId="3220396F"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(-1.57)</w:t>
            </w:r>
          </w:p>
        </w:tc>
        <w:tc>
          <w:tcPr>
            <w:tcW w:w="1217" w:type="dxa"/>
            <w:tcBorders>
              <w:top w:val="nil"/>
              <w:left w:val="nil"/>
              <w:bottom w:val="nil"/>
              <w:right w:val="nil"/>
            </w:tcBorders>
          </w:tcPr>
          <w:p w14:paraId="1948232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(-0.18)</w:t>
            </w:r>
          </w:p>
        </w:tc>
        <w:tc>
          <w:tcPr>
            <w:tcW w:w="1149" w:type="dxa"/>
            <w:tcBorders>
              <w:top w:val="nil"/>
              <w:left w:val="nil"/>
              <w:bottom w:val="nil"/>
              <w:right w:val="nil"/>
            </w:tcBorders>
          </w:tcPr>
          <w:p w14:paraId="7F79621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(-3.90)</w:t>
            </w:r>
          </w:p>
        </w:tc>
        <w:tc>
          <w:tcPr>
            <w:tcW w:w="1204" w:type="dxa"/>
            <w:tcBorders>
              <w:top w:val="nil"/>
              <w:left w:val="nil"/>
              <w:bottom w:val="nil"/>
              <w:right w:val="nil"/>
            </w:tcBorders>
          </w:tcPr>
          <w:p w14:paraId="6EB5CF4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(6.32)</w:t>
            </w:r>
          </w:p>
        </w:tc>
        <w:tc>
          <w:tcPr>
            <w:tcW w:w="1142" w:type="dxa"/>
            <w:tcBorders>
              <w:top w:val="nil"/>
              <w:left w:val="nil"/>
              <w:bottom w:val="nil"/>
              <w:right w:val="nil"/>
            </w:tcBorders>
          </w:tcPr>
          <w:p w14:paraId="4FDE6BA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(-0.94)</w:t>
            </w:r>
          </w:p>
        </w:tc>
        <w:tc>
          <w:tcPr>
            <w:tcW w:w="1291" w:type="dxa"/>
            <w:tcBorders>
              <w:top w:val="nil"/>
              <w:left w:val="nil"/>
              <w:bottom w:val="nil"/>
              <w:right w:val="nil"/>
            </w:tcBorders>
          </w:tcPr>
          <w:p w14:paraId="22D4C5C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(5.54)</w:t>
            </w:r>
          </w:p>
        </w:tc>
      </w:tr>
      <w:tr w:rsidR="00DB6C99" w:rsidRPr="00DB6C99" w14:paraId="7390B5CA" w14:textId="77777777" w:rsidTr="007C344D">
        <w:trPr>
          <w:jc w:val="center"/>
        </w:trPr>
        <w:tc>
          <w:tcPr>
            <w:tcW w:w="1947" w:type="dxa"/>
            <w:tcBorders>
              <w:top w:val="nil"/>
              <w:left w:val="nil"/>
              <w:bottom w:val="nil"/>
              <w:right w:val="nil"/>
            </w:tcBorders>
          </w:tcPr>
          <w:p w14:paraId="5B5AA2C2"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rPr>
              <w:t>ROA</w:t>
            </w:r>
          </w:p>
        </w:tc>
        <w:tc>
          <w:tcPr>
            <w:tcW w:w="1097" w:type="dxa"/>
            <w:tcBorders>
              <w:top w:val="nil"/>
              <w:left w:val="nil"/>
              <w:bottom w:val="nil"/>
              <w:right w:val="nil"/>
            </w:tcBorders>
          </w:tcPr>
          <w:p w14:paraId="3F22DA2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0.030***</w:t>
            </w:r>
          </w:p>
        </w:tc>
        <w:tc>
          <w:tcPr>
            <w:tcW w:w="1088" w:type="dxa"/>
            <w:tcBorders>
              <w:top w:val="nil"/>
              <w:left w:val="nil"/>
              <w:bottom w:val="nil"/>
              <w:right w:val="nil"/>
            </w:tcBorders>
          </w:tcPr>
          <w:p w14:paraId="3718A0D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0.041</w:t>
            </w:r>
          </w:p>
        </w:tc>
        <w:tc>
          <w:tcPr>
            <w:tcW w:w="1174" w:type="dxa"/>
            <w:tcBorders>
              <w:top w:val="nil"/>
              <w:left w:val="nil"/>
              <w:bottom w:val="nil"/>
              <w:right w:val="nil"/>
            </w:tcBorders>
          </w:tcPr>
          <w:p w14:paraId="46DEAC7F"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0.021**</w:t>
            </w:r>
          </w:p>
        </w:tc>
        <w:tc>
          <w:tcPr>
            <w:tcW w:w="1217" w:type="dxa"/>
            <w:tcBorders>
              <w:top w:val="nil"/>
              <w:left w:val="nil"/>
              <w:bottom w:val="nil"/>
              <w:right w:val="nil"/>
            </w:tcBorders>
          </w:tcPr>
          <w:p w14:paraId="678C68E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0.041</w:t>
            </w:r>
          </w:p>
        </w:tc>
        <w:tc>
          <w:tcPr>
            <w:tcW w:w="1149" w:type="dxa"/>
            <w:tcBorders>
              <w:top w:val="nil"/>
              <w:left w:val="nil"/>
              <w:bottom w:val="nil"/>
              <w:right w:val="nil"/>
            </w:tcBorders>
          </w:tcPr>
          <w:p w14:paraId="10A1BE9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-0.104***</w:t>
            </w:r>
          </w:p>
        </w:tc>
        <w:tc>
          <w:tcPr>
            <w:tcW w:w="1204" w:type="dxa"/>
            <w:tcBorders>
              <w:top w:val="nil"/>
              <w:left w:val="nil"/>
              <w:bottom w:val="nil"/>
              <w:right w:val="nil"/>
            </w:tcBorders>
          </w:tcPr>
          <w:p w14:paraId="281A4C3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-0.394***</w:t>
            </w:r>
          </w:p>
        </w:tc>
        <w:tc>
          <w:tcPr>
            <w:tcW w:w="1142" w:type="dxa"/>
            <w:tcBorders>
              <w:top w:val="nil"/>
              <w:left w:val="nil"/>
              <w:bottom w:val="nil"/>
              <w:right w:val="nil"/>
            </w:tcBorders>
          </w:tcPr>
          <w:p w14:paraId="13EA1F1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-0.102***</w:t>
            </w:r>
          </w:p>
        </w:tc>
        <w:tc>
          <w:tcPr>
            <w:tcW w:w="1291" w:type="dxa"/>
            <w:tcBorders>
              <w:top w:val="nil"/>
              <w:left w:val="nil"/>
              <w:bottom w:val="nil"/>
              <w:right w:val="nil"/>
            </w:tcBorders>
          </w:tcPr>
          <w:p w14:paraId="17B771A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0.206*</w:t>
            </w:r>
          </w:p>
        </w:tc>
      </w:tr>
      <w:tr w:rsidR="00DB6C99" w:rsidRPr="00DB6C99" w14:paraId="35452AE2" w14:textId="77777777" w:rsidTr="007C344D">
        <w:trPr>
          <w:jc w:val="center"/>
        </w:trPr>
        <w:tc>
          <w:tcPr>
            <w:tcW w:w="1947" w:type="dxa"/>
            <w:tcBorders>
              <w:top w:val="nil"/>
              <w:left w:val="nil"/>
              <w:bottom w:val="nil"/>
              <w:right w:val="nil"/>
            </w:tcBorders>
          </w:tcPr>
          <w:p w14:paraId="119AEC37"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097" w:type="dxa"/>
            <w:tcBorders>
              <w:top w:val="nil"/>
              <w:left w:val="nil"/>
              <w:bottom w:val="nil"/>
              <w:right w:val="nil"/>
            </w:tcBorders>
          </w:tcPr>
          <w:p w14:paraId="7F64A7C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(2.75)</w:t>
            </w:r>
          </w:p>
        </w:tc>
        <w:tc>
          <w:tcPr>
            <w:tcW w:w="1088" w:type="dxa"/>
            <w:tcBorders>
              <w:top w:val="nil"/>
              <w:left w:val="nil"/>
              <w:bottom w:val="nil"/>
              <w:right w:val="nil"/>
            </w:tcBorders>
          </w:tcPr>
          <w:p w14:paraId="5384BD0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(0.24)</w:t>
            </w:r>
          </w:p>
        </w:tc>
        <w:tc>
          <w:tcPr>
            <w:tcW w:w="1174" w:type="dxa"/>
            <w:tcBorders>
              <w:top w:val="nil"/>
              <w:left w:val="nil"/>
              <w:bottom w:val="nil"/>
              <w:right w:val="nil"/>
            </w:tcBorders>
          </w:tcPr>
          <w:p w14:paraId="2653AF3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(2.23)</w:t>
            </w:r>
          </w:p>
        </w:tc>
        <w:tc>
          <w:tcPr>
            <w:tcW w:w="1217" w:type="dxa"/>
            <w:tcBorders>
              <w:top w:val="nil"/>
              <w:left w:val="nil"/>
              <w:bottom w:val="nil"/>
              <w:right w:val="nil"/>
            </w:tcBorders>
          </w:tcPr>
          <w:p w14:paraId="7374F73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(0.22)</w:t>
            </w:r>
          </w:p>
        </w:tc>
        <w:tc>
          <w:tcPr>
            <w:tcW w:w="1149" w:type="dxa"/>
            <w:tcBorders>
              <w:top w:val="nil"/>
              <w:left w:val="nil"/>
              <w:bottom w:val="nil"/>
              <w:right w:val="nil"/>
            </w:tcBorders>
          </w:tcPr>
          <w:p w14:paraId="693CE1F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(-12.45)</w:t>
            </w:r>
          </w:p>
        </w:tc>
        <w:tc>
          <w:tcPr>
            <w:tcW w:w="1204" w:type="dxa"/>
            <w:tcBorders>
              <w:top w:val="nil"/>
              <w:left w:val="nil"/>
              <w:bottom w:val="nil"/>
              <w:right w:val="nil"/>
            </w:tcBorders>
          </w:tcPr>
          <w:p w14:paraId="5FB539E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(-2.65)</w:t>
            </w:r>
          </w:p>
        </w:tc>
        <w:tc>
          <w:tcPr>
            <w:tcW w:w="1142" w:type="dxa"/>
            <w:tcBorders>
              <w:top w:val="nil"/>
              <w:left w:val="nil"/>
              <w:bottom w:val="nil"/>
              <w:right w:val="nil"/>
            </w:tcBorders>
          </w:tcPr>
          <w:p w14:paraId="467B8B8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(-13.00)</w:t>
            </w:r>
          </w:p>
        </w:tc>
        <w:tc>
          <w:tcPr>
            <w:tcW w:w="1291" w:type="dxa"/>
            <w:tcBorders>
              <w:top w:val="nil"/>
              <w:left w:val="nil"/>
              <w:bottom w:val="nil"/>
              <w:right w:val="nil"/>
            </w:tcBorders>
          </w:tcPr>
          <w:p w14:paraId="0CA51C8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(1.86)</w:t>
            </w:r>
          </w:p>
        </w:tc>
      </w:tr>
      <w:tr w:rsidR="00DB6C99" w:rsidRPr="00DB6C99" w14:paraId="790FC9E5" w14:textId="77777777" w:rsidTr="007C344D">
        <w:trPr>
          <w:jc w:val="center"/>
        </w:trPr>
        <w:tc>
          <w:tcPr>
            <w:tcW w:w="1947" w:type="dxa"/>
            <w:tcBorders>
              <w:top w:val="nil"/>
              <w:left w:val="nil"/>
              <w:bottom w:val="nil"/>
              <w:right w:val="nil"/>
            </w:tcBorders>
          </w:tcPr>
          <w:p w14:paraId="398AFBE4"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rPr>
              <w:t>CI</w:t>
            </w:r>
          </w:p>
        </w:tc>
        <w:tc>
          <w:tcPr>
            <w:tcW w:w="1097" w:type="dxa"/>
            <w:tcBorders>
              <w:top w:val="nil"/>
              <w:left w:val="nil"/>
              <w:bottom w:val="nil"/>
              <w:right w:val="nil"/>
            </w:tcBorders>
          </w:tcPr>
          <w:p w14:paraId="23EE20D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0.000</w:t>
            </w:r>
          </w:p>
        </w:tc>
        <w:tc>
          <w:tcPr>
            <w:tcW w:w="1088" w:type="dxa"/>
            <w:tcBorders>
              <w:top w:val="nil"/>
              <w:left w:val="nil"/>
              <w:bottom w:val="nil"/>
              <w:right w:val="nil"/>
            </w:tcBorders>
          </w:tcPr>
          <w:p w14:paraId="016F794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0.017**</w:t>
            </w:r>
          </w:p>
        </w:tc>
        <w:tc>
          <w:tcPr>
            <w:tcW w:w="1174" w:type="dxa"/>
            <w:tcBorders>
              <w:top w:val="nil"/>
              <w:left w:val="nil"/>
              <w:bottom w:val="nil"/>
              <w:right w:val="nil"/>
            </w:tcBorders>
          </w:tcPr>
          <w:p w14:paraId="2C8B8A9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0.001</w:t>
            </w:r>
          </w:p>
        </w:tc>
        <w:tc>
          <w:tcPr>
            <w:tcW w:w="1217" w:type="dxa"/>
            <w:tcBorders>
              <w:top w:val="nil"/>
              <w:left w:val="nil"/>
              <w:bottom w:val="nil"/>
              <w:right w:val="nil"/>
            </w:tcBorders>
          </w:tcPr>
          <w:p w14:paraId="0050330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0.020*</w:t>
            </w:r>
          </w:p>
        </w:tc>
        <w:tc>
          <w:tcPr>
            <w:tcW w:w="1149" w:type="dxa"/>
            <w:tcBorders>
              <w:top w:val="nil"/>
              <w:left w:val="nil"/>
              <w:bottom w:val="nil"/>
              <w:right w:val="nil"/>
            </w:tcBorders>
          </w:tcPr>
          <w:p w14:paraId="1FC32C3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0.002***</w:t>
            </w:r>
          </w:p>
        </w:tc>
        <w:tc>
          <w:tcPr>
            <w:tcW w:w="1204" w:type="dxa"/>
            <w:tcBorders>
              <w:top w:val="nil"/>
              <w:left w:val="nil"/>
              <w:bottom w:val="nil"/>
              <w:right w:val="nil"/>
            </w:tcBorders>
          </w:tcPr>
          <w:p w14:paraId="1D8300F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0.039***</w:t>
            </w:r>
          </w:p>
        </w:tc>
        <w:tc>
          <w:tcPr>
            <w:tcW w:w="1142" w:type="dxa"/>
            <w:tcBorders>
              <w:top w:val="nil"/>
              <w:left w:val="nil"/>
              <w:bottom w:val="nil"/>
              <w:right w:val="nil"/>
            </w:tcBorders>
          </w:tcPr>
          <w:p w14:paraId="45C829C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0.003***</w:t>
            </w:r>
          </w:p>
        </w:tc>
        <w:tc>
          <w:tcPr>
            <w:tcW w:w="1291" w:type="dxa"/>
            <w:tcBorders>
              <w:top w:val="nil"/>
              <w:left w:val="nil"/>
              <w:bottom w:val="nil"/>
              <w:right w:val="nil"/>
            </w:tcBorders>
          </w:tcPr>
          <w:p w14:paraId="2AF7A20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0.069***</w:t>
            </w:r>
          </w:p>
        </w:tc>
      </w:tr>
      <w:tr w:rsidR="00DB6C99" w:rsidRPr="00DB6C99" w14:paraId="4924313A" w14:textId="77777777" w:rsidTr="007C344D">
        <w:trPr>
          <w:jc w:val="center"/>
        </w:trPr>
        <w:tc>
          <w:tcPr>
            <w:tcW w:w="1947" w:type="dxa"/>
            <w:tcBorders>
              <w:top w:val="nil"/>
              <w:left w:val="nil"/>
              <w:bottom w:val="nil"/>
              <w:right w:val="nil"/>
            </w:tcBorders>
          </w:tcPr>
          <w:p w14:paraId="6DC150D9"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097" w:type="dxa"/>
            <w:tcBorders>
              <w:top w:val="nil"/>
              <w:left w:val="nil"/>
              <w:bottom w:val="nil"/>
              <w:right w:val="nil"/>
            </w:tcBorders>
          </w:tcPr>
          <w:p w14:paraId="2C477C0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(0.97)</w:t>
            </w:r>
          </w:p>
        </w:tc>
        <w:tc>
          <w:tcPr>
            <w:tcW w:w="1088" w:type="dxa"/>
            <w:tcBorders>
              <w:top w:val="nil"/>
              <w:left w:val="nil"/>
              <w:bottom w:val="nil"/>
              <w:right w:val="nil"/>
            </w:tcBorders>
          </w:tcPr>
          <w:p w14:paraId="4D6D373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(2.15)</w:t>
            </w:r>
          </w:p>
        </w:tc>
        <w:tc>
          <w:tcPr>
            <w:tcW w:w="1174" w:type="dxa"/>
            <w:tcBorders>
              <w:top w:val="nil"/>
              <w:left w:val="nil"/>
              <w:bottom w:val="nil"/>
              <w:right w:val="nil"/>
            </w:tcBorders>
          </w:tcPr>
          <w:p w14:paraId="71EBEE5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(1.51)</w:t>
            </w:r>
          </w:p>
        </w:tc>
        <w:tc>
          <w:tcPr>
            <w:tcW w:w="1217" w:type="dxa"/>
            <w:tcBorders>
              <w:top w:val="nil"/>
              <w:left w:val="nil"/>
              <w:bottom w:val="nil"/>
              <w:right w:val="nil"/>
            </w:tcBorders>
          </w:tcPr>
          <w:p w14:paraId="0322F2F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(1.69)</w:t>
            </w:r>
          </w:p>
        </w:tc>
        <w:tc>
          <w:tcPr>
            <w:tcW w:w="1149" w:type="dxa"/>
            <w:tcBorders>
              <w:top w:val="nil"/>
              <w:left w:val="nil"/>
              <w:bottom w:val="nil"/>
              <w:right w:val="nil"/>
            </w:tcBorders>
          </w:tcPr>
          <w:p w14:paraId="6ECEED1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(7.28)</w:t>
            </w:r>
          </w:p>
        </w:tc>
        <w:tc>
          <w:tcPr>
            <w:tcW w:w="1204" w:type="dxa"/>
            <w:tcBorders>
              <w:top w:val="nil"/>
              <w:left w:val="nil"/>
              <w:bottom w:val="nil"/>
              <w:right w:val="nil"/>
            </w:tcBorders>
          </w:tcPr>
          <w:p w14:paraId="1369F6D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(8.65)</w:t>
            </w:r>
          </w:p>
        </w:tc>
        <w:tc>
          <w:tcPr>
            <w:tcW w:w="1142" w:type="dxa"/>
            <w:tcBorders>
              <w:top w:val="nil"/>
              <w:left w:val="nil"/>
              <w:bottom w:val="nil"/>
              <w:right w:val="nil"/>
            </w:tcBorders>
          </w:tcPr>
          <w:p w14:paraId="632EF66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(10.05)</w:t>
            </w:r>
          </w:p>
        </w:tc>
        <w:tc>
          <w:tcPr>
            <w:tcW w:w="1291" w:type="dxa"/>
            <w:tcBorders>
              <w:top w:val="nil"/>
              <w:left w:val="nil"/>
              <w:bottom w:val="nil"/>
              <w:right w:val="nil"/>
            </w:tcBorders>
          </w:tcPr>
          <w:p w14:paraId="1BAFFA5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(10.33)</w:t>
            </w:r>
          </w:p>
        </w:tc>
      </w:tr>
      <w:tr w:rsidR="00DB6C99" w:rsidRPr="00DB6C99" w14:paraId="728E4ABD" w14:textId="77777777" w:rsidTr="007C344D">
        <w:trPr>
          <w:jc w:val="center"/>
        </w:trPr>
        <w:tc>
          <w:tcPr>
            <w:tcW w:w="1947" w:type="dxa"/>
            <w:tcBorders>
              <w:top w:val="nil"/>
              <w:left w:val="nil"/>
              <w:bottom w:val="nil"/>
              <w:right w:val="nil"/>
            </w:tcBorders>
          </w:tcPr>
          <w:p w14:paraId="0C815271"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rPr>
              <w:t>R&amp;D</w:t>
            </w:r>
          </w:p>
        </w:tc>
        <w:tc>
          <w:tcPr>
            <w:tcW w:w="1097" w:type="dxa"/>
            <w:tcBorders>
              <w:top w:val="nil"/>
              <w:left w:val="nil"/>
              <w:bottom w:val="nil"/>
              <w:right w:val="nil"/>
            </w:tcBorders>
          </w:tcPr>
          <w:p w14:paraId="584480C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0.036**</w:t>
            </w:r>
          </w:p>
        </w:tc>
        <w:tc>
          <w:tcPr>
            <w:tcW w:w="1088" w:type="dxa"/>
            <w:tcBorders>
              <w:top w:val="nil"/>
              <w:left w:val="nil"/>
              <w:bottom w:val="nil"/>
              <w:right w:val="nil"/>
            </w:tcBorders>
          </w:tcPr>
          <w:p w14:paraId="570C65C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0.129</w:t>
            </w:r>
          </w:p>
        </w:tc>
        <w:tc>
          <w:tcPr>
            <w:tcW w:w="1174" w:type="dxa"/>
            <w:tcBorders>
              <w:top w:val="nil"/>
              <w:left w:val="nil"/>
              <w:bottom w:val="nil"/>
              <w:right w:val="nil"/>
            </w:tcBorders>
          </w:tcPr>
          <w:p w14:paraId="11AA1C5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-0.002</w:t>
            </w:r>
          </w:p>
        </w:tc>
        <w:tc>
          <w:tcPr>
            <w:tcW w:w="1217" w:type="dxa"/>
            <w:tcBorders>
              <w:top w:val="nil"/>
              <w:left w:val="nil"/>
              <w:bottom w:val="nil"/>
              <w:right w:val="nil"/>
            </w:tcBorders>
          </w:tcPr>
          <w:p w14:paraId="460E68F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-0.247</w:t>
            </w:r>
          </w:p>
        </w:tc>
        <w:tc>
          <w:tcPr>
            <w:tcW w:w="1149" w:type="dxa"/>
            <w:tcBorders>
              <w:top w:val="nil"/>
              <w:left w:val="nil"/>
              <w:bottom w:val="nil"/>
              <w:right w:val="nil"/>
            </w:tcBorders>
          </w:tcPr>
          <w:p w14:paraId="31DE5F8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-0.025***</w:t>
            </w:r>
          </w:p>
        </w:tc>
        <w:tc>
          <w:tcPr>
            <w:tcW w:w="1204" w:type="dxa"/>
            <w:tcBorders>
              <w:top w:val="nil"/>
              <w:left w:val="nil"/>
              <w:bottom w:val="nil"/>
              <w:right w:val="nil"/>
            </w:tcBorders>
          </w:tcPr>
          <w:p w14:paraId="3B0422B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0.411***</w:t>
            </w:r>
          </w:p>
        </w:tc>
        <w:tc>
          <w:tcPr>
            <w:tcW w:w="1142" w:type="dxa"/>
            <w:tcBorders>
              <w:top w:val="nil"/>
              <w:left w:val="nil"/>
              <w:bottom w:val="nil"/>
              <w:right w:val="nil"/>
            </w:tcBorders>
          </w:tcPr>
          <w:p w14:paraId="28B4FB2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-0.022***</w:t>
            </w:r>
          </w:p>
        </w:tc>
        <w:tc>
          <w:tcPr>
            <w:tcW w:w="1291" w:type="dxa"/>
            <w:tcBorders>
              <w:top w:val="nil"/>
              <w:left w:val="nil"/>
              <w:bottom w:val="nil"/>
              <w:right w:val="nil"/>
            </w:tcBorders>
          </w:tcPr>
          <w:p w14:paraId="42131EB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0.442***</w:t>
            </w:r>
          </w:p>
        </w:tc>
      </w:tr>
      <w:tr w:rsidR="00DB6C99" w:rsidRPr="00DB6C99" w14:paraId="43B42A9D" w14:textId="77777777" w:rsidTr="007C344D">
        <w:trPr>
          <w:jc w:val="center"/>
        </w:trPr>
        <w:tc>
          <w:tcPr>
            <w:tcW w:w="1947" w:type="dxa"/>
            <w:tcBorders>
              <w:top w:val="nil"/>
              <w:left w:val="nil"/>
              <w:bottom w:val="nil"/>
              <w:right w:val="nil"/>
            </w:tcBorders>
          </w:tcPr>
          <w:p w14:paraId="57D622F4"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097" w:type="dxa"/>
            <w:tcBorders>
              <w:top w:val="nil"/>
              <w:left w:val="nil"/>
              <w:bottom w:val="nil"/>
              <w:right w:val="nil"/>
            </w:tcBorders>
          </w:tcPr>
          <w:p w14:paraId="4D07D2D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(2.22)</w:t>
            </w:r>
          </w:p>
        </w:tc>
        <w:tc>
          <w:tcPr>
            <w:tcW w:w="1088" w:type="dxa"/>
            <w:tcBorders>
              <w:top w:val="nil"/>
              <w:left w:val="nil"/>
              <w:bottom w:val="nil"/>
              <w:right w:val="nil"/>
            </w:tcBorders>
          </w:tcPr>
          <w:p w14:paraId="40315B8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(0.51)</w:t>
            </w:r>
          </w:p>
        </w:tc>
        <w:tc>
          <w:tcPr>
            <w:tcW w:w="1174" w:type="dxa"/>
            <w:tcBorders>
              <w:top w:val="nil"/>
              <w:left w:val="nil"/>
              <w:bottom w:val="nil"/>
              <w:right w:val="nil"/>
            </w:tcBorders>
          </w:tcPr>
          <w:p w14:paraId="40910B7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(-0.15)</w:t>
            </w:r>
          </w:p>
        </w:tc>
        <w:tc>
          <w:tcPr>
            <w:tcW w:w="1217" w:type="dxa"/>
            <w:tcBorders>
              <w:top w:val="nil"/>
              <w:left w:val="nil"/>
              <w:bottom w:val="nil"/>
              <w:right w:val="nil"/>
            </w:tcBorders>
          </w:tcPr>
          <w:p w14:paraId="177150F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(-0.80)</w:t>
            </w:r>
          </w:p>
        </w:tc>
        <w:tc>
          <w:tcPr>
            <w:tcW w:w="1149" w:type="dxa"/>
            <w:tcBorders>
              <w:top w:val="nil"/>
              <w:left w:val="nil"/>
              <w:bottom w:val="nil"/>
              <w:right w:val="nil"/>
            </w:tcBorders>
          </w:tcPr>
          <w:p w14:paraId="713ABAF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(-4.64)</w:t>
            </w:r>
          </w:p>
        </w:tc>
        <w:tc>
          <w:tcPr>
            <w:tcW w:w="1204" w:type="dxa"/>
            <w:tcBorders>
              <w:top w:val="nil"/>
              <w:left w:val="nil"/>
              <w:bottom w:val="nil"/>
              <w:right w:val="nil"/>
            </w:tcBorders>
          </w:tcPr>
          <w:p w14:paraId="75235CE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(4.43)</w:t>
            </w:r>
          </w:p>
        </w:tc>
        <w:tc>
          <w:tcPr>
            <w:tcW w:w="1142" w:type="dxa"/>
            <w:tcBorders>
              <w:top w:val="nil"/>
              <w:left w:val="nil"/>
              <w:bottom w:val="nil"/>
              <w:right w:val="nil"/>
            </w:tcBorders>
          </w:tcPr>
          <w:p w14:paraId="68B0461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(-4.46)</w:t>
            </w:r>
          </w:p>
        </w:tc>
        <w:tc>
          <w:tcPr>
            <w:tcW w:w="1291" w:type="dxa"/>
            <w:tcBorders>
              <w:top w:val="nil"/>
              <w:left w:val="nil"/>
              <w:bottom w:val="nil"/>
              <w:right w:val="nil"/>
            </w:tcBorders>
          </w:tcPr>
          <w:p w14:paraId="4D7CB18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(4.11)</w:t>
            </w:r>
          </w:p>
        </w:tc>
      </w:tr>
      <w:tr w:rsidR="00DB6C99" w:rsidRPr="00DB6C99" w14:paraId="4F603233" w14:textId="77777777" w:rsidTr="007C344D">
        <w:trPr>
          <w:jc w:val="center"/>
        </w:trPr>
        <w:tc>
          <w:tcPr>
            <w:tcW w:w="1947" w:type="dxa"/>
            <w:tcBorders>
              <w:top w:val="nil"/>
              <w:left w:val="nil"/>
              <w:bottom w:val="nil"/>
              <w:right w:val="nil"/>
            </w:tcBorders>
          </w:tcPr>
          <w:p w14:paraId="71D3B24F"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rPr>
              <w:t>AFE</w:t>
            </w:r>
          </w:p>
        </w:tc>
        <w:tc>
          <w:tcPr>
            <w:tcW w:w="1097" w:type="dxa"/>
            <w:tcBorders>
              <w:top w:val="nil"/>
              <w:left w:val="nil"/>
              <w:bottom w:val="nil"/>
              <w:right w:val="nil"/>
            </w:tcBorders>
          </w:tcPr>
          <w:p w14:paraId="616C626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0.000</w:t>
            </w:r>
          </w:p>
        </w:tc>
        <w:tc>
          <w:tcPr>
            <w:tcW w:w="1088" w:type="dxa"/>
            <w:tcBorders>
              <w:top w:val="nil"/>
              <w:left w:val="nil"/>
              <w:bottom w:val="nil"/>
              <w:right w:val="nil"/>
            </w:tcBorders>
          </w:tcPr>
          <w:p w14:paraId="1608043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-0.006</w:t>
            </w:r>
          </w:p>
        </w:tc>
        <w:tc>
          <w:tcPr>
            <w:tcW w:w="1174" w:type="dxa"/>
            <w:tcBorders>
              <w:top w:val="nil"/>
              <w:left w:val="nil"/>
              <w:bottom w:val="nil"/>
              <w:right w:val="nil"/>
            </w:tcBorders>
          </w:tcPr>
          <w:p w14:paraId="4C96F3BF"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-0.000</w:t>
            </w:r>
          </w:p>
        </w:tc>
        <w:tc>
          <w:tcPr>
            <w:tcW w:w="1217" w:type="dxa"/>
            <w:tcBorders>
              <w:top w:val="nil"/>
              <w:left w:val="nil"/>
              <w:bottom w:val="nil"/>
              <w:right w:val="nil"/>
            </w:tcBorders>
          </w:tcPr>
          <w:p w14:paraId="5611B59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-0.009</w:t>
            </w:r>
          </w:p>
        </w:tc>
        <w:tc>
          <w:tcPr>
            <w:tcW w:w="1149" w:type="dxa"/>
            <w:tcBorders>
              <w:top w:val="nil"/>
              <w:left w:val="nil"/>
              <w:bottom w:val="nil"/>
              <w:right w:val="nil"/>
            </w:tcBorders>
          </w:tcPr>
          <w:p w14:paraId="0070151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0.000**</w:t>
            </w:r>
          </w:p>
        </w:tc>
        <w:tc>
          <w:tcPr>
            <w:tcW w:w="1204" w:type="dxa"/>
            <w:tcBorders>
              <w:top w:val="nil"/>
              <w:left w:val="nil"/>
              <w:bottom w:val="nil"/>
              <w:right w:val="nil"/>
            </w:tcBorders>
          </w:tcPr>
          <w:p w14:paraId="66E68FF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0.004</w:t>
            </w:r>
          </w:p>
        </w:tc>
        <w:tc>
          <w:tcPr>
            <w:tcW w:w="1142" w:type="dxa"/>
            <w:tcBorders>
              <w:top w:val="nil"/>
              <w:left w:val="nil"/>
              <w:bottom w:val="nil"/>
              <w:right w:val="nil"/>
            </w:tcBorders>
          </w:tcPr>
          <w:p w14:paraId="362CCFF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0.000</w:t>
            </w:r>
          </w:p>
        </w:tc>
        <w:tc>
          <w:tcPr>
            <w:tcW w:w="1291" w:type="dxa"/>
            <w:tcBorders>
              <w:top w:val="nil"/>
              <w:left w:val="nil"/>
              <w:bottom w:val="nil"/>
              <w:right w:val="nil"/>
            </w:tcBorders>
          </w:tcPr>
          <w:p w14:paraId="7032291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0.006</w:t>
            </w:r>
          </w:p>
        </w:tc>
      </w:tr>
      <w:tr w:rsidR="00DB6C99" w:rsidRPr="00DB6C99" w14:paraId="21D46D89" w14:textId="77777777" w:rsidTr="007C344D">
        <w:trPr>
          <w:jc w:val="center"/>
        </w:trPr>
        <w:tc>
          <w:tcPr>
            <w:tcW w:w="1947" w:type="dxa"/>
            <w:tcBorders>
              <w:top w:val="nil"/>
              <w:left w:val="nil"/>
              <w:bottom w:val="nil"/>
              <w:right w:val="nil"/>
            </w:tcBorders>
          </w:tcPr>
          <w:p w14:paraId="3872A153"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097" w:type="dxa"/>
            <w:tcBorders>
              <w:top w:val="nil"/>
              <w:left w:val="nil"/>
              <w:bottom w:val="nil"/>
              <w:right w:val="nil"/>
            </w:tcBorders>
          </w:tcPr>
          <w:p w14:paraId="20A3BBF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(0.94)</w:t>
            </w:r>
          </w:p>
        </w:tc>
        <w:tc>
          <w:tcPr>
            <w:tcW w:w="1088" w:type="dxa"/>
            <w:tcBorders>
              <w:top w:val="nil"/>
              <w:left w:val="nil"/>
              <w:bottom w:val="nil"/>
              <w:right w:val="nil"/>
            </w:tcBorders>
          </w:tcPr>
          <w:p w14:paraId="446F42F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(-1.02)</w:t>
            </w:r>
          </w:p>
        </w:tc>
        <w:tc>
          <w:tcPr>
            <w:tcW w:w="1174" w:type="dxa"/>
            <w:tcBorders>
              <w:top w:val="nil"/>
              <w:left w:val="nil"/>
              <w:bottom w:val="nil"/>
              <w:right w:val="nil"/>
            </w:tcBorders>
          </w:tcPr>
          <w:p w14:paraId="7B68825F"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(-0.29)</w:t>
            </w:r>
          </w:p>
        </w:tc>
        <w:tc>
          <w:tcPr>
            <w:tcW w:w="1217" w:type="dxa"/>
            <w:tcBorders>
              <w:top w:val="nil"/>
              <w:left w:val="nil"/>
              <w:bottom w:val="nil"/>
              <w:right w:val="nil"/>
            </w:tcBorders>
          </w:tcPr>
          <w:p w14:paraId="735E80C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(-1.09)</w:t>
            </w:r>
          </w:p>
        </w:tc>
        <w:tc>
          <w:tcPr>
            <w:tcW w:w="1149" w:type="dxa"/>
            <w:tcBorders>
              <w:top w:val="nil"/>
              <w:left w:val="nil"/>
              <w:bottom w:val="nil"/>
              <w:right w:val="nil"/>
            </w:tcBorders>
          </w:tcPr>
          <w:p w14:paraId="0B7E4AE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(2.01)</w:t>
            </w:r>
          </w:p>
        </w:tc>
        <w:tc>
          <w:tcPr>
            <w:tcW w:w="1204" w:type="dxa"/>
            <w:tcBorders>
              <w:top w:val="nil"/>
              <w:left w:val="nil"/>
              <w:bottom w:val="nil"/>
              <w:right w:val="nil"/>
            </w:tcBorders>
          </w:tcPr>
          <w:p w14:paraId="070C2AD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(1.37)</w:t>
            </w:r>
          </w:p>
        </w:tc>
        <w:tc>
          <w:tcPr>
            <w:tcW w:w="1142" w:type="dxa"/>
            <w:tcBorders>
              <w:top w:val="nil"/>
              <w:left w:val="nil"/>
              <w:bottom w:val="nil"/>
              <w:right w:val="nil"/>
            </w:tcBorders>
          </w:tcPr>
          <w:p w14:paraId="78D4CA1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(1.50)</w:t>
            </w:r>
          </w:p>
        </w:tc>
        <w:tc>
          <w:tcPr>
            <w:tcW w:w="1291" w:type="dxa"/>
            <w:tcBorders>
              <w:top w:val="nil"/>
              <w:left w:val="nil"/>
              <w:bottom w:val="nil"/>
              <w:right w:val="nil"/>
            </w:tcBorders>
          </w:tcPr>
          <w:p w14:paraId="165A50A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(1.46)</w:t>
            </w:r>
          </w:p>
        </w:tc>
      </w:tr>
      <w:tr w:rsidR="00DB6C99" w:rsidRPr="00DB6C99" w14:paraId="38E94458" w14:textId="77777777" w:rsidTr="007C344D">
        <w:trPr>
          <w:jc w:val="center"/>
        </w:trPr>
        <w:tc>
          <w:tcPr>
            <w:tcW w:w="1947" w:type="dxa"/>
            <w:tcBorders>
              <w:top w:val="nil"/>
              <w:left w:val="nil"/>
              <w:bottom w:val="nil"/>
              <w:right w:val="nil"/>
            </w:tcBorders>
          </w:tcPr>
          <w:p w14:paraId="6D7ADEF5"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rPr>
              <w:t>SLACK</w:t>
            </w:r>
          </w:p>
        </w:tc>
        <w:tc>
          <w:tcPr>
            <w:tcW w:w="1097" w:type="dxa"/>
            <w:tcBorders>
              <w:top w:val="nil"/>
              <w:left w:val="nil"/>
              <w:bottom w:val="nil"/>
              <w:right w:val="nil"/>
            </w:tcBorders>
          </w:tcPr>
          <w:p w14:paraId="1DC8541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0.001</w:t>
            </w:r>
          </w:p>
        </w:tc>
        <w:tc>
          <w:tcPr>
            <w:tcW w:w="1088" w:type="dxa"/>
            <w:tcBorders>
              <w:top w:val="nil"/>
              <w:left w:val="nil"/>
              <w:bottom w:val="nil"/>
              <w:right w:val="nil"/>
            </w:tcBorders>
          </w:tcPr>
          <w:p w14:paraId="294DDBC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0.017</w:t>
            </w:r>
          </w:p>
        </w:tc>
        <w:tc>
          <w:tcPr>
            <w:tcW w:w="1174" w:type="dxa"/>
            <w:tcBorders>
              <w:top w:val="nil"/>
              <w:left w:val="nil"/>
              <w:bottom w:val="nil"/>
              <w:right w:val="nil"/>
            </w:tcBorders>
          </w:tcPr>
          <w:p w14:paraId="2AF545B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-0.002***</w:t>
            </w:r>
          </w:p>
        </w:tc>
        <w:tc>
          <w:tcPr>
            <w:tcW w:w="1217" w:type="dxa"/>
            <w:tcBorders>
              <w:top w:val="nil"/>
              <w:left w:val="nil"/>
              <w:bottom w:val="nil"/>
              <w:right w:val="nil"/>
            </w:tcBorders>
          </w:tcPr>
          <w:p w14:paraId="1E7FA6C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0.019</w:t>
            </w:r>
          </w:p>
        </w:tc>
        <w:tc>
          <w:tcPr>
            <w:tcW w:w="1149" w:type="dxa"/>
            <w:tcBorders>
              <w:top w:val="nil"/>
              <w:left w:val="nil"/>
              <w:bottom w:val="nil"/>
              <w:right w:val="nil"/>
            </w:tcBorders>
          </w:tcPr>
          <w:p w14:paraId="222E672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-0.004***</w:t>
            </w:r>
          </w:p>
        </w:tc>
        <w:tc>
          <w:tcPr>
            <w:tcW w:w="1204" w:type="dxa"/>
            <w:tcBorders>
              <w:top w:val="nil"/>
              <w:left w:val="nil"/>
              <w:bottom w:val="nil"/>
              <w:right w:val="nil"/>
            </w:tcBorders>
          </w:tcPr>
          <w:p w14:paraId="69381FD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-0.011</w:t>
            </w:r>
          </w:p>
        </w:tc>
        <w:tc>
          <w:tcPr>
            <w:tcW w:w="1142" w:type="dxa"/>
            <w:tcBorders>
              <w:top w:val="nil"/>
              <w:left w:val="nil"/>
              <w:bottom w:val="nil"/>
              <w:right w:val="nil"/>
            </w:tcBorders>
          </w:tcPr>
          <w:p w14:paraId="292AE27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-0.005***</w:t>
            </w:r>
          </w:p>
        </w:tc>
        <w:tc>
          <w:tcPr>
            <w:tcW w:w="1291" w:type="dxa"/>
            <w:tcBorders>
              <w:top w:val="nil"/>
              <w:left w:val="nil"/>
              <w:bottom w:val="nil"/>
              <w:right w:val="nil"/>
            </w:tcBorders>
          </w:tcPr>
          <w:p w14:paraId="6D3F854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-0.009</w:t>
            </w:r>
          </w:p>
        </w:tc>
      </w:tr>
      <w:tr w:rsidR="00DB6C99" w:rsidRPr="00DB6C99" w14:paraId="04A7AF3E" w14:textId="77777777" w:rsidTr="007C344D">
        <w:trPr>
          <w:jc w:val="center"/>
        </w:trPr>
        <w:tc>
          <w:tcPr>
            <w:tcW w:w="1947" w:type="dxa"/>
            <w:tcBorders>
              <w:top w:val="nil"/>
              <w:left w:val="nil"/>
              <w:bottom w:val="nil"/>
              <w:right w:val="nil"/>
            </w:tcBorders>
          </w:tcPr>
          <w:p w14:paraId="67EFC380"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097" w:type="dxa"/>
            <w:tcBorders>
              <w:top w:val="nil"/>
              <w:left w:val="nil"/>
              <w:bottom w:val="nil"/>
              <w:right w:val="nil"/>
            </w:tcBorders>
          </w:tcPr>
          <w:p w14:paraId="742BF60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(1.23)</w:t>
            </w:r>
          </w:p>
        </w:tc>
        <w:tc>
          <w:tcPr>
            <w:tcW w:w="1088" w:type="dxa"/>
            <w:tcBorders>
              <w:top w:val="nil"/>
              <w:left w:val="nil"/>
              <w:bottom w:val="nil"/>
              <w:right w:val="nil"/>
            </w:tcBorders>
          </w:tcPr>
          <w:p w14:paraId="558AD71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(1.57)</w:t>
            </w:r>
          </w:p>
        </w:tc>
        <w:tc>
          <w:tcPr>
            <w:tcW w:w="1174" w:type="dxa"/>
            <w:tcBorders>
              <w:top w:val="nil"/>
              <w:left w:val="nil"/>
              <w:bottom w:val="nil"/>
              <w:right w:val="nil"/>
            </w:tcBorders>
          </w:tcPr>
          <w:p w14:paraId="4A6A782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(-3.30)</w:t>
            </w:r>
          </w:p>
        </w:tc>
        <w:tc>
          <w:tcPr>
            <w:tcW w:w="1217" w:type="dxa"/>
            <w:tcBorders>
              <w:top w:val="nil"/>
              <w:left w:val="nil"/>
              <w:bottom w:val="nil"/>
              <w:right w:val="nil"/>
            </w:tcBorders>
          </w:tcPr>
          <w:p w14:paraId="718F5D9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(1.54)</w:t>
            </w:r>
          </w:p>
        </w:tc>
        <w:tc>
          <w:tcPr>
            <w:tcW w:w="1149" w:type="dxa"/>
            <w:tcBorders>
              <w:top w:val="nil"/>
              <w:left w:val="nil"/>
              <w:bottom w:val="nil"/>
              <w:right w:val="nil"/>
            </w:tcBorders>
          </w:tcPr>
          <w:p w14:paraId="2406F86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(-8.36)</w:t>
            </w:r>
          </w:p>
        </w:tc>
        <w:tc>
          <w:tcPr>
            <w:tcW w:w="1204" w:type="dxa"/>
            <w:tcBorders>
              <w:top w:val="nil"/>
              <w:left w:val="nil"/>
              <w:bottom w:val="nil"/>
              <w:right w:val="nil"/>
            </w:tcBorders>
          </w:tcPr>
          <w:p w14:paraId="3A751D7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(-1.53)</w:t>
            </w:r>
          </w:p>
        </w:tc>
        <w:tc>
          <w:tcPr>
            <w:tcW w:w="1142" w:type="dxa"/>
            <w:tcBorders>
              <w:top w:val="nil"/>
              <w:left w:val="nil"/>
              <w:bottom w:val="nil"/>
              <w:right w:val="nil"/>
            </w:tcBorders>
          </w:tcPr>
          <w:p w14:paraId="39F8ADC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(-12.16)</w:t>
            </w:r>
          </w:p>
        </w:tc>
        <w:tc>
          <w:tcPr>
            <w:tcW w:w="1291" w:type="dxa"/>
            <w:tcBorders>
              <w:top w:val="nil"/>
              <w:left w:val="nil"/>
              <w:bottom w:val="nil"/>
              <w:right w:val="nil"/>
            </w:tcBorders>
          </w:tcPr>
          <w:p w14:paraId="142FB10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(-1.04)</w:t>
            </w:r>
          </w:p>
        </w:tc>
      </w:tr>
      <w:tr w:rsidR="00DB6C99" w:rsidRPr="00DB6C99" w14:paraId="2B72E766" w14:textId="77777777" w:rsidTr="007C344D">
        <w:trPr>
          <w:jc w:val="center"/>
        </w:trPr>
        <w:tc>
          <w:tcPr>
            <w:tcW w:w="1947" w:type="dxa"/>
            <w:tcBorders>
              <w:top w:val="nil"/>
              <w:left w:val="nil"/>
              <w:bottom w:val="nil"/>
              <w:right w:val="nil"/>
            </w:tcBorders>
          </w:tcPr>
          <w:p w14:paraId="2FFA9280"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rPr>
              <w:t>COD</w:t>
            </w:r>
          </w:p>
        </w:tc>
        <w:tc>
          <w:tcPr>
            <w:tcW w:w="1097" w:type="dxa"/>
            <w:tcBorders>
              <w:top w:val="nil"/>
              <w:left w:val="nil"/>
              <w:bottom w:val="nil"/>
              <w:right w:val="nil"/>
            </w:tcBorders>
          </w:tcPr>
          <w:p w14:paraId="3AD2FC1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0.030**</w:t>
            </w:r>
          </w:p>
        </w:tc>
        <w:tc>
          <w:tcPr>
            <w:tcW w:w="1088" w:type="dxa"/>
            <w:tcBorders>
              <w:top w:val="nil"/>
              <w:left w:val="nil"/>
              <w:bottom w:val="nil"/>
              <w:right w:val="nil"/>
            </w:tcBorders>
          </w:tcPr>
          <w:p w14:paraId="4B1DABB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-0.137</w:t>
            </w:r>
          </w:p>
        </w:tc>
        <w:tc>
          <w:tcPr>
            <w:tcW w:w="1174" w:type="dxa"/>
            <w:tcBorders>
              <w:top w:val="nil"/>
              <w:left w:val="nil"/>
              <w:bottom w:val="nil"/>
              <w:right w:val="nil"/>
            </w:tcBorders>
          </w:tcPr>
          <w:p w14:paraId="4C5054A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0.019*</w:t>
            </w:r>
          </w:p>
        </w:tc>
        <w:tc>
          <w:tcPr>
            <w:tcW w:w="1217" w:type="dxa"/>
            <w:tcBorders>
              <w:top w:val="nil"/>
              <w:left w:val="nil"/>
              <w:bottom w:val="nil"/>
              <w:right w:val="nil"/>
            </w:tcBorders>
          </w:tcPr>
          <w:p w14:paraId="40CC831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-0.047</w:t>
            </w:r>
          </w:p>
        </w:tc>
        <w:tc>
          <w:tcPr>
            <w:tcW w:w="1149" w:type="dxa"/>
            <w:tcBorders>
              <w:top w:val="nil"/>
              <w:left w:val="nil"/>
              <w:bottom w:val="nil"/>
              <w:right w:val="nil"/>
            </w:tcBorders>
          </w:tcPr>
          <w:p w14:paraId="00CD6C2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0.053***</w:t>
            </w:r>
          </w:p>
        </w:tc>
        <w:tc>
          <w:tcPr>
            <w:tcW w:w="1204" w:type="dxa"/>
            <w:tcBorders>
              <w:top w:val="nil"/>
              <w:left w:val="nil"/>
              <w:bottom w:val="nil"/>
              <w:right w:val="nil"/>
            </w:tcBorders>
          </w:tcPr>
          <w:p w14:paraId="63BA345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0.505***</w:t>
            </w:r>
          </w:p>
        </w:tc>
        <w:tc>
          <w:tcPr>
            <w:tcW w:w="1142" w:type="dxa"/>
            <w:tcBorders>
              <w:top w:val="nil"/>
              <w:left w:val="nil"/>
              <w:bottom w:val="nil"/>
              <w:right w:val="nil"/>
            </w:tcBorders>
          </w:tcPr>
          <w:p w14:paraId="797694D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0.052***</w:t>
            </w:r>
          </w:p>
        </w:tc>
        <w:tc>
          <w:tcPr>
            <w:tcW w:w="1291" w:type="dxa"/>
            <w:tcBorders>
              <w:top w:val="nil"/>
              <w:left w:val="nil"/>
              <w:bottom w:val="nil"/>
              <w:right w:val="nil"/>
            </w:tcBorders>
          </w:tcPr>
          <w:p w14:paraId="5539F4D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0.547***</w:t>
            </w:r>
          </w:p>
        </w:tc>
      </w:tr>
      <w:tr w:rsidR="00DB6C99" w:rsidRPr="00DB6C99" w14:paraId="7285C611" w14:textId="77777777" w:rsidTr="007C344D">
        <w:trPr>
          <w:jc w:val="center"/>
        </w:trPr>
        <w:tc>
          <w:tcPr>
            <w:tcW w:w="1947" w:type="dxa"/>
            <w:tcBorders>
              <w:top w:val="nil"/>
              <w:left w:val="nil"/>
              <w:bottom w:val="nil"/>
              <w:right w:val="nil"/>
            </w:tcBorders>
          </w:tcPr>
          <w:p w14:paraId="7224013A"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097" w:type="dxa"/>
            <w:tcBorders>
              <w:top w:val="nil"/>
              <w:left w:val="nil"/>
              <w:bottom w:val="nil"/>
              <w:right w:val="nil"/>
            </w:tcBorders>
          </w:tcPr>
          <w:p w14:paraId="6A5011B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(2.28)</w:t>
            </w:r>
          </w:p>
        </w:tc>
        <w:tc>
          <w:tcPr>
            <w:tcW w:w="1088" w:type="dxa"/>
            <w:tcBorders>
              <w:top w:val="nil"/>
              <w:left w:val="nil"/>
              <w:bottom w:val="nil"/>
              <w:right w:val="nil"/>
            </w:tcBorders>
          </w:tcPr>
          <w:p w14:paraId="1CC49F3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(-0.68)</w:t>
            </w:r>
          </w:p>
        </w:tc>
        <w:tc>
          <w:tcPr>
            <w:tcW w:w="1174" w:type="dxa"/>
            <w:tcBorders>
              <w:top w:val="nil"/>
              <w:left w:val="nil"/>
              <w:bottom w:val="nil"/>
              <w:right w:val="nil"/>
            </w:tcBorders>
          </w:tcPr>
          <w:p w14:paraId="3E1D56A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(1.75)</w:t>
            </w:r>
          </w:p>
        </w:tc>
        <w:tc>
          <w:tcPr>
            <w:tcW w:w="1217" w:type="dxa"/>
            <w:tcBorders>
              <w:top w:val="nil"/>
              <w:left w:val="nil"/>
              <w:bottom w:val="nil"/>
              <w:right w:val="nil"/>
            </w:tcBorders>
          </w:tcPr>
          <w:p w14:paraId="0693063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(-0.21)</w:t>
            </w:r>
          </w:p>
        </w:tc>
        <w:tc>
          <w:tcPr>
            <w:tcW w:w="1149" w:type="dxa"/>
            <w:tcBorders>
              <w:top w:val="nil"/>
              <w:left w:val="nil"/>
              <w:bottom w:val="nil"/>
              <w:right w:val="nil"/>
            </w:tcBorders>
          </w:tcPr>
          <w:p w14:paraId="5161230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(5.45)</w:t>
            </w:r>
          </w:p>
        </w:tc>
        <w:tc>
          <w:tcPr>
            <w:tcW w:w="1204" w:type="dxa"/>
            <w:tcBorders>
              <w:top w:val="nil"/>
              <w:left w:val="nil"/>
              <w:bottom w:val="nil"/>
              <w:right w:val="nil"/>
            </w:tcBorders>
          </w:tcPr>
          <w:p w14:paraId="168970E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(2.98)</w:t>
            </w:r>
          </w:p>
        </w:tc>
        <w:tc>
          <w:tcPr>
            <w:tcW w:w="1142" w:type="dxa"/>
            <w:tcBorders>
              <w:top w:val="nil"/>
              <w:left w:val="nil"/>
              <w:bottom w:val="nil"/>
              <w:right w:val="nil"/>
            </w:tcBorders>
          </w:tcPr>
          <w:p w14:paraId="31BC171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(5.90)</w:t>
            </w:r>
          </w:p>
        </w:tc>
        <w:tc>
          <w:tcPr>
            <w:tcW w:w="1291" w:type="dxa"/>
            <w:tcBorders>
              <w:top w:val="nil"/>
              <w:left w:val="nil"/>
              <w:bottom w:val="nil"/>
              <w:right w:val="nil"/>
            </w:tcBorders>
          </w:tcPr>
          <w:p w14:paraId="17CEC5C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(2.93)</w:t>
            </w:r>
          </w:p>
        </w:tc>
      </w:tr>
      <w:tr w:rsidR="00DB6C99" w:rsidRPr="00DB6C99" w14:paraId="6AF555BA" w14:textId="77777777" w:rsidTr="007C344D">
        <w:trPr>
          <w:jc w:val="center"/>
        </w:trPr>
        <w:tc>
          <w:tcPr>
            <w:tcW w:w="1947" w:type="dxa"/>
            <w:tcBorders>
              <w:top w:val="nil"/>
              <w:left w:val="nil"/>
              <w:bottom w:val="nil"/>
              <w:right w:val="nil"/>
            </w:tcBorders>
          </w:tcPr>
          <w:p w14:paraId="110C8087"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rPr>
              <w:t>INST</w:t>
            </w:r>
          </w:p>
        </w:tc>
        <w:tc>
          <w:tcPr>
            <w:tcW w:w="1097" w:type="dxa"/>
            <w:tcBorders>
              <w:top w:val="nil"/>
              <w:left w:val="nil"/>
              <w:bottom w:val="nil"/>
              <w:right w:val="nil"/>
            </w:tcBorders>
          </w:tcPr>
          <w:p w14:paraId="27AB626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-0.003**</w:t>
            </w:r>
          </w:p>
        </w:tc>
        <w:tc>
          <w:tcPr>
            <w:tcW w:w="1088" w:type="dxa"/>
            <w:tcBorders>
              <w:top w:val="nil"/>
              <w:left w:val="nil"/>
              <w:bottom w:val="nil"/>
              <w:right w:val="nil"/>
            </w:tcBorders>
          </w:tcPr>
          <w:p w14:paraId="74EA0AF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-0.018</w:t>
            </w:r>
          </w:p>
        </w:tc>
        <w:tc>
          <w:tcPr>
            <w:tcW w:w="1174" w:type="dxa"/>
            <w:tcBorders>
              <w:top w:val="nil"/>
              <w:left w:val="nil"/>
              <w:bottom w:val="nil"/>
              <w:right w:val="nil"/>
            </w:tcBorders>
          </w:tcPr>
          <w:p w14:paraId="51B2820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-0.002*</w:t>
            </w:r>
          </w:p>
        </w:tc>
        <w:tc>
          <w:tcPr>
            <w:tcW w:w="1217" w:type="dxa"/>
            <w:tcBorders>
              <w:top w:val="nil"/>
              <w:left w:val="nil"/>
              <w:bottom w:val="nil"/>
              <w:right w:val="nil"/>
            </w:tcBorders>
          </w:tcPr>
          <w:p w14:paraId="48328B6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0.000</w:t>
            </w:r>
          </w:p>
        </w:tc>
        <w:tc>
          <w:tcPr>
            <w:tcW w:w="1149" w:type="dxa"/>
            <w:tcBorders>
              <w:top w:val="nil"/>
              <w:left w:val="nil"/>
              <w:bottom w:val="nil"/>
              <w:right w:val="nil"/>
            </w:tcBorders>
          </w:tcPr>
          <w:p w14:paraId="561BA25F"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-0.002**</w:t>
            </w:r>
          </w:p>
        </w:tc>
        <w:tc>
          <w:tcPr>
            <w:tcW w:w="1204" w:type="dxa"/>
            <w:tcBorders>
              <w:top w:val="nil"/>
              <w:left w:val="nil"/>
              <w:bottom w:val="nil"/>
              <w:right w:val="nil"/>
            </w:tcBorders>
          </w:tcPr>
          <w:p w14:paraId="7D31052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-0.110***</w:t>
            </w:r>
          </w:p>
        </w:tc>
        <w:tc>
          <w:tcPr>
            <w:tcW w:w="1142" w:type="dxa"/>
            <w:tcBorders>
              <w:top w:val="nil"/>
              <w:left w:val="nil"/>
              <w:bottom w:val="nil"/>
              <w:right w:val="nil"/>
            </w:tcBorders>
          </w:tcPr>
          <w:p w14:paraId="5CA09A6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-0.001</w:t>
            </w:r>
          </w:p>
        </w:tc>
        <w:tc>
          <w:tcPr>
            <w:tcW w:w="1291" w:type="dxa"/>
            <w:tcBorders>
              <w:top w:val="nil"/>
              <w:left w:val="nil"/>
              <w:bottom w:val="nil"/>
              <w:right w:val="nil"/>
            </w:tcBorders>
          </w:tcPr>
          <w:p w14:paraId="1850B32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-0.101***</w:t>
            </w:r>
          </w:p>
        </w:tc>
      </w:tr>
      <w:tr w:rsidR="00DB6C99" w:rsidRPr="00DB6C99" w14:paraId="74D24B77" w14:textId="77777777" w:rsidTr="007C344D">
        <w:trPr>
          <w:jc w:val="center"/>
        </w:trPr>
        <w:tc>
          <w:tcPr>
            <w:tcW w:w="1947" w:type="dxa"/>
            <w:tcBorders>
              <w:top w:val="nil"/>
              <w:left w:val="nil"/>
              <w:bottom w:val="nil"/>
              <w:right w:val="nil"/>
            </w:tcBorders>
          </w:tcPr>
          <w:p w14:paraId="60E69EC1"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097" w:type="dxa"/>
            <w:tcBorders>
              <w:top w:val="nil"/>
              <w:left w:val="nil"/>
              <w:bottom w:val="nil"/>
              <w:right w:val="nil"/>
            </w:tcBorders>
          </w:tcPr>
          <w:p w14:paraId="0A65386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(-2.38)</w:t>
            </w:r>
          </w:p>
        </w:tc>
        <w:tc>
          <w:tcPr>
            <w:tcW w:w="1088" w:type="dxa"/>
            <w:tcBorders>
              <w:top w:val="nil"/>
              <w:left w:val="nil"/>
              <w:bottom w:val="nil"/>
              <w:right w:val="nil"/>
            </w:tcBorders>
          </w:tcPr>
          <w:p w14:paraId="68312BD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(-0.96)</w:t>
            </w:r>
          </w:p>
        </w:tc>
        <w:tc>
          <w:tcPr>
            <w:tcW w:w="1174" w:type="dxa"/>
            <w:tcBorders>
              <w:top w:val="nil"/>
              <w:left w:val="nil"/>
              <w:bottom w:val="nil"/>
              <w:right w:val="nil"/>
            </w:tcBorders>
          </w:tcPr>
          <w:p w14:paraId="416BDD4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(-1.94)</w:t>
            </w:r>
          </w:p>
        </w:tc>
        <w:tc>
          <w:tcPr>
            <w:tcW w:w="1217" w:type="dxa"/>
            <w:tcBorders>
              <w:top w:val="nil"/>
              <w:left w:val="nil"/>
              <w:bottom w:val="nil"/>
              <w:right w:val="nil"/>
            </w:tcBorders>
          </w:tcPr>
          <w:p w14:paraId="6215B90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(0.01)</w:t>
            </w:r>
          </w:p>
        </w:tc>
        <w:tc>
          <w:tcPr>
            <w:tcW w:w="1149" w:type="dxa"/>
            <w:tcBorders>
              <w:top w:val="nil"/>
              <w:left w:val="nil"/>
              <w:bottom w:val="nil"/>
              <w:right w:val="nil"/>
            </w:tcBorders>
          </w:tcPr>
          <w:p w14:paraId="7668042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(-2.16)</w:t>
            </w:r>
          </w:p>
        </w:tc>
        <w:tc>
          <w:tcPr>
            <w:tcW w:w="1204" w:type="dxa"/>
            <w:tcBorders>
              <w:top w:val="nil"/>
              <w:left w:val="nil"/>
              <w:bottom w:val="nil"/>
              <w:right w:val="nil"/>
            </w:tcBorders>
          </w:tcPr>
          <w:p w14:paraId="0F74385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(-5.88)</w:t>
            </w:r>
          </w:p>
        </w:tc>
        <w:tc>
          <w:tcPr>
            <w:tcW w:w="1142" w:type="dxa"/>
            <w:tcBorders>
              <w:top w:val="nil"/>
              <w:left w:val="nil"/>
              <w:bottom w:val="nil"/>
              <w:right w:val="nil"/>
            </w:tcBorders>
          </w:tcPr>
          <w:p w14:paraId="78A32CB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(-1.34)</w:t>
            </w:r>
          </w:p>
        </w:tc>
        <w:tc>
          <w:tcPr>
            <w:tcW w:w="1291" w:type="dxa"/>
            <w:tcBorders>
              <w:top w:val="nil"/>
              <w:left w:val="nil"/>
              <w:bottom w:val="nil"/>
              <w:right w:val="nil"/>
            </w:tcBorders>
          </w:tcPr>
          <w:p w14:paraId="26F735A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(-4.98)</w:t>
            </w:r>
          </w:p>
        </w:tc>
      </w:tr>
      <w:tr w:rsidR="00DB6C99" w:rsidRPr="00DB6C99" w14:paraId="23BED4D4" w14:textId="77777777" w:rsidTr="007C344D">
        <w:trPr>
          <w:jc w:val="center"/>
        </w:trPr>
        <w:tc>
          <w:tcPr>
            <w:tcW w:w="1947" w:type="dxa"/>
            <w:tcBorders>
              <w:top w:val="nil"/>
              <w:left w:val="nil"/>
              <w:bottom w:val="nil"/>
              <w:right w:val="nil"/>
            </w:tcBorders>
          </w:tcPr>
          <w:p w14:paraId="42A6017A"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rPr>
              <w:t>STATE</w:t>
            </w:r>
          </w:p>
        </w:tc>
        <w:tc>
          <w:tcPr>
            <w:tcW w:w="1097" w:type="dxa"/>
            <w:tcBorders>
              <w:top w:val="nil"/>
              <w:left w:val="nil"/>
              <w:bottom w:val="nil"/>
              <w:right w:val="nil"/>
            </w:tcBorders>
          </w:tcPr>
          <w:p w14:paraId="759378D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-0.009</w:t>
            </w:r>
          </w:p>
        </w:tc>
        <w:tc>
          <w:tcPr>
            <w:tcW w:w="1088" w:type="dxa"/>
            <w:tcBorders>
              <w:top w:val="nil"/>
              <w:left w:val="nil"/>
              <w:bottom w:val="nil"/>
              <w:right w:val="nil"/>
            </w:tcBorders>
          </w:tcPr>
          <w:p w14:paraId="3590A46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0.088</w:t>
            </w:r>
          </w:p>
        </w:tc>
        <w:tc>
          <w:tcPr>
            <w:tcW w:w="1174" w:type="dxa"/>
            <w:tcBorders>
              <w:top w:val="nil"/>
              <w:left w:val="nil"/>
              <w:bottom w:val="nil"/>
              <w:right w:val="nil"/>
            </w:tcBorders>
          </w:tcPr>
          <w:p w14:paraId="0900EA6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-0.004</w:t>
            </w:r>
          </w:p>
        </w:tc>
        <w:tc>
          <w:tcPr>
            <w:tcW w:w="1217" w:type="dxa"/>
            <w:tcBorders>
              <w:top w:val="nil"/>
              <w:left w:val="nil"/>
              <w:bottom w:val="nil"/>
              <w:right w:val="nil"/>
            </w:tcBorders>
          </w:tcPr>
          <w:p w14:paraId="032D2E1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0.130</w:t>
            </w:r>
          </w:p>
        </w:tc>
        <w:tc>
          <w:tcPr>
            <w:tcW w:w="1149" w:type="dxa"/>
            <w:tcBorders>
              <w:top w:val="nil"/>
              <w:left w:val="nil"/>
              <w:bottom w:val="nil"/>
              <w:right w:val="nil"/>
            </w:tcBorders>
          </w:tcPr>
          <w:p w14:paraId="774EC6F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-0.000</w:t>
            </w:r>
          </w:p>
        </w:tc>
        <w:tc>
          <w:tcPr>
            <w:tcW w:w="1204" w:type="dxa"/>
            <w:tcBorders>
              <w:top w:val="nil"/>
              <w:left w:val="nil"/>
              <w:bottom w:val="nil"/>
              <w:right w:val="nil"/>
            </w:tcBorders>
          </w:tcPr>
          <w:p w14:paraId="2433763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0.158</w:t>
            </w:r>
          </w:p>
        </w:tc>
        <w:tc>
          <w:tcPr>
            <w:tcW w:w="1142" w:type="dxa"/>
            <w:tcBorders>
              <w:top w:val="nil"/>
              <w:left w:val="nil"/>
              <w:bottom w:val="nil"/>
              <w:right w:val="nil"/>
            </w:tcBorders>
          </w:tcPr>
          <w:p w14:paraId="654B7C1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0.002</w:t>
            </w:r>
          </w:p>
        </w:tc>
        <w:tc>
          <w:tcPr>
            <w:tcW w:w="1291" w:type="dxa"/>
            <w:tcBorders>
              <w:top w:val="nil"/>
              <w:left w:val="nil"/>
              <w:bottom w:val="nil"/>
              <w:right w:val="nil"/>
            </w:tcBorders>
          </w:tcPr>
          <w:p w14:paraId="1BE4633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0.200*</w:t>
            </w:r>
          </w:p>
        </w:tc>
      </w:tr>
      <w:tr w:rsidR="00DB6C99" w:rsidRPr="00DB6C99" w14:paraId="11924724" w14:textId="77777777" w:rsidTr="007C344D">
        <w:trPr>
          <w:jc w:val="center"/>
        </w:trPr>
        <w:tc>
          <w:tcPr>
            <w:tcW w:w="1947" w:type="dxa"/>
            <w:tcBorders>
              <w:top w:val="nil"/>
              <w:left w:val="nil"/>
              <w:bottom w:val="nil"/>
              <w:right w:val="nil"/>
            </w:tcBorders>
          </w:tcPr>
          <w:p w14:paraId="6AF7840F"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097" w:type="dxa"/>
            <w:tcBorders>
              <w:top w:val="nil"/>
              <w:left w:val="nil"/>
              <w:bottom w:val="nil"/>
              <w:right w:val="nil"/>
            </w:tcBorders>
          </w:tcPr>
          <w:p w14:paraId="3492126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(-1.15)</w:t>
            </w:r>
          </w:p>
        </w:tc>
        <w:tc>
          <w:tcPr>
            <w:tcW w:w="1088" w:type="dxa"/>
            <w:tcBorders>
              <w:top w:val="nil"/>
              <w:left w:val="nil"/>
              <w:bottom w:val="nil"/>
              <w:right w:val="nil"/>
            </w:tcBorders>
          </w:tcPr>
          <w:p w14:paraId="62D818D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(0.75)</w:t>
            </w:r>
          </w:p>
        </w:tc>
        <w:tc>
          <w:tcPr>
            <w:tcW w:w="1174" w:type="dxa"/>
            <w:tcBorders>
              <w:top w:val="nil"/>
              <w:left w:val="nil"/>
              <w:bottom w:val="nil"/>
              <w:right w:val="nil"/>
            </w:tcBorders>
          </w:tcPr>
          <w:p w14:paraId="173D9E6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(-0.67)</w:t>
            </w:r>
          </w:p>
        </w:tc>
        <w:tc>
          <w:tcPr>
            <w:tcW w:w="1217" w:type="dxa"/>
            <w:tcBorders>
              <w:top w:val="nil"/>
              <w:left w:val="nil"/>
              <w:bottom w:val="nil"/>
              <w:right w:val="nil"/>
            </w:tcBorders>
          </w:tcPr>
          <w:p w14:paraId="31F305B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(1.01)</w:t>
            </w:r>
          </w:p>
        </w:tc>
        <w:tc>
          <w:tcPr>
            <w:tcW w:w="1149" w:type="dxa"/>
            <w:tcBorders>
              <w:top w:val="nil"/>
              <w:left w:val="nil"/>
              <w:bottom w:val="nil"/>
              <w:right w:val="nil"/>
            </w:tcBorders>
          </w:tcPr>
          <w:p w14:paraId="532F736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(-0.01)</w:t>
            </w:r>
          </w:p>
        </w:tc>
        <w:tc>
          <w:tcPr>
            <w:tcW w:w="1204" w:type="dxa"/>
            <w:tcBorders>
              <w:top w:val="nil"/>
              <w:left w:val="nil"/>
              <w:bottom w:val="nil"/>
              <w:right w:val="nil"/>
            </w:tcBorders>
          </w:tcPr>
          <w:p w14:paraId="5E6B378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(1.46)</w:t>
            </w:r>
          </w:p>
        </w:tc>
        <w:tc>
          <w:tcPr>
            <w:tcW w:w="1142" w:type="dxa"/>
            <w:tcBorders>
              <w:top w:val="nil"/>
              <w:left w:val="nil"/>
              <w:bottom w:val="nil"/>
              <w:right w:val="nil"/>
            </w:tcBorders>
          </w:tcPr>
          <w:p w14:paraId="523DC1E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(0.34)</w:t>
            </w:r>
          </w:p>
        </w:tc>
        <w:tc>
          <w:tcPr>
            <w:tcW w:w="1291" w:type="dxa"/>
            <w:tcBorders>
              <w:top w:val="nil"/>
              <w:left w:val="nil"/>
              <w:bottom w:val="nil"/>
              <w:right w:val="nil"/>
            </w:tcBorders>
          </w:tcPr>
          <w:p w14:paraId="2643C96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(1.76)</w:t>
            </w:r>
          </w:p>
        </w:tc>
      </w:tr>
      <w:tr w:rsidR="00DB6C99" w:rsidRPr="00DB6C99" w14:paraId="11B0D9B2" w14:textId="77777777" w:rsidTr="007C344D">
        <w:trPr>
          <w:jc w:val="center"/>
        </w:trPr>
        <w:tc>
          <w:tcPr>
            <w:tcW w:w="1947" w:type="dxa"/>
            <w:tcBorders>
              <w:top w:val="nil"/>
              <w:left w:val="nil"/>
              <w:bottom w:val="nil"/>
              <w:right w:val="nil"/>
            </w:tcBorders>
          </w:tcPr>
          <w:p w14:paraId="33BFF7EF"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rPr>
              <w:t>SIZE</w:t>
            </w:r>
          </w:p>
        </w:tc>
        <w:tc>
          <w:tcPr>
            <w:tcW w:w="1097" w:type="dxa"/>
            <w:tcBorders>
              <w:top w:val="nil"/>
              <w:left w:val="nil"/>
              <w:bottom w:val="nil"/>
              <w:right w:val="nil"/>
            </w:tcBorders>
          </w:tcPr>
          <w:p w14:paraId="66976D1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-0.005***</w:t>
            </w:r>
          </w:p>
        </w:tc>
        <w:tc>
          <w:tcPr>
            <w:tcW w:w="1088" w:type="dxa"/>
            <w:tcBorders>
              <w:top w:val="nil"/>
              <w:left w:val="nil"/>
              <w:bottom w:val="nil"/>
              <w:right w:val="nil"/>
            </w:tcBorders>
          </w:tcPr>
          <w:p w14:paraId="5A408FA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0.176***</w:t>
            </w:r>
          </w:p>
        </w:tc>
        <w:tc>
          <w:tcPr>
            <w:tcW w:w="1174" w:type="dxa"/>
            <w:tcBorders>
              <w:top w:val="nil"/>
              <w:left w:val="nil"/>
              <w:bottom w:val="nil"/>
              <w:right w:val="nil"/>
            </w:tcBorders>
          </w:tcPr>
          <w:p w14:paraId="79D2D48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-0.007***</w:t>
            </w:r>
          </w:p>
        </w:tc>
        <w:tc>
          <w:tcPr>
            <w:tcW w:w="1217" w:type="dxa"/>
            <w:tcBorders>
              <w:top w:val="nil"/>
              <w:left w:val="nil"/>
              <w:bottom w:val="nil"/>
              <w:right w:val="nil"/>
            </w:tcBorders>
          </w:tcPr>
          <w:p w14:paraId="28300BFF"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0.191***</w:t>
            </w:r>
          </w:p>
        </w:tc>
        <w:tc>
          <w:tcPr>
            <w:tcW w:w="1149" w:type="dxa"/>
            <w:tcBorders>
              <w:top w:val="nil"/>
              <w:left w:val="nil"/>
              <w:bottom w:val="nil"/>
              <w:right w:val="nil"/>
            </w:tcBorders>
          </w:tcPr>
          <w:p w14:paraId="5648FE1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-0.002***</w:t>
            </w:r>
          </w:p>
        </w:tc>
        <w:tc>
          <w:tcPr>
            <w:tcW w:w="1204" w:type="dxa"/>
            <w:tcBorders>
              <w:top w:val="nil"/>
              <w:left w:val="nil"/>
              <w:bottom w:val="nil"/>
              <w:right w:val="nil"/>
            </w:tcBorders>
          </w:tcPr>
          <w:p w14:paraId="4948AAFF"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0.249***</w:t>
            </w:r>
          </w:p>
        </w:tc>
        <w:tc>
          <w:tcPr>
            <w:tcW w:w="1142" w:type="dxa"/>
            <w:tcBorders>
              <w:top w:val="nil"/>
              <w:left w:val="nil"/>
              <w:bottom w:val="nil"/>
              <w:right w:val="nil"/>
            </w:tcBorders>
          </w:tcPr>
          <w:p w14:paraId="03D4CF0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-0.002***</w:t>
            </w:r>
          </w:p>
        </w:tc>
        <w:tc>
          <w:tcPr>
            <w:tcW w:w="1291" w:type="dxa"/>
            <w:tcBorders>
              <w:top w:val="nil"/>
              <w:left w:val="nil"/>
              <w:bottom w:val="nil"/>
              <w:right w:val="nil"/>
            </w:tcBorders>
          </w:tcPr>
          <w:p w14:paraId="161729F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0.267***</w:t>
            </w:r>
          </w:p>
        </w:tc>
      </w:tr>
      <w:tr w:rsidR="00DB6C99" w:rsidRPr="00DB6C99" w14:paraId="538817A1" w14:textId="77777777" w:rsidTr="007C344D">
        <w:trPr>
          <w:jc w:val="center"/>
        </w:trPr>
        <w:tc>
          <w:tcPr>
            <w:tcW w:w="1947" w:type="dxa"/>
            <w:tcBorders>
              <w:top w:val="nil"/>
              <w:left w:val="nil"/>
              <w:bottom w:val="nil"/>
              <w:right w:val="nil"/>
            </w:tcBorders>
          </w:tcPr>
          <w:p w14:paraId="489C3EA8"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097" w:type="dxa"/>
            <w:tcBorders>
              <w:top w:val="nil"/>
              <w:left w:val="nil"/>
              <w:bottom w:val="nil"/>
              <w:right w:val="nil"/>
            </w:tcBorders>
          </w:tcPr>
          <w:p w14:paraId="2D1C875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(-2.87)</w:t>
            </w:r>
          </w:p>
        </w:tc>
        <w:tc>
          <w:tcPr>
            <w:tcW w:w="1088" w:type="dxa"/>
            <w:tcBorders>
              <w:top w:val="nil"/>
              <w:left w:val="nil"/>
              <w:bottom w:val="nil"/>
              <w:right w:val="nil"/>
            </w:tcBorders>
          </w:tcPr>
          <w:p w14:paraId="3A80624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(6.97)</w:t>
            </w:r>
          </w:p>
        </w:tc>
        <w:tc>
          <w:tcPr>
            <w:tcW w:w="1174" w:type="dxa"/>
            <w:tcBorders>
              <w:top w:val="nil"/>
              <w:left w:val="nil"/>
              <w:bottom w:val="nil"/>
              <w:right w:val="nil"/>
            </w:tcBorders>
          </w:tcPr>
          <w:p w14:paraId="6A462F0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(-5.32)</w:t>
            </w:r>
          </w:p>
        </w:tc>
        <w:tc>
          <w:tcPr>
            <w:tcW w:w="1217" w:type="dxa"/>
            <w:tcBorders>
              <w:top w:val="nil"/>
              <w:left w:val="nil"/>
              <w:bottom w:val="nil"/>
              <w:right w:val="nil"/>
            </w:tcBorders>
          </w:tcPr>
          <w:p w14:paraId="218804F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(6.74)</w:t>
            </w:r>
          </w:p>
        </w:tc>
        <w:tc>
          <w:tcPr>
            <w:tcW w:w="1149" w:type="dxa"/>
            <w:tcBorders>
              <w:top w:val="nil"/>
              <w:left w:val="nil"/>
              <w:bottom w:val="nil"/>
              <w:right w:val="nil"/>
            </w:tcBorders>
          </w:tcPr>
          <w:p w14:paraId="7A32C87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(-4.49)</w:t>
            </w:r>
          </w:p>
        </w:tc>
        <w:tc>
          <w:tcPr>
            <w:tcW w:w="1204" w:type="dxa"/>
            <w:tcBorders>
              <w:top w:val="nil"/>
              <w:left w:val="nil"/>
              <w:bottom w:val="nil"/>
              <w:right w:val="nil"/>
            </w:tcBorders>
          </w:tcPr>
          <w:p w14:paraId="0940CC6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(31.08)</w:t>
            </w:r>
          </w:p>
        </w:tc>
        <w:tc>
          <w:tcPr>
            <w:tcW w:w="1142" w:type="dxa"/>
            <w:tcBorders>
              <w:top w:val="nil"/>
              <w:left w:val="nil"/>
              <w:bottom w:val="nil"/>
              <w:right w:val="nil"/>
            </w:tcBorders>
          </w:tcPr>
          <w:p w14:paraId="15ED6E9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(-3.92)</w:t>
            </w:r>
          </w:p>
        </w:tc>
        <w:tc>
          <w:tcPr>
            <w:tcW w:w="1291" w:type="dxa"/>
            <w:tcBorders>
              <w:top w:val="nil"/>
              <w:left w:val="nil"/>
              <w:bottom w:val="nil"/>
              <w:right w:val="nil"/>
            </w:tcBorders>
          </w:tcPr>
          <w:p w14:paraId="50B8906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(30.03)</w:t>
            </w:r>
          </w:p>
        </w:tc>
      </w:tr>
      <w:tr w:rsidR="00DB6C99" w:rsidRPr="00DB6C99" w14:paraId="0D545049" w14:textId="77777777" w:rsidTr="007C344D">
        <w:trPr>
          <w:jc w:val="center"/>
        </w:trPr>
        <w:tc>
          <w:tcPr>
            <w:tcW w:w="1947" w:type="dxa"/>
            <w:tcBorders>
              <w:top w:val="nil"/>
              <w:left w:val="nil"/>
              <w:bottom w:val="nil"/>
              <w:right w:val="nil"/>
            </w:tcBorders>
          </w:tcPr>
          <w:p w14:paraId="26FF6A62"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rPr>
              <w:t>I</w:t>
            </w:r>
            <w:r w:rsidRPr="00DB6C99">
              <w:rPr>
                <w:rFonts w:ascii="Garamond" w:hAnsi="Garamond"/>
                <w:i/>
                <w:iCs/>
                <w:spacing w:val="-2"/>
                <w:sz w:val="20"/>
                <w:szCs w:val="20"/>
              </w:rPr>
              <w:t>n</w:t>
            </w:r>
            <w:r w:rsidRPr="00DB6C99">
              <w:rPr>
                <w:rFonts w:ascii="Garamond" w:hAnsi="Garamond"/>
                <w:i/>
                <w:iCs/>
                <w:spacing w:val="-1"/>
                <w:sz w:val="20"/>
                <w:szCs w:val="20"/>
              </w:rPr>
              <w:t>t</w:t>
            </w:r>
            <w:r w:rsidRPr="00DB6C99">
              <w:rPr>
                <w:rFonts w:ascii="Garamond" w:hAnsi="Garamond"/>
                <w:i/>
                <w:iCs/>
                <w:sz w:val="20"/>
                <w:szCs w:val="20"/>
              </w:rPr>
              <w:t>erce</w:t>
            </w:r>
            <w:r w:rsidRPr="00DB6C99">
              <w:rPr>
                <w:rFonts w:ascii="Garamond" w:hAnsi="Garamond"/>
                <w:i/>
                <w:iCs/>
                <w:spacing w:val="1"/>
                <w:sz w:val="20"/>
                <w:szCs w:val="20"/>
              </w:rPr>
              <w:t>p</w:t>
            </w:r>
            <w:r w:rsidRPr="00DB6C99">
              <w:rPr>
                <w:rFonts w:ascii="Garamond" w:hAnsi="Garamond"/>
                <w:i/>
                <w:iCs/>
                <w:sz w:val="20"/>
                <w:szCs w:val="20"/>
              </w:rPr>
              <w:t>t</w:t>
            </w:r>
          </w:p>
        </w:tc>
        <w:tc>
          <w:tcPr>
            <w:tcW w:w="1097" w:type="dxa"/>
            <w:tcBorders>
              <w:top w:val="nil"/>
              <w:left w:val="nil"/>
              <w:bottom w:val="nil"/>
              <w:right w:val="nil"/>
            </w:tcBorders>
          </w:tcPr>
          <w:p w14:paraId="2FA104D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0.143***</w:t>
            </w:r>
          </w:p>
        </w:tc>
        <w:tc>
          <w:tcPr>
            <w:tcW w:w="1088" w:type="dxa"/>
            <w:tcBorders>
              <w:top w:val="nil"/>
              <w:left w:val="nil"/>
              <w:bottom w:val="nil"/>
              <w:right w:val="nil"/>
            </w:tcBorders>
          </w:tcPr>
          <w:p w14:paraId="4F43CB1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-3.983***</w:t>
            </w:r>
          </w:p>
        </w:tc>
        <w:tc>
          <w:tcPr>
            <w:tcW w:w="1174" w:type="dxa"/>
            <w:tcBorders>
              <w:top w:val="nil"/>
              <w:left w:val="nil"/>
              <w:bottom w:val="nil"/>
              <w:right w:val="nil"/>
            </w:tcBorders>
          </w:tcPr>
          <w:p w14:paraId="76D38F3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0.213***</w:t>
            </w:r>
          </w:p>
        </w:tc>
        <w:tc>
          <w:tcPr>
            <w:tcW w:w="1217" w:type="dxa"/>
            <w:tcBorders>
              <w:top w:val="nil"/>
              <w:left w:val="nil"/>
              <w:bottom w:val="nil"/>
              <w:right w:val="nil"/>
            </w:tcBorders>
          </w:tcPr>
          <w:p w14:paraId="2D2A2AF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-4.729***</w:t>
            </w:r>
          </w:p>
        </w:tc>
        <w:tc>
          <w:tcPr>
            <w:tcW w:w="1149" w:type="dxa"/>
            <w:tcBorders>
              <w:top w:val="nil"/>
              <w:left w:val="nil"/>
              <w:bottom w:val="nil"/>
              <w:right w:val="nil"/>
            </w:tcBorders>
          </w:tcPr>
          <w:p w14:paraId="45BF147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0.107***</w:t>
            </w:r>
          </w:p>
        </w:tc>
        <w:tc>
          <w:tcPr>
            <w:tcW w:w="1204" w:type="dxa"/>
            <w:tcBorders>
              <w:top w:val="nil"/>
              <w:left w:val="nil"/>
              <w:bottom w:val="nil"/>
              <w:right w:val="nil"/>
            </w:tcBorders>
          </w:tcPr>
          <w:p w14:paraId="4E8188D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-5.655***</w:t>
            </w:r>
          </w:p>
        </w:tc>
        <w:tc>
          <w:tcPr>
            <w:tcW w:w="1142" w:type="dxa"/>
            <w:tcBorders>
              <w:top w:val="nil"/>
              <w:left w:val="nil"/>
              <w:bottom w:val="nil"/>
              <w:right w:val="nil"/>
            </w:tcBorders>
          </w:tcPr>
          <w:p w14:paraId="5A6BE8B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0.110***</w:t>
            </w:r>
          </w:p>
        </w:tc>
        <w:tc>
          <w:tcPr>
            <w:tcW w:w="1291" w:type="dxa"/>
            <w:tcBorders>
              <w:top w:val="nil"/>
              <w:left w:val="nil"/>
              <w:bottom w:val="nil"/>
              <w:right w:val="nil"/>
            </w:tcBorders>
          </w:tcPr>
          <w:p w14:paraId="78CA8B7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-6.635***</w:t>
            </w:r>
          </w:p>
        </w:tc>
      </w:tr>
      <w:tr w:rsidR="00DB6C99" w:rsidRPr="00DB6C99" w14:paraId="60444A5C" w14:textId="77777777" w:rsidTr="007C344D">
        <w:trPr>
          <w:jc w:val="center"/>
        </w:trPr>
        <w:tc>
          <w:tcPr>
            <w:tcW w:w="1947" w:type="dxa"/>
            <w:tcBorders>
              <w:top w:val="nil"/>
              <w:left w:val="nil"/>
              <w:bottom w:val="nil"/>
              <w:right w:val="nil"/>
            </w:tcBorders>
          </w:tcPr>
          <w:p w14:paraId="7698B916"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097" w:type="dxa"/>
            <w:tcBorders>
              <w:top w:val="nil"/>
              <w:left w:val="nil"/>
              <w:bottom w:val="nil"/>
              <w:right w:val="nil"/>
            </w:tcBorders>
          </w:tcPr>
          <w:p w14:paraId="5C01868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(5.60)</w:t>
            </w:r>
          </w:p>
        </w:tc>
        <w:tc>
          <w:tcPr>
            <w:tcW w:w="1088" w:type="dxa"/>
            <w:tcBorders>
              <w:top w:val="nil"/>
              <w:left w:val="nil"/>
              <w:bottom w:val="nil"/>
              <w:right w:val="nil"/>
            </w:tcBorders>
          </w:tcPr>
          <w:p w14:paraId="419243C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(-10.05)</w:t>
            </w:r>
          </w:p>
        </w:tc>
        <w:tc>
          <w:tcPr>
            <w:tcW w:w="1174" w:type="dxa"/>
            <w:tcBorders>
              <w:top w:val="nil"/>
              <w:left w:val="nil"/>
              <w:bottom w:val="nil"/>
              <w:right w:val="nil"/>
            </w:tcBorders>
          </w:tcPr>
          <w:p w14:paraId="2340051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(9.60)</w:t>
            </w:r>
          </w:p>
        </w:tc>
        <w:tc>
          <w:tcPr>
            <w:tcW w:w="1217" w:type="dxa"/>
            <w:tcBorders>
              <w:top w:val="nil"/>
              <w:left w:val="nil"/>
              <w:bottom w:val="nil"/>
              <w:right w:val="nil"/>
            </w:tcBorders>
          </w:tcPr>
          <w:p w14:paraId="6A10E3C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(-10.43)</w:t>
            </w:r>
          </w:p>
        </w:tc>
        <w:tc>
          <w:tcPr>
            <w:tcW w:w="1149" w:type="dxa"/>
            <w:tcBorders>
              <w:top w:val="nil"/>
              <w:left w:val="nil"/>
              <w:bottom w:val="nil"/>
              <w:right w:val="nil"/>
            </w:tcBorders>
          </w:tcPr>
          <w:p w14:paraId="24FE422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(11.45)</w:t>
            </w:r>
          </w:p>
        </w:tc>
        <w:tc>
          <w:tcPr>
            <w:tcW w:w="1204" w:type="dxa"/>
            <w:tcBorders>
              <w:top w:val="nil"/>
              <w:left w:val="nil"/>
              <w:bottom w:val="nil"/>
              <w:right w:val="nil"/>
            </w:tcBorders>
          </w:tcPr>
          <w:p w14:paraId="493B856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(-34.43)</w:t>
            </w:r>
          </w:p>
        </w:tc>
        <w:tc>
          <w:tcPr>
            <w:tcW w:w="1142" w:type="dxa"/>
            <w:tcBorders>
              <w:top w:val="nil"/>
              <w:left w:val="nil"/>
              <w:bottom w:val="nil"/>
              <w:right w:val="nil"/>
            </w:tcBorders>
          </w:tcPr>
          <w:p w14:paraId="0B7916E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(13.04)</w:t>
            </w:r>
          </w:p>
        </w:tc>
        <w:tc>
          <w:tcPr>
            <w:tcW w:w="1291" w:type="dxa"/>
            <w:tcBorders>
              <w:top w:val="nil"/>
              <w:left w:val="nil"/>
              <w:bottom w:val="nil"/>
              <w:right w:val="nil"/>
            </w:tcBorders>
          </w:tcPr>
          <w:p w14:paraId="3F70AA5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(-36.96)</w:t>
            </w:r>
          </w:p>
        </w:tc>
      </w:tr>
      <w:tr w:rsidR="00DB6C99" w:rsidRPr="00DB6C99" w14:paraId="74B09B51" w14:textId="77777777" w:rsidTr="007C344D">
        <w:trPr>
          <w:jc w:val="center"/>
        </w:trPr>
        <w:tc>
          <w:tcPr>
            <w:tcW w:w="1947" w:type="dxa"/>
            <w:tcBorders>
              <w:top w:val="nil"/>
              <w:left w:val="nil"/>
              <w:bottom w:val="nil"/>
              <w:right w:val="nil"/>
            </w:tcBorders>
          </w:tcPr>
          <w:p w14:paraId="36E59B71"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097" w:type="dxa"/>
            <w:tcBorders>
              <w:top w:val="nil"/>
              <w:left w:val="nil"/>
              <w:bottom w:val="nil"/>
              <w:right w:val="nil"/>
            </w:tcBorders>
          </w:tcPr>
          <w:p w14:paraId="218906B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p>
        </w:tc>
        <w:tc>
          <w:tcPr>
            <w:tcW w:w="1088" w:type="dxa"/>
            <w:tcBorders>
              <w:top w:val="nil"/>
              <w:left w:val="nil"/>
              <w:bottom w:val="nil"/>
              <w:right w:val="nil"/>
            </w:tcBorders>
          </w:tcPr>
          <w:p w14:paraId="20D4151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p>
        </w:tc>
        <w:tc>
          <w:tcPr>
            <w:tcW w:w="1174" w:type="dxa"/>
            <w:tcBorders>
              <w:top w:val="nil"/>
              <w:left w:val="nil"/>
              <w:bottom w:val="nil"/>
              <w:right w:val="nil"/>
            </w:tcBorders>
          </w:tcPr>
          <w:p w14:paraId="033AE9E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p>
        </w:tc>
        <w:tc>
          <w:tcPr>
            <w:tcW w:w="1217" w:type="dxa"/>
            <w:tcBorders>
              <w:top w:val="nil"/>
              <w:left w:val="nil"/>
              <w:bottom w:val="nil"/>
              <w:right w:val="nil"/>
            </w:tcBorders>
          </w:tcPr>
          <w:p w14:paraId="062D14A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p>
        </w:tc>
        <w:tc>
          <w:tcPr>
            <w:tcW w:w="1149" w:type="dxa"/>
            <w:tcBorders>
              <w:top w:val="nil"/>
              <w:left w:val="nil"/>
              <w:bottom w:val="nil"/>
              <w:right w:val="nil"/>
            </w:tcBorders>
          </w:tcPr>
          <w:p w14:paraId="0A7CE45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p>
        </w:tc>
        <w:tc>
          <w:tcPr>
            <w:tcW w:w="1204" w:type="dxa"/>
            <w:tcBorders>
              <w:top w:val="nil"/>
              <w:left w:val="nil"/>
              <w:bottom w:val="nil"/>
              <w:right w:val="nil"/>
            </w:tcBorders>
          </w:tcPr>
          <w:p w14:paraId="7450C08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p>
        </w:tc>
        <w:tc>
          <w:tcPr>
            <w:tcW w:w="1142" w:type="dxa"/>
            <w:tcBorders>
              <w:top w:val="nil"/>
              <w:left w:val="nil"/>
              <w:bottom w:val="nil"/>
              <w:right w:val="nil"/>
            </w:tcBorders>
          </w:tcPr>
          <w:p w14:paraId="58F5D67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p>
        </w:tc>
        <w:tc>
          <w:tcPr>
            <w:tcW w:w="1291" w:type="dxa"/>
            <w:tcBorders>
              <w:top w:val="nil"/>
              <w:left w:val="nil"/>
              <w:bottom w:val="nil"/>
              <w:right w:val="nil"/>
            </w:tcBorders>
          </w:tcPr>
          <w:p w14:paraId="6A30FEE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p>
        </w:tc>
      </w:tr>
      <w:tr w:rsidR="00DB6C99" w:rsidRPr="00DB6C99" w14:paraId="3D9FF9D3" w14:textId="77777777" w:rsidTr="007C344D">
        <w:trPr>
          <w:jc w:val="center"/>
        </w:trPr>
        <w:tc>
          <w:tcPr>
            <w:tcW w:w="1947" w:type="dxa"/>
            <w:tcBorders>
              <w:top w:val="nil"/>
              <w:left w:val="nil"/>
              <w:bottom w:val="nil"/>
              <w:right w:val="nil"/>
            </w:tcBorders>
          </w:tcPr>
          <w:p w14:paraId="36436EBC" w14:textId="77777777" w:rsidR="007C344D" w:rsidRPr="00DB6C99" w:rsidRDefault="007C344D" w:rsidP="007C344D">
            <w:pPr>
              <w:widowControl w:val="0"/>
              <w:autoSpaceDE w:val="0"/>
              <w:autoSpaceDN w:val="0"/>
              <w:adjustRightInd w:val="0"/>
              <w:spacing w:after="0" w:line="240" w:lineRule="auto"/>
              <w:rPr>
                <w:rFonts w:ascii="Garamond" w:hAnsi="Garamond"/>
                <w:i/>
                <w:iCs/>
                <w:sz w:val="20"/>
                <w:szCs w:val="20"/>
              </w:rPr>
            </w:pPr>
            <w:r w:rsidRPr="00DB6C99">
              <w:rPr>
                <w:rFonts w:ascii="Garamond" w:hAnsi="Garamond"/>
                <w:i/>
                <w:iCs/>
                <w:sz w:val="20"/>
                <w:szCs w:val="20"/>
              </w:rPr>
              <w:t>N</w:t>
            </w:r>
          </w:p>
        </w:tc>
        <w:tc>
          <w:tcPr>
            <w:tcW w:w="1097" w:type="dxa"/>
            <w:tcBorders>
              <w:top w:val="nil"/>
              <w:left w:val="nil"/>
              <w:bottom w:val="nil"/>
              <w:right w:val="nil"/>
            </w:tcBorders>
          </w:tcPr>
          <w:p w14:paraId="53FBE2F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8,229</w:t>
            </w:r>
          </w:p>
        </w:tc>
        <w:tc>
          <w:tcPr>
            <w:tcW w:w="1088" w:type="dxa"/>
            <w:tcBorders>
              <w:top w:val="nil"/>
              <w:left w:val="nil"/>
              <w:bottom w:val="nil"/>
              <w:right w:val="nil"/>
            </w:tcBorders>
          </w:tcPr>
          <w:p w14:paraId="013EC7D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8,229</w:t>
            </w:r>
          </w:p>
        </w:tc>
        <w:tc>
          <w:tcPr>
            <w:tcW w:w="1174" w:type="dxa"/>
            <w:tcBorders>
              <w:top w:val="nil"/>
              <w:left w:val="nil"/>
              <w:bottom w:val="nil"/>
              <w:right w:val="nil"/>
            </w:tcBorders>
          </w:tcPr>
          <w:p w14:paraId="6085601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6,937</w:t>
            </w:r>
          </w:p>
        </w:tc>
        <w:tc>
          <w:tcPr>
            <w:tcW w:w="1217" w:type="dxa"/>
            <w:tcBorders>
              <w:top w:val="nil"/>
              <w:left w:val="nil"/>
              <w:bottom w:val="nil"/>
              <w:right w:val="nil"/>
            </w:tcBorders>
          </w:tcPr>
          <w:p w14:paraId="77C43C2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6,934</w:t>
            </w:r>
          </w:p>
        </w:tc>
        <w:tc>
          <w:tcPr>
            <w:tcW w:w="1149" w:type="dxa"/>
            <w:tcBorders>
              <w:top w:val="nil"/>
              <w:left w:val="nil"/>
              <w:bottom w:val="nil"/>
              <w:right w:val="nil"/>
            </w:tcBorders>
          </w:tcPr>
          <w:p w14:paraId="3E449BC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8,229</w:t>
            </w:r>
          </w:p>
        </w:tc>
        <w:tc>
          <w:tcPr>
            <w:tcW w:w="1204" w:type="dxa"/>
            <w:tcBorders>
              <w:top w:val="nil"/>
              <w:left w:val="nil"/>
              <w:bottom w:val="nil"/>
              <w:right w:val="nil"/>
            </w:tcBorders>
          </w:tcPr>
          <w:p w14:paraId="6918110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8,229</w:t>
            </w:r>
          </w:p>
        </w:tc>
        <w:tc>
          <w:tcPr>
            <w:tcW w:w="1142" w:type="dxa"/>
            <w:tcBorders>
              <w:top w:val="nil"/>
              <w:left w:val="nil"/>
              <w:bottom w:val="nil"/>
              <w:right w:val="nil"/>
            </w:tcBorders>
          </w:tcPr>
          <w:p w14:paraId="5B532D0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6,937</w:t>
            </w:r>
          </w:p>
        </w:tc>
        <w:tc>
          <w:tcPr>
            <w:tcW w:w="1291" w:type="dxa"/>
            <w:tcBorders>
              <w:top w:val="nil"/>
              <w:left w:val="nil"/>
              <w:bottom w:val="nil"/>
              <w:right w:val="nil"/>
            </w:tcBorders>
          </w:tcPr>
          <w:p w14:paraId="20F3A22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6,934</w:t>
            </w:r>
          </w:p>
        </w:tc>
      </w:tr>
      <w:tr w:rsidR="00DB6C99" w:rsidRPr="00DB6C99" w14:paraId="4585B491" w14:textId="77777777" w:rsidTr="007C344D">
        <w:trPr>
          <w:jc w:val="center"/>
        </w:trPr>
        <w:tc>
          <w:tcPr>
            <w:tcW w:w="1947" w:type="dxa"/>
            <w:tcBorders>
              <w:top w:val="nil"/>
              <w:left w:val="nil"/>
              <w:bottom w:val="nil"/>
              <w:right w:val="nil"/>
            </w:tcBorders>
          </w:tcPr>
          <w:p w14:paraId="3D3FD6B7" w14:textId="77777777" w:rsidR="007C344D" w:rsidRPr="00DB6C99" w:rsidRDefault="007C344D" w:rsidP="007C344D">
            <w:pPr>
              <w:widowControl w:val="0"/>
              <w:autoSpaceDE w:val="0"/>
              <w:autoSpaceDN w:val="0"/>
              <w:adjustRightInd w:val="0"/>
              <w:spacing w:after="0" w:line="240" w:lineRule="auto"/>
              <w:rPr>
                <w:rFonts w:ascii="Garamond" w:hAnsi="Garamond"/>
                <w:i/>
                <w:iCs/>
                <w:sz w:val="20"/>
                <w:szCs w:val="20"/>
              </w:rPr>
            </w:pPr>
            <w:r w:rsidRPr="00DB6C99">
              <w:rPr>
                <w:rFonts w:ascii="Garamond" w:hAnsi="Garamond"/>
                <w:i/>
                <w:iCs/>
                <w:sz w:val="20"/>
                <w:szCs w:val="20"/>
              </w:rPr>
              <w:t>Firm &amp; Year</w:t>
            </w:r>
          </w:p>
        </w:tc>
        <w:tc>
          <w:tcPr>
            <w:tcW w:w="1097" w:type="dxa"/>
            <w:tcBorders>
              <w:top w:val="nil"/>
              <w:left w:val="nil"/>
              <w:bottom w:val="nil"/>
              <w:right w:val="nil"/>
            </w:tcBorders>
          </w:tcPr>
          <w:p w14:paraId="551CF3C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Yes</w:t>
            </w:r>
          </w:p>
        </w:tc>
        <w:tc>
          <w:tcPr>
            <w:tcW w:w="1088" w:type="dxa"/>
            <w:tcBorders>
              <w:top w:val="nil"/>
              <w:left w:val="nil"/>
              <w:bottom w:val="nil"/>
              <w:right w:val="nil"/>
            </w:tcBorders>
          </w:tcPr>
          <w:p w14:paraId="52C04C0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Yes</w:t>
            </w:r>
          </w:p>
        </w:tc>
        <w:tc>
          <w:tcPr>
            <w:tcW w:w="1174" w:type="dxa"/>
            <w:tcBorders>
              <w:top w:val="nil"/>
              <w:left w:val="nil"/>
              <w:bottom w:val="nil"/>
              <w:right w:val="nil"/>
            </w:tcBorders>
          </w:tcPr>
          <w:p w14:paraId="3632116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Yes</w:t>
            </w:r>
          </w:p>
        </w:tc>
        <w:tc>
          <w:tcPr>
            <w:tcW w:w="1217" w:type="dxa"/>
            <w:tcBorders>
              <w:top w:val="nil"/>
              <w:left w:val="nil"/>
              <w:bottom w:val="nil"/>
              <w:right w:val="nil"/>
            </w:tcBorders>
          </w:tcPr>
          <w:p w14:paraId="39D3246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Yes</w:t>
            </w:r>
          </w:p>
        </w:tc>
        <w:tc>
          <w:tcPr>
            <w:tcW w:w="1149" w:type="dxa"/>
            <w:tcBorders>
              <w:top w:val="nil"/>
              <w:left w:val="nil"/>
              <w:bottom w:val="nil"/>
              <w:right w:val="nil"/>
            </w:tcBorders>
          </w:tcPr>
          <w:p w14:paraId="7427E71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w:t>
            </w:r>
          </w:p>
        </w:tc>
        <w:tc>
          <w:tcPr>
            <w:tcW w:w="1204" w:type="dxa"/>
            <w:tcBorders>
              <w:top w:val="nil"/>
              <w:left w:val="nil"/>
              <w:bottom w:val="nil"/>
              <w:right w:val="nil"/>
            </w:tcBorders>
          </w:tcPr>
          <w:p w14:paraId="39D96A9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w:t>
            </w:r>
          </w:p>
        </w:tc>
        <w:tc>
          <w:tcPr>
            <w:tcW w:w="1142" w:type="dxa"/>
            <w:tcBorders>
              <w:top w:val="nil"/>
              <w:left w:val="nil"/>
              <w:bottom w:val="nil"/>
              <w:right w:val="nil"/>
            </w:tcBorders>
          </w:tcPr>
          <w:p w14:paraId="64DB323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w:t>
            </w:r>
          </w:p>
        </w:tc>
        <w:tc>
          <w:tcPr>
            <w:tcW w:w="1291" w:type="dxa"/>
            <w:tcBorders>
              <w:top w:val="nil"/>
              <w:left w:val="nil"/>
              <w:bottom w:val="nil"/>
              <w:right w:val="nil"/>
            </w:tcBorders>
          </w:tcPr>
          <w:p w14:paraId="48216DFF"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w:t>
            </w:r>
          </w:p>
        </w:tc>
      </w:tr>
      <w:tr w:rsidR="00DB6C99" w:rsidRPr="00DB6C99" w14:paraId="7720BD94" w14:textId="77777777" w:rsidTr="007C344D">
        <w:trPr>
          <w:jc w:val="center"/>
        </w:trPr>
        <w:tc>
          <w:tcPr>
            <w:tcW w:w="1947" w:type="dxa"/>
            <w:tcBorders>
              <w:top w:val="nil"/>
              <w:left w:val="nil"/>
              <w:bottom w:val="nil"/>
              <w:right w:val="nil"/>
            </w:tcBorders>
          </w:tcPr>
          <w:p w14:paraId="356CEBDA" w14:textId="77777777" w:rsidR="007C344D" w:rsidRPr="00DB6C99" w:rsidRDefault="007C344D" w:rsidP="007C344D">
            <w:pPr>
              <w:widowControl w:val="0"/>
              <w:autoSpaceDE w:val="0"/>
              <w:autoSpaceDN w:val="0"/>
              <w:adjustRightInd w:val="0"/>
              <w:spacing w:after="0" w:line="240" w:lineRule="auto"/>
              <w:rPr>
                <w:rFonts w:ascii="Garamond" w:hAnsi="Garamond"/>
                <w:i/>
                <w:iCs/>
                <w:sz w:val="20"/>
                <w:szCs w:val="20"/>
              </w:rPr>
            </w:pPr>
            <w:r w:rsidRPr="00DB6C99">
              <w:rPr>
                <w:rFonts w:ascii="Garamond" w:hAnsi="Garamond"/>
                <w:i/>
                <w:iCs/>
                <w:sz w:val="20"/>
                <w:szCs w:val="20"/>
              </w:rPr>
              <w:t>Industry &amp; Year</w:t>
            </w:r>
          </w:p>
        </w:tc>
        <w:tc>
          <w:tcPr>
            <w:tcW w:w="1097" w:type="dxa"/>
            <w:tcBorders>
              <w:top w:val="nil"/>
              <w:left w:val="nil"/>
              <w:bottom w:val="nil"/>
              <w:right w:val="nil"/>
            </w:tcBorders>
          </w:tcPr>
          <w:p w14:paraId="2EA0E77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w:t>
            </w:r>
          </w:p>
        </w:tc>
        <w:tc>
          <w:tcPr>
            <w:tcW w:w="1088" w:type="dxa"/>
            <w:tcBorders>
              <w:top w:val="nil"/>
              <w:left w:val="nil"/>
              <w:bottom w:val="nil"/>
              <w:right w:val="nil"/>
            </w:tcBorders>
          </w:tcPr>
          <w:p w14:paraId="6DDD38F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w:t>
            </w:r>
          </w:p>
        </w:tc>
        <w:tc>
          <w:tcPr>
            <w:tcW w:w="1174" w:type="dxa"/>
            <w:tcBorders>
              <w:top w:val="nil"/>
              <w:left w:val="nil"/>
              <w:bottom w:val="nil"/>
              <w:right w:val="nil"/>
            </w:tcBorders>
          </w:tcPr>
          <w:p w14:paraId="5AE043E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w:t>
            </w:r>
          </w:p>
        </w:tc>
        <w:tc>
          <w:tcPr>
            <w:tcW w:w="1217" w:type="dxa"/>
            <w:tcBorders>
              <w:top w:val="nil"/>
              <w:left w:val="nil"/>
              <w:bottom w:val="nil"/>
              <w:right w:val="nil"/>
            </w:tcBorders>
          </w:tcPr>
          <w:p w14:paraId="689A212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w:t>
            </w:r>
          </w:p>
        </w:tc>
        <w:tc>
          <w:tcPr>
            <w:tcW w:w="1149" w:type="dxa"/>
            <w:tcBorders>
              <w:top w:val="nil"/>
              <w:left w:val="nil"/>
              <w:bottom w:val="nil"/>
              <w:right w:val="nil"/>
            </w:tcBorders>
          </w:tcPr>
          <w:p w14:paraId="7BF7ABE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Yes</w:t>
            </w:r>
          </w:p>
        </w:tc>
        <w:tc>
          <w:tcPr>
            <w:tcW w:w="1204" w:type="dxa"/>
            <w:tcBorders>
              <w:top w:val="nil"/>
              <w:left w:val="nil"/>
              <w:bottom w:val="nil"/>
              <w:right w:val="nil"/>
            </w:tcBorders>
          </w:tcPr>
          <w:p w14:paraId="678A1CE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Yes</w:t>
            </w:r>
          </w:p>
        </w:tc>
        <w:tc>
          <w:tcPr>
            <w:tcW w:w="1142" w:type="dxa"/>
            <w:tcBorders>
              <w:top w:val="nil"/>
              <w:left w:val="nil"/>
              <w:bottom w:val="nil"/>
              <w:right w:val="nil"/>
            </w:tcBorders>
          </w:tcPr>
          <w:p w14:paraId="3884748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Yes</w:t>
            </w:r>
          </w:p>
        </w:tc>
        <w:tc>
          <w:tcPr>
            <w:tcW w:w="1291" w:type="dxa"/>
            <w:tcBorders>
              <w:top w:val="nil"/>
              <w:left w:val="nil"/>
              <w:bottom w:val="nil"/>
              <w:right w:val="nil"/>
            </w:tcBorders>
          </w:tcPr>
          <w:p w14:paraId="4C7672D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Yes</w:t>
            </w:r>
          </w:p>
        </w:tc>
      </w:tr>
      <w:tr w:rsidR="00DB6C99" w:rsidRPr="00DB6C99" w14:paraId="7C078458" w14:textId="77777777" w:rsidTr="007C344D">
        <w:trPr>
          <w:jc w:val="center"/>
        </w:trPr>
        <w:tc>
          <w:tcPr>
            <w:tcW w:w="1947" w:type="dxa"/>
            <w:tcBorders>
              <w:top w:val="nil"/>
              <w:left w:val="nil"/>
              <w:bottom w:val="nil"/>
              <w:right w:val="nil"/>
            </w:tcBorders>
          </w:tcPr>
          <w:p w14:paraId="3E15D34C" w14:textId="77777777" w:rsidR="007C344D" w:rsidRPr="00DB6C99" w:rsidRDefault="007C344D" w:rsidP="007C344D">
            <w:pPr>
              <w:widowControl w:val="0"/>
              <w:autoSpaceDE w:val="0"/>
              <w:autoSpaceDN w:val="0"/>
              <w:adjustRightInd w:val="0"/>
              <w:spacing w:after="0" w:line="240" w:lineRule="auto"/>
              <w:rPr>
                <w:rFonts w:ascii="Garamond" w:hAnsi="Garamond"/>
                <w:i/>
                <w:iCs/>
                <w:sz w:val="20"/>
                <w:szCs w:val="20"/>
              </w:rPr>
            </w:pPr>
            <w:r w:rsidRPr="00DB6C99">
              <w:rPr>
                <w:rFonts w:ascii="Garamond" w:hAnsi="Garamond"/>
                <w:i/>
                <w:iCs/>
                <w:sz w:val="20"/>
                <w:szCs w:val="20"/>
              </w:rPr>
              <w:t>Adj. R</w:t>
            </w:r>
            <w:r w:rsidRPr="00DB6C99">
              <w:rPr>
                <w:rFonts w:ascii="Garamond" w:hAnsi="Garamond"/>
                <w:i/>
                <w:iCs/>
                <w:sz w:val="20"/>
                <w:szCs w:val="20"/>
                <w:vertAlign w:val="superscript"/>
              </w:rPr>
              <w:t>2</w:t>
            </w:r>
          </w:p>
        </w:tc>
        <w:tc>
          <w:tcPr>
            <w:tcW w:w="1097" w:type="dxa"/>
            <w:tcBorders>
              <w:top w:val="nil"/>
              <w:left w:val="nil"/>
              <w:bottom w:val="nil"/>
              <w:right w:val="nil"/>
            </w:tcBorders>
          </w:tcPr>
          <w:p w14:paraId="6657E04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0.101</w:t>
            </w:r>
          </w:p>
        </w:tc>
        <w:tc>
          <w:tcPr>
            <w:tcW w:w="1088" w:type="dxa"/>
            <w:tcBorders>
              <w:top w:val="nil"/>
              <w:left w:val="nil"/>
              <w:bottom w:val="nil"/>
              <w:right w:val="nil"/>
            </w:tcBorders>
          </w:tcPr>
          <w:p w14:paraId="5442E8B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0.190</w:t>
            </w:r>
          </w:p>
        </w:tc>
        <w:tc>
          <w:tcPr>
            <w:tcW w:w="1174" w:type="dxa"/>
            <w:tcBorders>
              <w:top w:val="nil"/>
              <w:left w:val="nil"/>
              <w:bottom w:val="nil"/>
              <w:right w:val="nil"/>
            </w:tcBorders>
          </w:tcPr>
          <w:p w14:paraId="25E5A84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0.129</w:t>
            </w:r>
          </w:p>
        </w:tc>
        <w:tc>
          <w:tcPr>
            <w:tcW w:w="1217" w:type="dxa"/>
            <w:tcBorders>
              <w:top w:val="nil"/>
              <w:left w:val="nil"/>
              <w:bottom w:val="nil"/>
              <w:right w:val="nil"/>
            </w:tcBorders>
          </w:tcPr>
          <w:p w14:paraId="7675FE7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0.177</w:t>
            </w:r>
          </w:p>
        </w:tc>
        <w:tc>
          <w:tcPr>
            <w:tcW w:w="1149" w:type="dxa"/>
            <w:tcBorders>
              <w:top w:val="nil"/>
              <w:left w:val="nil"/>
              <w:bottom w:val="nil"/>
              <w:right w:val="nil"/>
            </w:tcBorders>
          </w:tcPr>
          <w:p w14:paraId="27B0F8E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0.165</w:t>
            </w:r>
          </w:p>
        </w:tc>
        <w:tc>
          <w:tcPr>
            <w:tcW w:w="1204" w:type="dxa"/>
            <w:tcBorders>
              <w:top w:val="nil"/>
              <w:left w:val="nil"/>
              <w:bottom w:val="nil"/>
              <w:right w:val="nil"/>
            </w:tcBorders>
          </w:tcPr>
          <w:p w14:paraId="4B4A44C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0.255</w:t>
            </w:r>
          </w:p>
        </w:tc>
        <w:tc>
          <w:tcPr>
            <w:tcW w:w="1142" w:type="dxa"/>
            <w:tcBorders>
              <w:top w:val="nil"/>
              <w:left w:val="nil"/>
              <w:bottom w:val="nil"/>
              <w:right w:val="nil"/>
            </w:tcBorders>
          </w:tcPr>
          <w:p w14:paraId="7B3D9EB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0.201</w:t>
            </w:r>
          </w:p>
        </w:tc>
        <w:tc>
          <w:tcPr>
            <w:tcW w:w="1291" w:type="dxa"/>
            <w:tcBorders>
              <w:top w:val="nil"/>
              <w:left w:val="nil"/>
              <w:bottom w:val="nil"/>
              <w:right w:val="nil"/>
            </w:tcBorders>
          </w:tcPr>
          <w:p w14:paraId="05FDFE0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0.260</w:t>
            </w:r>
          </w:p>
        </w:tc>
      </w:tr>
      <w:tr w:rsidR="00DB6C99" w:rsidRPr="00DB6C99" w14:paraId="385FB23F" w14:textId="77777777" w:rsidTr="007C344D">
        <w:tblPrEx>
          <w:tblBorders>
            <w:bottom w:val="single" w:sz="6" w:space="0" w:color="auto"/>
          </w:tblBorders>
        </w:tblPrEx>
        <w:trPr>
          <w:jc w:val="center"/>
        </w:trPr>
        <w:tc>
          <w:tcPr>
            <w:tcW w:w="1947" w:type="dxa"/>
            <w:tcBorders>
              <w:top w:val="nil"/>
              <w:left w:val="nil"/>
              <w:bottom w:val="single" w:sz="6" w:space="0" w:color="auto"/>
              <w:right w:val="nil"/>
            </w:tcBorders>
          </w:tcPr>
          <w:p w14:paraId="476D2572" w14:textId="77777777" w:rsidR="007C344D" w:rsidRPr="00DB6C99" w:rsidRDefault="007C344D" w:rsidP="007C344D">
            <w:pPr>
              <w:widowControl w:val="0"/>
              <w:autoSpaceDE w:val="0"/>
              <w:autoSpaceDN w:val="0"/>
              <w:adjustRightInd w:val="0"/>
              <w:spacing w:after="0" w:line="240" w:lineRule="auto"/>
              <w:rPr>
                <w:rFonts w:ascii="Garamond" w:hAnsi="Garamond"/>
                <w:i/>
                <w:iCs/>
                <w:sz w:val="20"/>
                <w:szCs w:val="20"/>
              </w:rPr>
            </w:pPr>
            <w:r w:rsidRPr="00DB6C99">
              <w:rPr>
                <w:rFonts w:ascii="Garamond" w:hAnsi="Garamond"/>
                <w:i/>
                <w:iCs/>
                <w:sz w:val="20"/>
                <w:szCs w:val="20"/>
              </w:rPr>
              <w:t>F-stat</w:t>
            </w:r>
          </w:p>
        </w:tc>
        <w:tc>
          <w:tcPr>
            <w:tcW w:w="1097" w:type="dxa"/>
            <w:tcBorders>
              <w:top w:val="nil"/>
              <w:left w:val="nil"/>
              <w:bottom w:val="single" w:sz="6" w:space="0" w:color="auto"/>
              <w:right w:val="nil"/>
            </w:tcBorders>
          </w:tcPr>
          <w:p w14:paraId="41425B7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13.08</w:t>
            </w:r>
          </w:p>
        </w:tc>
        <w:tc>
          <w:tcPr>
            <w:tcW w:w="1088" w:type="dxa"/>
            <w:tcBorders>
              <w:top w:val="nil"/>
              <w:left w:val="nil"/>
              <w:bottom w:val="single" w:sz="6" w:space="0" w:color="auto"/>
              <w:right w:val="nil"/>
            </w:tcBorders>
          </w:tcPr>
          <w:p w14:paraId="29BB779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13.21</w:t>
            </w:r>
          </w:p>
        </w:tc>
        <w:tc>
          <w:tcPr>
            <w:tcW w:w="1174" w:type="dxa"/>
            <w:tcBorders>
              <w:top w:val="nil"/>
              <w:left w:val="nil"/>
              <w:bottom w:val="single" w:sz="6" w:space="0" w:color="auto"/>
              <w:right w:val="nil"/>
            </w:tcBorders>
          </w:tcPr>
          <w:p w14:paraId="17E6A3E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10.40</w:t>
            </w:r>
          </w:p>
        </w:tc>
        <w:tc>
          <w:tcPr>
            <w:tcW w:w="1217" w:type="dxa"/>
            <w:tcBorders>
              <w:top w:val="nil"/>
              <w:left w:val="nil"/>
              <w:bottom w:val="single" w:sz="6" w:space="0" w:color="auto"/>
              <w:right w:val="nil"/>
            </w:tcBorders>
          </w:tcPr>
          <w:p w14:paraId="062AD7E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9.893</w:t>
            </w:r>
          </w:p>
        </w:tc>
        <w:tc>
          <w:tcPr>
            <w:tcW w:w="1149" w:type="dxa"/>
            <w:tcBorders>
              <w:top w:val="nil"/>
              <w:left w:val="nil"/>
              <w:bottom w:val="single" w:sz="6" w:space="0" w:color="auto"/>
              <w:right w:val="nil"/>
            </w:tcBorders>
          </w:tcPr>
          <w:p w14:paraId="34A9332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40.57</w:t>
            </w:r>
          </w:p>
        </w:tc>
        <w:tc>
          <w:tcPr>
            <w:tcW w:w="1204" w:type="dxa"/>
            <w:tcBorders>
              <w:top w:val="nil"/>
              <w:left w:val="nil"/>
              <w:bottom w:val="single" w:sz="6" w:space="0" w:color="auto"/>
              <w:right w:val="nil"/>
            </w:tcBorders>
          </w:tcPr>
          <w:p w14:paraId="5A1C132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66.48</w:t>
            </w:r>
          </w:p>
        </w:tc>
        <w:tc>
          <w:tcPr>
            <w:tcW w:w="1142" w:type="dxa"/>
            <w:tcBorders>
              <w:top w:val="nil"/>
              <w:left w:val="nil"/>
              <w:bottom w:val="single" w:sz="6" w:space="0" w:color="auto"/>
              <w:right w:val="nil"/>
            </w:tcBorders>
          </w:tcPr>
          <w:p w14:paraId="021834B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44.52</w:t>
            </w:r>
          </w:p>
        </w:tc>
        <w:tc>
          <w:tcPr>
            <w:tcW w:w="1291" w:type="dxa"/>
            <w:tcBorders>
              <w:top w:val="nil"/>
              <w:left w:val="nil"/>
              <w:bottom w:val="single" w:sz="6" w:space="0" w:color="auto"/>
              <w:right w:val="nil"/>
            </w:tcBorders>
          </w:tcPr>
          <w:p w14:paraId="75AAE6A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58.97</w:t>
            </w:r>
          </w:p>
        </w:tc>
      </w:tr>
    </w:tbl>
    <w:p w14:paraId="4A45E4FE" w14:textId="6D895112" w:rsidR="007C344D" w:rsidRPr="00DB6C99" w:rsidRDefault="007C344D" w:rsidP="007C344D">
      <w:pPr>
        <w:spacing w:after="0" w:line="240" w:lineRule="auto"/>
        <w:rPr>
          <w:rFonts w:ascii="Garamond" w:hAnsi="Garamond"/>
        </w:rPr>
      </w:pPr>
      <w:r w:rsidRPr="00DB6C99">
        <w:rPr>
          <w:rFonts w:ascii="Garamond" w:hAnsi="Garamond"/>
          <w:b/>
          <w:bCs/>
          <w:sz w:val="20"/>
          <w:szCs w:val="18"/>
        </w:rPr>
        <w:t xml:space="preserve">Note: </w:t>
      </w:r>
      <w:r w:rsidRPr="00DB6C99">
        <w:rPr>
          <w:rFonts w:ascii="Garamond" w:hAnsi="Garamond"/>
          <w:sz w:val="20"/>
          <w:szCs w:val="18"/>
        </w:rPr>
        <w:t>Absolute discretionary accruals</w:t>
      </w:r>
      <w:r w:rsidRPr="00DB6C99">
        <w:rPr>
          <w:rFonts w:ascii="Garamond" w:hAnsi="Garamond"/>
          <w:b/>
          <w:bCs/>
          <w:sz w:val="20"/>
          <w:szCs w:val="18"/>
        </w:rPr>
        <w:t xml:space="preserve"> </w:t>
      </w:r>
      <w:r w:rsidRPr="00DB6C99">
        <w:rPr>
          <w:rFonts w:ascii="Garamond" w:hAnsi="Garamond"/>
          <w:sz w:val="20"/>
          <w:szCs w:val="18"/>
        </w:rPr>
        <w:t>(</w:t>
      </w:r>
      <w:r w:rsidR="00234E02" w:rsidRPr="00DB6C99">
        <w:rPr>
          <w:rFonts w:ascii="Garamond" w:hAnsi="Garamond"/>
          <w:i/>
          <w:iCs/>
          <w:sz w:val="20"/>
          <w:szCs w:val="18"/>
        </w:rPr>
        <w:t>AEM</w:t>
      </w:r>
      <w:r w:rsidRPr="00DB6C99">
        <w:rPr>
          <w:rFonts w:ascii="Garamond" w:hAnsi="Garamond"/>
          <w:sz w:val="20"/>
          <w:szCs w:val="18"/>
        </w:rPr>
        <w:t>)</w:t>
      </w:r>
      <w:r w:rsidRPr="00DB6C99">
        <w:rPr>
          <w:rFonts w:ascii="Garamond" w:hAnsi="Garamond"/>
          <w:b/>
          <w:bCs/>
          <w:sz w:val="20"/>
          <w:szCs w:val="18"/>
        </w:rPr>
        <w:t xml:space="preserve"> </w:t>
      </w:r>
      <w:r w:rsidRPr="00DB6C99">
        <w:rPr>
          <w:rFonts w:ascii="Garamond" w:hAnsi="Garamond"/>
          <w:sz w:val="20"/>
          <w:szCs w:val="18"/>
        </w:rPr>
        <w:t>is our proxy of information asymmetry measured through modified jones model.</w:t>
      </w:r>
      <w:r w:rsidRPr="00DB6C99">
        <w:rPr>
          <w:rFonts w:ascii="Garamond" w:hAnsi="Garamond"/>
          <w:b/>
          <w:bCs/>
          <w:sz w:val="20"/>
          <w:szCs w:val="18"/>
        </w:rPr>
        <w:t xml:space="preserve"> </w:t>
      </w:r>
      <w:r w:rsidRPr="00DB6C99">
        <w:rPr>
          <w:rFonts w:ascii="Garamond" w:hAnsi="Garamond"/>
          <w:i/>
          <w:iCs/>
          <w:sz w:val="20"/>
          <w:szCs w:val="20"/>
        </w:rPr>
        <w:t xml:space="preserve">FPRO </w:t>
      </w:r>
      <w:r w:rsidRPr="00DB6C99">
        <w:rPr>
          <w:rFonts w:ascii="Garamond" w:hAnsi="Garamond"/>
          <w:i/>
          <w:iCs/>
          <w:sz w:val="20"/>
          <w:szCs w:val="20"/>
          <w:highlight w:val="lightGray"/>
        </w:rPr>
        <w:t>X</w:t>
      </w:r>
      <w:r w:rsidRPr="00DB6C99">
        <w:rPr>
          <w:rFonts w:ascii="Garamond" w:hAnsi="Garamond"/>
          <w:i/>
          <w:iCs/>
          <w:sz w:val="20"/>
          <w:szCs w:val="20"/>
        </w:rPr>
        <w:t xml:space="preserve"> </w:t>
      </w:r>
      <w:r w:rsidR="00234E02" w:rsidRPr="00DB6C99">
        <w:rPr>
          <w:rFonts w:ascii="Garamond" w:hAnsi="Garamond"/>
          <w:i/>
          <w:iCs/>
          <w:sz w:val="20"/>
          <w:szCs w:val="20"/>
        </w:rPr>
        <w:t>AEM</w:t>
      </w:r>
      <w:r w:rsidRPr="00DB6C99">
        <w:rPr>
          <w:rFonts w:ascii="Garamond" w:hAnsi="Garamond"/>
          <w:i/>
          <w:iCs/>
          <w:sz w:val="20"/>
          <w:szCs w:val="20"/>
        </w:rPr>
        <w:t xml:space="preserve"> </w:t>
      </w:r>
      <w:r w:rsidRPr="00DB6C99">
        <w:rPr>
          <w:rFonts w:ascii="Garamond" w:hAnsi="Garamond"/>
          <w:sz w:val="20"/>
          <w:szCs w:val="20"/>
        </w:rPr>
        <w:t>is the interaction term between the proportion female directors on the board and absolute discretionary accruals.</w:t>
      </w:r>
    </w:p>
    <w:p w14:paraId="766EB066" w14:textId="77777777" w:rsidR="007C344D" w:rsidRPr="00DB6C99" w:rsidRDefault="007C344D" w:rsidP="007C344D">
      <w:pPr>
        <w:spacing w:after="0" w:line="240" w:lineRule="auto"/>
        <w:rPr>
          <w:rFonts w:ascii="Garamond" w:hAnsi="Garamond"/>
        </w:rPr>
      </w:pPr>
      <w:r w:rsidRPr="00DB6C99">
        <w:rPr>
          <w:rFonts w:ascii="Garamond" w:hAnsi="Garamond"/>
          <w:sz w:val="20"/>
          <w:szCs w:val="18"/>
        </w:rPr>
        <w:t xml:space="preserve">*,**, *** Represent significance at 0.1, 0.05 and 0.01 levels, respectively. </w:t>
      </w:r>
      <w:r w:rsidRPr="00DB6C99">
        <w:rPr>
          <w:rFonts w:ascii="Garamond" w:hAnsi="Garamond"/>
          <w:sz w:val="20"/>
          <w:szCs w:val="20"/>
        </w:rPr>
        <w:t>T statistics are given in parenthesis.</w:t>
      </w:r>
    </w:p>
    <w:p w14:paraId="0F7227E0" w14:textId="77777777" w:rsidR="007C344D" w:rsidRPr="00DB6C99" w:rsidRDefault="007C344D" w:rsidP="007C344D">
      <w:pPr>
        <w:spacing w:after="0" w:line="240" w:lineRule="auto"/>
        <w:rPr>
          <w:rFonts w:ascii="Garamond" w:hAnsi="Garamond"/>
        </w:rPr>
        <w:sectPr w:rsidR="007C344D" w:rsidRPr="00DB6C99" w:rsidSect="007C344D">
          <w:pgSz w:w="12240" w:h="15840"/>
          <w:pgMar w:top="1417" w:right="1417" w:bottom="1417" w:left="1417" w:header="720" w:footer="720" w:gutter="0"/>
          <w:cols w:space="720"/>
          <w:docGrid w:linePitch="360"/>
        </w:sectPr>
      </w:pPr>
      <w:r w:rsidRPr="00DB6C99">
        <w:rPr>
          <w:rFonts w:ascii="Garamond" w:hAnsi="Garamond"/>
          <w:sz w:val="20"/>
          <w:szCs w:val="18"/>
        </w:rPr>
        <w:t>All variables are as defined in Table 1.</w:t>
      </w:r>
    </w:p>
    <w:p w14:paraId="297088BB" w14:textId="77777777" w:rsidR="007C344D" w:rsidRPr="00DB6C99" w:rsidRDefault="007C344D" w:rsidP="007C344D">
      <w:pPr>
        <w:spacing w:after="0" w:line="240" w:lineRule="auto"/>
        <w:rPr>
          <w:rFonts w:ascii="Garamond" w:hAnsi="Garamond"/>
        </w:rPr>
      </w:pPr>
      <w:r w:rsidRPr="00DB6C99">
        <w:rPr>
          <w:rFonts w:ascii="Garamond" w:hAnsi="Garamond"/>
          <w:b/>
          <w:bCs/>
        </w:rPr>
        <w:lastRenderedPageBreak/>
        <w:t xml:space="preserve">Table 8: </w:t>
      </w:r>
      <w:r w:rsidRPr="00DB6C99">
        <w:rPr>
          <w:rFonts w:ascii="Garamond" w:hAnsi="Garamond"/>
        </w:rPr>
        <w:t>Results using high and low governance quality subsamples</w:t>
      </w:r>
    </w:p>
    <w:tbl>
      <w:tblPr>
        <w:tblW w:w="11490" w:type="dxa"/>
        <w:jc w:val="center"/>
        <w:tblLayout w:type="fixed"/>
        <w:tblCellMar>
          <w:left w:w="75" w:type="dxa"/>
          <w:right w:w="75" w:type="dxa"/>
        </w:tblCellMar>
        <w:tblLook w:val="0000" w:firstRow="0" w:lastRow="0" w:firstColumn="0" w:lastColumn="0" w:noHBand="0" w:noVBand="0"/>
      </w:tblPr>
      <w:tblGrid>
        <w:gridCol w:w="1947"/>
        <w:gridCol w:w="1187"/>
        <w:gridCol w:w="1186"/>
        <w:gridCol w:w="1170"/>
        <w:gridCol w:w="1278"/>
        <w:gridCol w:w="1197"/>
        <w:gridCol w:w="1168"/>
        <w:gridCol w:w="1159"/>
        <w:gridCol w:w="1198"/>
      </w:tblGrid>
      <w:tr w:rsidR="00DB6C99" w:rsidRPr="00DB6C99" w14:paraId="2C67BE2E" w14:textId="77777777" w:rsidTr="007C344D">
        <w:trPr>
          <w:jc w:val="center"/>
        </w:trPr>
        <w:tc>
          <w:tcPr>
            <w:tcW w:w="1947" w:type="dxa"/>
            <w:vMerge w:val="restart"/>
            <w:tcBorders>
              <w:top w:val="single" w:sz="6" w:space="0" w:color="auto"/>
              <w:left w:val="nil"/>
              <w:right w:val="nil"/>
            </w:tcBorders>
            <w:vAlign w:val="center"/>
          </w:tcPr>
          <w:p w14:paraId="5D3A24EE"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sz w:val="20"/>
                <w:szCs w:val="20"/>
              </w:rPr>
              <w:t>VARIABLES</w:t>
            </w:r>
          </w:p>
        </w:tc>
        <w:tc>
          <w:tcPr>
            <w:tcW w:w="9543" w:type="dxa"/>
            <w:gridSpan w:val="8"/>
            <w:tcBorders>
              <w:top w:val="single" w:sz="6" w:space="0" w:color="auto"/>
              <w:left w:val="nil"/>
              <w:bottom w:val="single" w:sz="6" w:space="0" w:color="auto"/>
              <w:right w:val="nil"/>
            </w:tcBorders>
          </w:tcPr>
          <w:p w14:paraId="1AA7A4BE" w14:textId="77777777" w:rsidR="007C344D" w:rsidRPr="00DB6C99" w:rsidRDefault="007C344D" w:rsidP="007C344D">
            <w:pPr>
              <w:widowControl w:val="0"/>
              <w:autoSpaceDE w:val="0"/>
              <w:autoSpaceDN w:val="0"/>
              <w:adjustRightInd w:val="0"/>
              <w:spacing w:after="0" w:line="240" w:lineRule="auto"/>
              <w:jc w:val="center"/>
              <w:rPr>
                <w:rFonts w:ascii="Garamond" w:hAnsi="Garamond"/>
                <w:i/>
                <w:iCs/>
                <w:sz w:val="20"/>
                <w:szCs w:val="20"/>
              </w:rPr>
            </w:pPr>
            <w:r w:rsidRPr="00DB6C99">
              <w:rPr>
                <w:rFonts w:ascii="Garamond" w:hAnsi="Garamond"/>
                <w:i/>
                <w:iCs/>
                <w:sz w:val="20"/>
                <w:szCs w:val="20"/>
              </w:rPr>
              <w:t>GAP</w:t>
            </w:r>
          </w:p>
        </w:tc>
      </w:tr>
      <w:tr w:rsidR="00DB6C99" w:rsidRPr="00DB6C99" w14:paraId="69598FF5" w14:textId="77777777" w:rsidTr="007C344D">
        <w:trPr>
          <w:jc w:val="center"/>
        </w:trPr>
        <w:tc>
          <w:tcPr>
            <w:tcW w:w="1947" w:type="dxa"/>
            <w:vMerge/>
            <w:tcBorders>
              <w:left w:val="nil"/>
              <w:right w:val="nil"/>
            </w:tcBorders>
          </w:tcPr>
          <w:p w14:paraId="22F7A42F"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2373" w:type="dxa"/>
            <w:gridSpan w:val="2"/>
            <w:tcBorders>
              <w:top w:val="single" w:sz="6" w:space="0" w:color="auto"/>
              <w:left w:val="nil"/>
              <w:bottom w:val="single" w:sz="6" w:space="0" w:color="auto"/>
              <w:right w:val="nil"/>
            </w:tcBorders>
            <w:vAlign w:val="center"/>
          </w:tcPr>
          <w:p w14:paraId="11625EC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b/>
                <w:sz w:val="20"/>
                <w:szCs w:val="20"/>
              </w:rPr>
              <w:t>FE</w:t>
            </w:r>
          </w:p>
        </w:tc>
        <w:tc>
          <w:tcPr>
            <w:tcW w:w="2448" w:type="dxa"/>
            <w:gridSpan w:val="2"/>
            <w:tcBorders>
              <w:top w:val="single" w:sz="6" w:space="0" w:color="auto"/>
              <w:left w:val="nil"/>
              <w:bottom w:val="single" w:sz="6" w:space="0" w:color="auto"/>
              <w:right w:val="nil"/>
            </w:tcBorders>
            <w:vAlign w:val="center"/>
          </w:tcPr>
          <w:p w14:paraId="05DA47D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b/>
                <w:sz w:val="20"/>
                <w:szCs w:val="20"/>
              </w:rPr>
              <w:t>Lagged-FE</w:t>
            </w:r>
          </w:p>
        </w:tc>
        <w:tc>
          <w:tcPr>
            <w:tcW w:w="2365" w:type="dxa"/>
            <w:gridSpan w:val="2"/>
            <w:tcBorders>
              <w:top w:val="single" w:sz="6" w:space="0" w:color="auto"/>
              <w:left w:val="nil"/>
              <w:bottom w:val="single" w:sz="6" w:space="0" w:color="auto"/>
              <w:right w:val="nil"/>
            </w:tcBorders>
            <w:vAlign w:val="center"/>
          </w:tcPr>
          <w:p w14:paraId="2201E2C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b/>
                <w:sz w:val="20"/>
                <w:szCs w:val="20"/>
              </w:rPr>
              <w:t>OLS</w:t>
            </w:r>
          </w:p>
        </w:tc>
        <w:tc>
          <w:tcPr>
            <w:tcW w:w="2357" w:type="dxa"/>
            <w:gridSpan w:val="2"/>
            <w:tcBorders>
              <w:top w:val="single" w:sz="6" w:space="0" w:color="auto"/>
              <w:left w:val="nil"/>
              <w:bottom w:val="single" w:sz="6" w:space="0" w:color="auto"/>
              <w:right w:val="nil"/>
            </w:tcBorders>
            <w:vAlign w:val="center"/>
          </w:tcPr>
          <w:p w14:paraId="3D65116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b/>
                <w:sz w:val="20"/>
                <w:szCs w:val="20"/>
              </w:rPr>
              <w:t>Lagged-OLS</w:t>
            </w:r>
          </w:p>
        </w:tc>
      </w:tr>
      <w:tr w:rsidR="00DB6C99" w:rsidRPr="00DB6C99" w14:paraId="6891B303" w14:textId="77777777" w:rsidTr="007C344D">
        <w:trPr>
          <w:jc w:val="center"/>
        </w:trPr>
        <w:tc>
          <w:tcPr>
            <w:tcW w:w="1947" w:type="dxa"/>
            <w:vMerge/>
            <w:tcBorders>
              <w:left w:val="nil"/>
              <w:bottom w:val="single" w:sz="6" w:space="0" w:color="auto"/>
              <w:right w:val="nil"/>
            </w:tcBorders>
          </w:tcPr>
          <w:p w14:paraId="2BF4874B"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187" w:type="dxa"/>
            <w:tcBorders>
              <w:top w:val="single" w:sz="6" w:space="0" w:color="auto"/>
              <w:left w:val="nil"/>
              <w:bottom w:val="single" w:sz="6" w:space="0" w:color="auto"/>
              <w:right w:val="nil"/>
            </w:tcBorders>
            <w:vAlign w:val="center"/>
          </w:tcPr>
          <w:p w14:paraId="5EF7013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b/>
                <w:i/>
                <w:iCs/>
                <w:sz w:val="20"/>
                <w:szCs w:val="20"/>
              </w:rPr>
              <w:t>Low Governance</w:t>
            </w:r>
          </w:p>
        </w:tc>
        <w:tc>
          <w:tcPr>
            <w:tcW w:w="1186" w:type="dxa"/>
            <w:tcBorders>
              <w:top w:val="single" w:sz="6" w:space="0" w:color="auto"/>
              <w:left w:val="nil"/>
              <w:bottom w:val="single" w:sz="6" w:space="0" w:color="auto"/>
              <w:right w:val="nil"/>
            </w:tcBorders>
            <w:vAlign w:val="center"/>
          </w:tcPr>
          <w:p w14:paraId="44F5907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b/>
                <w:i/>
                <w:iCs/>
                <w:sz w:val="20"/>
                <w:szCs w:val="20"/>
              </w:rPr>
              <w:t>High Governance</w:t>
            </w:r>
          </w:p>
        </w:tc>
        <w:tc>
          <w:tcPr>
            <w:tcW w:w="1170" w:type="dxa"/>
            <w:tcBorders>
              <w:top w:val="single" w:sz="6" w:space="0" w:color="auto"/>
              <w:left w:val="nil"/>
              <w:bottom w:val="single" w:sz="6" w:space="0" w:color="auto"/>
              <w:right w:val="nil"/>
            </w:tcBorders>
            <w:vAlign w:val="center"/>
          </w:tcPr>
          <w:p w14:paraId="1BB2F82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b/>
                <w:i/>
                <w:iCs/>
                <w:sz w:val="20"/>
                <w:szCs w:val="20"/>
              </w:rPr>
              <w:t>Low Governance</w:t>
            </w:r>
          </w:p>
        </w:tc>
        <w:tc>
          <w:tcPr>
            <w:tcW w:w="1278" w:type="dxa"/>
            <w:tcBorders>
              <w:top w:val="single" w:sz="6" w:space="0" w:color="auto"/>
              <w:left w:val="nil"/>
              <w:bottom w:val="single" w:sz="6" w:space="0" w:color="auto"/>
              <w:right w:val="nil"/>
            </w:tcBorders>
            <w:vAlign w:val="center"/>
          </w:tcPr>
          <w:p w14:paraId="3BE68D0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b/>
                <w:i/>
                <w:iCs/>
                <w:sz w:val="20"/>
                <w:szCs w:val="20"/>
              </w:rPr>
              <w:t>High Governance</w:t>
            </w:r>
          </w:p>
        </w:tc>
        <w:tc>
          <w:tcPr>
            <w:tcW w:w="1197" w:type="dxa"/>
            <w:tcBorders>
              <w:top w:val="single" w:sz="6" w:space="0" w:color="auto"/>
              <w:left w:val="nil"/>
              <w:bottom w:val="single" w:sz="6" w:space="0" w:color="auto"/>
              <w:right w:val="nil"/>
            </w:tcBorders>
            <w:vAlign w:val="center"/>
          </w:tcPr>
          <w:p w14:paraId="16BCA9A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b/>
                <w:i/>
                <w:iCs/>
                <w:sz w:val="20"/>
                <w:szCs w:val="20"/>
              </w:rPr>
              <w:t>Low Governance</w:t>
            </w:r>
          </w:p>
        </w:tc>
        <w:tc>
          <w:tcPr>
            <w:tcW w:w="1168" w:type="dxa"/>
            <w:tcBorders>
              <w:top w:val="single" w:sz="6" w:space="0" w:color="auto"/>
              <w:left w:val="nil"/>
              <w:bottom w:val="single" w:sz="6" w:space="0" w:color="auto"/>
              <w:right w:val="nil"/>
            </w:tcBorders>
            <w:vAlign w:val="center"/>
          </w:tcPr>
          <w:p w14:paraId="5EC5EF7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b/>
                <w:i/>
                <w:iCs/>
                <w:sz w:val="20"/>
                <w:szCs w:val="20"/>
              </w:rPr>
              <w:t>High Governance</w:t>
            </w:r>
          </w:p>
        </w:tc>
        <w:tc>
          <w:tcPr>
            <w:tcW w:w="1159" w:type="dxa"/>
            <w:tcBorders>
              <w:top w:val="single" w:sz="6" w:space="0" w:color="auto"/>
              <w:left w:val="nil"/>
              <w:bottom w:val="single" w:sz="6" w:space="0" w:color="auto"/>
              <w:right w:val="nil"/>
            </w:tcBorders>
            <w:vAlign w:val="center"/>
          </w:tcPr>
          <w:p w14:paraId="6A7FB89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b/>
                <w:i/>
                <w:iCs/>
                <w:sz w:val="20"/>
                <w:szCs w:val="20"/>
              </w:rPr>
              <w:t>Low Governance</w:t>
            </w:r>
          </w:p>
        </w:tc>
        <w:tc>
          <w:tcPr>
            <w:tcW w:w="1198" w:type="dxa"/>
            <w:tcBorders>
              <w:top w:val="single" w:sz="6" w:space="0" w:color="auto"/>
              <w:left w:val="nil"/>
              <w:bottom w:val="single" w:sz="6" w:space="0" w:color="auto"/>
              <w:right w:val="nil"/>
            </w:tcBorders>
            <w:vAlign w:val="center"/>
          </w:tcPr>
          <w:p w14:paraId="40D939F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b/>
                <w:i/>
                <w:iCs/>
                <w:sz w:val="20"/>
                <w:szCs w:val="20"/>
              </w:rPr>
              <w:t>High Governance</w:t>
            </w:r>
          </w:p>
        </w:tc>
      </w:tr>
      <w:tr w:rsidR="00DB6C99" w:rsidRPr="00DB6C99" w14:paraId="21028A62" w14:textId="77777777" w:rsidTr="007C344D">
        <w:trPr>
          <w:jc w:val="center"/>
        </w:trPr>
        <w:tc>
          <w:tcPr>
            <w:tcW w:w="1947" w:type="dxa"/>
            <w:tcBorders>
              <w:top w:val="nil"/>
              <w:left w:val="nil"/>
              <w:bottom w:val="nil"/>
              <w:right w:val="nil"/>
            </w:tcBorders>
          </w:tcPr>
          <w:p w14:paraId="388D64B7"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rPr>
              <w:t>FPRO</w:t>
            </w:r>
          </w:p>
        </w:tc>
        <w:tc>
          <w:tcPr>
            <w:tcW w:w="1187" w:type="dxa"/>
            <w:tcBorders>
              <w:top w:val="nil"/>
              <w:left w:val="nil"/>
              <w:bottom w:val="nil"/>
              <w:right w:val="nil"/>
            </w:tcBorders>
          </w:tcPr>
          <w:p w14:paraId="235D862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-0.530**</w:t>
            </w:r>
          </w:p>
        </w:tc>
        <w:tc>
          <w:tcPr>
            <w:tcW w:w="1186" w:type="dxa"/>
            <w:tcBorders>
              <w:top w:val="nil"/>
              <w:left w:val="nil"/>
              <w:bottom w:val="nil"/>
              <w:right w:val="nil"/>
            </w:tcBorders>
          </w:tcPr>
          <w:p w14:paraId="55F0D04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-0.224</w:t>
            </w:r>
          </w:p>
        </w:tc>
        <w:tc>
          <w:tcPr>
            <w:tcW w:w="1170" w:type="dxa"/>
            <w:tcBorders>
              <w:top w:val="nil"/>
              <w:left w:val="nil"/>
              <w:bottom w:val="nil"/>
              <w:right w:val="nil"/>
            </w:tcBorders>
          </w:tcPr>
          <w:p w14:paraId="1271FCA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-0.508**</w:t>
            </w:r>
          </w:p>
        </w:tc>
        <w:tc>
          <w:tcPr>
            <w:tcW w:w="1278" w:type="dxa"/>
            <w:tcBorders>
              <w:top w:val="nil"/>
              <w:left w:val="nil"/>
              <w:bottom w:val="nil"/>
              <w:right w:val="nil"/>
            </w:tcBorders>
          </w:tcPr>
          <w:p w14:paraId="39F708A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-0.443</w:t>
            </w:r>
          </w:p>
        </w:tc>
        <w:tc>
          <w:tcPr>
            <w:tcW w:w="1197" w:type="dxa"/>
            <w:tcBorders>
              <w:top w:val="nil"/>
              <w:left w:val="nil"/>
              <w:bottom w:val="nil"/>
              <w:right w:val="nil"/>
            </w:tcBorders>
          </w:tcPr>
          <w:p w14:paraId="5513FB6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-0.291**</w:t>
            </w:r>
          </w:p>
        </w:tc>
        <w:tc>
          <w:tcPr>
            <w:tcW w:w="1168" w:type="dxa"/>
            <w:tcBorders>
              <w:top w:val="nil"/>
              <w:left w:val="nil"/>
              <w:bottom w:val="nil"/>
              <w:right w:val="nil"/>
            </w:tcBorders>
          </w:tcPr>
          <w:p w14:paraId="7A9FBD1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-0.150</w:t>
            </w:r>
          </w:p>
        </w:tc>
        <w:tc>
          <w:tcPr>
            <w:tcW w:w="1159" w:type="dxa"/>
            <w:tcBorders>
              <w:top w:val="nil"/>
              <w:left w:val="nil"/>
              <w:bottom w:val="nil"/>
              <w:right w:val="nil"/>
            </w:tcBorders>
          </w:tcPr>
          <w:p w14:paraId="5D25D0B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-0.301*</w:t>
            </w:r>
          </w:p>
        </w:tc>
        <w:tc>
          <w:tcPr>
            <w:tcW w:w="1198" w:type="dxa"/>
            <w:tcBorders>
              <w:top w:val="nil"/>
              <w:left w:val="nil"/>
              <w:bottom w:val="nil"/>
              <w:right w:val="nil"/>
            </w:tcBorders>
          </w:tcPr>
          <w:p w14:paraId="0EC46FD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-0.190</w:t>
            </w:r>
          </w:p>
        </w:tc>
      </w:tr>
      <w:tr w:rsidR="00DB6C99" w:rsidRPr="00DB6C99" w14:paraId="4FBAA312" w14:textId="77777777" w:rsidTr="007C344D">
        <w:trPr>
          <w:jc w:val="center"/>
        </w:trPr>
        <w:tc>
          <w:tcPr>
            <w:tcW w:w="1947" w:type="dxa"/>
            <w:tcBorders>
              <w:top w:val="nil"/>
              <w:left w:val="nil"/>
              <w:bottom w:val="nil"/>
              <w:right w:val="nil"/>
            </w:tcBorders>
          </w:tcPr>
          <w:p w14:paraId="798382D4"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187" w:type="dxa"/>
            <w:tcBorders>
              <w:top w:val="nil"/>
              <w:left w:val="nil"/>
              <w:bottom w:val="nil"/>
              <w:right w:val="nil"/>
            </w:tcBorders>
          </w:tcPr>
          <w:p w14:paraId="453EE5D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(-2.43)</w:t>
            </w:r>
          </w:p>
        </w:tc>
        <w:tc>
          <w:tcPr>
            <w:tcW w:w="1186" w:type="dxa"/>
            <w:tcBorders>
              <w:top w:val="nil"/>
              <w:left w:val="nil"/>
              <w:bottom w:val="nil"/>
              <w:right w:val="nil"/>
            </w:tcBorders>
          </w:tcPr>
          <w:p w14:paraId="190364D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(-0.71)</w:t>
            </w:r>
          </w:p>
        </w:tc>
        <w:tc>
          <w:tcPr>
            <w:tcW w:w="1170" w:type="dxa"/>
            <w:tcBorders>
              <w:top w:val="nil"/>
              <w:left w:val="nil"/>
              <w:bottom w:val="nil"/>
              <w:right w:val="nil"/>
            </w:tcBorders>
          </w:tcPr>
          <w:p w14:paraId="32410EE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(-1.98)</w:t>
            </w:r>
          </w:p>
        </w:tc>
        <w:tc>
          <w:tcPr>
            <w:tcW w:w="1278" w:type="dxa"/>
            <w:tcBorders>
              <w:top w:val="nil"/>
              <w:left w:val="nil"/>
              <w:bottom w:val="nil"/>
              <w:right w:val="nil"/>
            </w:tcBorders>
          </w:tcPr>
          <w:p w14:paraId="04E5C2F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(-1.38)</w:t>
            </w:r>
          </w:p>
        </w:tc>
        <w:tc>
          <w:tcPr>
            <w:tcW w:w="1197" w:type="dxa"/>
            <w:tcBorders>
              <w:top w:val="nil"/>
              <w:left w:val="nil"/>
              <w:bottom w:val="nil"/>
              <w:right w:val="nil"/>
            </w:tcBorders>
          </w:tcPr>
          <w:p w14:paraId="7D75015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(-2.11)</w:t>
            </w:r>
          </w:p>
        </w:tc>
        <w:tc>
          <w:tcPr>
            <w:tcW w:w="1168" w:type="dxa"/>
            <w:tcBorders>
              <w:top w:val="nil"/>
              <w:left w:val="nil"/>
              <w:bottom w:val="nil"/>
              <w:right w:val="nil"/>
            </w:tcBorders>
          </w:tcPr>
          <w:p w14:paraId="0CC0C29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(-0.64)</w:t>
            </w:r>
          </w:p>
        </w:tc>
        <w:tc>
          <w:tcPr>
            <w:tcW w:w="1159" w:type="dxa"/>
            <w:tcBorders>
              <w:top w:val="nil"/>
              <w:left w:val="nil"/>
              <w:bottom w:val="nil"/>
              <w:right w:val="nil"/>
            </w:tcBorders>
          </w:tcPr>
          <w:p w14:paraId="59F5006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(-1.80)</w:t>
            </w:r>
          </w:p>
        </w:tc>
        <w:tc>
          <w:tcPr>
            <w:tcW w:w="1198" w:type="dxa"/>
            <w:tcBorders>
              <w:top w:val="nil"/>
              <w:left w:val="nil"/>
              <w:bottom w:val="nil"/>
              <w:right w:val="nil"/>
            </w:tcBorders>
          </w:tcPr>
          <w:p w14:paraId="271E47F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(-0.80)</w:t>
            </w:r>
          </w:p>
        </w:tc>
      </w:tr>
      <w:tr w:rsidR="00DB6C99" w:rsidRPr="00DB6C99" w14:paraId="3C4A9D49" w14:textId="77777777" w:rsidTr="007C344D">
        <w:trPr>
          <w:jc w:val="center"/>
        </w:trPr>
        <w:tc>
          <w:tcPr>
            <w:tcW w:w="1947" w:type="dxa"/>
            <w:tcBorders>
              <w:top w:val="nil"/>
              <w:left w:val="nil"/>
              <w:bottom w:val="nil"/>
              <w:right w:val="nil"/>
            </w:tcBorders>
          </w:tcPr>
          <w:p w14:paraId="460EBE0F"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lang w:val="en-GB"/>
              </w:rPr>
              <w:t>BSIZE</w:t>
            </w:r>
          </w:p>
        </w:tc>
        <w:tc>
          <w:tcPr>
            <w:tcW w:w="1187" w:type="dxa"/>
            <w:tcBorders>
              <w:top w:val="nil"/>
              <w:left w:val="nil"/>
              <w:bottom w:val="nil"/>
              <w:right w:val="nil"/>
            </w:tcBorders>
          </w:tcPr>
          <w:p w14:paraId="3E9E1B1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-0.043</w:t>
            </w:r>
          </w:p>
        </w:tc>
        <w:tc>
          <w:tcPr>
            <w:tcW w:w="1186" w:type="dxa"/>
            <w:tcBorders>
              <w:top w:val="nil"/>
              <w:left w:val="nil"/>
              <w:bottom w:val="nil"/>
              <w:right w:val="nil"/>
            </w:tcBorders>
          </w:tcPr>
          <w:p w14:paraId="528232C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-0.048</w:t>
            </w:r>
          </w:p>
        </w:tc>
        <w:tc>
          <w:tcPr>
            <w:tcW w:w="1170" w:type="dxa"/>
            <w:tcBorders>
              <w:top w:val="nil"/>
              <w:left w:val="nil"/>
              <w:bottom w:val="nil"/>
              <w:right w:val="nil"/>
            </w:tcBorders>
          </w:tcPr>
          <w:p w14:paraId="67E3961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0.220*</w:t>
            </w:r>
          </w:p>
        </w:tc>
        <w:tc>
          <w:tcPr>
            <w:tcW w:w="1278" w:type="dxa"/>
            <w:tcBorders>
              <w:top w:val="nil"/>
              <w:left w:val="nil"/>
              <w:bottom w:val="nil"/>
              <w:right w:val="nil"/>
            </w:tcBorders>
          </w:tcPr>
          <w:p w14:paraId="21021CB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0.084</w:t>
            </w:r>
          </w:p>
        </w:tc>
        <w:tc>
          <w:tcPr>
            <w:tcW w:w="1197" w:type="dxa"/>
            <w:tcBorders>
              <w:top w:val="nil"/>
              <w:left w:val="nil"/>
              <w:bottom w:val="nil"/>
              <w:right w:val="nil"/>
            </w:tcBorders>
          </w:tcPr>
          <w:p w14:paraId="6913837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0.068</w:t>
            </w:r>
          </w:p>
        </w:tc>
        <w:tc>
          <w:tcPr>
            <w:tcW w:w="1168" w:type="dxa"/>
            <w:tcBorders>
              <w:top w:val="nil"/>
              <w:left w:val="nil"/>
              <w:bottom w:val="nil"/>
              <w:right w:val="nil"/>
            </w:tcBorders>
          </w:tcPr>
          <w:p w14:paraId="2CA6A1C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0.162</w:t>
            </w:r>
          </w:p>
        </w:tc>
        <w:tc>
          <w:tcPr>
            <w:tcW w:w="1159" w:type="dxa"/>
            <w:tcBorders>
              <w:top w:val="nil"/>
              <w:left w:val="nil"/>
              <w:bottom w:val="nil"/>
              <w:right w:val="nil"/>
            </w:tcBorders>
          </w:tcPr>
          <w:p w14:paraId="0F982DD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0.203***</w:t>
            </w:r>
          </w:p>
        </w:tc>
        <w:tc>
          <w:tcPr>
            <w:tcW w:w="1198" w:type="dxa"/>
            <w:tcBorders>
              <w:top w:val="nil"/>
              <w:left w:val="nil"/>
              <w:bottom w:val="nil"/>
              <w:right w:val="nil"/>
            </w:tcBorders>
          </w:tcPr>
          <w:p w14:paraId="5C22C0C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0.310**</w:t>
            </w:r>
          </w:p>
        </w:tc>
      </w:tr>
      <w:tr w:rsidR="00DB6C99" w:rsidRPr="00DB6C99" w14:paraId="34DE4F04" w14:textId="77777777" w:rsidTr="007C344D">
        <w:trPr>
          <w:jc w:val="center"/>
        </w:trPr>
        <w:tc>
          <w:tcPr>
            <w:tcW w:w="1947" w:type="dxa"/>
            <w:tcBorders>
              <w:top w:val="nil"/>
              <w:left w:val="nil"/>
              <w:bottom w:val="nil"/>
              <w:right w:val="nil"/>
            </w:tcBorders>
          </w:tcPr>
          <w:p w14:paraId="1580D130"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187" w:type="dxa"/>
            <w:tcBorders>
              <w:top w:val="nil"/>
              <w:left w:val="nil"/>
              <w:bottom w:val="nil"/>
              <w:right w:val="nil"/>
            </w:tcBorders>
          </w:tcPr>
          <w:p w14:paraId="09E5E5D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(-0.43)</w:t>
            </w:r>
          </w:p>
        </w:tc>
        <w:tc>
          <w:tcPr>
            <w:tcW w:w="1186" w:type="dxa"/>
            <w:tcBorders>
              <w:top w:val="nil"/>
              <w:left w:val="nil"/>
              <w:bottom w:val="nil"/>
              <w:right w:val="nil"/>
            </w:tcBorders>
          </w:tcPr>
          <w:p w14:paraId="53AF6D4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(-0.29)</w:t>
            </w:r>
          </w:p>
        </w:tc>
        <w:tc>
          <w:tcPr>
            <w:tcW w:w="1170" w:type="dxa"/>
            <w:tcBorders>
              <w:top w:val="nil"/>
              <w:left w:val="nil"/>
              <w:bottom w:val="nil"/>
              <w:right w:val="nil"/>
            </w:tcBorders>
          </w:tcPr>
          <w:p w14:paraId="0C00268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(1.78)</w:t>
            </w:r>
          </w:p>
        </w:tc>
        <w:tc>
          <w:tcPr>
            <w:tcW w:w="1278" w:type="dxa"/>
            <w:tcBorders>
              <w:top w:val="nil"/>
              <w:left w:val="nil"/>
              <w:bottom w:val="nil"/>
              <w:right w:val="nil"/>
            </w:tcBorders>
          </w:tcPr>
          <w:p w14:paraId="7CD27B1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(0.50)</w:t>
            </w:r>
          </w:p>
        </w:tc>
        <w:tc>
          <w:tcPr>
            <w:tcW w:w="1197" w:type="dxa"/>
            <w:tcBorders>
              <w:top w:val="nil"/>
              <w:left w:val="nil"/>
              <w:bottom w:val="nil"/>
              <w:right w:val="nil"/>
            </w:tcBorders>
          </w:tcPr>
          <w:p w14:paraId="31C99CE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(1.10)</w:t>
            </w:r>
          </w:p>
        </w:tc>
        <w:tc>
          <w:tcPr>
            <w:tcW w:w="1168" w:type="dxa"/>
            <w:tcBorders>
              <w:top w:val="nil"/>
              <w:left w:val="nil"/>
              <w:bottom w:val="nil"/>
              <w:right w:val="nil"/>
            </w:tcBorders>
          </w:tcPr>
          <w:p w14:paraId="1E94A7D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(1.25)</w:t>
            </w:r>
          </w:p>
        </w:tc>
        <w:tc>
          <w:tcPr>
            <w:tcW w:w="1159" w:type="dxa"/>
            <w:tcBorders>
              <w:top w:val="nil"/>
              <w:left w:val="nil"/>
              <w:bottom w:val="nil"/>
              <w:right w:val="nil"/>
            </w:tcBorders>
          </w:tcPr>
          <w:p w14:paraId="47F7310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(2.79)</w:t>
            </w:r>
          </w:p>
        </w:tc>
        <w:tc>
          <w:tcPr>
            <w:tcW w:w="1198" w:type="dxa"/>
            <w:tcBorders>
              <w:top w:val="nil"/>
              <w:left w:val="nil"/>
              <w:bottom w:val="nil"/>
              <w:right w:val="nil"/>
            </w:tcBorders>
          </w:tcPr>
          <w:p w14:paraId="7121B30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(2.45)</w:t>
            </w:r>
          </w:p>
        </w:tc>
      </w:tr>
      <w:tr w:rsidR="00DB6C99" w:rsidRPr="00DB6C99" w14:paraId="7D540E23" w14:textId="77777777" w:rsidTr="007C344D">
        <w:trPr>
          <w:jc w:val="center"/>
        </w:trPr>
        <w:tc>
          <w:tcPr>
            <w:tcW w:w="1947" w:type="dxa"/>
            <w:tcBorders>
              <w:top w:val="nil"/>
              <w:left w:val="nil"/>
              <w:bottom w:val="nil"/>
              <w:right w:val="nil"/>
            </w:tcBorders>
          </w:tcPr>
          <w:p w14:paraId="4F8A11E9"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lang w:val="en-GB"/>
              </w:rPr>
              <w:t>BIND</w:t>
            </w:r>
          </w:p>
        </w:tc>
        <w:tc>
          <w:tcPr>
            <w:tcW w:w="1187" w:type="dxa"/>
            <w:tcBorders>
              <w:top w:val="nil"/>
              <w:left w:val="nil"/>
              <w:bottom w:val="nil"/>
              <w:right w:val="nil"/>
            </w:tcBorders>
          </w:tcPr>
          <w:p w14:paraId="7EDE001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-0.802***</w:t>
            </w:r>
          </w:p>
        </w:tc>
        <w:tc>
          <w:tcPr>
            <w:tcW w:w="1186" w:type="dxa"/>
            <w:tcBorders>
              <w:top w:val="nil"/>
              <w:left w:val="nil"/>
              <w:bottom w:val="nil"/>
              <w:right w:val="nil"/>
            </w:tcBorders>
          </w:tcPr>
          <w:p w14:paraId="25B67A8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-0.078</w:t>
            </w:r>
          </w:p>
        </w:tc>
        <w:tc>
          <w:tcPr>
            <w:tcW w:w="1170" w:type="dxa"/>
            <w:tcBorders>
              <w:top w:val="nil"/>
              <w:left w:val="nil"/>
              <w:bottom w:val="nil"/>
              <w:right w:val="nil"/>
            </w:tcBorders>
          </w:tcPr>
          <w:p w14:paraId="64865BF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-0.828***</w:t>
            </w:r>
          </w:p>
        </w:tc>
        <w:tc>
          <w:tcPr>
            <w:tcW w:w="1278" w:type="dxa"/>
            <w:tcBorders>
              <w:top w:val="nil"/>
              <w:left w:val="nil"/>
              <w:bottom w:val="nil"/>
              <w:right w:val="nil"/>
            </w:tcBorders>
          </w:tcPr>
          <w:p w14:paraId="1183CA6F"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-0.379</w:t>
            </w:r>
          </w:p>
        </w:tc>
        <w:tc>
          <w:tcPr>
            <w:tcW w:w="1197" w:type="dxa"/>
            <w:tcBorders>
              <w:top w:val="nil"/>
              <w:left w:val="nil"/>
              <w:bottom w:val="nil"/>
              <w:right w:val="nil"/>
            </w:tcBorders>
          </w:tcPr>
          <w:p w14:paraId="07F9CFC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-0.193</w:t>
            </w:r>
          </w:p>
        </w:tc>
        <w:tc>
          <w:tcPr>
            <w:tcW w:w="1168" w:type="dxa"/>
            <w:tcBorders>
              <w:top w:val="nil"/>
              <w:left w:val="nil"/>
              <w:bottom w:val="nil"/>
              <w:right w:val="nil"/>
            </w:tcBorders>
          </w:tcPr>
          <w:p w14:paraId="15A4DBC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-0.280</w:t>
            </w:r>
          </w:p>
        </w:tc>
        <w:tc>
          <w:tcPr>
            <w:tcW w:w="1159" w:type="dxa"/>
            <w:tcBorders>
              <w:top w:val="nil"/>
              <w:left w:val="nil"/>
              <w:bottom w:val="nil"/>
              <w:right w:val="nil"/>
            </w:tcBorders>
          </w:tcPr>
          <w:p w14:paraId="708F92D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-0.293</w:t>
            </w:r>
          </w:p>
        </w:tc>
        <w:tc>
          <w:tcPr>
            <w:tcW w:w="1198" w:type="dxa"/>
            <w:tcBorders>
              <w:top w:val="nil"/>
              <w:left w:val="nil"/>
              <w:bottom w:val="nil"/>
              <w:right w:val="nil"/>
            </w:tcBorders>
          </w:tcPr>
          <w:p w14:paraId="4F013B7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-0.430</w:t>
            </w:r>
          </w:p>
        </w:tc>
      </w:tr>
      <w:tr w:rsidR="00DB6C99" w:rsidRPr="00DB6C99" w14:paraId="3155797E" w14:textId="77777777" w:rsidTr="007C344D">
        <w:trPr>
          <w:jc w:val="center"/>
        </w:trPr>
        <w:tc>
          <w:tcPr>
            <w:tcW w:w="1947" w:type="dxa"/>
            <w:tcBorders>
              <w:top w:val="nil"/>
              <w:left w:val="nil"/>
              <w:bottom w:val="nil"/>
              <w:right w:val="nil"/>
            </w:tcBorders>
          </w:tcPr>
          <w:p w14:paraId="1CAF4BDA"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187" w:type="dxa"/>
            <w:tcBorders>
              <w:top w:val="nil"/>
              <w:left w:val="nil"/>
              <w:bottom w:val="nil"/>
              <w:right w:val="nil"/>
            </w:tcBorders>
          </w:tcPr>
          <w:p w14:paraId="0BFDBCD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(-3.23)</w:t>
            </w:r>
          </w:p>
        </w:tc>
        <w:tc>
          <w:tcPr>
            <w:tcW w:w="1186" w:type="dxa"/>
            <w:tcBorders>
              <w:top w:val="nil"/>
              <w:left w:val="nil"/>
              <w:bottom w:val="nil"/>
              <w:right w:val="nil"/>
            </w:tcBorders>
          </w:tcPr>
          <w:p w14:paraId="20426B5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(-0.17)</w:t>
            </w:r>
          </w:p>
        </w:tc>
        <w:tc>
          <w:tcPr>
            <w:tcW w:w="1170" w:type="dxa"/>
            <w:tcBorders>
              <w:top w:val="nil"/>
              <w:left w:val="nil"/>
              <w:bottom w:val="nil"/>
              <w:right w:val="nil"/>
            </w:tcBorders>
          </w:tcPr>
          <w:p w14:paraId="2F1D677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(-2.84)</w:t>
            </w:r>
          </w:p>
        </w:tc>
        <w:tc>
          <w:tcPr>
            <w:tcW w:w="1278" w:type="dxa"/>
            <w:tcBorders>
              <w:top w:val="nil"/>
              <w:left w:val="nil"/>
              <w:bottom w:val="nil"/>
              <w:right w:val="nil"/>
            </w:tcBorders>
          </w:tcPr>
          <w:p w14:paraId="1616045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(-0.80)</w:t>
            </w:r>
          </w:p>
        </w:tc>
        <w:tc>
          <w:tcPr>
            <w:tcW w:w="1197" w:type="dxa"/>
            <w:tcBorders>
              <w:top w:val="nil"/>
              <w:left w:val="nil"/>
              <w:bottom w:val="nil"/>
              <w:right w:val="nil"/>
            </w:tcBorders>
          </w:tcPr>
          <w:p w14:paraId="65B0359F"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(-1.19)</w:t>
            </w:r>
          </w:p>
        </w:tc>
        <w:tc>
          <w:tcPr>
            <w:tcW w:w="1168" w:type="dxa"/>
            <w:tcBorders>
              <w:top w:val="nil"/>
              <w:left w:val="nil"/>
              <w:bottom w:val="nil"/>
              <w:right w:val="nil"/>
            </w:tcBorders>
          </w:tcPr>
          <w:p w14:paraId="3405F65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(-0.81)</w:t>
            </w:r>
          </w:p>
        </w:tc>
        <w:tc>
          <w:tcPr>
            <w:tcW w:w="1159" w:type="dxa"/>
            <w:tcBorders>
              <w:top w:val="nil"/>
              <w:left w:val="nil"/>
              <w:bottom w:val="nil"/>
              <w:right w:val="nil"/>
            </w:tcBorders>
          </w:tcPr>
          <w:p w14:paraId="63C76E4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(-1.58)</w:t>
            </w:r>
          </w:p>
        </w:tc>
        <w:tc>
          <w:tcPr>
            <w:tcW w:w="1198" w:type="dxa"/>
            <w:tcBorders>
              <w:top w:val="nil"/>
              <w:left w:val="nil"/>
              <w:bottom w:val="nil"/>
              <w:right w:val="nil"/>
            </w:tcBorders>
          </w:tcPr>
          <w:p w14:paraId="74DF308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(-1.26)</w:t>
            </w:r>
          </w:p>
        </w:tc>
      </w:tr>
      <w:tr w:rsidR="00DB6C99" w:rsidRPr="00DB6C99" w14:paraId="17684514" w14:textId="77777777" w:rsidTr="007C344D">
        <w:trPr>
          <w:jc w:val="center"/>
        </w:trPr>
        <w:tc>
          <w:tcPr>
            <w:tcW w:w="1947" w:type="dxa"/>
            <w:tcBorders>
              <w:top w:val="nil"/>
              <w:left w:val="nil"/>
              <w:bottom w:val="nil"/>
              <w:right w:val="nil"/>
            </w:tcBorders>
          </w:tcPr>
          <w:p w14:paraId="3722B782"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lang w:val="en-GB"/>
              </w:rPr>
              <w:t>BMEET</w:t>
            </w:r>
          </w:p>
        </w:tc>
        <w:tc>
          <w:tcPr>
            <w:tcW w:w="1187" w:type="dxa"/>
            <w:tcBorders>
              <w:top w:val="nil"/>
              <w:left w:val="nil"/>
              <w:bottom w:val="nil"/>
              <w:right w:val="nil"/>
            </w:tcBorders>
          </w:tcPr>
          <w:p w14:paraId="49E6BCCF"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-0.090**</w:t>
            </w:r>
          </w:p>
        </w:tc>
        <w:tc>
          <w:tcPr>
            <w:tcW w:w="1186" w:type="dxa"/>
            <w:tcBorders>
              <w:top w:val="nil"/>
              <w:left w:val="nil"/>
              <w:bottom w:val="nil"/>
              <w:right w:val="nil"/>
            </w:tcBorders>
          </w:tcPr>
          <w:p w14:paraId="33E62F1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-0.087</w:t>
            </w:r>
          </w:p>
        </w:tc>
        <w:tc>
          <w:tcPr>
            <w:tcW w:w="1170" w:type="dxa"/>
            <w:tcBorders>
              <w:top w:val="nil"/>
              <w:left w:val="nil"/>
              <w:bottom w:val="nil"/>
              <w:right w:val="nil"/>
            </w:tcBorders>
          </w:tcPr>
          <w:p w14:paraId="20A9295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-0.094**</w:t>
            </w:r>
          </w:p>
        </w:tc>
        <w:tc>
          <w:tcPr>
            <w:tcW w:w="1278" w:type="dxa"/>
            <w:tcBorders>
              <w:top w:val="nil"/>
              <w:left w:val="nil"/>
              <w:bottom w:val="nil"/>
              <w:right w:val="nil"/>
            </w:tcBorders>
          </w:tcPr>
          <w:p w14:paraId="14A30FD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0.001</w:t>
            </w:r>
          </w:p>
        </w:tc>
        <w:tc>
          <w:tcPr>
            <w:tcW w:w="1197" w:type="dxa"/>
            <w:tcBorders>
              <w:top w:val="nil"/>
              <w:left w:val="nil"/>
              <w:bottom w:val="nil"/>
              <w:right w:val="nil"/>
            </w:tcBorders>
          </w:tcPr>
          <w:p w14:paraId="4EA2CDBF"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-0.077**</w:t>
            </w:r>
          </w:p>
        </w:tc>
        <w:tc>
          <w:tcPr>
            <w:tcW w:w="1168" w:type="dxa"/>
            <w:tcBorders>
              <w:top w:val="nil"/>
              <w:left w:val="nil"/>
              <w:bottom w:val="nil"/>
              <w:right w:val="nil"/>
            </w:tcBorders>
          </w:tcPr>
          <w:p w14:paraId="56BBE5C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0.023</w:t>
            </w:r>
          </w:p>
        </w:tc>
        <w:tc>
          <w:tcPr>
            <w:tcW w:w="1159" w:type="dxa"/>
            <w:tcBorders>
              <w:top w:val="nil"/>
              <w:left w:val="nil"/>
              <w:bottom w:val="nil"/>
              <w:right w:val="nil"/>
            </w:tcBorders>
          </w:tcPr>
          <w:p w14:paraId="016B423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-0.120***</w:t>
            </w:r>
          </w:p>
        </w:tc>
        <w:tc>
          <w:tcPr>
            <w:tcW w:w="1198" w:type="dxa"/>
            <w:tcBorders>
              <w:top w:val="nil"/>
              <w:left w:val="nil"/>
              <w:bottom w:val="nil"/>
              <w:right w:val="nil"/>
            </w:tcBorders>
          </w:tcPr>
          <w:p w14:paraId="0AD7E49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0.050</w:t>
            </w:r>
          </w:p>
        </w:tc>
      </w:tr>
      <w:tr w:rsidR="00DB6C99" w:rsidRPr="00DB6C99" w14:paraId="3AD1F989" w14:textId="77777777" w:rsidTr="007C344D">
        <w:trPr>
          <w:jc w:val="center"/>
        </w:trPr>
        <w:tc>
          <w:tcPr>
            <w:tcW w:w="1947" w:type="dxa"/>
            <w:tcBorders>
              <w:top w:val="nil"/>
              <w:left w:val="nil"/>
              <w:bottom w:val="nil"/>
              <w:right w:val="nil"/>
            </w:tcBorders>
          </w:tcPr>
          <w:p w14:paraId="162ECA4D"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187" w:type="dxa"/>
            <w:tcBorders>
              <w:top w:val="nil"/>
              <w:left w:val="nil"/>
              <w:bottom w:val="nil"/>
              <w:right w:val="nil"/>
            </w:tcBorders>
          </w:tcPr>
          <w:p w14:paraId="1C13A66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(-2.31)</w:t>
            </w:r>
          </w:p>
        </w:tc>
        <w:tc>
          <w:tcPr>
            <w:tcW w:w="1186" w:type="dxa"/>
            <w:tcBorders>
              <w:top w:val="nil"/>
              <w:left w:val="nil"/>
              <w:bottom w:val="nil"/>
              <w:right w:val="nil"/>
            </w:tcBorders>
          </w:tcPr>
          <w:p w14:paraId="38E2B47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(-1.40)</w:t>
            </w:r>
          </w:p>
        </w:tc>
        <w:tc>
          <w:tcPr>
            <w:tcW w:w="1170" w:type="dxa"/>
            <w:tcBorders>
              <w:top w:val="nil"/>
              <w:left w:val="nil"/>
              <w:bottom w:val="nil"/>
              <w:right w:val="nil"/>
            </w:tcBorders>
          </w:tcPr>
          <w:p w14:paraId="6C32E80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(-1.98)</w:t>
            </w:r>
          </w:p>
        </w:tc>
        <w:tc>
          <w:tcPr>
            <w:tcW w:w="1278" w:type="dxa"/>
            <w:tcBorders>
              <w:top w:val="nil"/>
              <w:left w:val="nil"/>
              <w:bottom w:val="nil"/>
              <w:right w:val="nil"/>
            </w:tcBorders>
          </w:tcPr>
          <w:p w14:paraId="77FD2B9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(0.02)</w:t>
            </w:r>
          </w:p>
        </w:tc>
        <w:tc>
          <w:tcPr>
            <w:tcW w:w="1197" w:type="dxa"/>
            <w:tcBorders>
              <w:top w:val="nil"/>
              <w:left w:val="nil"/>
              <w:bottom w:val="nil"/>
              <w:right w:val="nil"/>
            </w:tcBorders>
          </w:tcPr>
          <w:p w14:paraId="467D226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(-2.48)</w:t>
            </w:r>
          </w:p>
        </w:tc>
        <w:tc>
          <w:tcPr>
            <w:tcW w:w="1168" w:type="dxa"/>
            <w:tcBorders>
              <w:top w:val="nil"/>
              <w:left w:val="nil"/>
              <w:bottom w:val="nil"/>
              <w:right w:val="nil"/>
            </w:tcBorders>
          </w:tcPr>
          <w:p w14:paraId="499EBE3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(0.41)</w:t>
            </w:r>
          </w:p>
        </w:tc>
        <w:tc>
          <w:tcPr>
            <w:tcW w:w="1159" w:type="dxa"/>
            <w:tcBorders>
              <w:top w:val="nil"/>
              <w:left w:val="nil"/>
              <w:bottom w:val="nil"/>
              <w:right w:val="nil"/>
            </w:tcBorders>
          </w:tcPr>
          <w:p w14:paraId="69F3045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(-3.20)</w:t>
            </w:r>
          </w:p>
        </w:tc>
        <w:tc>
          <w:tcPr>
            <w:tcW w:w="1198" w:type="dxa"/>
            <w:tcBorders>
              <w:top w:val="nil"/>
              <w:left w:val="nil"/>
              <w:bottom w:val="nil"/>
              <w:right w:val="nil"/>
            </w:tcBorders>
          </w:tcPr>
          <w:p w14:paraId="2AF958D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(0.87)</w:t>
            </w:r>
          </w:p>
        </w:tc>
      </w:tr>
      <w:tr w:rsidR="00DB6C99" w:rsidRPr="00DB6C99" w14:paraId="38FD07C1" w14:textId="77777777" w:rsidTr="007C344D">
        <w:trPr>
          <w:jc w:val="center"/>
        </w:trPr>
        <w:tc>
          <w:tcPr>
            <w:tcW w:w="1947" w:type="dxa"/>
            <w:tcBorders>
              <w:top w:val="nil"/>
              <w:left w:val="nil"/>
              <w:bottom w:val="nil"/>
              <w:right w:val="nil"/>
            </w:tcBorders>
          </w:tcPr>
          <w:p w14:paraId="245ED6E9"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lang w:val="en-GB"/>
              </w:rPr>
              <w:t>DUAL</w:t>
            </w:r>
          </w:p>
        </w:tc>
        <w:tc>
          <w:tcPr>
            <w:tcW w:w="1187" w:type="dxa"/>
            <w:tcBorders>
              <w:top w:val="nil"/>
              <w:left w:val="nil"/>
              <w:bottom w:val="nil"/>
              <w:right w:val="nil"/>
            </w:tcBorders>
          </w:tcPr>
          <w:p w14:paraId="65676FD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-0.114***</w:t>
            </w:r>
          </w:p>
        </w:tc>
        <w:tc>
          <w:tcPr>
            <w:tcW w:w="1186" w:type="dxa"/>
            <w:tcBorders>
              <w:top w:val="nil"/>
              <w:left w:val="nil"/>
              <w:bottom w:val="nil"/>
              <w:right w:val="nil"/>
            </w:tcBorders>
          </w:tcPr>
          <w:p w14:paraId="4C39E0E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0.077</w:t>
            </w:r>
          </w:p>
        </w:tc>
        <w:tc>
          <w:tcPr>
            <w:tcW w:w="1170" w:type="dxa"/>
            <w:tcBorders>
              <w:top w:val="nil"/>
              <w:left w:val="nil"/>
              <w:bottom w:val="nil"/>
              <w:right w:val="nil"/>
            </w:tcBorders>
          </w:tcPr>
          <w:p w14:paraId="63768D7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-0.062</w:t>
            </w:r>
          </w:p>
        </w:tc>
        <w:tc>
          <w:tcPr>
            <w:tcW w:w="1278" w:type="dxa"/>
            <w:tcBorders>
              <w:top w:val="nil"/>
              <w:left w:val="nil"/>
              <w:bottom w:val="nil"/>
              <w:right w:val="nil"/>
            </w:tcBorders>
          </w:tcPr>
          <w:p w14:paraId="561DA58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-0.018</w:t>
            </w:r>
          </w:p>
        </w:tc>
        <w:tc>
          <w:tcPr>
            <w:tcW w:w="1197" w:type="dxa"/>
            <w:tcBorders>
              <w:top w:val="nil"/>
              <w:left w:val="nil"/>
              <w:bottom w:val="nil"/>
              <w:right w:val="nil"/>
            </w:tcBorders>
          </w:tcPr>
          <w:p w14:paraId="4A643F0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-0.060**</w:t>
            </w:r>
          </w:p>
        </w:tc>
        <w:tc>
          <w:tcPr>
            <w:tcW w:w="1168" w:type="dxa"/>
            <w:tcBorders>
              <w:top w:val="nil"/>
              <w:left w:val="nil"/>
              <w:bottom w:val="nil"/>
              <w:right w:val="nil"/>
            </w:tcBorders>
          </w:tcPr>
          <w:p w14:paraId="02D3BE1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-0.066</w:t>
            </w:r>
          </w:p>
        </w:tc>
        <w:tc>
          <w:tcPr>
            <w:tcW w:w="1159" w:type="dxa"/>
            <w:tcBorders>
              <w:top w:val="nil"/>
              <w:left w:val="nil"/>
              <w:bottom w:val="nil"/>
              <w:right w:val="nil"/>
            </w:tcBorders>
          </w:tcPr>
          <w:p w14:paraId="10309FE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-0.042</w:t>
            </w:r>
          </w:p>
        </w:tc>
        <w:tc>
          <w:tcPr>
            <w:tcW w:w="1198" w:type="dxa"/>
            <w:tcBorders>
              <w:top w:val="nil"/>
              <w:left w:val="nil"/>
              <w:bottom w:val="nil"/>
              <w:right w:val="nil"/>
            </w:tcBorders>
          </w:tcPr>
          <w:p w14:paraId="3472F3B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-0.089**</w:t>
            </w:r>
          </w:p>
        </w:tc>
      </w:tr>
      <w:tr w:rsidR="00DB6C99" w:rsidRPr="00DB6C99" w14:paraId="28F5B3F7" w14:textId="77777777" w:rsidTr="007C344D">
        <w:trPr>
          <w:jc w:val="center"/>
        </w:trPr>
        <w:tc>
          <w:tcPr>
            <w:tcW w:w="1947" w:type="dxa"/>
            <w:tcBorders>
              <w:top w:val="nil"/>
              <w:left w:val="nil"/>
              <w:bottom w:val="nil"/>
              <w:right w:val="nil"/>
            </w:tcBorders>
          </w:tcPr>
          <w:p w14:paraId="5E1F4124"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187" w:type="dxa"/>
            <w:tcBorders>
              <w:top w:val="nil"/>
              <w:left w:val="nil"/>
              <w:bottom w:val="nil"/>
              <w:right w:val="nil"/>
            </w:tcBorders>
          </w:tcPr>
          <w:p w14:paraId="7012ED9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(-2.81)</w:t>
            </w:r>
          </w:p>
        </w:tc>
        <w:tc>
          <w:tcPr>
            <w:tcW w:w="1186" w:type="dxa"/>
            <w:tcBorders>
              <w:top w:val="nil"/>
              <w:left w:val="nil"/>
              <w:bottom w:val="nil"/>
              <w:right w:val="nil"/>
            </w:tcBorders>
          </w:tcPr>
          <w:p w14:paraId="2131F98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(1.33)</w:t>
            </w:r>
          </w:p>
        </w:tc>
        <w:tc>
          <w:tcPr>
            <w:tcW w:w="1170" w:type="dxa"/>
            <w:tcBorders>
              <w:top w:val="nil"/>
              <w:left w:val="nil"/>
              <w:bottom w:val="nil"/>
              <w:right w:val="nil"/>
            </w:tcBorders>
          </w:tcPr>
          <w:p w14:paraId="153E55B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(-1.31)</w:t>
            </w:r>
          </w:p>
        </w:tc>
        <w:tc>
          <w:tcPr>
            <w:tcW w:w="1278" w:type="dxa"/>
            <w:tcBorders>
              <w:top w:val="nil"/>
              <w:left w:val="nil"/>
              <w:bottom w:val="nil"/>
              <w:right w:val="nil"/>
            </w:tcBorders>
          </w:tcPr>
          <w:p w14:paraId="136BCEC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(-0.32)</w:t>
            </w:r>
          </w:p>
        </w:tc>
        <w:tc>
          <w:tcPr>
            <w:tcW w:w="1197" w:type="dxa"/>
            <w:tcBorders>
              <w:top w:val="nil"/>
              <w:left w:val="nil"/>
              <w:bottom w:val="nil"/>
              <w:right w:val="nil"/>
            </w:tcBorders>
          </w:tcPr>
          <w:p w14:paraId="29E8C56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(-2.23)</w:t>
            </w:r>
          </w:p>
        </w:tc>
        <w:tc>
          <w:tcPr>
            <w:tcW w:w="1168" w:type="dxa"/>
            <w:tcBorders>
              <w:top w:val="nil"/>
              <w:left w:val="nil"/>
              <w:bottom w:val="nil"/>
              <w:right w:val="nil"/>
            </w:tcBorders>
          </w:tcPr>
          <w:p w14:paraId="61EA6FE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(-1.47)</w:t>
            </w:r>
          </w:p>
        </w:tc>
        <w:tc>
          <w:tcPr>
            <w:tcW w:w="1159" w:type="dxa"/>
            <w:tcBorders>
              <w:top w:val="nil"/>
              <w:left w:val="nil"/>
              <w:bottom w:val="nil"/>
              <w:right w:val="nil"/>
            </w:tcBorders>
          </w:tcPr>
          <w:p w14:paraId="79D3456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(-1.32)</w:t>
            </w:r>
          </w:p>
        </w:tc>
        <w:tc>
          <w:tcPr>
            <w:tcW w:w="1198" w:type="dxa"/>
            <w:tcBorders>
              <w:top w:val="nil"/>
              <w:left w:val="nil"/>
              <w:bottom w:val="nil"/>
              <w:right w:val="nil"/>
            </w:tcBorders>
          </w:tcPr>
          <w:p w14:paraId="3919AC5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(-1.98)</w:t>
            </w:r>
          </w:p>
        </w:tc>
      </w:tr>
      <w:tr w:rsidR="00DB6C99" w:rsidRPr="00DB6C99" w14:paraId="3CF5429A" w14:textId="77777777" w:rsidTr="007C344D">
        <w:trPr>
          <w:jc w:val="center"/>
        </w:trPr>
        <w:tc>
          <w:tcPr>
            <w:tcW w:w="1947" w:type="dxa"/>
            <w:tcBorders>
              <w:top w:val="nil"/>
              <w:left w:val="nil"/>
              <w:bottom w:val="nil"/>
              <w:right w:val="nil"/>
            </w:tcBorders>
          </w:tcPr>
          <w:p w14:paraId="7505D834"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lang w:val="en-GB"/>
              </w:rPr>
              <w:t>PM</w:t>
            </w:r>
          </w:p>
        </w:tc>
        <w:tc>
          <w:tcPr>
            <w:tcW w:w="1187" w:type="dxa"/>
            <w:tcBorders>
              <w:top w:val="nil"/>
              <w:left w:val="nil"/>
              <w:bottom w:val="nil"/>
              <w:right w:val="nil"/>
            </w:tcBorders>
          </w:tcPr>
          <w:p w14:paraId="7C443C0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-0.045</w:t>
            </w:r>
          </w:p>
        </w:tc>
        <w:tc>
          <w:tcPr>
            <w:tcW w:w="1186" w:type="dxa"/>
            <w:tcBorders>
              <w:top w:val="nil"/>
              <w:left w:val="nil"/>
              <w:bottom w:val="nil"/>
              <w:right w:val="nil"/>
            </w:tcBorders>
          </w:tcPr>
          <w:p w14:paraId="60C08D9F"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-0.564**</w:t>
            </w:r>
          </w:p>
        </w:tc>
        <w:tc>
          <w:tcPr>
            <w:tcW w:w="1170" w:type="dxa"/>
            <w:tcBorders>
              <w:top w:val="nil"/>
              <w:left w:val="nil"/>
              <w:bottom w:val="nil"/>
              <w:right w:val="nil"/>
            </w:tcBorders>
          </w:tcPr>
          <w:p w14:paraId="5605F0F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0.169</w:t>
            </w:r>
          </w:p>
        </w:tc>
        <w:tc>
          <w:tcPr>
            <w:tcW w:w="1278" w:type="dxa"/>
            <w:tcBorders>
              <w:top w:val="nil"/>
              <w:left w:val="nil"/>
              <w:bottom w:val="nil"/>
              <w:right w:val="nil"/>
            </w:tcBorders>
          </w:tcPr>
          <w:p w14:paraId="3CF921C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-0.536**</w:t>
            </w:r>
          </w:p>
        </w:tc>
        <w:tc>
          <w:tcPr>
            <w:tcW w:w="1197" w:type="dxa"/>
            <w:tcBorders>
              <w:top w:val="nil"/>
              <w:left w:val="nil"/>
              <w:bottom w:val="nil"/>
              <w:right w:val="nil"/>
            </w:tcBorders>
          </w:tcPr>
          <w:p w14:paraId="3C9162B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0.087</w:t>
            </w:r>
          </w:p>
        </w:tc>
        <w:tc>
          <w:tcPr>
            <w:tcW w:w="1168" w:type="dxa"/>
            <w:tcBorders>
              <w:top w:val="nil"/>
              <w:left w:val="nil"/>
              <w:bottom w:val="nil"/>
              <w:right w:val="nil"/>
            </w:tcBorders>
          </w:tcPr>
          <w:p w14:paraId="3084489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-0.289</w:t>
            </w:r>
          </w:p>
        </w:tc>
        <w:tc>
          <w:tcPr>
            <w:tcW w:w="1159" w:type="dxa"/>
            <w:tcBorders>
              <w:top w:val="nil"/>
              <w:left w:val="nil"/>
              <w:bottom w:val="nil"/>
              <w:right w:val="nil"/>
            </w:tcBorders>
          </w:tcPr>
          <w:p w14:paraId="5DE1A15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0.132</w:t>
            </w:r>
          </w:p>
        </w:tc>
        <w:tc>
          <w:tcPr>
            <w:tcW w:w="1198" w:type="dxa"/>
            <w:tcBorders>
              <w:top w:val="nil"/>
              <w:left w:val="nil"/>
              <w:bottom w:val="nil"/>
              <w:right w:val="nil"/>
            </w:tcBorders>
          </w:tcPr>
          <w:p w14:paraId="33F79AA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-0.369*</w:t>
            </w:r>
          </w:p>
        </w:tc>
      </w:tr>
      <w:tr w:rsidR="00DB6C99" w:rsidRPr="00DB6C99" w14:paraId="401F2958" w14:textId="77777777" w:rsidTr="007C344D">
        <w:trPr>
          <w:jc w:val="center"/>
        </w:trPr>
        <w:tc>
          <w:tcPr>
            <w:tcW w:w="1947" w:type="dxa"/>
            <w:tcBorders>
              <w:top w:val="nil"/>
              <w:left w:val="nil"/>
              <w:bottom w:val="nil"/>
              <w:right w:val="nil"/>
            </w:tcBorders>
          </w:tcPr>
          <w:p w14:paraId="2808D56E"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187" w:type="dxa"/>
            <w:tcBorders>
              <w:top w:val="nil"/>
              <w:left w:val="nil"/>
              <w:bottom w:val="nil"/>
              <w:right w:val="nil"/>
            </w:tcBorders>
          </w:tcPr>
          <w:p w14:paraId="75F09B6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(-0.33)</w:t>
            </w:r>
          </w:p>
        </w:tc>
        <w:tc>
          <w:tcPr>
            <w:tcW w:w="1186" w:type="dxa"/>
            <w:tcBorders>
              <w:top w:val="nil"/>
              <w:left w:val="nil"/>
              <w:bottom w:val="nil"/>
              <w:right w:val="nil"/>
            </w:tcBorders>
          </w:tcPr>
          <w:p w14:paraId="2A85977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(-2.41)</w:t>
            </w:r>
          </w:p>
        </w:tc>
        <w:tc>
          <w:tcPr>
            <w:tcW w:w="1170" w:type="dxa"/>
            <w:tcBorders>
              <w:top w:val="nil"/>
              <w:left w:val="nil"/>
              <w:bottom w:val="nil"/>
              <w:right w:val="nil"/>
            </w:tcBorders>
          </w:tcPr>
          <w:p w14:paraId="621108D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(0.93)</w:t>
            </w:r>
          </w:p>
        </w:tc>
        <w:tc>
          <w:tcPr>
            <w:tcW w:w="1278" w:type="dxa"/>
            <w:tcBorders>
              <w:top w:val="nil"/>
              <w:left w:val="nil"/>
              <w:bottom w:val="nil"/>
              <w:right w:val="nil"/>
            </w:tcBorders>
          </w:tcPr>
          <w:p w14:paraId="428D4B6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(-2.31)</w:t>
            </w:r>
          </w:p>
        </w:tc>
        <w:tc>
          <w:tcPr>
            <w:tcW w:w="1197" w:type="dxa"/>
            <w:tcBorders>
              <w:top w:val="nil"/>
              <w:left w:val="nil"/>
              <w:bottom w:val="nil"/>
              <w:right w:val="nil"/>
            </w:tcBorders>
          </w:tcPr>
          <w:p w14:paraId="41921E0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(0.89)</w:t>
            </w:r>
          </w:p>
        </w:tc>
        <w:tc>
          <w:tcPr>
            <w:tcW w:w="1168" w:type="dxa"/>
            <w:tcBorders>
              <w:top w:val="nil"/>
              <w:left w:val="nil"/>
              <w:bottom w:val="nil"/>
              <w:right w:val="nil"/>
            </w:tcBorders>
          </w:tcPr>
          <w:p w14:paraId="1D96150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(-1.33)</w:t>
            </w:r>
          </w:p>
        </w:tc>
        <w:tc>
          <w:tcPr>
            <w:tcW w:w="1159" w:type="dxa"/>
            <w:tcBorders>
              <w:top w:val="nil"/>
              <w:left w:val="nil"/>
              <w:bottom w:val="nil"/>
              <w:right w:val="nil"/>
            </w:tcBorders>
          </w:tcPr>
          <w:p w14:paraId="21B1B9B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(1.05)</w:t>
            </w:r>
          </w:p>
        </w:tc>
        <w:tc>
          <w:tcPr>
            <w:tcW w:w="1198" w:type="dxa"/>
            <w:tcBorders>
              <w:top w:val="nil"/>
              <w:left w:val="nil"/>
              <w:bottom w:val="nil"/>
              <w:right w:val="nil"/>
            </w:tcBorders>
          </w:tcPr>
          <w:p w14:paraId="3A2F355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(-1.70)</w:t>
            </w:r>
          </w:p>
        </w:tc>
      </w:tr>
      <w:tr w:rsidR="00DB6C99" w:rsidRPr="00DB6C99" w14:paraId="17B112FB" w14:textId="77777777" w:rsidTr="007C344D">
        <w:trPr>
          <w:jc w:val="center"/>
        </w:trPr>
        <w:tc>
          <w:tcPr>
            <w:tcW w:w="1947" w:type="dxa"/>
            <w:tcBorders>
              <w:top w:val="nil"/>
              <w:left w:val="nil"/>
              <w:bottom w:val="nil"/>
              <w:right w:val="nil"/>
            </w:tcBorders>
          </w:tcPr>
          <w:p w14:paraId="0681F8C7"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lang w:val="en-GB"/>
              </w:rPr>
              <w:t>ROA</w:t>
            </w:r>
          </w:p>
        </w:tc>
        <w:tc>
          <w:tcPr>
            <w:tcW w:w="1187" w:type="dxa"/>
            <w:tcBorders>
              <w:top w:val="nil"/>
              <w:left w:val="nil"/>
              <w:bottom w:val="nil"/>
              <w:right w:val="nil"/>
            </w:tcBorders>
          </w:tcPr>
          <w:p w14:paraId="43319BA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0.100</w:t>
            </w:r>
          </w:p>
        </w:tc>
        <w:tc>
          <w:tcPr>
            <w:tcW w:w="1186" w:type="dxa"/>
            <w:tcBorders>
              <w:top w:val="nil"/>
              <w:left w:val="nil"/>
              <w:bottom w:val="nil"/>
              <w:right w:val="nil"/>
            </w:tcBorders>
          </w:tcPr>
          <w:p w14:paraId="612DE3D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0.679</w:t>
            </w:r>
          </w:p>
        </w:tc>
        <w:tc>
          <w:tcPr>
            <w:tcW w:w="1170" w:type="dxa"/>
            <w:tcBorders>
              <w:top w:val="nil"/>
              <w:left w:val="nil"/>
              <w:bottom w:val="nil"/>
              <w:right w:val="nil"/>
            </w:tcBorders>
          </w:tcPr>
          <w:p w14:paraId="388B489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-0.086</w:t>
            </w:r>
          </w:p>
        </w:tc>
        <w:tc>
          <w:tcPr>
            <w:tcW w:w="1278" w:type="dxa"/>
            <w:tcBorders>
              <w:top w:val="nil"/>
              <w:left w:val="nil"/>
              <w:bottom w:val="nil"/>
              <w:right w:val="nil"/>
            </w:tcBorders>
          </w:tcPr>
          <w:p w14:paraId="526D72C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0.738*</w:t>
            </w:r>
          </w:p>
        </w:tc>
        <w:tc>
          <w:tcPr>
            <w:tcW w:w="1197" w:type="dxa"/>
            <w:tcBorders>
              <w:top w:val="nil"/>
              <w:left w:val="nil"/>
              <w:bottom w:val="nil"/>
              <w:right w:val="nil"/>
            </w:tcBorders>
          </w:tcPr>
          <w:p w14:paraId="4BD8D13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-0.305</w:t>
            </w:r>
          </w:p>
        </w:tc>
        <w:tc>
          <w:tcPr>
            <w:tcW w:w="1168" w:type="dxa"/>
            <w:tcBorders>
              <w:top w:val="nil"/>
              <w:left w:val="nil"/>
              <w:bottom w:val="nil"/>
              <w:right w:val="nil"/>
            </w:tcBorders>
          </w:tcPr>
          <w:p w14:paraId="57DE5F0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0.917**</w:t>
            </w:r>
          </w:p>
        </w:tc>
        <w:tc>
          <w:tcPr>
            <w:tcW w:w="1159" w:type="dxa"/>
            <w:tcBorders>
              <w:top w:val="nil"/>
              <w:left w:val="nil"/>
              <w:bottom w:val="nil"/>
              <w:right w:val="nil"/>
            </w:tcBorders>
          </w:tcPr>
          <w:p w14:paraId="08EF7C2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-0.440*</w:t>
            </w:r>
          </w:p>
        </w:tc>
        <w:tc>
          <w:tcPr>
            <w:tcW w:w="1198" w:type="dxa"/>
            <w:tcBorders>
              <w:top w:val="nil"/>
              <w:left w:val="nil"/>
              <w:bottom w:val="nil"/>
              <w:right w:val="nil"/>
            </w:tcBorders>
          </w:tcPr>
          <w:p w14:paraId="667AFFB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1.053**</w:t>
            </w:r>
          </w:p>
        </w:tc>
      </w:tr>
      <w:tr w:rsidR="00DB6C99" w:rsidRPr="00DB6C99" w14:paraId="16F0CFCF" w14:textId="77777777" w:rsidTr="007C344D">
        <w:trPr>
          <w:jc w:val="center"/>
        </w:trPr>
        <w:tc>
          <w:tcPr>
            <w:tcW w:w="1947" w:type="dxa"/>
            <w:tcBorders>
              <w:top w:val="nil"/>
              <w:left w:val="nil"/>
              <w:bottom w:val="nil"/>
              <w:right w:val="nil"/>
            </w:tcBorders>
          </w:tcPr>
          <w:p w14:paraId="7F31F88D"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187" w:type="dxa"/>
            <w:tcBorders>
              <w:top w:val="nil"/>
              <w:left w:val="nil"/>
              <w:bottom w:val="nil"/>
              <w:right w:val="nil"/>
            </w:tcBorders>
          </w:tcPr>
          <w:p w14:paraId="3B19437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(0.39)</w:t>
            </w:r>
          </w:p>
        </w:tc>
        <w:tc>
          <w:tcPr>
            <w:tcW w:w="1186" w:type="dxa"/>
            <w:tcBorders>
              <w:top w:val="nil"/>
              <w:left w:val="nil"/>
              <w:bottom w:val="nil"/>
              <w:right w:val="nil"/>
            </w:tcBorders>
          </w:tcPr>
          <w:p w14:paraId="533E0B0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(1.58)</w:t>
            </w:r>
          </w:p>
        </w:tc>
        <w:tc>
          <w:tcPr>
            <w:tcW w:w="1170" w:type="dxa"/>
            <w:tcBorders>
              <w:top w:val="nil"/>
              <w:left w:val="nil"/>
              <w:bottom w:val="nil"/>
              <w:right w:val="nil"/>
            </w:tcBorders>
          </w:tcPr>
          <w:p w14:paraId="0E3969A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(-0.27)</w:t>
            </w:r>
          </w:p>
        </w:tc>
        <w:tc>
          <w:tcPr>
            <w:tcW w:w="1278" w:type="dxa"/>
            <w:tcBorders>
              <w:top w:val="nil"/>
              <w:left w:val="nil"/>
              <w:bottom w:val="nil"/>
              <w:right w:val="nil"/>
            </w:tcBorders>
          </w:tcPr>
          <w:p w14:paraId="4B97E7C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(1.73)</w:t>
            </w:r>
          </w:p>
        </w:tc>
        <w:tc>
          <w:tcPr>
            <w:tcW w:w="1197" w:type="dxa"/>
            <w:tcBorders>
              <w:top w:val="nil"/>
              <w:left w:val="nil"/>
              <w:bottom w:val="nil"/>
              <w:right w:val="nil"/>
            </w:tcBorders>
          </w:tcPr>
          <w:p w14:paraId="1DA4175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(-1.51)</w:t>
            </w:r>
          </w:p>
        </w:tc>
        <w:tc>
          <w:tcPr>
            <w:tcW w:w="1168" w:type="dxa"/>
            <w:tcBorders>
              <w:top w:val="nil"/>
              <w:left w:val="nil"/>
              <w:bottom w:val="nil"/>
              <w:right w:val="nil"/>
            </w:tcBorders>
          </w:tcPr>
          <w:p w14:paraId="3B2007BF"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(2.16)</w:t>
            </w:r>
          </w:p>
        </w:tc>
        <w:tc>
          <w:tcPr>
            <w:tcW w:w="1159" w:type="dxa"/>
            <w:tcBorders>
              <w:top w:val="nil"/>
              <w:left w:val="nil"/>
              <w:bottom w:val="nil"/>
              <w:right w:val="nil"/>
            </w:tcBorders>
          </w:tcPr>
          <w:p w14:paraId="56D60B7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(-1.75)</w:t>
            </w:r>
          </w:p>
        </w:tc>
        <w:tc>
          <w:tcPr>
            <w:tcW w:w="1198" w:type="dxa"/>
            <w:tcBorders>
              <w:top w:val="nil"/>
              <w:left w:val="nil"/>
              <w:bottom w:val="nil"/>
              <w:right w:val="nil"/>
            </w:tcBorders>
          </w:tcPr>
          <w:p w14:paraId="6C83CA3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(2.48)</w:t>
            </w:r>
          </w:p>
        </w:tc>
      </w:tr>
      <w:tr w:rsidR="00DB6C99" w:rsidRPr="00DB6C99" w14:paraId="449C4DFC" w14:textId="77777777" w:rsidTr="007C344D">
        <w:trPr>
          <w:jc w:val="center"/>
        </w:trPr>
        <w:tc>
          <w:tcPr>
            <w:tcW w:w="1947" w:type="dxa"/>
            <w:tcBorders>
              <w:top w:val="nil"/>
              <w:left w:val="nil"/>
              <w:bottom w:val="nil"/>
              <w:right w:val="nil"/>
            </w:tcBorders>
          </w:tcPr>
          <w:p w14:paraId="2F61048D"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lang w:val="en-GB"/>
              </w:rPr>
              <w:t>CI</w:t>
            </w:r>
          </w:p>
        </w:tc>
        <w:tc>
          <w:tcPr>
            <w:tcW w:w="1187" w:type="dxa"/>
            <w:tcBorders>
              <w:top w:val="nil"/>
              <w:left w:val="nil"/>
              <w:bottom w:val="nil"/>
              <w:right w:val="nil"/>
            </w:tcBorders>
          </w:tcPr>
          <w:p w14:paraId="37F8729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0.000</w:t>
            </w:r>
          </w:p>
        </w:tc>
        <w:tc>
          <w:tcPr>
            <w:tcW w:w="1186" w:type="dxa"/>
            <w:tcBorders>
              <w:top w:val="nil"/>
              <w:left w:val="nil"/>
              <w:bottom w:val="nil"/>
              <w:right w:val="nil"/>
            </w:tcBorders>
          </w:tcPr>
          <w:p w14:paraId="5150A46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0.052*</w:t>
            </w:r>
          </w:p>
        </w:tc>
        <w:tc>
          <w:tcPr>
            <w:tcW w:w="1170" w:type="dxa"/>
            <w:tcBorders>
              <w:top w:val="nil"/>
              <w:left w:val="nil"/>
              <w:bottom w:val="nil"/>
              <w:right w:val="nil"/>
            </w:tcBorders>
          </w:tcPr>
          <w:p w14:paraId="1DC0014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0.014</w:t>
            </w:r>
          </w:p>
        </w:tc>
        <w:tc>
          <w:tcPr>
            <w:tcW w:w="1278" w:type="dxa"/>
            <w:tcBorders>
              <w:top w:val="nil"/>
              <w:left w:val="nil"/>
              <w:bottom w:val="nil"/>
              <w:right w:val="nil"/>
            </w:tcBorders>
          </w:tcPr>
          <w:p w14:paraId="69FEA07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0.055*</w:t>
            </w:r>
          </w:p>
        </w:tc>
        <w:tc>
          <w:tcPr>
            <w:tcW w:w="1197" w:type="dxa"/>
            <w:tcBorders>
              <w:top w:val="nil"/>
              <w:left w:val="nil"/>
              <w:bottom w:val="nil"/>
              <w:right w:val="nil"/>
            </w:tcBorders>
          </w:tcPr>
          <w:p w14:paraId="685DF51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0.009**</w:t>
            </w:r>
          </w:p>
        </w:tc>
        <w:tc>
          <w:tcPr>
            <w:tcW w:w="1168" w:type="dxa"/>
            <w:tcBorders>
              <w:top w:val="nil"/>
              <w:left w:val="nil"/>
              <w:bottom w:val="nil"/>
              <w:right w:val="nil"/>
            </w:tcBorders>
          </w:tcPr>
          <w:p w14:paraId="7790CF6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0.073***</w:t>
            </w:r>
          </w:p>
        </w:tc>
        <w:tc>
          <w:tcPr>
            <w:tcW w:w="1159" w:type="dxa"/>
            <w:tcBorders>
              <w:top w:val="nil"/>
              <w:left w:val="nil"/>
              <w:bottom w:val="nil"/>
              <w:right w:val="nil"/>
            </w:tcBorders>
          </w:tcPr>
          <w:p w14:paraId="0972281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0.001</w:t>
            </w:r>
          </w:p>
        </w:tc>
        <w:tc>
          <w:tcPr>
            <w:tcW w:w="1198" w:type="dxa"/>
            <w:tcBorders>
              <w:top w:val="nil"/>
              <w:left w:val="nil"/>
              <w:bottom w:val="nil"/>
              <w:right w:val="nil"/>
            </w:tcBorders>
          </w:tcPr>
          <w:p w14:paraId="7B77F91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0.080***</w:t>
            </w:r>
          </w:p>
        </w:tc>
      </w:tr>
      <w:tr w:rsidR="00DB6C99" w:rsidRPr="00DB6C99" w14:paraId="4114281E" w14:textId="77777777" w:rsidTr="007C344D">
        <w:trPr>
          <w:jc w:val="center"/>
        </w:trPr>
        <w:tc>
          <w:tcPr>
            <w:tcW w:w="1947" w:type="dxa"/>
            <w:tcBorders>
              <w:top w:val="nil"/>
              <w:left w:val="nil"/>
              <w:bottom w:val="nil"/>
              <w:right w:val="nil"/>
            </w:tcBorders>
          </w:tcPr>
          <w:p w14:paraId="3B6899FC"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187" w:type="dxa"/>
            <w:tcBorders>
              <w:top w:val="nil"/>
              <w:left w:val="nil"/>
              <w:bottom w:val="nil"/>
              <w:right w:val="nil"/>
            </w:tcBorders>
          </w:tcPr>
          <w:p w14:paraId="36E81F6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(0.04)</w:t>
            </w:r>
          </w:p>
        </w:tc>
        <w:tc>
          <w:tcPr>
            <w:tcW w:w="1186" w:type="dxa"/>
            <w:tcBorders>
              <w:top w:val="nil"/>
              <w:left w:val="nil"/>
              <w:bottom w:val="nil"/>
              <w:right w:val="nil"/>
            </w:tcBorders>
          </w:tcPr>
          <w:p w14:paraId="020A925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(1.85)</w:t>
            </w:r>
          </w:p>
        </w:tc>
        <w:tc>
          <w:tcPr>
            <w:tcW w:w="1170" w:type="dxa"/>
            <w:tcBorders>
              <w:top w:val="nil"/>
              <w:left w:val="nil"/>
              <w:bottom w:val="nil"/>
              <w:right w:val="nil"/>
            </w:tcBorders>
          </w:tcPr>
          <w:p w14:paraId="6A9D8D4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(0.67)</w:t>
            </w:r>
          </w:p>
        </w:tc>
        <w:tc>
          <w:tcPr>
            <w:tcW w:w="1278" w:type="dxa"/>
            <w:tcBorders>
              <w:top w:val="nil"/>
              <w:left w:val="nil"/>
              <w:bottom w:val="nil"/>
              <w:right w:val="nil"/>
            </w:tcBorders>
          </w:tcPr>
          <w:p w14:paraId="39414C3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(1.85)</w:t>
            </w:r>
          </w:p>
        </w:tc>
        <w:tc>
          <w:tcPr>
            <w:tcW w:w="1197" w:type="dxa"/>
            <w:tcBorders>
              <w:top w:val="nil"/>
              <w:left w:val="nil"/>
              <w:bottom w:val="nil"/>
              <w:right w:val="nil"/>
            </w:tcBorders>
          </w:tcPr>
          <w:p w14:paraId="1916852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(2.49)</w:t>
            </w:r>
          </w:p>
        </w:tc>
        <w:tc>
          <w:tcPr>
            <w:tcW w:w="1168" w:type="dxa"/>
            <w:tcBorders>
              <w:top w:val="nil"/>
              <w:left w:val="nil"/>
              <w:bottom w:val="nil"/>
              <w:right w:val="nil"/>
            </w:tcBorders>
          </w:tcPr>
          <w:p w14:paraId="0FFFA7A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(3.48)</w:t>
            </w:r>
          </w:p>
        </w:tc>
        <w:tc>
          <w:tcPr>
            <w:tcW w:w="1159" w:type="dxa"/>
            <w:tcBorders>
              <w:top w:val="nil"/>
              <w:left w:val="nil"/>
              <w:bottom w:val="nil"/>
              <w:right w:val="nil"/>
            </w:tcBorders>
          </w:tcPr>
          <w:p w14:paraId="5DCE794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(0.90)</w:t>
            </w:r>
          </w:p>
        </w:tc>
        <w:tc>
          <w:tcPr>
            <w:tcW w:w="1198" w:type="dxa"/>
            <w:tcBorders>
              <w:top w:val="nil"/>
              <w:left w:val="nil"/>
              <w:bottom w:val="nil"/>
              <w:right w:val="nil"/>
            </w:tcBorders>
          </w:tcPr>
          <w:p w14:paraId="550F253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(3.80)</w:t>
            </w:r>
          </w:p>
        </w:tc>
      </w:tr>
      <w:tr w:rsidR="00DB6C99" w:rsidRPr="00DB6C99" w14:paraId="5C2FBDCE" w14:textId="77777777" w:rsidTr="007C344D">
        <w:trPr>
          <w:jc w:val="center"/>
        </w:trPr>
        <w:tc>
          <w:tcPr>
            <w:tcW w:w="1947" w:type="dxa"/>
            <w:tcBorders>
              <w:top w:val="nil"/>
              <w:left w:val="nil"/>
              <w:bottom w:val="nil"/>
              <w:right w:val="nil"/>
            </w:tcBorders>
          </w:tcPr>
          <w:p w14:paraId="3D53DF04"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rPr>
              <w:t>R&amp;D</w:t>
            </w:r>
          </w:p>
        </w:tc>
        <w:tc>
          <w:tcPr>
            <w:tcW w:w="1187" w:type="dxa"/>
            <w:tcBorders>
              <w:top w:val="nil"/>
              <w:left w:val="nil"/>
              <w:bottom w:val="nil"/>
              <w:right w:val="nil"/>
            </w:tcBorders>
          </w:tcPr>
          <w:p w14:paraId="559F674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-0.143</w:t>
            </w:r>
          </w:p>
        </w:tc>
        <w:tc>
          <w:tcPr>
            <w:tcW w:w="1186" w:type="dxa"/>
            <w:tcBorders>
              <w:top w:val="nil"/>
              <w:left w:val="nil"/>
              <w:bottom w:val="nil"/>
              <w:right w:val="nil"/>
            </w:tcBorders>
          </w:tcPr>
          <w:p w14:paraId="5F4B06C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2.636**</w:t>
            </w:r>
          </w:p>
        </w:tc>
        <w:tc>
          <w:tcPr>
            <w:tcW w:w="1170" w:type="dxa"/>
            <w:tcBorders>
              <w:top w:val="nil"/>
              <w:left w:val="nil"/>
              <w:bottom w:val="nil"/>
              <w:right w:val="nil"/>
            </w:tcBorders>
          </w:tcPr>
          <w:p w14:paraId="5C5012A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-0.045</w:t>
            </w:r>
          </w:p>
        </w:tc>
        <w:tc>
          <w:tcPr>
            <w:tcW w:w="1278" w:type="dxa"/>
            <w:tcBorders>
              <w:top w:val="nil"/>
              <w:left w:val="nil"/>
              <w:bottom w:val="nil"/>
              <w:right w:val="nil"/>
            </w:tcBorders>
          </w:tcPr>
          <w:p w14:paraId="06E77A8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3.502***</w:t>
            </w:r>
          </w:p>
        </w:tc>
        <w:tc>
          <w:tcPr>
            <w:tcW w:w="1197" w:type="dxa"/>
            <w:tcBorders>
              <w:top w:val="nil"/>
              <w:left w:val="nil"/>
              <w:bottom w:val="nil"/>
              <w:right w:val="nil"/>
            </w:tcBorders>
          </w:tcPr>
          <w:p w14:paraId="7953CD2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-0.171</w:t>
            </w:r>
          </w:p>
        </w:tc>
        <w:tc>
          <w:tcPr>
            <w:tcW w:w="1168" w:type="dxa"/>
            <w:tcBorders>
              <w:top w:val="nil"/>
              <w:left w:val="nil"/>
              <w:bottom w:val="nil"/>
              <w:right w:val="nil"/>
            </w:tcBorders>
          </w:tcPr>
          <w:p w14:paraId="1EF1472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1.283***</w:t>
            </w:r>
          </w:p>
        </w:tc>
        <w:tc>
          <w:tcPr>
            <w:tcW w:w="1159" w:type="dxa"/>
            <w:tcBorders>
              <w:top w:val="nil"/>
              <w:left w:val="nil"/>
              <w:bottom w:val="nil"/>
              <w:right w:val="nil"/>
            </w:tcBorders>
          </w:tcPr>
          <w:p w14:paraId="294366D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-0.063</w:t>
            </w:r>
          </w:p>
        </w:tc>
        <w:tc>
          <w:tcPr>
            <w:tcW w:w="1198" w:type="dxa"/>
            <w:tcBorders>
              <w:top w:val="nil"/>
              <w:left w:val="nil"/>
              <w:bottom w:val="nil"/>
              <w:right w:val="nil"/>
            </w:tcBorders>
          </w:tcPr>
          <w:p w14:paraId="19CCADA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1.193***</w:t>
            </w:r>
          </w:p>
        </w:tc>
      </w:tr>
      <w:tr w:rsidR="00DB6C99" w:rsidRPr="00DB6C99" w14:paraId="0FE1B580" w14:textId="77777777" w:rsidTr="007C344D">
        <w:trPr>
          <w:jc w:val="center"/>
        </w:trPr>
        <w:tc>
          <w:tcPr>
            <w:tcW w:w="1947" w:type="dxa"/>
            <w:tcBorders>
              <w:top w:val="nil"/>
              <w:left w:val="nil"/>
              <w:bottom w:val="nil"/>
              <w:right w:val="nil"/>
            </w:tcBorders>
          </w:tcPr>
          <w:p w14:paraId="2E91809F"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187" w:type="dxa"/>
            <w:tcBorders>
              <w:top w:val="nil"/>
              <w:left w:val="nil"/>
              <w:bottom w:val="nil"/>
              <w:right w:val="nil"/>
            </w:tcBorders>
          </w:tcPr>
          <w:p w14:paraId="1F00261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(-0.31)</w:t>
            </w:r>
          </w:p>
        </w:tc>
        <w:tc>
          <w:tcPr>
            <w:tcW w:w="1186" w:type="dxa"/>
            <w:tcBorders>
              <w:top w:val="nil"/>
              <w:left w:val="nil"/>
              <w:bottom w:val="nil"/>
              <w:right w:val="nil"/>
            </w:tcBorders>
          </w:tcPr>
          <w:p w14:paraId="63C2CB8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(2.34)</w:t>
            </w:r>
          </w:p>
        </w:tc>
        <w:tc>
          <w:tcPr>
            <w:tcW w:w="1170" w:type="dxa"/>
            <w:tcBorders>
              <w:top w:val="nil"/>
              <w:left w:val="nil"/>
              <w:bottom w:val="nil"/>
              <w:right w:val="nil"/>
            </w:tcBorders>
          </w:tcPr>
          <w:p w14:paraId="4307AFB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(-0.07)</w:t>
            </w:r>
          </w:p>
        </w:tc>
        <w:tc>
          <w:tcPr>
            <w:tcW w:w="1278" w:type="dxa"/>
            <w:tcBorders>
              <w:top w:val="nil"/>
              <w:left w:val="nil"/>
              <w:bottom w:val="nil"/>
              <w:right w:val="nil"/>
            </w:tcBorders>
          </w:tcPr>
          <w:p w14:paraId="18ED1B5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(2.82)</w:t>
            </w:r>
          </w:p>
        </w:tc>
        <w:tc>
          <w:tcPr>
            <w:tcW w:w="1197" w:type="dxa"/>
            <w:tcBorders>
              <w:top w:val="nil"/>
              <w:left w:val="nil"/>
              <w:bottom w:val="nil"/>
              <w:right w:val="nil"/>
            </w:tcBorders>
          </w:tcPr>
          <w:p w14:paraId="5B3E5E8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(-1.09)</w:t>
            </w:r>
          </w:p>
        </w:tc>
        <w:tc>
          <w:tcPr>
            <w:tcW w:w="1168" w:type="dxa"/>
            <w:tcBorders>
              <w:top w:val="nil"/>
              <w:left w:val="nil"/>
              <w:bottom w:val="nil"/>
              <w:right w:val="nil"/>
            </w:tcBorders>
          </w:tcPr>
          <w:p w14:paraId="02BD21EF"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(3.18)</w:t>
            </w:r>
          </w:p>
        </w:tc>
        <w:tc>
          <w:tcPr>
            <w:tcW w:w="1159" w:type="dxa"/>
            <w:tcBorders>
              <w:top w:val="nil"/>
              <w:left w:val="nil"/>
              <w:bottom w:val="nil"/>
              <w:right w:val="nil"/>
            </w:tcBorders>
          </w:tcPr>
          <w:p w14:paraId="2CCB8CD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(-0.32)</w:t>
            </w:r>
          </w:p>
        </w:tc>
        <w:tc>
          <w:tcPr>
            <w:tcW w:w="1198" w:type="dxa"/>
            <w:tcBorders>
              <w:top w:val="nil"/>
              <w:left w:val="nil"/>
              <w:bottom w:val="nil"/>
              <w:right w:val="nil"/>
            </w:tcBorders>
          </w:tcPr>
          <w:p w14:paraId="17E6E4B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(2.82)</w:t>
            </w:r>
          </w:p>
        </w:tc>
      </w:tr>
      <w:tr w:rsidR="00DB6C99" w:rsidRPr="00DB6C99" w14:paraId="71A8CFB4" w14:textId="77777777" w:rsidTr="007C344D">
        <w:trPr>
          <w:jc w:val="center"/>
        </w:trPr>
        <w:tc>
          <w:tcPr>
            <w:tcW w:w="1947" w:type="dxa"/>
            <w:tcBorders>
              <w:top w:val="nil"/>
              <w:left w:val="nil"/>
              <w:bottom w:val="nil"/>
              <w:right w:val="nil"/>
            </w:tcBorders>
          </w:tcPr>
          <w:p w14:paraId="60FCA1A0"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rPr>
              <w:t>AFE</w:t>
            </w:r>
          </w:p>
        </w:tc>
        <w:tc>
          <w:tcPr>
            <w:tcW w:w="1187" w:type="dxa"/>
            <w:tcBorders>
              <w:top w:val="nil"/>
              <w:left w:val="nil"/>
              <w:bottom w:val="nil"/>
              <w:right w:val="nil"/>
            </w:tcBorders>
          </w:tcPr>
          <w:p w14:paraId="56D164D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0.000</w:t>
            </w:r>
          </w:p>
        </w:tc>
        <w:tc>
          <w:tcPr>
            <w:tcW w:w="1186" w:type="dxa"/>
            <w:tcBorders>
              <w:top w:val="nil"/>
              <w:left w:val="nil"/>
              <w:bottom w:val="nil"/>
              <w:right w:val="nil"/>
            </w:tcBorders>
          </w:tcPr>
          <w:p w14:paraId="3A15A32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0.000</w:t>
            </w:r>
          </w:p>
        </w:tc>
        <w:tc>
          <w:tcPr>
            <w:tcW w:w="1170" w:type="dxa"/>
            <w:tcBorders>
              <w:top w:val="nil"/>
              <w:left w:val="nil"/>
              <w:bottom w:val="nil"/>
              <w:right w:val="nil"/>
            </w:tcBorders>
          </w:tcPr>
          <w:p w14:paraId="6B2016D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0.000</w:t>
            </w:r>
          </w:p>
        </w:tc>
        <w:tc>
          <w:tcPr>
            <w:tcW w:w="1278" w:type="dxa"/>
            <w:tcBorders>
              <w:top w:val="nil"/>
              <w:left w:val="nil"/>
              <w:bottom w:val="nil"/>
              <w:right w:val="nil"/>
            </w:tcBorders>
          </w:tcPr>
          <w:p w14:paraId="4918CE2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-0.001</w:t>
            </w:r>
          </w:p>
        </w:tc>
        <w:tc>
          <w:tcPr>
            <w:tcW w:w="1197" w:type="dxa"/>
            <w:tcBorders>
              <w:top w:val="nil"/>
              <w:left w:val="nil"/>
              <w:bottom w:val="nil"/>
              <w:right w:val="nil"/>
            </w:tcBorders>
          </w:tcPr>
          <w:p w14:paraId="57A9BA3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0.000</w:t>
            </w:r>
          </w:p>
        </w:tc>
        <w:tc>
          <w:tcPr>
            <w:tcW w:w="1168" w:type="dxa"/>
            <w:tcBorders>
              <w:top w:val="nil"/>
              <w:left w:val="nil"/>
              <w:bottom w:val="nil"/>
              <w:right w:val="nil"/>
            </w:tcBorders>
          </w:tcPr>
          <w:p w14:paraId="25596FC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-0.003</w:t>
            </w:r>
          </w:p>
        </w:tc>
        <w:tc>
          <w:tcPr>
            <w:tcW w:w="1159" w:type="dxa"/>
            <w:tcBorders>
              <w:top w:val="nil"/>
              <w:left w:val="nil"/>
              <w:bottom w:val="nil"/>
              <w:right w:val="nil"/>
            </w:tcBorders>
          </w:tcPr>
          <w:p w14:paraId="7320F33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0.000</w:t>
            </w:r>
          </w:p>
        </w:tc>
        <w:tc>
          <w:tcPr>
            <w:tcW w:w="1198" w:type="dxa"/>
            <w:tcBorders>
              <w:top w:val="nil"/>
              <w:left w:val="nil"/>
              <w:bottom w:val="nil"/>
              <w:right w:val="nil"/>
            </w:tcBorders>
          </w:tcPr>
          <w:p w14:paraId="521E5B7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-0.003</w:t>
            </w:r>
          </w:p>
        </w:tc>
      </w:tr>
      <w:tr w:rsidR="00DB6C99" w:rsidRPr="00DB6C99" w14:paraId="20D6893F" w14:textId="77777777" w:rsidTr="007C344D">
        <w:trPr>
          <w:jc w:val="center"/>
        </w:trPr>
        <w:tc>
          <w:tcPr>
            <w:tcW w:w="1947" w:type="dxa"/>
            <w:tcBorders>
              <w:top w:val="nil"/>
              <w:left w:val="nil"/>
              <w:bottom w:val="nil"/>
              <w:right w:val="nil"/>
            </w:tcBorders>
          </w:tcPr>
          <w:p w14:paraId="743531E9"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187" w:type="dxa"/>
            <w:tcBorders>
              <w:top w:val="nil"/>
              <w:left w:val="nil"/>
              <w:bottom w:val="nil"/>
              <w:right w:val="nil"/>
            </w:tcBorders>
          </w:tcPr>
          <w:p w14:paraId="37C8ABD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(0.09)</w:t>
            </w:r>
          </w:p>
        </w:tc>
        <w:tc>
          <w:tcPr>
            <w:tcW w:w="1186" w:type="dxa"/>
            <w:tcBorders>
              <w:top w:val="nil"/>
              <w:left w:val="nil"/>
              <w:bottom w:val="nil"/>
              <w:right w:val="nil"/>
            </w:tcBorders>
          </w:tcPr>
          <w:p w14:paraId="2875E64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(0.02)</w:t>
            </w:r>
          </w:p>
        </w:tc>
        <w:tc>
          <w:tcPr>
            <w:tcW w:w="1170" w:type="dxa"/>
            <w:tcBorders>
              <w:top w:val="nil"/>
              <w:left w:val="nil"/>
              <w:bottom w:val="nil"/>
              <w:right w:val="nil"/>
            </w:tcBorders>
          </w:tcPr>
          <w:p w14:paraId="4E0FCC9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(0.07)</w:t>
            </w:r>
          </w:p>
        </w:tc>
        <w:tc>
          <w:tcPr>
            <w:tcW w:w="1278" w:type="dxa"/>
            <w:tcBorders>
              <w:top w:val="nil"/>
              <w:left w:val="nil"/>
              <w:bottom w:val="nil"/>
              <w:right w:val="nil"/>
            </w:tcBorders>
          </w:tcPr>
          <w:p w14:paraId="4F29A44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(-0.07)</w:t>
            </w:r>
          </w:p>
        </w:tc>
        <w:tc>
          <w:tcPr>
            <w:tcW w:w="1197" w:type="dxa"/>
            <w:tcBorders>
              <w:top w:val="nil"/>
              <w:left w:val="nil"/>
              <w:bottom w:val="nil"/>
              <w:right w:val="nil"/>
            </w:tcBorders>
          </w:tcPr>
          <w:p w14:paraId="0B906B0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(1.42)</w:t>
            </w:r>
          </w:p>
        </w:tc>
        <w:tc>
          <w:tcPr>
            <w:tcW w:w="1168" w:type="dxa"/>
            <w:tcBorders>
              <w:top w:val="nil"/>
              <w:left w:val="nil"/>
              <w:bottom w:val="nil"/>
              <w:right w:val="nil"/>
            </w:tcBorders>
          </w:tcPr>
          <w:p w14:paraId="3E668B3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(-0.46)</w:t>
            </w:r>
          </w:p>
        </w:tc>
        <w:tc>
          <w:tcPr>
            <w:tcW w:w="1159" w:type="dxa"/>
            <w:tcBorders>
              <w:top w:val="nil"/>
              <w:left w:val="nil"/>
              <w:bottom w:val="nil"/>
              <w:right w:val="nil"/>
            </w:tcBorders>
          </w:tcPr>
          <w:p w14:paraId="7EF876A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(0.97)</w:t>
            </w:r>
          </w:p>
        </w:tc>
        <w:tc>
          <w:tcPr>
            <w:tcW w:w="1198" w:type="dxa"/>
            <w:tcBorders>
              <w:top w:val="nil"/>
              <w:left w:val="nil"/>
              <w:bottom w:val="nil"/>
              <w:right w:val="nil"/>
            </w:tcBorders>
          </w:tcPr>
          <w:p w14:paraId="1CEBE5A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(-0.52)</w:t>
            </w:r>
          </w:p>
        </w:tc>
      </w:tr>
      <w:tr w:rsidR="00DB6C99" w:rsidRPr="00DB6C99" w14:paraId="0CC476FA" w14:textId="77777777" w:rsidTr="007C344D">
        <w:trPr>
          <w:jc w:val="center"/>
        </w:trPr>
        <w:tc>
          <w:tcPr>
            <w:tcW w:w="1947" w:type="dxa"/>
            <w:tcBorders>
              <w:top w:val="nil"/>
              <w:left w:val="nil"/>
              <w:bottom w:val="nil"/>
              <w:right w:val="nil"/>
            </w:tcBorders>
          </w:tcPr>
          <w:p w14:paraId="615BEB3C"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rPr>
              <w:t>SLACK</w:t>
            </w:r>
          </w:p>
        </w:tc>
        <w:tc>
          <w:tcPr>
            <w:tcW w:w="1187" w:type="dxa"/>
            <w:tcBorders>
              <w:top w:val="nil"/>
              <w:left w:val="nil"/>
              <w:bottom w:val="nil"/>
              <w:right w:val="nil"/>
            </w:tcBorders>
          </w:tcPr>
          <w:p w14:paraId="1E5C433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0.013</w:t>
            </w:r>
          </w:p>
        </w:tc>
        <w:tc>
          <w:tcPr>
            <w:tcW w:w="1186" w:type="dxa"/>
            <w:tcBorders>
              <w:top w:val="nil"/>
              <w:left w:val="nil"/>
              <w:bottom w:val="nil"/>
              <w:right w:val="nil"/>
            </w:tcBorders>
          </w:tcPr>
          <w:p w14:paraId="548BC72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0.064</w:t>
            </w:r>
          </w:p>
        </w:tc>
        <w:tc>
          <w:tcPr>
            <w:tcW w:w="1170" w:type="dxa"/>
            <w:tcBorders>
              <w:top w:val="nil"/>
              <w:left w:val="nil"/>
              <w:bottom w:val="nil"/>
              <w:right w:val="nil"/>
            </w:tcBorders>
          </w:tcPr>
          <w:p w14:paraId="1164477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0.020</w:t>
            </w:r>
          </w:p>
        </w:tc>
        <w:tc>
          <w:tcPr>
            <w:tcW w:w="1278" w:type="dxa"/>
            <w:tcBorders>
              <w:top w:val="nil"/>
              <w:left w:val="nil"/>
              <w:bottom w:val="nil"/>
              <w:right w:val="nil"/>
            </w:tcBorders>
          </w:tcPr>
          <w:p w14:paraId="4F1746D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0.074</w:t>
            </w:r>
          </w:p>
        </w:tc>
        <w:tc>
          <w:tcPr>
            <w:tcW w:w="1197" w:type="dxa"/>
            <w:tcBorders>
              <w:top w:val="nil"/>
              <w:left w:val="nil"/>
              <w:bottom w:val="nil"/>
              <w:right w:val="nil"/>
            </w:tcBorders>
          </w:tcPr>
          <w:p w14:paraId="4B05D4C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0.002</w:t>
            </w:r>
          </w:p>
        </w:tc>
        <w:tc>
          <w:tcPr>
            <w:tcW w:w="1168" w:type="dxa"/>
            <w:tcBorders>
              <w:top w:val="nil"/>
              <w:left w:val="nil"/>
              <w:bottom w:val="nil"/>
              <w:right w:val="nil"/>
            </w:tcBorders>
          </w:tcPr>
          <w:p w14:paraId="39C0263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-0.009</w:t>
            </w:r>
          </w:p>
        </w:tc>
        <w:tc>
          <w:tcPr>
            <w:tcW w:w="1159" w:type="dxa"/>
            <w:tcBorders>
              <w:top w:val="nil"/>
              <w:left w:val="nil"/>
              <w:bottom w:val="nil"/>
              <w:right w:val="nil"/>
            </w:tcBorders>
          </w:tcPr>
          <w:p w14:paraId="1B85E81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0.015</w:t>
            </w:r>
          </w:p>
        </w:tc>
        <w:tc>
          <w:tcPr>
            <w:tcW w:w="1198" w:type="dxa"/>
            <w:tcBorders>
              <w:top w:val="nil"/>
              <w:left w:val="nil"/>
              <w:bottom w:val="nil"/>
              <w:right w:val="nil"/>
            </w:tcBorders>
          </w:tcPr>
          <w:p w14:paraId="7B2670D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-0.011</w:t>
            </w:r>
          </w:p>
        </w:tc>
      </w:tr>
      <w:tr w:rsidR="00DB6C99" w:rsidRPr="00DB6C99" w14:paraId="6CCC7575" w14:textId="77777777" w:rsidTr="007C344D">
        <w:trPr>
          <w:jc w:val="center"/>
        </w:trPr>
        <w:tc>
          <w:tcPr>
            <w:tcW w:w="1947" w:type="dxa"/>
            <w:tcBorders>
              <w:top w:val="nil"/>
              <w:left w:val="nil"/>
              <w:bottom w:val="nil"/>
              <w:right w:val="nil"/>
            </w:tcBorders>
          </w:tcPr>
          <w:p w14:paraId="6814FA35"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187" w:type="dxa"/>
            <w:tcBorders>
              <w:top w:val="nil"/>
              <w:left w:val="nil"/>
              <w:bottom w:val="nil"/>
              <w:right w:val="nil"/>
            </w:tcBorders>
          </w:tcPr>
          <w:p w14:paraId="07CFB59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(0.80)</w:t>
            </w:r>
          </w:p>
        </w:tc>
        <w:tc>
          <w:tcPr>
            <w:tcW w:w="1186" w:type="dxa"/>
            <w:tcBorders>
              <w:top w:val="nil"/>
              <w:left w:val="nil"/>
              <w:bottom w:val="nil"/>
              <w:right w:val="nil"/>
            </w:tcBorders>
          </w:tcPr>
          <w:p w14:paraId="4676691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(1.36)</w:t>
            </w:r>
          </w:p>
        </w:tc>
        <w:tc>
          <w:tcPr>
            <w:tcW w:w="1170" w:type="dxa"/>
            <w:tcBorders>
              <w:top w:val="nil"/>
              <w:left w:val="nil"/>
              <w:bottom w:val="nil"/>
              <w:right w:val="nil"/>
            </w:tcBorders>
          </w:tcPr>
          <w:p w14:paraId="47AADEF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(1.00)</w:t>
            </w:r>
          </w:p>
        </w:tc>
        <w:tc>
          <w:tcPr>
            <w:tcW w:w="1278" w:type="dxa"/>
            <w:tcBorders>
              <w:top w:val="nil"/>
              <w:left w:val="nil"/>
              <w:bottom w:val="nil"/>
              <w:right w:val="nil"/>
            </w:tcBorders>
          </w:tcPr>
          <w:p w14:paraId="01387F6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(1.40)</w:t>
            </w:r>
          </w:p>
        </w:tc>
        <w:tc>
          <w:tcPr>
            <w:tcW w:w="1197" w:type="dxa"/>
            <w:tcBorders>
              <w:top w:val="nil"/>
              <w:left w:val="nil"/>
              <w:bottom w:val="nil"/>
              <w:right w:val="nil"/>
            </w:tcBorders>
          </w:tcPr>
          <w:p w14:paraId="6F7B50F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(0.18)</w:t>
            </w:r>
          </w:p>
        </w:tc>
        <w:tc>
          <w:tcPr>
            <w:tcW w:w="1168" w:type="dxa"/>
            <w:tcBorders>
              <w:top w:val="nil"/>
              <w:left w:val="nil"/>
              <w:bottom w:val="nil"/>
              <w:right w:val="nil"/>
            </w:tcBorders>
          </w:tcPr>
          <w:p w14:paraId="68DD7AA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(-0.30)</w:t>
            </w:r>
          </w:p>
        </w:tc>
        <w:tc>
          <w:tcPr>
            <w:tcW w:w="1159" w:type="dxa"/>
            <w:tcBorders>
              <w:top w:val="nil"/>
              <w:left w:val="nil"/>
              <w:bottom w:val="nil"/>
              <w:right w:val="nil"/>
            </w:tcBorders>
          </w:tcPr>
          <w:p w14:paraId="13B65DB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(1.14)</w:t>
            </w:r>
          </w:p>
        </w:tc>
        <w:tc>
          <w:tcPr>
            <w:tcW w:w="1198" w:type="dxa"/>
            <w:tcBorders>
              <w:top w:val="nil"/>
              <w:left w:val="nil"/>
              <w:bottom w:val="nil"/>
              <w:right w:val="nil"/>
            </w:tcBorders>
          </w:tcPr>
          <w:p w14:paraId="5635E62F"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(-0.36)</w:t>
            </w:r>
          </w:p>
        </w:tc>
      </w:tr>
      <w:tr w:rsidR="00DB6C99" w:rsidRPr="00DB6C99" w14:paraId="7CAA73D5" w14:textId="77777777" w:rsidTr="007C344D">
        <w:trPr>
          <w:jc w:val="center"/>
        </w:trPr>
        <w:tc>
          <w:tcPr>
            <w:tcW w:w="1947" w:type="dxa"/>
            <w:tcBorders>
              <w:top w:val="nil"/>
              <w:left w:val="nil"/>
              <w:bottom w:val="nil"/>
              <w:right w:val="nil"/>
            </w:tcBorders>
          </w:tcPr>
          <w:p w14:paraId="7AC30848"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lang w:val="en-GB"/>
              </w:rPr>
              <w:t>COD</w:t>
            </w:r>
          </w:p>
        </w:tc>
        <w:tc>
          <w:tcPr>
            <w:tcW w:w="1187" w:type="dxa"/>
            <w:tcBorders>
              <w:top w:val="nil"/>
              <w:left w:val="nil"/>
              <w:bottom w:val="nil"/>
              <w:right w:val="nil"/>
            </w:tcBorders>
          </w:tcPr>
          <w:p w14:paraId="272198E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0.328</w:t>
            </w:r>
          </w:p>
        </w:tc>
        <w:tc>
          <w:tcPr>
            <w:tcW w:w="1186" w:type="dxa"/>
            <w:tcBorders>
              <w:top w:val="nil"/>
              <w:left w:val="nil"/>
              <w:bottom w:val="nil"/>
              <w:right w:val="nil"/>
            </w:tcBorders>
          </w:tcPr>
          <w:p w14:paraId="4EF2F12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0.875</w:t>
            </w:r>
          </w:p>
        </w:tc>
        <w:tc>
          <w:tcPr>
            <w:tcW w:w="1170" w:type="dxa"/>
            <w:tcBorders>
              <w:top w:val="nil"/>
              <w:left w:val="nil"/>
              <w:bottom w:val="nil"/>
              <w:right w:val="nil"/>
            </w:tcBorders>
          </w:tcPr>
          <w:p w14:paraId="5919C02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0.500</w:t>
            </w:r>
          </w:p>
        </w:tc>
        <w:tc>
          <w:tcPr>
            <w:tcW w:w="1278" w:type="dxa"/>
            <w:tcBorders>
              <w:top w:val="nil"/>
              <w:left w:val="nil"/>
              <w:bottom w:val="nil"/>
              <w:right w:val="nil"/>
            </w:tcBorders>
          </w:tcPr>
          <w:p w14:paraId="4BED7C5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0.713</w:t>
            </w:r>
          </w:p>
        </w:tc>
        <w:tc>
          <w:tcPr>
            <w:tcW w:w="1197" w:type="dxa"/>
            <w:tcBorders>
              <w:top w:val="nil"/>
              <w:left w:val="nil"/>
              <w:bottom w:val="nil"/>
              <w:right w:val="nil"/>
            </w:tcBorders>
          </w:tcPr>
          <w:p w14:paraId="70C8368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0.744***</w:t>
            </w:r>
          </w:p>
        </w:tc>
        <w:tc>
          <w:tcPr>
            <w:tcW w:w="1168" w:type="dxa"/>
            <w:tcBorders>
              <w:top w:val="nil"/>
              <w:left w:val="nil"/>
              <w:bottom w:val="nil"/>
              <w:right w:val="nil"/>
            </w:tcBorders>
          </w:tcPr>
          <w:p w14:paraId="4BE19F5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0.825*</w:t>
            </w:r>
          </w:p>
        </w:tc>
        <w:tc>
          <w:tcPr>
            <w:tcW w:w="1159" w:type="dxa"/>
            <w:tcBorders>
              <w:top w:val="nil"/>
              <w:left w:val="nil"/>
              <w:bottom w:val="nil"/>
              <w:right w:val="nil"/>
            </w:tcBorders>
          </w:tcPr>
          <w:p w14:paraId="29AB41B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0.822***</w:t>
            </w:r>
          </w:p>
        </w:tc>
        <w:tc>
          <w:tcPr>
            <w:tcW w:w="1198" w:type="dxa"/>
            <w:tcBorders>
              <w:top w:val="nil"/>
              <w:left w:val="nil"/>
              <w:bottom w:val="nil"/>
              <w:right w:val="nil"/>
            </w:tcBorders>
          </w:tcPr>
          <w:p w14:paraId="2A04292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0.920*</w:t>
            </w:r>
          </w:p>
        </w:tc>
      </w:tr>
      <w:tr w:rsidR="00DB6C99" w:rsidRPr="00DB6C99" w14:paraId="5AAFA4C1" w14:textId="77777777" w:rsidTr="007C344D">
        <w:trPr>
          <w:jc w:val="center"/>
        </w:trPr>
        <w:tc>
          <w:tcPr>
            <w:tcW w:w="1947" w:type="dxa"/>
            <w:tcBorders>
              <w:top w:val="nil"/>
              <w:left w:val="nil"/>
              <w:bottom w:val="nil"/>
              <w:right w:val="nil"/>
            </w:tcBorders>
          </w:tcPr>
          <w:p w14:paraId="322AAFF6"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187" w:type="dxa"/>
            <w:tcBorders>
              <w:top w:val="nil"/>
              <w:left w:val="nil"/>
              <w:bottom w:val="nil"/>
              <w:right w:val="nil"/>
            </w:tcBorders>
          </w:tcPr>
          <w:p w14:paraId="2AAD345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(1.01)</w:t>
            </w:r>
          </w:p>
        </w:tc>
        <w:tc>
          <w:tcPr>
            <w:tcW w:w="1186" w:type="dxa"/>
            <w:tcBorders>
              <w:top w:val="nil"/>
              <w:left w:val="nil"/>
              <w:bottom w:val="nil"/>
              <w:right w:val="nil"/>
            </w:tcBorders>
          </w:tcPr>
          <w:p w14:paraId="51BD4AB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(1.60)</w:t>
            </w:r>
          </w:p>
        </w:tc>
        <w:tc>
          <w:tcPr>
            <w:tcW w:w="1170" w:type="dxa"/>
            <w:tcBorders>
              <w:top w:val="nil"/>
              <w:left w:val="nil"/>
              <w:bottom w:val="nil"/>
              <w:right w:val="nil"/>
            </w:tcBorders>
          </w:tcPr>
          <w:p w14:paraId="65E7296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(1.28)</w:t>
            </w:r>
          </w:p>
        </w:tc>
        <w:tc>
          <w:tcPr>
            <w:tcW w:w="1278" w:type="dxa"/>
            <w:tcBorders>
              <w:top w:val="nil"/>
              <w:left w:val="nil"/>
              <w:bottom w:val="nil"/>
              <w:right w:val="nil"/>
            </w:tcBorders>
          </w:tcPr>
          <w:p w14:paraId="702C9B6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(1.27)</w:t>
            </w:r>
          </w:p>
        </w:tc>
        <w:tc>
          <w:tcPr>
            <w:tcW w:w="1197" w:type="dxa"/>
            <w:tcBorders>
              <w:top w:val="nil"/>
              <w:left w:val="nil"/>
              <w:bottom w:val="nil"/>
              <w:right w:val="nil"/>
            </w:tcBorders>
          </w:tcPr>
          <w:p w14:paraId="7A538F3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(2.91)</w:t>
            </w:r>
          </w:p>
        </w:tc>
        <w:tc>
          <w:tcPr>
            <w:tcW w:w="1168" w:type="dxa"/>
            <w:tcBorders>
              <w:top w:val="nil"/>
              <w:left w:val="nil"/>
              <w:bottom w:val="nil"/>
              <w:right w:val="nil"/>
            </w:tcBorders>
          </w:tcPr>
          <w:p w14:paraId="72AA437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(1.79)</w:t>
            </w:r>
          </w:p>
        </w:tc>
        <w:tc>
          <w:tcPr>
            <w:tcW w:w="1159" w:type="dxa"/>
            <w:tcBorders>
              <w:top w:val="nil"/>
              <w:left w:val="nil"/>
              <w:bottom w:val="nil"/>
              <w:right w:val="nil"/>
            </w:tcBorders>
          </w:tcPr>
          <w:p w14:paraId="08EB0A4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(2.80)</w:t>
            </w:r>
          </w:p>
        </w:tc>
        <w:tc>
          <w:tcPr>
            <w:tcW w:w="1198" w:type="dxa"/>
            <w:tcBorders>
              <w:top w:val="nil"/>
              <w:left w:val="nil"/>
              <w:bottom w:val="nil"/>
              <w:right w:val="nil"/>
            </w:tcBorders>
          </w:tcPr>
          <w:p w14:paraId="3BF5AB0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(1.93)</w:t>
            </w:r>
          </w:p>
        </w:tc>
      </w:tr>
      <w:tr w:rsidR="00DB6C99" w:rsidRPr="00DB6C99" w14:paraId="24590A19" w14:textId="77777777" w:rsidTr="007C344D">
        <w:trPr>
          <w:jc w:val="center"/>
        </w:trPr>
        <w:tc>
          <w:tcPr>
            <w:tcW w:w="1947" w:type="dxa"/>
            <w:tcBorders>
              <w:top w:val="nil"/>
              <w:left w:val="nil"/>
              <w:bottom w:val="nil"/>
              <w:right w:val="nil"/>
            </w:tcBorders>
          </w:tcPr>
          <w:p w14:paraId="1F505F33"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lang w:val="en-GB"/>
              </w:rPr>
              <w:t>INST</w:t>
            </w:r>
          </w:p>
        </w:tc>
        <w:tc>
          <w:tcPr>
            <w:tcW w:w="1187" w:type="dxa"/>
            <w:tcBorders>
              <w:top w:val="nil"/>
              <w:left w:val="nil"/>
              <w:bottom w:val="nil"/>
              <w:right w:val="nil"/>
            </w:tcBorders>
          </w:tcPr>
          <w:p w14:paraId="6960EE4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-0.045</w:t>
            </w:r>
          </w:p>
        </w:tc>
        <w:tc>
          <w:tcPr>
            <w:tcW w:w="1186" w:type="dxa"/>
            <w:tcBorders>
              <w:top w:val="nil"/>
              <w:left w:val="nil"/>
              <w:bottom w:val="nil"/>
              <w:right w:val="nil"/>
            </w:tcBorders>
          </w:tcPr>
          <w:p w14:paraId="46A145C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0.041</w:t>
            </w:r>
          </w:p>
        </w:tc>
        <w:tc>
          <w:tcPr>
            <w:tcW w:w="1170" w:type="dxa"/>
            <w:tcBorders>
              <w:top w:val="nil"/>
              <w:left w:val="nil"/>
              <w:bottom w:val="nil"/>
              <w:right w:val="nil"/>
            </w:tcBorders>
          </w:tcPr>
          <w:p w14:paraId="33FF8B8F"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-0.057</w:t>
            </w:r>
          </w:p>
        </w:tc>
        <w:tc>
          <w:tcPr>
            <w:tcW w:w="1278" w:type="dxa"/>
            <w:tcBorders>
              <w:top w:val="nil"/>
              <w:left w:val="nil"/>
              <w:bottom w:val="nil"/>
              <w:right w:val="nil"/>
            </w:tcBorders>
          </w:tcPr>
          <w:p w14:paraId="6D99CEB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0.030</w:t>
            </w:r>
          </w:p>
        </w:tc>
        <w:tc>
          <w:tcPr>
            <w:tcW w:w="1197" w:type="dxa"/>
            <w:tcBorders>
              <w:top w:val="nil"/>
              <w:left w:val="nil"/>
              <w:bottom w:val="nil"/>
              <w:right w:val="nil"/>
            </w:tcBorders>
          </w:tcPr>
          <w:p w14:paraId="409CB75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-0.114***</w:t>
            </w:r>
          </w:p>
        </w:tc>
        <w:tc>
          <w:tcPr>
            <w:tcW w:w="1168" w:type="dxa"/>
            <w:tcBorders>
              <w:top w:val="nil"/>
              <w:left w:val="nil"/>
              <w:bottom w:val="nil"/>
              <w:right w:val="nil"/>
            </w:tcBorders>
          </w:tcPr>
          <w:p w14:paraId="57329BE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-0.019</w:t>
            </w:r>
          </w:p>
        </w:tc>
        <w:tc>
          <w:tcPr>
            <w:tcW w:w="1159" w:type="dxa"/>
            <w:tcBorders>
              <w:top w:val="nil"/>
              <w:left w:val="nil"/>
              <w:bottom w:val="nil"/>
              <w:right w:val="nil"/>
            </w:tcBorders>
          </w:tcPr>
          <w:p w14:paraId="4B93230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-0.109***</w:t>
            </w:r>
          </w:p>
        </w:tc>
        <w:tc>
          <w:tcPr>
            <w:tcW w:w="1198" w:type="dxa"/>
            <w:tcBorders>
              <w:top w:val="nil"/>
              <w:left w:val="nil"/>
              <w:bottom w:val="nil"/>
              <w:right w:val="nil"/>
            </w:tcBorders>
          </w:tcPr>
          <w:p w14:paraId="66B40CB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-0.020</w:t>
            </w:r>
          </w:p>
        </w:tc>
      </w:tr>
      <w:tr w:rsidR="00DB6C99" w:rsidRPr="00DB6C99" w14:paraId="047B658D" w14:textId="77777777" w:rsidTr="007C344D">
        <w:trPr>
          <w:jc w:val="center"/>
        </w:trPr>
        <w:tc>
          <w:tcPr>
            <w:tcW w:w="1947" w:type="dxa"/>
            <w:tcBorders>
              <w:top w:val="nil"/>
              <w:left w:val="nil"/>
              <w:bottom w:val="nil"/>
              <w:right w:val="nil"/>
            </w:tcBorders>
          </w:tcPr>
          <w:p w14:paraId="06E52259"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187" w:type="dxa"/>
            <w:tcBorders>
              <w:top w:val="nil"/>
              <w:left w:val="nil"/>
              <w:bottom w:val="nil"/>
              <w:right w:val="nil"/>
            </w:tcBorders>
          </w:tcPr>
          <w:p w14:paraId="1F636BD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(-1.47)</w:t>
            </w:r>
          </w:p>
        </w:tc>
        <w:tc>
          <w:tcPr>
            <w:tcW w:w="1186" w:type="dxa"/>
            <w:tcBorders>
              <w:top w:val="nil"/>
              <w:left w:val="nil"/>
              <w:bottom w:val="nil"/>
              <w:right w:val="nil"/>
            </w:tcBorders>
          </w:tcPr>
          <w:p w14:paraId="442C600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(0.91)</w:t>
            </w:r>
          </w:p>
        </w:tc>
        <w:tc>
          <w:tcPr>
            <w:tcW w:w="1170" w:type="dxa"/>
            <w:tcBorders>
              <w:top w:val="nil"/>
              <w:left w:val="nil"/>
              <w:bottom w:val="nil"/>
              <w:right w:val="nil"/>
            </w:tcBorders>
          </w:tcPr>
          <w:p w14:paraId="756CFFB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(-1.60)</w:t>
            </w:r>
          </w:p>
        </w:tc>
        <w:tc>
          <w:tcPr>
            <w:tcW w:w="1278" w:type="dxa"/>
            <w:tcBorders>
              <w:top w:val="nil"/>
              <w:left w:val="nil"/>
              <w:bottom w:val="nil"/>
              <w:right w:val="nil"/>
            </w:tcBorders>
          </w:tcPr>
          <w:p w14:paraId="719A6C5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(0.67)</w:t>
            </w:r>
          </w:p>
        </w:tc>
        <w:tc>
          <w:tcPr>
            <w:tcW w:w="1197" w:type="dxa"/>
            <w:tcBorders>
              <w:top w:val="nil"/>
              <w:left w:val="nil"/>
              <w:bottom w:val="nil"/>
              <w:right w:val="nil"/>
            </w:tcBorders>
          </w:tcPr>
          <w:p w14:paraId="4C3B184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(-4.07)</w:t>
            </w:r>
          </w:p>
        </w:tc>
        <w:tc>
          <w:tcPr>
            <w:tcW w:w="1168" w:type="dxa"/>
            <w:tcBorders>
              <w:top w:val="nil"/>
              <w:left w:val="nil"/>
              <w:bottom w:val="nil"/>
              <w:right w:val="nil"/>
            </w:tcBorders>
          </w:tcPr>
          <w:p w14:paraId="121E369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(-0.45)</w:t>
            </w:r>
          </w:p>
        </w:tc>
        <w:tc>
          <w:tcPr>
            <w:tcW w:w="1159" w:type="dxa"/>
            <w:tcBorders>
              <w:top w:val="nil"/>
              <w:left w:val="nil"/>
              <w:bottom w:val="nil"/>
              <w:right w:val="nil"/>
            </w:tcBorders>
          </w:tcPr>
          <w:p w14:paraId="2C2091C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(-3.42)</w:t>
            </w:r>
          </w:p>
        </w:tc>
        <w:tc>
          <w:tcPr>
            <w:tcW w:w="1198" w:type="dxa"/>
            <w:tcBorders>
              <w:top w:val="nil"/>
              <w:left w:val="nil"/>
              <w:bottom w:val="nil"/>
              <w:right w:val="nil"/>
            </w:tcBorders>
          </w:tcPr>
          <w:p w14:paraId="78843F4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(-0.45)</w:t>
            </w:r>
          </w:p>
        </w:tc>
      </w:tr>
      <w:tr w:rsidR="00DB6C99" w:rsidRPr="00DB6C99" w14:paraId="4ECFB00F" w14:textId="77777777" w:rsidTr="007C344D">
        <w:trPr>
          <w:jc w:val="center"/>
        </w:trPr>
        <w:tc>
          <w:tcPr>
            <w:tcW w:w="1947" w:type="dxa"/>
            <w:tcBorders>
              <w:top w:val="nil"/>
              <w:left w:val="nil"/>
              <w:bottom w:val="nil"/>
              <w:right w:val="nil"/>
            </w:tcBorders>
          </w:tcPr>
          <w:p w14:paraId="0CF389E6"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lang w:val="en-GB"/>
              </w:rPr>
              <w:t>STATE</w:t>
            </w:r>
          </w:p>
        </w:tc>
        <w:tc>
          <w:tcPr>
            <w:tcW w:w="1187" w:type="dxa"/>
            <w:tcBorders>
              <w:top w:val="nil"/>
              <w:left w:val="nil"/>
              <w:bottom w:val="nil"/>
              <w:right w:val="nil"/>
            </w:tcBorders>
          </w:tcPr>
          <w:p w14:paraId="75FDEE7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-0.231</w:t>
            </w:r>
          </w:p>
        </w:tc>
        <w:tc>
          <w:tcPr>
            <w:tcW w:w="1186" w:type="dxa"/>
            <w:tcBorders>
              <w:top w:val="nil"/>
              <w:left w:val="nil"/>
              <w:bottom w:val="nil"/>
              <w:right w:val="nil"/>
            </w:tcBorders>
          </w:tcPr>
          <w:p w14:paraId="29B1D74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0.427*</w:t>
            </w:r>
          </w:p>
        </w:tc>
        <w:tc>
          <w:tcPr>
            <w:tcW w:w="1170" w:type="dxa"/>
            <w:tcBorders>
              <w:top w:val="nil"/>
              <w:left w:val="nil"/>
              <w:bottom w:val="nil"/>
              <w:right w:val="nil"/>
            </w:tcBorders>
          </w:tcPr>
          <w:p w14:paraId="269D3B8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0.118</w:t>
            </w:r>
          </w:p>
        </w:tc>
        <w:tc>
          <w:tcPr>
            <w:tcW w:w="1278" w:type="dxa"/>
            <w:tcBorders>
              <w:top w:val="nil"/>
              <w:left w:val="nil"/>
              <w:bottom w:val="nil"/>
              <w:right w:val="nil"/>
            </w:tcBorders>
          </w:tcPr>
          <w:p w14:paraId="7901775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0.237</w:t>
            </w:r>
          </w:p>
        </w:tc>
        <w:tc>
          <w:tcPr>
            <w:tcW w:w="1197" w:type="dxa"/>
            <w:tcBorders>
              <w:top w:val="nil"/>
              <w:left w:val="nil"/>
              <w:bottom w:val="nil"/>
              <w:right w:val="nil"/>
            </w:tcBorders>
          </w:tcPr>
          <w:p w14:paraId="484D3C5F"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-0.181</w:t>
            </w:r>
          </w:p>
        </w:tc>
        <w:tc>
          <w:tcPr>
            <w:tcW w:w="1168" w:type="dxa"/>
            <w:tcBorders>
              <w:top w:val="nil"/>
              <w:left w:val="nil"/>
              <w:bottom w:val="nil"/>
              <w:right w:val="nil"/>
            </w:tcBorders>
          </w:tcPr>
          <w:p w14:paraId="5611DFA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0.367**</w:t>
            </w:r>
          </w:p>
        </w:tc>
        <w:tc>
          <w:tcPr>
            <w:tcW w:w="1159" w:type="dxa"/>
            <w:tcBorders>
              <w:top w:val="nil"/>
              <w:left w:val="nil"/>
              <w:bottom w:val="nil"/>
              <w:right w:val="nil"/>
            </w:tcBorders>
          </w:tcPr>
          <w:p w14:paraId="06BDED0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-0.201</w:t>
            </w:r>
          </w:p>
        </w:tc>
        <w:tc>
          <w:tcPr>
            <w:tcW w:w="1198" w:type="dxa"/>
            <w:tcBorders>
              <w:top w:val="nil"/>
              <w:left w:val="nil"/>
              <w:bottom w:val="nil"/>
              <w:right w:val="nil"/>
            </w:tcBorders>
          </w:tcPr>
          <w:p w14:paraId="3F3AD37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0.310*</w:t>
            </w:r>
          </w:p>
        </w:tc>
      </w:tr>
      <w:tr w:rsidR="00DB6C99" w:rsidRPr="00DB6C99" w14:paraId="659615F6" w14:textId="77777777" w:rsidTr="007C344D">
        <w:trPr>
          <w:jc w:val="center"/>
        </w:trPr>
        <w:tc>
          <w:tcPr>
            <w:tcW w:w="1947" w:type="dxa"/>
            <w:tcBorders>
              <w:top w:val="nil"/>
              <w:left w:val="nil"/>
              <w:bottom w:val="nil"/>
              <w:right w:val="nil"/>
            </w:tcBorders>
          </w:tcPr>
          <w:p w14:paraId="10A206E5"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187" w:type="dxa"/>
            <w:tcBorders>
              <w:top w:val="nil"/>
              <w:left w:val="nil"/>
              <w:bottom w:val="nil"/>
              <w:right w:val="nil"/>
            </w:tcBorders>
          </w:tcPr>
          <w:p w14:paraId="32EF31B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(-1.09)</w:t>
            </w:r>
          </w:p>
        </w:tc>
        <w:tc>
          <w:tcPr>
            <w:tcW w:w="1186" w:type="dxa"/>
            <w:tcBorders>
              <w:top w:val="nil"/>
              <w:left w:val="nil"/>
              <w:bottom w:val="nil"/>
              <w:right w:val="nil"/>
            </w:tcBorders>
          </w:tcPr>
          <w:p w14:paraId="1D523D7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(1.96)</w:t>
            </w:r>
          </w:p>
        </w:tc>
        <w:tc>
          <w:tcPr>
            <w:tcW w:w="1170" w:type="dxa"/>
            <w:tcBorders>
              <w:top w:val="nil"/>
              <w:left w:val="nil"/>
              <w:bottom w:val="nil"/>
              <w:right w:val="nil"/>
            </w:tcBorders>
          </w:tcPr>
          <w:p w14:paraId="770D338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(0.39)</w:t>
            </w:r>
          </w:p>
        </w:tc>
        <w:tc>
          <w:tcPr>
            <w:tcW w:w="1278" w:type="dxa"/>
            <w:tcBorders>
              <w:top w:val="nil"/>
              <w:left w:val="nil"/>
              <w:bottom w:val="nil"/>
              <w:right w:val="nil"/>
            </w:tcBorders>
          </w:tcPr>
          <w:p w14:paraId="507FBE4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(1.05)</w:t>
            </w:r>
          </w:p>
        </w:tc>
        <w:tc>
          <w:tcPr>
            <w:tcW w:w="1197" w:type="dxa"/>
            <w:tcBorders>
              <w:top w:val="nil"/>
              <w:left w:val="nil"/>
              <w:bottom w:val="nil"/>
              <w:right w:val="nil"/>
            </w:tcBorders>
          </w:tcPr>
          <w:p w14:paraId="4FB4899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(-0.88)</w:t>
            </w:r>
          </w:p>
        </w:tc>
        <w:tc>
          <w:tcPr>
            <w:tcW w:w="1168" w:type="dxa"/>
            <w:tcBorders>
              <w:top w:val="nil"/>
              <w:left w:val="nil"/>
              <w:bottom w:val="nil"/>
              <w:right w:val="nil"/>
            </w:tcBorders>
          </w:tcPr>
          <w:p w14:paraId="5C0EEB6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(2.09)</w:t>
            </w:r>
          </w:p>
        </w:tc>
        <w:tc>
          <w:tcPr>
            <w:tcW w:w="1159" w:type="dxa"/>
            <w:tcBorders>
              <w:top w:val="nil"/>
              <w:left w:val="nil"/>
              <w:bottom w:val="nil"/>
              <w:right w:val="nil"/>
            </w:tcBorders>
          </w:tcPr>
          <w:p w14:paraId="436992D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(-0.84)</w:t>
            </w:r>
          </w:p>
        </w:tc>
        <w:tc>
          <w:tcPr>
            <w:tcW w:w="1198" w:type="dxa"/>
            <w:tcBorders>
              <w:top w:val="nil"/>
              <w:left w:val="nil"/>
              <w:bottom w:val="nil"/>
              <w:right w:val="nil"/>
            </w:tcBorders>
          </w:tcPr>
          <w:p w14:paraId="4432A2A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(1.74)</w:t>
            </w:r>
          </w:p>
        </w:tc>
      </w:tr>
      <w:tr w:rsidR="00DB6C99" w:rsidRPr="00DB6C99" w14:paraId="0137AEAD" w14:textId="77777777" w:rsidTr="007C344D">
        <w:trPr>
          <w:jc w:val="center"/>
        </w:trPr>
        <w:tc>
          <w:tcPr>
            <w:tcW w:w="1947" w:type="dxa"/>
            <w:tcBorders>
              <w:top w:val="nil"/>
              <w:left w:val="nil"/>
              <w:bottom w:val="nil"/>
              <w:right w:val="nil"/>
            </w:tcBorders>
          </w:tcPr>
          <w:p w14:paraId="49D57AE6"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lang w:val="en-GB"/>
              </w:rPr>
              <w:t>SIZE</w:t>
            </w:r>
          </w:p>
        </w:tc>
        <w:tc>
          <w:tcPr>
            <w:tcW w:w="1187" w:type="dxa"/>
            <w:tcBorders>
              <w:top w:val="nil"/>
              <w:left w:val="nil"/>
              <w:bottom w:val="nil"/>
              <w:right w:val="nil"/>
            </w:tcBorders>
          </w:tcPr>
          <w:p w14:paraId="1DD89F0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0.152***</w:t>
            </w:r>
          </w:p>
        </w:tc>
        <w:tc>
          <w:tcPr>
            <w:tcW w:w="1186" w:type="dxa"/>
            <w:tcBorders>
              <w:top w:val="nil"/>
              <w:left w:val="nil"/>
              <w:bottom w:val="nil"/>
              <w:right w:val="nil"/>
            </w:tcBorders>
          </w:tcPr>
          <w:p w14:paraId="1A5A72D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0.214***</w:t>
            </w:r>
          </w:p>
        </w:tc>
        <w:tc>
          <w:tcPr>
            <w:tcW w:w="1170" w:type="dxa"/>
            <w:tcBorders>
              <w:top w:val="nil"/>
              <w:left w:val="nil"/>
              <w:bottom w:val="nil"/>
              <w:right w:val="nil"/>
            </w:tcBorders>
          </w:tcPr>
          <w:p w14:paraId="1AF56A8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0.173***</w:t>
            </w:r>
          </w:p>
        </w:tc>
        <w:tc>
          <w:tcPr>
            <w:tcW w:w="1278" w:type="dxa"/>
            <w:tcBorders>
              <w:top w:val="nil"/>
              <w:left w:val="nil"/>
              <w:bottom w:val="nil"/>
              <w:right w:val="nil"/>
            </w:tcBorders>
          </w:tcPr>
          <w:p w14:paraId="540428D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0.192***</w:t>
            </w:r>
          </w:p>
        </w:tc>
        <w:tc>
          <w:tcPr>
            <w:tcW w:w="1197" w:type="dxa"/>
            <w:tcBorders>
              <w:top w:val="nil"/>
              <w:left w:val="nil"/>
              <w:bottom w:val="nil"/>
              <w:right w:val="nil"/>
            </w:tcBorders>
          </w:tcPr>
          <w:p w14:paraId="3E9E8BC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0.183***</w:t>
            </w:r>
          </w:p>
        </w:tc>
        <w:tc>
          <w:tcPr>
            <w:tcW w:w="1168" w:type="dxa"/>
            <w:tcBorders>
              <w:top w:val="nil"/>
              <w:left w:val="nil"/>
              <w:bottom w:val="nil"/>
              <w:right w:val="nil"/>
            </w:tcBorders>
          </w:tcPr>
          <w:p w14:paraId="63643CEF"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0.267***</w:t>
            </w:r>
          </w:p>
        </w:tc>
        <w:tc>
          <w:tcPr>
            <w:tcW w:w="1159" w:type="dxa"/>
            <w:tcBorders>
              <w:top w:val="nil"/>
              <w:left w:val="nil"/>
              <w:bottom w:val="nil"/>
              <w:right w:val="nil"/>
            </w:tcBorders>
          </w:tcPr>
          <w:p w14:paraId="1782842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0.197***</w:t>
            </w:r>
          </w:p>
        </w:tc>
        <w:tc>
          <w:tcPr>
            <w:tcW w:w="1198" w:type="dxa"/>
            <w:tcBorders>
              <w:top w:val="nil"/>
              <w:left w:val="nil"/>
              <w:bottom w:val="nil"/>
              <w:right w:val="nil"/>
            </w:tcBorders>
          </w:tcPr>
          <w:p w14:paraId="0514922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0.277***</w:t>
            </w:r>
          </w:p>
        </w:tc>
      </w:tr>
      <w:tr w:rsidR="00DB6C99" w:rsidRPr="00DB6C99" w14:paraId="6DCFC3CC" w14:textId="77777777" w:rsidTr="007C344D">
        <w:trPr>
          <w:jc w:val="center"/>
        </w:trPr>
        <w:tc>
          <w:tcPr>
            <w:tcW w:w="1947" w:type="dxa"/>
            <w:tcBorders>
              <w:top w:val="nil"/>
              <w:left w:val="nil"/>
              <w:bottom w:val="nil"/>
              <w:right w:val="nil"/>
            </w:tcBorders>
          </w:tcPr>
          <w:p w14:paraId="5034C16B"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187" w:type="dxa"/>
            <w:tcBorders>
              <w:top w:val="nil"/>
              <w:left w:val="nil"/>
              <w:bottom w:val="nil"/>
              <w:right w:val="nil"/>
            </w:tcBorders>
          </w:tcPr>
          <w:p w14:paraId="12ED03E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(3.46)</w:t>
            </w:r>
          </w:p>
        </w:tc>
        <w:tc>
          <w:tcPr>
            <w:tcW w:w="1186" w:type="dxa"/>
            <w:tcBorders>
              <w:top w:val="nil"/>
              <w:left w:val="nil"/>
              <w:bottom w:val="nil"/>
              <w:right w:val="nil"/>
            </w:tcBorders>
          </w:tcPr>
          <w:p w14:paraId="29BBBF0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(3.13)</w:t>
            </w:r>
          </w:p>
        </w:tc>
        <w:tc>
          <w:tcPr>
            <w:tcW w:w="1170" w:type="dxa"/>
            <w:tcBorders>
              <w:top w:val="nil"/>
              <w:left w:val="nil"/>
              <w:bottom w:val="nil"/>
              <w:right w:val="nil"/>
            </w:tcBorders>
          </w:tcPr>
          <w:p w14:paraId="229BA6D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(3.25)</w:t>
            </w:r>
          </w:p>
        </w:tc>
        <w:tc>
          <w:tcPr>
            <w:tcW w:w="1278" w:type="dxa"/>
            <w:tcBorders>
              <w:top w:val="nil"/>
              <w:left w:val="nil"/>
              <w:bottom w:val="nil"/>
              <w:right w:val="nil"/>
            </w:tcBorders>
          </w:tcPr>
          <w:p w14:paraId="485D3EC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(2.70)</w:t>
            </w:r>
          </w:p>
        </w:tc>
        <w:tc>
          <w:tcPr>
            <w:tcW w:w="1197" w:type="dxa"/>
            <w:tcBorders>
              <w:top w:val="nil"/>
              <w:left w:val="nil"/>
              <w:bottom w:val="nil"/>
              <w:right w:val="nil"/>
            </w:tcBorders>
          </w:tcPr>
          <w:p w14:paraId="3C3E57F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(12.48)</w:t>
            </w:r>
          </w:p>
        </w:tc>
        <w:tc>
          <w:tcPr>
            <w:tcW w:w="1168" w:type="dxa"/>
            <w:tcBorders>
              <w:top w:val="nil"/>
              <w:left w:val="nil"/>
              <w:bottom w:val="nil"/>
              <w:right w:val="nil"/>
            </w:tcBorders>
          </w:tcPr>
          <w:p w14:paraId="3EC1B2B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(11.82)</w:t>
            </w:r>
          </w:p>
        </w:tc>
        <w:tc>
          <w:tcPr>
            <w:tcW w:w="1159" w:type="dxa"/>
            <w:tcBorders>
              <w:top w:val="nil"/>
              <w:left w:val="nil"/>
              <w:bottom w:val="nil"/>
              <w:right w:val="nil"/>
            </w:tcBorders>
          </w:tcPr>
          <w:p w14:paraId="27F1E65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(11.34)</w:t>
            </w:r>
          </w:p>
        </w:tc>
        <w:tc>
          <w:tcPr>
            <w:tcW w:w="1198" w:type="dxa"/>
            <w:tcBorders>
              <w:top w:val="nil"/>
              <w:left w:val="nil"/>
              <w:bottom w:val="nil"/>
              <w:right w:val="nil"/>
            </w:tcBorders>
          </w:tcPr>
          <w:p w14:paraId="061EFCA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(11.98)</w:t>
            </w:r>
          </w:p>
        </w:tc>
      </w:tr>
      <w:tr w:rsidR="00DB6C99" w:rsidRPr="00DB6C99" w14:paraId="22EF241D" w14:textId="77777777" w:rsidTr="007C344D">
        <w:trPr>
          <w:jc w:val="center"/>
        </w:trPr>
        <w:tc>
          <w:tcPr>
            <w:tcW w:w="1947" w:type="dxa"/>
            <w:tcBorders>
              <w:top w:val="nil"/>
              <w:left w:val="nil"/>
              <w:bottom w:val="nil"/>
              <w:right w:val="nil"/>
            </w:tcBorders>
          </w:tcPr>
          <w:p w14:paraId="5697523C"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rPr>
              <w:t>I</w:t>
            </w:r>
            <w:r w:rsidRPr="00DB6C99">
              <w:rPr>
                <w:rFonts w:ascii="Garamond" w:hAnsi="Garamond"/>
                <w:i/>
                <w:iCs/>
                <w:spacing w:val="-2"/>
                <w:sz w:val="20"/>
                <w:szCs w:val="20"/>
              </w:rPr>
              <w:t>n</w:t>
            </w:r>
            <w:r w:rsidRPr="00DB6C99">
              <w:rPr>
                <w:rFonts w:ascii="Garamond" w:hAnsi="Garamond"/>
                <w:i/>
                <w:iCs/>
                <w:spacing w:val="-1"/>
                <w:sz w:val="20"/>
                <w:szCs w:val="20"/>
              </w:rPr>
              <w:t>t</w:t>
            </w:r>
            <w:r w:rsidRPr="00DB6C99">
              <w:rPr>
                <w:rFonts w:ascii="Garamond" w:hAnsi="Garamond"/>
                <w:i/>
                <w:iCs/>
                <w:sz w:val="20"/>
                <w:szCs w:val="20"/>
              </w:rPr>
              <w:t>erce</w:t>
            </w:r>
            <w:r w:rsidRPr="00DB6C99">
              <w:rPr>
                <w:rFonts w:ascii="Garamond" w:hAnsi="Garamond"/>
                <w:i/>
                <w:iCs/>
                <w:spacing w:val="1"/>
                <w:sz w:val="20"/>
                <w:szCs w:val="20"/>
              </w:rPr>
              <w:t>p</w:t>
            </w:r>
            <w:r w:rsidRPr="00DB6C99">
              <w:rPr>
                <w:rFonts w:ascii="Garamond" w:hAnsi="Garamond"/>
                <w:i/>
                <w:iCs/>
                <w:sz w:val="20"/>
                <w:szCs w:val="20"/>
              </w:rPr>
              <w:t>t</w:t>
            </w:r>
          </w:p>
        </w:tc>
        <w:tc>
          <w:tcPr>
            <w:tcW w:w="1187" w:type="dxa"/>
            <w:tcBorders>
              <w:top w:val="nil"/>
              <w:left w:val="nil"/>
              <w:bottom w:val="nil"/>
              <w:right w:val="nil"/>
            </w:tcBorders>
          </w:tcPr>
          <w:p w14:paraId="063A9BA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-2.909***</w:t>
            </w:r>
          </w:p>
        </w:tc>
        <w:tc>
          <w:tcPr>
            <w:tcW w:w="1186" w:type="dxa"/>
            <w:tcBorders>
              <w:top w:val="nil"/>
              <w:left w:val="nil"/>
              <w:bottom w:val="nil"/>
              <w:right w:val="nil"/>
            </w:tcBorders>
          </w:tcPr>
          <w:p w14:paraId="1171C63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-5.416***</w:t>
            </w:r>
          </w:p>
        </w:tc>
        <w:tc>
          <w:tcPr>
            <w:tcW w:w="1170" w:type="dxa"/>
            <w:tcBorders>
              <w:top w:val="nil"/>
              <w:left w:val="nil"/>
              <w:bottom w:val="nil"/>
              <w:right w:val="nil"/>
            </w:tcBorders>
          </w:tcPr>
          <w:p w14:paraId="54CEB59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-4.377***</w:t>
            </w:r>
          </w:p>
        </w:tc>
        <w:tc>
          <w:tcPr>
            <w:tcW w:w="1278" w:type="dxa"/>
            <w:tcBorders>
              <w:top w:val="nil"/>
              <w:left w:val="nil"/>
              <w:bottom w:val="nil"/>
              <w:right w:val="nil"/>
            </w:tcBorders>
          </w:tcPr>
          <w:p w14:paraId="1919AB9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-5.395***</w:t>
            </w:r>
          </w:p>
        </w:tc>
        <w:tc>
          <w:tcPr>
            <w:tcW w:w="1197" w:type="dxa"/>
            <w:tcBorders>
              <w:top w:val="nil"/>
              <w:left w:val="nil"/>
              <w:bottom w:val="nil"/>
              <w:right w:val="nil"/>
            </w:tcBorders>
          </w:tcPr>
          <w:p w14:paraId="08D78C4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-4.047***</w:t>
            </w:r>
          </w:p>
        </w:tc>
        <w:tc>
          <w:tcPr>
            <w:tcW w:w="1168" w:type="dxa"/>
            <w:tcBorders>
              <w:top w:val="nil"/>
              <w:left w:val="nil"/>
              <w:bottom w:val="nil"/>
              <w:right w:val="nil"/>
            </w:tcBorders>
          </w:tcPr>
          <w:p w14:paraId="502C646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-6.246***</w:t>
            </w:r>
          </w:p>
        </w:tc>
        <w:tc>
          <w:tcPr>
            <w:tcW w:w="1159" w:type="dxa"/>
            <w:tcBorders>
              <w:top w:val="nil"/>
              <w:left w:val="nil"/>
              <w:bottom w:val="nil"/>
              <w:right w:val="nil"/>
            </w:tcBorders>
          </w:tcPr>
          <w:p w14:paraId="521434C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-4.986***</w:t>
            </w:r>
          </w:p>
        </w:tc>
        <w:tc>
          <w:tcPr>
            <w:tcW w:w="1198" w:type="dxa"/>
            <w:tcBorders>
              <w:top w:val="nil"/>
              <w:left w:val="nil"/>
              <w:bottom w:val="nil"/>
              <w:right w:val="nil"/>
            </w:tcBorders>
          </w:tcPr>
          <w:p w14:paraId="6C3AB2E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-6.776***</w:t>
            </w:r>
          </w:p>
        </w:tc>
      </w:tr>
      <w:tr w:rsidR="00DB6C99" w:rsidRPr="00DB6C99" w14:paraId="1995838B" w14:textId="77777777" w:rsidTr="007C344D">
        <w:trPr>
          <w:jc w:val="center"/>
        </w:trPr>
        <w:tc>
          <w:tcPr>
            <w:tcW w:w="1947" w:type="dxa"/>
            <w:tcBorders>
              <w:top w:val="nil"/>
              <w:left w:val="nil"/>
              <w:bottom w:val="nil"/>
              <w:right w:val="nil"/>
            </w:tcBorders>
          </w:tcPr>
          <w:p w14:paraId="4B49234F"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187" w:type="dxa"/>
            <w:tcBorders>
              <w:top w:val="nil"/>
              <w:left w:val="nil"/>
              <w:bottom w:val="nil"/>
              <w:right w:val="nil"/>
            </w:tcBorders>
          </w:tcPr>
          <w:p w14:paraId="4FDC5F1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(-4.35)</w:t>
            </w:r>
          </w:p>
        </w:tc>
        <w:tc>
          <w:tcPr>
            <w:tcW w:w="1186" w:type="dxa"/>
            <w:tcBorders>
              <w:top w:val="nil"/>
              <w:left w:val="nil"/>
              <w:bottom w:val="nil"/>
              <w:right w:val="nil"/>
            </w:tcBorders>
          </w:tcPr>
          <w:p w14:paraId="5438196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(-4.84)</w:t>
            </w:r>
          </w:p>
        </w:tc>
        <w:tc>
          <w:tcPr>
            <w:tcW w:w="1170" w:type="dxa"/>
            <w:tcBorders>
              <w:top w:val="nil"/>
              <w:left w:val="nil"/>
              <w:bottom w:val="nil"/>
              <w:right w:val="nil"/>
            </w:tcBorders>
          </w:tcPr>
          <w:p w14:paraId="0733FC9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(-5.21)</w:t>
            </w:r>
          </w:p>
        </w:tc>
        <w:tc>
          <w:tcPr>
            <w:tcW w:w="1278" w:type="dxa"/>
            <w:tcBorders>
              <w:top w:val="nil"/>
              <w:left w:val="nil"/>
              <w:bottom w:val="nil"/>
              <w:right w:val="nil"/>
            </w:tcBorders>
          </w:tcPr>
          <w:p w14:paraId="706DAA6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(-4.62)</w:t>
            </w:r>
          </w:p>
        </w:tc>
        <w:tc>
          <w:tcPr>
            <w:tcW w:w="1197" w:type="dxa"/>
            <w:tcBorders>
              <w:top w:val="nil"/>
              <w:left w:val="nil"/>
              <w:bottom w:val="nil"/>
              <w:right w:val="nil"/>
            </w:tcBorders>
          </w:tcPr>
          <w:p w14:paraId="3A2E4BA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(-13.32)</w:t>
            </w:r>
          </w:p>
        </w:tc>
        <w:tc>
          <w:tcPr>
            <w:tcW w:w="1168" w:type="dxa"/>
            <w:tcBorders>
              <w:top w:val="nil"/>
              <w:left w:val="nil"/>
              <w:bottom w:val="nil"/>
              <w:right w:val="nil"/>
            </w:tcBorders>
          </w:tcPr>
          <w:p w14:paraId="1D199F7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(-9.09)</w:t>
            </w:r>
          </w:p>
        </w:tc>
        <w:tc>
          <w:tcPr>
            <w:tcW w:w="1159" w:type="dxa"/>
            <w:tcBorders>
              <w:top w:val="nil"/>
              <w:left w:val="nil"/>
              <w:bottom w:val="nil"/>
              <w:right w:val="nil"/>
            </w:tcBorders>
          </w:tcPr>
          <w:p w14:paraId="7B08330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(-13.74)</w:t>
            </w:r>
          </w:p>
        </w:tc>
        <w:tc>
          <w:tcPr>
            <w:tcW w:w="1198" w:type="dxa"/>
            <w:tcBorders>
              <w:top w:val="nil"/>
              <w:left w:val="nil"/>
              <w:bottom w:val="nil"/>
              <w:right w:val="nil"/>
            </w:tcBorders>
          </w:tcPr>
          <w:p w14:paraId="0499C13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(-8.10)</w:t>
            </w:r>
          </w:p>
        </w:tc>
      </w:tr>
      <w:tr w:rsidR="00DB6C99" w:rsidRPr="00DB6C99" w14:paraId="0F146889" w14:textId="77777777" w:rsidTr="007C344D">
        <w:trPr>
          <w:jc w:val="center"/>
        </w:trPr>
        <w:tc>
          <w:tcPr>
            <w:tcW w:w="1947" w:type="dxa"/>
            <w:tcBorders>
              <w:top w:val="nil"/>
              <w:left w:val="nil"/>
              <w:bottom w:val="nil"/>
              <w:right w:val="nil"/>
            </w:tcBorders>
          </w:tcPr>
          <w:p w14:paraId="17E41FF3" w14:textId="77777777" w:rsidR="007C344D" w:rsidRPr="00DB6C99" w:rsidRDefault="007C344D" w:rsidP="007C344D">
            <w:pPr>
              <w:widowControl w:val="0"/>
              <w:autoSpaceDE w:val="0"/>
              <w:autoSpaceDN w:val="0"/>
              <w:adjustRightInd w:val="0"/>
              <w:spacing w:after="0" w:line="240" w:lineRule="auto"/>
              <w:rPr>
                <w:rFonts w:ascii="Garamond" w:hAnsi="Garamond"/>
                <w:i/>
                <w:iCs/>
                <w:sz w:val="20"/>
                <w:szCs w:val="20"/>
              </w:rPr>
            </w:pPr>
          </w:p>
        </w:tc>
        <w:tc>
          <w:tcPr>
            <w:tcW w:w="1187" w:type="dxa"/>
            <w:tcBorders>
              <w:top w:val="nil"/>
              <w:left w:val="nil"/>
              <w:bottom w:val="nil"/>
              <w:right w:val="nil"/>
            </w:tcBorders>
          </w:tcPr>
          <w:p w14:paraId="25AA667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p>
        </w:tc>
        <w:tc>
          <w:tcPr>
            <w:tcW w:w="1186" w:type="dxa"/>
            <w:tcBorders>
              <w:top w:val="nil"/>
              <w:left w:val="nil"/>
              <w:bottom w:val="nil"/>
              <w:right w:val="nil"/>
            </w:tcBorders>
          </w:tcPr>
          <w:p w14:paraId="152913F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p>
        </w:tc>
        <w:tc>
          <w:tcPr>
            <w:tcW w:w="1170" w:type="dxa"/>
            <w:tcBorders>
              <w:top w:val="nil"/>
              <w:left w:val="nil"/>
              <w:bottom w:val="nil"/>
              <w:right w:val="nil"/>
            </w:tcBorders>
          </w:tcPr>
          <w:p w14:paraId="63EF711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p>
        </w:tc>
        <w:tc>
          <w:tcPr>
            <w:tcW w:w="1278" w:type="dxa"/>
            <w:tcBorders>
              <w:top w:val="nil"/>
              <w:left w:val="nil"/>
              <w:bottom w:val="nil"/>
              <w:right w:val="nil"/>
            </w:tcBorders>
          </w:tcPr>
          <w:p w14:paraId="73D2B6C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p>
        </w:tc>
        <w:tc>
          <w:tcPr>
            <w:tcW w:w="1197" w:type="dxa"/>
            <w:tcBorders>
              <w:top w:val="nil"/>
              <w:left w:val="nil"/>
              <w:bottom w:val="nil"/>
              <w:right w:val="nil"/>
            </w:tcBorders>
          </w:tcPr>
          <w:p w14:paraId="75BAE34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p>
        </w:tc>
        <w:tc>
          <w:tcPr>
            <w:tcW w:w="1168" w:type="dxa"/>
            <w:tcBorders>
              <w:top w:val="nil"/>
              <w:left w:val="nil"/>
              <w:bottom w:val="nil"/>
              <w:right w:val="nil"/>
            </w:tcBorders>
          </w:tcPr>
          <w:p w14:paraId="1DAF20A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p>
        </w:tc>
        <w:tc>
          <w:tcPr>
            <w:tcW w:w="1159" w:type="dxa"/>
            <w:tcBorders>
              <w:top w:val="nil"/>
              <w:left w:val="nil"/>
              <w:bottom w:val="nil"/>
              <w:right w:val="nil"/>
            </w:tcBorders>
          </w:tcPr>
          <w:p w14:paraId="628436C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p>
        </w:tc>
        <w:tc>
          <w:tcPr>
            <w:tcW w:w="1198" w:type="dxa"/>
            <w:tcBorders>
              <w:top w:val="nil"/>
              <w:left w:val="nil"/>
              <w:bottom w:val="nil"/>
              <w:right w:val="nil"/>
            </w:tcBorders>
          </w:tcPr>
          <w:p w14:paraId="05364C2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p>
        </w:tc>
      </w:tr>
      <w:tr w:rsidR="00DB6C99" w:rsidRPr="00DB6C99" w14:paraId="7CE0F0A0" w14:textId="77777777" w:rsidTr="007C344D">
        <w:trPr>
          <w:jc w:val="center"/>
        </w:trPr>
        <w:tc>
          <w:tcPr>
            <w:tcW w:w="1947" w:type="dxa"/>
            <w:tcBorders>
              <w:top w:val="nil"/>
              <w:left w:val="nil"/>
              <w:bottom w:val="nil"/>
              <w:right w:val="nil"/>
            </w:tcBorders>
          </w:tcPr>
          <w:p w14:paraId="1CFB069F" w14:textId="77777777" w:rsidR="007C344D" w:rsidRPr="00DB6C99" w:rsidRDefault="007C344D" w:rsidP="007C344D">
            <w:pPr>
              <w:widowControl w:val="0"/>
              <w:autoSpaceDE w:val="0"/>
              <w:autoSpaceDN w:val="0"/>
              <w:adjustRightInd w:val="0"/>
              <w:spacing w:after="0" w:line="240" w:lineRule="auto"/>
              <w:rPr>
                <w:rFonts w:ascii="Garamond" w:hAnsi="Garamond"/>
                <w:i/>
                <w:iCs/>
                <w:sz w:val="20"/>
                <w:szCs w:val="20"/>
              </w:rPr>
            </w:pPr>
            <w:r w:rsidRPr="00DB6C99">
              <w:rPr>
                <w:rFonts w:ascii="Garamond" w:hAnsi="Garamond"/>
                <w:i/>
                <w:iCs/>
                <w:sz w:val="20"/>
                <w:szCs w:val="20"/>
              </w:rPr>
              <w:t>N</w:t>
            </w:r>
          </w:p>
        </w:tc>
        <w:tc>
          <w:tcPr>
            <w:tcW w:w="1187" w:type="dxa"/>
            <w:tcBorders>
              <w:top w:val="nil"/>
              <w:left w:val="nil"/>
              <w:bottom w:val="nil"/>
              <w:right w:val="nil"/>
            </w:tcBorders>
          </w:tcPr>
          <w:p w14:paraId="6539B3B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3,142</w:t>
            </w:r>
          </w:p>
        </w:tc>
        <w:tc>
          <w:tcPr>
            <w:tcW w:w="1186" w:type="dxa"/>
            <w:tcBorders>
              <w:top w:val="nil"/>
              <w:left w:val="nil"/>
              <w:bottom w:val="nil"/>
              <w:right w:val="nil"/>
            </w:tcBorders>
          </w:tcPr>
          <w:p w14:paraId="71B1396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1,659</w:t>
            </w:r>
          </w:p>
        </w:tc>
        <w:tc>
          <w:tcPr>
            <w:tcW w:w="1170" w:type="dxa"/>
            <w:tcBorders>
              <w:top w:val="nil"/>
              <w:left w:val="nil"/>
              <w:bottom w:val="nil"/>
              <w:right w:val="nil"/>
            </w:tcBorders>
          </w:tcPr>
          <w:p w14:paraId="36F49CF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2,428</w:t>
            </w:r>
          </w:p>
        </w:tc>
        <w:tc>
          <w:tcPr>
            <w:tcW w:w="1278" w:type="dxa"/>
            <w:tcBorders>
              <w:top w:val="nil"/>
              <w:left w:val="nil"/>
              <w:bottom w:val="nil"/>
              <w:right w:val="nil"/>
            </w:tcBorders>
          </w:tcPr>
          <w:p w14:paraId="613629CF"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1,543</w:t>
            </w:r>
          </w:p>
        </w:tc>
        <w:tc>
          <w:tcPr>
            <w:tcW w:w="1197" w:type="dxa"/>
            <w:tcBorders>
              <w:top w:val="nil"/>
              <w:left w:val="nil"/>
              <w:bottom w:val="nil"/>
              <w:right w:val="nil"/>
            </w:tcBorders>
          </w:tcPr>
          <w:p w14:paraId="75EEDCF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3,142</w:t>
            </w:r>
          </w:p>
        </w:tc>
        <w:tc>
          <w:tcPr>
            <w:tcW w:w="1168" w:type="dxa"/>
            <w:tcBorders>
              <w:top w:val="nil"/>
              <w:left w:val="nil"/>
              <w:bottom w:val="nil"/>
              <w:right w:val="nil"/>
            </w:tcBorders>
          </w:tcPr>
          <w:p w14:paraId="67A0BA3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1,659</w:t>
            </w:r>
          </w:p>
        </w:tc>
        <w:tc>
          <w:tcPr>
            <w:tcW w:w="1159" w:type="dxa"/>
            <w:tcBorders>
              <w:top w:val="nil"/>
              <w:left w:val="nil"/>
              <w:bottom w:val="nil"/>
              <w:right w:val="nil"/>
            </w:tcBorders>
          </w:tcPr>
          <w:p w14:paraId="1C15986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2,428</w:t>
            </w:r>
          </w:p>
        </w:tc>
        <w:tc>
          <w:tcPr>
            <w:tcW w:w="1198" w:type="dxa"/>
            <w:tcBorders>
              <w:top w:val="nil"/>
              <w:left w:val="nil"/>
              <w:bottom w:val="nil"/>
              <w:right w:val="nil"/>
            </w:tcBorders>
          </w:tcPr>
          <w:p w14:paraId="0384133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1,543</w:t>
            </w:r>
          </w:p>
        </w:tc>
      </w:tr>
      <w:tr w:rsidR="00DB6C99" w:rsidRPr="00DB6C99" w14:paraId="5B10E131" w14:textId="77777777" w:rsidTr="007C344D">
        <w:trPr>
          <w:jc w:val="center"/>
        </w:trPr>
        <w:tc>
          <w:tcPr>
            <w:tcW w:w="1947" w:type="dxa"/>
            <w:tcBorders>
              <w:top w:val="nil"/>
              <w:left w:val="nil"/>
              <w:bottom w:val="nil"/>
              <w:right w:val="nil"/>
            </w:tcBorders>
          </w:tcPr>
          <w:p w14:paraId="5C7C224F" w14:textId="77777777" w:rsidR="007C344D" w:rsidRPr="00DB6C99" w:rsidRDefault="007C344D" w:rsidP="007C344D">
            <w:pPr>
              <w:widowControl w:val="0"/>
              <w:autoSpaceDE w:val="0"/>
              <w:autoSpaceDN w:val="0"/>
              <w:adjustRightInd w:val="0"/>
              <w:spacing w:after="0" w:line="240" w:lineRule="auto"/>
              <w:rPr>
                <w:rFonts w:ascii="Garamond" w:hAnsi="Garamond"/>
                <w:i/>
                <w:iCs/>
                <w:sz w:val="20"/>
                <w:szCs w:val="20"/>
              </w:rPr>
            </w:pPr>
            <w:r w:rsidRPr="00DB6C99">
              <w:rPr>
                <w:rFonts w:ascii="Garamond" w:hAnsi="Garamond"/>
                <w:i/>
                <w:iCs/>
                <w:sz w:val="20"/>
                <w:szCs w:val="20"/>
              </w:rPr>
              <w:t>Firm &amp; Year</w:t>
            </w:r>
          </w:p>
        </w:tc>
        <w:tc>
          <w:tcPr>
            <w:tcW w:w="1187" w:type="dxa"/>
            <w:tcBorders>
              <w:top w:val="nil"/>
              <w:left w:val="nil"/>
              <w:bottom w:val="nil"/>
              <w:right w:val="nil"/>
            </w:tcBorders>
          </w:tcPr>
          <w:p w14:paraId="213D180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Yes</w:t>
            </w:r>
          </w:p>
        </w:tc>
        <w:tc>
          <w:tcPr>
            <w:tcW w:w="1186" w:type="dxa"/>
            <w:tcBorders>
              <w:top w:val="nil"/>
              <w:left w:val="nil"/>
              <w:bottom w:val="nil"/>
              <w:right w:val="nil"/>
            </w:tcBorders>
          </w:tcPr>
          <w:p w14:paraId="3FCF8A8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Yes</w:t>
            </w:r>
          </w:p>
        </w:tc>
        <w:tc>
          <w:tcPr>
            <w:tcW w:w="1170" w:type="dxa"/>
            <w:tcBorders>
              <w:top w:val="nil"/>
              <w:left w:val="nil"/>
              <w:bottom w:val="nil"/>
              <w:right w:val="nil"/>
            </w:tcBorders>
          </w:tcPr>
          <w:p w14:paraId="1802298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Yes</w:t>
            </w:r>
          </w:p>
        </w:tc>
        <w:tc>
          <w:tcPr>
            <w:tcW w:w="1278" w:type="dxa"/>
            <w:tcBorders>
              <w:top w:val="nil"/>
              <w:left w:val="nil"/>
              <w:bottom w:val="nil"/>
              <w:right w:val="nil"/>
            </w:tcBorders>
          </w:tcPr>
          <w:p w14:paraId="2600A4C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Yes</w:t>
            </w:r>
          </w:p>
        </w:tc>
        <w:tc>
          <w:tcPr>
            <w:tcW w:w="1197" w:type="dxa"/>
            <w:tcBorders>
              <w:top w:val="nil"/>
              <w:left w:val="nil"/>
              <w:bottom w:val="nil"/>
              <w:right w:val="nil"/>
            </w:tcBorders>
          </w:tcPr>
          <w:p w14:paraId="01BEDDC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w:t>
            </w:r>
          </w:p>
        </w:tc>
        <w:tc>
          <w:tcPr>
            <w:tcW w:w="1168" w:type="dxa"/>
            <w:tcBorders>
              <w:top w:val="nil"/>
              <w:left w:val="nil"/>
              <w:bottom w:val="nil"/>
              <w:right w:val="nil"/>
            </w:tcBorders>
          </w:tcPr>
          <w:p w14:paraId="124F19E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w:t>
            </w:r>
          </w:p>
        </w:tc>
        <w:tc>
          <w:tcPr>
            <w:tcW w:w="1159" w:type="dxa"/>
            <w:tcBorders>
              <w:top w:val="nil"/>
              <w:left w:val="nil"/>
              <w:bottom w:val="nil"/>
              <w:right w:val="nil"/>
            </w:tcBorders>
          </w:tcPr>
          <w:p w14:paraId="7FA24B8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w:t>
            </w:r>
          </w:p>
        </w:tc>
        <w:tc>
          <w:tcPr>
            <w:tcW w:w="1198" w:type="dxa"/>
            <w:tcBorders>
              <w:top w:val="nil"/>
              <w:left w:val="nil"/>
              <w:bottom w:val="nil"/>
              <w:right w:val="nil"/>
            </w:tcBorders>
          </w:tcPr>
          <w:p w14:paraId="10384DE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w:t>
            </w:r>
          </w:p>
        </w:tc>
      </w:tr>
      <w:tr w:rsidR="00DB6C99" w:rsidRPr="00DB6C99" w14:paraId="01B488A5" w14:textId="77777777" w:rsidTr="007C344D">
        <w:trPr>
          <w:jc w:val="center"/>
        </w:trPr>
        <w:tc>
          <w:tcPr>
            <w:tcW w:w="1947" w:type="dxa"/>
            <w:tcBorders>
              <w:top w:val="nil"/>
              <w:left w:val="nil"/>
              <w:bottom w:val="nil"/>
              <w:right w:val="nil"/>
            </w:tcBorders>
          </w:tcPr>
          <w:p w14:paraId="319C0BF0" w14:textId="77777777" w:rsidR="007C344D" w:rsidRPr="00DB6C99" w:rsidRDefault="007C344D" w:rsidP="007C344D">
            <w:pPr>
              <w:widowControl w:val="0"/>
              <w:autoSpaceDE w:val="0"/>
              <w:autoSpaceDN w:val="0"/>
              <w:adjustRightInd w:val="0"/>
              <w:spacing w:after="0" w:line="240" w:lineRule="auto"/>
              <w:rPr>
                <w:rFonts w:ascii="Garamond" w:hAnsi="Garamond"/>
                <w:i/>
                <w:iCs/>
                <w:sz w:val="20"/>
                <w:szCs w:val="20"/>
              </w:rPr>
            </w:pPr>
            <w:r w:rsidRPr="00DB6C99">
              <w:rPr>
                <w:rFonts w:ascii="Garamond" w:hAnsi="Garamond"/>
                <w:i/>
                <w:iCs/>
                <w:sz w:val="20"/>
                <w:szCs w:val="20"/>
              </w:rPr>
              <w:t>I</w:t>
            </w:r>
            <w:r w:rsidRPr="00DB6C99">
              <w:rPr>
                <w:rFonts w:ascii="Garamond" w:hAnsi="Garamond"/>
                <w:i/>
                <w:iCs/>
                <w:spacing w:val="-2"/>
                <w:sz w:val="20"/>
                <w:szCs w:val="20"/>
              </w:rPr>
              <w:t>n</w:t>
            </w:r>
            <w:r w:rsidRPr="00DB6C99">
              <w:rPr>
                <w:rFonts w:ascii="Garamond" w:hAnsi="Garamond"/>
                <w:i/>
                <w:iCs/>
                <w:spacing w:val="1"/>
                <w:sz w:val="20"/>
                <w:szCs w:val="20"/>
              </w:rPr>
              <w:t>d</w:t>
            </w:r>
            <w:r w:rsidRPr="00DB6C99">
              <w:rPr>
                <w:rFonts w:ascii="Garamond" w:hAnsi="Garamond"/>
                <w:i/>
                <w:iCs/>
                <w:spacing w:val="-2"/>
                <w:sz w:val="20"/>
                <w:szCs w:val="20"/>
              </w:rPr>
              <w:t>u</w:t>
            </w:r>
            <w:r w:rsidRPr="00DB6C99">
              <w:rPr>
                <w:rFonts w:ascii="Garamond" w:hAnsi="Garamond"/>
                <w:i/>
                <w:iCs/>
                <w:spacing w:val="-1"/>
                <w:sz w:val="20"/>
                <w:szCs w:val="20"/>
              </w:rPr>
              <w:t>st</w:t>
            </w:r>
            <w:r w:rsidRPr="00DB6C99">
              <w:rPr>
                <w:rFonts w:ascii="Garamond" w:hAnsi="Garamond"/>
                <w:i/>
                <w:iCs/>
                <w:spacing w:val="3"/>
                <w:sz w:val="20"/>
                <w:szCs w:val="20"/>
              </w:rPr>
              <w:t>r</w:t>
            </w:r>
            <w:r w:rsidRPr="00DB6C99">
              <w:rPr>
                <w:rFonts w:ascii="Garamond" w:hAnsi="Garamond"/>
                <w:i/>
                <w:iCs/>
                <w:sz w:val="20"/>
                <w:szCs w:val="20"/>
              </w:rPr>
              <w:t>y &amp; Year</w:t>
            </w:r>
          </w:p>
        </w:tc>
        <w:tc>
          <w:tcPr>
            <w:tcW w:w="1187" w:type="dxa"/>
            <w:tcBorders>
              <w:top w:val="nil"/>
              <w:left w:val="nil"/>
              <w:bottom w:val="nil"/>
              <w:right w:val="nil"/>
            </w:tcBorders>
          </w:tcPr>
          <w:p w14:paraId="4A82C8AF"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w:t>
            </w:r>
          </w:p>
        </w:tc>
        <w:tc>
          <w:tcPr>
            <w:tcW w:w="1186" w:type="dxa"/>
            <w:tcBorders>
              <w:top w:val="nil"/>
              <w:left w:val="nil"/>
              <w:bottom w:val="nil"/>
              <w:right w:val="nil"/>
            </w:tcBorders>
          </w:tcPr>
          <w:p w14:paraId="1659BAE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w:t>
            </w:r>
          </w:p>
        </w:tc>
        <w:tc>
          <w:tcPr>
            <w:tcW w:w="1170" w:type="dxa"/>
            <w:tcBorders>
              <w:top w:val="nil"/>
              <w:left w:val="nil"/>
              <w:bottom w:val="nil"/>
              <w:right w:val="nil"/>
            </w:tcBorders>
          </w:tcPr>
          <w:p w14:paraId="0B63841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w:t>
            </w:r>
          </w:p>
        </w:tc>
        <w:tc>
          <w:tcPr>
            <w:tcW w:w="1278" w:type="dxa"/>
            <w:tcBorders>
              <w:top w:val="nil"/>
              <w:left w:val="nil"/>
              <w:bottom w:val="nil"/>
              <w:right w:val="nil"/>
            </w:tcBorders>
          </w:tcPr>
          <w:p w14:paraId="03CF0FDF"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w:t>
            </w:r>
          </w:p>
        </w:tc>
        <w:tc>
          <w:tcPr>
            <w:tcW w:w="1197" w:type="dxa"/>
            <w:tcBorders>
              <w:top w:val="nil"/>
              <w:left w:val="nil"/>
              <w:bottom w:val="nil"/>
              <w:right w:val="nil"/>
            </w:tcBorders>
          </w:tcPr>
          <w:p w14:paraId="39A0834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Yes</w:t>
            </w:r>
          </w:p>
        </w:tc>
        <w:tc>
          <w:tcPr>
            <w:tcW w:w="1168" w:type="dxa"/>
            <w:tcBorders>
              <w:top w:val="nil"/>
              <w:left w:val="nil"/>
              <w:bottom w:val="nil"/>
              <w:right w:val="nil"/>
            </w:tcBorders>
          </w:tcPr>
          <w:p w14:paraId="5DD812A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Yes</w:t>
            </w:r>
          </w:p>
        </w:tc>
        <w:tc>
          <w:tcPr>
            <w:tcW w:w="1159" w:type="dxa"/>
            <w:tcBorders>
              <w:top w:val="nil"/>
              <w:left w:val="nil"/>
              <w:bottom w:val="nil"/>
              <w:right w:val="nil"/>
            </w:tcBorders>
          </w:tcPr>
          <w:p w14:paraId="455079C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Yes</w:t>
            </w:r>
          </w:p>
        </w:tc>
        <w:tc>
          <w:tcPr>
            <w:tcW w:w="1198" w:type="dxa"/>
            <w:tcBorders>
              <w:top w:val="nil"/>
              <w:left w:val="nil"/>
              <w:bottom w:val="nil"/>
              <w:right w:val="nil"/>
            </w:tcBorders>
          </w:tcPr>
          <w:p w14:paraId="3B5D348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Yes</w:t>
            </w:r>
          </w:p>
        </w:tc>
      </w:tr>
      <w:tr w:rsidR="00DB6C99" w:rsidRPr="00DB6C99" w14:paraId="26EA48DA" w14:textId="77777777" w:rsidTr="007C344D">
        <w:trPr>
          <w:jc w:val="center"/>
        </w:trPr>
        <w:tc>
          <w:tcPr>
            <w:tcW w:w="1947" w:type="dxa"/>
            <w:tcBorders>
              <w:top w:val="nil"/>
              <w:left w:val="nil"/>
              <w:bottom w:val="nil"/>
              <w:right w:val="nil"/>
            </w:tcBorders>
          </w:tcPr>
          <w:p w14:paraId="05EAC982" w14:textId="77777777" w:rsidR="007C344D" w:rsidRPr="00DB6C99" w:rsidRDefault="007C344D" w:rsidP="007C344D">
            <w:pPr>
              <w:widowControl w:val="0"/>
              <w:autoSpaceDE w:val="0"/>
              <w:autoSpaceDN w:val="0"/>
              <w:adjustRightInd w:val="0"/>
              <w:spacing w:after="0" w:line="240" w:lineRule="auto"/>
              <w:rPr>
                <w:rFonts w:ascii="Garamond" w:hAnsi="Garamond"/>
                <w:i/>
                <w:iCs/>
                <w:sz w:val="20"/>
                <w:szCs w:val="20"/>
              </w:rPr>
            </w:pPr>
            <w:r w:rsidRPr="00DB6C99">
              <w:rPr>
                <w:rFonts w:ascii="Garamond" w:hAnsi="Garamond"/>
                <w:i/>
                <w:iCs/>
                <w:sz w:val="20"/>
                <w:szCs w:val="20"/>
              </w:rPr>
              <w:t>Adj. R</w:t>
            </w:r>
            <w:r w:rsidRPr="00DB6C99">
              <w:rPr>
                <w:rFonts w:ascii="Garamond" w:hAnsi="Garamond"/>
                <w:i/>
                <w:iCs/>
                <w:sz w:val="20"/>
                <w:szCs w:val="20"/>
                <w:vertAlign w:val="superscript"/>
              </w:rPr>
              <w:t>2</w:t>
            </w:r>
          </w:p>
        </w:tc>
        <w:tc>
          <w:tcPr>
            <w:tcW w:w="1187" w:type="dxa"/>
            <w:tcBorders>
              <w:top w:val="nil"/>
              <w:left w:val="nil"/>
              <w:bottom w:val="nil"/>
              <w:right w:val="nil"/>
            </w:tcBorders>
          </w:tcPr>
          <w:p w14:paraId="1B41301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0.166</w:t>
            </w:r>
          </w:p>
        </w:tc>
        <w:tc>
          <w:tcPr>
            <w:tcW w:w="1186" w:type="dxa"/>
            <w:tcBorders>
              <w:top w:val="nil"/>
              <w:left w:val="nil"/>
              <w:bottom w:val="nil"/>
              <w:right w:val="nil"/>
            </w:tcBorders>
          </w:tcPr>
          <w:p w14:paraId="2EDF6F4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0.163</w:t>
            </w:r>
          </w:p>
        </w:tc>
        <w:tc>
          <w:tcPr>
            <w:tcW w:w="1170" w:type="dxa"/>
            <w:tcBorders>
              <w:top w:val="nil"/>
              <w:left w:val="nil"/>
              <w:bottom w:val="nil"/>
              <w:right w:val="nil"/>
            </w:tcBorders>
          </w:tcPr>
          <w:p w14:paraId="4CBC4AC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0.162</w:t>
            </w:r>
          </w:p>
        </w:tc>
        <w:tc>
          <w:tcPr>
            <w:tcW w:w="1278" w:type="dxa"/>
            <w:tcBorders>
              <w:top w:val="nil"/>
              <w:left w:val="nil"/>
              <w:bottom w:val="nil"/>
              <w:right w:val="nil"/>
            </w:tcBorders>
          </w:tcPr>
          <w:p w14:paraId="6E8D5F9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0.153</w:t>
            </w:r>
          </w:p>
        </w:tc>
        <w:tc>
          <w:tcPr>
            <w:tcW w:w="1197" w:type="dxa"/>
            <w:tcBorders>
              <w:top w:val="nil"/>
              <w:left w:val="nil"/>
              <w:bottom w:val="nil"/>
              <w:right w:val="nil"/>
            </w:tcBorders>
          </w:tcPr>
          <w:p w14:paraId="4098005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0.332</w:t>
            </w:r>
          </w:p>
        </w:tc>
        <w:tc>
          <w:tcPr>
            <w:tcW w:w="1168" w:type="dxa"/>
            <w:tcBorders>
              <w:top w:val="nil"/>
              <w:left w:val="nil"/>
              <w:bottom w:val="nil"/>
              <w:right w:val="nil"/>
            </w:tcBorders>
          </w:tcPr>
          <w:p w14:paraId="2252BCB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0.306</w:t>
            </w:r>
          </w:p>
        </w:tc>
        <w:tc>
          <w:tcPr>
            <w:tcW w:w="1159" w:type="dxa"/>
            <w:tcBorders>
              <w:top w:val="nil"/>
              <w:left w:val="nil"/>
              <w:bottom w:val="nil"/>
              <w:right w:val="nil"/>
            </w:tcBorders>
          </w:tcPr>
          <w:p w14:paraId="5B1F670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0.325</w:t>
            </w:r>
          </w:p>
        </w:tc>
        <w:tc>
          <w:tcPr>
            <w:tcW w:w="1198" w:type="dxa"/>
            <w:tcBorders>
              <w:top w:val="nil"/>
              <w:left w:val="nil"/>
              <w:bottom w:val="nil"/>
              <w:right w:val="nil"/>
            </w:tcBorders>
          </w:tcPr>
          <w:p w14:paraId="5EC0D64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0.336</w:t>
            </w:r>
          </w:p>
        </w:tc>
      </w:tr>
      <w:tr w:rsidR="00DB6C99" w:rsidRPr="00DB6C99" w14:paraId="086B379A" w14:textId="77777777" w:rsidTr="007C344D">
        <w:tblPrEx>
          <w:tblBorders>
            <w:bottom w:val="single" w:sz="6" w:space="0" w:color="auto"/>
          </w:tblBorders>
        </w:tblPrEx>
        <w:trPr>
          <w:jc w:val="center"/>
        </w:trPr>
        <w:tc>
          <w:tcPr>
            <w:tcW w:w="1947" w:type="dxa"/>
            <w:tcBorders>
              <w:top w:val="nil"/>
              <w:left w:val="nil"/>
              <w:bottom w:val="single" w:sz="6" w:space="0" w:color="auto"/>
              <w:right w:val="nil"/>
            </w:tcBorders>
          </w:tcPr>
          <w:p w14:paraId="04F996DC" w14:textId="77777777" w:rsidR="007C344D" w:rsidRPr="00DB6C99" w:rsidRDefault="007C344D" w:rsidP="007C344D">
            <w:pPr>
              <w:widowControl w:val="0"/>
              <w:autoSpaceDE w:val="0"/>
              <w:autoSpaceDN w:val="0"/>
              <w:adjustRightInd w:val="0"/>
              <w:spacing w:after="0" w:line="240" w:lineRule="auto"/>
              <w:rPr>
                <w:rFonts w:ascii="Garamond" w:hAnsi="Garamond"/>
                <w:i/>
                <w:iCs/>
                <w:sz w:val="20"/>
                <w:szCs w:val="20"/>
              </w:rPr>
            </w:pPr>
            <w:r w:rsidRPr="00DB6C99">
              <w:rPr>
                <w:rFonts w:ascii="Garamond" w:hAnsi="Garamond"/>
                <w:i/>
                <w:iCs/>
                <w:sz w:val="20"/>
                <w:szCs w:val="20"/>
              </w:rPr>
              <w:t>F-stat</w:t>
            </w:r>
          </w:p>
        </w:tc>
        <w:tc>
          <w:tcPr>
            <w:tcW w:w="1187" w:type="dxa"/>
            <w:tcBorders>
              <w:top w:val="nil"/>
              <w:left w:val="nil"/>
              <w:bottom w:val="single" w:sz="6" w:space="0" w:color="auto"/>
              <w:right w:val="nil"/>
            </w:tcBorders>
          </w:tcPr>
          <w:p w14:paraId="761D2A3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8.447</w:t>
            </w:r>
          </w:p>
        </w:tc>
        <w:tc>
          <w:tcPr>
            <w:tcW w:w="1186" w:type="dxa"/>
            <w:tcBorders>
              <w:top w:val="nil"/>
              <w:left w:val="nil"/>
              <w:bottom w:val="single" w:sz="6" w:space="0" w:color="auto"/>
              <w:right w:val="nil"/>
            </w:tcBorders>
          </w:tcPr>
          <w:p w14:paraId="57E99E4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5.536</w:t>
            </w:r>
          </w:p>
        </w:tc>
        <w:tc>
          <w:tcPr>
            <w:tcW w:w="1170" w:type="dxa"/>
            <w:tcBorders>
              <w:top w:val="nil"/>
              <w:left w:val="nil"/>
              <w:bottom w:val="single" w:sz="6" w:space="0" w:color="auto"/>
              <w:right w:val="nil"/>
            </w:tcBorders>
          </w:tcPr>
          <w:p w14:paraId="386AE8D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4.346</w:t>
            </w:r>
          </w:p>
        </w:tc>
        <w:tc>
          <w:tcPr>
            <w:tcW w:w="1278" w:type="dxa"/>
            <w:tcBorders>
              <w:top w:val="nil"/>
              <w:left w:val="nil"/>
              <w:bottom w:val="single" w:sz="6" w:space="0" w:color="auto"/>
              <w:right w:val="nil"/>
            </w:tcBorders>
          </w:tcPr>
          <w:p w14:paraId="78730CB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5.052</w:t>
            </w:r>
          </w:p>
        </w:tc>
        <w:tc>
          <w:tcPr>
            <w:tcW w:w="1197" w:type="dxa"/>
            <w:tcBorders>
              <w:top w:val="nil"/>
              <w:left w:val="nil"/>
              <w:bottom w:val="single" w:sz="6" w:space="0" w:color="auto"/>
              <w:right w:val="nil"/>
            </w:tcBorders>
          </w:tcPr>
          <w:p w14:paraId="70BACFE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10.09</w:t>
            </w:r>
          </w:p>
        </w:tc>
        <w:tc>
          <w:tcPr>
            <w:tcW w:w="1168" w:type="dxa"/>
            <w:tcBorders>
              <w:top w:val="nil"/>
              <w:left w:val="nil"/>
              <w:bottom w:val="single" w:sz="6" w:space="0" w:color="auto"/>
              <w:right w:val="nil"/>
            </w:tcBorders>
          </w:tcPr>
          <w:p w14:paraId="49C760AF"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7.638</w:t>
            </w:r>
          </w:p>
        </w:tc>
        <w:tc>
          <w:tcPr>
            <w:tcW w:w="1159" w:type="dxa"/>
            <w:tcBorders>
              <w:top w:val="nil"/>
              <w:left w:val="nil"/>
              <w:bottom w:val="single" w:sz="6" w:space="0" w:color="auto"/>
              <w:right w:val="nil"/>
            </w:tcBorders>
          </w:tcPr>
          <w:p w14:paraId="00D4EC3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7.957</w:t>
            </w:r>
          </w:p>
        </w:tc>
        <w:tc>
          <w:tcPr>
            <w:tcW w:w="1198" w:type="dxa"/>
            <w:tcBorders>
              <w:top w:val="nil"/>
              <w:left w:val="nil"/>
              <w:bottom w:val="single" w:sz="6" w:space="0" w:color="auto"/>
              <w:right w:val="nil"/>
            </w:tcBorders>
          </w:tcPr>
          <w:p w14:paraId="0377079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8.237</w:t>
            </w:r>
          </w:p>
        </w:tc>
      </w:tr>
    </w:tbl>
    <w:p w14:paraId="1440C4B4" w14:textId="77777777" w:rsidR="007C344D" w:rsidRPr="00DB6C99" w:rsidRDefault="007C344D" w:rsidP="007C344D">
      <w:pPr>
        <w:widowControl w:val="0"/>
        <w:kinsoku w:val="0"/>
        <w:overflowPunct w:val="0"/>
        <w:autoSpaceDE w:val="0"/>
        <w:autoSpaceDN w:val="0"/>
        <w:adjustRightInd w:val="0"/>
        <w:spacing w:after="0" w:line="240" w:lineRule="auto"/>
        <w:jc w:val="both"/>
        <w:rPr>
          <w:rFonts w:ascii="Garamond" w:hAnsi="Garamond"/>
          <w:sz w:val="20"/>
          <w:szCs w:val="18"/>
        </w:rPr>
      </w:pPr>
      <w:r w:rsidRPr="00DB6C99">
        <w:rPr>
          <w:rFonts w:ascii="Garamond" w:hAnsi="Garamond"/>
          <w:b/>
          <w:bCs/>
          <w:sz w:val="20"/>
          <w:szCs w:val="18"/>
        </w:rPr>
        <w:t xml:space="preserve">Note: </w:t>
      </w:r>
      <w:r w:rsidRPr="00DB6C99">
        <w:rPr>
          <w:rFonts w:ascii="Garamond" w:hAnsi="Garamond"/>
          <w:i/>
          <w:iCs/>
          <w:sz w:val="20"/>
          <w:szCs w:val="18"/>
        </w:rPr>
        <w:t xml:space="preserve">Low Governance </w:t>
      </w:r>
      <w:r w:rsidRPr="00DB6C99">
        <w:rPr>
          <w:rFonts w:ascii="Garamond" w:hAnsi="Garamond"/>
          <w:sz w:val="20"/>
          <w:szCs w:val="18"/>
        </w:rPr>
        <w:t xml:space="preserve">subsample include firms in bottom quartile based on the Asset4 corporate governance performance score by industry-year and </w:t>
      </w:r>
      <w:r w:rsidRPr="00DB6C99">
        <w:rPr>
          <w:rFonts w:ascii="Garamond" w:hAnsi="Garamond"/>
          <w:i/>
          <w:iCs/>
          <w:sz w:val="20"/>
          <w:szCs w:val="18"/>
        </w:rPr>
        <w:t xml:space="preserve">High Governance </w:t>
      </w:r>
      <w:r w:rsidRPr="00DB6C99">
        <w:rPr>
          <w:rFonts w:ascii="Garamond" w:hAnsi="Garamond"/>
          <w:sz w:val="20"/>
          <w:szCs w:val="18"/>
        </w:rPr>
        <w:t>subsample include firms in top quartile based on the Asset4 corporate governance performance score by industry-year.</w:t>
      </w:r>
    </w:p>
    <w:p w14:paraId="13C6F8FA" w14:textId="77777777" w:rsidR="007C344D" w:rsidRPr="00DB6C99" w:rsidRDefault="007C344D" w:rsidP="007C344D">
      <w:pPr>
        <w:widowControl w:val="0"/>
        <w:kinsoku w:val="0"/>
        <w:overflowPunct w:val="0"/>
        <w:autoSpaceDE w:val="0"/>
        <w:autoSpaceDN w:val="0"/>
        <w:adjustRightInd w:val="0"/>
        <w:spacing w:after="0" w:line="240" w:lineRule="auto"/>
        <w:jc w:val="both"/>
        <w:rPr>
          <w:rFonts w:ascii="Garamond" w:hAnsi="Garamond"/>
          <w:sz w:val="20"/>
          <w:szCs w:val="18"/>
        </w:rPr>
      </w:pPr>
      <w:r w:rsidRPr="00DB6C99">
        <w:rPr>
          <w:rFonts w:ascii="Garamond" w:hAnsi="Garamond"/>
          <w:sz w:val="20"/>
          <w:szCs w:val="18"/>
        </w:rPr>
        <w:t xml:space="preserve">*,**, *** Represent significance at 0.1, 0.05 and 0.01 levels, respectively. </w:t>
      </w:r>
      <w:r w:rsidRPr="00DB6C99">
        <w:rPr>
          <w:rFonts w:ascii="Garamond" w:hAnsi="Garamond"/>
          <w:sz w:val="20"/>
          <w:szCs w:val="20"/>
        </w:rPr>
        <w:t>T statistics are given in parenthesis.</w:t>
      </w:r>
    </w:p>
    <w:p w14:paraId="534A54B5" w14:textId="77777777" w:rsidR="007C344D" w:rsidRPr="00DB6C99" w:rsidRDefault="007C344D" w:rsidP="007C344D">
      <w:pPr>
        <w:spacing w:after="0" w:line="240" w:lineRule="auto"/>
        <w:rPr>
          <w:rFonts w:ascii="Garamond" w:hAnsi="Garamond"/>
        </w:rPr>
      </w:pPr>
      <w:r w:rsidRPr="00DB6C99">
        <w:rPr>
          <w:rFonts w:ascii="Garamond" w:hAnsi="Garamond"/>
          <w:sz w:val="20"/>
          <w:szCs w:val="18"/>
        </w:rPr>
        <w:t>All variables are as defined in Table 1.</w:t>
      </w:r>
    </w:p>
    <w:p w14:paraId="65A0977F" w14:textId="77777777" w:rsidR="007C344D" w:rsidRPr="00DB6C99" w:rsidRDefault="007C344D" w:rsidP="007C344D">
      <w:pPr>
        <w:spacing w:after="0" w:line="240" w:lineRule="auto"/>
        <w:rPr>
          <w:rFonts w:ascii="Garamond" w:hAnsi="Garamond"/>
        </w:rPr>
      </w:pPr>
      <w:r w:rsidRPr="00DB6C99">
        <w:rPr>
          <w:rFonts w:ascii="Garamond" w:hAnsi="Garamond"/>
        </w:rPr>
        <w:br w:type="page"/>
      </w:r>
    </w:p>
    <w:p w14:paraId="5CE0DD32" w14:textId="77777777" w:rsidR="007C344D" w:rsidRPr="00DB6C99" w:rsidRDefault="007C344D" w:rsidP="007C344D">
      <w:pPr>
        <w:pStyle w:val="Caption"/>
        <w:spacing w:after="0"/>
        <w:jc w:val="both"/>
        <w:rPr>
          <w:rFonts w:ascii="Garamond" w:hAnsi="Garamond"/>
          <w:b w:val="0"/>
          <w:bCs w:val="0"/>
          <w:szCs w:val="24"/>
        </w:rPr>
      </w:pPr>
      <w:r w:rsidRPr="00DB6C99">
        <w:rPr>
          <w:rFonts w:ascii="Garamond" w:hAnsi="Garamond"/>
          <w:szCs w:val="24"/>
        </w:rPr>
        <w:lastRenderedPageBreak/>
        <w:t>Table 9:</w:t>
      </w:r>
      <w:r w:rsidRPr="00DB6C99">
        <w:rPr>
          <w:rFonts w:ascii="Garamond" w:hAnsi="Garamond"/>
          <w:spacing w:val="-1"/>
          <w:szCs w:val="24"/>
        </w:rPr>
        <w:t xml:space="preserve"> </w:t>
      </w:r>
      <w:r w:rsidRPr="00DB6C99">
        <w:rPr>
          <w:rFonts w:ascii="Garamond" w:hAnsi="Garamond"/>
          <w:b w:val="0"/>
          <w:bCs w:val="0"/>
          <w:szCs w:val="24"/>
        </w:rPr>
        <w:t>Results using alternate measure of CSR gap</w:t>
      </w:r>
    </w:p>
    <w:tbl>
      <w:tblPr>
        <w:tblW w:w="0" w:type="auto"/>
        <w:jc w:val="center"/>
        <w:tblLayout w:type="fixed"/>
        <w:tblCellMar>
          <w:left w:w="75" w:type="dxa"/>
          <w:right w:w="75" w:type="dxa"/>
        </w:tblCellMar>
        <w:tblLook w:val="0000" w:firstRow="0" w:lastRow="0" w:firstColumn="0" w:lastColumn="0" w:noHBand="0" w:noVBand="0"/>
      </w:tblPr>
      <w:tblGrid>
        <w:gridCol w:w="1947"/>
        <w:gridCol w:w="1923"/>
        <w:gridCol w:w="1890"/>
        <w:gridCol w:w="1800"/>
        <w:gridCol w:w="1710"/>
      </w:tblGrid>
      <w:tr w:rsidR="00DB6C99" w:rsidRPr="00DB6C99" w14:paraId="3E70F3AC" w14:textId="77777777" w:rsidTr="007C344D">
        <w:trPr>
          <w:jc w:val="center"/>
        </w:trPr>
        <w:tc>
          <w:tcPr>
            <w:tcW w:w="1947" w:type="dxa"/>
            <w:tcBorders>
              <w:top w:val="single" w:sz="6" w:space="0" w:color="auto"/>
              <w:left w:val="nil"/>
              <w:bottom w:val="nil"/>
              <w:right w:val="nil"/>
            </w:tcBorders>
          </w:tcPr>
          <w:p w14:paraId="39929CE2"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7323" w:type="dxa"/>
            <w:gridSpan w:val="4"/>
            <w:tcBorders>
              <w:top w:val="single" w:sz="6" w:space="0" w:color="auto"/>
              <w:left w:val="nil"/>
              <w:bottom w:val="single" w:sz="6" w:space="0" w:color="auto"/>
              <w:right w:val="nil"/>
            </w:tcBorders>
          </w:tcPr>
          <w:p w14:paraId="48995C26" w14:textId="77777777" w:rsidR="007C344D" w:rsidRPr="00DB6C99" w:rsidRDefault="007C344D" w:rsidP="007C344D">
            <w:pPr>
              <w:widowControl w:val="0"/>
              <w:autoSpaceDE w:val="0"/>
              <w:autoSpaceDN w:val="0"/>
              <w:adjustRightInd w:val="0"/>
              <w:spacing w:after="0" w:line="240" w:lineRule="auto"/>
              <w:jc w:val="center"/>
              <w:rPr>
                <w:rFonts w:ascii="Garamond" w:hAnsi="Garamond"/>
                <w:i/>
                <w:iCs/>
                <w:sz w:val="20"/>
                <w:szCs w:val="20"/>
              </w:rPr>
            </w:pPr>
            <w:r w:rsidRPr="00DB6C99">
              <w:rPr>
                <w:rFonts w:ascii="Garamond" w:hAnsi="Garamond"/>
                <w:i/>
                <w:iCs/>
                <w:sz w:val="20"/>
                <w:szCs w:val="20"/>
              </w:rPr>
              <w:t>GAP1</w:t>
            </w:r>
            <w:r w:rsidRPr="00DB6C99">
              <w:rPr>
                <w:rStyle w:val="FootnoteReference"/>
                <w:rFonts w:ascii="Garamond" w:hAnsi="Garamond"/>
                <w:bCs/>
                <w:i/>
                <w:iCs/>
                <w:sz w:val="20"/>
                <w:szCs w:val="20"/>
              </w:rPr>
              <w:footnoteReference w:id="11"/>
            </w:r>
          </w:p>
        </w:tc>
      </w:tr>
      <w:tr w:rsidR="00DB6C99" w:rsidRPr="00DB6C99" w14:paraId="25C7C903" w14:textId="77777777" w:rsidTr="007C344D">
        <w:trPr>
          <w:jc w:val="center"/>
        </w:trPr>
        <w:tc>
          <w:tcPr>
            <w:tcW w:w="1947" w:type="dxa"/>
            <w:tcBorders>
              <w:top w:val="nil"/>
              <w:left w:val="nil"/>
              <w:bottom w:val="single" w:sz="6" w:space="0" w:color="auto"/>
              <w:right w:val="nil"/>
            </w:tcBorders>
          </w:tcPr>
          <w:p w14:paraId="0E40ED79"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sz w:val="20"/>
                <w:szCs w:val="20"/>
              </w:rPr>
              <w:t>VARIABLES</w:t>
            </w:r>
          </w:p>
        </w:tc>
        <w:tc>
          <w:tcPr>
            <w:tcW w:w="1923" w:type="dxa"/>
            <w:tcBorders>
              <w:top w:val="single" w:sz="6" w:space="0" w:color="auto"/>
              <w:left w:val="nil"/>
              <w:bottom w:val="single" w:sz="6" w:space="0" w:color="auto"/>
              <w:right w:val="nil"/>
            </w:tcBorders>
          </w:tcPr>
          <w:p w14:paraId="6BE2E23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b/>
                <w:sz w:val="20"/>
                <w:szCs w:val="20"/>
              </w:rPr>
              <w:t>FE</w:t>
            </w:r>
          </w:p>
        </w:tc>
        <w:tc>
          <w:tcPr>
            <w:tcW w:w="1890" w:type="dxa"/>
            <w:tcBorders>
              <w:top w:val="single" w:sz="6" w:space="0" w:color="auto"/>
              <w:left w:val="nil"/>
              <w:bottom w:val="single" w:sz="6" w:space="0" w:color="auto"/>
              <w:right w:val="nil"/>
            </w:tcBorders>
          </w:tcPr>
          <w:p w14:paraId="7A0D5F1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b/>
                <w:sz w:val="20"/>
                <w:szCs w:val="20"/>
              </w:rPr>
              <w:t>Lagged-FE</w:t>
            </w:r>
          </w:p>
        </w:tc>
        <w:tc>
          <w:tcPr>
            <w:tcW w:w="1800" w:type="dxa"/>
            <w:tcBorders>
              <w:top w:val="single" w:sz="6" w:space="0" w:color="auto"/>
              <w:left w:val="nil"/>
              <w:bottom w:val="single" w:sz="6" w:space="0" w:color="auto"/>
              <w:right w:val="nil"/>
            </w:tcBorders>
          </w:tcPr>
          <w:p w14:paraId="6E0548E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b/>
                <w:sz w:val="20"/>
                <w:szCs w:val="20"/>
              </w:rPr>
              <w:t>OLS</w:t>
            </w:r>
          </w:p>
        </w:tc>
        <w:tc>
          <w:tcPr>
            <w:tcW w:w="1710" w:type="dxa"/>
            <w:tcBorders>
              <w:top w:val="single" w:sz="6" w:space="0" w:color="auto"/>
              <w:left w:val="nil"/>
              <w:bottom w:val="single" w:sz="6" w:space="0" w:color="auto"/>
              <w:right w:val="nil"/>
            </w:tcBorders>
          </w:tcPr>
          <w:p w14:paraId="5BCB6AA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b/>
                <w:sz w:val="20"/>
                <w:szCs w:val="20"/>
              </w:rPr>
              <w:t>Lagged-OLS</w:t>
            </w:r>
          </w:p>
        </w:tc>
      </w:tr>
      <w:tr w:rsidR="00DB6C99" w:rsidRPr="00DB6C99" w14:paraId="5C0E6A71" w14:textId="77777777" w:rsidTr="007C344D">
        <w:trPr>
          <w:jc w:val="center"/>
        </w:trPr>
        <w:tc>
          <w:tcPr>
            <w:tcW w:w="1947" w:type="dxa"/>
            <w:tcBorders>
              <w:top w:val="nil"/>
              <w:left w:val="nil"/>
              <w:bottom w:val="nil"/>
              <w:right w:val="nil"/>
            </w:tcBorders>
          </w:tcPr>
          <w:p w14:paraId="7C7735FA"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rPr>
              <w:t>FPRO</w:t>
            </w:r>
          </w:p>
        </w:tc>
        <w:tc>
          <w:tcPr>
            <w:tcW w:w="1923" w:type="dxa"/>
            <w:tcBorders>
              <w:top w:val="nil"/>
              <w:left w:val="nil"/>
              <w:bottom w:val="nil"/>
              <w:right w:val="nil"/>
            </w:tcBorders>
          </w:tcPr>
          <w:p w14:paraId="045EB96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-0.071*</w:t>
            </w:r>
          </w:p>
        </w:tc>
        <w:tc>
          <w:tcPr>
            <w:tcW w:w="1890" w:type="dxa"/>
            <w:tcBorders>
              <w:top w:val="nil"/>
              <w:left w:val="nil"/>
              <w:bottom w:val="nil"/>
              <w:right w:val="nil"/>
            </w:tcBorders>
          </w:tcPr>
          <w:p w14:paraId="40FA4D9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-0.058</w:t>
            </w:r>
          </w:p>
        </w:tc>
        <w:tc>
          <w:tcPr>
            <w:tcW w:w="1800" w:type="dxa"/>
            <w:tcBorders>
              <w:top w:val="nil"/>
              <w:left w:val="nil"/>
              <w:bottom w:val="nil"/>
              <w:right w:val="nil"/>
            </w:tcBorders>
          </w:tcPr>
          <w:p w14:paraId="5D7FC97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-0.203***</w:t>
            </w:r>
          </w:p>
        </w:tc>
        <w:tc>
          <w:tcPr>
            <w:tcW w:w="1710" w:type="dxa"/>
            <w:tcBorders>
              <w:top w:val="nil"/>
              <w:left w:val="nil"/>
              <w:bottom w:val="nil"/>
              <w:right w:val="nil"/>
            </w:tcBorders>
          </w:tcPr>
          <w:p w14:paraId="0A61914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-0.180***</w:t>
            </w:r>
          </w:p>
        </w:tc>
      </w:tr>
      <w:tr w:rsidR="00DB6C99" w:rsidRPr="00DB6C99" w14:paraId="033285E3" w14:textId="77777777" w:rsidTr="007C344D">
        <w:trPr>
          <w:jc w:val="center"/>
        </w:trPr>
        <w:tc>
          <w:tcPr>
            <w:tcW w:w="1947" w:type="dxa"/>
            <w:tcBorders>
              <w:top w:val="nil"/>
              <w:left w:val="nil"/>
              <w:bottom w:val="nil"/>
              <w:right w:val="nil"/>
            </w:tcBorders>
          </w:tcPr>
          <w:p w14:paraId="3016463F"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923" w:type="dxa"/>
            <w:tcBorders>
              <w:top w:val="nil"/>
              <w:left w:val="nil"/>
              <w:bottom w:val="nil"/>
              <w:right w:val="nil"/>
            </w:tcBorders>
          </w:tcPr>
          <w:p w14:paraId="6191A68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(-1.85)</w:t>
            </w:r>
          </w:p>
        </w:tc>
        <w:tc>
          <w:tcPr>
            <w:tcW w:w="1890" w:type="dxa"/>
            <w:tcBorders>
              <w:top w:val="nil"/>
              <w:left w:val="nil"/>
              <w:bottom w:val="nil"/>
              <w:right w:val="nil"/>
            </w:tcBorders>
          </w:tcPr>
          <w:p w14:paraId="2BAE08A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(-1.41)</w:t>
            </w:r>
          </w:p>
        </w:tc>
        <w:tc>
          <w:tcPr>
            <w:tcW w:w="1800" w:type="dxa"/>
            <w:tcBorders>
              <w:top w:val="nil"/>
              <w:left w:val="nil"/>
              <w:bottom w:val="nil"/>
              <w:right w:val="nil"/>
            </w:tcBorders>
          </w:tcPr>
          <w:p w14:paraId="4E8F657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(-6.99)</w:t>
            </w:r>
          </w:p>
        </w:tc>
        <w:tc>
          <w:tcPr>
            <w:tcW w:w="1710" w:type="dxa"/>
            <w:tcBorders>
              <w:top w:val="nil"/>
              <w:left w:val="nil"/>
              <w:bottom w:val="nil"/>
              <w:right w:val="nil"/>
            </w:tcBorders>
          </w:tcPr>
          <w:p w14:paraId="6E3505F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(-5.70)</w:t>
            </w:r>
          </w:p>
        </w:tc>
      </w:tr>
      <w:tr w:rsidR="00DB6C99" w:rsidRPr="00DB6C99" w14:paraId="16F74EE3" w14:textId="77777777" w:rsidTr="007C344D">
        <w:trPr>
          <w:jc w:val="center"/>
        </w:trPr>
        <w:tc>
          <w:tcPr>
            <w:tcW w:w="1947" w:type="dxa"/>
            <w:tcBorders>
              <w:top w:val="nil"/>
              <w:left w:val="nil"/>
              <w:bottom w:val="nil"/>
              <w:right w:val="nil"/>
            </w:tcBorders>
          </w:tcPr>
          <w:p w14:paraId="44470EEF"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lang w:val="en-GB"/>
              </w:rPr>
              <w:t>BSIZE</w:t>
            </w:r>
          </w:p>
        </w:tc>
        <w:tc>
          <w:tcPr>
            <w:tcW w:w="1923" w:type="dxa"/>
            <w:tcBorders>
              <w:top w:val="nil"/>
              <w:left w:val="nil"/>
              <w:bottom w:val="nil"/>
              <w:right w:val="nil"/>
            </w:tcBorders>
          </w:tcPr>
          <w:p w14:paraId="7514CCE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-0.010</w:t>
            </w:r>
          </w:p>
        </w:tc>
        <w:tc>
          <w:tcPr>
            <w:tcW w:w="1890" w:type="dxa"/>
            <w:tcBorders>
              <w:top w:val="nil"/>
              <w:left w:val="nil"/>
              <w:bottom w:val="nil"/>
              <w:right w:val="nil"/>
            </w:tcBorders>
          </w:tcPr>
          <w:p w14:paraId="3A04AD5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-0.066***</w:t>
            </w:r>
          </w:p>
        </w:tc>
        <w:tc>
          <w:tcPr>
            <w:tcW w:w="1800" w:type="dxa"/>
            <w:tcBorders>
              <w:top w:val="nil"/>
              <w:left w:val="nil"/>
              <w:bottom w:val="nil"/>
              <w:right w:val="nil"/>
            </w:tcBorders>
          </w:tcPr>
          <w:p w14:paraId="607B38D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-0.087***</w:t>
            </w:r>
          </w:p>
        </w:tc>
        <w:tc>
          <w:tcPr>
            <w:tcW w:w="1710" w:type="dxa"/>
            <w:tcBorders>
              <w:top w:val="nil"/>
              <w:left w:val="nil"/>
              <w:bottom w:val="nil"/>
              <w:right w:val="nil"/>
            </w:tcBorders>
          </w:tcPr>
          <w:p w14:paraId="723FDC6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-0.098***</w:t>
            </w:r>
          </w:p>
        </w:tc>
      </w:tr>
      <w:tr w:rsidR="00DB6C99" w:rsidRPr="00DB6C99" w14:paraId="3EA5D36C" w14:textId="77777777" w:rsidTr="007C344D">
        <w:trPr>
          <w:jc w:val="center"/>
        </w:trPr>
        <w:tc>
          <w:tcPr>
            <w:tcW w:w="1947" w:type="dxa"/>
            <w:tcBorders>
              <w:top w:val="nil"/>
              <w:left w:val="nil"/>
              <w:bottom w:val="nil"/>
              <w:right w:val="nil"/>
            </w:tcBorders>
          </w:tcPr>
          <w:p w14:paraId="289A0A7F"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923" w:type="dxa"/>
            <w:tcBorders>
              <w:top w:val="nil"/>
              <w:left w:val="nil"/>
              <w:bottom w:val="nil"/>
              <w:right w:val="nil"/>
            </w:tcBorders>
          </w:tcPr>
          <w:p w14:paraId="38916E2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(-0.50)</w:t>
            </w:r>
          </w:p>
        </w:tc>
        <w:tc>
          <w:tcPr>
            <w:tcW w:w="1890" w:type="dxa"/>
            <w:tcBorders>
              <w:top w:val="nil"/>
              <w:left w:val="nil"/>
              <w:bottom w:val="nil"/>
              <w:right w:val="nil"/>
            </w:tcBorders>
          </w:tcPr>
          <w:p w14:paraId="3E3C652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(-3.33)</w:t>
            </w:r>
          </w:p>
        </w:tc>
        <w:tc>
          <w:tcPr>
            <w:tcW w:w="1800" w:type="dxa"/>
            <w:tcBorders>
              <w:top w:val="nil"/>
              <w:left w:val="nil"/>
              <w:bottom w:val="nil"/>
              <w:right w:val="nil"/>
            </w:tcBorders>
          </w:tcPr>
          <w:p w14:paraId="2E005FF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(-5.99)</w:t>
            </w:r>
          </w:p>
        </w:tc>
        <w:tc>
          <w:tcPr>
            <w:tcW w:w="1710" w:type="dxa"/>
            <w:tcBorders>
              <w:top w:val="nil"/>
              <w:left w:val="nil"/>
              <w:bottom w:val="nil"/>
              <w:right w:val="nil"/>
            </w:tcBorders>
          </w:tcPr>
          <w:p w14:paraId="5F6EF47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(-6.38)</w:t>
            </w:r>
          </w:p>
        </w:tc>
      </w:tr>
      <w:tr w:rsidR="00DB6C99" w:rsidRPr="00DB6C99" w14:paraId="3A432DFF" w14:textId="77777777" w:rsidTr="007C344D">
        <w:trPr>
          <w:jc w:val="center"/>
        </w:trPr>
        <w:tc>
          <w:tcPr>
            <w:tcW w:w="1947" w:type="dxa"/>
            <w:tcBorders>
              <w:top w:val="nil"/>
              <w:left w:val="nil"/>
              <w:bottom w:val="nil"/>
              <w:right w:val="nil"/>
            </w:tcBorders>
          </w:tcPr>
          <w:p w14:paraId="7AACADAC"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lang w:val="en-GB"/>
              </w:rPr>
              <w:t>BIND</w:t>
            </w:r>
          </w:p>
        </w:tc>
        <w:tc>
          <w:tcPr>
            <w:tcW w:w="1923" w:type="dxa"/>
            <w:tcBorders>
              <w:top w:val="nil"/>
              <w:left w:val="nil"/>
              <w:bottom w:val="nil"/>
              <w:right w:val="nil"/>
            </w:tcBorders>
          </w:tcPr>
          <w:p w14:paraId="4D8F9EB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-0.032</w:t>
            </w:r>
          </w:p>
        </w:tc>
        <w:tc>
          <w:tcPr>
            <w:tcW w:w="1890" w:type="dxa"/>
            <w:tcBorders>
              <w:top w:val="nil"/>
              <w:left w:val="nil"/>
              <w:bottom w:val="nil"/>
              <w:right w:val="nil"/>
            </w:tcBorders>
          </w:tcPr>
          <w:p w14:paraId="19C8967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0.115**</w:t>
            </w:r>
          </w:p>
        </w:tc>
        <w:tc>
          <w:tcPr>
            <w:tcW w:w="1800" w:type="dxa"/>
            <w:tcBorders>
              <w:top w:val="nil"/>
              <w:left w:val="nil"/>
              <w:bottom w:val="nil"/>
              <w:right w:val="nil"/>
            </w:tcBorders>
          </w:tcPr>
          <w:p w14:paraId="3F403D3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-0.036</w:t>
            </w:r>
          </w:p>
        </w:tc>
        <w:tc>
          <w:tcPr>
            <w:tcW w:w="1710" w:type="dxa"/>
            <w:tcBorders>
              <w:top w:val="nil"/>
              <w:left w:val="nil"/>
              <w:bottom w:val="nil"/>
              <w:right w:val="nil"/>
            </w:tcBorders>
          </w:tcPr>
          <w:p w14:paraId="1E799B2F"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0.040</w:t>
            </w:r>
          </w:p>
        </w:tc>
      </w:tr>
      <w:tr w:rsidR="00DB6C99" w:rsidRPr="00DB6C99" w14:paraId="5A0257C9" w14:textId="77777777" w:rsidTr="007C344D">
        <w:trPr>
          <w:jc w:val="center"/>
        </w:trPr>
        <w:tc>
          <w:tcPr>
            <w:tcW w:w="1947" w:type="dxa"/>
            <w:tcBorders>
              <w:top w:val="nil"/>
              <w:left w:val="nil"/>
              <w:bottom w:val="nil"/>
              <w:right w:val="nil"/>
            </w:tcBorders>
          </w:tcPr>
          <w:p w14:paraId="3E4853E6"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923" w:type="dxa"/>
            <w:tcBorders>
              <w:top w:val="nil"/>
              <w:left w:val="nil"/>
              <w:bottom w:val="nil"/>
              <w:right w:val="nil"/>
            </w:tcBorders>
          </w:tcPr>
          <w:p w14:paraId="77C7643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(-0.60)</w:t>
            </w:r>
          </w:p>
        </w:tc>
        <w:tc>
          <w:tcPr>
            <w:tcW w:w="1890" w:type="dxa"/>
            <w:tcBorders>
              <w:top w:val="nil"/>
              <w:left w:val="nil"/>
              <w:bottom w:val="nil"/>
              <w:right w:val="nil"/>
            </w:tcBorders>
          </w:tcPr>
          <w:p w14:paraId="375D4F2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(2.11)</w:t>
            </w:r>
          </w:p>
        </w:tc>
        <w:tc>
          <w:tcPr>
            <w:tcW w:w="1800" w:type="dxa"/>
            <w:tcBorders>
              <w:top w:val="nil"/>
              <w:left w:val="nil"/>
              <w:bottom w:val="nil"/>
              <w:right w:val="nil"/>
            </w:tcBorders>
          </w:tcPr>
          <w:p w14:paraId="11B260A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(-0.93)</w:t>
            </w:r>
          </w:p>
        </w:tc>
        <w:tc>
          <w:tcPr>
            <w:tcW w:w="1710" w:type="dxa"/>
            <w:tcBorders>
              <w:top w:val="nil"/>
              <w:left w:val="nil"/>
              <w:bottom w:val="nil"/>
              <w:right w:val="nil"/>
            </w:tcBorders>
          </w:tcPr>
          <w:p w14:paraId="033316E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(0.98)</w:t>
            </w:r>
          </w:p>
        </w:tc>
      </w:tr>
      <w:tr w:rsidR="00DB6C99" w:rsidRPr="00DB6C99" w14:paraId="5DFE30B0" w14:textId="77777777" w:rsidTr="007C344D">
        <w:trPr>
          <w:jc w:val="center"/>
        </w:trPr>
        <w:tc>
          <w:tcPr>
            <w:tcW w:w="1947" w:type="dxa"/>
            <w:tcBorders>
              <w:top w:val="nil"/>
              <w:left w:val="nil"/>
              <w:bottom w:val="nil"/>
              <w:right w:val="nil"/>
            </w:tcBorders>
          </w:tcPr>
          <w:p w14:paraId="26EE98E2"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lang w:val="en-GB"/>
              </w:rPr>
              <w:t>BMEET</w:t>
            </w:r>
          </w:p>
        </w:tc>
        <w:tc>
          <w:tcPr>
            <w:tcW w:w="1923" w:type="dxa"/>
            <w:tcBorders>
              <w:top w:val="nil"/>
              <w:left w:val="nil"/>
              <w:bottom w:val="nil"/>
              <w:right w:val="nil"/>
            </w:tcBorders>
          </w:tcPr>
          <w:p w14:paraId="2A6BDEEF"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-0.001</w:t>
            </w:r>
          </w:p>
        </w:tc>
        <w:tc>
          <w:tcPr>
            <w:tcW w:w="1890" w:type="dxa"/>
            <w:tcBorders>
              <w:top w:val="nil"/>
              <w:left w:val="nil"/>
              <w:bottom w:val="nil"/>
              <w:right w:val="nil"/>
            </w:tcBorders>
          </w:tcPr>
          <w:p w14:paraId="07543F9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0.006</w:t>
            </w:r>
          </w:p>
        </w:tc>
        <w:tc>
          <w:tcPr>
            <w:tcW w:w="1800" w:type="dxa"/>
            <w:tcBorders>
              <w:top w:val="nil"/>
              <w:left w:val="nil"/>
              <w:bottom w:val="nil"/>
              <w:right w:val="nil"/>
            </w:tcBorders>
          </w:tcPr>
          <w:p w14:paraId="4617F8E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-0.010</w:t>
            </w:r>
          </w:p>
        </w:tc>
        <w:tc>
          <w:tcPr>
            <w:tcW w:w="1710" w:type="dxa"/>
            <w:tcBorders>
              <w:top w:val="nil"/>
              <w:left w:val="nil"/>
              <w:bottom w:val="nil"/>
              <w:right w:val="nil"/>
            </w:tcBorders>
          </w:tcPr>
          <w:p w14:paraId="20B5154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-0.004</w:t>
            </w:r>
          </w:p>
        </w:tc>
      </w:tr>
      <w:tr w:rsidR="00DB6C99" w:rsidRPr="00DB6C99" w14:paraId="39D32BB2" w14:textId="77777777" w:rsidTr="007C344D">
        <w:trPr>
          <w:jc w:val="center"/>
        </w:trPr>
        <w:tc>
          <w:tcPr>
            <w:tcW w:w="1947" w:type="dxa"/>
            <w:tcBorders>
              <w:top w:val="nil"/>
              <w:left w:val="nil"/>
              <w:bottom w:val="nil"/>
              <w:right w:val="nil"/>
            </w:tcBorders>
          </w:tcPr>
          <w:p w14:paraId="7B9EBF5A"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923" w:type="dxa"/>
            <w:tcBorders>
              <w:top w:val="nil"/>
              <w:left w:val="nil"/>
              <w:bottom w:val="nil"/>
              <w:right w:val="nil"/>
            </w:tcBorders>
          </w:tcPr>
          <w:p w14:paraId="141FE3B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(-0.16)</w:t>
            </w:r>
          </w:p>
        </w:tc>
        <w:tc>
          <w:tcPr>
            <w:tcW w:w="1890" w:type="dxa"/>
            <w:tcBorders>
              <w:top w:val="nil"/>
              <w:left w:val="nil"/>
              <w:bottom w:val="nil"/>
              <w:right w:val="nil"/>
            </w:tcBorders>
          </w:tcPr>
          <w:p w14:paraId="266FE5C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(0.75)</w:t>
            </w:r>
          </w:p>
        </w:tc>
        <w:tc>
          <w:tcPr>
            <w:tcW w:w="1800" w:type="dxa"/>
            <w:tcBorders>
              <w:top w:val="nil"/>
              <w:left w:val="nil"/>
              <w:bottom w:val="nil"/>
              <w:right w:val="nil"/>
            </w:tcBorders>
          </w:tcPr>
          <w:p w14:paraId="2DCEFEA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(-1.37)</w:t>
            </w:r>
          </w:p>
        </w:tc>
        <w:tc>
          <w:tcPr>
            <w:tcW w:w="1710" w:type="dxa"/>
            <w:tcBorders>
              <w:top w:val="nil"/>
              <w:left w:val="nil"/>
              <w:bottom w:val="nil"/>
              <w:right w:val="nil"/>
            </w:tcBorders>
          </w:tcPr>
          <w:p w14:paraId="790B193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(-0.52)</w:t>
            </w:r>
          </w:p>
        </w:tc>
      </w:tr>
      <w:tr w:rsidR="00DB6C99" w:rsidRPr="00DB6C99" w14:paraId="575866D7" w14:textId="77777777" w:rsidTr="007C344D">
        <w:trPr>
          <w:jc w:val="center"/>
        </w:trPr>
        <w:tc>
          <w:tcPr>
            <w:tcW w:w="1947" w:type="dxa"/>
            <w:tcBorders>
              <w:top w:val="nil"/>
              <w:left w:val="nil"/>
              <w:bottom w:val="nil"/>
              <w:right w:val="nil"/>
            </w:tcBorders>
          </w:tcPr>
          <w:p w14:paraId="754027E6"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lang w:val="en-GB"/>
              </w:rPr>
              <w:t>DUAL</w:t>
            </w:r>
          </w:p>
        </w:tc>
        <w:tc>
          <w:tcPr>
            <w:tcW w:w="1923" w:type="dxa"/>
            <w:tcBorders>
              <w:top w:val="nil"/>
              <w:left w:val="nil"/>
              <w:bottom w:val="nil"/>
              <w:right w:val="nil"/>
            </w:tcBorders>
          </w:tcPr>
          <w:p w14:paraId="3947936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0.003</w:t>
            </w:r>
          </w:p>
        </w:tc>
        <w:tc>
          <w:tcPr>
            <w:tcW w:w="1890" w:type="dxa"/>
            <w:tcBorders>
              <w:top w:val="nil"/>
              <w:left w:val="nil"/>
              <w:bottom w:val="nil"/>
              <w:right w:val="nil"/>
            </w:tcBorders>
          </w:tcPr>
          <w:p w14:paraId="09EE78D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0.001</w:t>
            </w:r>
          </w:p>
        </w:tc>
        <w:tc>
          <w:tcPr>
            <w:tcW w:w="1800" w:type="dxa"/>
            <w:tcBorders>
              <w:top w:val="nil"/>
              <w:left w:val="nil"/>
              <w:bottom w:val="nil"/>
              <w:right w:val="nil"/>
            </w:tcBorders>
          </w:tcPr>
          <w:p w14:paraId="1C9D855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-0.002</w:t>
            </w:r>
          </w:p>
        </w:tc>
        <w:tc>
          <w:tcPr>
            <w:tcW w:w="1710" w:type="dxa"/>
            <w:tcBorders>
              <w:top w:val="nil"/>
              <w:left w:val="nil"/>
              <w:bottom w:val="nil"/>
              <w:right w:val="nil"/>
            </w:tcBorders>
          </w:tcPr>
          <w:p w14:paraId="6211939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0.003</w:t>
            </w:r>
          </w:p>
        </w:tc>
      </w:tr>
      <w:tr w:rsidR="00DB6C99" w:rsidRPr="00DB6C99" w14:paraId="15EAE540" w14:textId="77777777" w:rsidTr="007C344D">
        <w:trPr>
          <w:jc w:val="center"/>
        </w:trPr>
        <w:tc>
          <w:tcPr>
            <w:tcW w:w="1947" w:type="dxa"/>
            <w:tcBorders>
              <w:top w:val="nil"/>
              <w:left w:val="nil"/>
              <w:bottom w:val="nil"/>
              <w:right w:val="nil"/>
            </w:tcBorders>
          </w:tcPr>
          <w:p w14:paraId="756E3585"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923" w:type="dxa"/>
            <w:tcBorders>
              <w:top w:val="nil"/>
              <w:left w:val="nil"/>
              <w:bottom w:val="nil"/>
              <w:right w:val="nil"/>
            </w:tcBorders>
          </w:tcPr>
          <w:p w14:paraId="2008335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(0.48)</w:t>
            </w:r>
          </w:p>
        </w:tc>
        <w:tc>
          <w:tcPr>
            <w:tcW w:w="1890" w:type="dxa"/>
            <w:tcBorders>
              <w:top w:val="nil"/>
              <w:left w:val="nil"/>
              <w:bottom w:val="nil"/>
              <w:right w:val="nil"/>
            </w:tcBorders>
          </w:tcPr>
          <w:p w14:paraId="75A66C8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(0.14)</w:t>
            </w:r>
          </w:p>
        </w:tc>
        <w:tc>
          <w:tcPr>
            <w:tcW w:w="1800" w:type="dxa"/>
            <w:tcBorders>
              <w:top w:val="nil"/>
              <w:left w:val="nil"/>
              <w:bottom w:val="nil"/>
              <w:right w:val="nil"/>
            </w:tcBorders>
          </w:tcPr>
          <w:p w14:paraId="0C9EE57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(-0.27)</w:t>
            </w:r>
          </w:p>
        </w:tc>
        <w:tc>
          <w:tcPr>
            <w:tcW w:w="1710" w:type="dxa"/>
            <w:tcBorders>
              <w:top w:val="nil"/>
              <w:left w:val="nil"/>
              <w:bottom w:val="nil"/>
              <w:right w:val="nil"/>
            </w:tcBorders>
          </w:tcPr>
          <w:p w14:paraId="46D5DF7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(0.55)</w:t>
            </w:r>
          </w:p>
        </w:tc>
      </w:tr>
      <w:tr w:rsidR="00DB6C99" w:rsidRPr="00DB6C99" w14:paraId="3C23B580" w14:textId="77777777" w:rsidTr="007C344D">
        <w:trPr>
          <w:jc w:val="center"/>
        </w:trPr>
        <w:tc>
          <w:tcPr>
            <w:tcW w:w="1947" w:type="dxa"/>
            <w:tcBorders>
              <w:top w:val="nil"/>
              <w:left w:val="nil"/>
              <w:bottom w:val="nil"/>
              <w:right w:val="nil"/>
            </w:tcBorders>
          </w:tcPr>
          <w:p w14:paraId="6F6975E1"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lang w:val="en-GB"/>
              </w:rPr>
              <w:t>PM</w:t>
            </w:r>
          </w:p>
        </w:tc>
        <w:tc>
          <w:tcPr>
            <w:tcW w:w="1923" w:type="dxa"/>
            <w:tcBorders>
              <w:top w:val="nil"/>
              <w:left w:val="nil"/>
              <w:bottom w:val="nil"/>
              <w:right w:val="nil"/>
            </w:tcBorders>
          </w:tcPr>
          <w:p w14:paraId="3BDC2A5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0.044*</w:t>
            </w:r>
          </w:p>
        </w:tc>
        <w:tc>
          <w:tcPr>
            <w:tcW w:w="1890" w:type="dxa"/>
            <w:tcBorders>
              <w:top w:val="nil"/>
              <w:left w:val="nil"/>
              <w:bottom w:val="nil"/>
              <w:right w:val="nil"/>
            </w:tcBorders>
          </w:tcPr>
          <w:p w14:paraId="0850C07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0.041</w:t>
            </w:r>
          </w:p>
        </w:tc>
        <w:tc>
          <w:tcPr>
            <w:tcW w:w="1800" w:type="dxa"/>
            <w:tcBorders>
              <w:top w:val="nil"/>
              <w:left w:val="nil"/>
              <w:bottom w:val="nil"/>
              <w:right w:val="nil"/>
            </w:tcBorders>
          </w:tcPr>
          <w:p w14:paraId="1CF3866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0.055**</w:t>
            </w:r>
          </w:p>
        </w:tc>
        <w:tc>
          <w:tcPr>
            <w:tcW w:w="1710" w:type="dxa"/>
            <w:tcBorders>
              <w:top w:val="nil"/>
              <w:left w:val="nil"/>
              <w:bottom w:val="nil"/>
              <w:right w:val="nil"/>
            </w:tcBorders>
          </w:tcPr>
          <w:p w14:paraId="457888C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0.046*</w:t>
            </w:r>
          </w:p>
        </w:tc>
      </w:tr>
      <w:tr w:rsidR="00DB6C99" w:rsidRPr="00DB6C99" w14:paraId="2DFE9C7D" w14:textId="77777777" w:rsidTr="007C344D">
        <w:trPr>
          <w:jc w:val="center"/>
        </w:trPr>
        <w:tc>
          <w:tcPr>
            <w:tcW w:w="1947" w:type="dxa"/>
            <w:tcBorders>
              <w:top w:val="nil"/>
              <w:left w:val="nil"/>
              <w:bottom w:val="nil"/>
              <w:right w:val="nil"/>
            </w:tcBorders>
          </w:tcPr>
          <w:p w14:paraId="40F6B15D"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923" w:type="dxa"/>
            <w:tcBorders>
              <w:top w:val="nil"/>
              <w:left w:val="nil"/>
              <w:bottom w:val="nil"/>
              <w:right w:val="nil"/>
            </w:tcBorders>
          </w:tcPr>
          <w:p w14:paraId="52FF09A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(1.71)</w:t>
            </w:r>
          </w:p>
        </w:tc>
        <w:tc>
          <w:tcPr>
            <w:tcW w:w="1890" w:type="dxa"/>
            <w:tcBorders>
              <w:top w:val="nil"/>
              <w:left w:val="nil"/>
              <w:bottom w:val="nil"/>
              <w:right w:val="nil"/>
            </w:tcBorders>
          </w:tcPr>
          <w:p w14:paraId="1D22802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(1.45)</w:t>
            </w:r>
          </w:p>
        </w:tc>
        <w:tc>
          <w:tcPr>
            <w:tcW w:w="1800" w:type="dxa"/>
            <w:tcBorders>
              <w:top w:val="nil"/>
              <w:left w:val="nil"/>
              <w:bottom w:val="nil"/>
              <w:right w:val="nil"/>
            </w:tcBorders>
          </w:tcPr>
          <w:p w14:paraId="4F9BE16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(2.49)</w:t>
            </w:r>
          </w:p>
        </w:tc>
        <w:tc>
          <w:tcPr>
            <w:tcW w:w="1710" w:type="dxa"/>
            <w:tcBorders>
              <w:top w:val="nil"/>
              <w:left w:val="nil"/>
              <w:bottom w:val="nil"/>
              <w:right w:val="nil"/>
            </w:tcBorders>
          </w:tcPr>
          <w:p w14:paraId="2A2379A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(1.81)</w:t>
            </w:r>
          </w:p>
        </w:tc>
      </w:tr>
      <w:tr w:rsidR="00DB6C99" w:rsidRPr="00DB6C99" w14:paraId="5B0A4C66" w14:textId="77777777" w:rsidTr="007C344D">
        <w:trPr>
          <w:jc w:val="center"/>
        </w:trPr>
        <w:tc>
          <w:tcPr>
            <w:tcW w:w="1947" w:type="dxa"/>
            <w:tcBorders>
              <w:top w:val="nil"/>
              <w:left w:val="nil"/>
              <w:bottom w:val="nil"/>
              <w:right w:val="nil"/>
            </w:tcBorders>
          </w:tcPr>
          <w:p w14:paraId="1BC63051"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lang w:val="en-GB"/>
              </w:rPr>
              <w:t>ROA</w:t>
            </w:r>
          </w:p>
        </w:tc>
        <w:tc>
          <w:tcPr>
            <w:tcW w:w="1923" w:type="dxa"/>
            <w:tcBorders>
              <w:top w:val="nil"/>
              <w:left w:val="nil"/>
              <w:bottom w:val="nil"/>
              <w:right w:val="nil"/>
            </w:tcBorders>
          </w:tcPr>
          <w:p w14:paraId="1D38632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-0.081</w:t>
            </w:r>
          </w:p>
        </w:tc>
        <w:tc>
          <w:tcPr>
            <w:tcW w:w="1890" w:type="dxa"/>
            <w:tcBorders>
              <w:top w:val="nil"/>
              <w:left w:val="nil"/>
              <w:bottom w:val="nil"/>
              <w:right w:val="nil"/>
            </w:tcBorders>
          </w:tcPr>
          <w:p w14:paraId="17408CD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-0.080</w:t>
            </w:r>
          </w:p>
        </w:tc>
        <w:tc>
          <w:tcPr>
            <w:tcW w:w="1800" w:type="dxa"/>
            <w:tcBorders>
              <w:top w:val="nil"/>
              <w:left w:val="nil"/>
              <w:bottom w:val="nil"/>
              <w:right w:val="nil"/>
            </w:tcBorders>
          </w:tcPr>
          <w:p w14:paraId="2267B40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-0.115**</w:t>
            </w:r>
          </w:p>
        </w:tc>
        <w:tc>
          <w:tcPr>
            <w:tcW w:w="1710" w:type="dxa"/>
            <w:tcBorders>
              <w:top w:val="nil"/>
              <w:left w:val="nil"/>
              <w:bottom w:val="nil"/>
              <w:right w:val="nil"/>
            </w:tcBorders>
          </w:tcPr>
          <w:p w14:paraId="7F72328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-0.090*</w:t>
            </w:r>
          </w:p>
        </w:tc>
      </w:tr>
      <w:tr w:rsidR="00DB6C99" w:rsidRPr="00DB6C99" w14:paraId="271221CA" w14:textId="77777777" w:rsidTr="007C344D">
        <w:trPr>
          <w:jc w:val="center"/>
        </w:trPr>
        <w:tc>
          <w:tcPr>
            <w:tcW w:w="1947" w:type="dxa"/>
            <w:tcBorders>
              <w:top w:val="nil"/>
              <w:left w:val="nil"/>
              <w:bottom w:val="nil"/>
              <w:right w:val="nil"/>
            </w:tcBorders>
          </w:tcPr>
          <w:p w14:paraId="3521C497"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923" w:type="dxa"/>
            <w:tcBorders>
              <w:top w:val="nil"/>
              <w:left w:val="nil"/>
              <w:bottom w:val="nil"/>
              <w:right w:val="nil"/>
            </w:tcBorders>
          </w:tcPr>
          <w:p w14:paraId="6B7F9F0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(-1.62)</w:t>
            </w:r>
          </w:p>
        </w:tc>
        <w:tc>
          <w:tcPr>
            <w:tcW w:w="1890" w:type="dxa"/>
            <w:tcBorders>
              <w:top w:val="nil"/>
              <w:left w:val="nil"/>
              <w:bottom w:val="nil"/>
              <w:right w:val="nil"/>
            </w:tcBorders>
          </w:tcPr>
          <w:p w14:paraId="1A04EF5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(-1.46)</w:t>
            </w:r>
          </w:p>
        </w:tc>
        <w:tc>
          <w:tcPr>
            <w:tcW w:w="1800" w:type="dxa"/>
            <w:tcBorders>
              <w:top w:val="nil"/>
              <w:left w:val="nil"/>
              <w:bottom w:val="nil"/>
              <w:right w:val="nil"/>
            </w:tcBorders>
          </w:tcPr>
          <w:p w14:paraId="4A5FAD8F"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(-2.51)</w:t>
            </w:r>
          </w:p>
        </w:tc>
        <w:tc>
          <w:tcPr>
            <w:tcW w:w="1710" w:type="dxa"/>
            <w:tcBorders>
              <w:top w:val="nil"/>
              <w:left w:val="nil"/>
              <w:bottom w:val="nil"/>
              <w:right w:val="nil"/>
            </w:tcBorders>
          </w:tcPr>
          <w:p w14:paraId="53921A9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(-1.75)</w:t>
            </w:r>
          </w:p>
        </w:tc>
      </w:tr>
      <w:tr w:rsidR="00DB6C99" w:rsidRPr="00DB6C99" w14:paraId="39427390" w14:textId="77777777" w:rsidTr="007C344D">
        <w:trPr>
          <w:jc w:val="center"/>
        </w:trPr>
        <w:tc>
          <w:tcPr>
            <w:tcW w:w="1947" w:type="dxa"/>
            <w:tcBorders>
              <w:top w:val="nil"/>
              <w:left w:val="nil"/>
              <w:bottom w:val="nil"/>
              <w:right w:val="nil"/>
            </w:tcBorders>
          </w:tcPr>
          <w:p w14:paraId="7DA7188C"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lang w:val="en-GB"/>
              </w:rPr>
              <w:t>CI</w:t>
            </w:r>
          </w:p>
        </w:tc>
        <w:tc>
          <w:tcPr>
            <w:tcW w:w="1923" w:type="dxa"/>
            <w:tcBorders>
              <w:top w:val="nil"/>
              <w:left w:val="nil"/>
              <w:bottom w:val="nil"/>
              <w:right w:val="nil"/>
            </w:tcBorders>
          </w:tcPr>
          <w:p w14:paraId="0E65AEB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-0.001</w:t>
            </w:r>
          </w:p>
        </w:tc>
        <w:tc>
          <w:tcPr>
            <w:tcW w:w="1890" w:type="dxa"/>
            <w:tcBorders>
              <w:top w:val="nil"/>
              <w:left w:val="nil"/>
              <w:bottom w:val="nil"/>
              <w:right w:val="nil"/>
            </w:tcBorders>
          </w:tcPr>
          <w:p w14:paraId="6DEC860F"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0.001</w:t>
            </w:r>
          </w:p>
        </w:tc>
        <w:tc>
          <w:tcPr>
            <w:tcW w:w="1800" w:type="dxa"/>
            <w:tcBorders>
              <w:top w:val="nil"/>
              <w:left w:val="nil"/>
              <w:bottom w:val="nil"/>
              <w:right w:val="nil"/>
            </w:tcBorders>
          </w:tcPr>
          <w:p w14:paraId="25DFD6A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0.001</w:t>
            </w:r>
          </w:p>
        </w:tc>
        <w:tc>
          <w:tcPr>
            <w:tcW w:w="1710" w:type="dxa"/>
            <w:tcBorders>
              <w:top w:val="nil"/>
              <w:left w:val="nil"/>
              <w:bottom w:val="nil"/>
              <w:right w:val="nil"/>
            </w:tcBorders>
          </w:tcPr>
          <w:p w14:paraId="173A790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0.003**</w:t>
            </w:r>
          </w:p>
        </w:tc>
      </w:tr>
      <w:tr w:rsidR="00DB6C99" w:rsidRPr="00DB6C99" w14:paraId="51114E42" w14:textId="77777777" w:rsidTr="007C344D">
        <w:trPr>
          <w:jc w:val="center"/>
        </w:trPr>
        <w:tc>
          <w:tcPr>
            <w:tcW w:w="1947" w:type="dxa"/>
            <w:tcBorders>
              <w:top w:val="nil"/>
              <w:left w:val="nil"/>
              <w:bottom w:val="nil"/>
              <w:right w:val="nil"/>
            </w:tcBorders>
          </w:tcPr>
          <w:p w14:paraId="4558299D"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923" w:type="dxa"/>
            <w:tcBorders>
              <w:top w:val="nil"/>
              <w:left w:val="nil"/>
              <w:bottom w:val="nil"/>
              <w:right w:val="nil"/>
            </w:tcBorders>
          </w:tcPr>
          <w:p w14:paraId="62413EC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(-0.67)</w:t>
            </w:r>
          </w:p>
        </w:tc>
        <w:tc>
          <w:tcPr>
            <w:tcW w:w="1890" w:type="dxa"/>
            <w:tcBorders>
              <w:top w:val="nil"/>
              <w:left w:val="nil"/>
              <w:bottom w:val="nil"/>
              <w:right w:val="nil"/>
            </w:tcBorders>
          </w:tcPr>
          <w:p w14:paraId="7C11605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(0.31)</w:t>
            </w:r>
          </w:p>
        </w:tc>
        <w:tc>
          <w:tcPr>
            <w:tcW w:w="1800" w:type="dxa"/>
            <w:tcBorders>
              <w:top w:val="nil"/>
              <w:left w:val="nil"/>
              <w:bottom w:val="nil"/>
              <w:right w:val="nil"/>
            </w:tcBorders>
          </w:tcPr>
          <w:p w14:paraId="41A97E2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(1.39)</w:t>
            </w:r>
          </w:p>
        </w:tc>
        <w:tc>
          <w:tcPr>
            <w:tcW w:w="1710" w:type="dxa"/>
            <w:tcBorders>
              <w:top w:val="nil"/>
              <w:left w:val="nil"/>
              <w:bottom w:val="nil"/>
              <w:right w:val="nil"/>
            </w:tcBorders>
          </w:tcPr>
          <w:p w14:paraId="1E58D5D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(2.27)</w:t>
            </w:r>
          </w:p>
        </w:tc>
      </w:tr>
      <w:tr w:rsidR="00DB6C99" w:rsidRPr="00DB6C99" w14:paraId="34144FDE" w14:textId="77777777" w:rsidTr="007C344D">
        <w:trPr>
          <w:jc w:val="center"/>
        </w:trPr>
        <w:tc>
          <w:tcPr>
            <w:tcW w:w="1947" w:type="dxa"/>
            <w:tcBorders>
              <w:top w:val="nil"/>
              <w:left w:val="nil"/>
              <w:bottom w:val="nil"/>
              <w:right w:val="nil"/>
            </w:tcBorders>
          </w:tcPr>
          <w:p w14:paraId="1FF4250D"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rPr>
              <w:t>R&amp;D</w:t>
            </w:r>
          </w:p>
        </w:tc>
        <w:tc>
          <w:tcPr>
            <w:tcW w:w="1923" w:type="dxa"/>
            <w:tcBorders>
              <w:top w:val="nil"/>
              <w:left w:val="nil"/>
              <w:bottom w:val="nil"/>
              <w:right w:val="nil"/>
            </w:tcBorders>
          </w:tcPr>
          <w:p w14:paraId="743E2CD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-0.065</w:t>
            </w:r>
          </w:p>
        </w:tc>
        <w:tc>
          <w:tcPr>
            <w:tcW w:w="1890" w:type="dxa"/>
            <w:tcBorders>
              <w:top w:val="nil"/>
              <w:left w:val="nil"/>
              <w:bottom w:val="nil"/>
              <w:right w:val="nil"/>
            </w:tcBorders>
          </w:tcPr>
          <w:p w14:paraId="104B8BD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-0.049</w:t>
            </w:r>
          </w:p>
        </w:tc>
        <w:tc>
          <w:tcPr>
            <w:tcW w:w="1800" w:type="dxa"/>
            <w:tcBorders>
              <w:top w:val="nil"/>
              <w:left w:val="nil"/>
              <w:bottom w:val="nil"/>
              <w:right w:val="nil"/>
            </w:tcBorders>
          </w:tcPr>
          <w:p w14:paraId="3D3FF56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-0.059</w:t>
            </w:r>
          </w:p>
        </w:tc>
        <w:tc>
          <w:tcPr>
            <w:tcW w:w="1710" w:type="dxa"/>
            <w:tcBorders>
              <w:top w:val="nil"/>
              <w:left w:val="nil"/>
              <w:bottom w:val="nil"/>
              <w:right w:val="nil"/>
            </w:tcBorders>
          </w:tcPr>
          <w:p w14:paraId="59B5F21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-0.033</w:t>
            </w:r>
          </w:p>
        </w:tc>
      </w:tr>
      <w:tr w:rsidR="00DB6C99" w:rsidRPr="00DB6C99" w14:paraId="0EBC9855" w14:textId="77777777" w:rsidTr="007C344D">
        <w:trPr>
          <w:jc w:val="center"/>
        </w:trPr>
        <w:tc>
          <w:tcPr>
            <w:tcW w:w="1947" w:type="dxa"/>
            <w:tcBorders>
              <w:top w:val="nil"/>
              <w:left w:val="nil"/>
              <w:bottom w:val="nil"/>
              <w:right w:val="nil"/>
            </w:tcBorders>
          </w:tcPr>
          <w:p w14:paraId="0A48BB63"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923" w:type="dxa"/>
            <w:tcBorders>
              <w:top w:val="nil"/>
              <w:left w:val="nil"/>
              <w:bottom w:val="nil"/>
              <w:right w:val="nil"/>
            </w:tcBorders>
          </w:tcPr>
          <w:p w14:paraId="2349803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(-0.85)</w:t>
            </w:r>
          </w:p>
        </w:tc>
        <w:tc>
          <w:tcPr>
            <w:tcW w:w="1890" w:type="dxa"/>
            <w:tcBorders>
              <w:top w:val="nil"/>
              <w:left w:val="nil"/>
              <w:bottom w:val="nil"/>
              <w:right w:val="nil"/>
            </w:tcBorders>
          </w:tcPr>
          <w:p w14:paraId="55C94B4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(-0.54)</w:t>
            </w:r>
          </w:p>
        </w:tc>
        <w:tc>
          <w:tcPr>
            <w:tcW w:w="1800" w:type="dxa"/>
            <w:tcBorders>
              <w:top w:val="nil"/>
              <w:left w:val="nil"/>
              <w:bottom w:val="nil"/>
              <w:right w:val="nil"/>
            </w:tcBorders>
          </w:tcPr>
          <w:p w14:paraId="26598F3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(-1.64)</w:t>
            </w:r>
          </w:p>
        </w:tc>
        <w:tc>
          <w:tcPr>
            <w:tcW w:w="1710" w:type="dxa"/>
            <w:tcBorders>
              <w:top w:val="nil"/>
              <w:left w:val="nil"/>
              <w:bottom w:val="nil"/>
              <w:right w:val="nil"/>
            </w:tcBorders>
          </w:tcPr>
          <w:p w14:paraId="54D872E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(-0.81)</w:t>
            </w:r>
          </w:p>
        </w:tc>
      </w:tr>
      <w:tr w:rsidR="00DB6C99" w:rsidRPr="00DB6C99" w14:paraId="3B9FD6EB" w14:textId="77777777" w:rsidTr="007C344D">
        <w:trPr>
          <w:jc w:val="center"/>
        </w:trPr>
        <w:tc>
          <w:tcPr>
            <w:tcW w:w="1947" w:type="dxa"/>
            <w:tcBorders>
              <w:top w:val="nil"/>
              <w:left w:val="nil"/>
              <w:bottom w:val="nil"/>
              <w:right w:val="nil"/>
            </w:tcBorders>
          </w:tcPr>
          <w:p w14:paraId="742C9FE3"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rPr>
              <w:t>AFE</w:t>
            </w:r>
          </w:p>
        </w:tc>
        <w:tc>
          <w:tcPr>
            <w:tcW w:w="1923" w:type="dxa"/>
            <w:tcBorders>
              <w:top w:val="nil"/>
              <w:left w:val="nil"/>
              <w:bottom w:val="nil"/>
              <w:right w:val="nil"/>
            </w:tcBorders>
          </w:tcPr>
          <w:p w14:paraId="6EFEAB5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0.000</w:t>
            </w:r>
          </w:p>
        </w:tc>
        <w:tc>
          <w:tcPr>
            <w:tcW w:w="1890" w:type="dxa"/>
            <w:tcBorders>
              <w:top w:val="nil"/>
              <w:left w:val="nil"/>
              <w:bottom w:val="nil"/>
              <w:right w:val="nil"/>
            </w:tcBorders>
          </w:tcPr>
          <w:p w14:paraId="3B002DC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0.000</w:t>
            </w:r>
          </w:p>
        </w:tc>
        <w:tc>
          <w:tcPr>
            <w:tcW w:w="1800" w:type="dxa"/>
            <w:tcBorders>
              <w:top w:val="nil"/>
              <w:left w:val="nil"/>
              <w:bottom w:val="nil"/>
              <w:right w:val="nil"/>
            </w:tcBorders>
          </w:tcPr>
          <w:p w14:paraId="10E8166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0.001***</w:t>
            </w:r>
          </w:p>
        </w:tc>
        <w:tc>
          <w:tcPr>
            <w:tcW w:w="1710" w:type="dxa"/>
            <w:tcBorders>
              <w:top w:val="nil"/>
              <w:left w:val="nil"/>
              <w:bottom w:val="nil"/>
              <w:right w:val="nil"/>
            </w:tcBorders>
          </w:tcPr>
          <w:p w14:paraId="32B0970F"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0.001***</w:t>
            </w:r>
          </w:p>
        </w:tc>
      </w:tr>
      <w:tr w:rsidR="00DB6C99" w:rsidRPr="00DB6C99" w14:paraId="62E61720" w14:textId="77777777" w:rsidTr="007C344D">
        <w:trPr>
          <w:jc w:val="center"/>
        </w:trPr>
        <w:tc>
          <w:tcPr>
            <w:tcW w:w="1947" w:type="dxa"/>
            <w:tcBorders>
              <w:top w:val="nil"/>
              <w:left w:val="nil"/>
              <w:bottom w:val="nil"/>
              <w:right w:val="nil"/>
            </w:tcBorders>
          </w:tcPr>
          <w:p w14:paraId="7E04BF3F"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923" w:type="dxa"/>
            <w:tcBorders>
              <w:top w:val="nil"/>
              <w:left w:val="nil"/>
              <w:bottom w:val="nil"/>
              <w:right w:val="nil"/>
            </w:tcBorders>
          </w:tcPr>
          <w:p w14:paraId="1729D7D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(0.42)</w:t>
            </w:r>
          </w:p>
        </w:tc>
        <w:tc>
          <w:tcPr>
            <w:tcW w:w="1890" w:type="dxa"/>
            <w:tcBorders>
              <w:top w:val="nil"/>
              <w:left w:val="nil"/>
              <w:bottom w:val="nil"/>
              <w:right w:val="nil"/>
            </w:tcBorders>
          </w:tcPr>
          <w:p w14:paraId="3B4A01A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(0.36)</w:t>
            </w:r>
          </w:p>
        </w:tc>
        <w:tc>
          <w:tcPr>
            <w:tcW w:w="1800" w:type="dxa"/>
            <w:tcBorders>
              <w:top w:val="nil"/>
              <w:left w:val="nil"/>
              <w:bottom w:val="nil"/>
              <w:right w:val="nil"/>
            </w:tcBorders>
          </w:tcPr>
          <w:p w14:paraId="212D9C5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(8.00)</w:t>
            </w:r>
          </w:p>
        </w:tc>
        <w:tc>
          <w:tcPr>
            <w:tcW w:w="1710" w:type="dxa"/>
            <w:tcBorders>
              <w:top w:val="nil"/>
              <w:left w:val="nil"/>
              <w:bottom w:val="nil"/>
              <w:right w:val="nil"/>
            </w:tcBorders>
          </w:tcPr>
          <w:p w14:paraId="6DD36C1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(7.51)</w:t>
            </w:r>
          </w:p>
        </w:tc>
      </w:tr>
      <w:tr w:rsidR="00DB6C99" w:rsidRPr="00DB6C99" w14:paraId="4C74D1DD" w14:textId="77777777" w:rsidTr="007C344D">
        <w:trPr>
          <w:jc w:val="center"/>
        </w:trPr>
        <w:tc>
          <w:tcPr>
            <w:tcW w:w="1947" w:type="dxa"/>
            <w:tcBorders>
              <w:top w:val="nil"/>
              <w:left w:val="nil"/>
              <w:bottom w:val="nil"/>
              <w:right w:val="nil"/>
            </w:tcBorders>
          </w:tcPr>
          <w:p w14:paraId="30121B24"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rPr>
              <w:t>SLACK</w:t>
            </w:r>
          </w:p>
        </w:tc>
        <w:tc>
          <w:tcPr>
            <w:tcW w:w="1923" w:type="dxa"/>
            <w:tcBorders>
              <w:top w:val="nil"/>
              <w:left w:val="nil"/>
              <w:bottom w:val="nil"/>
              <w:right w:val="nil"/>
            </w:tcBorders>
          </w:tcPr>
          <w:p w14:paraId="41A7F8D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-0.002</w:t>
            </w:r>
          </w:p>
        </w:tc>
        <w:tc>
          <w:tcPr>
            <w:tcW w:w="1890" w:type="dxa"/>
            <w:tcBorders>
              <w:top w:val="nil"/>
              <w:left w:val="nil"/>
              <w:bottom w:val="nil"/>
              <w:right w:val="nil"/>
            </w:tcBorders>
          </w:tcPr>
          <w:p w14:paraId="6403066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-0.001</w:t>
            </w:r>
          </w:p>
        </w:tc>
        <w:tc>
          <w:tcPr>
            <w:tcW w:w="1800" w:type="dxa"/>
            <w:tcBorders>
              <w:top w:val="nil"/>
              <w:left w:val="nil"/>
              <w:bottom w:val="nil"/>
              <w:right w:val="nil"/>
            </w:tcBorders>
          </w:tcPr>
          <w:p w14:paraId="6318BE1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-0.001</w:t>
            </w:r>
          </w:p>
        </w:tc>
        <w:tc>
          <w:tcPr>
            <w:tcW w:w="1710" w:type="dxa"/>
            <w:tcBorders>
              <w:top w:val="nil"/>
              <w:left w:val="nil"/>
              <w:bottom w:val="nil"/>
              <w:right w:val="nil"/>
            </w:tcBorders>
          </w:tcPr>
          <w:p w14:paraId="4742103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-0.002</w:t>
            </w:r>
          </w:p>
        </w:tc>
      </w:tr>
      <w:tr w:rsidR="00DB6C99" w:rsidRPr="00DB6C99" w14:paraId="08F25E80" w14:textId="77777777" w:rsidTr="007C344D">
        <w:trPr>
          <w:jc w:val="center"/>
        </w:trPr>
        <w:tc>
          <w:tcPr>
            <w:tcW w:w="1947" w:type="dxa"/>
            <w:tcBorders>
              <w:top w:val="nil"/>
              <w:left w:val="nil"/>
              <w:bottom w:val="nil"/>
              <w:right w:val="nil"/>
            </w:tcBorders>
          </w:tcPr>
          <w:p w14:paraId="38A3FADB"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923" w:type="dxa"/>
            <w:tcBorders>
              <w:top w:val="nil"/>
              <w:left w:val="nil"/>
              <w:bottom w:val="nil"/>
              <w:right w:val="nil"/>
            </w:tcBorders>
          </w:tcPr>
          <w:p w14:paraId="05DB68C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(-0.51)</w:t>
            </w:r>
          </w:p>
        </w:tc>
        <w:tc>
          <w:tcPr>
            <w:tcW w:w="1890" w:type="dxa"/>
            <w:tcBorders>
              <w:top w:val="nil"/>
              <w:left w:val="nil"/>
              <w:bottom w:val="nil"/>
              <w:right w:val="nil"/>
            </w:tcBorders>
          </w:tcPr>
          <w:p w14:paraId="4D50074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(-0.22)</w:t>
            </w:r>
          </w:p>
        </w:tc>
        <w:tc>
          <w:tcPr>
            <w:tcW w:w="1800" w:type="dxa"/>
            <w:tcBorders>
              <w:top w:val="nil"/>
              <w:left w:val="nil"/>
              <w:bottom w:val="nil"/>
              <w:right w:val="nil"/>
            </w:tcBorders>
          </w:tcPr>
          <w:p w14:paraId="1234900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(-0.53)</w:t>
            </w:r>
          </w:p>
        </w:tc>
        <w:tc>
          <w:tcPr>
            <w:tcW w:w="1710" w:type="dxa"/>
            <w:tcBorders>
              <w:top w:val="nil"/>
              <w:left w:val="nil"/>
              <w:bottom w:val="nil"/>
              <w:right w:val="nil"/>
            </w:tcBorders>
          </w:tcPr>
          <w:p w14:paraId="058636D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(-0.54)</w:t>
            </w:r>
          </w:p>
        </w:tc>
      </w:tr>
      <w:tr w:rsidR="00DB6C99" w:rsidRPr="00DB6C99" w14:paraId="5E18EEFB" w14:textId="77777777" w:rsidTr="007C344D">
        <w:trPr>
          <w:jc w:val="center"/>
        </w:trPr>
        <w:tc>
          <w:tcPr>
            <w:tcW w:w="1947" w:type="dxa"/>
            <w:tcBorders>
              <w:top w:val="nil"/>
              <w:left w:val="nil"/>
              <w:bottom w:val="nil"/>
              <w:right w:val="nil"/>
            </w:tcBorders>
          </w:tcPr>
          <w:p w14:paraId="5520152A"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lang w:val="en-GB"/>
              </w:rPr>
              <w:t>COD</w:t>
            </w:r>
          </w:p>
        </w:tc>
        <w:tc>
          <w:tcPr>
            <w:tcW w:w="1923" w:type="dxa"/>
            <w:tcBorders>
              <w:top w:val="nil"/>
              <w:left w:val="nil"/>
              <w:bottom w:val="nil"/>
              <w:right w:val="nil"/>
            </w:tcBorders>
          </w:tcPr>
          <w:p w14:paraId="4AD8BCB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0.091</w:t>
            </w:r>
          </w:p>
        </w:tc>
        <w:tc>
          <w:tcPr>
            <w:tcW w:w="1890" w:type="dxa"/>
            <w:tcBorders>
              <w:top w:val="nil"/>
              <w:left w:val="nil"/>
              <w:bottom w:val="nil"/>
              <w:right w:val="nil"/>
            </w:tcBorders>
          </w:tcPr>
          <w:p w14:paraId="77CD2EE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0.118*</w:t>
            </w:r>
          </w:p>
        </w:tc>
        <w:tc>
          <w:tcPr>
            <w:tcW w:w="1800" w:type="dxa"/>
            <w:tcBorders>
              <w:top w:val="nil"/>
              <w:left w:val="nil"/>
              <w:bottom w:val="nil"/>
              <w:right w:val="nil"/>
            </w:tcBorders>
          </w:tcPr>
          <w:p w14:paraId="158DD72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0.019</w:t>
            </w:r>
          </w:p>
        </w:tc>
        <w:tc>
          <w:tcPr>
            <w:tcW w:w="1710" w:type="dxa"/>
            <w:tcBorders>
              <w:top w:val="nil"/>
              <w:left w:val="nil"/>
              <w:bottom w:val="nil"/>
              <w:right w:val="nil"/>
            </w:tcBorders>
          </w:tcPr>
          <w:p w14:paraId="7D8478B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0.027</w:t>
            </w:r>
          </w:p>
        </w:tc>
      </w:tr>
      <w:tr w:rsidR="00DB6C99" w:rsidRPr="00DB6C99" w14:paraId="44C0F69E" w14:textId="77777777" w:rsidTr="007C344D">
        <w:trPr>
          <w:jc w:val="center"/>
        </w:trPr>
        <w:tc>
          <w:tcPr>
            <w:tcW w:w="1947" w:type="dxa"/>
            <w:tcBorders>
              <w:top w:val="nil"/>
              <w:left w:val="nil"/>
              <w:bottom w:val="nil"/>
              <w:right w:val="nil"/>
            </w:tcBorders>
          </w:tcPr>
          <w:p w14:paraId="7D950AFE"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923" w:type="dxa"/>
            <w:tcBorders>
              <w:top w:val="nil"/>
              <w:left w:val="nil"/>
              <w:bottom w:val="nil"/>
              <w:right w:val="nil"/>
            </w:tcBorders>
          </w:tcPr>
          <w:p w14:paraId="59D39D1F"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(1.52)</w:t>
            </w:r>
          </w:p>
        </w:tc>
        <w:tc>
          <w:tcPr>
            <w:tcW w:w="1890" w:type="dxa"/>
            <w:tcBorders>
              <w:top w:val="nil"/>
              <w:left w:val="nil"/>
              <w:bottom w:val="nil"/>
              <w:right w:val="nil"/>
            </w:tcBorders>
          </w:tcPr>
          <w:p w14:paraId="263F890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(1.86)</w:t>
            </w:r>
          </w:p>
        </w:tc>
        <w:tc>
          <w:tcPr>
            <w:tcW w:w="1800" w:type="dxa"/>
            <w:tcBorders>
              <w:top w:val="nil"/>
              <w:left w:val="nil"/>
              <w:bottom w:val="nil"/>
              <w:right w:val="nil"/>
            </w:tcBorders>
          </w:tcPr>
          <w:p w14:paraId="6E779D9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(0.33)</w:t>
            </w:r>
          </w:p>
        </w:tc>
        <w:tc>
          <w:tcPr>
            <w:tcW w:w="1710" w:type="dxa"/>
            <w:tcBorders>
              <w:top w:val="nil"/>
              <w:left w:val="nil"/>
              <w:bottom w:val="nil"/>
              <w:right w:val="nil"/>
            </w:tcBorders>
          </w:tcPr>
          <w:p w14:paraId="7DE491F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(0.44)</w:t>
            </w:r>
          </w:p>
        </w:tc>
      </w:tr>
      <w:tr w:rsidR="00DB6C99" w:rsidRPr="00DB6C99" w14:paraId="3C59D223" w14:textId="77777777" w:rsidTr="007C344D">
        <w:trPr>
          <w:jc w:val="center"/>
        </w:trPr>
        <w:tc>
          <w:tcPr>
            <w:tcW w:w="1947" w:type="dxa"/>
            <w:tcBorders>
              <w:top w:val="nil"/>
              <w:left w:val="nil"/>
              <w:bottom w:val="nil"/>
              <w:right w:val="nil"/>
            </w:tcBorders>
          </w:tcPr>
          <w:p w14:paraId="39C1DA4C"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lang w:val="en-GB"/>
              </w:rPr>
              <w:t>INST</w:t>
            </w:r>
          </w:p>
        </w:tc>
        <w:tc>
          <w:tcPr>
            <w:tcW w:w="1923" w:type="dxa"/>
            <w:tcBorders>
              <w:top w:val="nil"/>
              <w:left w:val="nil"/>
              <w:bottom w:val="nil"/>
              <w:right w:val="nil"/>
            </w:tcBorders>
          </w:tcPr>
          <w:p w14:paraId="5CE079B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-0.000</w:t>
            </w:r>
          </w:p>
        </w:tc>
        <w:tc>
          <w:tcPr>
            <w:tcW w:w="1890" w:type="dxa"/>
            <w:tcBorders>
              <w:top w:val="nil"/>
              <w:left w:val="nil"/>
              <w:bottom w:val="nil"/>
              <w:right w:val="nil"/>
            </w:tcBorders>
          </w:tcPr>
          <w:p w14:paraId="2AAA2EB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0.000</w:t>
            </w:r>
          </w:p>
        </w:tc>
        <w:tc>
          <w:tcPr>
            <w:tcW w:w="1800" w:type="dxa"/>
            <w:tcBorders>
              <w:top w:val="nil"/>
              <w:left w:val="nil"/>
              <w:bottom w:val="nil"/>
              <w:right w:val="nil"/>
            </w:tcBorders>
          </w:tcPr>
          <w:p w14:paraId="5DCFA03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0.006</w:t>
            </w:r>
          </w:p>
        </w:tc>
        <w:tc>
          <w:tcPr>
            <w:tcW w:w="1710" w:type="dxa"/>
            <w:tcBorders>
              <w:top w:val="nil"/>
              <w:left w:val="nil"/>
              <w:bottom w:val="nil"/>
              <w:right w:val="nil"/>
            </w:tcBorders>
          </w:tcPr>
          <w:p w14:paraId="01412CA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0.004</w:t>
            </w:r>
          </w:p>
        </w:tc>
      </w:tr>
      <w:tr w:rsidR="00DB6C99" w:rsidRPr="00DB6C99" w14:paraId="5217BF6A" w14:textId="77777777" w:rsidTr="007C344D">
        <w:trPr>
          <w:jc w:val="center"/>
        </w:trPr>
        <w:tc>
          <w:tcPr>
            <w:tcW w:w="1947" w:type="dxa"/>
            <w:tcBorders>
              <w:top w:val="nil"/>
              <w:left w:val="nil"/>
              <w:bottom w:val="nil"/>
              <w:right w:val="nil"/>
            </w:tcBorders>
          </w:tcPr>
          <w:p w14:paraId="5CDF64A7"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923" w:type="dxa"/>
            <w:tcBorders>
              <w:top w:val="nil"/>
              <w:left w:val="nil"/>
              <w:bottom w:val="nil"/>
              <w:right w:val="nil"/>
            </w:tcBorders>
          </w:tcPr>
          <w:p w14:paraId="01253B1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(-0.05)</w:t>
            </w:r>
          </w:p>
        </w:tc>
        <w:tc>
          <w:tcPr>
            <w:tcW w:w="1890" w:type="dxa"/>
            <w:tcBorders>
              <w:top w:val="nil"/>
              <w:left w:val="nil"/>
              <w:bottom w:val="nil"/>
              <w:right w:val="nil"/>
            </w:tcBorders>
          </w:tcPr>
          <w:p w14:paraId="0C59258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(0.02)</w:t>
            </w:r>
          </w:p>
        </w:tc>
        <w:tc>
          <w:tcPr>
            <w:tcW w:w="1800" w:type="dxa"/>
            <w:tcBorders>
              <w:top w:val="nil"/>
              <w:left w:val="nil"/>
              <w:bottom w:val="nil"/>
              <w:right w:val="nil"/>
            </w:tcBorders>
          </w:tcPr>
          <w:p w14:paraId="5301275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(0.97)</w:t>
            </w:r>
          </w:p>
        </w:tc>
        <w:tc>
          <w:tcPr>
            <w:tcW w:w="1710" w:type="dxa"/>
            <w:tcBorders>
              <w:top w:val="nil"/>
              <w:left w:val="nil"/>
              <w:bottom w:val="nil"/>
              <w:right w:val="nil"/>
            </w:tcBorders>
          </w:tcPr>
          <w:p w14:paraId="6E4E6F7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(0.67)</w:t>
            </w:r>
          </w:p>
        </w:tc>
      </w:tr>
      <w:tr w:rsidR="00DB6C99" w:rsidRPr="00DB6C99" w14:paraId="5654C889" w14:textId="77777777" w:rsidTr="007C344D">
        <w:trPr>
          <w:jc w:val="center"/>
        </w:trPr>
        <w:tc>
          <w:tcPr>
            <w:tcW w:w="1947" w:type="dxa"/>
            <w:tcBorders>
              <w:top w:val="nil"/>
              <w:left w:val="nil"/>
              <w:bottom w:val="nil"/>
              <w:right w:val="nil"/>
            </w:tcBorders>
          </w:tcPr>
          <w:p w14:paraId="7417178D"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lang w:val="en-GB"/>
              </w:rPr>
              <w:t>STATE</w:t>
            </w:r>
          </w:p>
        </w:tc>
        <w:tc>
          <w:tcPr>
            <w:tcW w:w="1923" w:type="dxa"/>
            <w:tcBorders>
              <w:top w:val="nil"/>
              <w:left w:val="nil"/>
              <w:bottom w:val="nil"/>
              <w:right w:val="nil"/>
            </w:tcBorders>
          </w:tcPr>
          <w:p w14:paraId="34EF787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0.031</w:t>
            </w:r>
          </w:p>
        </w:tc>
        <w:tc>
          <w:tcPr>
            <w:tcW w:w="1890" w:type="dxa"/>
            <w:tcBorders>
              <w:top w:val="nil"/>
              <w:left w:val="nil"/>
              <w:bottom w:val="nil"/>
              <w:right w:val="nil"/>
            </w:tcBorders>
          </w:tcPr>
          <w:p w14:paraId="61ECDA4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0.013</w:t>
            </w:r>
          </w:p>
        </w:tc>
        <w:tc>
          <w:tcPr>
            <w:tcW w:w="1800" w:type="dxa"/>
            <w:tcBorders>
              <w:top w:val="nil"/>
              <w:left w:val="nil"/>
              <w:bottom w:val="nil"/>
              <w:right w:val="nil"/>
            </w:tcBorders>
          </w:tcPr>
          <w:p w14:paraId="567E8AF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0.053</w:t>
            </w:r>
          </w:p>
        </w:tc>
        <w:tc>
          <w:tcPr>
            <w:tcW w:w="1710" w:type="dxa"/>
            <w:tcBorders>
              <w:top w:val="nil"/>
              <w:left w:val="nil"/>
              <w:bottom w:val="nil"/>
              <w:right w:val="nil"/>
            </w:tcBorders>
          </w:tcPr>
          <w:p w14:paraId="4FA70AC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0.052</w:t>
            </w:r>
          </w:p>
        </w:tc>
      </w:tr>
      <w:tr w:rsidR="00DB6C99" w:rsidRPr="00DB6C99" w14:paraId="5F396E77" w14:textId="77777777" w:rsidTr="007C344D">
        <w:trPr>
          <w:jc w:val="center"/>
        </w:trPr>
        <w:tc>
          <w:tcPr>
            <w:tcW w:w="1947" w:type="dxa"/>
            <w:tcBorders>
              <w:top w:val="nil"/>
              <w:left w:val="nil"/>
              <w:bottom w:val="nil"/>
              <w:right w:val="nil"/>
            </w:tcBorders>
          </w:tcPr>
          <w:p w14:paraId="0D9E069D"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923" w:type="dxa"/>
            <w:tcBorders>
              <w:top w:val="nil"/>
              <w:left w:val="nil"/>
              <w:bottom w:val="nil"/>
              <w:right w:val="nil"/>
            </w:tcBorders>
          </w:tcPr>
          <w:p w14:paraId="02707C8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(0.85)</w:t>
            </w:r>
          </w:p>
        </w:tc>
        <w:tc>
          <w:tcPr>
            <w:tcW w:w="1890" w:type="dxa"/>
            <w:tcBorders>
              <w:top w:val="nil"/>
              <w:left w:val="nil"/>
              <w:bottom w:val="nil"/>
              <w:right w:val="nil"/>
            </w:tcBorders>
          </w:tcPr>
          <w:p w14:paraId="3065B8B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(0.34)</w:t>
            </w:r>
          </w:p>
        </w:tc>
        <w:tc>
          <w:tcPr>
            <w:tcW w:w="1800" w:type="dxa"/>
            <w:tcBorders>
              <w:top w:val="nil"/>
              <w:left w:val="nil"/>
              <w:bottom w:val="nil"/>
              <w:right w:val="nil"/>
            </w:tcBorders>
          </w:tcPr>
          <w:p w14:paraId="496CC38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(1.60)</w:t>
            </w:r>
          </w:p>
        </w:tc>
        <w:tc>
          <w:tcPr>
            <w:tcW w:w="1710" w:type="dxa"/>
            <w:tcBorders>
              <w:top w:val="nil"/>
              <w:left w:val="nil"/>
              <w:bottom w:val="nil"/>
              <w:right w:val="nil"/>
            </w:tcBorders>
          </w:tcPr>
          <w:p w14:paraId="6C965B4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(1.52)</w:t>
            </w:r>
          </w:p>
        </w:tc>
      </w:tr>
      <w:tr w:rsidR="00DB6C99" w:rsidRPr="00DB6C99" w14:paraId="717AF881" w14:textId="77777777" w:rsidTr="007C344D">
        <w:trPr>
          <w:jc w:val="center"/>
        </w:trPr>
        <w:tc>
          <w:tcPr>
            <w:tcW w:w="1947" w:type="dxa"/>
            <w:tcBorders>
              <w:top w:val="nil"/>
              <w:left w:val="nil"/>
              <w:bottom w:val="nil"/>
              <w:right w:val="nil"/>
            </w:tcBorders>
          </w:tcPr>
          <w:p w14:paraId="394FAED0"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lang w:val="en-GB"/>
              </w:rPr>
              <w:t>SIZE</w:t>
            </w:r>
          </w:p>
        </w:tc>
        <w:tc>
          <w:tcPr>
            <w:tcW w:w="1923" w:type="dxa"/>
            <w:tcBorders>
              <w:top w:val="nil"/>
              <w:left w:val="nil"/>
              <w:bottom w:val="nil"/>
              <w:right w:val="nil"/>
            </w:tcBorders>
          </w:tcPr>
          <w:p w14:paraId="40F2246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-0.058***</w:t>
            </w:r>
          </w:p>
        </w:tc>
        <w:tc>
          <w:tcPr>
            <w:tcW w:w="1890" w:type="dxa"/>
            <w:tcBorders>
              <w:top w:val="nil"/>
              <w:left w:val="nil"/>
              <w:bottom w:val="nil"/>
              <w:right w:val="nil"/>
            </w:tcBorders>
          </w:tcPr>
          <w:p w14:paraId="246B37C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-0.053***</w:t>
            </w:r>
          </w:p>
        </w:tc>
        <w:tc>
          <w:tcPr>
            <w:tcW w:w="1800" w:type="dxa"/>
            <w:tcBorders>
              <w:top w:val="nil"/>
              <w:left w:val="nil"/>
              <w:bottom w:val="nil"/>
              <w:right w:val="nil"/>
            </w:tcBorders>
          </w:tcPr>
          <w:p w14:paraId="40483F5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-0.064***</w:t>
            </w:r>
          </w:p>
        </w:tc>
        <w:tc>
          <w:tcPr>
            <w:tcW w:w="1710" w:type="dxa"/>
            <w:tcBorders>
              <w:top w:val="nil"/>
              <w:left w:val="nil"/>
              <w:bottom w:val="nil"/>
              <w:right w:val="nil"/>
            </w:tcBorders>
          </w:tcPr>
          <w:p w14:paraId="2EB1AE5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-0.057***</w:t>
            </w:r>
          </w:p>
        </w:tc>
      </w:tr>
      <w:tr w:rsidR="00DB6C99" w:rsidRPr="00DB6C99" w14:paraId="58958791" w14:textId="77777777" w:rsidTr="007C344D">
        <w:trPr>
          <w:jc w:val="center"/>
        </w:trPr>
        <w:tc>
          <w:tcPr>
            <w:tcW w:w="1947" w:type="dxa"/>
            <w:tcBorders>
              <w:top w:val="nil"/>
              <w:left w:val="nil"/>
              <w:bottom w:val="nil"/>
              <w:right w:val="nil"/>
            </w:tcBorders>
          </w:tcPr>
          <w:p w14:paraId="159C5B16"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923" w:type="dxa"/>
            <w:tcBorders>
              <w:top w:val="nil"/>
              <w:left w:val="nil"/>
              <w:bottom w:val="nil"/>
              <w:right w:val="nil"/>
            </w:tcBorders>
          </w:tcPr>
          <w:p w14:paraId="2A5F15F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(-7.72)</w:t>
            </w:r>
          </w:p>
        </w:tc>
        <w:tc>
          <w:tcPr>
            <w:tcW w:w="1890" w:type="dxa"/>
            <w:tcBorders>
              <w:top w:val="nil"/>
              <w:left w:val="nil"/>
              <w:bottom w:val="nil"/>
              <w:right w:val="nil"/>
            </w:tcBorders>
          </w:tcPr>
          <w:p w14:paraId="1CDA565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(-6.59)</w:t>
            </w:r>
          </w:p>
        </w:tc>
        <w:tc>
          <w:tcPr>
            <w:tcW w:w="1800" w:type="dxa"/>
            <w:tcBorders>
              <w:top w:val="nil"/>
              <w:left w:val="nil"/>
              <w:bottom w:val="nil"/>
              <w:right w:val="nil"/>
            </w:tcBorders>
          </w:tcPr>
          <w:p w14:paraId="7F2EDE2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(-22.66)</w:t>
            </w:r>
          </w:p>
        </w:tc>
        <w:tc>
          <w:tcPr>
            <w:tcW w:w="1710" w:type="dxa"/>
            <w:tcBorders>
              <w:top w:val="nil"/>
              <w:left w:val="nil"/>
              <w:bottom w:val="nil"/>
              <w:right w:val="nil"/>
            </w:tcBorders>
          </w:tcPr>
          <w:p w14:paraId="440D983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(-18.52)</w:t>
            </w:r>
          </w:p>
        </w:tc>
      </w:tr>
      <w:tr w:rsidR="00DB6C99" w:rsidRPr="00DB6C99" w14:paraId="2AF736E0" w14:textId="77777777" w:rsidTr="007C344D">
        <w:trPr>
          <w:jc w:val="center"/>
        </w:trPr>
        <w:tc>
          <w:tcPr>
            <w:tcW w:w="1947" w:type="dxa"/>
            <w:tcBorders>
              <w:top w:val="nil"/>
              <w:left w:val="nil"/>
              <w:bottom w:val="nil"/>
              <w:right w:val="nil"/>
            </w:tcBorders>
          </w:tcPr>
          <w:p w14:paraId="7B7E9CBD"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rPr>
              <w:t>I</w:t>
            </w:r>
            <w:r w:rsidRPr="00DB6C99">
              <w:rPr>
                <w:rFonts w:ascii="Garamond" w:hAnsi="Garamond"/>
                <w:i/>
                <w:iCs/>
                <w:spacing w:val="-2"/>
                <w:sz w:val="20"/>
                <w:szCs w:val="20"/>
              </w:rPr>
              <w:t>n</w:t>
            </w:r>
            <w:r w:rsidRPr="00DB6C99">
              <w:rPr>
                <w:rFonts w:ascii="Garamond" w:hAnsi="Garamond"/>
                <w:i/>
                <w:iCs/>
                <w:spacing w:val="-1"/>
                <w:sz w:val="20"/>
                <w:szCs w:val="20"/>
              </w:rPr>
              <w:t>t</w:t>
            </w:r>
            <w:r w:rsidRPr="00DB6C99">
              <w:rPr>
                <w:rFonts w:ascii="Garamond" w:hAnsi="Garamond"/>
                <w:i/>
                <w:iCs/>
                <w:sz w:val="20"/>
                <w:szCs w:val="20"/>
              </w:rPr>
              <w:t>erce</w:t>
            </w:r>
            <w:r w:rsidRPr="00DB6C99">
              <w:rPr>
                <w:rFonts w:ascii="Garamond" w:hAnsi="Garamond"/>
                <w:i/>
                <w:iCs/>
                <w:spacing w:val="1"/>
                <w:sz w:val="20"/>
                <w:szCs w:val="20"/>
              </w:rPr>
              <w:t>p</w:t>
            </w:r>
            <w:r w:rsidRPr="00DB6C99">
              <w:rPr>
                <w:rFonts w:ascii="Garamond" w:hAnsi="Garamond"/>
                <w:i/>
                <w:iCs/>
                <w:sz w:val="20"/>
                <w:szCs w:val="20"/>
              </w:rPr>
              <w:t>t</w:t>
            </w:r>
          </w:p>
        </w:tc>
        <w:tc>
          <w:tcPr>
            <w:tcW w:w="1923" w:type="dxa"/>
            <w:tcBorders>
              <w:top w:val="nil"/>
              <w:left w:val="nil"/>
              <w:bottom w:val="nil"/>
              <w:right w:val="nil"/>
            </w:tcBorders>
          </w:tcPr>
          <w:p w14:paraId="4350016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0.722***</w:t>
            </w:r>
          </w:p>
        </w:tc>
        <w:tc>
          <w:tcPr>
            <w:tcW w:w="1890" w:type="dxa"/>
            <w:tcBorders>
              <w:top w:val="nil"/>
              <w:left w:val="nil"/>
              <w:bottom w:val="nil"/>
              <w:right w:val="nil"/>
            </w:tcBorders>
          </w:tcPr>
          <w:p w14:paraId="6F52F1A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0.619***</w:t>
            </w:r>
          </w:p>
        </w:tc>
        <w:tc>
          <w:tcPr>
            <w:tcW w:w="1800" w:type="dxa"/>
            <w:tcBorders>
              <w:top w:val="nil"/>
              <w:left w:val="nil"/>
              <w:bottom w:val="nil"/>
              <w:right w:val="nil"/>
            </w:tcBorders>
          </w:tcPr>
          <w:p w14:paraId="5C0CC18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1.097***</w:t>
            </w:r>
          </w:p>
        </w:tc>
        <w:tc>
          <w:tcPr>
            <w:tcW w:w="1710" w:type="dxa"/>
            <w:tcBorders>
              <w:top w:val="nil"/>
              <w:left w:val="nil"/>
              <w:bottom w:val="nil"/>
              <w:right w:val="nil"/>
            </w:tcBorders>
          </w:tcPr>
          <w:p w14:paraId="7069EEB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1.001***</w:t>
            </w:r>
          </w:p>
        </w:tc>
      </w:tr>
      <w:tr w:rsidR="00DB6C99" w:rsidRPr="00DB6C99" w14:paraId="1F10BEFB" w14:textId="77777777" w:rsidTr="007C344D">
        <w:trPr>
          <w:jc w:val="center"/>
        </w:trPr>
        <w:tc>
          <w:tcPr>
            <w:tcW w:w="1947" w:type="dxa"/>
            <w:tcBorders>
              <w:top w:val="nil"/>
              <w:left w:val="nil"/>
              <w:bottom w:val="nil"/>
              <w:right w:val="nil"/>
            </w:tcBorders>
          </w:tcPr>
          <w:p w14:paraId="6900EDF0"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923" w:type="dxa"/>
            <w:tcBorders>
              <w:top w:val="nil"/>
              <w:left w:val="nil"/>
              <w:bottom w:val="nil"/>
              <w:right w:val="nil"/>
            </w:tcBorders>
          </w:tcPr>
          <w:p w14:paraId="63B503B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(5.92)</w:t>
            </w:r>
          </w:p>
        </w:tc>
        <w:tc>
          <w:tcPr>
            <w:tcW w:w="1890" w:type="dxa"/>
            <w:tcBorders>
              <w:top w:val="nil"/>
              <w:left w:val="nil"/>
              <w:bottom w:val="nil"/>
              <w:right w:val="nil"/>
            </w:tcBorders>
          </w:tcPr>
          <w:p w14:paraId="325CD3D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(4.73)</w:t>
            </w:r>
          </w:p>
        </w:tc>
        <w:tc>
          <w:tcPr>
            <w:tcW w:w="1800" w:type="dxa"/>
            <w:tcBorders>
              <w:top w:val="nil"/>
              <w:left w:val="nil"/>
              <w:bottom w:val="nil"/>
              <w:right w:val="nil"/>
            </w:tcBorders>
          </w:tcPr>
          <w:p w14:paraId="2E3857D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(13.54)</w:t>
            </w:r>
          </w:p>
        </w:tc>
        <w:tc>
          <w:tcPr>
            <w:tcW w:w="1710" w:type="dxa"/>
            <w:tcBorders>
              <w:top w:val="nil"/>
              <w:left w:val="nil"/>
              <w:bottom w:val="nil"/>
              <w:right w:val="nil"/>
            </w:tcBorders>
          </w:tcPr>
          <w:p w14:paraId="428FBB4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(9.38)</w:t>
            </w:r>
          </w:p>
        </w:tc>
      </w:tr>
      <w:tr w:rsidR="00DB6C99" w:rsidRPr="00DB6C99" w14:paraId="653697B4" w14:textId="77777777" w:rsidTr="007C344D">
        <w:trPr>
          <w:jc w:val="center"/>
        </w:trPr>
        <w:tc>
          <w:tcPr>
            <w:tcW w:w="1947" w:type="dxa"/>
            <w:tcBorders>
              <w:top w:val="nil"/>
              <w:left w:val="nil"/>
              <w:bottom w:val="nil"/>
              <w:right w:val="nil"/>
            </w:tcBorders>
          </w:tcPr>
          <w:p w14:paraId="607B6665"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923" w:type="dxa"/>
            <w:tcBorders>
              <w:top w:val="nil"/>
              <w:left w:val="nil"/>
              <w:bottom w:val="nil"/>
              <w:right w:val="nil"/>
            </w:tcBorders>
          </w:tcPr>
          <w:p w14:paraId="791407E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p>
        </w:tc>
        <w:tc>
          <w:tcPr>
            <w:tcW w:w="1890" w:type="dxa"/>
            <w:tcBorders>
              <w:top w:val="nil"/>
              <w:left w:val="nil"/>
              <w:bottom w:val="nil"/>
              <w:right w:val="nil"/>
            </w:tcBorders>
          </w:tcPr>
          <w:p w14:paraId="1080399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p>
        </w:tc>
        <w:tc>
          <w:tcPr>
            <w:tcW w:w="1800" w:type="dxa"/>
            <w:tcBorders>
              <w:top w:val="nil"/>
              <w:left w:val="nil"/>
              <w:bottom w:val="nil"/>
              <w:right w:val="nil"/>
            </w:tcBorders>
          </w:tcPr>
          <w:p w14:paraId="222EBF8F"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p>
        </w:tc>
        <w:tc>
          <w:tcPr>
            <w:tcW w:w="1710" w:type="dxa"/>
            <w:tcBorders>
              <w:top w:val="nil"/>
              <w:left w:val="nil"/>
              <w:bottom w:val="nil"/>
              <w:right w:val="nil"/>
            </w:tcBorders>
          </w:tcPr>
          <w:p w14:paraId="7677990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p>
        </w:tc>
      </w:tr>
      <w:tr w:rsidR="00DB6C99" w:rsidRPr="00DB6C99" w14:paraId="095E71DA" w14:textId="77777777" w:rsidTr="007C344D">
        <w:trPr>
          <w:jc w:val="center"/>
        </w:trPr>
        <w:tc>
          <w:tcPr>
            <w:tcW w:w="1947" w:type="dxa"/>
            <w:tcBorders>
              <w:top w:val="nil"/>
              <w:left w:val="nil"/>
              <w:bottom w:val="nil"/>
              <w:right w:val="nil"/>
            </w:tcBorders>
          </w:tcPr>
          <w:p w14:paraId="7A66BF76" w14:textId="77777777" w:rsidR="007C344D" w:rsidRPr="00DB6C99" w:rsidRDefault="007C344D" w:rsidP="007C344D">
            <w:pPr>
              <w:widowControl w:val="0"/>
              <w:autoSpaceDE w:val="0"/>
              <w:autoSpaceDN w:val="0"/>
              <w:adjustRightInd w:val="0"/>
              <w:spacing w:after="0" w:line="240" w:lineRule="auto"/>
              <w:rPr>
                <w:rFonts w:ascii="Garamond" w:hAnsi="Garamond"/>
                <w:i/>
                <w:iCs/>
                <w:sz w:val="20"/>
                <w:szCs w:val="20"/>
              </w:rPr>
            </w:pPr>
            <w:r w:rsidRPr="00DB6C99">
              <w:rPr>
                <w:rFonts w:ascii="Garamond" w:hAnsi="Garamond"/>
                <w:i/>
                <w:iCs/>
                <w:sz w:val="20"/>
                <w:szCs w:val="20"/>
              </w:rPr>
              <w:t>N</w:t>
            </w:r>
          </w:p>
        </w:tc>
        <w:tc>
          <w:tcPr>
            <w:tcW w:w="1923" w:type="dxa"/>
            <w:tcBorders>
              <w:top w:val="nil"/>
              <w:left w:val="nil"/>
              <w:bottom w:val="nil"/>
              <w:right w:val="nil"/>
            </w:tcBorders>
          </w:tcPr>
          <w:p w14:paraId="52CC015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6,157</w:t>
            </w:r>
          </w:p>
        </w:tc>
        <w:tc>
          <w:tcPr>
            <w:tcW w:w="1890" w:type="dxa"/>
            <w:tcBorders>
              <w:top w:val="nil"/>
              <w:left w:val="nil"/>
              <w:bottom w:val="nil"/>
              <w:right w:val="nil"/>
            </w:tcBorders>
          </w:tcPr>
          <w:p w14:paraId="775D0B0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5,369</w:t>
            </w:r>
          </w:p>
        </w:tc>
        <w:tc>
          <w:tcPr>
            <w:tcW w:w="1800" w:type="dxa"/>
            <w:tcBorders>
              <w:top w:val="nil"/>
              <w:left w:val="nil"/>
              <w:bottom w:val="nil"/>
              <w:right w:val="nil"/>
            </w:tcBorders>
          </w:tcPr>
          <w:p w14:paraId="477DC96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6,157</w:t>
            </w:r>
          </w:p>
        </w:tc>
        <w:tc>
          <w:tcPr>
            <w:tcW w:w="1710" w:type="dxa"/>
            <w:tcBorders>
              <w:top w:val="nil"/>
              <w:left w:val="nil"/>
              <w:bottom w:val="nil"/>
              <w:right w:val="nil"/>
            </w:tcBorders>
          </w:tcPr>
          <w:p w14:paraId="3FA3C8E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5,369</w:t>
            </w:r>
          </w:p>
        </w:tc>
      </w:tr>
      <w:tr w:rsidR="00DB6C99" w:rsidRPr="00DB6C99" w14:paraId="10929BC6" w14:textId="77777777" w:rsidTr="007C344D">
        <w:trPr>
          <w:jc w:val="center"/>
        </w:trPr>
        <w:tc>
          <w:tcPr>
            <w:tcW w:w="1947" w:type="dxa"/>
            <w:tcBorders>
              <w:top w:val="nil"/>
              <w:left w:val="nil"/>
              <w:bottom w:val="nil"/>
              <w:right w:val="nil"/>
            </w:tcBorders>
          </w:tcPr>
          <w:p w14:paraId="07427351" w14:textId="77777777" w:rsidR="007C344D" w:rsidRPr="00DB6C99" w:rsidRDefault="007C344D" w:rsidP="007C344D">
            <w:pPr>
              <w:widowControl w:val="0"/>
              <w:autoSpaceDE w:val="0"/>
              <w:autoSpaceDN w:val="0"/>
              <w:adjustRightInd w:val="0"/>
              <w:spacing w:after="0" w:line="240" w:lineRule="auto"/>
              <w:rPr>
                <w:rFonts w:ascii="Garamond" w:hAnsi="Garamond"/>
                <w:i/>
                <w:iCs/>
                <w:sz w:val="20"/>
                <w:szCs w:val="20"/>
              </w:rPr>
            </w:pPr>
            <w:r w:rsidRPr="00DB6C99">
              <w:rPr>
                <w:rFonts w:ascii="Garamond" w:hAnsi="Garamond"/>
                <w:i/>
                <w:iCs/>
                <w:sz w:val="20"/>
                <w:szCs w:val="20"/>
              </w:rPr>
              <w:t>Firm &amp; Year</w:t>
            </w:r>
          </w:p>
        </w:tc>
        <w:tc>
          <w:tcPr>
            <w:tcW w:w="1923" w:type="dxa"/>
            <w:tcBorders>
              <w:top w:val="nil"/>
              <w:left w:val="nil"/>
              <w:bottom w:val="nil"/>
              <w:right w:val="nil"/>
            </w:tcBorders>
          </w:tcPr>
          <w:p w14:paraId="1B4EA9F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Yes</w:t>
            </w:r>
          </w:p>
        </w:tc>
        <w:tc>
          <w:tcPr>
            <w:tcW w:w="1890" w:type="dxa"/>
            <w:tcBorders>
              <w:top w:val="nil"/>
              <w:left w:val="nil"/>
              <w:bottom w:val="nil"/>
              <w:right w:val="nil"/>
            </w:tcBorders>
          </w:tcPr>
          <w:p w14:paraId="33DB43C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Yes</w:t>
            </w:r>
          </w:p>
        </w:tc>
        <w:tc>
          <w:tcPr>
            <w:tcW w:w="1800" w:type="dxa"/>
            <w:tcBorders>
              <w:top w:val="nil"/>
              <w:left w:val="nil"/>
              <w:bottom w:val="nil"/>
              <w:right w:val="nil"/>
            </w:tcBorders>
          </w:tcPr>
          <w:p w14:paraId="7DC3AAA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w:t>
            </w:r>
          </w:p>
        </w:tc>
        <w:tc>
          <w:tcPr>
            <w:tcW w:w="1710" w:type="dxa"/>
            <w:tcBorders>
              <w:top w:val="nil"/>
              <w:left w:val="nil"/>
              <w:bottom w:val="nil"/>
              <w:right w:val="nil"/>
            </w:tcBorders>
          </w:tcPr>
          <w:p w14:paraId="567639C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w:t>
            </w:r>
          </w:p>
        </w:tc>
      </w:tr>
      <w:tr w:rsidR="00DB6C99" w:rsidRPr="00DB6C99" w14:paraId="344C0DBA" w14:textId="77777777" w:rsidTr="007C344D">
        <w:trPr>
          <w:jc w:val="center"/>
        </w:trPr>
        <w:tc>
          <w:tcPr>
            <w:tcW w:w="1947" w:type="dxa"/>
            <w:tcBorders>
              <w:top w:val="nil"/>
              <w:left w:val="nil"/>
              <w:bottom w:val="nil"/>
              <w:right w:val="nil"/>
            </w:tcBorders>
          </w:tcPr>
          <w:p w14:paraId="636EBBAA" w14:textId="77777777" w:rsidR="007C344D" w:rsidRPr="00DB6C99" w:rsidRDefault="007C344D" w:rsidP="007C344D">
            <w:pPr>
              <w:widowControl w:val="0"/>
              <w:autoSpaceDE w:val="0"/>
              <w:autoSpaceDN w:val="0"/>
              <w:adjustRightInd w:val="0"/>
              <w:spacing w:after="0" w:line="240" w:lineRule="auto"/>
              <w:rPr>
                <w:rFonts w:ascii="Garamond" w:hAnsi="Garamond"/>
                <w:i/>
                <w:iCs/>
                <w:sz w:val="20"/>
                <w:szCs w:val="20"/>
              </w:rPr>
            </w:pPr>
            <w:r w:rsidRPr="00DB6C99">
              <w:rPr>
                <w:rFonts w:ascii="Garamond" w:hAnsi="Garamond"/>
                <w:i/>
                <w:iCs/>
                <w:sz w:val="20"/>
                <w:szCs w:val="20"/>
              </w:rPr>
              <w:t>I</w:t>
            </w:r>
            <w:r w:rsidRPr="00DB6C99">
              <w:rPr>
                <w:rFonts w:ascii="Garamond" w:hAnsi="Garamond"/>
                <w:i/>
                <w:iCs/>
                <w:spacing w:val="-2"/>
                <w:sz w:val="20"/>
                <w:szCs w:val="20"/>
              </w:rPr>
              <w:t>n</w:t>
            </w:r>
            <w:r w:rsidRPr="00DB6C99">
              <w:rPr>
                <w:rFonts w:ascii="Garamond" w:hAnsi="Garamond"/>
                <w:i/>
                <w:iCs/>
                <w:spacing w:val="1"/>
                <w:sz w:val="20"/>
                <w:szCs w:val="20"/>
              </w:rPr>
              <w:t>d</w:t>
            </w:r>
            <w:r w:rsidRPr="00DB6C99">
              <w:rPr>
                <w:rFonts w:ascii="Garamond" w:hAnsi="Garamond"/>
                <w:i/>
                <w:iCs/>
                <w:spacing w:val="-2"/>
                <w:sz w:val="20"/>
                <w:szCs w:val="20"/>
              </w:rPr>
              <w:t>u</w:t>
            </w:r>
            <w:r w:rsidRPr="00DB6C99">
              <w:rPr>
                <w:rFonts w:ascii="Garamond" w:hAnsi="Garamond"/>
                <w:i/>
                <w:iCs/>
                <w:spacing w:val="-1"/>
                <w:sz w:val="20"/>
                <w:szCs w:val="20"/>
              </w:rPr>
              <w:t>st</w:t>
            </w:r>
            <w:r w:rsidRPr="00DB6C99">
              <w:rPr>
                <w:rFonts w:ascii="Garamond" w:hAnsi="Garamond"/>
                <w:i/>
                <w:iCs/>
                <w:spacing w:val="3"/>
                <w:sz w:val="20"/>
                <w:szCs w:val="20"/>
              </w:rPr>
              <w:t>r</w:t>
            </w:r>
            <w:r w:rsidRPr="00DB6C99">
              <w:rPr>
                <w:rFonts w:ascii="Garamond" w:hAnsi="Garamond"/>
                <w:i/>
                <w:iCs/>
                <w:sz w:val="20"/>
                <w:szCs w:val="20"/>
              </w:rPr>
              <w:t>y &amp; Year</w:t>
            </w:r>
          </w:p>
        </w:tc>
        <w:tc>
          <w:tcPr>
            <w:tcW w:w="1923" w:type="dxa"/>
            <w:tcBorders>
              <w:top w:val="nil"/>
              <w:left w:val="nil"/>
              <w:bottom w:val="nil"/>
              <w:right w:val="nil"/>
            </w:tcBorders>
          </w:tcPr>
          <w:p w14:paraId="2A22669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w:t>
            </w:r>
          </w:p>
        </w:tc>
        <w:tc>
          <w:tcPr>
            <w:tcW w:w="1890" w:type="dxa"/>
            <w:tcBorders>
              <w:top w:val="nil"/>
              <w:left w:val="nil"/>
              <w:bottom w:val="nil"/>
              <w:right w:val="nil"/>
            </w:tcBorders>
          </w:tcPr>
          <w:p w14:paraId="04C57B2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w:t>
            </w:r>
          </w:p>
        </w:tc>
        <w:tc>
          <w:tcPr>
            <w:tcW w:w="1800" w:type="dxa"/>
            <w:tcBorders>
              <w:top w:val="nil"/>
              <w:left w:val="nil"/>
              <w:bottom w:val="nil"/>
              <w:right w:val="nil"/>
            </w:tcBorders>
          </w:tcPr>
          <w:p w14:paraId="2713578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Yes</w:t>
            </w:r>
          </w:p>
        </w:tc>
        <w:tc>
          <w:tcPr>
            <w:tcW w:w="1710" w:type="dxa"/>
            <w:tcBorders>
              <w:top w:val="nil"/>
              <w:left w:val="nil"/>
              <w:bottom w:val="nil"/>
              <w:right w:val="nil"/>
            </w:tcBorders>
          </w:tcPr>
          <w:p w14:paraId="2C1171E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Yes</w:t>
            </w:r>
          </w:p>
        </w:tc>
      </w:tr>
      <w:tr w:rsidR="00DB6C99" w:rsidRPr="00DB6C99" w14:paraId="1409996A" w14:textId="77777777" w:rsidTr="007C344D">
        <w:trPr>
          <w:jc w:val="center"/>
        </w:trPr>
        <w:tc>
          <w:tcPr>
            <w:tcW w:w="1947" w:type="dxa"/>
            <w:tcBorders>
              <w:top w:val="nil"/>
              <w:left w:val="nil"/>
              <w:bottom w:val="nil"/>
              <w:right w:val="nil"/>
            </w:tcBorders>
          </w:tcPr>
          <w:p w14:paraId="64B76BBD" w14:textId="77777777" w:rsidR="007C344D" w:rsidRPr="00DB6C99" w:rsidRDefault="007C344D" w:rsidP="007C344D">
            <w:pPr>
              <w:widowControl w:val="0"/>
              <w:autoSpaceDE w:val="0"/>
              <w:autoSpaceDN w:val="0"/>
              <w:adjustRightInd w:val="0"/>
              <w:spacing w:after="0" w:line="240" w:lineRule="auto"/>
              <w:rPr>
                <w:rFonts w:ascii="Garamond" w:hAnsi="Garamond"/>
                <w:i/>
                <w:iCs/>
                <w:sz w:val="20"/>
                <w:szCs w:val="20"/>
              </w:rPr>
            </w:pPr>
            <w:r w:rsidRPr="00DB6C99">
              <w:rPr>
                <w:rFonts w:ascii="Garamond" w:hAnsi="Garamond"/>
                <w:i/>
                <w:iCs/>
                <w:sz w:val="20"/>
                <w:szCs w:val="20"/>
              </w:rPr>
              <w:t>Adj. R</w:t>
            </w:r>
            <w:r w:rsidRPr="00DB6C99">
              <w:rPr>
                <w:rFonts w:ascii="Garamond" w:hAnsi="Garamond"/>
                <w:i/>
                <w:iCs/>
                <w:sz w:val="20"/>
                <w:szCs w:val="20"/>
                <w:vertAlign w:val="superscript"/>
              </w:rPr>
              <w:t>2</w:t>
            </w:r>
          </w:p>
        </w:tc>
        <w:tc>
          <w:tcPr>
            <w:tcW w:w="1923" w:type="dxa"/>
            <w:tcBorders>
              <w:top w:val="nil"/>
              <w:left w:val="nil"/>
              <w:bottom w:val="nil"/>
              <w:right w:val="nil"/>
            </w:tcBorders>
          </w:tcPr>
          <w:p w14:paraId="6BAD235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0.197</w:t>
            </w:r>
          </w:p>
        </w:tc>
        <w:tc>
          <w:tcPr>
            <w:tcW w:w="1890" w:type="dxa"/>
            <w:tcBorders>
              <w:top w:val="nil"/>
              <w:left w:val="nil"/>
              <w:bottom w:val="nil"/>
              <w:right w:val="nil"/>
            </w:tcBorders>
          </w:tcPr>
          <w:p w14:paraId="6C31160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0.192</w:t>
            </w:r>
          </w:p>
        </w:tc>
        <w:tc>
          <w:tcPr>
            <w:tcW w:w="1800" w:type="dxa"/>
            <w:tcBorders>
              <w:top w:val="nil"/>
              <w:left w:val="nil"/>
              <w:bottom w:val="nil"/>
              <w:right w:val="nil"/>
            </w:tcBorders>
          </w:tcPr>
          <w:p w14:paraId="32279D9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0.382</w:t>
            </w:r>
          </w:p>
        </w:tc>
        <w:tc>
          <w:tcPr>
            <w:tcW w:w="1710" w:type="dxa"/>
            <w:tcBorders>
              <w:top w:val="nil"/>
              <w:left w:val="nil"/>
              <w:bottom w:val="nil"/>
              <w:right w:val="nil"/>
            </w:tcBorders>
          </w:tcPr>
          <w:p w14:paraId="34D615A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0.373</w:t>
            </w:r>
          </w:p>
        </w:tc>
      </w:tr>
      <w:tr w:rsidR="00DB6C99" w:rsidRPr="00DB6C99" w14:paraId="195FBF37" w14:textId="77777777" w:rsidTr="007C344D">
        <w:tblPrEx>
          <w:tblBorders>
            <w:bottom w:val="single" w:sz="6" w:space="0" w:color="auto"/>
          </w:tblBorders>
        </w:tblPrEx>
        <w:trPr>
          <w:jc w:val="center"/>
        </w:trPr>
        <w:tc>
          <w:tcPr>
            <w:tcW w:w="1947" w:type="dxa"/>
            <w:tcBorders>
              <w:top w:val="nil"/>
              <w:left w:val="nil"/>
              <w:bottom w:val="single" w:sz="6" w:space="0" w:color="auto"/>
              <w:right w:val="nil"/>
            </w:tcBorders>
          </w:tcPr>
          <w:p w14:paraId="4F4F20A5" w14:textId="77777777" w:rsidR="007C344D" w:rsidRPr="00DB6C99" w:rsidRDefault="007C344D" w:rsidP="007C344D">
            <w:pPr>
              <w:widowControl w:val="0"/>
              <w:autoSpaceDE w:val="0"/>
              <w:autoSpaceDN w:val="0"/>
              <w:adjustRightInd w:val="0"/>
              <w:spacing w:after="0" w:line="240" w:lineRule="auto"/>
              <w:rPr>
                <w:rFonts w:ascii="Garamond" w:hAnsi="Garamond"/>
                <w:i/>
                <w:iCs/>
                <w:sz w:val="20"/>
                <w:szCs w:val="20"/>
              </w:rPr>
            </w:pPr>
            <w:r w:rsidRPr="00DB6C99">
              <w:rPr>
                <w:rFonts w:ascii="Garamond" w:hAnsi="Garamond"/>
                <w:i/>
                <w:iCs/>
                <w:sz w:val="20"/>
                <w:szCs w:val="20"/>
              </w:rPr>
              <w:t>F-stat</w:t>
            </w:r>
          </w:p>
        </w:tc>
        <w:tc>
          <w:tcPr>
            <w:tcW w:w="1923" w:type="dxa"/>
            <w:tcBorders>
              <w:top w:val="nil"/>
              <w:left w:val="nil"/>
              <w:bottom w:val="single" w:sz="6" w:space="0" w:color="auto"/>
              <w:right w:val="nil"/>
            </w:tcBorders>
          </w:tcPr>
          <w:p w14:paraId="29A4291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111.6</w:t>
            </w:r>
          </w:p>
        </w:tc>
        <w:tc>
          <w:tcPr>
            <w:tcW w:w="1890" w:type="dxa"/>
            <w:tcBorders>
              <w:top w:val="nil"/>
              <w:left w:val="nil"/>
              <w:bottom w:val="single" w:sz="6" w:space="0" w:color="auto"/>
              <w:right w:val="nil"/>
            </w:tcBorders>
          </w:tcPr>
          <w:p w14:paraId="19C843D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88.63</w:t>
            </w:r>
          </w:p>
        </w:tc>
        <w:tc>
          <w:tcPr>
            <w:tcW w:w="1800" w:type="dxa"/>
            <w:tcBorders>
              <w:top w:val="nil"/>
              <w:left w:val="nil"/>
              <w:bottom w:val="single" w:sz="6" w:space="0" w:color="auto"/>
              <w:right w:val="nil"/>
            </w:tcBorders>
          </w:tcPr>
          <w:p w14:paraId="32DEB68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24.50</w:t>
            </w:r>
          </w:p>
        </w:tc>
        <w:tc>
          <w:tcPr>
            <w:tcW w:w="1710" w:type="dxa"/>
            <w:tcBorders>
              <w:top w:val="nil"/>
              <w:left w:val="nil"/>
              <w:bottom w:val="single" w:sz="6" w:space="0" w:color="auto"/>
              <w:right w:val="nil"/>
            </w:tcBorders>
          </w:tcPr>
          <w:p w14:paraId="250DB18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21.47</w:t>
            </w:r>
          </w:p>
        </w:tc>
      </w:tr>
    </w:tbl>
    <w:p w14:paraId="0937658B" w14:textId="77777777" w:rsidR="007C344D" w:rsidRPr="00DB6C99" w:rsidRDefault="007C344D" w:rsidP="007C344D">
      <w:pPr>
        <w:widowControl w:val="0"/>
        <w:kinsoku w:val="0"/>
        <w:overflowPunct w:val="0"/>
        <w:autoSpaceDE w:val="0"/>
        <w:autoSpaceDN w:val="0"/>
        <w:adjustRightInd w:val="0"/>
        <w:spacing w:after="0" w:line="240" w:lineRule="auto"/>
        <w:jc w:val="both"/>
        <w:rPr>
          <w:rFonts w:ascii="Garamond" w:hAnsi="Garamond"/>
          <w:sz w:val="20"/>
          <w:szCs w:val="18"/>
        </w:rPr>
      </w:pPr>
      <w:r w:rsidRPr="00DB6C99">
        <w:rPr>
          <w:rFonts w:ascii="Garamond" w:hAnsi="Garamond"/>
          <w:b/>
          <w:bCs/>
          <w:sz w:val="20"/>
          <w:szCs w:val="18"/>
        </w:rPr>
        <w:t>Note:</w:t>
      </w:r>
      <w:r w:rsidRPr="00DB6C99">
        <w:rPr>
          <w:rFonts w:ascii="Garamond" w:hAnsi="Garamond"/>
          <w:sz w:val="20"/>
          <w:szCs w:val="18"/>
        </w:rPr>
        <w:t xml:space="preserve"> *,**, *** Represent significance at 0.1, 0.05 and 0.01 levels, respectively. </w:t>
      </w:r>
      <w:r w:rsidRPr="00DB6C99">
        <w:rPr>
          <w:rFonts w:ascii="Garamond" w:hAnsi="Garamond"/>
          <w:sz w:val="20"/>
          <w:szCs w:val="20"/>
        </w:rPr>
        <w:t>T statistics are given in parenthesis.</w:t>
      </w:r>
    </w:p>
    <w:p w14:paraId="2D3F40B1" w14:textId="77777777" w:rsidR="007C344D" w:rsidRPr="00DB6C99" w:rsidRDefault="007C344D" w:rsidP="007C344D">
      <w:pPr>
        <w:spacing w:after="0" w:line="240" w:lineRule="auto"/>
        <w:rPr>
          <w:rFonts w:ascii="Garamond" w:hAnsi="Garamond"/>
          <w:lang w:eastAsia="fr-FR"/>
        </w:rPr>
        <w:sectPr w:rsidR="007C344D" w:rsidRPr="00DB6C99" w:rsidSect="007C344D">
          <w:pgSz w:w="12240" w:h="15840"/>
          <w:pgMar w:top="1440" w:right="1440" w:bottom="1440" w:left="1440" w:header="720" w:footer="720" w:gutter="0"/>
          <w:cols w:space="720"/>
          <w:docGrid w:linePitch="360"/>
        </w:sectPr>
      </w:pPr>
      <w:r w:rsidRPr="00DB6C99">
        <w:rPr>
          <w:rFonts w:ascii="Garamond" w:hAnsi="Garamond"/>
          <w:sz w:val="20"/>
          <w:szCs w:val="18"/>
        </w:rPr>
        <w:t>All variables are as defined in Table 1.</w:t>
      </w:r>
    </w:p>
    <w:p w14:paraId="6EA18CCE" w14:textId="77777777" w:rsidR="007C344D" w:rsidRPr="00DB6C99" w:rsidRDefault="007C344D" w:rsidP="007C344D">
      <w:pPr>
        <w:spacing w:after="0" w:line="240" w:lineRule="auto"/>
        <w:rPr>
          <w:rFonts w:ascii="Garamond" w:hAnsi="Garamond"/>
        </w:rPr>
      </w:pPr>
      <w:r w:rsidRPr="00DB6C99">
        <w:rPr>
          <w:rFonts w:ascii="Garamond" w:hAnsi="Garamond"/>
          <w:b/>
          <w:bCs/>
        </w:rPr>
        <w:lastRenderedPageBreak/>
        <w:t xml:space="preserve">Table 10: </w:t>
      </w:r>
      <w:r w:rsidRPr="00DB6C99">
        <w:rPr>
          <w:rFonts w:ascii="Garamond" w:hAnsi="Garamond"/>
        </w:rPr>
        <w:t>Results using alternate measures of female directors</w:t>
      </w:r>
    </w:p>
    <w:tbl>
      <w:tblPr>
        <w:tblW w:w="11070" w:type="dxa"/>
        <w:jc w:val="center"/>
        <w:tblLayout w:type="fixed"/>
        <w:tblCellMar>
          <w:left w:w="75" w:type="dxa"/>
          <w:right w:w="75" w:type="dxa"/>
        </w:tblCellMar>
        <w:tblLook w:val="0000" w:firstRow="0" w:lastRow="0" w:firstColumn="0" w:lastColumn="0" w:noHBand="0" w:noVBand="0"/>
      </w:tblPr>
      <w:tblGrid>
        <w:gridCol w:w="1947"/>
        <w:gridCol w:w="1113"/>
        <w:gridCol w:w="990"/>
        <w:gridCol w:w="1170"/>
        <w:gridCol w:w="1170"/>
        <w:gridCol w:w="1170"/>
        <w:gridCol w:w="1170"/>
        <w:gridCol w:w="1170"/>
        <w:gridCol w:w="1170"/>
      </w:tblGrid>
      <w:tr w:rsidR="00DB6C99" w:rsidRPr="00DB6C99" w14:paraId="1F34A7FE" w14:textId="77777777" w:rsidTr="007C344D">
        <w:trPr>
          <w:jc w:val="center"/>
        </w:trPr>
        <w:tc>
          <w:tcPr>
            <w:tcW w:w="1947" w:type="dxa"/>
            <w:tcBorders>
              <w:top w:val="single" w:sz="6" w:space="0" w:color="auto"/>
              <w:left w:val="nil"/>
              <w:bottom w:val="nil"/>
              <w:right w:val="nil"/>
            </w:tcBorders>
          </w:tcPr>
          <w:p w14:paraId="46A3B81E"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9123" w:type="dxa"/>
            <w:gridSpan w:val="8"/>
            <w:tcBorders>
              <w:top w:val="single" w:sz="6" w:space="0" w:color="auto"/>
              <w:left w:val="nil"/>
              <w:bottom w:val="single" w:sz="6" w:space="0" w:color="auto"/>
              <w:right w:val="nil"/>
            </w:tcBorders>
          </w:tcPr>
          <w:p w14:paraId="11DB255A" w14:textId="77777777" w:rsidR="007C344D" w:rsidRPr="00DB6C99" w:rsidRDefault="007C344D" w:rsidP="007C344D">
            <w:pPr>
              <w:widowControl w:val="0"/>
              <w:autoSpaceDE w:val="0"/>
              <w:autoSpaceDN w:val="0"/>
              <w:adjustRightInd w:val="0"/>
              <w:spacing w:after="0" w:line="240" w:lineRule="auto"/>
              <w:jc w:val="center"/>
              <w:rPr>
                <w:rFonts w:ascii="Garamond" w:hAnsi="Garamond"/>
                <w:i/>
                <w:iCs/>
                <w:sz w:val="20"/>
                <w:szCs w:val="20"/>
              </w:rPr>
            </w:pPr>
            <w:r w:rsidRPr="00DB6C99">
              <w:rPr>
                <w:rFonts w:ascii="Garamond" w:hAnsi="Garamond"/>
                <w:i/>
                <w:iCs/>
                <w:sz w:val="20"/>
                <w:szCs w:val="20"/>
              </w:rPr>
              <w:t>GAP</w:t>
            </w:r>
          </w:p>
        </w:tc>
      </w:tr>
      <w:tr w:rsidR="00DB6C99" w:rsidRPr="00DB6C99" w14:paraId="0937BBE1" w14:textId="77777777" w:rsidTr="007C344D">
        <w:trPr>
          <w:jc w:val="center"/>
        </w:trPr>
        <w:tc>
          <w:tcPr>
            <w:tcW w:w="1947" w:type="dxa"/>
            <w:tcBorders>
              <w:top w:val="nil"/>
              <w:left w:val="nil"/>
              <w:bottom w:val="single" w:sz="6" w:space="0" w:color="auto"/>
              <w:right w:val="nil"/>
            </w:tcBorders>
          </w:tcPr>
          <w:p w14:paraId="421D7AE3"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sz w:val="20"/>
                <w:szCs w:val="20"/>
              </w:rPr>
              <w:t>VARIABLES</w:t>
            </w:r>
          </w:p>
        </w:tc>
        <w:tc>
          <w:tcPr>
            <w:tcW w:w="2103" w:type="dxa"/>
            <w:gridSpan w:val="2"/>
            <w:tcBorders>
              <w:top w:val="single" w:sz="6" w:space="0" w:color="auto"/>
              <w:left w:val="nil"/>
              <w:bottom w:val="single" w:sz="6" w:space="0" w:color="auto"/>
              <w:right w:val="nil"/>
            </w:tcBorders>
            <w:vAlign w:val="center"/>
          </w:tcPr>
          <w:p w14:paraId="0000387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b/>
                <w:sz w:val="20"/>
                <w:szCs w:val="20"/>
              </w:rPr>
              <w:t>FE</w:t>
            </w:r>
          </w:p>
        </w:tc>
        <w:tc>
          <w:tcPr>
            <w:tcW w:w="2340" w:type="dxa"/>
            <w:gridSpan w:val="2"/>
            <w:tcBorders>
              <w:top w:val="single" w:sz="6" w:space="0" w:color="auto"/>
              <w:left w:val="nil"/>
              <w:bottom w:val="single" w:sz="6" w:space="0" w:color="auto"/>
              <w:right w:val="nil"/>
            </w:tcBorders>
            <w:vAlign w:val="center"/>
          </w:tcPr>
          <w:p w14:paraId="238343E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b/>
                <w:sz w:val="20"/>
                <w:szCs w:val="20"/>
              </w:rPr>
              <w:t>Lagged-FE</w:t>
            </w:r>
          </w:p>
        </w:tc>
        <w:tc>
          <w:tcPr>
            <w:tcW w:w="2340" w:type="dxa"/>
            <w:gridSpan w:val="2"/>
            <w:tcBorders>
              <w:top w:val="single" w:sz="6" w:space="0" w:color="auto"/>
              <w:left w:val="nil"/>
              <w:bottom w:val="single" w:sz="6" w:space="0" w:color="auto"/>
              <w:right w:val="nil"/>
            </w:tcBorders>
            <w:vAlign w:val="center"/>
          </w:tcPr>
          <w:p w14:paraId="7DD1263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b/>
                <w:sz w:val="20"/>
                <w:szCs w:val="20"/>
              </w:rPr>
              <w:t>OLS</w:t>
            </w:r>
          </w:p>
        </w:tc>
        <w:tc>
          <w:tcPr>
            <w:tcW w:w="2340" w:type="dxa"/>
            <w:gridSpan w:val="2"/>
            <w:tcBorders>
              <w:top w:val="single" w:sz="6" w:space="0" w:color="auto"/>
              <w:left w:val="nil"/>
              <w:bottom w:val="single" w:sz="6" w:space="0" w:color="auto"/>
              <w:right w:val="nil"/>
            </w:tcBorders>
            <w:vAlign w:val="center"/>
          </w:tcPr>
          <w:p w14:paraId="5BB3510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b/>
                <w:sz w:val="20"/>
                <w:szCs w:val="20"/>
              </w:rPr>
              <w:t>Lagged-OLS</w:t>
            </w:r>
          </w:p>
        </w:tc>
      </w:tr>
      <w:tr w:rsidR="00DB6C99" w:rsidRPr="00DB6C99" w14:paraId="0FCEE8D3" w14:textId="77777777" w:rsidTr="007C344D">
        <w:trPr>
          <w:jc w:val="center"/>
        </w:trPr>
        <w:tc>
          <w:tcPr>
            <w:tcW w:w="1947" w:type="dxa"/>
            <w:tcBorders>
              <w:top w:val="nil"/>
              <w:left w:val="nil"/>
              <w:bottom w:val="nil"/>
              <w:right w:val="nil"/>
            </w:tcBorders>
          </w:tcPr>
          <w:p w14:paraId="3A2F6DC5" w14:textId="77777777" w:rsidR="007C344D" w:rsidRPr="00DB6C99" w:rsidRDefault="007C344D" w:rsidP="007C344D">
            <w:pPr>
              <w:widowControl w:val="0"/>
              <w:autoSpaceDE w:val="0"/>
              <w:autoSpaceDN w:val="0"/>
              <w:adjustRightInd w:val="0"/>
              <w:spacing w:after="0" w:line="240" w:lineRule="auto"/>
              <w:rPr>
                <w:rFonts w:ascii="Garamond" w:hAnsi="Garamond"/>
                <w:i/>
                <w:iCs/>
                <w:sz w:val="20"/>
                <w:szCs w:val="20"/>
              </w:rPr>
            </w:pPr>
            <w:r w:rsidRPr="00DB6C99">
              <w:rPr>
                <w:rFonts w:ascii="Garamond" w:hAnsi="Garamond"/>
                <w:i/>
                <w:iCs/>
                <w:sz w:val="20"/>
                <w:szCs w:val="20"/>
              </w:rPr>
              <w:t>BLAU</w:t>
            </w:r>
          </w:p>
        </w:tc>
        <w:tc>
          <w:tcPr>
            <w:tcW w:w="1113" w:type="dxa"/>
            <w:tcBorders>
              <w:top w:val="nil"/>
              <w:left w:val="nil"/>
              <w:bottom w:val="nil"/>
              <w:right w:val="nil"/>
            </w:tcBorders>
          </w:tcPr>
          <w:p w14:paraId="4892FFE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-0.328***</w:t>
            </w:r>
          </w:p>
        </w:tc>
        <w:tc>
          <w:tcPr>
            <w:tcW w:w="990" w:type="dxa"/>
            <w:tcBorders>
              <w:top w:val="nil"/>
              <w:left w:val="nil"/>
              <w:bottom w:val="nil"/>
              <w:right w:val="nil"/>
            </w:tcBorders>
          </w:tcPr>
          <w:p w14:paraId="4A6FF28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w:t>
            </w:r>
          </w:p>
        </w:tc>
        <w:tc>
          <w:tcPr>
            <w:tcW w:w="1170" w:type="dxa"/>
            <w:tcBorders>
              <w:top w:val="nil"/>
              <w:left w:val="nil"/>
              <w:bottom w:val="nil"/>
              <w:right w:val="nil"/>
            </w:tcBorders>
          </w:tcPr>
          <w:p w14:paraId="43B7BB9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-0.461***</w:t>
            </w:r>
          </w:p>
        </w:tc>
        <w:tc>
          <w:tcPr>
            <w:tcW w:w="1170" w:type="dxa"/>
            <w:tcBorders>
              <w:top w:val="nil"/>
              <w:left w:val="nil"/>
              <w:bottom w:val="nil"/>
              <w:right w:val="nil"/>
            </w:tcBorders>
          </w:tcPr>
          <w:p w14:paraId="7AA4A9E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w:t>
            </w:r>
          </w:p>
        </w:tc>
        <w:tc>
          <w:tcPr>
            <w:tcW w:w="1170" w:type="dxa"/>
            <w:tcBorders>
              <w:top w:val="nil"/>
              <w:left w:val="nil"/>
              <w:bottom w:val="nil"/>
              <w:right w:val="nil"/>
            </w:tcBorders>
          </w:tcPr>
          <w:p w14:paraId="1A17148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-0.158**</w:t>
            </w:r>
          </w:p>
        </w:tc>
        <w:tc>
          <w:tcPr>
            <w:tcW w:w="1170" w:type="dxa"/>
            <w:tcBorders>
              <w:top w:val="nil"/>
              <w:left w:val="nil"/>
              <w:bottom w:val="nil"/>
              <w:right w:val="nil"/>
            </w:tcBorders>
          </w:tcPr>
          <w:p w14:paraId="027A700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w:t>
            </w:r>
          </w:p>
        </w:tc>
        <w:tc>
          <w:tcPr>
            <w:tcW w:w="1170" w:type="dxa"/>
            <w:tcBorders>
              <w:top w:val="nil"/>
              <w:left w:val="nil"/>
              <w:bottom w:val="nil"/>
              <w:right w:val="nil"/>
            </w:tcBorders>
          </w:tcPr>
          <w:p w14:paraId="2E27B9B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-0.151**</w:t>
            </w:r>
          </w:p>
        </w:tc>
        <w:tc>
          <w:tcPr>
            <w:tcW w:w="1170" w:type="dxa"/>
            <w:tcBorders>
              <w:top w:val="nil"/>
              <w:left w:val="nil"/>
              <w:bottom w:val="nil"/>
              <w:right w:val="nil"/>
            </w:tcBorders>
          </w:tcPr>
          <w:p w14:paraId="450C9C2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w:t>
            </w:r>
          </w:p>
        </w:tc>
      </w:tr>
      <w:tr w:rsidR="00DB6C99" w:rsidRPr="00DB6C99" w14:paraId="7068FA33" w14:textId="77777777" w:rsidTr="007C344D">
        <w:trPr>
          <w:jc w:val="center"/>
        </w:trPr>
        <w:tc>
          <w:tcPr>
            <w:tcW w:w="1947" w:type="dxa"/>
            <w:tcBorders>
              <w:top w:val="nil"/>
              <w:left w:val="nil"/>
              <w:bottom w:val="nil"/>
              <w:right w:val="nil"/>
            </w:tcBorders>
          </w:tcPr>
          <w:p w14:paraId="0FC68EAB" w14:textId="77777777" w:rsidR="007C344D" w:rsidRPr="00DB6C99" w:rsidRDefault="007C344D" w:rsidP="007C344D">
            <w:pPr>
              <w:widowControl w:val="0"/>
              <w:autoSpaceDE w:val="0"/>
              <w:autoSpaceDN w:val="0"/>
              <w:adjustRightInd w:val="0"/>
              <w:spacing w:after="0" w:line="240" w:lineRule="auto"/>
              <w:rPr>
                <w:rFonts w:ascii="Garamond" w:hAnsi="Garamond"/>
                <w:i/>
                <w:iCs/>
                <w:sz w:val="20"/>
                <w:szCs w:val="20"/>
              </w:rPr>
            </w:pPr>
          </w:p>
        </w:tc>
        <w:tc>
          <w:tcPr>
            <w:tcW w:w="1113" w:type="dxa"/>
            <w:tcBorders>
              <w:top w:val="nil"/>
              <w:left w:val="nil"/>
              <w:bottom w:val="nil"/>
              <w:right w:val="nil"/>
            </w:tcBorders>
          </w:tcPr>
          <w:p w14:paraId="4F5BE97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(-3.63)</w:t>
            </w:r>
          </w:p>
        </w:tc>
        <w:tc>
          <w:tcPr>
            <w:tcW w:w="990" w:type="dxa"/>
            <w:tcBorders>
              <w:top w:val="nil"/>
              <w:left w:val="nil"/>
              <w:bottom w:val="nil"/>
              <w:right w:val="nil"/>
            </w:tcBorders>
          </w:tcPr>
          <w:p w14:paraId="1417A48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p>
        </w:tc>
        <w:tc>
          <w:tcPr>
            <w:tcW w:w="1170" w:type="dxa"/>
            <w:tcBorders>
              <w:top w:val="nil"/>
              <w:left w:val="nil"/>
              <w:bottom w:val="nil"/>
              <w:right w:val="nil"/>
            </w:tcBorders>
          </w:tcPr>
          <w:p w14:paraId="6A0F173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(-4.66)</w:t>
            </w:r>
          </w:p>
        </w:tc>
        <w:tc>
          <w:tcPr>
            <w:tcW w:w="1170" w:type="dxa"/>
            <w:tcBorders>
              <w:top w:val="nil"/>
              <w:left w:val="nil"/>
              <w:bottom w:val="nil"/>
              <w:right w:val="nil"/>
            </w:tcBorders>
          </w:tcPr>
          <w:p w14:paraId="5FFAB32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p>
        </w:tc>
        <w:tc>
          <w:tcPr>
            <w:tcW w:w="1170" w:type="dxa"/>
            <w:tcBorders>
              <w:top w:val="nil"/>
              <w:left w:val="nil"/>
              <w:bottom w:val="nil"/>
              <w:right w:val="nil"/>
            </w:tcBorders>
          </w:tcPr>
          <w:p w14:paraId="2FB8E4DF"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(-2.43)</w:t>
            </w:r>
          </w:p>
        </w:tc>
        <w:tc>
          <w:tcPr>
            <w:tcW w:w="1170" w:type="dxa"/>
            <w:tcBorders>
              <w:top w:val="nil"/>
              <w:left w:val="nil"/>
              <w:bottom w:val="nil"/>
              <w:right w:val="nil"/>
            </w:tcBorders>
          </w:tcPr>
          <w:p w14:paraId="63310DD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p>
        </w:tc>
        <w:tc>
          <w:tcPr>
            <w:tcW w:w="1170" w:type="dxa"/>
            <w:tcBorders>
              <w:top w:val="nil"/>
              <w:left w:val="nil"/>
              <w:bottom w:val="nil"/>
              <w:right w:val="nil"/>
            </w:tcBorders>
          </w:tcPr>
          <w:p w14:paraId="6BECA7E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(-2.10)</w:t>
            </w:r>
          </w:p>
        </w:tc>
        <w:tc>
          <w:tcPr>
            <w:tcW w:w="1170" w:type="dxa"/>
            <w:tcBorders>
              <w:top w:val="nil"/>
              <w:left w:val="nil"/>
              <w:bottom w:val="nil"/>
              <w:right w:val="nil"/>
            </w:tcBorders>
          </w:tcPr>
          <w:p w14:paraId="70F1341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p>
        </w:tc>
      </w:tr>
      <w:tr w:rsidR="00DB6C99" w:rsidRPr="00DB6C99" w14:paraId="49C8902D" w14:textId="77777777" w:rsidTr="007C344D">
        <w:trPr>
          <w:jc w:val="center"/>
        </w:trPr>
        <w:tc>
          <w:tcPr>
            <w:tcW w:w="1947" w:type="dxa"/>
            <w:tcBorders>
              <w:top w:val="nil"/>
              <w:left w:val="nil"/>
              <w:bottom w:val="nil"/>
              <w:right w:val="nil"/>
            </w:tcBorders>
            <w:vAlign w:val="center"/>
          </w:tcPr>
          <w:p w14:paraId="06536341" w14:textId="77777777" w:rsidR="007C344D" w:rsidRPr="00DB6C99" w:rsidRDefault="007C344D" w:rsidP="007C344D">
            <w:pPr>
              <w:widowControl w:val="0"/>
              <w:autoSpaceDE w:val="0"/>
              <w:autoSpaceDN w:val="0"/>
              <w:adjustRightInd w:val="0"/>
              <w:spacing w:after="0" w:line="240" w:lineRule="auto"/>
              <w:rPr>
                <w:rFonts w:ascii="Garamond" w:hAnsi="Garamond"/>
                <w:i/>
                <w:iCs/>
                <w:sz w:val="20"/>
                <w:szCs w:val="20"/>
                <w:lang w:val="en-GB"/>
              </w:rPr>
            </w:pPr>
            <w:r w:rsidRPr="00DB6C99">
              <w:rPr>
                <w:rFonts w:ascii="Garamond" w:hAnsi="Garamond"/>
                <w:i/>
                <w:iCs/>
                <w:sz w:val="20"/>
                <w:szCs w:val="20"/>
                <w:lang w:val="en-GB"/>
              </w:rPr>
              <w:t>SHANNON</w:t>
            </w:r>
          </w:p>
        </w:tc>
        <w:tc>
          <w:tcPr>
            <w:tcW w:w="1113" w:type="dxa"/>
            <w:tcBorders>
              <w:top w:val="nil"/>
              <w:left w:val="nil"/>
              <w:bottom w:val="nil"/>
              <w:right w:val="nil"/>
            </w:tcBorders>
          </w:tcPr>
          <w:p w14:paraId="4813574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w:t>
            </w:r>
          </w:p>
        </w:tc>
        <w:tc>
          <w:tcPr>
            <w:tcW w:w="990" w:type="dxa"/>
            <w:tcBorders>
              <w:top w:val="nil"/>
              <w:left w:val="nil"/>
              <w:bottom w:val="nil"/>
              <w:right w:val="nil"/>
            </w:tcBorders>
          </w:tcPr>
          <w:p w14:paraId="290928FF"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-0.412***</w:t>
            </w:r>
          </w:p>
        </w:tc>
        <w:tc>
          <w:tcPr>
            <w:tcW w:w="1170" w:type="dxa"/>
            <w:tcBorders>
              <w:top w:val="nil"/>
              <w:left w:val="nil"/>
              <w:bottom w:val="nil"/>
              <w:right w:val="nil"/>
            </w:tcBorders>
          </w:tcPr>
          <w:p w14:paraId="5F769A6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w:t>
            </w:r>
          </w:p>
        </w:tc>
        <w:tc>
          <w:tcPr>
            <w:tcW w:w="1170" w:type="dxa"/>
            <w:tcBorders>
              <w:top w:val="nil"/>
              <w:left w:val="nil"/>
              <w:bottom w:val="nil"/>
              <w:right w:val="nil"/>
            </w:tcBorders>
          </w:tcPr>
          <w:p w14:paraId="640F0EA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-0.572***</w:t>
            </w:r>
          </w:p>
        </w:tc>
        <w:tc>
          <w:tcPr>
            <w:tcW w:w="1170" w:type="dxa"/>
            <w:tcBorders>
              <w:top w:val="nil"/>
              <w:left w:val="nil"/>
              <w:bottom w:val="nil"/>
              <w:right w:val="nil"/>
            </w:tcBorders>
          </w:tcPr>
          <w:p w14:paraId="30B117D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w:t>
            </w:r>
          </w:p>
        </w:tc>
        <w:tc>
          <w:tcPr>
            <w:tcW w:w="1170" w:type="dxa"/>
            <w:tcBorders>
              <w:top w:val="nil"/>
              <w:left w:val="nil"/>
              <w:bottom w:val="nil"/>
              <w:right w:val="nil"/>
            </w:tcBorders>
          </w:tcPr>
          <w:p w14:paraId="14EBAB4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-0.227***</w:t>
            </w:r>
          </w:p>
        </w:tc>
        <w:tc>
          <w:tcPr>
            <w:tcW w:w="1170" w:type="dxa"/>
            <w:tcBorders>
              <w:top w:val="nil"/>
              <w:left w:val="nil"/>
              <w:bottom w:val="nil"/>
              <w:right w:val="nil"/>
            </w:tcBorders>
          </w:tcPr>
          <w:p w14:paraId="3015BFE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w:t>
            </w:r>
          </w:p>
        </w:tc>
        <w:tc>
          <w:tcPr>
            <w:tcW w:w="1170" w:type="dxa"/>
            <w:tcBorders>
              <w:top w:val="nil"/>
              <w:left w:val="nil"/>
              <w:bottom w:val="nil"/>
              <w:right w:val="nil"/>
            </w:tcBorders>
          </w:tcPr>
          <w:p w14:paraId="4D6F818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-0.216**</w:t>
            </w:r>
          </w:p>
        </w:tc>
      </w:tr>
      <w:tr w:rsidR="00DB6C99" w:rsidRPr="00DB6C99" w14:paraId="12F75353" w14:textId="77777777" w:rsidTr="007C344D">
        <w:trPr>
          <w:jc w:val="center"/>
        </w:trPr>
        <w:tc>
          <w:tcPr>
            <w:tcW w:w="1947" w:type="dxa"/>
            <w:tcBorders>
              <w:top w:val="nil"/>
              <w:left w:val="nil"/>
              <w:bottom w:val="nil"/>
              <w:right w:val="nil"/>
            </w:tcBorders>
            <w:vAlign w:val="center"/>
          </w:tcPr>
          <w:p w14:paraId="2E4FE56A" w14:textId="77777777" w:rsidR="007C344D" w:rsidRPr="00DB6C99" w:rsidRDefault="007C344D" w:rsidP="007C344D">
            <w:pPr>
              <w:widowControl w:val="0"/>
              <w:autoSpaceDE w:val="0"/>
              <w:autoSpaceDN w:val="0"/>
              <w:adjustRightInd w:val="0"/>
              <w:spacing w:after="0" w:line="240" w:lineRule="auto"/>
              <w:rPr>
                <w:rFonts w:ascii="Garamond" w:hAnsi="Garamond"/>
                <w:i/>
                <w:iCs/>
                <w:sz w:val="20"/>
                <w:szCs w:val="20"/>
                <w:lang w:val="en-GB"/>
              </w:rPr>
            </w:pPr>
          </w:p>
        </w:tc>
        <w:tc>
          <w:tcPr>
            <w:tcW w:w="1113" w:type="dxa"/>
            <w:tcBorders>
              <w:top w:val="nil"/>
              <w:left w:val="nil"/>
              <w:bottom w:val="nil"/>
              <w:right w:val="nil"/>
            </w:tcBorders>
          </w:tcPr>
          <w:p w14:paraId="4A20EFE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p>
        </w:tc>
        <w:tc>
          <w:tcPr>
            <w:tcW w:w="990" w:type="dxa"/>
            <w:tcBorders>
              <w:top w:val="nil"/>
              <w:left w:val="nil"/>
              <w:bottom w:val="nil"/>
              <w:right w:val="nil"/>
            </w:tcBorders>
          </w:tcPr>
          <w:p w14:paraId="6C9FFC9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(-3.47)</w:t>
            </w:r>
          </w:p>
        </w:tc>
        <w:tc>
          <w:tcPr>
            <w:tcW w:w="1170" w:type="dxa"/>
            <w:tcBorders>
              <w:top w:val="nil"/>
              <w:left w:val="nil"/>
              <w:bottom w:val="nil"/>
              <w:right w:val="nil"/>
            </w:tcBorders>
          </w:tcPr>
          <w:p w14:paraId="50AAAD0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p>
        </w:tc>
        <w:tc>
          <w:tcPr>
            <w:tcW w:w="1170" w:type="dxa"/>
            <w:tcBorders>
              <w:top w:val="nil"/>
              <w:left w:val="nil"/>
              <w:bottom w:val="nil"/>
              <w:right w:val="nil"/>
            </w:tcBorders>
          </w:tcPr>
          <w:p w14:paraId="3EBD0D4F"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(-4.41)</w:t>
            </w:r>
          </w:p>
        </w:tc>
        <w:tc>
          <w:tcPr>
            <w:tcW w:w="1170" w:type="dxa"/>
            <w:tcBorders>
              <w:top w:val="nil"/>
              <w:left w:val="nil"/>
              <w:bottom w:val="nil"/>
              <w:right w:val="nil"/>
            </w:tcBorders>
          </w:tcPr>
          <w:p w14:paraId="75B45DC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p>
        </w:tc>
        <w:tc>
          <w:tcPr>
            <w:tcW w:w="1170" w:type="dxa"/>
            <w:tcBorders>
              <w:top w:val="nil"/>
              <w:left w:val="nil"/>
              <w:bottom w:val="nil"/>
              <w:right w:val="nil"/>
            </w:tcBorders>
          </w:tcPr>
          <w:p w14:paraId="237E591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(-2.62)</w:t>
            </w:r>
          </w:p>
        </w:tc>
        <w:tc>
          <w:tcPr>
            <w:tcW w:w="1170" w:type="dxa"/>
            <w:tcBorders>
              <w:top w:val="nil"/>
              <w:left w:val="nil"/>
              <w:bottom w:val="nil"/>
              <w:right w:val="nil"/>
            </w:tcBorders>
          </w:tcPr>
          <w:p w14:paraId="412D5B7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p>
        </w:tc>
        <w:tc>
          <w:tcPr>
            <w:tcW w:w="1170" w:type="dxa"/>
            <w:tcBorders>
              <w:top w:val="nil"/>
              <w:left w:val="nil"/>
              <w:bottom w:val="nil"/>
              <w:right w:val="nil"/>
            </w:tcBorders>
          </w:tcPr>
          <w:p w14:paraId="041ACB5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(-2.27)</w:t>
            </w:r>
          </w:p>
        </w:tc>
      </w:tr>
      <w:tr w:rsidR="00DB6C99" w:rsidRPr="00DB6C99" w14:paraId="74944B4F" w14:textId="77777777" w:rsidTr="007C344D">
        <w:trPr>
          <w:jc w:val="center"/>
        </w:trPr>
        <w:tc>
          <w:tcPr>
            <w:tcW w:w="1947" w:type="dxa"/>
            <w:tcBorders>
              <w:top w:val="nil"/>
              <w:left w:val="nil"/>
              <w:bottom w:val="nil"/>
              <w:right w:val="nil"/>
            </w:tcBorders>
            <w:vAlign w:val="center"/>
          </w:tcPr>
          <w:p w14:paraId="354449A8"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lang w:val="en-GB"/>
              </w:rPr>
              <w:t>BSIZE</w:t>
            </w:r>
          </w:p>
        </w:tc>
        <w:tc>
          <w:tcPr>
            <w:tcW w:w="1113" w:type="dxa"/>
            <w:tcBorders>
              <w:top w:val="nil"/>
              <w:left w:val="nil"/>
              <w:bottom w:val="nil"/>
              <w:right w:val="nil"/>
            </w:tcBorders>
          </w:tcPr>
          <w:p w14:paraId="17CA75D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-0.064</w:t>
            </w:r>
          </w:p>
        </w:tc>
        <w:tc>
          <w:tcPr>
            <w:tcW w:w="990" w:type="dxa"/>
            <w:tcBorders>
              <w:top w:val="nil"/>
              <w:left w:val="nil"/>
              <w:bottom w:val="nil"/>
              <w:right w:val="nil"/>
            </w:tcBorders>
          </w:tcPr>
          <w:p w14:paraId="4D17A1B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-0.058</w:t>
            </w:r>
          </w:p>
        </w:tc>
        <w:tc>
          <w:tcPr>
            <w:tcW w:w="1170" w:type="dxa"/>
            <w:tcBorders>
              <w:top w:val="nil"/>
              <w:left w:val="nil"/>
              <w:bottom w:val="nil"/>
              <w:right w:val="nil"/>
            </w:tcBorders>
          </w:tcPr>
          <w:p w14:paraId="1EA3661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0.053</w:t>
            </w:r>
          </w:p>
        </w:tc>
        <w:tc>
          <w:tcPr>
            <w:tcW w:w="1170" w:type="dxa"/>
            <w:tcBorders>
              <w:top w:val="nil"/>
              <w:left w:val="nil"/>
              <w:bottom w:val="nil"/>
              <w:right w:val="nil"/>
            </w:tcBorders>
          </w:tcPr>
          <w:p w14:paraId="7D91135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0.061</w:t>
            </w:r>
          </w:p>
        </w:tc>
        <w:tc>
          <w:tcPr>
            <w:tcW w:w="1170" w:type="dxa"/>
            <w:tcBorders>
              <w:top w:val="nil"/>
              <w:left w:val="nil"/>
              <w:bottom w:val="nil"/>
              <w:right w:val="nil"/>
            </w:tcBorders>
          </w:tcPr>
          <w:p w14:paraId="419FE24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0.132***</w:t>
            </w:r>
          </w:p>
        </w:tc>
        <w:tc>
          <w:tcPr>
            <w:tcW w:w="1170" w:type="dxa"/>
            <w:tcBorders>
              <w:top w:val="nil"/>
              <w:left w:val="nil"/>
              <w:bottom w:val="nil"/>
              <w:right w:val="nil"/>
            </w:tcBorders>
          </w:tcPr>
          <w:p w14:paraId="2DB8600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0.136***</w:t>
            </w:r>
          </w:p>
        </w:tc>
        <w:tc>
          <w:tcPr>
            <w:tcW w:w="1170" w:type="dxa"/>
            <w:tcBorders>
              <w:top w:val="nil"/>
              <w:left w:val="nil"/>
              <w:bottom w:val="nil"/>
              <w:right w:val="nil"/>
            </w:tcBorders>
          </w:tcPr>
          <w:p w14:paraId="1549137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0.219***</w:t>
            </w:r>
          </w:p>
        </w:tc>
        <w:tc>
          <w:tcPr>
            <w:tcW w:w="1170" w:type="dxa"/>
            <w:tcBorders>
              <w:top w:val="nil"/>
              <w:left w:val="nil"/>
              <w:bottom w:val="nil"/>
              <w:right w:val="nil"/>
            </w:tcBorders>
          </w:tcPr>
          <w:p w14:paraId="2F7D4A3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0.223***</w:t>
            </w:r>
          </w:p>
        </w:tc>
      </w:tr>
      <w:tr w:rsidR="00DB6C99" w:rsidRPr="00DB6C99" w14:paraId="4AD7EB63" w14:textId="77777777" w:rsidTr="007C344D">
        <w:trPr>
          <w:jc w:val="center"/>
        </w:trPr>
        <w:tc>
          <w:tcPr>
            <w:tcW w:w="1947" w:type="dxa"/>
            <w:tcBorders>
              <w:top w:val="nil"/>
              <w:left w:val="nil"/>
              <w:bottom w:val="nil"/>
              <w:right w:val="nil"/>
            </w:tcBorders>
            <w:vAlign w:val="center"/>
          </w:tcPr>
          <w:p w14:paraId="781A0C28"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113" w:type="dxa"/>
            <w:tcBorders>
              <w:top w:val="nil"/>
              <w:left w:val="nil"/>
              <w:bottom w:val="nil"/>
              <w:right w:val="nil"/>
            </w:tcBorders>
          </w:tcPr>
          <w:p w14:paraId="1A51617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(-1.09)</w:t>
            </w:r>
          </w:p>
        </w:tc>
        <w:tc>
          <w:tcPr>
            <w:tcW w:w="990" w:type="dxa"/>
            <w:tcBorders>
              <w:top w:val="nil"/>
              <w:left w:val="nil"/>
              <w:bottom w:val="nil"/>
              <w:right w:val="nil"/>
            </w:tcBorders>
          </w:tcPr>
          <w:p w14:paraId="3F15646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(-0.99)</w:t>
            </w:r>
          </w:p>
        </w:tc>
        <w:tc>
          <w:tcPr>
            <w:tcW w:w="1170" w:type="dxa"/>
            <w:tcBorders>
              <w:top w:val="nil"/>
              <w:left w:val="nil"/>
              <w:bottom w:val="nil"/>
              <w:right w:val="nil"/>
            </w:tcBorders>
          </w:tcPr>
          <w:p w14:paraId="32B9B08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(0.83)</w:t>
            </w:r>
          </w:p>
        </w:tc>
        <w:tc>
          <w:tcPr>
            <w:tcW w:w="1170" w:type="dxa"/>
            <w:tcBorders>
              <w:top w:val="nil"/>
              <w:left w:val="nil"/>
              <w:bottom w:val="nil"/>
              <w:right w:val="nil"/>
            </w:tcBorders>
          </w:tcPr>
          <w:p w14:paraId="18B57D6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(0.96)</w:t>
            </w:r>
          </w:p>
        </w:tc>
        <w:tc>
          <w:tcPr>
            <w:tcW w:w="1170" w:type="dxa"/>
            <w:tcBorders>
              <w:top w:val="nil"/>
              <w:left w:val="nil"/>
              <w:bottom w:val="nil"/>
              <w:right w:val="nil"/>
            </w:tcBorders>
          </w:tcPr>
          <w:p w14:paraId="05990D9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(3.13)</w:t>
            </w:r>
          </w:p>
        </w:tc>
        <w:tc>
          <w:tcPr>
            <w:tcW w:w="1170" w:type="dxa"/>
            <w:tcBorders>
              <w:top w:val="nil"/>
              <w:left w:val="nil"/>
              <w:bottom w:val="nil"/>
              <w:right w:val="nil"/>
            </w:tcBorders>
          </w:tcPr>
          <w:p w14:paraId="5BAB620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(3.21)</w:t>
            </w:r>
          </w:p>
        </w:tc>
        <w:tc>
          <w:tcPr>
            <w:tcW w:w="1170" w:type="dxa"/>
            <w:tcBorders>
              <w:top w:val="nil"/>
              <w:left w:val="nil"/>
              <w:bottom w:val="nil"/>
              <w:right w:val="nil"/>
            </w:tcBorders>
          </w:tcPr>
          <w:p w14:paraId="58DB756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(4.76)</w:t>
            </w:r>
          </w:p>
        </w:tc>
        <w:tc>
          <w:tcPr>
            <w:tcW w:w="1170" w:type="dxa"/>
            <w:tcBorders>
              <w:top w:val="nil"/>
              <w:left w:val="nil"/>
              <w:bottom w:val="nil"/>
              <w:right w:val="nil"/>
            </w:tcBorders>
          </w:tcPr>
          <w:p w14:paraId="76342E0F"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(4.83)</w:t>
            </w:r>
          </w:p>
        </w:tc>
      </w:tr>
      <w:tr w:rsidR="00DB6C99" w:rsidRPr="00DB6C99" w14:paraId="1D67E897" w14:textId="77777777" w:rsidTr="007C344D">
        <w:trPr>
          <w:jc w:val="center"/>
        </w:trPr>
        <w:tc>
          <w:tcPr>
            <w:tcW w:w="1947" w:type="dxa"/>
            <w:tcBorders>
              <w:top w:val="nil"/>
              <w:left w:val="nil"/>
              <w:bottom w:val="nil"/>
              <w:right w:val="nil"/>
            </w:tcBorders>
            <w:vAlign w:val="center"/>
          </w:tcPr>
          <w:p w14:paraId="586E0B35"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lang w:val="en-GB"/>
              </w:rPr>
              <w:t>BIND</w:t>
            </w:r>
          </w:p>
        </w:tc>
        <w:tc>
          <w:tcPr>
            <w:tcW w:w="1113" w:type="dxa"/>
            <w:tcBorders>
              <w:top w:val="nil"/>
              <w:left w:val="nil"/>
              <w:bottom w:val="nil"/>
              <w:right w:val="nil"/>
            </w:tcBorders>
          </w:tcPr>
          <w:p w14:paraId="10B0CCB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-0.261*</w:t>
            </w:r>
          </w:p>
        </w:tc>
        <w:tc>
          <w:tcPr>
            <w:tcW w:w="990" w:type="dxa"/>
            <w:tcBorders>
              <w:top w:val="nil"/>
              <w:left w:val="nil"/>
              <w:bottom w:val="nil"/>
              <w:right w:val="nil"/>
            </w:tcBorders>
          </w:tcPr>
          <w:p w14:paraId="69AA67D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-0.262*</w:t>
            </w:r>
          </w:p>
        </w:tc>
        <w:tc>
          <w:tcPr>
            <w:tcW w:w="1170" w:type="dxa"/>
            <w:tcBorders>
              <w:top w:val="nil"/>
              <w:left w:val="nil"/>
              <w:bottom w:val="nil"/>
              <w:right w:val="nil"/>
            </w:tcBorders>
          </w:tcPr>
          <w:p w14:paraId="495F6BE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-0.514***</w:t>
            </w:r>
          </w:p>
        </w:tc>
        <w:tc>
          <w:tcPr>
            <w:tcW w:w="1170" w:type="dxa"/>
            <w:tcBorders>
              <w:top w:val="nil"/>
              <w:left w:val="nil"/>
              <w:bottom w:val="nil"/>
              <w:right w:val="nil"/>
            </w:tcBorders>
          </w:tcPr>
          <w:p w14:paraId="6CBAE52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-0.516***</w:t>
            </w:r>
          </w:p>
        </w:tc>
        <w:tc>
          <w:tcPr>
            <w:tcW w:w="1170" w:type="dxa"/>
            <w:tcBorders>
              <w:top w:val="nil"/>
              <w:left w:val="nil"/>
              <w:bottom w:val="nil"/>
              <w:right w:val="nil"/>
            </w:tcBorders>
          </w:tcPr>
          <w:p w14:paraId="58F6663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-0.212*</w:t>
            </w:r>
          </w:p>
        </w:tc>
        <w:tc>
          <w:tcPr>
            <w:tcW w:w="1170" w:type="dxa"/>
            <w:tcBorders>
              <w:top w:val="nil"/>
              <w:left w:val="nil"/>
              <w:bottom w:val="nil"/>
              <w:right w:val="nil"/>
            </w:tcBorders>
          </w:tcPr>
          <w:p w14:paraId="7FBBD31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-0.210*</w:t>
            </w:r>
          </w:p>
        </w:tc>
        <w:tc>
          <w:tcPr>
            <w:tcW w:w="1170" w:type="dxa"/>
            <w:tcBorders>
              <w:top w:val="nil"/>
              <w:left w:val="nil"/>
              <w:bottom w:val="nil"/>
              <w:right w:val="nil"/>
            </w:tcBorders>
          </w:tcPr>
          <w:p w14:paraId="639E49B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-0.311***</w:t>
            </w:r>
          </w:p>
        </w:tc>
        <w:tc>
          <w:tcPr>
            <w:tcW w:w="1170" w:type="dxa"/>
            <w:tcBorders>
              <w:top w:val="nil"/>
              <w:left w:val="nil"/>
              <w:bottom w:val="nil"/>
              <w:right w:val="nil"/>
            </w:tcBorders>
          </w:tcPr>
          <w:p w14:paraId="4A7FA19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-0.309***</w:t>
            </w:r>
          </w:p>
        </w:tc>
      </w:tr>
      <w:tr w:rsidR="00DB6C99" w:rsidRPr="00DB6C99" w14:paraId="34CE0DA2" w14:textId="77777777" w:rsidTr="007C344D">
        <w:trPr>
          <w:jc w:val="center"/>
        </w:trPr>
        <w:tc>
          <w:tcPr>
            <w:tcW w:w="1947" w:type="dxa"/>
            <w:tcBorders>
              <w:top w:val="nil"/>
              <w:left w:val="nil"/>
              <w:bottom w:val="nil"/>
              <w:right w:val="nil"/>
            </w:tcBorders>
            <w:vAlign w:val="center"/>
          </w:tcPr>
          <w:p w14:paraId="3652B98E"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113" w:type="dxa"/>
            <w:tcBorders>
              <w:top w:val="nil"/>
              <w:left w:val="nil"/>
              <w:bottom w:val="nil"/>
              <w:right w:val="nil"/>
            </w:tcBorders>
          </w:tcPr>
          <w:p w14:paraId="1EA5481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(-1.68)</w:t>
            </w:r>
          </w:p>
        </w:tc>
        <w:tc>
          <w:tcPr>
            <w:tcW w:w="990" w:type="dxa"/>
            <w:tcBorders>
              <w:top w:val="nil"/>
              <w:left w:val="nil"/>
              <w:bottom w:val="nil"/>
              <w:right w:val="nil"/>
            </w:tcBorders>
          </w:tcPr>
          <w:p w14:paraId="45CC5DF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(-1.68)</w:t>
            </w:r>
          </w:p>
        </w:tc>
        <w:tc>
          <w:tcPr>
            <w:tcW w:w="1170" w:type="dxa"/>
            <w:tcBorders>
              <w:top w:val="nil"/>
              <w:left w:val="nil"/>
              <w:bottom w:val="nil"/>
              <w:right w:val="nil"/>
            </w:tcBorders>
          </w:tcPr>
          <w:p w14:paraId="4C3DE05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(-3.08)</w:t>
            </w:r>
          </w:p>
        </w:tc>
        <w:tc>
          <w:tcPr>
            <w:tcW w:w="1170" w:type="dxa"/>
            <w:tcBorders>
              <w:top w:val="nil"/>
              <w:left w:val="nil"/>
              <w:bottom w:val="nil"/>
              <w:right w:val="nil"/>
            </w:tcBorders>
          </w:tcPr>
          <w:p w14:paraId="7CD43CFF"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(-3.09)</w:t>
            </w:r>
          </w:p>
        </w:tc>
        <w:tc>
          <w:tcPr>
            <w:tcW w:w="1170" w:type="dxa"/>
            <w:tcBorders>
              <w:top w:val="nil"/>
              <w:left w:val="nil"/>
              <w:bottom w:val="nil"/>
              <w:right w:val="nil"/>
            </w:tcBorders>
          </w:tcPr>
          <w:p w14:paraId="7535093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(-1.91)</w:t>
            </w:r>
          </w:p>
        </w:tc>
        <w:tc>
          <w:tcPr>
            <w:tcW w:w="1170" w:type="dxa"/>
            <w:tcBorders>
              <w:top w:val="nil"/>
              <w:left w:val="nil"/>
              <w:bottom w:val="nil"/>
              <w:right w:val="nil"/>
            </w:tcBorders>
          </w:tcPr>
          <w:p w14:paraId="0EAF18C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(-1.89)</w:t>
            </w:r>
          </w:p>
        </w:tc>
        <w:tc>
          <w:tcPr>
            <w:tcW w:w="1170" w:type="dxa"/>
            <w:tcBorders>
              <w:top w:val="nil"/>
              <w:left w:val="nil"/>
              <w:bottom w:val="nil"/>
              <w:right w:val="nil"/>
            </w:tcBorders>
          </w:tcPr>
          <w:p w14:paraId="6E56AB7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(-2.60)</w:t>
            </w:r>
          </w:p>
        </w:tc>
        <w:tc>
          <w:tcPr>
            <w:tcW w:w="1170" w:type="dxa"/>
            <w:tcBorders>
              <w:top w:val="nil"/>
              <w:left w:val="nil"/>
              <w:bottom w:val="nil"/>
              <w:right w:val="nil"/>
            </w:tcBorders>
          </w:tcPr>
          <w:p w14:paraId="0DFCC2E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(-2.58)</w:t>
            </w:r>
          </w:p>
        </w:tc>
      </w:tr>
      <w:tr w:rsidR="00DB6C99" w:rsidRPr="00DB6C99" w14:paraId="3163EFB1" w14:textId="77777777" w:rsidTr="007C344D">
        <w:trPr>
          <w:jc w:val="center"/>
        </w:trPr>
        <w:tc>
          <w:tcPr>
            <w:tcW w:w="1947" w:type="dxa"/>
            <w:tcBorders>
              <w:top w:val="nil"/>
              <w:left w:val="nil"/>
              <w:bottom w:val="nil"/>
              <w:right w:val="nil"/>
            </w:tcBorders>
            <w:vAlign w:val="center"/>
          </w:tcPr>
          <w:p w14:paraId="5FEDC10A"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lang w:val="en-GB"/>
              </w:rPr>
              <w:t>BMEET</w:t>
            </w:r>
          </w:p>
        </w:tc>
        <w:tc>
          <w:tcPr>
            <w:tcW w:w="1113" w:type="dxa"/>
            <w:tcBorders>
              <w:top w:val="nil"/>
              <w:left w:val="nil"/>
              <w:bottom w:val="nil"/>
              <w:right w:val="nil"/>
            </w:tcBorders>
          </w:tcPr>
          <w:p w14:paraId="3F13778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-0.062***</w:t>
            </w:r>
          </w:p>
        </w:tc>
        <w:tc>
          <w:tcPr>
            <w:tcW w:w="990" w:type="dxa"/>
            <w:tcBorders>
              <w:top w:val="nil"/>
              <w:left w:val="nil"/>
              <w:bottom w:val="nil"/>
              <w:right w:val="nil"/>
            </w:tcBorders>
          </w:tcPr>
          <w:p w14:paraId="68DD0FD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-0.061***</w:t>
            </w:r>
          </w:p>
        </w:tc>
        <w:tc>
          <w:tcPr>
            <w:tcW w:w="1170" w:type="dxa"/>
            <w:tcBorders>
              <w:top w:val="nil"/>
              <w:left w:val="nil"/>
              <w:bottom w:val="nil"/>
              <w:right w:val="nil"/>
            </w:tcBorders>
          </w:tcPr>
          <w:p w14:paraId="03B4B15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-0.047*</w:t>
            </w:r>
          </w:p>
        </w:tc>
        <w:tc>
          <w:tcPr>
            <w:tcW w:w="1170" w:type="dxa"/>
            <w:tcBorders>
              <w:top w:val="nil"/>
              <w:left w:val="nil"/>
              <w:bottom w:val="nil"/>
              <w:right w:val="nil"/>
            </w:tcBorders>
          </w:tcPr>
          <w:p w14:paraId="460476C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-0.046*</w:t>
            </w:r>
          </w:p>
        </w:tc>
        <w:tc>
          <w:tcPr>
            <w:tcW w:w="1170" w:type="dxa"/>
            <w:tcBorders>
              <w:top w:val="nil"/>
              <w:left w:val="nil"/>
              <w:bottom w:val="nil"/>
              <w:right w:val="nil"/>
            </w:tcBorders>
          </w:tcPr>
          <w:p w14:paraId="344E7DA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-0.058***</w:t>
            </w:r>
          </w:p>
        </w:tc>
        <w:tc>
          <w:tcPr>
            <w:tcW w:w="1170" w:type="dxa"/>
            <w:tcBorders>
              <w:top w:val="nil"/>
              <w:left w:val="nil"/>
              <w:bottom w:val="nil"/>
              <w:right w:val="nil"/>
            </w:tcBorders>
          </w:tcPr>
          <w:p w14:paraId="423727B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-0.058***</w:t>
            </w:r>
          </w:p>
        </w:tc>
        <w:tc>
          <w:tcPr>
            <w:tcW w:w="1170" w:type="dxa"/>
            <w:tcBorders>
              <w:top w:val="nil"/>
              <w:left w:val="nil"/>
              <w:bottom w:val="nil"/>
              <w:right w:val="nil"/>
            </w:tcBorders>
          </w:tcPr>
          <w:p w14:paraId="58FB6C3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-0.059***</w:t>
            </w:r>
          </w:p>
        </w:tc>
        <w:tc>
          <w:tcPr>
            <w:tcW w:w="1170" w:type="dxa"/>
            <w:tcBorders>
              <w:top w:val="nil"/>
              <w:left w:val="nil"/>
              <w:bottom w:val="nil"/>
              <w:right w:val="nil"/>
            </w:tcBorders>
          </w:tcPr>
          <w:p w14:paraId="4073B14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-0.059***</w:t>
            </w:r>
          </w:p>
        </w:tc>
      </w:tr>
      <w:tr w:rsidR="00DB6C99" w:rsidRPr="00DB6C99" w14:paraId="6C4E879D" w14:textId="77777777" w:rsidTr="007C344D">
        <w:trPr>
          <w:jc w:val="center"/>
        </w:trPr>
        <w:tc>
          <w:tcPr>
            <w:tcW w:w="1947" w:type="dxa"/>
            <w:tcBorders>
              <w:top w:val="nil"/>
              <w:left w:val="nil"/>
              <w:bottom w:val="nil"/>
              <w:right w:val="nil"/>
            </w:tcBorders>
            <w:vAlign w:val="center"/>
          </w:tcPr>
          <w:p w14:paraId="61EF3469"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113" w:type="dxa"/>
            <w:tcBorders>
              <w:top w:val="nil"/>
              <w:left w:val="nil"/>
              <w:bottom w:val="nil"/>
              <w:right w:val="nil"/>
            </w:tcBorders>
          </w:tcPr>
          <w:p w14:paraId="30BA9B8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(-2.71)</w:t>
            </w:r>
          </w:p>
        </w:tc>
        <w:tc>
          <w:tcPr>
            <w:tcW w:w="990" w:type="dxa"/>
            <w:tcBorders>
              <w:top w:val="nil"/>
              <w:left w:val="nil"/>
              <w:bottom w:val="nil"/>
              <w:right w:val="nil"/>
            </w:tcBorders>
          </w:tcPr>
          <w:p w14:paraId="01EE504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(-2.70)</w:t>
            </w:r>
          </w:p>
        </w:tc>
        <w:tc>
          <w:tcPr>
            <w:tcW w:w="1170" w:type="dxa"/>
            <w:tcBorders>
              <w:top w:val="nil"/>
              <w:left w:val="nil"/>
              <w:bottom w:val="nil"/>
              <w:right w:val="nil"/>
            </w:tcBorders>
          </w:tcPr>
          <w:p w14:paraId="2E8AAEC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(-1.85)</w:t>
            </w:r>
          </w:p>
        </w:tc>
        <w:tc>
          <w:tcPr>
            <w:tcW w:w="1170" w:type="dxa"/>
            <w:tcBorders>
              <w:top w:val="nil"/>
              <w:left w:val="nil"/>
              <w:bottom w:val="nil"/>
              <w:right w:val="nil"/>
            </w:tcBorders>
          </w:tcPr>
          <w:p w14:paraId="195ED85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(-1.83)</w:t>
            </w:r>
          </w:p>
        </w:tc>
        <w:tc>
          <w:tcPr>
            <w:tcW w:w="1170" w:type="dxa"/>
            <w:tcBorders>
              <w:top w:val="nil"/>
              <w:left w:val="nil"/>
              <w:bottom w:val="nil"/>
              <w:right w:val="nil"/>
            </w:tcBorders>
          </w:tcPr>
          <w:p w14:paraId="669F45B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(-2.86)</w:t>
            </w:r>
          </w:p>
        </w:tc>
        <w:tc>
          <w:tcPr>
            <w:tcW w:w="1170" w:type="dxa"/>
            <w:tcBorders>
              <w:top w:val="nil"/>
              <w:left w:val="nil"/>
              <w:bottom w:val="nil"/>
              <w:right w:val="nil"/>
            </w:tcBorders>
          </w:tcPr>
          <w:p w14:paraId="074381B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(-2.87)</w:t>
            </w:r>
          </w:p>
        </w:tc>
        <w:tc>
          <w:tcPr>
            <w:tcW w:w="1170" w:type="dxa"/>
            <w:tcBorders>
              <w:top w:val="nil"/>
              <w:left w:val="nil"/>
              <w:bottom w:val="nil"/>
              <w:right w:val="nil"/>
            </w:tcBorders>
          </w:tcPr>
          <w:p w14:paraId="43D2F37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(-2.63)</w:t>
            </w:r>
          </w:p>
        </w:tc>
        <w:tc>
          <w:tcPr>
            <w:tcW w:w="1170" w:type="dxa"/>
            <w:tcBorders>
              <w:top w:val="nil"/>
              <w:left w:val="nil"/>
              <w:bottom w:val="nil"/>
              <w:right w:val="nil"/>
            </w:tcBorders>
          </w:tcPr>
          <w:p w14:paraId="0ED3BEE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(-2.64)</w:t>
            </w:r>
          </w:p>
        </w:tc>
      </w:tr>
      <w:tr w:rsidR="00DB6C99" w:rsidRPr="00DB6C99" w14:paraId="71AB0CEF" w14:textId="77777777" w:rsidTr="007C344D">
        <w:trPr>
          <w:jc w:val="center"/>
        </w:trPr>
        <w:tc>
          <w:tcPr>
            <w:tcW w:w="1947" w:type="dxa"/>
            <w:tcBorders>
              <w:top w:val="nil"/>
              <w:left w:val="nil"/>
              <w:bottom w:val="nil"/>
              <w:right w:val="nil"/>
            </w:tcBorders>
            <w:vAlign w:val="center"/>
          </w:tcPr>
          <w:p w14:paraId="1BB595FD"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lang w:val="en-GB"/>
              </w:rPr>
              <w:t>DUAL</w:t>
            </w:r>
          </w:p>
        </w:tc>
        <w:tc>
          <w:tcPr>
            <w:tcW w:w="1113" w:type="dxa"/>
            <w:tcBorders>
              <w:top w:val="nil"/>
              <w:left w:val="nil"/>
              <w:bottom w:val="nil"/>
              <w:right w:val="nil"/>
            </w:tcBorders>
          </w:tcPr>
          <w:p w14:paraId="2047B97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-0.022</w:t>
            </w:r>
          </w:p>
        </w:tc>
        <w:tc>
          <w:tcPr>
            <w:tcW w:w="990" w:type="dxa"/>
            <w:tcBorders>
              <w:top w:val="nil"/>
              <w:left w:val="nil"/>
              <w:bottom w:val="nil"/>
              <w:right w:val="nil"/>
            </w:tcBorders>
          </w:tcPr>
          <w:p w14:paraId="7AA1F62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-0.022</w:t>
            </w:r>
          </w:p>
        </w:tc>
        <w:tc>
          <w:tcPr>
            <w:tcW w:w="1170" w:type="dxa"/>
            <w:tcBorders>
              <w:top w:val="nil"/>
              <w:left w:val="nil"/>
              <w:bottom w:val="nil"/>
              <w:right w:val="nil"/>
            </w:tcBorders>
          </w:tcPr>
          <w:p w14:paraId="326DD2D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0.004</w:t>
            </w:r>
          </w:p>
        </w:tc>
        <w:tc>
          <w:tcPr>
            <w:tcW w:w="1170" w:type="dxa"/>
            <w:tcBorders>
              <w:top w:val="nil"/>
              <w:left w:val="nil"/>
              <w:bottom w:val="nil"/>
              <w:right w:val="nil"/>
            </w:tcBorders>
          </w:tcPr>
          <w:p w14:paraId="3A3D9E3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0.005</w:t>
            </w:r>
          </w:p>
        </w:tc>
        <w:tc>
          <w:tcPr>
            <w:tcW w:w="1170" w:type="dxa"/>
            <w:tcBorders>
              <w:top w:val="nil"/>
              <w:left w:val="nil"/>
              <w:bottom w:val="nil"/>
              <w:right w:val="nil"/>
            </w:tcBorders>
          </w:tcPr>
          <w:p w14:paraId="68EBEC0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-0.019</w:t>
            </w:r>
          </w:p>
        </w:tc>
        <w:tc>
          <w:tcPr>
            <w:tcW w:w="1170" w:type="dxa"/>
            <w:tcBorders>
              <w:top w:val="nil"/>
              <w:left w:val="nil"/>
              <w:bottom w:val="nil"/>
              <w:right w:val="nil"/>
            </w:tcBorders>
          </w:tcPr>
          <w:p w14:paraId="3DCB14B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-0.020</w:t>
            </w:r>
          </w:p>
        </w:tc>
        <w:tc>
          <w:tcPr>
            <w:tcW w:w="1170" w:type="dxa"/>
            <w:tcBorders>
              <w:top w:val="nil"/>
              <w:left w:val="nil"/>
              <w:bottom w:val="nil"/>
              <w:right w:val="nil"/>
            </w:tcBorders>
          </w:tcPr>
          <w:p w14:paraId="32E6D5E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-0.004</w:t>
            </w:r>
          </w:p>
        </w:tc>
        <w:tc>
          <w:tcPr>
            <w:tcW w:w="1170" w:type="dxa"/>
            <w:tcBorders>
              <w:top w:val="nil"/>
              <w:left w:val="nil"/>
              <w:bottom w:val="nil"/>
              <w:right w:val="nil"/>
            </w:tcBorders>
          </w:tcPr>
          <w:p w14:paraId="5CA99AF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-0.004</w:t>
            </w:r>
          </w:p>
        </w:tc>
      </w:tr>
      <w:tr w:rsidR="00DB6C99" w:rsidRPr="00DB6C99" w14:paraId="0572EC75" w14:textId="77777777" w:rsidTr="007C344D">
        <w:trPr>
          <w:jc w:val="center"/>
        </w:trPr>
        <w:tc>
          <w:tcPr>
            <w:tcW w:w="1947" w:type="dxa"/>
            <w:tcBorders>
              <w:top w:val="nil"/>
              <w:left w:val="nil"/>
              <w:bottom w:val="nil"/>
              <w:right w:val="nil"/>
            </w:tcBorders>
            <w:vAlign w:val="center"/>
          </w:tcPr>
          <w:p w14:paraId="4A1C1BCB"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113" w:type="dxa"/>
            <w:tcBorders>
              <w:top w:val="nil"/>
              <w:left w:val="nil"/>
              <w:bottom w:val="nil"/>
              <w:right w:val="nil"/>
            </w:tcBorders>
          </w:tcPr>
          <w:p w14:paraId="3363150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(-1.00)</w:t>
            </w:r>
          </w:p>
        </w:tc>
        <w:tc>
          <w:tcPr>
            <w:tcW w:w="990" w:type="dxa"/>
            <w:tcBorders>
              <w:top w:val="nil"/>
              <w:left w:val="nil"/>
              <w:bottom w:val="nil"/>
              <w:right w:val="nil"/>
            </w:tcBorders>
          </w:tcPr>
          <w:p w14:paraId="7B2ACF6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(-0.99)</w:t>
            </w:r>
          </w:p>
        </w:tc>
        <w:tc>
          <w:tcPr>
            <w:tcW w:w="1170" w:type="dxa"/>
            <w:tcBorders>
              <w:top w:val="nil"/>
              <w:left w:val="nil"/>
              <w:bottom w:val="nil"/>
              <w:right w:val="nil"/>
            </w:tcBorders>
          </w:tcPr>
          <w:p w14:paraId="3462EFF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(0.17)</w:t>
            </w:r>
          </w:p>
        </w:tc>
        <w:tc>
          <w:tcPr>
            <w:tcW w:w="1170" w:type="dxa"/>
            <w:tcBorders>
              <w:top w:val="nil"/>
              <w:left w:val="nil"/>
              <w:bottom w:val="nil"/>
              <w:right w:val="nil"/>
            </w:tcBorders>
          </w:tcPr>
          <w:p w14:paraId="529DB3D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(0.19)</w:t>
            </w:r>
          </w:p>
        </w:tc>
        <w:tc>
          <w:tcPr>
            <w:tcW w:w="1170" w:type="dxa"/>
            <w:tcBorders>
              <w:top w:val="nil"/>
              <w:left w:val="nil"/>
              <w:bottom w:val="nil"/>
              <w:right w:val="nil"/>
            </w:tcBorders>
          </w:tcPr>
          <w:p w14:paraId="0708633F"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(-1.18)</w:t>
            </w:r>
          </w:p>
        </w:tc>
        <w:tc>
          <w:tcPr>
            <w:tcW w:w="1170" w:type="dxa"/>
            <w:tcBorders>
              <w:top w:val="nil"/>
              <w:left w:val="nil"/>
              <w:bottom w:val="nil"/>
              <w:right w:val="nil"/>
            </w:tcBorders>
          </w:tcPr>
          <w:p w14:paraId="67D4273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(-1.19)</w:t>
            </w:r>
          </w:p>
        </w:tc>
        <w:tc>
          <w:tcPr>
            <w:tcW w:w="1170" w:type="dxa"/>
            <w:tcBorders>
              <w:top w:val="nil"/>
              <w:left w:val="nil"/>
              <w:bottom w:val="nil"/>
              <w:right w:val="nil"/>
            </w:tcBorders>
          </w:tcPr>
          <w:p w14:paraId="50F0BC0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(-0.19)</w:t>
            </w:r>
          </w:p>
        </w:tc>
        <w:tc>
          <w:tcPr>
            <w:tcW w:w="1170" w:type="dxa"/>
            <w:tcBorders>
              <w:top w:val="nil"/>
              <w:left w:val="nil"/>
              <w:bottom w:val="nil"/>
              <w:right w:val="nil"/>
            </w:tcBorders>
          </w:tcPr>
          <w:p w14:paraId="3E6A0C9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(-0.20)</w:t>
            </w:r>
          </w:p>
        </w:tc>
      </w:tr>
      <w:tr w:rsidR="00DB6C99" w:rsidRPr="00DB6C99" w14:paraId="7C3AF8B1" w14:textId="77777777" w:rsidTr="007C344D">
        <w:trPr>
          <w:jc w:val="center"/>
        </w:trPr>
        <w:tc>
          <w:tcPr>
            <w:tcW w:w="1947" w:type="dxa"/>
            <w:tcBorders>
              <w:top w:val="nil"/>
              <w:left w:val="nil"/>
              <w:bottom w:val="nil"/>
              <w:right w:val="nil"/>
            </w:tcBorders>
            <w:vAlign w:val="center"/>
          </w:tcPr>
          <w:p w14:paraId="24E5FCED"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lang w:val="en-GB"/>
              </w:rPr>
              <w:t>PM</w:t>
            </w:r>
          </w:p>
        </w:tc>
        <w:tc>
          <w:tcPr>
            <w:tcW w:w="1113" w:type="dxa"/>
            <w:tcBorders>
              <w:top w:val="nil"/>
              <w:left w:val="nil"/>
              <w:bottom w:val="nil"/>
              <w:right w:val="nil"/>
            </w:tcBorders>
          </w:tcPr>
          <w:p w14:paraId="2624E15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-0.064</w:t>
            </w:r>
          </w:p>
        </w:tc>
        <w:tc>
          <w:tcPr>
            <w:tcW w:w="990" w:type="dxa"/>
            <w:tcBorders>
              <w:top w:val="nil"/>
              <w:left w:val="nil"/>
              <w:bottom w:val="nil"/>
              <w:right w:val="nil"/>
            </w:tcBorders>
          </w:tcPr>
          <w:p w14:paraId="6FE4DCB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-0.065</w:t>
            </w:r>
          </w:p>
        </w:tc>
        <w:tc>
          <w:tcPr>
            <w:tcW w:w="1170" w:type="dxa"/>
            <w:tcBorders>
              <w:top w:val="nil"/>
              <w:left w:val="nil"/>
              <w:bottom w:val="nil"/>
              <w:right w:val="nil"/>
            </w:tcBorders>
          </w:tcPr>
          <w:p w14:paraId="39F4D8E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-0.003</w:t>
            </w:r>
          </w:p>
        </w:tc>
        <w:tc>
          <w:tcPr>
            <w:tcW w:w="1170" w:type="dxa"/>
            <w:tcBorders>
              <w:top w:val="nil"/>
              <w:left w:val="nil"/>
              <w:bottom w:val="nil"/>
              <w:right w:val="nil"/>
            </w:tcBorders>
          </w:tcPr>
          <w:p w14:paraId="0131462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-0.004</w:t>
            </w:r>
          </w:p>
        </w:tc>
        <w:tc>
          <w:tcPr>
            <w:tcW w:w="1170" w:type="dxa"/>
            <w:tcBorders>
              <w:top w:val="nil"/>
              <w:left w:val="nil"/>
              <w:bottom w:val="nil"/>
              <w:right w:val="nil"/>
            </w:tcBorders>
          </w:tcPr>
          <w:p w14:paraId="5A5BDBF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0.184***</w:t>
            </w:r>
          </w:p>
        </w:tc>
        <w:tc>
          <w:tcPr>
            <w:tcW w:w="1170" w:type="dxa"/>
            <w:tcBorders>
              <w:top w:val="nil"/>
              <w:left w:val="nil"/>
              <w:bottom w:val="nil"/>
              <w:right w:val="nil"/>
            </w:tcBorders>
          </w:tcPr>
          <w:p w14:paraId="11118DB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0.183***</w:t>
            </w:r>
          </w:p>
        </w:tc>
        <w:tc>
          <w:tcPr>
            <w:tcW w:w="1170" w:type="dxa"/>
            <w:tcBorders>
              <w:top w:val="nil"/>
              <w:left w:val="nil"/>
              <w:bottom w:val="nil"/>
              <w:right w:val="nil"/>
            </w:tcBorders>
          </w:tcPr>
          <w:p w14:paraId="69773AC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0.209***</w:t>
            </w:r>
          </w:p>
        </w:tc>
        <w:tc>
          <w:tcPr>
            <w:tcW w:w="1170" w:type="dxa"/>
            <w:tcBorders>
              <w:top w:val="nil"/>
              <w:left w:val="nil"/>
              <w:bottom w:val="nil"/>
              <w:right w:val="nil"/>
            </w:tcBorders>
          </w:tcPr>
          <w:p w14:paraId="1E173AE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0.209***</w:t>
            </w:r>
          </w:p>
        </w:tc>
      </w:tr>
      <w:tr w:rsidR="00DB6C99" w:rsidRPr="00DB6C99" w14:paraId="1F8DF181" w14:textId="77777777" w:rsidTr="007C344D">
        <w:trPr>
          <w:jc w:val="center"/>
        </w:trPr>
        <w:tc>
          <w:tcPr>
            <w:tcW w:w="1947" w:type="dxa"/>
            <w:tcBorders>
              <w:top w:val="nil"/>
              <w:left w:val="nil"/>
              <w:bottom w:val="nil"/>
              <w:right w:val="nil"/>
            </w:tcBorders>
            <w:vAlign w:val="center"/>
          </w:tcPr>
          <w:p w14:paraId="7D63A385"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113" w:type="dxa"/>
            <w:tcBorders>
              <w:top w:val="nil"/>
              <w:left w:val="nil"/>
              <w:bottom w:val="nil"/>
              <w:right w:val="nil"/>
            </w:tcBorders>
          </w:tcPr>
          <w:p w14:paraId="7285240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(-0.80)</w:t>
            </w:r>
          </w:p>
        </w:tc>
        <w:tc>
          <w:tcPr>
            <w:tcW w:w="990" w:type="dxa"/>
            <w:tcBorders>
              <w:top w:val="nil"/>
              <w:left w:val="nil"/>
              <w:bottom w:val="nil"/>
              <w:right w:val="nil"/>
            </w:tcBorders>
          </w:tcPr>
          <w:p w14:paraId="78C3B3A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(-0.81)</w:t>
            </w:r>
          </w:p>
        </w:tc>
        <w:tc>
          <w:tcPr>
            <w:tcW w:w="1170" w:type="dxa"/>
            <w:tcBorders>
              <w:top w:val="nil"/>
              <w:left w:val="nil"/>
              <w:bottom w:val="nil"/>
              <w:right w:val="nil"/>
            </w:tcBorders>
          </w:tcPr>
          <w:p w14:paraId="06CFCD7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(-0.04)</w:t>
            </w:r>
          </w:p>
        </w:tc>
        <w:tc>
          <w:tcPr>
            <w:tcW w:w="1170" w:type="dxa"/>
            <w:tcBorders>
              <w:top w:val="nil"/>
              <w:left w:val="nil"/>
              <w:bottom w:val="nil"/>
              <w:right w:val="nil"/>
            </w:tcBorders>
          </w:tcPr>
          <w:p w14:paraId="6D08E4F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(-0.05)</w:t>
            </w:r>
          </w:p>
        </w:tc>
        <w:tc>
          <w:tcPr>
            <w:tcW w:w="1170" w:type="dxa"/>
            <w:tcBorders>
              <w:top w:val="nil"/>
              <w:left w:val="nil"/>
              <w:bottom w:val="nil"/>
              <w:right w:val="nil"/>
            </w:tcBorders>
          </w:tcPr>
          <w:p w14:paraId="094539D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(2.80)</w:t>
            </w:r>
          </w:p>
        </w:tc>
        <w:tc>
          <w:tcPr>
            <w:tcW w:w="1170" w:type="dxa"/>
            <w:tcBorders>
              <w:top w:val="nil"/>
              <w:left w:val="nil"/>
              <w:bottom w:val="nil"/>
              <w:right w:val="nil"/>
            </w:tcBorders>
          </w:tcPr>
          <w:p w14:paraId="3FC9B49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(2.79)</w:t>
            </w:r>
          </w:p>
        </w:tc>
        <w:tc>
          <w:tcPr>
            <w:tcW w:w="1170" w:type="dxa"/>
            <w:tcBorders>
              <w:top w:val="nil"/>
              <w:left w:val="nil"/>
              <w:bottom w:val="nil"/>
              <w:right w:val="nil"/>
            </w:tcBorders>
          </w:tcPr>
          <w:p w14:paraId="3822E95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(2.71)</w:t>
            </w:r>
          </w:p>
        </w:tc>
        <w:tc>
          <w:tcPr>
            <w:tcW w:w="1170" w:type="dxa"/>
            <w:tcBorders>
              <w:top w:val="nil"/>
              <w:left w:val="nil"/>
              <w:bottom w:val="nil"/>
              <w:right w:val="nil"/>
            </w:tcBorders>
          </w:tcPr>
          <w:p w14:paraId="2E5F781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(2.71)</w:t>
            </w:r>
          </w:p>
        </w:tc>
      </w:tr>
      <w:tr w:rsidR="00DB6C99" w:rsidRPr="00DB6C99" w14:paraId="2028804A" w14:textId="77777777" w:rsidTr="007C344D">
        <w:trPr>
          <w:jc w:val="center"/>
        </w:trPr>
        <w:tc>
          <w:tcPr>
            <w:tcW w:w="1947" w:type="dxa"/>
            <w:tcBorders>
              <w:top w:val="nil"/>
              <w:left w:val="nil"/>
              <w:bottom w:val="nil"/>
              <w:right w:val="nil"/>
            </w:tcBorders>
            <w:vAlign w:val="center"/>
          </w:tcPr>
          <w:p w14:paraId="2376A6B9"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lang w:val="en-GB"/>
              </w:rPr>
              <w:t>ROA</w:t>
            </w:r>
          </w:p>
        </w:tc>
        <w:tc>
          <w:tcPr>
            <w:tcW w:w="1113" w:type="dxa"/>
            <w:tcBorders>
              <w:top w:val="nil"/>
              <w:left w:val="nil"/>
              <w:bottom w:val="nil"/>
              <w:right w:val="nil"/>
            </w:tcBorders>
          </w:tcPr>
          <w:p w14:paraId="19E6DE4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0.056</w:t>
            </w:r>
          </w:p>
        </w:tc>
        <w:tc>
          <w:tcPr>
            <w:tcW w:w="990" w:type="dxa"/>
            <w:tcBorders>
              <w:top w:val="nil"/>
              <w:left w:val="nil"/>
              <w:bottom w:val="nil"/>
              <w:right w:val="nil"/>
            </w:tcBorders>
          </w:tcPr>
          <w:p w14:paraId="48E9FFD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0.056</w:t>
            </w:r>
          </w:p>
        </w:tc>
        <w:tc>
          <w:tcPr>
            <w:tcW w:w="1170" w:type="dxa"/>
            <w:tcBorders>
              <w:top w:val="nil"/>
              <w:left w:val="nil"/>
              <w:bottom w:val="nil"/>
              <w:right w:val="nil"/>
            </w:tcBorders>
          </w:tcPr>
          <w:p w14:paraId="5407CD5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0.004</w:t>
            </w:r>
          </w:p>
        </w:tc>
        <w:tc>
          <w:tcPr>
            <w:tcW w:w="1170" w:type="dxa"/>
            <w:tcBorders>
              <w:top w:val="nil"/>
              <w:left w:val="nil"/>
              <w:bottom w:val="nil"/>
              <w:right w:val="nil"/>
            </w:tcBorders>
          </w:tcPr>
          <w:p w14:paraId="4A5D695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0.005</w:t>
            </w:r>
          </w:p>
        </w:tc>
        <w:tc>
          <w:tcPr>
            <w:tcW w:w="1170" w:type="dxa"/>
            <w:tcBorders>
              <w:top w:val="nil"/>
              <w:left w:val="nil"/>
              <w:bottom w:val="nil"/>
              <w:right w:val="nil"/>
            </w:tcBorders>
          </w:tcPr>
          <w:p w14:paraId="7C9EBCD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-0.129</w:t>
            </w:r>
          </w:p>
        </w:tc>
        <w:tc>
          <w:tcPr>
            <w:tcW w:w="1170" w:type="dxa"/>
            <w:tcBorders>
              <w:top w:val="nil"/>
              <w:left w:val="nil"/>
              <w:bottom w:val="nil"/>
              <w:right w:val="nil"/>
            </w:tcBorders>
          </w:tcPr>
          <w:p w14:paraId="70BF719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-0.129</w:t>
            </w:r>
          </w:p>
        </w:tc>
        <w:tc>
          <w:tcPr>
            <w:tcW w:w="1170" w:type="dxa"/>
            <w:tcBorders>
              <w:top w:val="nil"/>
              <w:left w:val="nil"/>
              <w:bottom w:val="nil"/>
              <w:right w:val="nil"/>
            </w:tcBorders>
          </w:tcPr>
          <w:p w14:paraId="7B74FCC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-0.174</w:t>
            </w:r>
          </w:p>
        </w:tc>
        <w:tc>
          <w:tcPr>
            <w:tcW w:w="1170" w:type="dxa"/>
            <w:tcBorders>
              <w:top w:val="nil"/>
              <w:left w:val="nil"/>
              <w:bottom w:val="nil"/>
              <w:right w:val="nil"/>
            </w:tcBorders>
          </w:tcPr>
          <w:p w14:paraId="5212392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-0.174</w:t>
            </w:r>
          </w:p>
        </w:tc>
      </w:tr>
      <w:tr w:rsidR="00DB6C99" w:rsidRPr="00DB6C99" w14:paraId="61BAA1B6" w14:textId="77777777" w:rsidTr="007C344D">
        <w:trPr>
          <w:jc w:val="center"/>
        </w:trPr>
        <w:tc>
          <w:tcPr>
            <w:tcW w:w="1947" w:type="dxa"/>
            <w:tcBorders>
              <w:top w:val="nil"/>
              <w:left w:val="nil"/>
              <w:bottom w:val="nil"/>
              <w:right w:val="nil"/>
            </w:tcBorders>
            <w:vAlign w:val="center"/>
          </w:tcPr>
          <w:p w14:paraId="4CCE63E9"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113" w:type="dxa"/>
            <w:tcBorders>
              <w:top w:val="nil"/>
              <w:left w:val="nil"/>
              <w:bottom w:val="nil"/>
              <w:right w:val="nil"/>
            </w:tcBorders>
          </w:tcPr>
          <w:p w14:paraId="24DBB0FF"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(0.37)</w:t>
            </w:r>
          </w:p>
        </w:tc>
        <w:tc>
          <w:tcPr>
            <w:tcW w:w="990" w:type="dxa"/>
            <w:tcBorders>
              <w:top w:val="nil"/>
              <w:left w:val="nil"/>
              <w:bottom w:val="nil"/>
              <w:right w:val="nil"/>
            </w:tcBorders>
          </w:tcPr>
          <w:p w14:paraId="1B21E7D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(0.37)</w:t>
            </w:r>
          </w:p>
        </w:tc>
        <w:tc>
          <w:tcPr>
            <w:tcW w:w="1170" w:type="dxa"/>
            <w:tcBorders>
              <w:top w:val="nil"/>
              <w:left w:val="nil"/>
              <w:bottom w:val="nil"/>
              <w:right w:val="nil"/>
            </w:tcBorders>
          </w:tcPr>
          <w:p w14:paraId="7EC7648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(0.02)</w:t>
            </w:r>
          </w:p>
        </w:tc>
        <w:tc>
          <w:tcPr>
            <w:tcW w:w="1170" w:type="dxa"/>
            <w:tcBorders>
              <w:top w:val="nil"/>
              <w:left w:val="nil"/>
              <w:bottom w:val="nil"/>
              <w:right w:val="nil"/>
            </w:tcBorders>
          </w:tcPr>
          <w:p w14:paraId="4268E8A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(0.03)</w:t>
            </w:r>
          </w:p>
        </w:tc>
        <w:tc>
          <w:tcPr>
            <w:tcW w:w="1170" w:type="dxa"/>
            <w:tcBorders>
              <w:top w:val="nil"/>
              <w:left w:val="nil"/>
              <w:bottom w:val="nil"/>
              <w:right w:val="nil"/>
            </w:tcBorders>
          </w:tcPr>
          <w:p w14:paraId="4DB17B4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(-0.97)</w:t>
            </w:r>
          </w:p>
        </w:tc>
        <w:tc>
          <w:tcPr>
            <w:tcW w:w="1170" w:type="dxa"/>
            <w:tcBorders>
              <w:top w:val="nil"/>
              <w:left w:val="nil"/>
              <w:bottom w:val="nil"/>
              <w:right w:val="nil"/>
            </w:tcBorders>
          </w:tcPr>
          <w:p w14:paraId="2CD2FFE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(-0.97)</w:t>
            </w:r>
          </w:p>
        </w:tc>
        <w:tc>
          <w:tcPr>
            <w:tcW w:w="1170" w:type="dxa"/>
            <w:tcBorders>
              <w:top w:val="nil"/>
              <w:left w:val="nil"/>
              <w:bottom w:val="nil"/>
              <w:right w:val="nil"/>
            </w:tcBorders>
          </w:tcPr>
          <w:p w14:paraId="35B001B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(-1.12)</w:t>
            </w:r>
          </w:p>
        </w:tc>
        <w:tc>
          <w:tcPr>
            <w:tcW w:w="1170" w:type="dxa"/>
            <w:tcBorders>
              <w:top w:val="nil"/>
              <w:left w:val="nil"/>
              <w:bottom w:val="nil"/>
              <w:right w:val="nil"/>
            </w:tcBorders>
          </w:tcPr>
          <w:p w14:paraId="3C3F415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(-1.13)</w:t>
            </w:r>
          </w:p>
        </w:tc>
      </w:tr>
      <w:tr w:rsidR="00DB6C99" w:rsidRPr="00DB6C99" w14:paraId="38CC8E79" w14:textId="77777777" w:rsidTr="007C344D">
        <w:trPr>
          <w:jc w:val="center"/>
        </w:trPr>
        <w:tc>
          <w:tcPr>
            <w:tcW w:w="1947" w:type="dxa"/>
            <w:tcBorders>
              <w:top w:val="nil"/>
              <w:left w:val="nil"/>
              <w:bottom w:val="nil"/>
              <w:right w:val="nil"/>
            </w:tcBorders>
            <w:vAlign w:val="center"/>
          </w:tcPr>
          <w:p w14:paraId="4FDAADAA"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lang w:val="en-GB"/>
              </w:rPr>
              <w:t>CI</w:t>
            </w:r>
          </w:p>
        </w:tc>
        <w:tc>
          <w:tcPr>
            <w:tcW w:w="1113" w:type="dxa"/>
            <w:tcBorders>
              <w:top w:val="nil"/>
              <w:left w:val="nil"/>
              <w:bottom w:val="nil"/>
              <w:right w:val="nil"/>
            </w:tcBorders>
          </w:tcPr>
          <w:p w14:paraId="134537D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0.014***</w:t>
            </w:r>
          </w:p>
        </w:tc>
        <w:tc>
          <w:tcPr>
            <w:tcW w:w="990" w:type="dxa"/>
            <w:tcBorders>
              <w:top w:val="nil"/>
              <w:left w:val="nil"/>
              <w:bottom w:val="nil"/>
              <w:right w:val="nil"/>
            </w:tcBorders>
          </w:tcPr>
          <w:p w14:paraId="617BE7D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0.014***</w:t>
            </w:r>
          </w:p>
        </w:tc>
        <w:tc>
          <w:tcPr>
            <w:tcW w:w="1170" w:type="dxa"/>
            <w:tcBorders>
              <w:top w:val="nil"/>
              <w:left w:val="nil"/>
              <w:bottom w:val="nil"/>
              <w:right w:val="nil"/>
            </w:tcBorders>
          </w:tcPr>
          <w:p w14:paraId="697A919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0.023***</w:t>
            </w:r>
          </w:p>
        </w:tc>
        <w:tc>
          <w:tcPr>
            <w:tcW w:w="1170" w:type="dxa"/>
            <w:tcBorders>
              <w:top w:val="nil"/>
              <w:left w:val="nil"/>
              <w:bottom w:val="nil"/>
              <w:right w:val="nil"/>
            </w:tcBorders>
          </w:tcPr>
          <w:p w14:paraId="1E30A10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0.023***</w:t>
            </w:r>
          </w:p>
        </w:tc>
        <w:tc>
          <w:tcPr>
            <w:tcW w:w="1170" w:type="dxa"/>
            <w:tcBorders>
              <w:top w:val="nil"/>
              <w:left w:val="nil"/>
              <w:bottom w:val="nil"/>
              <w:right w:val="nil"/>
            </w:tcBorders>
          </w:tcPr>
          <w:p w14:paraId="4A9D77F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0.015***</w:t>
            </w:r>
          </w:p>
        </w:tc>
        <w:tc>
          <w:tcPr>
            <w:tcW w:w="1170" w:type="dxa"/>
            <w:tcBorders>
              <w:top w:val="nil"/>
              <w:left w:val="nil"/>
              <w:bottom w:val="nil"/>
              <w:right w:val="nil"/>
            </w:tcBorders>
          </w:tcPr>
          <w:p w14:paraId="160FCE9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0.015***</w:t>
            </w:r>
          </w:p>
        </w:tc>
        <w:tc>
          <w:tcPr>
            <w:tcW w:w="1170" w:type="dxa"/>
            <w:tcBorders>
              <w:top w:val="nil"/>
              <w:left w:val="nil"/>
              <w:bottom w:val="nil"/>
              <w:right w:val="nil"/>
            </w:tcBorders>
          </w:tcPr>
          <w:p w14:paraId="77764A5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0.020***</w:t>
            </w:r>
          </w:p>
        </w:tc>
        <w:tc>
          <w:tcPr>
            <w:tcW w:w="1170" w:type="dxa"/>
            <w:tcBorders>
              <w:top w:val="nil"/>
              <w:left w:val="nil"/>
              <w:bottom w:val="nil"/>
              <w:right w:val="nil"/>
            </w:tcBorders>
          </w:tcPr>
          <w:p w14:paraId="100F5F6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0.020***</w:t>
            </w:r>
          </w:p>
        </w:tc>
      </w:tr>
      <w:tr w:rsidR="00DB6C99" w:rsidRPr="00DB6C99" w14:paraId="74F376A6" w14:textId="77777777" w:rsidTr="007C344D">
        <w:trPr>
          <w:jc w:val="center"/>
        </w:trPr>
        <w:tc>
          <w:tcPr>
            <w:tcW w:w="1947" w:type="dxa"/>
            <w:tcBorders>
              <w:top w:val="nil"/>
              <w:left w:val="nil"/>
              <w:bottom w:val="nil"/>
              <w:right w:val="nil"/>
            </w:tcBorders>
            <w:vAlign w:val="center"/>
          </w:tcPr>
          <w:p w14:paraId="1A828270"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113" w:type="dxa"/>
            <w:tcBorders>
              <w:top w:val="nil"/>
              <w:left w:val="nil"/>
              <w:bottom w:val="nil"/>
              <w:right w:val="nil"/>
            </w:tcBorders>
          </w:tcPr>
          <w:p w14:paraId="1BD2CB4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(3.14)</w:t>
            </w:r>
          </w:p>
        </w:tc>
        <w:tc>
          <w:tcPr>
            <w:tcW w:w="990" w:type="dxa"/>
            <w:tcBorders>
              <w:top w:val="nil"/>
              <w:left w:val="nil"/>
              <w:bottom w:val="nil"/>
              <w:right w:val="nil"/>
            </w:tcBorders>
          </w:tcPr>
          <w:p w14:paraId="00CDD67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(3.13)</w:t>
            </w:r>
          </w:p>
        </w:tc>
        <w:tc>
          <w:tcPr>
            <w:tcW w:w="1170" w:type="dxa"/>
            <w:tcBorders>
              <w:top w:val="nil"/>
              <w:left w:val="nil"/>
              <w:bottom w:val="nil"/>
              <w:right w:val="nil"/>
            </w:tcBorders>
          </w:tcPr>
          <w:p w14:paraId="73A93B0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(3.03)</w:t>
            </w:r>
          </w:p>
        </w:tc>
        <w:tc>
          <w:tcPr>
            <w:tcW w:w="1170" w:type="dxa"/>
            <w:tcBorders>
              <w:top w:val="nil"/>
              <w:left w:val="nil"/>
              <w:bottom w:val="nil"/>
              <w:right w:val="nil"/>
            </w:tcBorders>
          </w:tcPr>
          <w:p w14:paraId="3E49F39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(3.02)</w:t>
            </w:r>
          </w:p>
        </w:tc>
        <w:tc>
          <w:tcPr>
            <w:tcW w:w="1170" w:type="dxa"/>
            <w:tcBorders>
              <w:top w:val="nil"/>
              <w:left w:val="nil"/>
              <w:bottom w:val="nil"/>
              <w:right w:val="nil"/>
            </w:tcBorders>
          </w:tcPr>
          <w:p w14:paraId="3613369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(5.29)</w:t>
            </w:r>
          </w:p>
        </w:tc>
        <w:tc>
          <w:tcPr>
            <w:tcW w:w="1170" w:type="dxa"/>
            <w:tcBorders>
              <w:top w:val="nil"/>
              <w:left w:val="nil"/>
              <w:bottom w:val="nil"/>
              <w:right w:val="nil"/>
            </w:tcBorders>
          </w:tcPr>
          <w:p w14:paraId="1A21D19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(5.28)</w:t>
            </w:r>
          </w:p>
        </w:tc>
        <w:tc>
          <w:tcPr>
            <w:tcW w:w="1170" w:type="dxa"/>
            <w:tcBorders>
              <w:top w:val="nil"/>
              <w:left w:val="nil"/>
              <w:bottom w:val="nil"/>
              <w:right w:val="nil"/>
            </w:tcBorders>
          </w:tcPr>
          <w:p w14:paraId="1E72511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(5.21)</w:t>
            </w:r>
          </w:p>
        </w:tc>
        <w:tc>
          <w:tcPr>
            <w:tcW w:w="1170" w:type="dxa"/>
            <w:tcBorders>
              <w:top w:val="nil"/>
              <w:left w:val="nil"/>
              <w:bottom w:val="nil"/>
              <w:right w:val="nil"/>
            </w:tcBorders>
          </w:tcPr>
          <w:p w14:paraId="229CD06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(5.20)</w:t>
            </w:r>
          </w:p>
        </w:tc>
      </w:tr>
      <w:tr w:rsidR="00DB6C99" w:rsidRPr="00DB6C99" w14:paraId="29219CB3" w14:textId="77777777" w:rsidTr="007C344D">
        <w:trPr>
          <w:jc w:val="center"/>
        </w:trPr>
        <w:tc>
          <w:tcPr>
            <w:tcW w:w="1947" w:type="dxa"/>
            <w:tcBorders>
              <w:top w:val="nil"/>
              <w:left w:val="nil"/>
              <w:bottom w:val="nil"/>
              <w:right w:val="nil"/>
            </w:tcBorders>
            <w:vAlign w:val="center"/>
          </w:tcPr>
          <w:p w14:paraId="3B1BB4D8"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rPr>
              <w:t>R&amp;D</w:t>
            </w:r>
          </w:p>
        </w:tc>
        <w:tc>
          <w:tcPr>
            <w:tcW w:w="1113" w:type="dxa"/>
            <w:tcBorders>
              <w:top w:val="nil"/>
              <w:left w:val="nil"/>
              <w:bottom w:val="nil"/>
              <w:right w:val="nil"/>
            </w:tcBorders>
          </w:tcPr>
          <w:p w14:paraId="30F583B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0.417*</w:t>
            </w:r>
          </w:p>
        </w:tc>
        <w:tc>
          <w:tcPr>
            <w:tcW w:w="990" w:type="dxa"/>
            <w:tcBorders>
              <w:top w:val="nil"/>
              <w:left w:val="nil"/>
              <w:bottom w:val="nil"/>
              <w:right w:val="nil"/>
            </w:tcBorders>
          </w:tcPr>
          <w:p w14:paraId="55CB7EC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0.417*</w:t>
            </w:r>
          </w:p>
        </w:tc>
        <w:tc>
          <w:tcPr>
            <w:tcW w:w="1170" w:type="dxa"/>
            <w:tcBorders>
              <w:top w:val="nil"/>
              <w:left w:val="nil"/>
              <w:bottom w:val="nil"/>
              <w:right w:val="nil"/>
            </w:tcBorders>
          </w:tcPr>
          <w:p w14:paraId="7ACBEDC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0.296</w:t>
            </w:r>
          </w:p>
        </w:tc>
        <w:tc>
          <w:tcPr>
            <w:tcW w:w="1170" w:type="dxa"/>
            <w:tcBorders>
              <w:top w:val="nil"/>
              <w:left w:val="nil"/>
              <w:bottom w:val="nil"/>
              <w:right w:val="nil"/>
            </w:tcBorders>
          </w:tcPr>
          <w:p w14:paraId="7C6D3EA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0.299</w:t>
            </w:r>
          </w:p>
        </w:tc>
        <w:tc>
          <w:tcPr>
            <w:tcW w:w="1170" w:type="dxa"/>
            <w:tcBorders>
              <w:top w:val="nil"/>
              <w:left w:val="nil"/>
              <w:bottom w:val="nil"/>
              <w:right w:val="nil"/>
            </w:tcBorders>
          </w:tcPr>
          <w:p w14:paraId="0608C32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0.270***</w:t>
            </w:r>
          </w:p>
        </w:tc>
        <w:tc>
          <w:tcPr>
            <w:tcW w:w="1170" w:type="dxa"/>
            <w:tcBorders>
              <w:top w:val="nil"/>
              <w:left w:val="nil"/>
              <w:bottom w:val="nil"/>
              <w:right w:val="nil"/>
            </w:tcBorders>
          </w:tcPr>
          <w:p w14:paraId="1933F4E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0.271***</w:t>
            </w:r>
          </w:p>
        </w:tc>
        <w:tc>
          <w:tcPr>
            <w:tcW w:w="1170" w:type="dxa"/>
            <w:tcBorders>
              <w:top w:val="nil"/>
              <w:left w:val="nil"/>
              <w:bottom w:val="nil"/>
              <w:right w:val="nil"/>
            </w:tcBorders>
          </w:tcPr>
          <w:p w14:paraId="7947292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0.323***</w:t>
            </w:r>
          </w:p>
        </w:tc>
        <w:tc>
          <w:tcPr>
            <w:tcW w:w="1170" w:type="dxa"/>
            <w:tcBorders>
              <w:top w:val="nil"/>
              <w:left w:val="nil"/>
              <w:bottom w:val="nil"/>
              <w:right w:val="nil"/>
            </w:tcBorders>
          </w:tcPr>
          <w:p w14:paraId="3A033C0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0.324***</w:t>
            </w:r>
          </w:p>
        </w:tc>
      </w:tr>
      <w:tr w:rsidR="00DB6C99" w:rsidRPr="00DB6C99" w14:paraId="29574A7A" w14:textId="77777777" w:rsidTr="007C344D">
        <w:trPr>
          <w:jc w:val="center"/>
        </w:trPr>
        <w:tc>
          <w:tcPr>
            <w:tcW w:w="1947" w:type="dxa"/>
            <w:tcBorders>
              <w:top w:val="nil"/>
              <w:left w:val="nil"/>
              <w:bottom w:val="nil"/>
              <w:right w:val="nil"/>
            </w:tcBorders>
            <w:vAlign w:val="center"/>
          </w:tcPr>
          <w:p w14:paraId="09854A8F"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113" w:type="dxa"/>
            <w:tcBorders>
              <w:top w:val="nil"/>
              <w:left w:val="nil"/>
              <w:bottom w:val="nil"/>
              <w:right w:val="nil"/>
            </w:tcBorders>
          </w:tcPr>
          <w:p w14:paraId="598A070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(1.91)</w:t>
            </w:r>
          </w:p>
        </w:tc>
        <w:tc>
          <w:tcPr>
            <w:tcW w:w="990" w:type="dxa"/>
            <w:tcBorders>
              <w:top w:val="nil"/>
              <w:left w:val="nil"/>
              <w:bottom w:val="nil"/>
              <w:right w:val="nil"/>
            </w:tcBorders>
          </w:tcPr>
          <w:p w14:paraId="1F3C381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(1.91)</w:t>
            </w:r>
          </w:p>
        </w:tc>
        <w:tc>
          <w:tcPr>
            <w:tcW w:w="1170" w:type="dxa"/>
            <w:tcBorders>
              <w:top w:val="nil"/>
              <w:left w:val="nil"/>
              <w:bottom w:val="nil"/>
              <w:right w:val="nil"/>
            </w:tcBorders>
          </w:tcPr>
          <w:p w14:paraId="643F913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(1.04)</w:t>
            </w:r>
          </w:p>
        </w:tc>
        <w:tc>
          <w:tcPr>
            <w:tcW w:w="1170" w:type="dxa"/>
            <w:tcBorders>
              <w:top w:val="nil"/>
              <w:left w:val="nil"/>
              <w:bottom w:val="nil"/>
              <w:right w:val="nil"/>
            </w:tcBorders>
          </w:tcPr>
          <w:p w14:paraId="75B27E7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(1.05)</w:t>
            </w:r>
          </w:p>
        </w:tc>
        <w:tc>
          <w:tcPr>
            <w:tcW w:w="1170" w:type="dxa"/>
            <w:tcBorders>
              <w:top w:val="nil"/>
              <w:left w:val="nil"/>
              <w:bottom w:val="nil"/>
              <w:right w:val="nil"/>
            </w:tcBorders>
          </w:tcPr>
          <w:p w14:paraId="5BAA576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(2.67)</w:t>
            </w:r>
          </w:p>
        </w:tc>
        <w:tc>
          <w:tcPr>
            <w:tcW w:w="1170" w:type="dxa"/>
            <w:tcBorders>
              <w:top w:val="nil"/>
              <w:left w:val="nil"/>
              <w:bottom w:val="nil"/>
              <w:right w:val="nil"/>
            </w:tcBorders>
          </w:tcPr>
          <w:p w14:paraId="30E7B88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(2.68)</w:t>
            </w:r>
          </w:p>
        </w:tc>
        <w:tc>
          <w:tcPr>
            <w:tcW w:w="1170" w:type="dxa"/>
            <w:tcBorders>
              <w:top w:val="nil"/>
              <w:left w:val="nil"/>
              <w:bottom w:val="nil"/>
              <w:right w:val="nil"/>
            </w:tcBorders>
          </w:tcPr>
          <w:p w14:paraId="449DD52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(2.75)</w:t>
            </w:r>
          </w:p>
        </w:tc>
        <w:tc>
          <w:tcPr>
            <w:tcW w:w="1170" w:type="dxa"/>
            <w:tcBorders>
              <w:top w:val="nil"/>
              <w:left w:val="nil"/>
              <w:bottom w:val="nil"/>
              <w:right w:val="nil"/>
            </w:tcBorders>
          </w:tcPr>
          <w:p w14:paraId="7607EE8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(2.76)</w:t>
            </w:r>
          </w:p>
        </w:tc>
      </w:tr>
      <w:tr w:rsidR="00DB6C99" w:rsidRPr="00DB6C99" w14:paraId="0706CC51" w14:textId="77777777" w:rsidTr="007C344D">
        <w:trPr>
          <w:jc w:val="center"/>
        </w:trPr>
        <w:tc>
          <w:tcPr>
            <w:tcW w:w="1947" w:type="dxa"/>
            <w:tcBorders>
              <w:top w:val="nil"/>
              <w:left w:val="nil"/>
              <w:bottom w:val="nil"/>
              <w:right w:val="nil"/>
            </w:tcBorders>
            <w:vAlign w:val="center"/>
          </w:tcPr>
          <w:p w14:paraId="14D0E717"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rPr>
              <w:t>AFE</w:t>
            </w:r>
          </w:p>
        </w:tc>
        <w:tc>
          <w:tcPr>
            <w:tcW w:w="1113" w:type="dxa"/>
            <w:tcBorders>
              <w:top w:val="nil"/>
              <w:left w:val="nil"/>
              <w:bottom w:val="nil"/>
              <w:right w:val="nil"/>
            </w:tcBorders>
          </w:tcPr>
          <w:p w14:paraId="2D3E1CBF"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0.000</w:t>
            </w:r>
          </w:p>
        </w:tc>
        <w:tc>
          <w:tcPr>
            <w:tcW w:w="990" w:type="dxa"/>
            <w:tcBorders>
              <w:top w:val="nil"/>
              <w:left w:val="nil"/>
              <w:bottom w:val="nil"/>
              <w:right w:val="nil"/>
            </w:tcBorders>
          </w:tcPr>
          <w:p w14:paraId="42E1987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0.000</w:t>
            </w:r>
          </w:p>
        </w:tc>
        <w:tc>
          <w:tcPr>
            <w:tcW w:w="1170" w:type="dxa"/>
            <w:tcBorders>
              <w:top w:val="nil"/>
              <w:left w:val="nil"/>
              <w:bottom w:val="nil"/>
              <w:right w:val="nil"/>
            </w:tcBorders>
          </w:tcPr>
          <w:p w14:paraId="63A3C9B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0.000</w:t>
            </w:r>
          </w:p>
        </w:tc>
        <w:tc>
          <w:tcPr>
            <w:tcW w:w="1170" w:type="dxa"/>
            <w:tcBorders>
              <w:top w:val="nil"/>
              <w:left w:val="nil"/>
              <w:bottom w:val="nil"/>
              <w:right w:val="nil"/>
            </w:tcBorders>
          </w:tcPr>
          <w:p w14:paraId="1D7EC80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0.000</w:t>
            </w:r>
          </w:p>
        </w:tc>
        <w:tc>
          <w:tcPr>
            <w:tcW w:w="1170" w:type="dxa"/>
            <w:tcBorders>
              <w:top w:val="nil"/>
              <w:left w:val="nil"/>
              <w:bottom w:val="nil"/>
              <w:right w:val="nil"/>
            </w:tcBorders>
          </w:tcPr>
          <w:p w14:paraId="23CB834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0.000</w:t>
            </w:r>
          </w:p>
        </w:tc>
        <w:tc>
          <w:tcPr>
            <w:tcW w:w="1170" w:type="dxa"/>
            <w:tcBorders>
              <w:top w:val="nil"/>
              <w:left w:val="nil"/>
              <w:bottom w:val="nil"/>
              <w:right w:val="nil"/>
            </w:tcBorders>
          </w:tcPr>
          <w:p w14:paraId="5177845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0.000</w:t>
            </w:r>
          </w:p>
        </w:tc>
        <w:tc>
          <w:tcPr>
            <w:tcW w:w="1170" w:type="dxa"/>
            <w:tcBorders>
              <w:top w:val="nil"/>
              <w:left w:val="nil"/>
              <w:bottom w:val="nil"/>
              <w:right w:val="nil"/>
            </w:tcBorders>
          </w:tcPr>
          <w:p w14:paraId="711C159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-0.000</w:t>
            </w:r>
          </w:p>
        </w:tc>
        <w:tc>
          <w:tcPr>
            <w:tcW w:w="1170" w:type="dxa"/>
            <w:tcBorders>
              <w:top w:val="nil"/>
              <w:left w:val="nil"/>
              <w:bottom w:val="nil"/>
              <w:right w:val="nil"/>
            </w:tcBorders>
          </w:tcPr>
          <w:p w14:paraId="5D75B0A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-0.000</w:t>
            </w:r>
          </w:p>
        </w:tc>
      </w:tr>
      <w:tr w:rsidR="00DB6C99" w:rsidRPr="00DB6C99" w14:paraId="5E4EBDD0" w14:textId="77777777" w:rsidTr="007C344D">
        <w:trPr>
          <w:jc w:val="center"/>
        </w:trPr>
        <w:tc>
          <w:tcPr>
            <w:tcW w:w="1947" w:type="dxa"/>
            <w:tcBorders>
              <w:top w:val="nil"/>
              <w:left w:val="nil"/>
              <w:bottom w:val="nil"/>
              <w:right w:val="nil"/>
            </w:tcBorders>
            <w:vAlign w:val="center"/>
          </w:tcPr>
          <w:p w14:paraId="2AD8E424"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113" w:type="dxa"/>
            <w:tcBorders>
              <w:top w:val="nil"/>
              <w:left w:val="nil"/>
              <w:bottom w:val="nil"/>
              <w:right w:val="nil"/>
            </w:tcBorders>
          </w:tcPr>
          <w:p w14:paraId="5DB5131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(0.03)</w:t>
            </w:r>
          </w:p>
        </w:tc>
        <w:tc>
          <w:tcPr>
            <w:tcW w:w="990" w:type="dxa"/>
            <w:tcBorders>
              <w:top w:val="nil"/>
              <w:left w:val="nil"/>
              <w:bottom w:val="nil"/>
              <w:right w:val="nil"/>
            </w:tcBorders>
          </w:tcPr>
          <w:p w14:paraId="06A952C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(0.02)</w:t>
            </w:r>
          </w:p>
        </w:tc>
        <w:tc>
          <w:tcPr>
            <w:tcW w:w="1170" w:type="dxa"/>
            <w:tcBorders>
              <w:top w:val="nil"/>
              <w:left w:val="nil"/>
              <w:bottom w:val="nil"/>
              <w:right w:val="nil"/>
            </w:tcBorders>
          </w:tcPr>
          <w:p w14:paraId="28D9BA2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(0.07)</w:t>
            </w:r>
          </w:p>
        </w:tc>
        <w:tc>
          <w:tcPr>
            <w:tcW w:w="1170" w:type="dxa"/>
            <w:tcBorders>
              <w:top w:val="nil"/>
              <w:left w:val="nil"/>
              <w:bottom w:val="nil"/>
              <w:right w:val="nil"/>
            </w:tcBorders>
          </w:tcPr>
          <w:p w14:paraId="43C7D29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(0.06)</w:t>
            </w:r>
          </w:p>
        </w:tc>
        <w:tc>
          <w:tcPr>
            <w:tcW w:w="1170" w:type="dxa"/>
            <w:tcBorders>
              <w:top w:val="nil"/>
              <w:left w:val="nil"/>
              <w:bottom w:val="nil"/>
              <w:right w:val="nil"/>
            </w:tcBorders>
          </w:tcPr>
          <w:p w14:paraId="63E6FC4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(0.14)</w:t>
            </w:r>
          </w:p>
        </w:tc>
        <w:tc>
          <w:tcPr>
            <w:tcW w:w="1170" w:type="dxa"/>
            <w:tcBorders>
              <w:top w:val="nil"/>
              <w:left w:val="nil"/>
              <w:bottom w:val="nil"/>
              <w:right w:val="nil"/>
            </w:tcBorders>
          </w:tcPr>
          <w:p w14:paraId="2F69926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(0.14)</w:t>
            </w:r>
          </w:p>
        </w:tc>
        <w:tc>
          <w:tcPr>
            <w:tcW w:w="1170" w:type="dxa"/>
            <w:tcBorders>
              <w:top w:val="nil"/>
              <w:left w:val="nil"/>
              <w:bottom w:val="nil"/>
              <w:right w:val="nil"/>
            </w:tcBorders>
          </w:tcPr>
          <w:p w14:paraId="0021518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(-0.29)</w:t>
            </w:r>
          </w:p>
        </w:tc>
        <w:tc>
          <w:tcPr>
            <w:tcW w:w="1170" w:type="dxa"/>
            <w:tcBorders>
              <w:top w:val="nil"/>
              <w:left w:val="nil"/>
              <w:bottom w:val="nil"/>
              <w:right w:val="nil"/>
            </w:tcBorders>
          </w:tcPr>
          <w:p w14:paraId="1940998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(-0.28)</w:t>
            </w:r>
          </w:p>
        </w:tc>
      </w:tr>
      <w:tr w:rsidR="00DB6C99" w:rsidRPr="00DB6C99" w14:paraId="264D7E9C" w14:textId="77777777" w:rsidTr="007C344D">
        <w:trPr>
          <w:jc w:val="center"/>
        </w:trPr>
        <w:tc>
          <w:tcPr>
            <w:tcW w:w="1947" w:type="dxa"/>
            <w:tcBorders>
              <w:top w:val="nil"/>
              <w:left w:val="nil"/>
              <w:bottom w:val="nil"/>
              <w:right w:val="nil"/>
            </w:tcBorders>
            <w:vAlign w:val="center"/>
          </w:tcPr>
          <w:p w14:paraId="0DD4C0BE"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rPr>
              <w:t>SLACK</w:t>
            </w:r>
          </w:p>
        </w:tc>
        <w:tc>
          <w:tcPr>
            <w:tcW w:w="1113" w:type="dxa"/>
            <w:tcBorders>
              <w:top w:val="nil"/>
              <w:left w:val="nil"/>
              <w:bottom w:val="nil"/>
              <w:right w:val="nil"/>
            </w:tcBorders>
          </w:tcPr>
          <w:p w14:paraId="35F2FF7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0.021**</w:t>
            </w:r>
          </w:p>
        </w:tc>
        <w:tc>
          <w:tcPr>
            <w:tcW w:w="990" w:type="dxa"/>
            <w:tcBorders>
              <w:top w:val="nil"/>
              <w:left w:val="nil"/>
              <w:bottom w:val="nil"/>
              <w:right w:val="nil"/>
            </w:tcBorders>
          </w:tcPr>
          <w:p w14:paraId="463EFB7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0.021**</w:t>
            </w:r>
          </w:p>
        </w:tc>
        <w:tc>
          <w:tcPr>
            <w:tcW w:w="1170" w:type="dxa"/>
            <w:tcBorders>
              <w:top w:val="nil"/>
              <w:left w:val="nil"/>
              <w:bottom w:val="nil"/>
              <w:right w:val="nil"/>
            </w:tcBorders>
          </w:tcPr>
          <w:p w14:paraId="794163B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0.025**</w:t>
            </w:r>
          </w:p>
        </w:tc>
        <w:tc>
          <w:tcPr>
            <w:tcW w:w="1170" w:type="dxa"/>
            <w:tcBorders>
              <w:top w:val="nil"/>
              <w:left w:val="nil"/>
              <w:bottom w:val="nil"/>
              <w:right w:val="nil"/>
            </w:tcBorders>
          </w:tcPr>
          <w:p w14:paraId="5C9B1D6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0.025**</w:t>
            </w:r>
          </w:p>
        </w:tc>
        <w:tc>
          <w:tcPr>
            <w:tcW w:w="1170" w:type="dxa"/>
            <w:tcBorders>
              <w:top w:val="nil"/>
              <w:left w:val="nil"/>
              <w:bottom w:val="nil"/>
              <w:right w:val="nil"/>
            </w:tcBorders>
          </w:tcPr>
          <w:p w14:paraId="45C3BBA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-0.001</w:t>
            </w:r>
          </w:p>
        </w:tc>
        <w:tc>
          <w:tcPr>
            <w:tcW w:w="1170" w:type="dxa"/>
            <w:tcBorders>
              <w:top w:val="nil"/>
              <w:left w:val="nil"/>
              <w:bottom w:val="nil"/>
              <w:right w:val="nil"/>
            </w:tcBorders>
          </w:tcPr>
          <w:p w14:paraId="0101E6B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-0.001</w:t>
            </w:r>
          </w:p>
        </w:tc>
        <w:tc>
          <w:tcPr>
            <w:tcW w:w="1170" w:type="dxa"/>
            <w:tcBorders>
              <w:top w:val="nil"/>
              <w:left w:val="nil"/>
              <w:bottom w:val="nil"/>
              <w:right w:val="nil"/>
            </w:tcBorders>
          </w:tcPr>
          <w:p w14:paraId="40FC71B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0.005</w:t>
            </w:r>
          </w:p>
        </w:tc>
        <w:tc>
          <w:tcPr>
            <w:tcW w:w="1170" w:type="dxa"/>
            <w:tcBorders>
              <w:top w:val="nil"/>
              <w:left w:val="nil"/>
              <w:bottom w:val="nil"/>
              <w:right w:val="nil"/>
            </w:tcBorders>
          </w:tcPr>
          <w:p w14:paraId="2FA349A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0.005</w:t>
            </w:r>
          </w:p>
        </w:tc>
      </w:tr>
      <w:tr w:rsidR="00DB6C99" w:rsidRPr="00DB6C99" w14:paraId="091DCC38" w14:textId="77777777" w:rsidTr="007C344D">
        <w:trPr>
          <w:jc w:val="center"/>
        </w:trPr>
        <w:tc>
          <w:tcPr>
            <w:tcW w:w="1947" w:type="dxa"/>
            <w:tcBorders>
              <w:top w:val="nil"/>
              <w:left w:val="nil"/>
              <w:bottom w:val="nil"/>
              <w:right w:val="nil"/>
            </w:tcBorders>
          </w:tcPr>
          <w:p w14:paraId="05FEF294"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113" w:type="dxa"/>
            <w:tcBorders>
              <w:top w:val="nil"/>
              <w:left w:val="nil"/>
              <w:bottom w:val="nil"/>
              <w:right w:val="nil"/>
            </w:tcBorders>
          </w:tcPr>
          <w:p w14:paraId="20ACCB5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(2.02)</w:t>
            </w:r>
          </w:p>
        </w:tc>
        <w:tc>
          <w:tcPr>
            <w:tcW w:w="990" w:type="dxa"/>
            <w:tcBorders>
              <w:top w:val="nil"/>
              <w:left w:val="nil"/>
              <w:bottom w:val="nil"/>
              <w:right w:val="nil"/>
            </w:tcBorders>
          </w:tcPr>
          <w:p w14:paraId="2000BB1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(2.01)</w:t>
            </w:r>
          </w:p>
        </w:tc>
        <w:tc>
          <w:tcPr>
            <w:tcW w:w="1170" w:type="dxa"/>
            <w:tcBorders>
              <w:top w:val="nil"/>
              <w:left w:val="nil"/>
              <w:bottom w:val="nil"/>
              <w:right w:val="nil"/>
            </w:tcBorders>
          </w:tcPr>
          <w:p w14:paraId="5715507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(2.08)</w:t>
            </w:r>
          </w:p>
        </w:tc>
        <w:tc>
          <w:tcPr>
            <w:tcW w:w="1170" w:type="dxa"/>
            <w:tcBorders>
              <w:top w:val="nil"/>
              <w:left w:val="nil"/>
              <w:bottom w:val="nil"/>
              <w:right w:val="nil"/>
            </w:tcBorders>
          </w:tcPr>
          <w:p w14:paraId="67BBF40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(2.08)</w:t>
            </w:r>
          </w:p>
        </w:tc>
        <w:tc>
          <w:tcPr>
            <w:tcW w:w="1170" w:type="dxa"/>
            <w:tcBorders>
              <w:top w:val="nil"/>
              <w:left w:val="nil"/>
              <w:bottom w:val="nil"/>
              <w:right w:val="nil"/>
            </w:tcBorders>
          </w:tcPr>
          <w:p w14:paraId="308D05AF"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(-0.11)</w:t>
            </w:r>
          </w:p>
        </w:tc>
        <w:tc>
          <w:tcPr>
            <w:tcW w:w="1170" w:type="dxa"/>
            <w:tcBorders>
              <w:top w:val="nil"/>
              <w:left w:val="nil"/>
              <w:bottom w:val="nil"/>
              <w:right w:val="nil"/>
            </w:tcBorders>
          </w:tcPr>
          <w:p w14:paraId="2D1FE85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(-0.12)</w:t>
            </w:r>
          </w:p>
        </w:tc>
        <w:tc>
          <w:tcPr>
            <w:tcW w:w="1170" w:type="dxa"/>
            <w:tcBorders>
              <w:top w:val="nil"/>
              <w:left w:val="nil"/>
              <w:bottom w:val="nil"/>
              <w:right w:val="nil"/>
            </w:tcBorders>
          </w:tcPr>
          <w:p w14:paraId="3C20017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(0.60)</w:t>
            </w:r>
          </w:p>
        </w:tc>
        <w:tc>
          <w:tcPr>
            <w:tcW w:w="1170" w:type="dxa"/>
            <w:tcBorders>
              <w:top w:val="nil"/>
              <w:left w:val="nil"/>
              <w:bottom w:val="nil"/>
              <w:right w:val="nil"/>
            </w:tcBorders>
          </w:tcPr>
          <w:p w14:paraId="32E4A86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(0.60)</w:t>
            </w:r>
          </w:p>
        </w:tc>
      </w:tr>
      <w:tr w:rsidR="00DB6C99" w:rsidRPr="00DB6C99" w14:paraId="1E35A725" w14:textId="77777777" w:rsidTr="007C344D">
        <w:trPr>
          <w:jc w:val="center"/>
        </w:trPr>
        <w:tc>
          <w:tcPr>
            <w:tcW w:w="1947" w:type="dxa"/>
            <w:tcBorders>
              <w:top w:val="nil"/>
              <w:left w:val="nil"/>
              <w:bottom w:val="nil"/>
              <w:right w:val="nil"/>
            </w:tcBorders>
          </w:tcPr>
          <w:p w14:paraId="57302E6C" w14:textId="77777777" w:rsidR="007C344D" w:rsidRPr="00DB6C99" w:rsidRDefault="007C344D" w:rsidP="007C344D">
            <w:pPr>
              <w:widowControl w:val="0"/>
              <w:autoSpaceDE w:val="0"/>
              <w:autoSpaceDN w:val="0"/>
              <w:adjustRightInd w:val="0"/>
              <w:spacing w:after="0" w:line="240" w:lineRule="auto"/>
              <w:rPr>
                <w:rFonts w:ascii="Garamond" w:hAnsi="Garamond"/>
                <w:i/>
                <w:iCs/>
                <w:sz w:val="20"/>
                <w:szCs w:val="20"/>
              </w:rPr>
            </w:pPr>
            <w:r w:rsidRPr="00DB6C99">
              <w:rPr>
                <w:rFonts w:ascii="Garamond" w:hAnsi="Garamond"/>
                <w:i/>
                <w:iCs/>
                <w:sz w:val="20"/>
                <w:szCs w:val="20"/>
              </w:rPr>
              <w:t>COD</w:t>
            </w:r>
          </w:p>
        </w:tc>
        <w:tc>
          <w:tcPr>
            <w:tcW w:w="1113" w:type="dxa"/>
            <w:tcBorders>
              <w:top w:val="nil"/>
              <w:left w:val="nil"/>
              <w:bottom w:val="nil"/>
              <w:right w:val="nil"/>
            </w:tcBorders>
          </w:tcPr>
          <w:p w14:paraId="6E71DA4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-0.034</w:t>
            </w:r>
          </w:p>
        </w:tc>
        <w:tc>
          <w:tcPr>
            <w:tcW w:w="990" w:type="dxa"/>
            <w:tcBorders>
              <w:top w:val="nil"/>
              <w:left w:val="nil"/>
              <w:bottom w:val="nil"/>
              <w:right w:val="nil"/>
            </w:tcBorders>
          </w:tcPr>
          <w:p w14:paraId="20CF7EA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-0.030</w:t>
            </w:r>
          </w:p>
        </w:tc>
        <w:tc>
          <w:tcPr>
            <w:tcW w:w="1170" w:type="dxa"/>
            <w:tcBorders>
              <w:top w:val="nil"/>
              <w:left w:val="nil"/>
              <w:bottom w:val="nil"/>
              <w:right w:val="nil"/>
            </w:tcBorders>
          </w:tcPr>
          <w:p w14:paraId="5339C02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0.073</w:t>
            </w:r>
          </w:p>
        </w:tc>
        <w:tc>
          <w:tcPr>
            <w:tcW w:w="1170" w:type="dxa"/>
            <w:tcBorders>
              <w:top w:val="nil"/>
              <w:left w:val="nil"/>
              <w:bottom w:val="nil"/>
              <w:right w:val="nil"/>
            </w:tcBorders>
          </w:tcPr>
          <w:p w14:paraId="698E687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0.077</w:t>
            </w:r>
          </w:p>
        </w:tc>
        <w:tc>
          <w:tcPr>
            <w:tcW w:w="1170" w:type="dxa"/>
            <w:tcBorders>
              <w:top w:val="nil"/>
              <w:left w:val="nil"/>
              <w:bottom w:val="nil"/>
              <w:right w:val="nil"/>
            </w:tcBorders>
          </w:tcPr>
          <w:p w14:paraId="1749BF0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0.098</w:t>
            </w:r>
          </w:p>
        </w:tc>
        <w:tc>
          <w:tcPr>
            <w:tcW w:w="1170" w:type="dxa"/>
            <w:tcBorders>
              <w:top w:val="nil"/>
              <w:left w:val="nil"/>
              <w:bottom w:val="nil"/>
              <w:right w:val="nil"/>
            </w:tcBorders>
          </w:tcPr>
          <w:p w14:paraId="0332FCD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0.100</w:t>
            </w:r>
          </w:p>
        </w:tc>
        <w:tc>
          <w:tcPr>
            <w:tcW w:w="1170" w:type="dxa"/>
            <w:tcBorders>
              <w:top w:val="nil"/>
              <w:left w:val="nil"/>
              <w:bottom w:val="nil"/>
              <w:right w:val="nil"/>
            </w:tcBorders>
          </w:tcPr>
          <w:p w14:paraId="561A708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0.135</w:t>
            </w:r>
          </w:p>
        </w:tc>
        <w:tc>
          <w:tcPr>
            <w:tcW w:w="1170" w:type="dxa"/>
            <w:tcBorders>
              <w:top w:val="nil"/>
              <w:left w:val="nil"/>
              <w:bottom w:val="nil"/>
              <w:right w:val="nil"/>
            </w:tcBorders>
          </w:tcPr>
          <w:p w14:paraId="4F5C2CF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0.137</w:t>
            </w:r>
          </w:p>
        </w:tc>
      </w:tr>
      <w:tr w:rsidR="00DB6C99" w:rsidRPr="00DB6C99" w14:paraId="745746CD" w14:textId="77777777" w:rsidTr="007C344D">
        <w:trPr>
          <w:jc w:val="center"/>
        </w:trPr>
        <w:tc>
          <w:tcPr>
            <w:tcW w:w="1947" w:type="dxa"/>
            <w:tcBorders>
              <w:top w:val="nil"/>
              <w:left w:val="nil"/>
              <w:bottom w:val="nil"/>
              <w:right w:val="nil"/>
            </w:tcBorders>
          </w:tcPr>
          <w:p w14:paraId="0B59FEC0"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113" w:type="dxa"/>
            <w:tcBorders>
              <w:top w:val="nil"/>
              <w:left w:val="nil"/>
              <w:bottom w:val="nil"/>
              <w:right w:val="nil"/>
            </w:tcBorders>
          </w:tcPr>
          <w:p w14:paraId="168ECA1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(-0.18)</w:t>
            </w:r>
          </w:p>
        </w:tc>
        <w:tc>
          <w:tcPr>
            <w:tcW w:w="990" w:type="dxa"/>
            <w:tcBorders>
              <w:top w:val="nil"/>
              <w:left w:val="nil"/>
              <w:bottom w:val="nil"/>
              <w:right w:val="nil"/>
            </w:tcBorders>
          </w:tcPr>
          <w:p w14:paraId="7EEBB2F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(-0.16)</w:t>
            </w:r>
          </w:p>
        </w:tc>
        <w:tc>
          <w:tcPr>
            <w:tcW w:w="1170" w:type="dxa"/>
            <w:tcBorders>
              <w:top w:val="nil"/>
              <w:left w:val="nil"/>
              <w:bottom w:val="nil"/>
              <w:right w:val="nil"/>
            </w:tcBorders>
          </w:tcPr>
          <w:p w14:paraId="333E7D8F"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(0.35)</w:t>
            </w:r>
          </w:p>
        </w:tc>
        <w:tc>
          <w:tcPr>
            <w:tcW w:w="1170" w:type="dxa"/>
            <w:tcBorders>
              <w:top w:val="nil"/>
              <w:left w:val="nil"/>
              <w:bottom w:val="nil"/>
              <w:right w:val="nil"/>
            </w:tcBorders>
          </w:tcPr>
          <w:p w14:paraId="7F63B54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(0.37)</w:t>
            </w:r>
          </w:p>
        </w:tc>
        <w:tc>
          <w:tcPr>
            <w:tcW w:w="1170" w:type="dxa"/>
            <w:tcBorders>
              <w:top w:val="nil"/>
              <w:left w:val="nil"/>
              <w:bottom w:val="nil"/>
              <w:right w:val="nil"/>
            </w:tcBorders>
          </w:tcPr>
          <w:p w14:paraId="2F2E7F4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(0.60)</w:t>
            </w:r>
          </w:p>
        </w:tc>
        <w:tc>
          <w:tcPr>
            <w:tcW w:w="1170" w:type="dxa"/>
            <w:tcBorders>
              <w:top w:val="nil"/>
              <w:left w:val="nil"/>
              <w:bottom w:val="nil"/>
              <w:right w:val="nil"/>
            </w:tcBorders>
          </w:tcPr>
          <w:p w14:paraId="25D64F1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(0.61)</w:t>
            </w:r>
          </w:p>
        </w:tc>
        <w:tc>
          <w:tcPr>
            <w:tcW w:w="1170" w:type="dxa"/>
            <w:tcBorders>
              <w:top w:val="nil"/>
              <w:left w:val="nil"/>
              <w:bottom w:val="nil"/>
              <w:right w:val="nil"/>
            </w:tcBorders>
          </w:tcPr>
          <w:p w14:paraId="29A40B7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(0.75)</w:t>
            </w:r>
          </w:p>
        </w:tc>
        <w:tc>
          <w:tcPr>
            <w:tcW w:w="1170" w:type="dxa"/>
            <w:tcBorders>
              <w:top w:val="nil"/>
              <w:left w:val="nil"/>
              <w:bottom w:val="nil"/>
              <w:right w:val="nil"/>
            </w:tcBorders>
          </w:tcPr>
          <w:p w14:paraId="1558378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(0.76)</w:t>
            </w:r>
          </w:p>
        </w:tc>
      </w:tr>
      <w:tr w:rsidR="00DB6C99" w:rsidRPr="00DB6C99" w14:paraId="72BB4E3B" w14:textId="77777777" w:rsidTr="007C344D">
        <w:trPr>
          <w:jc w:val="center"/>
        </w:trPr>
        <w:tc>
          <w:tcPr>
            <w:tcW w:w="1947" w:type="dxa"/>
            <w:tcBorders>
              <w:top w:val="nil"/>
              <w:left w:val="nil"/>
              <w:bottom w:val="nil"/>
              <w:right w:val="nil"/>
            </w:tcBorders>
            <w:vAlign w:val="center"/>
          </w:tcPr>
          <w:p w14:paraId="534423FA"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lang w:val="en-GB"/>
              </w:rPr>
              <w:t>INST</w:t>
            </w:r>
          </w:p>
        </w:tc>
        <w:tc>
          <w:tcPr>
            <w:tcW w:w="1113" w:type="dxa"/>
            <w:tcBorders>
              <w:top w:val="nil"/>
              <w:left w:val="nil"/>
              <w:bottom w:val="nil"/>
              <w:right w:val="nil"/>
            </w:tcBorders>
          </w:tcPr>
          <w:p w14:paraId="7825113F"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-0.032*</w:t>
            </w:r>
          </w:p>
        </w:tc>
        <w:tc>
          <w:tcPr>
            <w:tcW w:w="990" w:type="dxa"/>
            <w:tcBorders>
              <w:top w:val="nil"/>
              <w:left w:val="nil"/>
              <w:bottom w:val="nil"/>
              <w:right w:val="nil"/>
            </w:tcBorders>
          </w:tcPr>
          <w:p w14:paraId="41139F8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-0.032*</w:t>
            </w:r>
          </w:p>
        </w:tc>
        <w:tc>
          <w:tcPr>
            <w:tcW w:w="1170" w:type="dxa"/>
            <w:tcBorders>
              <w:top w:val="nil"/>
              <w:left w:val="nil"/>
              <w:bottom w:val="nil"/>
              <w:right w:val="nil"/>
            </w:tcBorders>
          </w:tcPr>
          <w:p w14:paraId="28DB47B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-0.016</w:t>
            </w:r>
          </w:p>
        </w:tc>
        <w:tc>
          <w:tcPr>
            <w:tcW w:w="1170" w:type="dxa"/>
            <w:tcBorders>
              <w:top w:val="nil"/>
              <w:left w:val="nil"/>
              <w:bottom w:val="nil"/>
              <w:right w:val="nil"/>
            </w:tcBorders>
          </w:tcPr>
          <w:p w14:paraId="7F5B439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-0.016</w:t>
            </w:r>
          </w:p>
        </w:tc>
        <w:tc>
          <w:tcPr>
            <w:tcW w:w="1170" w:type="dxa"/>
            <w:tcBorders>
              <w:top w:val="nil"/>
              <w:left w:val="nil"/>
              <w:bottom w:val="nil"/>
              <w:right w:val="nil"/>
            </w:tcBorders>
          </w:tcPr>
          <w:p w14:paraId="6B3D11A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-0.087***</w:t>
            </w:r>
          </w:p>
        </w:tc>
        <w:tc>
          <w:tcPr>
            <w:tcW w:w="1170" w:type="dxa"/>
            <w:tcBorders>
              <w:top w:val="nil"/>
              <w:left w:val="nil"/>
              <w:bottom w:val="nil"/>
              <w:right w:val="nil"/>
            </w:tcBorders>
          </w:tcPr>
          <w:p w14:paraId="20DC3CF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-0.087***</w:t>
            </w:r>
          </w:p>
        </w:tc>
        <w:tc>
          <w:tcPr>
            <w:tcW w:w="1170" w:type="dxa"/>
            <w:tcBorders>
              <w:top w:val="nil"/>
              <w:left w:val="nil"/>
              <w:bottom w:val="nil"/>
              <w:right w:val="nil"/>
            </w:tcBorders>
          </w:tcPr>
          <w:p w14:paraId="3C1BBA3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-0.077***</w:t>
            </w:r>
          </w:p>
        </w:tc>
        <w:tc>
          <w:tcPr>
            <w:tcW w:w="1170" w:type="dxa"/>
            <w:tcBorders>
              <w:top w:val="nil"/>
              <w:left w:val="nil"/>
              <w:bottom w:val="nil"/>
              <w:right w:val="nil"/>
            </w:tcBorders>
          </w:tcPr>
          <w:p w14:paraId="0EC33B0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-0.077***</w:t>
            </w:r>
          </w:p>
        </w:tc>
      </w:tr>
      <w:tr w:rsidR="00DB6C99" w:rsidRPr="00DB6C99" w14:paraId="21D156F7" w14:textId="77777777" w:rsidTr="007C344D">
        <w:trPr>
          <w:jc w:val="center"/>
        </w:trPr>
        <w:tc>
          <w:tcPr>
            <w:tcW w:w="1947" w:type="dxa"/>
            <w:tcBorders>
              <w:top w:val="nil"/>
              <w:left w:val="nil"/>
              <w:bottom w:val="nil"/>
              <w:right w:val="nil"/>
            </w:tcBorders>
            <w:vAlign w:val="center"/>
          </w:tcPr>
          <w:p w14:paraId="16B52878"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113" w:type="dxa"/>
            <w:tcBorders>
              <w:top w:val="nil"/>
              <w:left w:val="nil"/>
              <w:bottom w:val="nil"/>
              <w:right w:val="nil"/>
            </w:tcBorders>
          </w:tcPr>
          <w:p w14:paraId="3EDE40F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(-1.86)</w:t>
            </w:r>
          </w:p>
        </w:tc>
        <w:tc>
          <w:tcPr>
            <w:tcW w:w="990" w:type="dxa"/>
            <w:tcBorders>
              <w:top w:val="nil"/>
              <w:left w:val="nil"/>
              <w:bottom w:val="nil"/>
              <w:right w:val="nil"/>
            </w:tcBorders>
          </w:tcPr>
          <w:p w14:paraId="6F6EEE2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(-1.85)</w:t>
            </w:r>
          </w:p>
        </w:tc>
        <w:tc>
          <w:tcPr>
            <w:tcW w:w="1170" w:type="dxa"/>
            <w:tcBorders>
              <w:top w:val="nil"/>
              <w:left w:val="nil"/>
              <w:bottom w:val="nil"/>
              <w:right w:val="nil"/>
            </w:tcBorders>
          </w:tcPr>
          <w:p w14:paraId="0DB2AD9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(-0.88)</w:t>
            </w:r>
          </w:p>
        </w:tc>
        <w:tc>
          <w:tcPr>
            <w:tcW w:w="1170" w:type="dxa"/>
            <w:tcBorders>
              <w:top w:val="nil"/>
              <w:left w:val="nil"/>
              <w:bottom w:val="nil"/>
              <w:right w:val="nil"/>
            </w:tcBorders>
          </w:tcPr>
          <w:p w14:paraId="1AB9B9C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(-0.87)</w:t>
            </w:r>
          </w:p>
        </w:tc>
        <w:tc>
          <w:tcPr>
            <w:tcW w:w="1170" w:type="dxa"/>
            <w:tcBorders>
              <w:top w:val="nil"/>
              <w:left w:val="nil"/>
              <w:bottom w:val="nil"/>
              <w:right w:val="nil"/>
            </w:tcBorders>
          </w:tcPr>
          <w:p w14:paraId="62196EF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(-5.03)</w:t>
            </w:r>
          </w:p>
        </w:tc>
        <w:tc>
          <w:tcPr>
            <w:tcW w:w="1170" w:type="dxa"/>
            <w:tcBorders>
              <w:top w:val="nil"/>
              <w:left w:val="nil"/>
              <w:bottom w:val="nil"/>
              <w:right w:val="nil"/>
            </w:tcBorders>
          </w:tcPr>
          <w:p w14:paraId="04C3123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(-5.01)</w:t>
            </w:r>
          </w:p>
        </w:tc>
        <w:tc>
          <w:tcPr>
            <w:tcW w:w="1170" w:type="dxa"/>
            <w:tcBorders>
              <w:top w:val="nil"/>
              <w:left w:val="nil"/>
              <w:bottom w:val="nil"/>
              <w:right w:val="nil"/>
            </w:tcBorders>
          </w:tcPr>
          <w:p w14:paraId="4A9E6D9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(-4.12)</w:t>
            </w:r>
          </w:p>
        </w:tc>
        <w:tc>
          <w:tcPr>
            <w:tcW w:w="1170" w:type="dxa"/>
            <w:tcBorders>
              <w:top w:val="nil"/>
              <w:left w:val="nil"/>
              <w:bottom w:val="nil"/>
              <w:right w:val="nil"/>
            </w:tcBorders>
          </w:tcPr>
          <w:p w14:paraId="3ADF411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(-4.11)</w:t>
            </w:r>
          </w:p>
        </w:tc>
      </w:tr>
      <w:tr w:rsidR="00DB6C99" w:rsidRPr="00DB6C99" w14:paraId="27551A31" w14:textId="77777777" w:rsidTr="007C344D">
        <w:trPr>
          <w:jc w:val="center"/>
        </w:trPr>
        <w:tc>
          <w:tcPr>
            <w:tcW w:w="1947" w:type="dxa"/>
            <w:tcBorders>
              <w:top w:val="nil"/>
              <w:left w:val="nil"/>
              <w:bottom w:val="nil"/>
              <w:right w:val="nil"/>
            </w:tcBorders>
            <w:vAlign w:val="center"/>
          </w:tcPr>
          <w:p w14:paraId="7702175F"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lang w:val="en-GB"/>
              </w:rPr>
              <w:t>STATE</w:t>
            </w:r>
          </w:p>
        </w:tc>
        <w:tc>
          <w:tcPr>
            <w:tcW w:w="1113" w:type="dxa"/>
            <w:tcBorders>
              <w:top w:val="nil"/>
              <w:left w:val="nil"/>
              <w:bottom w:val="nil"/>
              <w:right w:val="nil"/>
            </w:tcBorders>
          </w:tcPr>
          <w:p w14:paraId="264788F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0.111</w:t>
            </w:r>
          </w:p>
        </w:tc>
        <w:tc>
          <w:tcPr>
            <w:tcW w:w="990" w:type="dxa"/>
            <w:tcBorders>
              <w:top w:val="nil"/>
              <w:left w:val="nil"/>
              <w:bottom w:val="nil"/>
              <w:right w:val="nil"/>
            </w:tcBorders>
          </w:tcPr>
          <w:p w14:paraId="215DD2C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0.112</w:t>
            </w:r>
          </w:p>
        </w:tc>
        <w:tc>
          <w:tcPr>
            <w:tcW w:w="1170" w:type="dxa"/>
            <w:tcBorders>
              <w:top w:val="nil"/>
              <w:left w:val="nil"/>
              <w:bottom w:val="nil"/>
              <w:right w:val="nil"/>
            </w:tcBorders>
          </w:tcPr>
          <w:p w14:paraId="276C09D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0.132</w:t>
            </w:r>
          </w:p>
        </w:tc>
        <w:tc>
          <w:tcPr>
            <w:tcW w:w="1170" w:type="dxa"/>
            <w:tcBorders>
              <w:top w:val="nil"/>
              <w:left w:val="nil"/>
              <w:bottom w:val="nil"/>
              <w:right w:val="nil"/>
            </w:tcBorders>
          </w:tcPr>
          <w:p w14:paraId="76C2460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0.134</w:t>
            </w:r>
          </w:p>
        </w:tc>
        <w:tc>
          <w:tcPr>
            <w:tcW w:w="1170" w:type="dxa"/>
            <w:tcBorders>
              <w:top w:val="nil"/>
              <w:left w:val="nil"/>
              <w:bottom w:val="nil"/>
              <w:right w:val="nil"/>
            </w:tcBorders>
          </w:tcPr>
          <w:p w14:paraId="1604B0D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0.180*</w:t>
            </w:r>
          </w:p>
        </w:tc>
        <w:tc>
          <w:tcPr>
            <w:tcW w:w="1170" w:type="dxa"/>
            <w:tcBorders>
              <w:top w:val="nil"/>
              <w:left w:val="nil"/>
              <w:bottom w:val="nil"/>
              <w:right w:val="nil"/>
            </w:tcBorders>
          </w:tcPr>
          <w:p w14:paraId="4CFFFF9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0.181*</w:t>
            </w:r>
          </w:p>
        </w:tc>
        <w:tc>
          <w:tcPr>
            <w:tcW w:w="1170" w:type="dxa"/>
            <w:tcBorders>
              <w:top w:val="nil"/>
              <w:left w:val="nil"/>
              <w:bottom w:val="nil"/>
              <w:right w:val="nil"/>
            </w:tcBorders>
          </w:tcPr>
          <w:p w14:paraId="13FD308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0.161</w:t>
            </w:r>
          </w:p>
        </w:tc>
        <w:tc>
          <w:tcPr>
            <w:tcW w:w="1170" w:type="dxa"/>
            <w:tcBorders>
              <w:top w:val="nil"/>
              <w:left w:val="nil"/>
              <w:bottom w:val="nil"/>
              <w:right w:val="nil"/>
            </w:tcBorders>
          </w:tcPr>
          <w:p w14:paraId="733A86DF"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0.162</w:t>
            </w:r>
          </w:p>
        </w:tc>
      </w:tr>
      <w:tr w:rsidR="00DB6C99" w:rsidRPr="00DB6C99" w14:paraId="0CBD5C7A" w14:textId="77777777" w:rsidTr="007C344D">
        <w:trPr>
          <w:jc w:val="center"/>
        </w:trPr>
        <w:tc>
          <w:tcPr>
            <w:tcW w:w="1947" w:type="dxa"/>
            <w:tcBorders>
              <w:top w:val="nil"/>
              <w:left w:val="nil"/>
              <w:bottom w:val="nil"/>
              <w:right w:val="nil"/>
            </w:tcBorders>
            <w:vAlign w:val="center"/>
          </w:tcPr>
          <w:p w14:paraId="06DA82FA"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113" w:type="dxa"/>
            <w:tcBorders>
              <w:top w:val="nil"/>
              <w:left w:val="nil"/>
              <w:bottom w:val="nil"/>
              <w:right w:val="nil"/>
            </w:tcBorders>
          </w:tcPr>
          <w:p w14:paraId="07DF54A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(1.03)</w:t>
            </w:r>
          </w:p>
        </w:tc>
        <w:tc>
          <w:tcPr>
            <w:tcW w:w="990" w:type="dxa"/>
            <w:tcBorders>
              <w:top w:val="nil"/>
              <w:left w:val="nil"/>
              <w:bottom w:val="nil"/>
              <w:right w:val="nil"/>
            </w:tcBorders>
          </w:tcPr>
          <w:p w14:paraId="1DBEC45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(1.04)</w:t>
            </w:r>
          </w:p>
        </w:tc>
        <w:tc>
          <w:tcPr>
            <w:tcW w:w="1170" w:type="dxa"/>
            <w:tcBorders>
              <w:top w:val="nil"/>
              <w:left w:val="nil"/>
              <w:bottom w:val="nil"/>
              <w:right w:val="nil"/>
            </w:tcBorders>
          </w:tcPr>
          <w:p w14:paraId="3A7DF56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(1.11)</w:t>
            </w:r>
          </w:p>
        </w:tc>
        <w:tc>
          <w:tcPr>
            <w:tcW w:w="1170" w:type="dxa"/>
            <w:tcBorders>
              <w:top w:val="nil"/>
              <w:left w:val="nil"/>
              <w:bottom w:val="nil"/>
              <w:right w:val="nil"/>
            </w:tcBorders>
          </w:tcPr>
          <w:p w14:paraId="0D3C16B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(1.13)</w:t>
            </w:r>
          </w:p>
        </w:tc>
        <w:tc>
          <w:tcPr>
            <w:tcW w:w="1170" w:type="dxa"/>
            <w:tcBorders>
              <w:top w:val="nil"/>
              <w:left w:val="nil"/>
              <w:bottom w:val="nil"/>
              <w:right w:val="nil"/>
            </w:tcBorders>
          </w:tcPr>
          <w:p w14:paraId="553FF0A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(1.83)</w:t>
            </w:r>
          </w:p>
        </w:tc>
        <w:tc>
          <w:tcPr>
            <w:tcW w:w="1170" w:type="dxa"/>
            <w:tcBorders>
              <w:top w:val="nil"/>
              <w:left w:val="nil"/>
              <w:bottom w:val="nil"/>
              <w:right w:val="nil"/>
            </w:tcBorders>
          </w:tcPr>
          <w:p w14:paraId="10FEFFE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(1.84)</w:t>
            </w:r>
          </w:p>
        </w:tc>
        <w:tc>
          <w:tcPr>
            <w:tcW w:w="1170" w:type="dxa"/>
            <w:tcBorders>
              <w:top w:val="nil"/>
              <w:left w:val="nil"/>
              <w:bottom w:val="nil"/>
              <w:right w:val="nil"/>
            </w:tcBorders>
          </w:tcPr>
          <w:p w14:paraId="21ACB36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(1.54)</w:t>
            </w:r>
          </w:p>
        </w:tc>
        <w:tc>
          <w:tcPr>
            <w:tcW w:w="1170" w:type="dxa"/>
            <w:tcBorders>
              <w:top w:val="nil"/>
              <w:left w:val="nil"/>
              <w:bottom w:val="nil"/>
              <w:right w:val="nil"/>
            </w:tcBorders>
          </w:tcPr>
          <w:p w14:paraId="796AAEB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(1.54)</w:t>
            </w:r>
          </w:p>
        </w:tc>
      </w:tr>
      <w:tr w:rsidR="00DB6C99" w:rsidRPr="00DB6C99" w14:paraId="1C1EAB39" w14:textId="77777777" w:rsidTr="007C344D">
        <w:trPr>
          <w:jc w:val="center"/>
        </w:trPr>
        <w:tc>
          <w:tcPr>
            <w:tcW w:w="1947" w:type="dxa"/>
            <w:tcBorders>
              <w:top w:val="nil"/>
              <w:left w:val="nil"/>
              <w:bottom w:val="nil"/>
              <w:right w:val="nil"/>
            </w:tcBorders>
            <w:vAlign w:val="center"/>
          </w:tcPr>
          <w:p w14:paraId="57917E93"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lang w:val="en-GB"/>
              </w:rPr>
              <w:t>SIZE</w:t>
            </w:r>
          </w:p>
        </w:tc>
        <w:tc>
          <w:tcPr>
            <w:tcW w:w="1113" w:type="dxa"/>
            <w:tcBorders>
              <w:top w:val="nil"/>
              <w:left w:val="nil"/>
              <w:bottom w:val="nil"/>
              <w:right w:val="nil"/>
            </w:tcBorders>
          </w:tcPr>
          <w:p w14:paraId="03B1A77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0.186***</w:t>
            </w:r>
          </w:p>
        </w:tc>
        <w:tc>
          <w:tcPr>
            <w:tcW w:w="990" w:type="dxa"/>
            <w:tcBorders>
              <w:top w:val="nil"/>
              <w:left w:val="nil"/>
              <w:bottom w:val="nil"/>
              <w:right w:val="nil"/>
            </w:tcBorders>
          </w:tcPr>
          <w:p w14:paraId="517266C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0.186***</w:t>
            </w:r>
          </w:p>
        </w:tc>
        <w:tc>
          <w:tcPr>
            <w:tcW w:w="1170" w:type="dxa"/>
            <w:tcBorders>
              <w:top w:val="nil"/>
              <w:left w:val="nil"/>
              <w:bottom w:val="nil"/>
              <w:right w:val="nil"/>
            </w:tcBorders>
          </w:tcPr>
          <w:p w14:paraId="2CDEE03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0.205***</w:t>
            </w:r>
          </w:p>
        </w:tc>
        <w:tc>
          <w:tcPr>
            <w:tcW w:w="1170" w:type="dxa"/>
            <w:tcBorders>
              <w:top w:val="nil"/>
              <w:left w:val="nil"/>
              <w:bottom w:val="nil"/>
              <w:right w:val="nil"/>
            </w:tcBorders>
          </w:tcPr>
          <w:p w14:paraId="7D4CE06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0.205***</w:t>
            </w:r>
          </w:p>
        </w:tc>
        <w:tc>
          <w:tcPr>
            <w:tcW w:w="1170" w:type="dxa"/>
            <w:tcBorders>
              <w:top w:val="nil"/>
              <w:left w:val="nil"/>
              <w:bottom w:val="nil"/>
              <w:right w:val="nil"/>
            </w:tcBorders>
          </w:tcPr>
          <w:p w14:paraId="094A506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0.261***</w:t>
            </w:r>
          </w:p>
        </w:tc>
        <w:tc>
          <w:tcPr>
            <w:tcW w:w="1170" w:type="dxa"/>
            <w:tcBorders>
              <w:top w:val="nil"/>
              <w:left w:val="nil"/>
              <w:bottom w:val="nil"/>
              <w:right w:val="nil"/>
            </w:tcBorders>
          </w:tcPr>
          <w:p w14:paraId="02FC1A4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0.261***</w:t>
            </w:r>
          </w:p>
        </w:tc>
        <w:tc>
          <w:tcPr>
            <w:tcW w:w="1170" w:type="dxa"/>
            <w:tcBorders>
              <w:top w:val="nil"/>
              <w:left w:val="nil"/>
              <w:bottom w:val="nil"/>
              <w:right w:val="nil"/>
            </w:tcBorders>
          </w:tcPr>
          <w:p w14:paraId="1C88BD8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0.280***</w:t>
            </w:r>
          </w:p>
        </w:tc>
        <w:tc>
          <w:tcPr>
            <w:tcW w:w="1170" w:type="dxa"/>
            <w:tcBorders>
              <w:top w:val="nil"/>
              <w:left w:val="nil"/>
              <w:bottom w:val="nil"/>
              <w:right w:val="nil"/>
            </w:tcBorders>
          </w:tcPr>
          <w:p w14:paraId="44DAE20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0.280***</w:t>
            </w:r>
          </w:p>
        </w:tc>
      </w:tr>
      <w:tr w:rsidR="00DB6C99" w:rsidRPr="00DB6C99" w14:paraId="48CF2F09" w14:textId="77777777" w:rsidTr="007C344D">
        <w:trPr>
          <w:jc w:val="center"/>
        </w:trPr>
        <w:tc>
          <w:tcPr>
            <w:tcW w:w="1947" w:type="dxa"/>
            <w:tcBorders>
              <w:top w:val="nil"/>
              <w:left w:val="nil"/>
              <w:bottom w:val="nil"/>
              <w:right w:val="nil"/>
            </w:tcBorders>
            <w:vAlign w:val="center"/>
          </w:tcPr>
          <w:p w14:paraId="5F9B5A69"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113" w:type="dxa"/>
            <w:tcBorders>
              <w:top w:val="nil"/>
              <w:left w:val="nil"/>
              <w:bottom w:val="nil"/>
              <w:right w:val="nil"/>
            </w:tcBorders>
          </w:tcPr>
          <w:p w14:paraId="65E84A8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(8.21)</w:t>
            </w:r>
          </w:p>
        </w:tc>
        <w:tc>
          <w:tcPr>
            <w:tcW w:w="990" w:type="dxa"/>
            <w:tcBorders>
              <w:top w:val="nil"/>
              <w:left w:val="nil"/>
              <w:bottom w:val="nil"/>
              <w:right w:val="nil"/>
            </w:tcBorders>
          </w:tcPr>
          <w:p w14:paraId="1B801BD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(8.22)</w:t>
            </w:r>
          </w:p>
        </w:tc>
        <w:tc>
          <w:tcPr>
            <w:tcW w:w="1170" w:type="dxa"/>
            <w:tcBorders>
              <w:top w:val="nil"/>
              <w:left w:val="nil"/>
              <w:bottom w:val="nil"/>
              <w:right w:val="nil"/>
            </w:tcBorders>
          </w:tcPr>
          <w:p w14:paraId="1CB82E0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(8.07)</w:t>
            </w:r>
          </w:p>
        </w:tc>
        <w:tc>
          <w:tcPr>
            <w:tcW w:w="1170" w:type="dxa"/>
            <w:tcBorders>
              <w:top w:val="nil"/>
              <w:left w:val="nil"/>
              <w:bottom w:val="nil"/>
              <w:right w:val="nil"/>
            </w:tcBorders>
          </w:tcPr>
          <w:p w14:paraId="60CA2A6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(8.08)</w:t>
            </w:r>
          </w:p>
        </w:tc>
        <w:tc>
          <w:tcPr>
            <w:tcW w:w="1170" w:type="dxa"/>
            <w:tcBorders>
              <w:top w:val="nil"/>
              <w:left w:val="nil"/>
              <w:bottom w:val="nil"/>
              <w:right w:val="nil"/>
            </w:tcBorders>
          </w:tcPr>
          <w:p w14:paraId="46CA11F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(31.61)</w:t>
            </w:r>
          </w:p>
        </w:tc>
        <w:tc>
          <w:tcPr>
            <w:tcW w:w="1170" w:type="dxa"/>
            <w:tcBorders>
              <w:top w:val="nil"/>
              <w:left w:val="nil"/>
              <w:bottom w:val="nil"/>
              <w:right w:val="nil"/>
            </w:tcBorders>
          </w:tcPr>
          <w:p w14:paraId="51208C1F"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(31.65)</w:t>
            </w:r>
          </w:p>
        </w:tc>
        <w:tc>
          <w:tcPr>
            <w:tcW w:w="1170" w:type="dxa"/>
            <w:tcBorders>
              <w:top w:val="nil"/>
              <w:left w:val="nil"/>
              <w:bottom w:val="nil"/>
              <w:right w:val="nil"/>
            </w:tcBorders>
          </w:tcPr>
          <w:p w14:paraId="68AC551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(30.38)</w:t>
            </w:r>
          </w:p>
        </w:tc>
        <w:tc>
          <w:tcPr>
            <w:tcW w:w="1170" w:type="dxa"/>
            <w:tcBorders>
              <w:top w:val="nil"/>
              <w:left w:val="nil"/>
              <w:bottom w:val="nil"/>
              <w:right w:val="nil"/>
            </w:tcBorders>
          </w:tcPr>
          <w:p w14:paraId="3649D07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(30.41)</w:t>
            </w:r>
          </w:p>
        </w:tc>
      </w:tr>
      <w:tr w:rsidR="00DB6C99" w:rsidRPr="00DB6C99" w14:paraId="7E48B7C6" w14:textId="77777777" w:rsidTr="007C344D">
        <w:trPr>
          <w:jc w:val="center"/>
        </w:trPr>
        <w:tc>
          <w:tcPr>
            <w:tcW w:w="1947" w:type="dxa"/>
            <w:tcBorders>
              <w:top w:val="nil"/>
              <w:left w:val="nil"/>
              <w:bottom w:val="nil"/>
              <w:right w:val="nil"/>
            </w:tcBorders>
            <w:vAlign w:val="center"/>
          </w:tcPr>
          <w:p w14:paraId="4F4C42E3"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r w:rsidRPr="00DB6C99">
              <w:rPr>
                <w:rFonts w:ascii="Garamond" w:hAnsi="Garamond"/>
                <w:i/>
                <w:iCs/>
                <w:sz w:val="20"/>
                <w:szCs w:val="20"/>
              </w:rPr>
              <w:t>I</w:t>
            </w:r>
            <w:r w:rsidRPr="00DB6C99">
              <w:rPr>
                <w:rFonts w:ascii="Garamond" w:hAnsi="Garamond"/>
                <w:i/>
                <w:iCs/>
                <w:spacing w:val="-2"/>
                <w:sz w:val="20"/>
                <w:szCs w:val="20"/>
              </w:rPr>
              <w:t>n</w:t>
            </w:r>
            <w:r w:rsidRPr="00DB6C99">
              <w:rPr>
                <w:rFonts w:ascii="Garamond" w:hAnsi="Garamond"/>
                <w:i/>
                <w:iCs/>
                <w:spacing w:val="-1"/>
                <w:sz w:val="20"/>
                <w:szCs w:val="20"/>
              </w:rPr>
              <w:t>t</w:t>
            </w:r>
            <w:r w:rsidRPr="00DB6C99">
              <w:rPr>
                <w:rFonts w:ascii="Garamond" w:hAnsi="Garamond"/>
                <w:i/>
                <w:iCs/>
                <w:sz w:val="20"/>
                <w:szCs w:val="20"/>
              </w:rPr>
              <w:t>erce</w:t>
            </w:r>
            <w:r w:rsidRPr="00DB6C99">
              <w:rPr>
                <w:rFonts w:ascii="Garamond" w:hAnsi="Garamond"/>
                <w:i/>
                <w:iCs/>
                <w:spacing w:val="1"/>
                <w:sz w:val="20"/>
                <w:szCs w:val="20"/>
              </w:rPr>
              <w:t>p</w:t>
            </w:r>
            <w:r w:rsidRPr="00DB6C99">
              <w:rPr>
                <w:rFonts w:ascii="Garamond" w:hAnsi="Garamond"/>
                <w:i/>
                <w:iCs/>
                <w:sz w:val="20"/>
                <w:szCs w:val="20"/>
              </w:rPr>
              <w:t>t</w:t>
            </w:r>
          </w:p>
        </w:tc>
        <w:tc>
          <w:tcPr>
            <w:tcW w:w="1113" w:type="dxa"/>
            <w:tcBorders>
              <w:top w:val="nil"/>
              <w:left w:val="nil"/>
              <w:bottom w:val="nil"/>
              <w:right w:val="nil"/>
            </w:tcBorders>
          </w:tcPr>
          <w:p w14:paraId="3BAED76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-4.091***</w:t>
            </w:r>
          </w:p>
        </w:tc>
        <w:tc>
          <w:tcPr>
            <w:tcW w:w="990" w:type="dxa"/>
            <w:tcBorders>
              <w:top w:val="nil"/>
              <w:left w:val="nil"/>
              <w:bottom w:val="nil"/>
              <w:right w:val="nil"/>
            </w:tcBorders>
          </w:tcPr>
          <w:p w14:paraId="3D8A7B8F"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-4.105***</w:t>
            </w:r>
          </w:p>
        </w:tc>
        <w:tc>
          <w:tcPr>
            <w:tcW w:w="1170" w:type="dxa"/>
            <w:tcBorders>
              <w:top w:val="nil"/>
              <w:left w:val="nil"/>
              <w:bottom w:val="nil"/>
              <w:right w:val="nil"/>
            </w:tcBorders>
          </w:tcPr>
          <w:p w14:paraId="04B3016F"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-4.922***</w:t>
            </w:r>
          </w:p>
        </w:tc>
        <w:tc>
          <w:tcPr>
            <w:tcW w:w="1170" w:type="dxa"/>
            <w:tcBorders>
              <w:top w:val="nil"/>
              <w:left w:val="nil"/>
              <w:bottom w:val="nil"/>
              <w:right w:val="nil"/>
            </w:tcBorders>
          </w:tcPr>
          <w:p w14:paraId="624AA2B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-4.939***</w:t>
            </w:r>
          </w:p>
        </w:tc>
        <w:tc>
          <w:tcPr>
            <w:tcW w:w="1170" w:type="dxa"/>
            <w:tcBorders>
              <w:top w:val="nil"/>
              <w:left w:val="nil"/>
              <w:bottom w:val="nil"/>
              <w:right w:val="nil"/>
            </w:tcBorders>
          </w:tcPr>
          <w:p w14:paraId="64502FF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-5.700***</w:t>
            </w:r>
          </w:p>
        </w:tc>
        <w:tc>
          <w:tcPr>
            <w:tcW w:w="1170" w:type="dxa"/>
            <w:tcBorders>
              <w:top w:val="nil"/>
              <w:left w:val="nil"/>
              <w:bottom w:val="nil"/>
              <w:right w:val="nil"/>
            </w:tcBorders>
          </w:tcPr>
          <w:p w14:paraId="734C5A5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-5.708***</w:t>
            </w:r>
          </w:p>
        </w:tc>
        <w:tc>
          <w:tcPr>
            <w:tcW w:w="1170" w:type="dxa"/>
            <w:tcBorders>
              <w:top w:val="nil"/>
              <w:left w:val="nil"/>
              <w:bottom w:val="nil"/>
              <w:right w:val="nil"/>
            </w:tcBorders>
          </w:tcPr>
          <w:p w14:paraId="5332860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-6.647***</w:t>
            </w:r>
          </w:p>
        </w:tc>
        <w:tc>
          <w:tcPr>
            <w:tcW w:w="1170" w:type="dxa"/>
            <w:tcBorders>
              <w:top w:val="nil"/>
              <w:left w:val="nil"/>
              <w:bottom w:val="nil"/>
              <w:right w:val="nil"/>
            </w:tcBorders>
          </w:tcPr>
          <w:p w14:paraId="544BE2C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-6.655***</w:t>
            </w:r>
          </w:p>
        </w:tc>
      </w:tr>
      <w:tr w:rsidR="00DB6C99" w:rsidRPr="00DB6C99" w14:paraId="298EFF63" w14:textId="77777777" w:rsidTr="007C344D">
        <w:trPr>
          <w:jc w:val="center"/>
        </w:trPr>
        <w:tc>
          <w:tcPr>
            <w:tcW w:w="1947" w:type="dxa"/>
            <w:tcBorders>
              <w:top w:val="nil"/>
              <w:left w:val="nil"/>
              <w:bottom w:val="nil"/>
              <w:right w:val="nil"/>
            </w:tcBorders>
          </w:tcPr>
          <w:p w14:paraId="46BF16F3"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113" w:type="dxa"/>
            <w:tcBorders>
              <w:top w:val="nil"/>
              <w:left w:val="nil"/>
              <w:bottom w:val="nil"/>
              <w:right w:val="nil"/>
            </w:tcBorders>
          </w:tcPr>
          <w:p w14:paraId="2BE0310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(-11.43)</w:t>
            </w:r>
          </w:p>
        </w:tc>
        <w:tc>
          <w:tcPr>
            <w:tcW w:w="990" w:type="dxa"/>
            <w:tcBorders>
              <w:top w:val="nil"/>
              <w:left w:val="nil"/>
              <w:bottom w:val="nil"/>
              <w:right w:val="nil"/>
            </w:tcBorders>
          </w:tcPr>
          <w:p w14:paraId="52C5E80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(-11.47)</w:t>
            </w:r>
          </w:p>
        </w:tc>
        <w:tc>
          <w:tcPr>
            <w:tcW w:w="1170" w:type="dxa"/>
            <w:tcBorders>
              <w:top w:val="nil"/>
              <w:left w:val="nil"/>
              <w:bottom w:val="nil"/>
              <w:right w:val="nil"/>
            </w:tcBorders>
          </w:tcPr>
          <w:p w14:paraId="0D644D5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(-12.08)</w:t>
            </w:r>
          </w:p>
        </w:tc>
        <w:tc>
          <w:tcPr>
            <w:tcW w:w="1170" w:type="dxa"/>
            <w:tcBorders>
              <w:top w:val="nil"/>
              <w:left w:val="nil"/>
              <w:bottom w:val="nil"/>
              <w:right w:val="nil"/>
            </w:tcBorders>
          </w:tcPr>
          <w:p w14:paraId="5BF887F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(-12.12)</w:t>
            </w:r>
          </w:p>
        </w:tc>
        <w:tc>
          <w:tcPr>
            <w:tcW w:w="1170" w:type="dxa"/>
            <w:tcBorders>
              <w:top w:val="nil"/>
              <w:left w:val="nil"/>
              <w:bottom w:val="nil"/>
              <w:right w:val="nil"/>
            </w:tcBorders>
          </w:tcPr>
          <w:p w14:paraId="68848B0F"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(-28.45)</w:t>
            </w:r>
          </w:p>
        </w:tc>
        <w:tc>
          <w:tcPr>
            <w:tcW w:w="1170" w:type="dxa"/>
            <w:tcBorders>
              <w:top w:val="nil"/>
              <w:left w:val="nil"/>
              <w:bottom w:val="nil"/>
              <w:right w:val="nil"/>
            </w:tcBorders>
          </w:tcPr>
          <w:p w14:paraId="3FD79C1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(-28.48)</w:t>
            </w:r>
          </w:p>
        </w:tc>
        <w:tc>
          <w:tcPr>
            <w:tcW w:w="1170" w:type="dxa"/>
            <w:tcBorders>
              <w:top w:val="nil"/>
              <w:left w:val="nil"/>
              <w:bottom w:val="nil"/>
              <w:right w:val="nil"/>
            </w:tcBorders>
          </w:tcPr>
          <w:p w14:paraId="4D8CB9F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(-29.55)</w:t>
            </w:r>
          </w:p>
        </w:tc>
        <w:tc>
          <w:tcPr>
            <w:tcW w:w="1170" w:type="dxa"/>
            <w:tcBorders>
              <w:top w:val="nil"/>
              <w:left w:val="nil"/>
              <w:bottom w:val="nil"/>
              <w:right w:val="nil"/>
            </w:tcBorders>
          </w:tcPr>
          <w:p w14:paraId="2AC6D96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(-29.58)</w:t>
            </w:r>
          </w:p>
        </w:tc>
      </w:tr>
      <w:tr w:rsidR="00DB6C99" w:rsidRPr="00DB6C99" w14:paraId="1BABC84D" w14:textId="77777777" w:rsidTr="007C344D">
        <w:trPr>
          <w:jc w:val="center"/>
        </w:trPr>
        <w:tc>
          <w:tcPr>
            <w:tcW w:w="1947" w:type="dxa"/>
            <w:tcBorders>
              <w:top w:val="nil"/>
              <w:left w:val="nil"/>
              <w:bottom w:val="nil"/>
              <w:right w:val="nil"/>
            </w:tcBorders>
          </w:tcPr>
          <w:p w14:paraId="6DE850EE" w14:textId="77777777" w:rsidR="007C344D" w:rsidRPr="00DB6C99" w:rsidRDefault="007C344D" w:rsidP="007C344D">
            <w:pPr>
              <w:widowControl w:val="0"/>
              <w:autoSpaceDE w:val="0"/>
              <w:autoSpaceDN w:val="0"/>
              <w:adjustRightInd w:val="0"/>
              <w:spacing w:after="0" w:line="240" w:lineRule="auto"/>
              <w:rPr>
                <w:rFonts w:ascii="Garamond" w:hAnsi="Garamond"/>
                <w:sz w:val="20"/>
                <w:szCs w:val="20"/>
              </w:rPr>
            </w:pPr>
          </w:p>
        </w:tc>
        <w:tc>
          <w:tcPr>
            <w:tcW w:w="1113" w:type="dxa"/>
            <w:tcBorders>
              <w:top w:val="nil"/>
              <w:left w:val="nil"/>
              <w:bottom w:val="nil"/>
              <w:right w:val="nil"/>
            </w:tcBorders>
          </w:tcPr>
          <w:p w14:paraId="04759DBF"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p>
        </w:tc>
        <w:tc>
          <w:tcPr>
            <w:tcW w:w="990" w:type="dxa"/>
            <w:tcBorders>
              <w:top w:val="nil"/>
              <w:left w:val="nil"/>
              <w:bottom w:val="nil"/>
              <w:right w:val="nil"/>
            </w:tcBorders>
          </w:tcPr>
          <w:p w14:paraId="2F314F6D"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p>
        </w:tc>
        <w:tc>
          <w:tcPr>
            <w:tcW w:w="1170" w:type="dxa"/>
            <w:tcBorders>
              <w:top w:val="nil"/>
              <w:left w:val="nil"/>
              <w:bottom w:val="nil"/>
              <w:right w:val="nil"/>
            </w:tcBorders>
          </w:tcPr>
          <w:p w14:paraId="11C0D46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p>
        </w:tc>
        <w:tc>
          <w:tcPr>
            <w:tcW w:w="1170" w:type="dxa"/>
            <w:tcBorders>
              <w:top w:val="nil"/>
              <w:left w:val="nil"/>
              <w:bottom w:val="nil"/>
              <w:right w:val="nil"/>
            </w:tcBorders>
          </w:tcPr>
          <w:p w14:paraId="2DA22C8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p>
        </w:tc>
        <w:tc>
          <w:tcPr>
            <w:tcW w:w="1170" w:type="dxa"/>
            <w:tcBorders>
              <w:top w:val="nil"/>
              <w:left w:val="nil"/>
              <w:bottom w:val="nil"/>
              <w:right w:val="nil"/>
            </w:tcBorders>
          </w:tcPr>
          <w:p w14:paraId="4193AD4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p>
        </w:tc>
        <w:tc>
          <w:tcPr>
            <w:tcW w:w="1170" w:type="dxa"/>
            <w:tcBorders>
              <w:top w:val="nil"/>
              <w:left w:val="nil"/>
              <w:bottom w:val="nil"/>
              <w:right w:val="nil"/>
            </w:tcBorders>
          </w:tcPr>
          <w:p w14:paraId="596A91D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p>
        </w:tc>
        <w:tc>
          <w:tcPr>
            <w:tcW w:w="1170" w:type="dxa"/>
            <w:tcBorders>
              <w:top w:val="nil"/>
              <w:left w:val="nil"/>
              <w:bottom w:val="nil"/>
              <w:right w:val="nil"/>
            </w:tcBorders>
          </w:tcPr>
          <w:p w14:paraId="686AEA2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p>
        </w:tc>
        <w:tc>
          <w:tcPr>
            <w:tcW w:w="1170" w:type="dxa"/>
            <w:tcBorders>
              <w:top w:val="nil"/>
              <w:left w:val="nil"/>
              <w:bottom w:val="nil"/>
              <w:right w:val="nil"/>
            </w:tcBorders>
          </w:tcPr>
          <w:p w14:paraId="68A4F73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p>
        </w:tc>
      </w:tr>
      <w:tr w:rsidR="00DB6C99" w:rsidRPr="00DB6C99" w14:paraId="6451DE6B" w14:textId="77777777" w:rsidTr="007C344D">
        <w:trPr>
          <w:jc w:val="center"/>
        </w:trPr>
        <w:tc>
          <w:tcPr>
            <w:tcW w:w="1947" w:type="dxa"/>
            <w:tcBorders>
              <w:top w:val="nil"/>
              <w:left w:val="nil"/>
              <w:bottom w:val="nil"/>
              <w:right w:val="nil"/>
            </w:tcBorders>
          </w:tcPr>
          <w:p w14:paraId="282FFFFA" w14:textId="77777777" w:rsidR="007C344D" w:rsidRPr="00DB6C99" w:rsidRDefault="007C344D" w:rsidP="007C344D">
            <w:pPr>
              <w:widowControl w:val="0"/>
              <w:autoSpaceDE w:val="0"/>
              <w:autoSpaceDN w:val="0"/>
              <w:adjustRightInd w:val="0"/>
              <w:spacing w:after="0" w:line="240" w:lineRule="auto"/>
              <w:rPr>
                <w:rFonts w:ascii="Garamond" w:hAnsi="Garamond"/>
                <w:i/>
                <w:iCs/>
                <w:sz w:val="20"/>
                <w:szCs w:val="20"/>
              </w:rPr>
            </w:pPr>
            <w:r w:rsidRPr="00DB6C99">
              <w:rPr>
                <w:rFonts w:ascii="Garamond" w:hAnsi="Garamond"/>
                <w:i/>
                <w:iCs/>
                <w:sz w:val="20"/>
                <w:szCs w:val="20"/>
              </w:rPr>
              <w:t>N</w:t>
            </w:r>
          </w:p>
        </w:tc>
        <w:tc>
          <w:tcPr>
            <w:tcW w:w="1113" w:type="dxa"/>
            <w:tcBorders>
              <w:top w:val="nil"/>
              <w:left w:val="nil"/>
              <w:bottom w:val="nil"/>
              <w:right w:val="nil"/>
            </w:tcBorders>
          </w:tcPr>
          <w:p w14:paraId="547BD0A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9,276</w:t>
            </w:r>
          </w:p>
        </w:tc>
        <w:tc>
          <w:tcPr>
            <w:tcW w:w="990" w:type="dxa"/>
            <w:tcBorders>
              <w:top w:val="nil"/>
              <w:left w:val="nil"/>
              <w:bottom w:val="nil"/>
              <w:right w:val="nil"/>
            </w:tcBorders>
          </w:tcPr>
          <w:p w14:paraId="2D01087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9,276</w:t>
            </w:r>
          </w:p>
        </w:tc>
        <w:tc>
          <w:tcPr>
            <w:tcW w:w="1170" w:type="dxa"/>
            <w:tcBorders>
              <w:top w:val="nil"/>
              <w:left w:val="nil"/>
              <w:bottom w:val="nil"/>
              <w:right w:val="nil"/>
            </w:tcBorders>
          </w:tcPr>
          <w:p w14:paraId="1BAE76A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7,801</w:t>
            </w:r>
          </w:p>
        </w:tc>
        <w:tc>
          <w:tcPr>
            <w:tcW w:w="1170" w:type="dxa"/>
            <w:tcBorders>
              <w:top w:val="nil"/>
              <w:left w:val="nil"/>
              <w:bottom w:val="nil"/>
              <w:right w:val="nil"/>
            </w:tcBorders>
          </w:tcPr>
          <w:p w14:paraId="0F09B73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7,801</w:t>
            </w:r>
          </w:p>
        </w:tc>
        <w:tc>
          <w:tcPr>
            <w:tcW w:w="1170" w:type="dxa"/>
            <w:tcBorders>
              <w:top w:val="nil"/>
              <w:left w:val="nil"/>
              <w:bottom w:val="nil"/>
              <w:right w:val="nil"/>
            </w:tcBorders>
          </w:tcPr>
          <w:p w14:paraId="02C6595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9,276</w:t>
            </w:r>
          </w:p>
        </w:tc>
        <w:tc>
          <w:tcPr>
            <w:tcW w:w="1170" w:type="dxa"/>
            <w:tcBorders>
              <w:top w:val="nil"/>
              <w:left w:val="nil"/>
              <w:bottom w:val="nil"/>
              <w:right w:val="nil"/>
            </w:tcBorders>
          </w:tcPr>
          <w:p w14:paraId="0E5E972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9,276</w:t>
            </w:r>
          </w:p>
        </w:tc>
        <w:tc>
          <w:tcPr>
            <w:tcW w:w="1170" w:type="dxa"/>
            <w:tcBorders>
              <w:top w:val="nil"/>
              <w:left w:val="nil"/>
              <w:bottom w:val="nil"/>
              <w:right w:val="nil"/>
            </w:tcBorders>
          </w:tcPr>
          <w:p w14:paraId="5DD99B9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7,801</w:t>
            </w:r>
          </w:p>
        </w:tc>
        <w:tc>
          <w:tcPr>
            <w:tcW w:w="1170" w:type="dxa"/>
            <w:tcBorders>
              <w:top w:val="nil"/>
              <w:left w:val="nil"/>
              <w:bottom w:val="nil"/>
              <w:right w:val="nil"/>
            </w:tcBorders>
          </w:tcPr>
          <w:p w14:paraId="0033F53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7,801</w:t>
            </w:r>
          </w:p>
        </w:tc>
      </w:tr>
      <w:tr w:rsidR="00DB6C99" w:rsidRPr="00DB6C99" w14:paraId="466B8D4A" w14:textId="77777777" w:rsidTr="007C344D">
        <w:trPr>
          <w:jc w:val="center"/>
        </w:trPr>
        <w:tc>
          <w:tcPr>
            <w:tcW w:w="1947" w:type="dxa"/>
            <w:tcBorders>
              <w:top w:val="nil"/>
              <w:left w:val="nil"/>
              <w:bottom w:val="nil"/>
              <w:right w:val="nil"/>
            </w:tcBorders>
            <w:vAlign w:val="center"/>
          </w:tcPr>
          <w:p w14:paraId="33CEA09D" w14:textId="77777777" w:rsidR="007C344D" w:rsidRPr="00DB6C99" w:rsidRDefault="007C344D" w:rsidP="007C344D">
            <w:pPr>
              <w:widowControl w:val="0"/>
              <w:autoSpaceDE w:val="0"/>
              <w:autoSpaceDN w:val="0"/>
              <w:adjustRightInd w:val="0"/>
              <w:spacing w:after="0" w:line="240" w:lineRule="auto"/>
              <w:rPr>
                <w:rFonts w:ascii="Garamond" w:hAnsi="Garamond"/>
                <w:i/>
                <w:iCs/>
                <w:sz w:val="20"/>
                <w:szCs w:val="20"/>
              </w:rPr>
            </w:pPr>
            <w:r w:rsidRPr="00DB6C99">
              <w:rPr>
                <w:rFonts w:ascii="Garamond" w:hAnsi="Garamond"/>
                <w:i/>
                <w:iCs/>
                <w:sz w:val="20"/>
                <w:szCs w:val="20"/>
              </w:rPr>
              <w:t>Firm &amp; Year</w:t>
            </w:r>
          </w:p>
        </w:tc>
        <w:tc>
          <w:tcPr>
            <w:tcW w:w="1113" w:type="dxa"/>
            <w:tcBorders>
              <w:top w:val="nil"/>
              <w:left w:val="nil"/>
              <w:bottom w:val="nil"/>
              <w:right w:val="nil"/>
            </w:tcBorders>
            <w:vAlign w:val="center"/>
          </w:tcPr>
          <w:p w14:paraId="18F484E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Yes</w:t>
            </w:r>
          </w:p>
        </w:tc>
        <w:tc>
          <w:tcPr>
            <w:tcW w:w="990" w:type="dxa"/>
            <w:tcBorders>
              <w:top w:val="nil"/>
              <w:left w:val="nil"/>
              <w:bottom w:val="nil"/>
              <w:right w:val="nil"/>
            </w:tcBorders>
            <w:vAlign w:val="center"/>
          </w:tcPr>
          <w:p w14:paraId="779C1C0F"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Yes</w:t>
            </w:r>
          </w:p>
        </w:tc>
        <w:tc>
          <w:tcPr>
            <w:tcW w:w="1170" w:type="dxa"/>
            <w:tcBorders>
              <w:top w:val="nil"/>
              <w:left w:val="nil"/>
              <w:bottom w:val="nil"/>
              <w:right w:val="nil"/>
            </w:tcBorders>
            <w:vAlign w:val="center"/>
          </w:tcPr>
          <w:p w14:paraId="3AED72D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Yes</w:t>
            </w:r>
          </w:p>
        </w:tc>
        <w:tc>
          <w:tcPr>
            <w:tcW w:w="1170" w:type="dxa"/>
            <w:tcBorders>
              <w:top w:val="nil"/>
              <w:left w:val="nil"/>
              <w:bottom w:val="nil"/>
              <w:right w:val="nil"/>
            </w:tcBorders>
            <w:vAlign w:val="center"/>
          </w:tcPr>
          <w:p w14:paraId="425BAB0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Yes</w:t>
            </w:r>
          </w:p>
        </w:tc>
        <w:tc>
          <w:tcPr>
            <w:tcW w:w="1170" w:type="dxa"/>
            <w:tcBorders>
              <w:top w:val="nil"/>
              <w:left w:val="nil"/>
              <w:bottom w:val="nil"/>
              <w:right w:val="nil"/>
            </w:tcBorders>
            <w:vAlign w:val="center"/>
          </w:tcPr>
          <w:p w14:paraId="51BBF35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w:t>
            </w:r>
          </w:p>
        </w:tc>
        <w:tc>
          <w:tcPr>
            <w:tcW w:w="1170" w:type="dxa"/>
            <w:tcBorders>
              <w:top w:val="nil"/>
              <w:left w:val="nil"/>
              <w:bottom w:val="nil"/>
              <w:right w:val="nil"/>
            </w:tcBorders>
            <w:vAlign w:val="center"/>
          </w:tcPr>
          <w:p w14:paraId="32744B3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w:t>
            </w:r>
          </w:p>
        </w:tc>
        <w:tc>
          <w:tcPr>
            <w:tcW w:w="1170" w:type="dxa"/>
            <w:tcBorders>
              <w:top w:val="nil"/>
              <w:left w:val="nil"/>
              <w:bottom w:val="nil"/>
              <w:right w:val="nil"/>
            </w:tcBorders>
            <w:vAlign w:val="center"/>
          </w:tcPr>
          <w:p w14:paraId="327676A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i/>
                <w:iCs/>
                <w:sz w:val="20"/>
                <w:szCs w:val="20"/>
              </w:rPr>
              <w:t>-</w:t>
            </w:r>
          </w:p>
        </w:tc>
        <w:tc>
          <w:tcPr>
            <w:tcW w:w="1170" w:type="dxa"/>
            <w:tcBorders>
              <w:top w:val="nil"/>
              <w:left w:val="nil"/>
              <w:bottom w:val="nil"/>
              <w:right w:val="nil"/>
            </w:tcBorders>
            <w:vAlign w:val="center"/>
          </w:tcPr>
          <w:p w14:paraId="05B3310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w:t>
            </w:r>
          </w:p>
        </w:tc>
      </w:tr>
      <w:tr w:rsidR="00DB6C99" w:rsidRPr="00DB6C99" w14:paraId="59E18460" w14:textId="77777777" w:rsidTr="007C344D">
        <w:trPr>
          <w:jc w:val="center"/>
        </w:trPr>
        <w:tc>
          <w:tcPr>
            <w:tcW w:w="1947" w:type="dxa"/>
            <w:tcBorders>
              <w:top w:val="nil"/>
              <w:left w:val="nil"/>
              <w:bottom w:val="nil"/>
              <w:right w:val="nil"/>
            </w:tcBorders>
            <w:vAlign w:val="center"/>
          </w:tcPr>
          <w:p w14:paraId="271823E1" w14:textId="77777777" w:rsidR="007C344D" w:rsidRPr="00DB6C99" w:rsidRDefault="007C344D" w:rsidP="007C344D">
            <w:pPr>
              <w:widowControl w:val="0"/>
              <w:autoSpaceDE w:val="0"/>
              <w:autoSpaceDN w:val="0"/>
              <w:adjustRightInd w:val="0"/>
              <w:spacing w:after="0" w:line="240" w:lineRule="auto"/>
              <w:rPr>
                <w:rFonts w:ascii="Garamond" w:hAnsi="Garamond"/>
                <w:i/>
                <w:iCs/>
                <w:sz w:val="20"/>
                <w:szCs w:val="20"/>
              </w:rPr>
            </w:pPr>
            <w:r w:rsidRPr="00DB6C99">
              <w:rPr>
                <w:rFonts w:ascii="Garamond" w:hAnsi="Garamond"/>
                <w:i/>
                <w:iCs/>
                <w:sz w:val="20"/>
                <w:szCs w:val="20"/>
              </w:rPr>
              <w:t>I</w:t>
            </w:r>
            <w:r w:rsidRPr="00DB6C99">
              <w:rPr>
                <w:rFonts w:ascii="Garamond" w:hAnsi="Garamond"/>
                <w:i/>
                <w:iCs/>
                <w:spacing w:val="-2"/>
                <w:sz w:val="20"/>
                <w:szCs w:val="20"/>
              </w:rPr>
              <w:t>n</w:t>
            </w:r>
            <w:r w:rsidRPr="00DB6C99">
              <w:rPr>
                <w:rFonts w:ascii="Garamond" w:hAnsi="Garamond"/>
                <w:i/>
                <w:iCs/>
                <w:spacing w:val="1"/>
                <w:sz w:val="20"/>
                <w:szCs w:val="20"/>
              </w:rPr>
              <w:t>d</w:t>
            </w:r>
            <w:r w:rsidRPr="00DB6C99">
              <w:rPr>
                <w:rFonts w:ascii="Garamond" w:hAnsi="Garamond"/>
                <w:i/>
                <w:iCs/>
                <w:spacing w:val="-2"/>
                <w:sz w:val="20"/>
                <w:szCs w:val="20"/>
              </w:rPr>
              <w:t>u</w:t>
            </w:r>
            <w:r w:rsidRPr="00DB6C99">
              <w:rPr>
                <w:rFonts w:ascii="Garamond" w:hAnsi="Garamond"/>
                <w:i/>
                <w:iCs/>
                <w:spacing w:val="-1"/>
                <w:sz w:val="20"/>
                <w:szCs w:val="20"/>
              </w:rPr>
              <w:t>st</w:t>
            </w:r>
            <w:r w:rsidRPr="00DB6C99">
              <w:rPr>
                <w:rFonts w:ascii="Garamond" w:hAnsi="Garamond"/>
                <w:i/>
                <w:iCs/>
                <w:spacing w:val="3"/>
                <w:sz w:val="20"/>
                <w:szCs w:val="20"/>
              </w:rPr>
              <w:t>r</w:t>
            </w:r>
            <w:r w:rsidRPr="00DB6C99">
              <w:rPr>
                <w:rFonts w:ascii="Garamond" w:hAnsi="Garamond"/>
                <w:i/>
                <w:iCs/>
                <w:sz w:val="20"/>
                <w:szCs w:val="20"/>
              </w:rPr>
              <w:t>y &amp; Year</w:t>
            </w:r>
          </w:p>
        </w:tc>
        <w:tc>
          <w:tcPr>
            <w:tcW w:w="1113" w:type="dxa"/>
            <w:tcBorders>
              <w:top w:val="nil"/>
              <w:left w:val="nil"/>
              <w:bottom w:val="nil"/>
              <w:right w:val="nil"/>
            </w:tcBorders>
            <w:vAlign w:val="center"/>
          </w:tcPr>
          <w:p w14:paraId="642539F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w:t>
            </w:r>
          </w:p>
        </w:tc>
        <w:tc>
          <w:tcPr>
            <w:tcW w:w="990" w:type="dxa"/>
            <w:tcBorders>
              <w:top w:val="nil"/>
              <w:left w:val="nil"/>
              <w:bottom w:val="nil"/>
              <w:right w:val="nil"/>
            </w:tcBorders>
            <w:vAlign w:val="center"/>
          </w:tcPr>
          <w:p w14:paraId="032DA0A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w:t>
            </w:r>
          </w:p>
        </w:tc>
        <w:tc>
          <w:tcPr>
            <w:tcW w:w="1170" w:type="dxa"/>
            <w:tcBorders>
              <w:top w:val="nil"/>
              <w:left w:val="nil"/>
              <w:bottom w:val="nil"/>
              <w:right w:val="nil"/>
            </w:tcBorders>
            <w:vAlign w:val="center"/>
          </w:tcPr>
          <w:p w14:paraId="0879246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w:t>
            </w:r>
          </w:p>
        </w:tc>
        <w:tc>
          <w:tcPr>
            <w:tcW w:w="1170" w:type="dxa"/>
            <w:tcBorders>
              <w:top w:val="nil"/>
              <w:left w:val="nil"/>
              <w:bottom w:val="nil"/>
              <w:right w:val="nil"/>
            </w:tcBorders>
            <w:vAlign w:val="center"/>
          </w:tcPr>
          <w:p w14:paraId="2A762EF5"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w:t>
            </w:r>
          </w:p>
        </w:tc>
        <w:tc>
          <w:tcPr>
            <w:tcW w:w="1170" w:type="dxa"/>
            <w:tcBorders>
              <w:top w:val="nil"/>
              <w:left w:val="nil"/>
              <w:bottom w:val="nil"/>
              <w:right w:val="nil"/>
            </w:tcBorders>
            <w:vAlign w:val="center"/>
          </w:tcPr>
          <w:p w14:paraId="12F4259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Yes</w:t>
            </w:r>
          </w:p>
        </w:tc>
        <w:tc>
          <w:tcPr>
            <w:tcW w:w="1170" w:type="dxa"/>
            <w:tcBorders>
              <w:top w:val="nil"/>
              <w:left w:val="nil"/>
              <w:bottom w:val="nil"/>
              <w:right w:val="nil"/>
            </w:tcBorders>
            <w:vAlign w:val="center"/>
          </w:tcPr>
          <w:p w14:paraId="3B51FB96"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Yes</w:t>
            </w:r>
          </w:p>
        </w:tc>
        <w:tc>
          <w:tcPr>
            <w:tcW w:w="1170" w:type="dxa"/>
            <w:tcBorders>
              <w:top w:val="nil"/>
              <w:left w:val="nil"/>
              <w:bottom w:val="nil"/>
              <w:right w:val="nil"/>
            </w:tcBorders>
            <w:vAlign w:val="center"/>
          </w:tcPr>
          <w:p w14:paraId="532D8BC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Yes</w:t>
            </w:r>
          </w:p>
        </w:tc>
        <w:tc>
          <w:tcPr>
            <w:tcW w:w="1170" w:type="dxa"/>
            <w:tcBorders>
              <w:top w:val="nil"/>
              <w:left w:val="nil"/>
              <w:bottom w:val="nil"/>
              <w:right w:val="nil"/>
            </w:tcBorders>
            <w:vAlign w:val="center"/>
          </w:tcPr>
          <w:p w14:paraId="155786F8"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Yes</w:t>
            </w:r>
          </w:p>
        </w:tc>
      </w:tr>
      <w:tr w:rsidR="00DB6C99" w:rsidRPr="00DB6C99" w14:paraId="2A0EA272" w14:textId="77777777" w:rsidTr="007C344D">
        <w:trPr>
          <w:jc w:val="center"/>
        </w:trPr>
        <w:tc>
          <w:tcPr>
            <w:tcW w:w="1947" w:type="dxa"/>
            <w:tcBorders>
              <w:top w:val="nil"/>
              <w:left w:val="nil"/>
              <w:bottom w:val="nil"/>
              <w:right w:val="nil"/>
            </w:tcBorders>
          </w:tcPr>
          <w:p w14:paraId="3BA03E20" w14:textId="77777777" w:rsidR="007C344D" w:rsidRPr="00DB6C99" w:rsidRDefault="007C344D" w:rsidP="007C344D">
            <w:pPr>
              <w:widowControl w:val="0"/>
              <w:autoSpaceDE w:val="0"/>
              <w:autoSpaceDN w:val="0"/>
              <w:adjustRightInd w:val="0"/>
              <w:spacing w:after="0" w:line="240" w:lineRule="auto"/>
              <w:rPr>
                <w:rFonts w:ascii="Garamond" w:hAnsi="Garamond"/>
                <w:i/>
                <w:iCs/>
                <w:sz w:val="20"/>
                <w:szCs w:val="20"/>
              </w:rPr>
            </w:pPr>
            <w:r w:rsidRPr="00DB6C99">
              <w:rPr>
                <w:rFonts w:ascii="Garamond" w:hAnsi="Garamond"/>
                <w:i/>
                <w:iCs/>
                <w:sz w:val="20"/>
                <w:szCs w:val="20"/>
              </w:rPr>
              <w:t>Adj. R</w:t>
            </w:r>
            <w:r w:rsidRPr="00DB6C99">
              <w:rPr>
                <w:rFonts w:ascii="Garamond" w:hAnsi="Garamond"/>
                <w:i/>
                <w:iCs/>
                <w:sz w:val="20"/>
                <w:szCs w:val="20"/>
                <w:vertAlign w:val="superscript"/>
              </w:rPr>
              <w:t>2</w:t>
            </w:r>
          </w:p>
        </w:tc>
        <w:tc>
          <w:tcPr>
            <w:tcW w:w="1113" w:type="dxa"/>
            <w:tcBorders>
              <w:top w:val="nil"/>
              <w:left w:val="nil"/>
              <w:bottom w:val="nil"/>
              <w:right w:val="nil"/>
            </w:tcBorders>
          </w:tcPr>
          <w:p w14:paraId="0D7C370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0.186</w:t>
            </w:r>
          </w:p>
        </w:tc>
        <w:tc>
          <w:tcPr>
            <w:tcW w:w="990" w:type="dxa"/>
            <w:tcBorders>
              <w:top w:val="nil"/>
              <w:left w:val="nil"/>
              <w:bottom w:val="nil"/>
              <w:right w:val="nil"/>
            </w:tcBorders>
          </w:tcPr>
          <w:p w14:paraId="7156F1FC"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0.188</w:t>
            </w:r>
          </w:p>
        </w:tc>
        <w:tc>
          <w:tcPr>
            <w:tcW w:w="1170" w:type="dxa"/>
            <w:tcBorders>
              <w:top w:val="nil"/>
              <w:left w:val="nil"/>
              <w:bottom w:val="nil"/>
              <w:right w:val="nil"/>
            </w:tcBorders>
          </w:tcPr>
          <w:p w14:paraId="2F8E3B7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0.191</w:t>
            </w:r>
          </w:p>
        </w:tc>
        <w:tc>
          <w:tcPr>
            <w:tcW w:w="1170" w:type="dxa"/>
            <w:tcBorders>
              <w:top w:val="nil"/>
              <w:left w:val="nil"/>
              <w:bottom w:val="nil"/>
              <w:right w:val="nil"/>
            </w:tcBorders>
          </w:tcPr>
          <w:p w14:paraId="7E8C4C3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0.194</w:t>
            </w:r>
          </w:p>
        </w:tc>
        <w:tc>
          <w:tcPr>
            <w:tcW w:w="1170" w:type="dxa"/>
            <w:tcBorders>
              <w:top w:val="nil"/>
              <w:left w:val="nil"/>
              <w:bottom w:val="nil"/>
              <w:right w:val="nil"/>
            </w:tcBorders>
          </w:tcPr>
          <w:p w14:paraId="67551A8B"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0.315</w:t>
            </w:r>
          </w:p>
        </w:tc>
        <w:tc>
          <w:tcPr>
            <w:tcW w:w="1170" w:type="dxa"/>
            <w:tcBorders>
              <w:top w:val="nil"/>
              <w:left w:val="nil"/>
              <w:bottom w:val="nil"/>
              <w:right w:val="nil"/>
            </w:tcBorders>
          </w:tcPr>
          <w:p w14:paraId="46E83FCE"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0.316</w:t>
            </w:r>
          </w:p>
        </w:tc>
        <w:tc>
          <w:tcPr>
            <w:tcW w:w="1170" w:type="dxa"/>
            <w:tcBorders>
              <w:top w:val="nil"/>
              <w:left w:val="nil"/>
              <w:bottom w:val="nil"/>
              <w:right w:val="nil"/>
            </w:tcBorders>
          </w:tcPr>
          <w:p w14:paraId="56E49E9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0.325</w:t>
            </w:r>
          </w:p>
        </w:tc>
        <w:tc>
          <w:tcPr>
            <w:tcW w:w="1170" w:type="dxa"/>
            <w:tcBorders>
              <w:top w:val="nil"/>
              <w:left w:val="nil"/>
              <w:bottom w:val="nil"/>
              <w:right w:val="nil"/>
            </w:tcBorders>
          </w:tcPr>
          <w:p w14:paraId="1BA5287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0.326</w:t>
            </w:r>
          </w:p>
        </w:tc>
      </w:tr>
      <w:tr w:rsidR="00DB6C99" w:rsidRPr="00DB6C99" w14:paraId="01F07A4C" w14:textId="77777777" w:rsidTr="007C344D">
        <w:tblPrEx>
          <w:tblBorders>
            <w:bottom w:val="single" w:sz="6" w:space="0" w:color="auto"/>
          </w:tblBorders>
        </w:tblPrEx>
        <w:trPr>
          <w:jc w:val="center"/>
        </w:trPr>
        <w:tc>
          <w:tcPr>
            <w:tcW w:w="1947" w:type="dxa"/>
            <w:tcBorders>
              <w:top w:val="nil"/>
              <w:left w:val="nil"/>
              <w:bottom w:val="single" w:sz="6" w:space="0" w:color="auto"/>
              <w:right w:val="nil"/>
            </w:tcBorders>
          </w:tcPr>
          <w:p w14:paraId="0E7AA5E4" w14:textId="77777777" w:rsidR="007C344D" w:rsidRPr="00DB6C99" w:rsidRDefault="007C344D" w:rsidP="007C344D">
            <w:pPr>
              <w:widowControl w:val="0"/>
              <w:autoSpaceDE w:val="0"/>
              <w:autoSpaceDN w:val="0"/>
              <w:adjustRightInd w:val="0"/>
              <w:spacing w:after="0" w:line="240" w:lineRule="auto"/>
              <w:rPr>
                <w:rFonts w:ascii="Garamond" w:hAnsi="Garamond"/>
                <w:i/>
                <w:iCs/>
                <w:sz w:val="20"/>
                <w:szCs w:val="20"/>
              </w:rPr>
            </w:pPr>
            <w:r w:rsidRPr="00DB6C99">
              <w:rPr>
                <w:rFonts w:ascii="Garamond" w:hAnsi="Garamond"/>
                <w:i/>
                <w:iCs/>
                <w:sz w:val="20"/>
                <w:szCs w:val="20"/>
              </w:rPr>
              <w:t>F-stat</w:t>
            </w:r>
          </w:p>
        </w:tc>
        <w:tc>
          <w:tcPr>
            <w:tcW w:w="1113" w:type="dxa"/>
            <w:tcBorders>
              <w:top w:val="nil"/>
              <w:left w:val="nil"/>
              <w:bottom w:val="single" w:sz="6" w:space="0" w:color="auto"/>
              <w:right w:val="nil"/>
            </w:tcBorders>
          </w:tcPr>
          <w:p w14:paraId="123AD154"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16.36</w:t>
            </w:r>
          </w:p>
        </w:tc>
        <w:tc>
          <w:tcPr>
            <w:tcW w:w="990" w:type="dxa"/>
            <w:tcBorders>
              <w:top w:val="nil"/>
              <w:left w:val="nil"/>
              <w:bottom w:val="single" w:sz="6" w:space="0" w:color="auto"/>
              <w:right w:val="nil"/>
            </w:tcBorders>
          </w:tcPr>
          <w:p w14:paraId="757D5183"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16.32</w:t>
            </w:r>
          </w:p>
        </w:tc>
        <w:tc>
          <w:tcPr>
            <w:tcW w:w="1170" w:type="dxa"/>
            <w:tcBorders>
              <w:top w:val="nil"/>
              <w:left w:val="nil"/>
              <w:bottom w:val="single" w:sz="6" w:space="0" w:color="auto"/>
              <w:right w:val="nil"/>
            </w:tcBorders>
          </w:tcPr>
          <w:p w14:paraId="63AD1229"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12.31</w:t>
            </w:r>
          </w:p>
        </w:tc>
        <w:tc>
          <w:tcPr>
            <w:tcW w:w="1170" w:type="dxa"/>
            <w:tcBorders>
              <w:top w:val="nil"/>
              <w:left w:val="nil"/>
              <w:bottom w:val="single" w:sz="6" w:space="0" w:color="auto"/>
              <w:right w:val="nil"/>
            </w:tcBorders>
          </w:tcPr>
          <w:p w14:paraId="019EAD9A"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12.22</w:t>
            </w:r>
          </w:p>
        </w:tc>
        <w:tc>
          <w:tcPr>
            <w:tcW w:w="1170" w:type="dxa"/>
            <w:tcBorders>
              <w:top w:val="nil"/>
              <w:left w:val="nil"/>
              <w:bottom w:val="single" w:sz="6" w:space="0" w:color="auto"/>
              <w:right w:val="nil"/>
            </w:tcBorders>
          </w:tcPr>
          <w:p w14:paraId="3F76A657"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25.71</w:t>
            </w:r>
          </w:p>
        </w:tc>
        <w:tc>
          <w:tcPr>
            <w:tcW w:w="1170" w:type="dxa"/>
            <w:tcBorders>
              <w:top w:val="nil"/>
              <w:left w:val="nil"/>
              <w:bottom w:val="single" w:sz="6" w:space="0" w:color="auto"/>
              <w:right w:val="nil"/>
            </w:tcBorders>
          </w:tcPr>
          <w:p w14:paraId="45D836B1"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25.72</w:t>
            </w:r>
          </w:p>
        </w:tc>
        <w:tc>
          <w:tcPr>
            <w:tcW w:w="1170" w:type="dxa"/>
            <w:tcBorders>
              <w:top w:val="nil"/>
              <w:left w:val="nil"/>
              <w:bottom w:val="single" w:sz="6" w:space="0" w:color="auto"/>
              <w:right w:val="nil"/>
            </w:tcBorders>
          </w:tcPr>
          <w:p w14:paraId="12B6F680"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23.05</w:t>
            </w:r>
          </w:p>
        </w:tc>
        <w:tc>
          <w:tcPr>
            <w:tcW w:w="1170" w:type="dxa"/>
            <w:tcBorders>
              <w:top w:val="nil"/>
              <w:left w:val="nil"/>
              <w:bottom w:val="single" w:sz="6" w:space="0" w:color="auto"/>
              <w:right w:val="nil"/>
            </w:tcBorders>
          </w:tcPr>
          <w:p w14:paraId="101B49F2" w14:textId="77777777" w:rsidR="007C344D" w:rsidRPr="00DB6C99" w:rsidRDefault="007C344D" w:rsidP="007C344D">
            <w:pPr>
              <w:widowControl w:val="0"/>
              <w:autoSpaceDE w:val="0"/>
              <w:autoSpaceDN w:val="0"/>
              <w:adjustRightInd w:val="0"/>
              <w:spacing w:after="0" w:line="240" w:lineRule="auto"/>
              <w:jc w:val="center"/>
              <w:rPr>
                <w:rFonts w:ascii="Garamond" w:hAnsi="Garamond"/>
                <w:sz w:val="20"/>
                <w:szCs w:val="20"/>
              </w:rPr>
            </w:pPr>
            <w:r w:rsidRPr="00DB6C99">
              <w:rPr>
                <w:rFonts w:ascii="Garamond" w:hAnsi="Garamond"/>
                <w:sz w:val="20"/>
                <w:szCs w:val="20"/>
              </w:rPr>
              <w:t>23.05</w:t>
            </w:r>
          </w:p>
        </w:tc>
      </w:tr>
    </w:tbl>
    <w:p w14:paraId="01905DA0" w14:textId="77777777" w:rsidR="007C344D" w:rsidRPr="00DB6C99" w:rsidRDefault="007C344D" w:rsidP="007C344D">
      <w:pPr>
        <w:widowControl w:val="0"/>
        <w:kinsoku w:val="0"/>
        <w:overflowPunct w:val="0"/>
        <w:autoSpaceDE w:val="0"/>
        <w:autoSpaceDN w:val="0"/>
        <w:adjustRightInd w:val="0"/>
        <w:spacing w:after="0" w:line="240" w:lineRule="auto"/>
        <w:jc w:val="both"/>
        <w:rPr>
          <w:rFonts w:ascii="Garamond" w:hAnsi="Garamond"/>
          <w:sz w:val="20"/>
          <w:szCs w:val="18"/>
        </w:rPr>
      </w:pPr>
      <w:r w:rsidRPr="00DB6C99">
        <w:rPr>
          <w:rFonts w:ascii="Garamond" w:hAnsi="Garamond"/>
          <w:b/>
          <w:bCs/>
          <w:sz w:val="20"/>
          <w:szCs w:val="18"/>
        </w:rPr>
        <w:t>Note:</w:t>
      </w:r>
      <w:r w:rsidRPr="00DB6C99">
        <w:rPr>
          <w:rFonts w:ascii="Garamond" w:hAnsi="Garamond"/>
          <w:sz w:val="20"/>
          <w:szCs w:val="18"/>
        </w:rPr>
        <w:t xml:space="preserve"> *,**, *** Represent significance at 0.1, 0.05 and 0.01 levels, respectively. </w:t>
      </w:r>
      <w:r w:rsidRPr="00DB6C99">
        <w:rPr>
          <w:rFonts w:ascii="Garamond" w:hAnsi="Garamond"/>
          <w:sz w:val="20"/>
          <w:szCs w:val="20"/>
        </w:rPr>
        <w:t>T statistics are given in parenthesis.</w:t>
      </w:r>
    </w:p>
    <w:p w14:paraId="1A647675" w14:textId="171A6953" w:rsidR="007C344D" w:rsidRPr="00DB6C99" w:rsidRDefault="007C344D" w:rsidP="007C344D">
      <w:pPr>
        <w:spacing w:after="0" w:line="240" w:lineRule="auto"/>
        <w:rPr>
          <w:rFonts w:ascii="Garamond" w:hAnsi="Garamond"/>
          <w:sz w:val="20"/>
          <w:szCs w:val="18"/>
        </w:rPr>
      </w:pPr>
      <w:r w:rsidRPr="00DB6C99">
        <w:rPr>
          <w:rFonts w:ascii="Garamond" w:hAnsi="Garamond"/>
          <w:sz w:val="20"/>
          <w:szCs w:val="18"/>
        </w:rPr>
        <w:t>All variables are as defined in Table 1.</w:t>
      </w:r>
    </w:p>
    <w:p w14:paraId="6B474C99" w14:textId="237EC44C" w:rsidR="0042366C" w:rsidRPr="00DB6C99" w:rsidRDefault="003F5B66" w:rsidP="003F5B66">
      <w:pPr>
        <w:spacing w:after="0" w:line="240" w:lineRule="auto"/>
        <w:jc w:val="both"/>
        <w:rPr>
          <w:rFonts w:ascii="Garamond" w:hAnsi="Garamond"/>
          <w:sz w:val="20"/>
          <w:szCs w:val="18"/>
        </w:rPr>
      </w:pPr>
      <w:r w:rsidRPr="00DB6C99">
        <w:rPr>
          <w:rFonts w:ascii="Garamond" w:hAnsi="Garamond"/>
          <w:sz w:val="20"/>
          <w:szCs w:val="18"/>
        </w:rPr>
        <w:t xml:space="preserve">To further validate our main results, we use alternative measure for board gender diversity namely; </w:t>
      </w:r>
      <w:r w:rsidR="0042366C" w:rsidRPr="00DB6C99">
        <w:rPr>
          <w:rFonts w:ascii="Garamond" w:hAnsi="Garamond"/>
          <w:sz w:val="20"/>
          <w:szCs w:val="18"/>
        </w:rPr>
        <w:t>t</w:t>
      </w:r>
      <w:r w:rsidRPr="00DB6C99">
        <w:rPr>
          <w:rFonts w:ascii="Garamond" w:hAnsi="Garamond"/>
          <w:sz w:val="20"/>
          <w:szCs w:val="18"/>
        </w:rPr>
        <w:t>he Blau (1977) diversification i</w:t>
      </w:r>
      <w:r w:rsidR="0042366C" w:rsidRPr="00DB6C99">
        <w:rPr>
          <w:rFonts w:ascii="Garamond" w:hAnsi="Garamond"/>
          <w:sz w:val="20"/>
          <w:szCs w:val="18"/>
        </w:rPr>
        <w:t xml:space="preserve">ndex </w:t>
      </w:r>
      <w:r w:rsidRPr="00DB6C99">
        <w:rPr>
          <w:rFonts w:ascii="Garamond" w:hAnsi="Garamond"/>
          <w:sz w:val="20"/>
          <w:szCs w:val="18"/>
        </w:rPr>
        <w:t>that</w:t>
      </w:r>
      <w:r w:rsidR="0042366C" w:rsidRPr="00DB6C99">
        <w:rPr>
          <w:rFonts w:ascii="Garamond" w:hAnsi="Garamond"/>
          <w:sz w:val="20"/>
          <w:szCs w:val="18"/>
        </w:rPr>
        <w:t xml:space="preserve"> ranges between 0 and 0.5, when there is no gender diversity at all and when there is an equal proportion of male and female members in each level, respectively. </w:t>
      </w:r>
      <w:r w:rsidRPr="00DB6C99">
        <w:rPr>
          <w:rFonts w:ascii="Garamond" w:hAnsi="Garamond"/>
          <w:sz w:val="20"/>
          <w:szCs w:val="18"/>
        </w:rPr>
        <w:t xml:space="preserve">Proponents of </w:t>
      </w:r>
      <w:r w:rsidR="0042366C" w:rsidRPr="00DB6C99">
        <w:rPr>
          <w:rFonts w:ascii="Garamond" w:hAnsi="Garamond"/>
          <w:sz w:val="20"/>
          <w:szCs w:val="18"/>
        </w:rPr>
        <w:t xml:space="preserve">the Blau index </w:t>
      </w:r>
      <w:r w:rsidRPr="00DB6C99">
        <w:rPr>
          <w:rFonts w:ascii="Garamond" w:hAnsi="Garamond"/>
          <w:sz w:val="20"/>
          <w:szCs w:val="18"/>
        </w:rPr>
        <w:t xml:space="preserve">argue that it </w:t>
      </w:r>
      <w:r w:rsidR="0042366C" w:rsidRPr="00DB6C99">
        <w:rPr>
          <w:rFonts w:ascii="Garamond" w:hAnsi="Garamond"/>
          <w:sz w:val="20"/>
          <w:szCs w:val="18"/>
        </w:rPr>
        <w:t xml:space="preserve">is superior at recording the diversity effect than the </w:t>
      </w:r>
      <w:r w:rsidRPr="00DB6C99">
        <w:rPr>
          <w:rFonts w:ascii="Garamond" w:hAnsi="Garamond"/>
          <w:sz w:val="20"/>
          <w:szCs w:val="18"/>
        </w:rPr>
        <w:t>measure based on percentage.</w:t>
      </w:r>
      <w:r w:rsidR="0042366C" w:rsidRPr="00DB6C99">
        <w:rPr>
          <w:rFonts w:ascii="Garamond" w:hAnsi="Garamond"/>
          <w:sz w:val="20"/>
          <w:szCs w:val="18"/>
        </w:rPr>
        <w:t xml:space="preserve"> </w:t>
      </w:r>
      <w:r w:rsidRPr="00DB6C99">
        <w:rPr>
          <w:rFonts w:ascii="Garamond" w:hAnsi="Garamond"/>
          <w:sz w:val="20"/>
          <w:szCs w:val="18"/>
        </w:rPr>
        <w:t>Other alternative measure we used is</w:t>
      </w:r>
      <w:r w:rsidR="0042366C" w:rsidRPr="00DB6C99">
        <w:rPr>
          <w:rFonts w:ascii="Garamond" w:hAnsi="Garamond"/>
          <w:sz w:val="20"/>
          <w:szCs w:val="18"/>
        </w:rPr>
        <w:t xml:space="preserve"> </w:t>
      </w:r>
      <w:r w:rsidRPr="00DB6C99">
        <w:rPr>
          <w:rFonts w:ascii="Garamond" w:hAnsi="Garamond"/>
          <w:sz w:val="20"/>
          <w:szCs w:val="18"/>
        </w:rPr>
        <w:t>Shannon (1948) diversification i</w:t>
      </w:r>
      <w:r w:rsidR="0042366C" w:rsidRPr="00DB6C99">
        <w:rPr>
          <w:rFonts w:ascii="Garamond" w:hAnsi="Garamond"/>
          <w:sz w:val="20"/>
          <w:szCs w:val="18"/>
        </w:rPr>
        <w:t>ndex. This metric takes values between 0 and 0.693, when there is no gender diversification and when there is equal proportion of each gender category, respectively.</w:t>
      </w:r>
    </w:p>
    <w:p w14:paraId="1B211AE0" w14:textId="77777777" w:rsidR="007C344D" w:rsidRPr="00DB6C99" w:rsidRDefault="007C344D" w:rsidP="003F5B66">
      <w:pPr>
        <w:tabs>
          <w:tab w:val="left" w:pos="829"/>
        </w:tabs>
        <w:spacing w:after="0" w:line="240" w:lineRule="auto"/>
        <w:jc w:val="both"/>
        <w:rPr>
          <w:rFonts w:ascii="Garamond" w:hAnsi="Garamond"/>
          <w:sz w:val="20"/>
          <w:szCs w:val="18"/>
        </w:rPr>
        <w:sectPr w:rsidR="007C344D" w:rsidRPr="00DB6C99" w:rsidSect="007C344D">
          <w:pgSz w:w="12240" w:h="15840"/>
          <w:pgMar w:top="1417" w:right="1417" w:bottom="1417" w:left="1417" w:header="720" w:footer="720" w:gutter="0"/>
          <w:cols w:space="720"/>
          <w:docGrid w:linePitch="360"/>
        </w:sectPr>
      </w:pPr>
      <w:r w:rsidRPr="00DB6C99">
        <w:rPr>
          <w:rFonts w:ascii="Garamond" w:hAnsi="Garamond"/>
          <w:sz w:val="20"/>
          <w:szCs w:val="18"/>
        </w:rPr>
        <w:tab/>
      </w:r>
    </w:p>
    <w:p w14:paraId="6010C8D0" w14:textId="77777777" w:rsidR="007C344D" w:rsidRPr="00DB6C99" w:rsidRDefault="007C344D" w:rsidP="007C344D">
      <w:pPr>
        <w:spacing w:after="0" w:line="240" w:lineRule="auto"/>
        <w:rPr>
          <w:rFonts w:ascii="Garamond" w:hAnsi="Garamond"/>
          <w:sz w:val="18"/>
          <w:szCs w:val="18"/>
        </w:rPr>
      </w:pPr>
      <w:r w:rsidRPr="00DB6C99">
        <w:rPr>
          <w:rFonts w:ascii="Garamond" w:hAnsi="Garamond"/>
          <w:b/>
          <w:bCs/>
        </w:rPr>
        <w:lastRenderedPageBreak/>
        <w:t>Table 11:</w:t>
      </w:r>
      <w:r w:rsidRPr="00DB6C99">
        <w:rPr>
          <w:rFonts w:ascii="Garamond" w:hAnsi="Garamond"/>
          <w:spacing w:val="-1"/>
        </w:rPr>
        <w:t xml:space="preserve"> Endogeneity tests</w:t>
      </w:r>
    </w:p>
    <w:tbl>
      <w:tblPr>
        <w:tblStyle w:val="TableGrid"/>
        <w:tblW w:w="14376" w:type="dxa"/>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1810"/>
        <w:gridCol w:w="1876"/>
        <w:gridCol w:w="1427"/>
        <w:gridCol w:w="1701"/>
        <w:gridCol w:w="1307"/>
        <w:gridCol w:w="1466"/>
        <w:gridCol w:w="1245"/>
      </w:tblGrid>
      <w:tr w:rsidR="00DB6C99" w:rsidRPr="00DB6C99" w14:paraId="61438744" w14:textId="77777777" w:rsidTr="007C344D">
        <w:trPr>
          <w:trHeight w:val="286"/>
          <w:jc w:val="center"/>
        </w:trPr>
        <w:tc>
          <w:tcPr>
            <w:tcW w:w="3544" w:type="dxa"/>
            <w:tcBorders>
              <w:top w:val="single" w:sz="8" w:space="0" w:color="auto"/>
              <w:bottom w:val="nil"/>
            </w:tcBorders>
            <w:vAlign w:val="center"/>
          </w:tcPr>
          <w:p w14:paraId="7EF4C3E0" w14:textId="77777777" w:rsidR="007C344D" w:rsidRPr="00DB6C99" w:rsidRDefault="007C344D" w:rsidP="007C344D">
            <w:pPr>
              <w:widowControl w:val="0"/>
              <w:kinsoku w:val="0"/>
              <w:overflowPunct w:val="0"/>
              <w:autoSpaceDE w:val="0"/>
              <w:autoSpaceDN w:val="0"/>
              <w:adjustRightInd w:val="0"/>
              <w:jc w:val="both"/>
              <w:rPr>
                <w:rFonts w:ascii="Garamond" w:hAnsi="Garamond"/>
                <w:b/>
                <w:sz w:val="20"/>
                <w:szCs w:val="20"/>
              </w:rPr>
            </w:pPr>
          </w:p>
        </w:tc>
        <w:tc>
          <w:tcPr>
            <w:tcW w:w="5113" w:type="dxa"/>
            <w:gridSpan w:val="3"/>
            <w:tcBorders>
              <w:top w:val="single" w:sz="8" w:space="0" w:color="auto"/>
              <w:bottom w:val="single" w:sz="8" w:space="0" w:color="auto"/>
            </w:tcBorders>
            <w:vAlign w:val="center"/>
          </w:tcPr>
          <w:p w14:paraId="0F0B734C" w14:textId="77777777" w:rsidR="007C344D" w:rsidRPr="00DB6C99" w:rsidRDefault="007C344D" w:rsidP="007C344D">
            <w:pPr>
              <w:widowControl w:val="0"/>
              <w:tabs>
                <w:tab w:val="decimal" w:pos="190"/>
              </w:tabs>
              <w:kinsoku w:val="0"/>
              <w:overflowPunct w:val="0"/>
              <w:autoSpaceDE w:val="0"/>
              <w:autoSpaceDN w:val="0"/>
              <w:adjustRightInd w:val="0"/>
              <w:jc w:val="center"/>
              <w:rPr>
                <w:rFonts w:ascii="Garamond" w:hAnsi="Garamond"/>
                <w:b/>
                <w:sz w:val="20"/>
                <w:szCs w:val="20"/>
              </w:rPr>
            </w:pPr>
            <w:r w:rsidRPr="00DB6C99">
              <w:rPr>
                <w:rFonts w:ascii="Garamond" w:hAnsi="Garamond"/>
                <w:b/>
                <w:sz w:val="20"/>
                <w:szCs w:val="20"/>
              </w:rPr>
              <w:t>PSM</w:t>
            </w:r>
          </w:p>
        </w:tc>
        <w:tc>
          <w:tcPr>
            <w:tcW w:w="3008" w:type="dxa"/>
            <w:gridSpan w:val="2"/>
            <w:tcBorders>
              <w:top w:val="single" w:sz="8" w:space="0" w:color="auto"/>
              <w:bottom w:val="single" w:sz="8" w:space="0" w:color="auto"/>
            </w:tcBorders>
            <w:vAlign w:val="center"/>
          </w:tcPr>
          <w:p w14:paraId="4552D518" w14:textId="77777777" w:rsidR="007C344D" w:rsidRPr="00DB6C99" w:rsidRDefault="007C344D" w:rsidP="007C344D">
            <w:pPr>
              <w:widowControl w:val="0"/>
              <w:tabs>
                <w:tab w:val="decimal" w:pos="555"/>
              </w:tabs>
              <w:kinsoku w:val="0"/>
              <w:overflowPunct w:val="0"/>
              <w:autoSpaceDE w:val="0"/>
              <w:autoSpaceDN w:val="0"/>
              <w:adjustRightInd w:val="0"/>
              <w:jc w:val="center"/>
              <w:rPr>
                <w:rFonts w:ascii="Garamond" w:hAnsi="Garamond"/>
                <w:b/>
                <w:sz w:val="20"/>
                <w:szCs w:val="20"/>
              </w:rPr>
            </w:pPr>
            <w:r w:rsidRPr="00DB6C99">
              <w:rPr>
                <w:rFonts w:ascii="Garamond" w:hAnsi="Garamond"/>
                <w:b/>
                <w:sz w:val="20"/>
                <w:szCs w:val="20"/>
              </w:rPr>
              <w:t>Two-step Heckman</w:t>
            </w:r>
          </w:p>
        </w:tc>
        <w:tc>
          <w:tcPr>
            <w:tcW w:w="2711" w:type="dxa"/>
            <w:gridSpan w:val="2"/>
            <w:tcBorders>
              <w:top w:val="single" w:sz="8" w:space="0" w:color="auto"/>
              <w:bottom w:val="single" w:sz="8" w:space="0" w:color="auto"/>
            </w:tcBorders>
            <w:vAlign w:val="center"/>
          </w:tcPr>
          <w:p w14:paraId="15C5D330" w14:textId="77777777" w:rsidR="007C344D" w:rsidRPr="00DB6C99" w:rsidRDefault="007C344D" w:rsidP="007C344D">
            <w:pPr>
              <w:widowControl w:val="0"/>
              <w:kinsoku w:val="0"/>
              <w:overflowPunct w:val="0"/>
              <w:autoSpaceDE w:val="0"/>
              <w:autoSpaceDN w:val="0"/>
              <w:adjustRightInd w:val="0"/>
              <w:jc w:val="center"/>
              <w:rPr>
                <w:rFonts w:ascii="Garamond" w:hAnsi="Garamond"/>
                <w:b/>
                <w:sz w:val="20"/>
                <w:szCs w:val="20"/>
              </w:rPr>
            </w:pPr>
            <w:r w:rsidRPr="00DB6C99">
              <w:rPr>
                <w:rFonts w:ascii="Garamond" w:hAnsi="Garamond"/>
                <w:b/>
                <w:sz w:val="20"/>
                <w:szCs w:val="20"/>
              </w:rPr>
              <w:t>2SLS</w:t>
            </w:r>
          </w:p>
        </w:tc>
      </w:tr>
      <w:tr w:rsidR="00DB6C99" w:rsidRPr="00DB6C99" w14:paraId="1E683972" w14:textId="77777777" w:rsidTr="007C344D">
        <w:trPr>
          <w:trHeight w:val="286"/>
          <w:jc w:val="center"/>
        </w:trPr>
        <w:tc>
          <w:tcPr>
            <w:tcW w:w="3544" w:type="dxa"/>
            <w:tcBorders>
              <w:top w:val="nil"/>
              <w:bottom w:val="nil"/>
            </w:tcBorders>
            <w:vAlign w:val="center"/>
          </w:tcPr>
          <w:p w14:paraId="76A929B2" w14:textId="77777777" w:rsidR="007C344D" w:rsidRPr="00DB6C99" w:rsidRDefault="007C344D" w:rsidP="007C344D">
            <w:pPr>
              <w:widowControl w:val="0"/>
              <w:kinsoku w:val="0"/>
              <w:overflowPunct w:val="0"/>
              <w:autoSpaceDE w:val="0"/>
              <w:autoSpaceDN w:val="0"/>
              <w:adjustRightInd w:val="0"/>
              <w:jc w:val="both"/>
              <w:rPr>
                <w:rFonts w:ascii="Garamond" w:hAnsi="Garamond"/>
                <w:b/>
                <w:sz w:val="20"/>
                <w:szCs w:val="20"/>
              </w:rPr>
            </w:pPr>
          </w:p>
        </w:tc>
        <w:tc>
          <w:tcPr>
            <w:tcW w:w="1810" w:type="dxa"/>
            <w:tcBorders>
              <w:top w:val="single" w:sz="8" w:space="0" w:color="auto"/>
              <w:bottom w:val="single" w:sz="8" w:space="0" w:color="auto"/>
            </w:tcBorders>
            <w:vAlign w:val="center"/>
          </w:tcPr>
          <w:p w14:paraId="52B18461" w14:textId="77777777" w:rsidR="007C344D" w:rsidRPr="00DB6C99" w:rsidRDefault="007C344D" w:rsidP="007C344D">
            <w:pPr>
              <w:widowControl w:val="0"/>
              <w:tabs>
                <w:tab w:val="decimal" w:pos="495"/>
                <w:tab w:val="decimal" w:pos="875"/>
              </w:tabs>
              <w:kinsoku w:val="0"/>
              <w:overflowPunct w:val="0"/>
              <w:autoSpaceDE w:val="0"/>
              <w:autoSpaceDN w:val="0"/>
              <w:adjustRightInd w:val="0"/>
              <w:jc w:val="center"/>
              <w:rPr>
                <w:rFonts w:ascii="Garamond" w:hAnsi="Garamond"/>
                <w:b/>
                <w:sz w:val="20"/>
                <w:szCs w:val="20"/>
              </w:rPr>
            </w:pPr>
            <w:r w:rsidRPr="00DB6C99">
              <w:rPr>
                <w:rFonts w:ascii="Garamond" w:hAnsi="Garamond"/>
                <w:b/>
                <w:sz w:val="20"/>
                <w:szCs w:val="20"/>
              </w:rPr>
              <w:t>Pre-Match Probit</w:t>
            </w:r>
          </w:p>
        </w:tc>
        <w:tc>
          <w:tcPr>
            <w:tcW w:w="1876" w:type="dxa"/>
            <w:tcBorders>
              <w:top w:val="single" w:sz="8" w:space="0" w:color="auto"/>
              <w:bottom w:val="single" w:sz="8" w:space="0" w:color="auto"/>
            </w:tcBorders>
            <w:vAlign w:val="center"/>
          </w:tcPr>
          <w:p w14:paraId="7F305AAC" w14:textId="77777777" w:rsidR="007C344D" w:rsidRPr="00DB6C99" w:rsidRDefault="007C344D" w:rsidP="007C344D">
            <w:pPr>
              <w:widowControl w:val="0"/>
              <w:kinsoku w:val="0"/>
              <w:overflowPunct w:val="0"/>
              <w:autoSpaceDE w:val="0"/>
              <w:autoSpaceDN w:val="0"/>
              <w:adjustRightInd w:val="0"/>
              <w:jc w:val="center"/>
              <w:rPr>
                <w:rFonts w:ascii="Garamond" w:hAnsi="Garamond"/>
                <w:b/>
                <w:sz w:val="20"/>
                <w:szCs w:val="20"/>
              </w:rPr>
            </w:pPr>
            <w:r w:rsidRPr="00DB6C99">
              <w:rPr>
                <w:rFonts w:ascii="Garamond" w:hAnsi="Garamond"/>
                <w:b/>
                <w:sz w:val="20"/>
                <w:szCs w:val="20"/>
              </w:rPr>
              <w:t>Post-Match Probit</w:t>
            </w:r>
          </w:p>
        </w:tc>
        <w:tc>
          <w:tcPr>
            <w:tcW w:w="1427" w:type="dxa"/>
            <w:tcBorders>
              <w:top w:val="single" w:sz="8" w:space="0" w:color="auto"/>
              <w:bottom w:val="single" w:sz="8" w:space="0" w:color="auto"/>
            </w:tcBorders>
            <w:vAlign w:val="center"/>
          </w:tcPr>
          <w:p w14:paraId="7D1365BA" w14:textId="77777777" w:rsidR="007C344D" w:rsidRPr="00DB6C99" w:rsidRDefault="007C344D" w:rsidP="007C344D">
            <w:pPr>
              <w:widowControl w:val="0"/>
              <w:tabs>
                <w:tab w:val="decimal" w:pos="190"/>
              </w:tabs>
              <w:kinsoku w:val="0"/>
              <w:overflowPunct w:val="0"/>
              <w:autoSpaceDE w:val="0"/>
              <w:autoSpaceDN w:val="0"/>
              <w:adjustRightInd w:val="0"/>
              <w:jc w:val="center"/>
              <w:rPr>
                <w:rFonts w:ascii="Garamond" w:hAnsi="Garamond"/>
                <w:b/>
                <w:sz w:val="20"/>
                <w:szCs w:val="20"/>
              </w:rPr>
            </w:pPr>
            <w:r w:rsidRPr="00DB6C99">
              <w:rPr>
                <w:rFonts w:ascii="Garamond" w:hAnsi="Garamond"/>
                <w:b/>
                <w:sz w:val="20"/>
                <w:szCs w:val="20"/>
              </w:rPr>
              <w:t>FE</w:t>
            </w:r>
          </w:p>
        </w:tc>
        <w:tc>
          <w:tcPr>
            <w:tcW w:w="1701" w:type="dxa"/>
            <w:tcBorders>
              <w:top w:val="single" w:sz="8" w:space="0" w:color="auto"/>
              <w:bottom w:val="single" w:sz="8" w:space="0" w:color="auto"/>
            </w:tcBorders>
            <w:vAlign w:val="center"/>
          </w:tcPr>
          <w:p w14:paraId="6C328A7A" w14:textId="77777777" w:rsidR="007C344D" w:rsidRPr="00DB6C99" w:rsidRDefault="007C344D" w:rsidP="007C344D">
            <w:pPr>
              <w:widowControl w:val="0"/>
              <w:tabs>
                <w:tab w:val="decimal" w:pos="705"/>
              </w:tabs>
              <w:kinsoku w:val="0"/>
              <w:overflowPunct w:val="0"/>
              <w:autoSpaceDE w:val="0"/>
              <w:autoSpaceDN w:val="0"/>
              <w:adjustRightInd w:val="0"/>
              <w:jc w:val="center"/>
              <w:rPr>
                <w:rFonts w:ascii="Garamond" w:hAnsi="Garamond"/>
                <w:b/>
                <w:sz w:val="20"/>
                <w:szCs w:val="20"/>
              </w:rPr>
            </w:pPr>
            <w:r w:rsidRPr="00DB6C99">
              <w:rPr>
                <w:rFonts w:ascii="Garamond" w:hAnsi="Garamond"/>
                <w:b/>
                <w:sz w:val="20"/>
                <w:szCs w:val="20"/>
              </w:rPr>
              <w:t>Probit</w:t>
            </w:r>
          </w:p>
        </w:tc>
        <w:tc>
          <w:tcPr>
            <w:tcW w:w="1307" w:type="dxa"/>
            <w:tcBorders>
              <w:top w:val="single" w:sz="8" w:space="0" w:color="auto"/>
              <w:bottom w:val="single" w:sz="8" w:space="0" w:color="auto"/>
            </w:tcBorders>
            <w:vAlign w:val="center"/>
          </w:tcPr>
          <w:p w14:paraId="69F7588A" w14:textId="77777777" w:rsidR="007C344D" w:rsidRPr="00DB6C99" w:rsidRDefault="007C344D" w:rsidP="007C344D">
            <w:pPr>
              <w:widowControl w:val="0"/>
              <w:tabs>
                <w:tab w:val="decimal" w:pos="555"/>
              </w:tabs>
              <w:kinsoku w:val="0"/>
              <w:overflowPunct w:val="0"/>
              <w:autoSpaceDE w:val="0"/>
              <w:autoSpaceDN w:val="0"/>
              <w:adjustRightInd w:val="0"/>
              <w:jc w:val="center"/>
              <w:rPr>
                <w:rFonts w:ascii="Garamond" w:hAnsi="Garamond"/>
                <w:b/>
                <w:sz w:val="20"/>
                <w:szCs w:val="20"/>
              </w:rPr>
            </w:pPr>
            <w:r w:rsidRPr="00DB6C99">
              <w:rPr>
                <w:rFonts w:ascii="Garamond" w:hAnsi="Garamond"/>
                <w:b/>
                <w:sz w:val="20"/>
                <w:szCs w:val="20"/>
              </w:rPr>
              <w:t>FE</w:t>
            </w:r>
          </w:p>
        </w:tc>
        <w:tc>
          <w:tcPr>
            <w:tcW w:w="1466" w:type="dxa"/>
            <w:tcBorders>
              <w:top w:val="single" w:sz="8" w:space="0" w:color="auto"/>
              <w:bottom w:val="single" w:sz="8" w:space="0" w:color="auto"/>
            </w:tcBorders>
            <w:vAlign w:val="center"/>
          </w:tcPr>
          <w:p w14:paraId="510C8777" w14:textId="77777777" w:rsidR="007C344D" w:rsidRPr="00DB6C99" w:rsidRDefault="007C344D" w:rsidP="007C344D">
            <w:pPr>
              <w:widowControl w:val="0"/>
              <w:tabs>
                <w:tab w:val="decimal" w:pos="435"/>
              </w:tabs>
              <w:kinsoku w:val="0"/>
              <w:overflowPunct w:val="0"/>
              <w:autoSpaceDE w:val="0"/>
              <w:autoSpaceDN w:val="0"/>
              <w:adjustRightInd w:val="0"/>
              <w:jc w:val="center"/>
              <w:rPr>
                <w:rFonts w:ascii="Garamond" w:hAnsi="Garamond"/>
                <w:b/>
                <w:sz w:val="20"/>
                <w:szCs w:val="20"/>
              </w:rPr>
            </w:pPr>
            <w:r w:rsidRPr="00DB6C99">
              <w:rPr>
                <w:rFonts w:ascii="Garamond" w:hAnsi="Garamond"/>
                <w:b/>
                <w:sz w:val="20"/>
                <w:szCs w:val="20"/>
              </w:rPr>
              <w:t>1</w:t>
            </w:r>
            <w:r w:rsidRPr="00DB6C99">
              <w:rPr>
                <w:rFonts w:ascii="Garamond" w:hAnsi="Garamond"/>
                <w:b/>
                <w:sz w:val="20"/>
                <w:szCs w:val="20"/>
                <w:vertAlign w:val="superscript"/>
              </w:rPr>
              <w:t>st</w:t>
            </w:r>
            <w:r w:rsidRPr="00DB6C99">
              <w:rPr>
                <w:rFonts w:ascii="Garamond" w:hAnsi="Garamond"/>
                <w:b/>
                <w:sz w:val="20"/>
                <w:szCs w:val="20"/>
              </w:rPr>
              <w:t xml:space="preserve"> Stage</w:t>
            </w:r>
          </w:p>
        </w:tc>
        <w:tc>
          <w:tcPr>
            <w:tcW w:w="1245" w:type="dxa"/>
            <w:tcBorders>
              <w:top w:val="single" w:sz="8" w:space="0" w:color="auto"/>
              <w:bottom w:val="single" w:sz="8" w:space="0" w:color="auto"/>
            </w:tcBorders>
            <w:vAlign w:val="center"/>
          </w:tcPr>
          <w:p w14:paraId="68B5B832" w14:textId="77777777" w:rsidR="007C344D" w:rsidRPr="00DB6C99" w:rsidRDefault="007C344D" w:rsidP="007C344D">
            <w:pPr>
              <w:widowControl w:val="0"/>
              <w:kinsoku w:val="0"/>
              <w:overflowPunct w:val="0"/>
              <w:autoSpaceDE w:val="0"/>
              <w:autoSpaceDN w:val="0"/>
              <w:adjustRightInd w:val="0"/>
              <w:jc w:val="center"/>
              <w:rPr>
                <w:rFonts w:ascii="Garamond" w:hAnsi="Garamond"/>
                <w:b/>
                <w:sz w:val="20"/>
                <w:szCs w:val="20"/>
              </w:rPr>
            </w:pPr>
            <w:r w:rsidRPr="00DB6C99">
              <w:rPr>
                <w:rFonts w:ascii="Garamond" w:hAnsi="Garamond"/>
                <w:b/>
                <w:sz w:val="20"/>
                <w:szCs w:val="20"/>
              </w:rPr>
              <w:t>2</w:t>
            </w:r>
            <w:r w:rsidRPr="00DB6C99">
              <w:rPr>
                <w:rFonts w:ascii="Garamond" w:hAnsi="Garamond"/>
                <w:b/>
                <w:sz w:val="20"/>
                <w:szCs w:val="20"/>
                <w:vertAlign w:val="superscript"/>
              </w:rPr>
              <w:t>nd</w:t>
            </w:r>
            <w:r w:rsidRPr="00DB6C99">
              <w:rPr>
                <w:rFonts w:ascii="Garamond" w:hAnsi="Garamond"/>
                <w:b/>
                <w:sz w:val="20"/>
                <w:szCs w:val="20"/>
              </w:rPr>
              <w:t xml:space="preserve"> Stage</w:t>
            </w:r>
          </w:p>
        </w:tc>
      </w:tr>
      <w:tr w:rsidR="00DB6C99" w:rsidRPr="00DB6C99" w14:paraId="53780111" w14:textId="77777777" w:rsidTr="007C344D">
        <w:trPr>
          <w:trHeight w:val="356"/>
          <w:jc w:val="center"/>
        </w:trPr>
        <w:tc>
          <w:tcPr>
            <w:tcW w:w="3544" w:type="dxa"/>
            <w:tcBorders>
              <w:top w:val="nil"/>
              <w:bottom w:val="single" w:sz="8" w:space="0" w:color="auto"/>
            </w:tcBorders>
            <w:vAlign w:val="center"/>
          </w:tcPr>
          <w:p w14:paraId="1F7097BE" w14:textId="77777777" w:rsidR="007C344D" w:rsidRPr="00DB6C99" w:rsidRDefault="007C344D" w:rsidP="007C344D">
            <w:pPr>
              <w:widowControl w:val="0"/>
              <w:kinsoku w:val="0"/>
              <w:overflowPunct w:val="0"/>
              <w:autoSpaceDE w:val="0"/>
              <w:autoSpaceDN w:val="0"/>
              <w:adjustRightInd w:val="0"/>
              <w:jc w:val="both"/>
              <w:rPr>
                <w:rFonts w:ascii="Garamond" w:hAnsi="Garamond"/>
                <w:b/>
                <w:sz w:val="20"/>
                <w:szCs w:val="20"/>
              </w:rPr>
            </w:pPr>
            <w:r w:rsidRPr="00DB6C99">
              <w:rPr>
                <w:rFonts w:ascii="Garamond" w:hAnsi="Garamond"/>
                <w:b/>
                <w:sz w:val="20"/>
                <w:szCs w:val="20"/>
              </w:rPr>
              <w:t>Variables</w:t>
            </w:r>
          </w:p>
        </w:tc>
        <w:tc>
          <w:tcPr>
            <w:tcW w:w="1810" w:type="dxa"/>
            <w:tcBorders>
              <w:top w:val="single" w:sz="8" w:space="0" w:color="auto"/>
              <w:bottom w:val="single" w:sz="8" w:space="0" w:color="auto"/>
            </w:tcBorders>
            <w:vAlign w:val="center"/>
          </w:tcPr>
          <w:p w14:paraId="3D7A18E2" w14:textId="77777777" w:rsidR="007C344D" w:rsidRPr="00DB6C99" w:rsidRDefault="007C344D" w:rsidP="007C344D">
            <w:pPr>
              <w:widowControl w:val="0"/>
              <w:tabs>
                <w:tab w:val="decimal" w:pos="495"/>
              </w:tabs>
              <w:kinsoku w:val="0"/>
              <w:overflowPunct w:val="0"/>
              <w:autoSpaceDE w:val="0"/>
              <w:autoSpaceDN w:val="0"/>
              <w:adjustRightInd w:val="0"/>
              <w:jc w:val="center"/>
              <w:rPr>
                <w:rFonts w:ascii="Garamond" w:hAnsi="Garamond"/>
                <w:bCs/>
                <w:i/>
                <w:iCs/>
                <w:sz w:val="20"/>
                <w:szCs w:val="20"/>
              </w:rPr>
            </w:pPr>
            <w:r w:rsidRPr="00DB6C99">
              <w:rPr>
                <w:rFonts w:ascii="Garamond" w:hAnsi="Garamond"/>
                <w:bCs/>
                <w:i/>
                <w:iCs/>
                <w:sz w:val="20"/>
                <w:szCs w:val="20"/>
              </w:rPr>
              <w:t>FPRO_DUMMY</w:t>
            </w:r>
          </w:p>
        </w:tc>
        <w:tc>
          <w:tcPr>
            <w:tcW w:w="1876" w:type="dxa"/>
            <w:tcBorders>
              <w:top w:val="single" w:sz="8" w:space="0" w:color="auto"/>
              <w:bottom w:val="single" w:sz="8" w:space="0" w:color="auto"/>
            </w:tcBorders>
            <w:vAlign w:val="center"/>
          </w:tcPr>
          <w:p w14:paraId="10196D2C" w14:textId="77777777" w:rsidR="007C344D" w:rsidRPr="00DB6C99" w:rsidRDefault="007C344D" w:rsidP="007C344D">
            <w:pPr>
              <w:widowControl w:val="0"/>
              <w:tabs>
                <w:tab w:val="decimal" w:pos="280"/>
              </w:tabs>
              <w:kinsoku w:val="0"/>
              <w:overflowPunct w:val="0"/>
              <w:autoSpaceDE w:val="0"/>
              <w:autoSpaceDN w:val="0"/>
              <w:adjustRightInd w:val="0"/>
              <w:jc w:val="center"/>
              <w:rPr>
                <w:rFonts w:ascii="Garamond" w:hAnsi="Garamond"/>
                <w:bCs/>
                <w:i/>
                <w:iCs/>
                <w:sz w:val="20"/>
                <w:szCs w:val="20"/>
              </w:rPr>
            </w:pPr>
            <w:r w:rsidRPr="00DB6C99">
              <w:rPr>
                <w:rFonts w:ascii="Garamond" w:hAnsi="Garamond"/>
                <w:bCs/>
                <w:i/>
                <w:iCs/>
                <w:sz w:val="20"/>
                <w:szCs w:val="20"/>
              </w:rPr>
              <w:t>FPRO_DUMMY</w:t>
            </w:r>
          </w:p>
        </w:tc>
        <w:tc>
          <w:tcPr>
            <w:tcW w:w="1427" w:type="dxa"/>
            <w:tcBorders>
              <w:top w:val="single" w:sz="8" w:space="0" w:color="auto"/>
              <w:bottom w:val="single" w:sz="8" w:space="0" w:color="auto"/>
            </w:tcBorders>
            <w:vAlign w:val="center"/>
          </w:tcPr>
          <w:p w14:paraId="3A7DE702" w14:textId="77777777" w:rsidR="007C344D" w:rsidRPr="00DB6C99" w:rsidRDefault="007C344D" w:rsidP="007C344D">
            <w:pPr>
              <w:widowControl w:val="0"/>
              <w:tabs>
                <w:tab w:val="decimal" w:pos="280"/>
              </w:tabs>
              <w:kinsoku w:val="0"/>
              <w:overflowPunct w:val="0"/>
              <w:autoSpaceDE w:val="0"/>
              <w:autoSpaceDN w:val="0"/>
              <w:adjustRightInd w:val="0"/>
              <w:jc w:val="center"/>
              <w:rPr>
                <w:rFonts w:ascii="Garamond" w:hAnsi="Garamond"/>
                <w:bCs/>
                <w:i/>
                <w:iCs/>
                <w:sz w:val="20"/>
                <w:szCs w:val="20"/>
              </w:rPr>
            </w:pPr>
            <w:r w:rsidRPr="00DB6C99">
              <w:rPr>
                <w:rFonts w:ascii="Garamond" w:hAnsi="Garamond"/>
                <w:bCs/>
                <w:i/>
                <w:iCs/>
                <w:sz w:val="20"/>
                <w:szCs w:val="20"/>
              </w:rPr>
              <w:t>GAP</w:t>
            </w:r>
          </w:p>
        </w:tc>
        <w:tc>
          <w:tcPr>
            <w:tcW w:w="1701" w:type="dxa"/>
            <w:tcBorders>
              <w:top w:val="single" w:sz="8" w:space="0" w:color="auto"/>
              <w:bottom w:val="single" w:sz="8" w:space="0" w:color="auto"/>
            </w:tcBorders>
            <w:vAlign w:val="center"/>
          </w:tcPr>
          <w:p w14:paraId="0B141025" w14:textId="77777777" w:rsidR="007C344D" w:rsidRPr="00DB6C99" w:rsidRDefault="007C344D" w:rsidP="007C344D">
            <w:pPr>
              <w:widowControl w:val="0"/>
              <w:tabs>
                <w:tab w:val="decimal" w:pos="435"/>
              </w:tabs>
              <w:kinsoku w:val="0"/>
              <w:overflowPunct w:val="0"/>
              <w:autoSpaceDE w:val="0"/>
              <w:autoSpaceDN w:val="0"/>
              <w:adjustRightInd w:val="0"/>
              <w:jc w:val="center"/>
              <w:rPr>
                <w:rFonts w:ascii="Garamond" w:hAnsi="Garamond"/>
                <w:bCs/>
                <w:i/>
                <w:iCs/>
                <w:sz w:val="20"/>
                <w:szCs w:val="20"/>
              </w:rPr>
            </w:pPr>
            <w:r w:rsidRPr="00DB6C99">
              <w:rPr>
                <w:rFonts w:ascii="Garamond" w:hAnsi="Garamond"/>
                <w:bCs/>
                <w:i/>
                <w:iCs/>
                <w:sz w:val="20"/>
                <w:szCs w:val="20"/>
              </w:rPr>
              <w:t>FPRO_DUMMY</w:t>
            </w:r>
          </w:p>
        </w:tc>
        <w:tc>
          <w:tcPr>
            <w:tcW w:w="1307" w:type="dxa"/>
            <w:tcBorders>
              <w:top w:val="single" w:sz="8" w:space="0" w:color="auto"/>
              <w:bottom w:val="single" w:sz="8" w:space="0" w:color="auto"/>
            </w:tcBorders>
            <w:vAlign w:val="center"/>
          </w:tcPr>
          <w:p w14:paraId="1BBC1BCF" w14:textId="77777777" w:rsidR="007C344D" w:rsidRPr="00DB6C99" w:rsidRDefault="007C344D" w:rsidP="007C344D">
            <w:pPr>
              <w:widowControl w:val="0"/>
              <w:tabs>
                <w:tab w:val="decimal" w:pos="735"/>
              </w:tabs>
              <w:kinsoku w:val="0"/>
              <w:overflowPunct w:val="0"/>
              <w:autoSpaceDE w:val="0"/>
              <w:autoSpaceDN w:val="0"/>
              <w:adjustRightInd w:val="0"/>
              <w:jc w:val="center"/>
              <w:rPr>
                <w:rFonts w:ascii="Garamond" w:hAnsi="Garamond"/>
                <w:bCs/>
                <w:i/>
                <w:iCs/>
                <w:sz w:val="20"/>
                <w:szCs w:val="20"/>
              </w:rPr>
            </w:pPr>
            <w:r w:rsidRPr="00DB6C99">
              <w:rPr>
                <w:rFonts w:ascii="Garamond" w:hAnsi="Garamond"/>
                <w:bCs/>
                <w:i/>
                <w:iCs/>
                <w:sz w:val="20"/>
                <w:szCs w:val="20"/>
              </w:rPr>
              <w:t>GAP</w:t>
            </w:r>
          </w:p>
        </w:tc>
        <w:tc>
          <w:tcPr>
            <w:tcW w:w="1466" w:type="dxa"/>
            <w:tcBorders>
              <w:top w:val="single" w:sz="8" w:space="0" w:color="auto"/>
              <w:bottom w:val="single" w:sz="8" w:space="0" w:color="auto"/>
            </w:tcBorders>
            <w:vAlign w:val="center"/>
          </w:tcPr>
          <w:p w14:paraId="1A8388CD" w14:textId="77777777" w:rsidR="007C344D" w:rsidRPr="00DB6C99" w:rsidRDefault="007C344D" w:rsidP="007C344D">
            <w:pPr>
              <w:widowControl w:val="0"/>
              <w:tabs>
                <w:tab w:val="decimal" w:pos="435"/>
              </w:tabs>
              <w:kinsoku w:val="0"/>
              <w:overflowPunct w:val="0"/>
              <w:autoSpaceDE w:val="0"/>
              <w:autoSpaceDN w:val="0"/>
              <w:adjustRightInd w:val="0"/>
              <w:jc w:val="center"/>
              <w:rPr>
                <w:rFonts w:ascii="Garamond" w:hAnsi="Garamond"/>
                <w:bCs/>
                <w:sz w:val="20"/>
                <w:szCs w:val="20"/>
              </w:rPr>
            </w:pPr>
            <w:r w:rsidRPr="00DB6C99">
              <w:rPr>
                <w:rFonts w:ascii="Garamond" w:hAnsi="Garamond"/>
                <w:bCs/>
                <w:i/>
                <w:iCs/>
                <w:sz w:val="20"/>
                <w:szCs w:val="20"/>
              </w:rPr>
              <w:t>FPRO</w:t>
            </w:r>
          </w:p>
        </w:tc>
        <w:tc>
          <w:tcPr>
            <w:tcW w:w="1245" w:type="dxa"/>
            <w:tcBorders>
              <w:top w:val="single" w:sz="8" w:space="0" w:color="auto"/>
              <w:bottom w:val="single" w:sz="8" w:space="0" w:color="auto"/>
            </w:tcBorders>
            <w:vAlign w:val="center"/>
          </w:tcPr>
          <w:p w14:paraId="4323E794" w14:textId="77777777" w:rsidR="007C344D" w:rsidRPr="00DB6C99" w:rsidRDefault="007C344D" w:rsidP="007C344D">
            <w:pPr>
              <w:widowControl w:val="0"/>
              <w:kinsoku w:val="0"/>
              <w:overflowPunct w:val="0"/>
              <w:autoSpaceDE w:val="0"/>
              <w:autoSpaceDN w:val="0"/>
              <w:adjustRightInd w:val="0"/>
              <w:jc w:val="center"/>
              <w:rPr>
                <w:rFonts w:ascii="Garamond" w:hAnsi="Garamond"/>
                <w:bCs/>
                <w:sz w:val="20"/>
                <w:szCs w:val="20"/>
              </w:rPr>
            </w:pPr>
            <w:r w:rsidRPr="00DB6C99">
              <w:rPr>
                <w:rFonts w:ascii="Garamond" w:hAnsi="Garamond"/>
                <w:bCs/>
                <w:i/>
                <w:iCs/>
                <w:sz w:val="20"/>
                <w:szCs w:val="20"/>
              </w:rPr>
              <w:t>GAP</w:t>
            </w:r>
          </w:p>
        </w:tc>
      </w:tr>
      <w:tr w:rsidR="00DB6C99" w:rsidRPr="00DB6C99" w14:paraId="1459FA1E" w14:textId="77777777" w:rsidTr="007C344D">
        <w:trPr>
          <w:trHeight w:val="173"/>
          <w:jc w:val="center"/>
        </w:trPr>
        <w:tc>
          <w:tcPr>
            <w:tcW w:w="3544" w:type="dxa"/>
            <w:vAlign w:val="center"/>
          </w:tcPr>
          <w:p w14:paraId="3DCDBD05" w14:textId="77777777" w:rsidR="007C344D" w:rsidRPr="00DB6C99" w:rsidRDefault="007C344D" w:rsidP="007C344D">
            <w:pPr>
              <w:widowControl w:val="0"/>
              <w:kinsoku w:val="0"/>
              <w:overflowPunct w:val="0"/>
              <w:autoSpaceDE w:val="0"/>
              <w:autoSpaceDN w:val="0"/>
              <w:adjustRightInd w:val="0"/>
              <w:jc w:val="both"/>
              <w:rPr>
                <w:rFonts w:ascii="Garamond" w:hAnsi="Garamond"/>
                <w:sz w:val="20"/>
                <w:szCs w:val="20"/>
              </w:rPr>
            </w:pPr>
            <w:r w:rsidRPr="00DB6C99">
              <w:rPr>
                <w:rFonts w:ascii="Garamond" w:hAnsi="Garamond"/>
                <w:i/>
                <w:iCs/>
                <w:sz w:val="20"/>
                <w:szCs w:val="20"/>
              </w:rPr>
              <w:t>FPRO</w:t>
            </w:r>
          </w:p>
        </w:tc>
        <w:tc>
          <w:tcPr>
            <w:tcW w:w="1810" w:type="dxa"/>
            <w:vAlign w:val="center"/>
          </w:tcPr>
          <w:p w14:paraId="18D94C79" w14:textId="77777777" w:rsidR="007C344D" w:rsidRPr="00DB6C99" w:rsidRDefault="007C344D" w:rsidP="007C344D">
            <w:pPr>
              <w:widowControl w:val="0"/>
              <w:tabs>
                <w:tab w:val="decimal" w:pos="630"/>
              </w:tabs>
              <w:kinsoku w:val="0"/>
              <w:overflowPunct w:val="0"/>
              <w:autoSpaceDE w:val="0"/>
              <w:autoSpaceDN w:val="0"/>
              <w:adjustRightInd w:val="0"/>
              <w:jc w:val="both"/>
              <w:rPr>
                <w:rFonts w:ascii="Garamond" w:hAnsi="Garamond"/>
                <w:i/>
                <w:iCs/>
                <w:sz w:val="20"/>
                <w:szCs w:val="20"/>
              </w:rPr>
            </w:pPr>
            <w:r w:rsidRPr="00DB6C99">
              <w:rPr>
                <w:rFonts w:ascii="Garamond" w:hAnsi="Garamond"/>
                <w:i/>
                <w:iCs/>
                <w:sz w:val="20"/>
                <w:szCs w:val="20"/>
              </w:rPr>
              <w:t>-</w:t>
            </w:r>
          </w:p>
        </w:tc>
        <w:tc>
          <w:tcPr>
            <w:tcW w:w="1876" w:type="dxa"/>
            <w:vAlign w:val="center"/>
          </w:tcPr>
          <w:p w14:paraId="635787C2" w14:textId="77777777" w:rsidR="007C344D" w:rsidRPr="00DB6C99" w:rsidRDefault="007C344D" w:rsidP="007C344D">
            <w:pPr>
              <w:widowControl w:val="0"/>
              <w:tabs>
                <w:tab w:val="decimal" w:pos="777"/>
              </w:tabs>
              <w:kinsoku w:val="0"/>
              <w:overflowPunct w:val="0"/>
              <w:autoSpaceDE w:val="0"/>
              <w:autoSpaceDN w:val="0"/>
              <w:adjustRightInd w:val="0"/>
              <w:jc w:val="both"/>
              <w:rPr>
                <w:rFonts w:ascii="Garamond" w:hAnsi="Garamond"/>
                <w:sz w:val="20"/>
                <w:szCs w:val="20"/>
              </w:rPr>
            </w:pPr>
            <w:r w:rsidRPr="00DB6C99">
              <w:rPr>
                <w:rFonts w:ascii="Garamond" w:hAnsi="Garamond"/>
                <w:i/>
                <w:iCs/>
                <w:sz w:val="20"/>
                <w:szCs w:val="20"/>
              </w:rPr>
              <w:t>-</w:t>
            </w:r>
          </w:p>
        </w:tc>
        <w:tc>
          <w:tcPr>
            <w:tcW w:w="1427" w:type="dxa"/>
          </w:tcPr>
          <w:p w14:paraId="30001A75" w14:textId="77777777" w:rsidR="007C344D" w:rsidRPr="00DB6C99" w:rsidRDefault="007C344D" w:rsidP="007C344D">
            <w:pPr>
              <w:widowControl w:val="0"/>
              <w:tabs>
                <w:tab w:val="decimal" w:pos="540"/>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-0.503***</w:t>
            </w:r>
          </w:p>
        </w:tc>
        <w:tc>
          <w:tcPr>
            <w:tcW w:w="1701" w:type="dxa"/>
            <w:vAlign w:val="center"/>
          </w:tcPr>
          <w:p w14:paraId="0F03D372" w14:textId="77777777" w:rsidR="007C344D" w:rsidRPr="00DB6C99" w:rsidRDefault="007C344D" w:rsidP="007C344D">
            <w:pPr>
              <w:widowControl w:val="0"/>
              <w:tabs>
                <w:tab w:val="decimal" w:pos="0"/>
              </w:tabs>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w:t>
            </w:r>
          </w:p>
        </w:tc>
        <w:tc>
          <w:tcPr>
            <w:tcW w:w="1307" w:type="dxa"/>
          </w:tcPr>
          <w:p w14:paraId="20D38732"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-0.417***</w:t>
            </w:r>
          </w:p>
        </w:tc>
        <w:tc>
          <w:tcPr>
            <w:tcW w:w="1466" w:type="dxa"/>
            <w:vAlign w:val="center"/>
          </w:tcPr>
          <w:p w14:paraId="6DF64747"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w:t>
            </w:r>
          </w:p>
        </w:tc>
        <w:tc>
          <w:tcPr>
            <w:tcW w:w="1245" w:type="dxa"/>
          </w:tcPr>
          <w:p w14:paraId="1C195EE3" w14:textId="77777777" w:rsidR="007C344D" w:rsidRPr="00DB6C99" w:rsidRDefault="007C344D" w:rsidP="007C344D">
            <w:pPr>
              <w:widowControl w:val="0"/>
              <w:tabs>
                <w:tab w:val="decimal" w:pos="434"/>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-0.509***</w:t>
            </w:r>
          </w:p>
        </w:tc>
      </w:tr>
      <w:tr w:rsidR="00DB6C99" w:rsidRPr="00DB6C99" w14:paraId="43869C8F" w14:textId="77777777" w:rsidTr="007C344D">
        <w:trPr>
          <w:trHeight w:val="216"/>
          <w:jc w:val="center"/>
        </w:trPr>
        <w:tc>
          <w:tcPr>
            <w:tcW w:w="3544" w:type="dxa"/>
            <w:vAlign w:val="center"/>
          </w:tcPr>
          <w:p w14:paraId="5ADD0798" w14:textId="77777777" w:rsidR="007C344D" w:rsidRPr="00DB6C99" w:rsidRDefault="007C344D" w:rsidP="007C344D">
            <w:pPr>
              <w:widowControl w:val="0"/>
              <w:kinsoku w:val="0"/>
              <w:overflowPunct w:val="0"/>
              <w:autoSpaceDE w:val="0"/>
              <w:autoSpaceDN w:val="0"/>
              <w:adjustRightInd w:val="0"/>
              <w:jc w:val="both"/>
              <w:rPr>
                <w:rFonts w:ascii="Garamond" w:hAnsi="Garamond"/>
                <w:i/>
                <w:iCs/>
                <w:sz w:val="20"/>
                <w:szCs w:val="20"/>
              </w:rPr>
            </w:pPr>
          </w:p>
        </w:tc>
        <w:tc>
          <w:tcPr>
            <w:tcW w:w="1810" w:type="dxa"/>
            <w:vAlign w:val="center"/>
          </w:tcPr>
          <w:p w14:paraId="6C7942FC" w14:textId="77777777" w:rsidR="007C344D" w:rsidRPr="00DB6C99" w:rsidRDefault="007C344D" w:rsidP="007C344D">
            <w:pPr>
              <w:widowControl w:val="0"/>
              <w:tabs>
                <w:tab w:val="decimal" w:pos="630"/>
              </w:tabs>
              <w:kinsoku w:val="0"/>
              <w:overflowPunct w:val="0"/>
              <w:autoSpaceDE w:val="0"/>
              <w:autoSpaceDN w:val="0"/>
              <w:adjustRightInd w:val="0"/>
              <w:jc w:val="both"/>
              <w:rPr>
                <w:rFonts w:ascii="Garamond" w:hAnsi="Garamond"/>
                <w:i/>
                <w:iCs/>
                <w:sz w:val="20"/>
                <w:szCs w:val="20"/>
              </w:rPr>
            </w:pPr>
          </w:p>
        </w:tc>
        <w:tc>
          <w:tcPr>
            <w:tcW w:w="1876" w:type="dxa"/>
            <w:vAlign w:val="center"/>
          </w:tcPr>
          <w:p w14:paraId="030BA58D" w14:textId="77777777" w:rsidR="007C344D" w:rsidRPr="00DB6C99" w:rsidRDefault="007C344D" w:rsidP="007C344D">
            <w:pPr>
              <w:widowControl w:val="0"/>
              <w:tabs>
                <w:tab w:val="decimal" w:pos="777"/>
              </w:tabs>
              <w:kinsoku w:val="0"/>
              <w:overflowPunct w:val="0"/>
              <w:autoSpaceDE w:val="0"/>
              <w:autoSpaceDN w:val="0"/>
              <w:adjustRightInd w:val="0"/>
              <w:jc w:val="both"/>
              <w:rPr>
                <w:rFonts w:ascii="Garamond" w:hAnsi="Garamond"/>
                <w:sz w:val="20"/>
                <w:szCs w:val="20"/>
              </w:rPr>
            </w:pPr>
          </w:p>
        </w:tc>
        <w:tc>
          <w:tcPr>
            <w:tcW w:w="1427" w:type="dxa"/>
          </w:tcPr>
          <w:p w14:paraId="70DACA31" w14:textId="77777777" w:rsidR="007C344D" w:rsidRPr="00DB6C99" w:rsidRDefault="007C344D" w:rsidP="007C344D">
            <w:pPr>
              <w:widowControl w:val="0"/>
              <w:tabs>
                <w:tab w:val="decimal" w:pos="540"/>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(-3.51)</w:t>
            </w:r>
          </w:p>
        </w:tc>
        <w:tc>
          <w:tcPr>
            <w:tcW w:w="1701" w:type="dxa"/>
            <w:vAlign w:val="center"/>
          </w:tcPr>
          <w:p w14:paraId="148BADF2" w14:textId="77777777" w:rsidR="007C344D" w:rsidRPr="00DB6C99" w:rsidRDefault="007C344D" w:rsidP="007C344D">
            <w:pPr>
              <w:widowControl w:val="0"/>
              <w:tabs>
                <w:tab w:val="decimal" w:pos="0"/>
              </w:tabs>
              <w:kinsoku w:val="0"/>
              <w:overflowPunct w:val="0"/>
              <w:autoSpaceDE w:val="0"/>
              <w:autoSpaceDN w:val="0"/>
              <w:adjustRightInd w:val="0"/>
              <w:jc w:val="center"/>
              <w:rPr>
                <w:rFonts w:ascii="Garamond" w:hAnsi="Garamond"/>
                <w:sz w:val="20"/>
                <w:szCs w:val="20"/>
              </w:rPr>
            </w:pPr>
          </w:p>
        </w:tc>
        <w:tc>
          <w:tcPr>
            <w:tcW w:w="1307" w:type="dxa"/>
          </w:tcPr>
          <w:p w14:paraId="4D9CD5EF"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(-2.71)</w:t>
            </w:r>
          </w:p>
        </w:tc>
        <w:tc>
          <w:tcPr>
            <w:tcW w:w="1466" w:type="dxa"/>
            <w:vAlign w:val="center"/>
          </w:tcPr>
          <w:p w14:paraId="14C8146F"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p>
        </w:tc>
        <w:tc>
          <w:tcPr>
            <w:tcW w:w="1245" w:type="dxa"/>
          </w:tcPr>
          <w:p w14:paraId="5AC49B4C" w14:textId="77777777" w:rsidR="007C344D" w:rsidRPr="00DB6C99" w:rsidRDefault="007C344D" w:rsidP="007C344D">
            <w:pPr>
              <w:widowControl w:val="0"/>
              <w:tabs>
                <w:tab w:val="decimal" w:pos="434"/>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(-2.69)</w:t>
            </w:r>
          </w:p>
        </w:tc>
      </w:tr>
      <w:tr w:rsidR="00DB6C99" w:rsidRPr="00DB6C99" w14:paraId="21FEEB0B" w14:textId="77777777" w:rsidTr="007C344D">
        <w:trPr>
          <w:trHeight w:val="154"/>
          <w:jc w:val="center"/>
        </w:trPr>
        <w:tc>
          <w:tcPr>
            <w:tcW w:w="3544" w:type="dxa"/>
            <w:vAlign w:val="center"/>
          </w:tcPr>
          <w:p w14:paraId="1E30EDA6" w14:textId="77777777" w:rsidR="007C344D" w:rsidRPr="00DB6C99" w:rsidRDefault="007C344D" w:rsidP="007C344D">
            <w:pPr>
              <w:widowControl w:val="0"/>
              <w:kinsoku w:val="0"/>
              <w:overflowPunct w:val="0"/>
              <w:autoSpaceDE w:val="0"/>
              <w:autoSpaceDN w:val="0"/>
              <w:adjustRightInd w:val="0"/>
              <w:jc w:val="both"/>
              <w:rPr>
                <w:rFonts w:ascii="Garamond" w:hAnsi="Garamond"/>
                <w:i/>
                <w:iCs/>
                <w:sz w:val="20"/>
                <w:szCs w:val="20"/>
                <w:lang w:val="en-GB"/>
              </w:rPr>
            </w:pPr>
            <w:r w:rsidRPr="00DB6C99">
              <w:rPr>
                <w:rFonts w:ascii="Garamond" w:hAnsi="Garamond"/>
                <w:i/>
                <w:iCs/>
                <w:sz w:val="20"/>
                <w:szCs w:val="20"/>
                <w:lang w:val="en-GB"/>
              </w:rPr>
              <w:t>MILLS</w:t>
            </w:r>
          </w:p>
        </w:tc>
        <w:tc>
          <w:tcPr>
            <w:tcW w:w="1810" w:type="dxa"/>
            <w:vAlign w:val="center"/>
          </w:tcPr>
          <w:p w14:paraId="5619A8A9" w14:textId="77777777" w:rsidR="007C344D" w:rsidRPr="00DB6C99" w:rsidRDefault="007C344D" w:rsidP="007C344D">
            <w:pPr>
              <w:widowControl w:val="0"/>
              <w:tabs>
                <w:tab w:val="decimal" w:pos="630"/>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w:t>
            </w:r>
          </w:p>
        </w:tc>
        <w:tc>
          <w:tcPr>
            <w:tcW w:w="1876" w:type="dxa"/>
            <w:vAlign w:val="center"/>
          </w:tcPr>
          <w:p w14:paraId="31682D71" w14:textId="77777777" w:rsidR="007C344D" w:rsidRPr="00DB6C99" w:rsidRDefault="007C344D" w:rsidP="007C344D">
            <w:pPr>
              <w:widowControl w:val="0"/>
              <w:tabs>
                <w:tab w:val="decimal" w:pos="777"/>
              </w:tabs>
              <w:kinsoku w:val="0"/>
              <w:overflowPunct w:val="0"/>
              <w:autoSpaceDE w:val="0"/>
              <w:autoSpaceDN w:val="0"/>
              <w:adjustRightInd w:val="0"/>
              <w:jc w:val="both"/>
              <w:rPr>
                <w:rFonts w:ascii="Garamond" w:hAnsi="Garamond"/>
                <w:sz w:val="20"/>
                <w:szCs w:val="20"/>
              </w:rPr>
            </w:pPr>
            <w:r w:rsidRPr="00DB6C99">
              <w:rPr>
                <w:rFonts w:ascii="Garamond" w:hAnsi="Garamond"/>
                <w:i/>
                <w:iCs/>
                <w:sz w:val="20"/>
                <w:szCs w:val="20"/>
              </w:rPr>
              <w:t>-</w:t>
            </w:r>
          </w:p>
        </w:tc>
        <w:tc>
          <w:tcPr>
            <w:tcW w:w="1427" w:type="dxa"/>
            <w:vAlign w:val="center"/>
          </w:tcPr>
          <w:p w14:paraId="04A41DEC" w14:textId="77777777" w:rsidR="007C344D" w:rsidRPr="00DB6C99" w:rsidRDefault="007C344D" w:rsidP="007C344D">
            <w:pPr>
              <w:widowControl w:val="0"/>
              <w:tabs>
                <w:tab w:val="decimal" w:pos="540"/>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w:t>
            </w:r>
          </w:p>
        </w:tc>
        <w:tc>
          <w:tcPr>
            <w:tcW w:w="1701" w:type="dxa"/>
            <w:vAlign w:val="center"/>
          </w:tcPr>
          <w:p w14:paraId="271CA05B" w14:textId="77777777" w:rsidR="007C344D" w:rsidRPr="00DB6C99" w:rsidRDefault="007C344D" w:rsidP="007C344D">
            <w:pPr>
              <w:widowControl w:val="0"/>
              <w:tabs>
                <w:tab w:val="decimal" w:pos="0"/>
              </w:tabs>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w:t>
            </w:r>
          </w:p>
        </w:tc>
        <w:tc>
          <w:tcPr>
            <w:tcW w:w="1307" w:type="dxa"/>
            <w:vAlign w:val="center"/>
          </w:tcPr>
          <w:p w14:paraId="104090B0"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0.058</w:t>
            </w:r>
          </w:p>
        </w:tc>
        <w:tc>
          <w:tcPr>
            <w:tcW w:w="1466" w:type="dxa"/>
            <w:vAlign w:val="center"/>
          </w:tcPr>
          <w:p w14:paraId="17FB6A4F"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w:t>
            </w:r>
          </w:p>
        </w:tc>
        <w:tc>
          <w:tcPr>
            <w:tcW w:w="1245" w:type="dxa"/>
            <w:vAlign w:val="center"/>
          </w:tcPr>
          <w:p w14:paraId="232A1F49" w14:textId="77777777" w:rsidR="007C344D" w:rsidRPr="00DB6C99" w:rsidRDefault="007C344D" w:rsidP="007C344D">
            <w:pPr>
              <w:widowControl w:val="0"/>
              <w:tabs>
                <w:tab w:val="decimal" w:pos="434"/>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w:t>
            </w:r>
          </w:p>
        </w:tc>
      </w:tr>
      <w:tr w:rsidR="00DB6C99" w:rsidRPr="00DB6C99" w14:paraId="244EA8F0" w14:textId="77777777" w:rsidTr="007C344D">
        <w:trPr>
          <w:trHeight w:val="134"/>
          <w:jc w:val="center"/>
        </w:trPr>
        <w:tc>
          <w:tcPr>
            <w:tcW w:w="3544" w:type="dxa"/>
            <w:vAlign w:val="center"/>
          </w:tcPr>
          <w:p w14:paraId="4B8BCF53" w14:textId="77777777" w:rsidR="007C344D" w:rsidRPr="00DB6C99" w:rsidRDefault="007C344D" w:rsidP="007C344D">
            <w:pPr>
              <w:widowControl w:val="0"/>
              <w:kinsoku w:val="0"/>
              <w:overflowPunct w:val="0"/>
              <w:autoSpaceDE w:val="0"/>
              <w:autoSpaceDN w:val="0"/>
              <w:adjustRightInd w:val="0"/>
              <w:jc w:val="both"/>
              <w:rPr>
                <w:rFonts w:ascii="Garamond" w:hAnsi="Garamond"/>
                <w:i/>
                <w:iCs/>
                <w:sz w:val="20"/>
                <w:szCs w:val="20"/>
                <w:lang w:val="en-GB"/>
              </w:rPr>
            </w:pPr>
          </w:p>
        </w:tc>
        <w:tc>
          <w:tcPr>
            <w:tcW w:w="1810" w:type="dxa"/>
            <w:vAlign w:val="center"/>
          </w:tcPr>
          <w:p w14:paraId="4D9D842F" w14:textId="77777777" w:rsidR="007C344D" w:rsidRPr="00DB6C99" w:rsidRDefault="007C344D" w:rsidP="007C344D">
            <w:pPr>
              <w:widowControl w:val="0"/>
              <w:tabs>
                <w:tab w:val="decimal" w:pos="630"/>
              </w:tabs>
              <w:kinsoku w:val="0"/>
              <w:overflowPunct w:val="0"/>
              <w:autoSpaceDE w:val="0"/>
              <w:autoSpaceDN w:val="0"/>
              <w:adjustRightInd w:val="0"/>
              <w:jc w:val="both"/>
              <w:rPr>
                <w:rFonts w:ascii="Garamond" w:hAnsi="Garamond"/>
                <w:sz w:val="20"/>
                <w:szCs w:val="20"/>
              </w:rPr>
            </w:pPr>
          </w:p>
        </w:tc>
        <w:tc>
          <w:tcPr>
            <w:tcW w:w="1876" w:type="dxa"/>
            <w:vAlign w:val="center"/>
          </w:tcPr>
          <w:p w14:paraId="2EE4E188" w14:textId="77777777" w:rsidR="007C344D" w:rsidRPr="00DB6C99" w:rsidRDefault="007C344D" w:rsidP="007C344D">
            <w:pPr>
              <w:widowControl w:val="0"/>
              <w:tabs>
                <w:tab w:val="decimal" w:pos="777"/>
              </w:tabs>
              <w:kinsoku w:val="0"/>
              <w:overflowPunct w:val="0"/>
              <w:autoSpaceDE w:val="0"/>
              <w:autoSpaceDN w:val="0"/>
              <w:adjustRightInd w:val="0"/>
              <w:jc w:val="both"/>
              <w:rPr>
                <w:rFonts w:ascii="Garamond" w:hAnsi="Garamond"/>
                <w:sz w:val="20"/>
                <w:szCs w:val="20"/>
              </w:rPr>
            </w:pPr>
          </w:p>
        </w:tc>
        <w:tc>
          <w:tcPr>
            <w:tcW w:w="1427" w:type="dxa"/>
            <w:vAlign w:val="center"/>
          </w:tcPr>
          <w:p w14:paraId="1DACEBCF" w14:textId="77777777" w:rsidR="007C344D" w:rsidRPr="00DB6C99" w:rsidRDefault="007C344D" w:rsidP="007C344D">
            <w:pPr>
              <w:widowControl w:val="0"/>
              <w:tabs>
                <w:tab w:val="decimal" w:pos="540"/>
              </w:tabs>
              <w:kinsoku w:val="0"/>
              <w:overflowPunct w:val="0"/>
              <w:autoSpaceDE w:val="0"/>
              <w:autoSpaceDN w:val="0"/>
              <w:adjustRightInd w:val="0"/>
              <w:jc w:val="both"/>
              <w:rPr>
                <w:rFonts w:ascii="Garamond" w:hAnsi="Garamond"/>
                <w:sz w:val="20"/>
                <w:szCs w:val="20"/>
              </w:rPr>
            </w:pPr>
          </w:p>
        </w:tc>
        <w:tc>
          <w:tcPr>
            <w:tcW w:w="1701" w:type="dxa"/>
            <w:vAlign w:val="center"/>
          </w:tcPr>
          <w:p w14:paraId="0DDF3008" w14:textId="77777777" w:rsidR="007C344D" w:rsidRPr="00DB6C99" w:rsidRDefault="007C344D" w:rsidP="007C344D">
            <w:pPr>
              <w:widowControl w:val="0"/>
              <w:tabs>
                <w:tab w:val="decimal" w:pos="0"/>
              </w:tabs>
              <w:kinsoku w:val="0"/>
              <w:overflowPunct w:val="0"/>
              <w:autoSpaceDE w:val="0"/>
              <w:autoSpaceDN w:val="0"/>
              <w:adjustRightInd w:val="0"/>
              <w:jc w:val="center"/>
              <w:rPr>
                <w:rFonts w:ascii="Garamond" w:hAnsi="Garamond"/>
                <w:sz w:val="20"/>
                <w:szCs w:val="20"/>
              </w:rPr>
            </w:pPr>
          </w:p>
        </w:tc>
        <w:tc>
          <w:tcPr>
            <w:tcW w:w="1307" w:type="dxa"/>
            <w:vAlign w:val="center"/>
          </w:tcPr>
          <w:p w14:paraId="46424F7D"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(0.81)</w:t>
            </w:r>
          </w:p>
        </w:tc>
        <w:tc>
          <w:tcPr>
            <w:tcW w:w="1466" w:type="dxa"/>
            <w:vAlign w:val="center"/>
          </w:tcPr>
          <w:p w14:paraId="78F04B2B" w14:textId="77777777" w:rsidR="007C344D" w:rsidRPr="00DB6C99" w:rsidRDefault="007C344D" w:rsidP="007C344D">
            <w:pPr>
              <w:widowControl w:val="0"/>
              <w:tabs>
                <w:tab w:val="decimal" w:pos="645"/>
              </w:tabs>
              <w:kinsoku w:val="0"/>
              <w:overflowPunct w:val="0"/>
              <w:autoSpaceDE w:val="0"/>
              <w:autoSpaceDN w:val="0"/>
              <w:adjustRightInd w:val="0"/>
              <w:jc w:val="center"/>
              <w:rPr>
                <w:rFonts w:ascii="Garamond" w:hAnsi="Garamond"/>
                <w:sz w:val="20"/>
                <w:szCs w:val="20"/>
              </w:rPr>
            </w:pPr>
          </w:p>
        </w:tc>
        <w:tc>
          <w:tcPr>
            <w:tcW w:w="1245" w:type="dxa"/>
            <w:vAlign w:val="center"/>
          </w:tcPr>
          <w:p w14:paraId="3580ABE1" w14:textId="77777777" w:rsidR="007C344D" w:rsidRPr="00DB6C99" w:rsidRDefault="007C344D" w:rsidP="007C344D">
            <w:pPr>
              <w:widowControl w:val="0"/>
              <w:tabs>
                <w:tab w:val="decimal" w:pos="135"/>
                <w:tab w:val="decimal" w:pos="434"/>
              </w:tabs>
              <w:kinsoku w:val="0"/>
              <w:overflowPunct w:val="0"/>
              <w:autoSpaceDE w:val="0"/>
              <w:autoSpaceDN w:val="0"/>
              <w:adjustRightInd w:val="0"/>
              <w:jc w:val="both"/>
              <w:rPr>
                <w:rFonts w:ascii="Garamond" w:hAnsi="Garamond"/>
                <w:sz w:val="20"/>
                <w:szCs w:val="20"/>
              </w:rPr>
            </w:pPr>
          </w:p>
        </w:tc>
      </w:tr>
      <w:tr w:rsidR="00DB6C99" w:rsidRPr="00DB6C99" w14:paraId="4C3FB49B" w14:textId="77777777" w:rsidTr="007C344D">
        <w:trPr>
          <w:trHeight w:val="84"/>
          <w:jc w:val="center"/>
        </w:trPr>
        <w:tc>
          <w:tcPr>
            <w:tcW w:w="3544" w:type="dxa"/>
            <w:vAlign w:val="center"/>
          </w:tcPr>
          <w:p w14:paraId="78B3BCA0" w14:textId="77777777" w:rsidR="007C344D" w:rsidRPr="00DB6C99" w:rsidRDefault="007C344D" w:rsidP="007C344D">
            <w:pPr>
              <w:widowControl w:val="0"/>
              <w:kinsoku w:val="0"/>
              <w:overflowPunct w:val="0"/>
              <w:autoSpaceDE w:val="0"/>
              <w:autoSpaceDN w:val="0"/>
              <w:adjustRightInd w:val="0"/>
              <w:jc w:val="both"/>
              <w:rPr>
                <w:rFonts w:ascii="Garamond" w:hAnsi="Garamond"/>
                <w:i/>
                <w:iCs/>
                <w:sz w:val="20"/>
                <w:szCs w:val="20"/>
                <w:lang w:val="en-GB"/>
              </w:rPr>
            </w:pPr>
            <w:r w:rsidRPr="00DB6C99">
              <w:rPr>
                <w:rFonts w:ascii="Garamond" w:hAnsi="Garamond"/>
                <w:i/>
                <w:iCs/>
                <w:sz w:val="20"/>
                <w:szCs w:val="20"/>
                <w:lang w:val="en-GB"/>
              </w:rPr>
              <w:t>BOARD_CONNECT</w:t>
            </w:r>
          </w:p>
        </w:tc>
        <w:tc>
          <w:tcPr>
            <w:tcW w:w="1810" w:type="dxa"/>
            <w:vAlign w:val="center"/>
          </w:tcPr>
          <w:p w14:paraId="2258443B" w14:textId="77777777" w:rsidR="007C344D" w:rsidRPr="00DB6C99" w:rsidRDefault="007C344D" w:rsidP="007C344D">
            <w:pPr>
              <w:widowControl w:val="0"/>
              <w:tabs>
                <w:tab w:val="decimal" w:pos="630"/>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w:t>
            </w:r>
          </w:p>
        </w:tc>
        <w:tc>
          <w:tcPr>
            <w:tcW w:w="1876" w:type="dxa"/>
            <w:vAlign w:val="center"/>
          </w:tcPr>
          <w:p w14:paraId="2F3E59E3" w14:textId="77777777" w:rsidR="007C344D" w:rsidRPr="00DB6C99" w:rsidRDefault="007C344D" w:rsidP="007C344D">
            <w:pPr>
              <w:widowControl w:val="0"/>
              <w:tabs>
                <w:tab w:val="decimal" w:pos="777"/>
              </w:tabs>
              <w:kinsoku w:val="0"/>
              <w:overflowPunct w:val="0"/>
              <w:autoSpaceDE w:val="0"/>
              <w:autoSpaceDN w:val="0"/>
              <w:adjustRightInd w:val="0"/>
              <w:jc w:val="both"/>
              <w:rPr>
                <w:rFonts w:ascii="Garamond" w:hAnsi="Garamond"/>
                <w:sz w:val="20"/>
                <w:szCs w:val="20"/>
              </w:rPr>
            </w:pPr>
            <w:r w:rsidRPr="00DB6C99">
              <w:rPr>
                <w:rFonts w:ascii="Garamond" w:hAnsi="Garamond"/>
                <w:i/>
                <w:iCs/>
                <w:sz w:val="20"/>
                <w:szCs w:val="20"/>
              </w:rPr>
              <w:t>-</w:t>
            </w:r>
          </w:p>
        </w:tc>
        <w:tc>
          <w:tcPr>
            <w:tcW w:w="1427" w:type="dxa"/>
            <w:vAlign w:val="center"/>
          </w:tcPr>
          <w:p w14:paraId="060B13C3" w14:textId="77777777" w:rsidR="007C344D" w:rsidRPr="00DB6C99" w:rsidRDefault="007C344D" w:rsidP="007C344D">
            <w:pPr>
              <w:widowControl w:val="0"/>
              <w:tabs>
                <w:tab w:val="decimal" w:pos="540"/>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w:t>
            </w:r>
          </w:p>
        </w:tc>
        <w:tc>
          <w:tcPr>
            <w:tcW w:w="1701" w:type="dxa"/>
          </w:tcPr>
          <w:p w14:paraId="7201DF74" w14:textId="77777777" w:rsidR="007C344D" w:rsidRPr="00DB6C99" w:rsidRDefault="007C344D" w:rsidP="007C344D">
            <w:pPr>
              <w:widowControl w:val="0"/>
              <w:tabs>
                <w:tab w:val="decimal" w:pos="0"/>
              </w:tabs>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0.914***</w:t>
            </w:r>
          </w:p>
        </w:tc>
        <w:tc>
          <w:tcPr>
            <w:tcW w:w="1307" w:type="dxa"/>
            <w:vAlign w:val="center"/>
          </w:tcPr>
          <w:p w14:paraId="4CE64725"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w:t>
            </w:r>
          </w:p>
        </w:tc>
        <w:tc>
          <w:tcPr>
            <w:tcW w:w="1466" w:type="dxa"/>
          </w:tcPr>
          <w:p w14:paraId="394446C2" w14:textId="77777777" w:rsidR="007C344D" w:rsidRPr="00DB6C99" w:rsidRDefault="007C344D" w:rsidP="007C344D">
            <w:pPr>
              <w:widowControl w:val="0"/>
              <w:tabs>
                <w:tab w:val="decimal" w:pos="645"/>
              </w:tabs>
              <w:kinsoku w:val="0"/>
              <w:overflowPunct w:val="0"/>
              <w:autoSpaceDE w:val="0"/>
              <w:autoSpaceDN w:val="0"/>
              <w:adjustRightInd w:val="0"/>
              <w:rPr>
                <w:rFonts w:ascii="Garamond" w:hAnsi="Garamond"/>
                <w:sz w:val="20"/>
                <w:szCs w:val="20"/>
              </w:rPr>
            </w:pPr>
            <w:r w:rsidRPr="00DB6C99">
              <w:rPr>
                <w:rFonts w:ascii="Garamond" w:hAnsi="Garamond"/>
                <w:sz w:val="20"/>
                <w:szCs w:val="20"/>
              </w:rPr>
              <w:t>0.043***</w:t>
            </w:r>
          </w:p>
        </w:tc>
        <w:tc>
          <w:tcPr>
            <w:tcW w:w="1245" w:type="dxa"/>
            <w:vAlign w:val="center"/>
          </w:tcPr>
          <w:p w14:paraId="0B5B6509" w14:textId="77777777" w:rsidR="007C344D" w:rsidRPr="00DB6C99" w:rsidRDefault="007C344D" w:rsidP="007C344D">
            <w:pPr>
              <w:widowControl w:val="0"/>
              <w:tabs>
                <w:tab w:val="decimal" w:pos="434"/>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w:t>
            </w:r>
          </w:p>
        </w:tc>
      </w:tr>
      <w:tr w:rsidR="00DB6C99" w:rsidRPr="00DB6C99" w14:paraId="1B7F3739" w14:textId="77777777" w:rsidTr="007C344D">
        <w:trPr>
          <w:trHeight w:val="264"/>
          <w:jc w:val="center"/>
        </w:trPr>
        <w:tc>
          <w:tcPr>
            <w:tcW w:w="3544" w:type="dxa"/>
            <w:vAlign w:val="center"/>
          </w:tcPr>
          <w:p w14:paraId="430069D6" w14:textId="77777777" w:rsidR="007C344D" w:rsidRPr="00DB6C99" w:rsidRDefault="007C344D" w:rsidP="007C344D">
            <w:pPr>
              <w:widowControl w:val="0"/>
              <w:kinsoku w:val="0"/>
              <w:overflowPunct w:val="0"/>
              <w:autoSpaceDE w:val="0"/>
              <w:autoSpaceDN w:val="0"/>
              <w:adjustRightInd w:val="0"/>
              <w:jc w:val="both"/>
              <w:rPr>
                <w:rFonts w:ascii="Garamond" w:hAnsi="Garamond"/>
                <w:i/>
                <w:iCs/>
                <w:sz w:val="20"/>
                <w:szCs w:val="20"/>
                <w:lang w:val="en-GB"/>
              </w:rPr>
            </w:pPr>
          </w:p>
        </w:tc>
        <w:tc>
          <w:tcPr>
            <w:tcW w:w="1810" w:type="dxa"/>
            <w:vAlign w:val="center"/>
          </w:tcPr>
          <w:p w14:paraId="01E9142F" w14:textId="77777777" w:rsidR="007C344D" w:rsidRPr="00DB6C99" w:rsidRDefault="007C344D" w:rsidP="007C344D">
            <w:pPr>
              <w:widowControl w:val="0"/>
              <w:tabs>
                <w:tab w:val="decimal" w:pos="630"/>
              </w:tabs>
              <w:kinsoku w:val="0"/>
              <w:overflowPunct w:val="0"/>
              <w:autoSpaceDE w:val="0"/>
              <w:autoSpaceDN w:val="0"/>
              <w:adjustRightInd w:val="0"/>
              <w:jc w:val="both"/>
              <w:rPr>
                <w:rFonts w:ascii="Garamond" w:hAnsi="Garamond"/>
                <w:sz w:val="20"/>
                <w:szCs w:val="20"/>
              </w:rPr>
            </w:pPr>
          </w:p>
        </w:tc>
        <w:tc>
          <w:tcPr>
            <w:tcW w:w="1876" w:type="dxa"/>
            <w:vAlign w:val="center"/>
          </w:tcPr>
          <w:p w14:paraId="65B7EF97" w14:textId="77777777" w:rsidR="007C344D" w:rsidRPr="00DB6C99" w:rsidRDefault="007C344D" w:rsidP="007C344D">
            <w:pPr>
              <w:widowControl w:val="0"/>
              <w:tabs>
                <w:tab w:val="decimal" w:pos="777"/>
              </w:tabs>
              <w:kinsoku w:val="0"/>
              <w:overflowPunct w:val="0"/>
              <w:autoSpaceDE w:val="0"/>
              <w:autoSpaceDN w:val="0"/>
              <w:adjustRightInd w:val="0"/>
              <w:jc w:val="both"/>
              <w:rPr>
                <w:rFonts w:ascii="Garamond" w:hAnsi="Garamond"/>
                <w:sz w:val="20"/>
                <w:szCs w:val="20"/>
              </w:rPr>
            </w:pPr>
          </w:p>
        </w:tc>
        <w:tc>
          <w:tcPr>
            <w:tcW w:w="1427" w:type="dxa"/>
            <w:vAlign w:val="center"/>
          </w:tcPr>
          <w:p w14:paraId="5C6F6D9D" w14:textId="77777777" w:rsidR="007C344D" w:rsidRPr="00DB6C99" w:rsidRDefault="007C344D" w:rsidP="007C344D">
            <w:pPr>
              <w:widowControl w:val="0"/>
              <w:tabs>
                <w:tab w:val="decimal" w:pos="540"/>
              </w:tabs>
              <w:kinsoku w:val="0"/>
              <w:overflowPunct w:val="0"/>
              <w:autoSpaceDE w:val="0"/>
              <w:autoSpaceDN w:val="0"/>
              <w:adjustRightInd w:val="0"/>
              <w:jc w:val="both"/>
              <w:rPr>
                <w:rFonts w:ascii="Garamond" w:hAnsi="Garamond"/>
                <w:sz w:val="20"/>
                <w:szCs w:val="20"/>
              </w:rPr>
            </w:pPr>
          </w:p>
        </w:tc>
        <w:tc>
          <w:tcPr>
            <w:tcW w:w="1701" w:type="dxa"/>
          </w:tcPr>
          <w:p w14:paraId="39CD173F" w14:textId="77777777" w:rsidR="007C344D" w:rsidRPr="00DB6C99" w:rsidRDefault="007C344D" w:rsidP="007C344D">
            <w:pPr>
              <w:widowControl w:val="0"/>
              <w:tabs>
                <w:tab w:val="decimal" w:pos="0"/>
              </w:tabs>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(12.28)</w:t>
            </w:r>
          </w:p>
        </w:tc>
        <w:tc>
          <w:tcPr>
            <w:tcW w:w="1307" w:type="dxa"/>
            <w:vAlign w:val="center"/>
          </w:tcPr>
          <w:p w14:paraId="0C01A55B"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p>
        </w:tc>
        <w:tc>
          <w:tcPr>
            <w:tcW w:w="1466" w:type="dxa"/>
          </w:tcPr>
          <w:p w14:paraId="363142E4" w14:textId="77777777" w:rsidR="007C344D" w:rsidRPr="00DB6C99" w:rsidRDefault="007C344D" w:rsidP="007C344D">
            <w:pPr>
              <w:widowControl w:val="0"/>
              <w:tabs>
                <w:tab w:val="decimal" w:pos="645"/>
              </w:tabs>
              <w:kinsoku w:val="0"/>
              <w:overflowPunct w:val="0"/>
              <w:autoSpaceDE w:val="0"/>
              <w:autoSpaceDN w:val="0"/>
              <w:adjustRightInd w:val="0"/>
              <w:rPr>
                <w:rFonts w:ascii="Garamond" w:hAnsi="Garamond"/>
                <w:sz w:val="20"/>
                <w:szCs w:val="20"/>
              </w:rPr>
            </w:pPr>
            <w:r w:rsidRPr="00DB6C99">
              <w:rPr>
                <w:rFonts w:ascii="Garamond" w:hAnsi="Garamond"/>
                <w:sz w:val="20"/>
                <w:szCs w:val="20"/>
              </w:rPr>
              <w:t>(15.73)</w:t>
            </w:r>
          </w:p>
        </w:tc>
        <w:tc>
          <w:tcPr>
            <w:tcW w:w="1245" w:type="dxa"/>
            <w:vAlign w:val="center"/>
          </w:tcPr>
          <w:p w14:paraId="1ADFEC76" w14:textId="77777777" w:rsidR="007C344D" w:rsidRPr="00DB6C99" w:rsidRDefault="007C344D" w:rsidP="007C344D">
            <w:pPr>
              <w:widowControl w:val="0"/>
              <w:tabs>
                <w:tab w:val="decimal" w:pos="434"/>
              </w:tabs>
              <w:kinsoku w:val="0"/>
              <w:overflowPunct w:val="0"/>
              <w:autoSpaceDE w:val="0"/>
              <w:autoSpaceDN w:val="0"/>
              <w:adjustRightInd w:val="0"/>
              <w:jc w:val="both"/>
              <w:rPr>
                <w:rFonts w:ascii="Garamond" w:hAnsi="Garamond"/>
                <w:sz w:val="20"/>
                <w:szCs w:val="20"/>
              </w:rPr>
            </w:pPr>
          </w:p>
        </w:tc>
      </w:tr>
      <w:tr w:rsidR="00DB6C99" w:rsidRPr="00DB6C99" w14:paraId="15AB2792" w14:textId="77777777" w:rsidTr="007C344D">
        <w:trPr>
          <w:trHeight w:val="264"/>
          <w:jc w:val="center"/>
        </w:trPr>
        <w:tc>
          <w:tcPr>
            <w:tcW w:w="3544" w:type="dxa"/>
            <w:vAlign w:val="center"/>
          </w:tcPr>
          <w:p w14:paraId="7A763CB3" w14:textId="77777777" w:rsidR="007C344D" w:rsidRPr="00DB6C99" w:rsidRDefault="007C344D" w:rsidP="007C344D">
            <w:pPr>
              <w:widowControl w:val="0"/>
              <w:kinsoku w:val="0"/>
              <w:overflowPunct w:val="0"/>
              <w:autoSpaceDE w:val="0"/>
              <w:autoSpaceDN w:val="0"/>
              <w:adjustRightInd w:val="0"/>
              <w:jc w:val="both"/>
              <w:rPr>
                <w:rFonts w:ascii="Garamond" w:hAnsi="Garamond"/>
                <w:i/>
                <w:iCs/>
                <w:sz w:val="20"/>
                <w:szCs w:val="20"/>
                <w:lang w:val="en-GB"/>
              </w:rPr>
            </w:pPr>
            <w:r w:rsidRPr="00DB6C99">
              <w:rPr>
                <w:rFonts w:ascii="Garamond" w:hAnsi="Garamond"/>
                <w:i/>
                <w:iCs/>
                <w:sz w:val="20"/>
                <w:szCs w:val="20"/>
                <w:lang w:val="en-GB"/>
              </w:rPr>
              <w:t>FEM/MALE_HQ</w:t>
            </w:r>
          </w:p>
        </w:tc>
        <w:tc>
          <w:tcPr>
            <w:tcW w:w="1810" w:type="dxa"/>
            <w:vAlign w:val="center"/>
          </w:tcPr>
          <w:p w14:paraId="2503ABAB" w14:textId="77777777" w:rsidR="007C344D" w:rsidRPr="00DB6C99" w:rsidRDefault="007C344D" w:rsidP="007C344D">
            <w:pPr>
              <w:widowControl w:val="0"/>
              <w:tabs>
                <w:tab w:val="decimal" w:pos="630"/>
              </w:tabs>
              <w:kinsoku w:val="0"/>
              <w:overflowPunct w:val="0"/>
              <w:autoSpaceDE w:val="0"/>
              <w:autoSpaceDN w:val="0"/>
              <w:adjustRightInd w:val="0"/>
              <w:jc w:val="both"/>
              <w:rPr>
                <w:rFonts w:ascii="Garamond" w:hAnsi="Garamond"/>
                <w:sz w:val="20"/>
                <w:szCs w:val="20"/>
              </w:rPr>
            </w:pPr>
            <w:r w:rsidRPr="00DB6C99">
              <w:rPr>
                <w:rFonts w:ascii="Garamond" w:hAnsi="Garamond"/>
                <w:i/>
                <w:iCs/>
                <w:sz w:val="20"/>
                <w:szCs w:val="20"/>
              </w:rPr>
              <w:t>-</w:t>
            </w:r>
          </w:p>
        </w:tc>
        <w:tc>
          <w:tcPr>
            <w:tcW w:w="1876" w:type="dxa"/>
            <w:vAlign w:val="center"/>
          </w:tcPr>
          <w:p w14:paraId="18DD96B7" w14:textId="77777777" w:rsidR="007C344D" w:rsidRPr="00DB6C99" w:rsidRDefault="007C344D" w:rsidP="007C344D">
            <w:pPr>
              <w:widowControl w:val="0"/>
              <w:tabs>
                <w:tab w:val="decimal" w:pos="777"/>
              </w:tabs>
              <w:kinsoku w:val="0"/>
              <w:overflowPunct w:val="0"/>
              <w:autoSpaceDE w:val="0"/>
              <w:autoSpaceDN w:val="0"/>
              <w:adjustRightInd w:val="0"/>
              <w:jc w:val="both"/>
              <w:rPr>
                <w:rFonts w:ascii="Garamond" w:hAnsi="Garamond"/>
                <w:sz w:val="20"/>
                <w:szCs w:val="20"/>
              </w:rPr>
            </w:pPr>
            <w:r w:rsidRPr="00DB6C99">
              <w:rPr>
                <w:rFonts w:ascii="Garamond" w:hAnsi="Garamond"/>
                <w:i/>
                <w:iCs/>
                <w:sz w:val="20"/>
                <w:szCs w:val="20"/>
              </w:rPr>
              <w:t>-</w:t>
            </w:r>
          </w:p>
        </w:tc>
        <w:tc>
          <w:tcPr>
            <w:tcW w:w="1427" w:type="dxa"/>
            <w:vAlign w:val="center"/>
          </w:tcPr>
          <w:p w14:paraId="07EBAAEC" w14:textId="77777777" w:rsidR="007C344D" w:rsidRPr="00DB6C99" w:rsidRDefault="007C344D" w:rsidP="007C344D">
            <w:pPr>
              <w:widowControl w:val="0"/>
              <w:tabs>
                <w:tab w:val="decimal" w:pos="540"/>
              </w:tabs>
              <w:kinsoku w:val="0"/>
              <w:overflowPunct w:val="0"/>
              <w:autoSpaceDE w:val="0"/>
              <w:autoSpaceDN w:val="0"/>
              <w:adjustRightInd w:val="0"/>
              <w:jc w:val="both"/>
              <w:rPr>
                <w:rFonts w:ascii="Garamond" w:hAnsi="Garamond"/>
                <w:sz w:val="20"/>
                <w:szCs w:val="20"/>
              </w:rPr>
            </w:pPr>
            <w:r w:rsidRPr="00DB6C99">
              <w:rPr>
                <w:rFonts w:ascii="Garamond" w:hAnsi="Garamond"/>
                <w:i/>
                <w:iCs/>
                <w:sz w:val="20"/>
                <w:szCs w:val="20"/>
              </w:rPr>
              <w:t>-</w:t>
            </w:r>
          </w:p>
        </w:tc>
        <w:tc>
          <w:tcPr>
            <w:tcW w:w="1701" w:type="dxa"/>
            <w:vAlign w:val="center"/>
          </w:tcPr>
          <w:p w14:paraId="7708DB4D" w14:textId="77777777" w:rsidR="007C344D" w:rsidRPr="00DB6C99" w:rsidRDefault="007C344D" w:rsidP="007C344D">
            <w:pPr>
              <w:widowControl w:val="0"/>
              <w:tabs>
                <w:tab w:val="decimal" w:pos="0"/>
              </w:tabs>
              <w:kinsoku w:val="0"/>
              <w:overflowPunct w:val="0"/>
              <w:autoSpaceDE w:val="0"/>
              <w:autoSpaceDN w:val="0"/>
              <w:adjustRightInd w:val="0"/>
              <w:jc w:val="center"/>
              <w:rPr>
                <w:rFonts w:ascii="Garamond" w:hAnsi="Garamond"/>
                <w:sz w:val="20"/>
                <w:szCs w:val="20"/>
              </w:rPr>
            </w:pPr>
            <w:r w:rsidRPr="00DB6C99">
              <w:rPr>
                <w:rFonts w:ascii="Garamond" w:hAnsi="Garamond"/>
                <w:i/>
                <w:iCs/>
                <w:sz w:val="20"/>
                <w:szCs w:val="20"/>
              </w:rPr>
              <w:t>-</w:t>
            </w:r>
          </w:p>
        </w:tc>
        <w:tc>
          <w:tcPr>
            <w:tcW w:w="1307" w:type="dxa"/>
            <w:vAlign w:val="center"/>
          </w:tcPr>
          <w:p w14:paraId="29D20253"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i/>
                <w:iCs/>
                <w:sz w:val="20"/>
                <w:szCs w:val="20"/>
              </w:rPr>
              <w:t>-</w:t>
            </w:r>
          </w:p>
        </w:tc>
        <w:tc>
          <w:tcPr>
            <w:tcW w:w="1466" w:type="dxa"/>
          </w:tcPr>
          <w:p w14:paraId="78AFEC9C" w14:textId="77777777" w:rsidR="007C344D" w:rsidRPr="00DB6C99" w:rsidRDefault="007C344D" w:rsidP="007C344D">
            <w:pPr>
              <w:widowControl w:val="0"/>
              <w:tabs>
                <w:tab w:val="decimal" w:pos="645"/>
              </w:tabs>
              <w:kinsoku w:val="0"/>
              <w:overflowPunct w:val="0"/>
              <w:autoSpaceDE w:val="0"/>
              <w:autoSpaceDN w:val="0"/>
              <w:adjustRightInd w:val="0"/>
              <w:rPr>
                <w:rFonts w:ascii="Garamond" w:hAnsi="Garamond"/>
                <w:sz w:val="20"/>
                <w:szCs w:val="20"/>
              </w:rPr>
            </w:pPr>
            <w:r w:rsidRPr="00DB6C99">
              <w:rPr>
                <w:rFonts w:ascii="Garamond" w:hAnsi="Garamond"/>
                <w:sz w:val="20"/>
                <w:szCs w:val="20"/>
              </w:rPr>
              <w:t>0.409***</w:t>
            </w:r>
          </w:p>
        </w:tc>
        <w:tc>
          <w:tcPr>
            <w:tcW w:w="1245" w:type="dxa"/>
            <w:vAlign w:val="center"/>
          </w:tcPr>
          <w:p w14:paraId="1015214C" w14:textId="77777777" w:rsidR="007C344D" w:rsidRPr="00DB6C99" w:rsidRDefault="007C344D" w:rsidP="007C344D">
            <w:pPr>
              <w:widowControl w:val="0"/>
              <w:tabs>
                <w:tab w:val="decimal" w:pos="434"/>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w:t>
            </w:r>
          </w:p>
        </w:tc>
      </w:tr>
      <w:tr w:rsidR="00DB6C99" w:rsidRPr="00DB6C99" w14:paraId="1BDA7F6F" w14:textId="77777777" w:rsidTr="007C344D">
        <w:trPr>
          <w:trHeight w:val="264"/>
          <w:jc w:val="center"/>
        </w:trPr>
        <w:tc>
          <w:tcPr>
            <w:tcW w:w="3544" w:type="dxa"/>
            <w:vAlign w:val="center"/>
          </w:tcPr>
          <w:p w14:paraId="6219C00A" w14:textId="77777777" w:rsidR="007C344D" w:rsidRPr="00DB6C99" w:rsidRDefault="007C344D" w:rsidP="007C344D">
            <w:pPr>
              <w:widowControl w:val="0"/>
              <w:kinsoku w:val="0"/>
              <w:overflowPunct w:val="0"/>
              <w:autoSpaceDE w:val="0"/>
              <w:autoSpaceDN w:val="0"/>
              <w:adjustRightInd w:val="0"/>
              <w:jc w:val="both"/>
              <w:rPr>
                <w:rFonts w:ascii="Garamond" w:hAnsi="Garamond"/>
                <w:i/>
                <w:iCs/>
                <w:sz w:val="20"/>
                <w:szCs w:val="20"/>
                <w:lang w:val="en-GB"/>
              </w:rPr>
            </w:pPr>
          </w:p>
        </w:tc>
        <w:tc>
          <w:tcPr>
            <w:tcW w:w="1810" w:type="dxa"/>
            <w:vAlign w:val="center"/>
          </w:tcPr>
          <w:p w14:paraId="10E91BB9" w14:textId="77777777" w:rsidR="007C344D" w:rsidRPr="00DB6C99" w:rsidRDefault="007C344D" w:rsidP="007C344D">
            <w:pPr>
              <w:widowControl w:val="0"/>
              <w:tabs>
                <w:tab w:val="decimal" w:pos="630"/>
              </w:tabs>
              <w:kinsoku w:val="0"/>
              <w:overflowPunct w:val="0"/>
              <w:autoSpaceDE w:val="0"/>
              <w:autoSpaceDN w:val="0"/>
              <w:adjustRightInd w:val="0"/>
              <w:jc w:val="both"/>
              <w:rPr>
                <w:rFonts w:ascii="Garamond" w:hAnsi="Garamond"/>
                <w:sz w:val="20"/>
                <w:szCs w:val="20"/>
              </w:rPr>
            </w:pPr>
          </w:p>
        </w:tc>
        <w:tc>
          <w:tcPr>
            <w:tcW w:w="1876" w:type="dxa"/>
            <w:vAlign w:val="center"/>
          </w:tcPr>
          <w:p w14:paraId="59D944BF" w14:textId="77777777" w:rsidR="007C344D" w:rsidRPr="00DB6C99" w:rsidRDefault="007C344D" w:rsidP="007C344D">
            <w:pPr>
              <w:widowControl w:val="0"/>
              <w:tabs>
                <w:tab w:val="decimal" w:pos="777"/>
              </w:tabs>
              <w:kinsoku w:val="0"/>
              <w:overflowPunct w:val="0"/>
              <w:autoSpaceDE w:val="0"/>
              <w:autoSpaceDN w:val="0"/>
              <w:adjustRightInd w:val="0"/>
              <w:jc w:val="both"/>
              <w:rPr>
                <w:rFonts w:ascii="Garamond" w:hAnsi="Garamond"/>
                <w:sz w:val="20"/>
                <w:szCs w:val="20"/>
              </w:rPr>
            </w:pPr>
          </w:p>
        </w:tc>
        <w:tc>
          <w:tcPr>
            <w:tcW w:w="1427" w:type="dxa"/>
            <w:vAlign w:val="center"/>
          </w:tcPr>
          <w:p w14:paraId="7F2F4A98" w14:textId="77777777" w:rsidR="007C344D" w:rsidRPr="00DB6C99" w:rsidRDefault="007C344D" w:rsidP="007C344D">
            <w:pPr>
              <w:widowControl w:val="0"/>
              <w:tabs>
                <w:tab w:val="decimal" w:pos="540"/>
              </w:tabs>
              <w:kinsoku w:val="0"/>
              <w:overflowPunct w:val="0"/>
              <w:autoSpaceDE w:val="0"/>
              <w:autoSpaceDN w:val="0"/>
              <w:adjustRightInd w:val="0"/>
              <w:jc w:val="both"/>
              <w:rPr>
                <w:rFonts w:ascii="Garamond" w:hAnsi="Garamond"/>
                <w:sz w:val="20"/>
                <w:szCs w:val="20"/>
              </w:rPr>
            </w:pPr>
          </w:p>
        </w:tc>
        <w:tc>
          <w:tcPr>
            <w:tcW w:w="1701" w:type="dxa"/>
            <w:vAlign w:val="center"/>
          </w:tcPr>
          <w:p w14:paraId="544DA90C" w14:textId="77777777" w:rsidR="007C344D" w:rsidRPr="00DB6C99" w:rsidRDefault="007C344D" w:rsidP="007C344D">
            <w:pPr>
              <w:widowControl w:val="0"/>
              <w:tabs>
                <w:tab w:val="decimal" w:pos="0"/>
              </w:tabs>
              <w:kinsoku w:val="0"/>
              <w:overflowPunct w:val="0"/>
              <w:autoSpaceDE w:val="0"/>
              <w:autoSpaceDN w:val="0"/>
              <w:adjustRightInd w:val="0"/>
              <w:jc w:val="center"/>
              <w:rPr>
                <w:rFonts w:ascii="Garamond" w:hAnsi="Garamond"/>
                <w:sz w:val="20"/>
                <w:szCs w:val="20"/>
              </w:rPr>
            </w:pPr>
          </w:p>
        </w:tc>
        <w:tc>
          <w:tcPr>
            <w:tcW w:w="1307" w:type="dxa"/>
            <w:vAlign w:val="center"/>
          </w:tcPr>
          <w:p w14:paraId="425B06B4"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p>
        </w:tc>
        <w:tc>
          <w:tcPr>
            <w:tcW w:w="1466" w:type="dxa"/>
          </w:tcPr>
          <w:p w14:paraId="391CFCF6" w14:textId="77777777" w:rsidR="007C344D" w:rsidRPr="00DB6C99" w:rsidRDefault="007C344D" w:rsidP="007C344D">
            <w:pPr>
              <w:widowControl w:val="0"/>
              <w:tabs>
                <w:tab w:val="decimal" w:pos="645"/>
              </w:tabs>
              <w:kinsoku w:val="0"/>
              <w:overflowPunct w:val="0"/>
              <w:autoSpaceDE w:val="0"/>
              <w:autoSpaceDN w:val="0"/>
              <w:adjustRightInd w:val="0"/>
              <w:rPr>
                <w:rFonts w:ascii="Garamond" w:hAnsi="Garamond"/>
                <w:sz w:val="20"/>
                <w:szCs w:val="20"/>
              </w:rPr>
            </w:pPr>
            <w:r w:rsidRPr="00DB6C99">
              <w:rPr>
                <w:rFonts w:ascii="Garamond" w:hAnsi="Garamond"/>
                <w:sz w:val="20"/>
                <w:szCs w:val="20"/>
              </w:rPr>
              <w:t>(58.70)</w:t>
            </w:r>
          </w:p>
        </w:tc>
        <w:tc>
          <w:tcPr>
            <w:tcW w:w="1245" w:type="dxa"/>
            <w:vAlign w:val="center"/>
          </w:tcPr>
          <w:p w14:paraId="28212D7B" w14:textId="77777777" w:rsidR="007C344D" w:rsidRPr="00DB6C99" w:rsidRDefault="007C344D" w:rsidP="007C344D">
            <w:pPr>
              <w:widowControl w:val="0"/>
              <w:tabs>
                <w:tab w:val="decimal" w:pos="434"/>
              </w:tabs>
              <w:kinsoku w:val="0"/>
              <w:overflowPunct w:val="0"/>
              <w:autoSpaceDE w:val="0"/>
              <w:autoSpaceDN w:val="0"/>
              <w:adjustRightInd w:val="0"/>
              <w:jc w:val="both"/>
              <w:rPr>
                <w:rFonts w:ascii="Garamond" w:hAnsi="Garamond"/>
                <w:sz w:val="20"/>
                <w:szCs w:val="20"/>
              </w:rPr>
            </w:pPr>
          </w:p>
        </w:tc>
      </w:tr>
      <w:tr w:rsidR="00DB6C99" w:rsidRPr="00DB6C99" w14:paraId="476336BD" w14:textId="77777777" w:rsidTr="007C344D">
        <w:trPr>
          <w:trHeight w:val="264"/>
          <w:jc w:val="center"/>
        </w:trPr>
        <w:tc>
          <w:tcPr>
            <w:tcW w:w="3544" w:type="dxa"/>
            <w:vAlign w:val="center"/>
          </w:tcPr>
          <w:p w14:paraId="28577E32" w14:textId="77777777" w:rsidR="007C344D" w:rsidRPr="00DB6C99" w:rsidRDefault="007C344D" w:rsidP="007C344D">
            <w:pPr>
              <w:widowControl w:val="0"/>
              <w:kinsoku w:val="0"/>
              <w:overflowPunct w:val="0"/>
              <w:autoSpaceDE w:val="0"/>
              <w:autoSpaceDN w:val="0"/>
              <w:adjustRightInd w:val="0"/>
              <w:jc w:val="both"/>
              <w:rPr>
                <w:rFonts w:ascii="Garamond" w:hAnsi="Garamond"/>
                <w:sz w:val="20"/>
                <w:szCs w:val="20"/>
              </w:rPr>
            </w:pPr>
            <w:r w:rsidRPr="00DB6C99">
              <w:rPr>
                <w:rFonts w:ascii="Garamond" w:hAnsi="Garamond"/>
                <w:i/>
                <w:iCs/>
                <w:sz w:val="20"/>
                <w:szCs w:val="20"/>
                <w:lang w:val="en-GB"/>
              </w:rPr>
              <w:t>BSIZE</w:t>
            </w:r>
          </w:p>
        </w:tc>
        <w:tc>
          <w:tcPr>
            <w:tcW w:w="1810" w:type="dxa"/>
          </w:tcPr>
          <w:p w14:paraId="3F9118D5" w14:textId="77777777" w:rsidR="007C344D" w:rsidRPr="00DB6C99" w:rsidRDefault="007C344D" w:rsidP="007C344D">
            <w:pPr>
              <w:widowControl w:val="0"/>
              <w:tabs>
                <w:tab w:val="decimal" w:pos="630"/>
              </w:tabs>
              <w:kinsoku w:val="0"/>
              <w:overflowPunct w:val="0"/>
              <w:autoSpaceDE w:val="0"/>
              <w:autoSpaceDN w:val="0"/>
              <w:adjustRightInd w:val="0"/>
              <w:jc w:val="both"/>
              <w:rPr>
                <w:rFonts w:ascii="Garamond" w:hAnsi="Garamond"/>
                <w:i/>
                <w:iCs/>
                <w:sz w:val="20"/>
                <w:szCs w:val="20"/>
                <w:lang w:val="en-GB"/>
              </w:rPr>
            </w:pPr>
            <w:r w:rsidRPr="00DB6C99">
              <w:rPr>
                <w:rFonts w:ascii="Garamond" w:hAnsi="Garamond"/>
                <w:sz w:val="20"/>
                <w:szCs w:val="20"/>
              </w:rPr>
              <w:t>0.451***</w:t>
            </w:r>
          </w:p>
        </w:tc>
        <w:tc>
          <w:tcPr>
            <w:tcW w:w="1876" w:type="dxa"/>
          </w:tcPr>
          <w:p w14:paraId="3C7286F6" w14:textId="77777777" w:rsidR="007C344D" w:rsidRPr="00DB6C99" w:rsidRDefault="007C344D" w:rsidP="007C344D">
            <w:pPr>
              <w:widowControl w:val="0"/>
              <w:tabs>
                <w:tab w:val="decimal" w:pos="777"/>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-0.017</w:t>
            </w:r>
          </w:p>
        </w:tc>
        <w:tc>
          <w:tcPr>
            <w:tcW w:w="1427" w:type="dxa"/>
          </w:tcPr>
          <w:p w14:paraId="10B04E35" w14:textId="77777777" w:rsidR="007C344D" w:rsidRPr="00DB6C99" w:rsidRDefault="007C344D" w:rsidP="007C344D">
            <w:pPr>
              <w:widowControl w:val="0"/>
              <w:tabs>
                <w:tab w:val="decimal" w:pos="540"/>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-0.056</w:t>
            </w:r>
          </w:p>
        </w:tc>
        <w:tc>
          <w:tcPr>
            <w:tcW w:w="1701" w:type="dxa"/>
          </w:tcPr>
          <w:p w14:paraId="56B4FBA1" w14:textId="77777777" w:rsidR="007C344D" w:rsidRPr="00DB6C99" w:rsidRDefault="007C344D" w:rsidP="007C344D">
            <w:pPr>
              <w:widowControl w:val="0"/>
              <w:tabs>
                <w:tab w:val="decimal" w:pos="0"/>
              </w:tabs>
              <w:kinsoku w:val="0"/>
              <w:overflowPunct w:val="0"/>
              <w:autoSpaceDE w:val="0"/>
              <w:autoSpaceDN w:val="0"/>
              <w:adjustRightInd w:val="0"/>
              <w:jc w:val="center"/>
              <w:rPr>
                <w:rFonts w:ascii="Garamond" w:hAnsi="Garamond"/>
                <w:sz w:val="20"/>
                <w:szCs w:val="20"/>
                <w:lang w:val="en-GB"/>
              </w:rPr>
            </w:pPr>
            <w:r w:rsidRPr="00DB6C99">
              <w:rPr>
                <w:rFonts w:ascii="Garamond" w:hAnsi="Garamond"/>
                <w:sz w:val="20"/>
                <w:szCs w:val="20"/>
              </w:rPr>
              <w:t>-0.088</w:t>
            </w:r>
          </w:p>
        </w:tc>
        <w:tc>
          <w:tcPr>
            <w:tcW w:w="1307" w:type="dxa"/>
          </w:tcPr>
          <w:p w14:paraId="7826280D"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-0.017</w:t>
            </w:r>
          </w:p>
        </w:tc>
        <w:tc>
          <w:tcPr>
            <w:tcW w:w="1466" w:type="dxa"/>
          </w:tcPr>
          <w:p w14:paraId="6ADB6F62" w14:textId="77777777" w:rsidR="007C344D" w:rsidRPr="00DB6C99" w:rsidRDefault="007C344D" w:rsidP="007C344D">
            <w:pPr>
              <w:widowControl w:val="0"/>
              <w:tabs>
                <w:tab w:val="decimal" w:pos="645"/>
              </w:tabs>
              <w:kinsoku w:val="0"/>
              <w:overflowPunct w:val="0"/>
              <w:autoSpaceDE w:val="0"/>
              <w:autoSpaceDN w:val="0"/>
              <w:adjustRightInd w:val="0"/>
              <w:rPr>
                <w:rFonts w:ascii="Garamond" w:hAnsi="Garamond"/>
                <w:sz w:val="20"/>
                <w:szCs w:val="20"/>
              </w:rPr>
            </w:pPr>
            <w:r w:rsidRPr="00DB6C99">
              <w:rPr>
                <w:rFonts w:ascii="Garamond" w:hAnsi="Garamond"/>
                <w:sz w:val="20"/>
                <w:szCs w:val="20"/>
              </w:rPr>
              <w:t>-0.014***</w:t>
            </w:r>
          </w:p>
        </w:tc>
        <w:tc>
          <w:tcPr>
            <w:tcW w:w="1245" w:type="dxa"/>
          </w:tcPr>
          <w:p w14:paraId="7F4CFBC2" w14:textId="77777777" w:rsidR="007C344D" w:rsidRPr="00DB6C99" w:rsidRDefault="007C344D" w:rsidP="007C344D">
            <w:pPr>
              <w:widowControl w:val="0"/>
              <w:tabs>
                <w:tab w:val="decimal" w:pos="434"/>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0.196***</w:t>
            </w:r>
          </w:p>
        </w:tc>
      </w:tr>
      <w:tr w:rsidR="00DB6C99" w:rsidRPr="00DB6C99" w14:paraId="73DD4F39" w14:textId="77777777" w:rsidTr="007C344D">
        <w:trPr>
          <w:trHeight w:val="165"/>
          <w:jc w:val="center"/>
        </w:trPr>
        <w:tc>
          <w:tcPr>
            <w:tcW w:w="3544" w:type="dxa"/>
            <w:vAlign w:val="center"/>
          </w:tcPr>
          <w:p w14:paraId="4437D4D7" w14:textId="77777777" w:rsidR="007C344D" w:rsidRPr="00DB6C99" w:rsidRDefault="007C344D" w:rsidP="007C344D">
            <w:pPr>
              <w:widowControl w:val="0"/>
              <w:kinsoku w:val="0"/>
              <w:overflowPunct w:val="0"/>
              <w:autoSpaceDE w:val="0"/>
              <w:autoSpaceDN w:val="0"/>
              <w:adjustRightInd w:val="0"/>
              <w:jc w:val="both"/>
              <w:rPr>
                <w:rFonts w:ascii="Garamond" w:hAnsi="Garamond"/>
                <w:i/>
                <w:iCs/>
                <w:sz w:val="20"/>
                <w:szCs w:val="20"/>
                <w:lang w:val="en-GB"/>
              </w:rPr>
            </w:pPr>
          </w:p>
        </w:tc>
        <w:tc>
          <w:tcPr>
            <w:tcW w:w="1810" w:type="dxa"/>
          </w:tcPr>
          <w:p w14:paraId="2CED1054" w14:textId="77777777" w:rsidR="007C344D" w:rsidRPr="00DB6C99" w:rsidRDefault="007C344D" w:rsidP="007C344D">
            <w:pPr>
              <w:widowControl w:val="0"/>
              <w:tabs>
                <w:tab w:val="decimal" w:pos="630"/>
              </w:tabs>
              <w:kinsoku w:val="0"/>
              <w:overflowPunct w:val="0"/>
              <w:autoSpaceDE w:val="0"/>
              <w:autoSpaceDN w:val="0"/>
              <w:adjustRightInd w:val="0"/>
              <w:jc w:val="both"/>
              <w:rPr>
                <w:rFonts w:ascii="Garamond" w:hAnsi="Garamond"/>
                <w:i/>
                <w:iCs/>
                <w:sz w:val="20"/>
                <w:szCs w:val="20"/>
                <w:lang w:val="en-GB"/>
              </w:rPr>
            </w:pPr>
            <w:r w:rsidRPr="00DB6C99">
              <w:rPr>
                <w:rFonts w:ascii="Garamond" w:hAnsi="Garamond"/>
                <w:sz w:val="20"/>
                <w:szCs w:val="20"/>
              </w:rPr>
              <w:t>(5.56)</w:t>
            </w:r>
          </w:p>
        </w:tc>
        <w:tc>
          <w:tcPr>
            <w:tcW w:w="1876" w:type="dxa"/>
          </w:tcPr>
          <w:p w14:paraId="1D98204A" w14:textId="77777777" w:rsidR="007C344D" w:rsidRPr="00DB6C99" w:rsidRDefault="007C344D" w:rsidP="007C344D">
            <w:pPr>
              <w:widowControl w:val="0"/>
              <w:tabs>
                <w:tab w:val="decimal" w:pos="777"/>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(-0.11)</w:t>
            </w:r>
          </w:p>
        </w:tc>
        <w:tc>
          <w:tcPr>
            <w:tcW w:w="1427" w:type="dxa"/>
          </w:tcPr>
          <w:p w14:paraId="701B6C14" w14:textId="77777777" w:rsidR="007C344D" w:rsidRPr="00DB6C99" w:rsidRDefault="007C344D" w:rsidP="007C344D">
            <w:pPr>
              <w:widowControl w:val="0"/>
              <w:tabs>
                <w:tab w:val="decimal" w:pos="540"/>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(-0.80)</w:t>
            </w:r>
          </w:p>
        </w:tc>
        <w:tc>
          <w:tcPr>
            <w:tcW w:w="1701" w:type="dxa"/>
          </w:tcPr>
          <w:p w14:paraId="670E3A1E" w14:textId="77777777" w:rsidR="007C344D" w:rsidRPr="00DB6C99" w:rsidRDefault="007C344D" w:rsidP="007C344D">
            <w:pPr>
              <w:widowControl w:val="0"/>
              <w:tabs>
                <w:tab w:val="decimal" w:pos="0"/>
              </w:tabs>
              <w:kinsoku w:val="0"/>
              <w:overflowPunct w:val="0"/>
              <w:autoSpaceDE w:val="0"/>
              <w:autoSpaceDN w:val="0"/>
              <w:adjustRightInd w:val="0"/>
              <w:jc w:val="center"/>
              <w:rPr>
                <w:rFonts w:ascii="Garamond" w:hAnsi="Garamond"/>
                <w:sz w:val="20"/>
                <w:szCs w:val="20"/>
                <w:lang w:val="en-GB"/>
              </w:rPr>
            </w:pPr>
            <w:r w:rsidRPr="00DB6C99">
              <w:rPr>
                <w:rFonts w:ascii="Garamond" w:hAnsi="Garamond"/>
                <w:sz w:val="20"/>
                <w:szCs w:val="20"/>
              </w:rPr>
              <w:t>(-0.85)</w:t>
            </w:r>
          </w:p>
        </w:tc>
        <w:tc>
          <w:tcPr>
            <w:tcW w:w="1307" w:type="dxa"/>
          </w:tcPr>
          <w:p w14:paraId="27D87EAC"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(-0.23)</w:t>
            </w:r>
          </w:p>
        </w:tc>
        <w:tc>
          <w:tcPr>
            <w:tcW w:w="1466" w:type="dxa"/>
          </w:tcPr>
          <w:p w14:paraId="378043EF" w14:textId="77777777" w:rsidR="007C344D" w:rsidRPr="00DB6C99" w:rsidRDefault="007C344D" w:rsidP="007C344D">
            <w:pPr>
              <w:widowControl w:val="0"/>
              <w:tabs>
                <w:tab w:val="decimal" w:pos="645"/>
              </w:tabs>
              <w:kinsoku w:val="0"/>
              <w:overflowPunct w:val="0"/>
              <w:autoSpaceDE w:val="0"/>
              <w:autoSpaceDN w:val="0"/>
              <w:adjustRightInd w:val="0"/>
              <w:rPr>
                <w:rFonts w:ascii="Garamond" w:hAnsi="Garamond"/>
                <w:sz w:val="20"/>
                <w:szCs w:val="20"/>
              </w:rPr>
            </w:pPr>
            <w:r w:rsidRPr="00DB6C99">
              <w:rPr>
                <w:rFonts w:ascii="Garamond" w:hAnsi="Garamond"/>
                <w:sz w:val="20"/>
                <w:szCs w:val="20"/>
              </w:rPr>
              <w:t>(-3.23)</w:t>
            </w:r>
          </w:p>
        </w:tc>
        <w:tc>
          <w:tcPr>
            <w:tcW w:w="1245" w:type="dxa"/>
          </w:tcPr>
          <w:p w14:paraId="4EBAEB2F" w14:textId="77777777" w:rsidR="007C344D" w:rsidRPr="00DB6C99" w:rsidRDefault="007C344D" w:rsidP="007C344D">
            <w:pPr>
              <w:widowControl w:val="0"/>
              <w:tabs>
                <w:tab w:val="decimal" w:pos="434"/>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(3.86)</w:t>
            </w:r>
          </w:p>
        </w:tc>
      </w:tr>
      <w:tr w:rsidR="00DB6C99" w:rsidRPr="00DB6C99" w14:paraId="0E57570D" w14:textId="77777777" w:rsidTr="007C344D">
        <w:trPr>
          <w:trHeight w:val="254"/>
          <w:jc w:val="center"/>
        </w:trPr>
        <w:tc>
          <w:tcPr>
            <w:tcW w:w="3544" w:type="dxa"/>
            <w:vAlign w:val="center"/>
          </w:tcPr>
          <w:p w14:paraId="0C354628" w14:textId="77777777" w:rsidR="007C344D" w:rsidRPr="00DB6C99" w:rsidRDefault="007C344D" w:rsidP="007C344D">
            <w:pPr>
              <w:widowControl w:val="0"/>
              <w:kinsoku w:val="0"/>
              <w:overflowPunct w:val="0"/>
              <w:autoSpaceDE w:val="0"/>
              <w:autoSpaceDN w:val="0"/>
              <w:adjustRightInd w:val="0"/>
              <w:jc w:val="both"/>
              <w:rPr>
                <w:rFonts w:ascii="Garamond" w:hAnsi="Garamond"/>
                <w:sz w:val="20"/>
                <w:szCs w:val="20"/>
              </w:rPr>
            </w:pPr>
            <w:r w:rsidRPr="00DB6C99">
              <w:rPr>
                <w:rFonts w:ascii="Garamond" w:hAnsi="Garamond"/>
                <w:i/>
                <w:iCs/>
                <w:sz w:val="20"/>
                <w:szCs w:val="20"/>
                <w:lang w:val="en-GB"/>
              </w:rPr>
              <w:t>BIND</w:t>
            </w:r>
          </w:p>
        </w:tc>
        <w:tc>
          <w:tcPr>
            <w:tcW w:w="1810" w:type="dxa"/>
          </w:tcPr>
          <w:p w14:paraId="72D1172A" w14:textId="77777777" w:rsidR="007C344D" w:rsidRPr="00DB6C99" w:rsidRDefault="007C344D" w:rsidP="007C344D">
            <w:pPr>
              <w:widowControl w:val="0"/>
              <w:tabs>
                <w:tab w:val="decimal" w:pos="630"/>
              </w:tabs>
              <w:kinsoku w:val="0"/>
              <w:overflowPunct w:val="0"/>
              <w:autoSpaceDE w:val="0"/>
              <w:autoSpaceDN w:val="0"/>
              <w:adjustRightInd w:val="0"/>
              <w:jc w:val="both"/>
              <w:rPr>
                <w:rFonts w:ascii="Garamond" w:hAnsi="Garamond"/>
                <w:i/>
                <w:iCs/>
                <w:sz w:val="20"/>
                <w:szCs w:val="20"/>
                <w:lang w:val="en-GB"/>
              </w:rPr>
            </w:pPr>
            <w:r w:rsidRPr="00DB6C99">
              <w:rPr>
                <w:rFonts w:ascii="Garamond" w:hAnsi="Garamond"/>
                <w:sz w:val="20"/>
                <w:szCs w:val="20"/>
              </w:rPr>
              <w:t>1.551***</w:t>
            </w:r>
          </w:p>
        </w:tc>
        <w:tc>
          <w:tcPr>
            <w:tcW w:w="1876" w:type="dxa"/>
          </w:tcPr>
          <w:p w14:paraId="5A728DA8" w14:textId="77777777" w:rsidR="007C344D" w:rsidRPr="00DB6C99" w:rsidRDefault="007C344D" w:rsidP="007C344D">
            <w:pPr>
              <w:widowControl w:val="0"/>
              <w:tabs>
                <w:tab w:val="decimal" w:pos="777"/>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0.190</w:t>
            </w:r>
          </w:p>
        </w:tc>
        <w:tc>
          <w:tcPr>
            <w:tcW w:w="1427" w:type="dxa"/>
          </w:tcPr>
          <w:p w14:paraId="77B15958" w14:textId="77777777" w:rsidR="007C344D" w:rsidRPr="00DB6C99" w:rsidRDefault="007C344D" w:rsidP="007C344D">
            <w:pPr>
              <w:widowControl w:val="0"/>
              <w:tabs>
                <w:tab w:val="decimal" w:pos="540"/>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-0.029</w:t>
            </w:r>
          </w:p>
        </w:tc>
        <w:tc>
          <w:tcPr>
            <w:tcW w:w="1701" w:type="dxa"/>
          </w:tcPr>
          <w:p w14:paraId="69BD73B6" w14:textId="77777777" w:rsidR="007C344D" w:rsidRPr="00DB6C99" w:rsidRDefault="007C344D" w:rsidP="007C344D">
            <w:pPr>
              <w:widowControl w:val="0"/>
              <w:tabs>
                <w:tab w:val="decimal" w:pos="0"/>
              </w:tabs>
              <w:kinsoku w:val="0"/>
              <w:overflowPunct w:val="0"/>
              <w:autoSpaceDE w:val="0"/>
              <w:autoSpaceDN w:val="0"/>
              <w:adjustRightInd w:val="0"/>
              <w:jc w:val="center"/>
              <w:rPr>
                <w:rFonts w:ascii="Garamond" w:hAnsi="Garamond"/>
                <w:sz w:val="20"/>
                <w:szCs w:val="20"/>
                <w:lang w:val="en-GB"/>
              </w:rPr>
            </w:pPr>
            <w:r w:rsidRPr="00DB6C99">
              <w:rPr>
                <w:rFonts w:ascii="Garamond" w:hAnsi="Garamond"/>
                <w:sz w:val="20"/>
                <w:szCs w:val="20"/>
              </w:rPr>
              <w:t>1.331***</w:t>
            </w:r>
          </w:p>
        </w:tc>
        <w:tc>
          <w:tcPr>
            <w:tcW w:w="1307" w:type="dxa"/>
          </w:tcPr>
          <w:p w14:paraId="240CF8F1"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-0.247</w:t>
            </w:r>
          </w:p>
        </w:tc>
        <w:tc>
          <w:tcPr>
            <w:tcW w:w="1466" w:type="dxa"/>
          </w:tcPr>
          <w:p w14:paraId="20B6F7A4" w14:textId="77777777" w:rsidR="007C344D" w:rsidRPr="00DB6C99" w:rsidRDefault="007C344D" w:rsidP="007C344D">
            <w:pPr>
              <w:widowControl w:val="0"/>
              <w:tabs>
                <w:tab w:val="decimal" w:pos="645"/>
              </w:tabs>
              <w:kinsoku w:val="0"/>
              <w:overflowPunct w:val="0"/>
              <w:autoSpaceDE w:val="0"/>
              <w:autoSpaceDN w:val="0"/>
              <w:adjustRightInd w:val="0"/>
              <w:rPr>
                <w:rFonts w:ascii="Garamond" w:hAnsi="Garamond"/>
                <w:sz w:val="20"/>
                <w:szCs w:val="20"/>
              </w:rPr>
            </w:pPr>
            <w:r w:rsidRPr="00DB6C99">
              <w:rPr>
                <w:rFonts w:ascii="Garamond" w:hAnsi="Garamond"/>
                <w:sz w:val="20"/>
                <w:szCs w:val="20"/>
              </w:rPr>
              <w:t>0.040***</w:t>
            </w:r>
          </w:p>
        </w:tc>
        <w:tc>
          <w:tcPr>
            <w:tcW w:w="1245" w:type="dxa"/>
          </w:tcPr>
          <w:p w14:paraId="26470A00" w14:textId="77777777" w:rsidR="007C344D" w:rsidRPr="00DB6C99" w:rsidRDefault="007C344D" w:rsidP="007C344D">
            <w:pPr>
              <w:widowControl w:val="0"/>
              <w:tabs>
                <w:tab w:val="decimal" w:pos="434"/>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-0.178</w:t>
            </w:r>
          </w:p>
        </w:tc>
      </w:tr>
      <w:tr w:rsidR="00DB6C99" w:rsidRPr="00DB6C99" w14:paraId="6C49473A" w14:textId="77777777" w:rsidTr="007C344D">
        <w:trPr>
          <w:trHeight w:val="254"/>
          <w:jc w:val="center"/>
        </w:trPr>
        <w:tc>
          <w:tcPr>
            <w:tcW w:w="3544" w:type="dxa"/>
            <w:vAlign w:val="center"/>
          </w:tcPr>
          <w:p w14:paraId="47B35847" w14:textId="77777777" w:rsidR="007C344D" w:rsidRPr="00DB6C99" w:rsidRDefault="007C344D" w:rsidP="007C344D">
            <w:pPr>
              <w:widowControl w:val="0"/>
              <w:kinsoku w:val="0"/>
              <w:overflowPunct w:val="0"/>
              <w:autoSpaceDE w:val="0"/>
              <w:autoSpaceDN w:val="0"/>
              <w:adjustRightInd w:val="0"/>
              <w:jc w:val="both"/>
              <w:rPr>
                <w:rFonts w:ascii="Garamond" w:hAnsi="Garamond"/>
                <w:i/>
                <w:iCs/>
                <w:sz w:val="20"/>
                <w:szCs w:val="20"/>
                <w:lang w:val="en-GB"/>
              </w:rPr>
            </w:pPr>
          </w:p>
        </w:tc>
        <w:tc>
          <w:tcPr>
            <w:tcW w:w="1810" w:type="dxa"/>
          </w:tcPr>
          <w:p w14:paraId="464E6B5E" w14:textId="77777777" w:rsidR="007C344D" w:rsidRPr="00DB6C99" w:rsidRDefault="007C344D" w:rsidP="007C344D">
            <w:pPr>
              <w:widowControl w:val="0"/>
              <w:tabs>
                <w:tab w:val="decimal" w:pos="630"/>
              </w:tabs>
              <w:kinsoku w:val="0"/>
              <w:overflowPunct w:val="0"/>
              <w:autoSpaceDE w:val="0"/>
              <w:autoSpaceDN w:val="0"/>
              <w:adjustRightInd w:val="0"/>
              <w:jc w:val="both"/>
              <w:rPr>
                <w:rFonts w:ascii="Garamond" w:hAnsi="Garamond"/>
                <w:i/>
                <w:iCs/>
                <w:sz w:val="20"/>
                <w:szCs w:val="20"/>
                <w:lang w:val="en-GB"/>
              </w:rPr>
            </w:pPr>
            <w:r w:rsidRPr="00DB6C99">
              <w:rPr>
                <w:rFonts w:ascii="Garamond" w:hAnsi="Garamond"/>
                <w:sz w:val="20"/>
                <w:szCs w:val="20"/>
              </w:rPr>
              <w:t>(7.20)</w:t>
            </w:r>
          </w:p>
        </w:tc>
        <w:tc>
          <w:tcPr>
            <w:tcW w:w="1876" w:type="dxa"/>
          </w:tcPr>
          <w:p w14:paraId="4979CB3E" w14:textId="77777777" w:rsidR="007C344D" w:rsidRPr="00DB6C99" w:rsidRDefault="007C344D" w:rsidP="007C344D">
            <w:pPr>
              <w:widowControl w:val="0"/>
              <w:tabs>
                <w:tab w:val="decimal" w:pos="777"/>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(0.42)</w:t>
            </w:r>
          </w:p>
        </w:tc>
        <w:tc>
          <w:tcPr>
            <w:tcW w:w="1427" w:type="dxa"/>
          </w:tcPr>
          <w:p w14:paraId="6076D80C" w14:textId="77777777" w:rsidR="007C344D" w:rsidRPr="00DB6C99" w:rsidRDefault="007C344D" w:rsidP="007C344D">
            <w:pPr>
              <w:widowControl w:val="0"/>
              <w:tabs>
                <w:tab w:val="decimal" w:pos="540"/>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(-0.15)</w:t>
            </w:r>
          </w:p>
        </w:tc>
        <w:tc>
          <w:tcPr>
            <w:tcW w:w="1701" w:type="dxa"/>
          </w:tcPr>
          <w:p w14:paraId="4A4B2BFC" w14:textId="77777777" w:rsidR="007C344D" w:rsidRPr="00DB6C99" w:rsidRDefault="007C344D" w:rsidP="007C344D">
            <w:pPr>
              <w:widowControl w:val="0"/>
              <w:tabs>
                <w:tab w:val="decimal" w:pos="0"/>
              </w:tabs>
              <w:kinsoku w:val="0"/>
              <w:overflowPunct w:val="0"/>
              <w:autoSpaceDE w:val="0"/>
              <w:autoSpaceDN w:val="0"/>
              <w:adjustRightInd w:val="0"/>
              <w:jc w:val="center"/>
              <w:rPr>
                <w:rFonts w:ascii="Garamond" w:hAnsi="Garamond"/>
                <w:sz w:val="20"/>
                <w:szCs w:val="20"/>
                <w:lang w:val="en-GB"/>
              </w:rPr>
            </w:pPr>
            <w:r w:rsidRPr="00DB6C99">
              <w:rPr>
                <w:rFonts w:ascii="Garamond" w:hAnsi="Garamond"/>
                <w:sz w:val="20"/>
                <w:szCs w:val="20"/>
              </w:rPr>
              <w:t>(4.99)</w:t>
            </w:r>
          </w:p>
        </w:tc>
        <w:tc>
          <w:tcPr>
            <w:tcW w:w="1307" w:type="dxa"/>
          </w:tcPr>
          <w:p w14:paraId="40E34467"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(-1.28)</w:t>
            </w:r>
          </w:p>
        </w:tc>
        <w:tc>
          <w:tcPr>
            <w:tcW w:w="1466" w:type="dxa"/>
          </w:tcPr>
          <w:p w14:paraId="69C405CC" w14:textId="77777777" w:rsidR="007C344D" w:rsidRPr="00DB6C99" w:rsidRDefault="007C344D" w:rsidP="007C344D">
            <w:pPr>
              <w:widowControl w:val="0"/>
              <w:tabs>
                <w:tab w:val="decimal" w:pos="645"/>
              </w:tabs>
              <w:kinsoku w:val="0"/>
              <w:overflowPunct w:val="0"/>
              <w:autoSpaceDE w:val="0"/>
              <w:autoSpaceDN w:val="0"/>
              <w:adjustRightInd w:val="0"/>
              <w:rPr>
                <w:rFonts w:ascii="Garamond" w:hAnsi="Garamond"/>
                <w:sz w:val="20"/>
                <w:szCs w:val="20"/>
              </w:rPr>
            </w:pPr>
            <w:r w:rsidRPr="00DB6C99">
              <w:rPr>
                <w:rFonts w:ascii="Garamond" w:hAnsi="Garamond"/>
                <w:sz w:val="20"/>
                <w:szCs w:val="20"/>
              </w:rPr>
              <w:t>(3.55)</w:t>
            </w:r>
          </w:p>
        </w:tc>
        <w:tc>
          <w:tcPr>
            <w:tcW w:w="1245" w:type="dxa"/>
          </w:tcPr>
          <w:p w14:paraId="201F4FE8" w14:textId="77777777" w:rsidR="007C344D" w:rsidRPr="00DB6C99" w:rsidRDefault="007C344D" w:rsidP="007C344D">
            <w:pPr>
              <w:widowControl w:val="0"/>
              <w:tabs>
                <w:tab w:val="decimal" w:pos="434"/>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(-1.32)</w:t>
            </w:r>
          </w:p>
        </w:tc>
      </w:tr>
      <w:tr w:rsidR="00DB6C99" w:rsidRPr="00DB6C99" w14:paraId="697443E7" w14:textId="77777777" w:rsidTr="007C344D">
        <w:trPr>
          <w:trHeight w:val="230"/>
          <w:jc w:val="center"/>
        </w:trPr>
        <w:tc>
          <w:tcPr>
            <w:tcW w:w="3544" w:type="dxa"/>
            <w:vAlign w:val="center"/>
          </w:tcPr>
          <w:p w14:paraId="523E7501" w14:textId="77777777" w:rsidR="007C344D" w:rsidRPr="00DB6C99" w:rsidRDefault="007C344D" w:rsidP="007C344D">
            <w:pPr>
              <w:widowControl w:val="0"/>
              <w:kinsoku w:val="0"/>
              <w:overflowPunct w:val="0"/>
              <w:autoSpaceDE w:val="0"/>
              <w:autoSpaceDN w:val="0"/>
              <w:adjustRightInd w:val="0"/>
              <w:jc w:val="both"/>
              <w:rPr>
                <w:rFonts w:ascii="Garamond" w:hAnsi="Garamond"/>
                <w:sz w:val="20"/>
                <w:szCs w:val="20"/>
              </w:rPr>
            </w:pPr>
            <w:r w:rsidRPr="00DB6C99">
              <w:rPr>
                <w:rFonts w:ascii="Garamond" w:hAnsi="Garamond"/>
                <w:i/>
                <w:iCs/>
                <w:sz w:val="20"/>
                <w:szCs w:val="20"/>
                <w:lang w:val="en-GB"/>
              </w:rPr>
              <w:t>BMEET</w:t>
            </w:r>
          </w:p>
        </w:tc>
        <w:tc>
          <w:tcPr>
            <w:tcW w:w="1810" w:type="dxa"/>
          </w:tcPr>
          <w:p w14:paraId="411B87CC" w14:textId="77777777" w:rsidR="007C344D" w:rsidRPr="00DB6C99" w:rsidRDefault="007C344D" w:rsidP="007C344D">
            <w:pPr>
              <w:widowControl w:val="0"/>
              <w:tabs>
                <w:tab w:val="decimal" w:pos="630"/>
              </w:tabs>
              <w:kinsoku w:val="0"/>
              <w:overflowPunct w:val="0"/>
              <w:autoSpaceDE w:val="0"/>
              <w:autoSpaceDN w:val="0"/>
              <w:adjustRightInd w:val="0"/>
              <w:jc w:val="both"/>
              <w:rPr>
                <w:rFonts w:ascii="Garamond" w:hAnsi="Garamond"/>
                <w:i/>
                <w:iCs/>
                <w:sz w:val="20"/>
                <w:szCs w:val="20"/>
                <w:lang w:val="en-GB"/>
              </w:rPr>
            </w:pPr>
            <w:r w:rsidRPr="00DB6C99">
              <w:rPr>
                <w:rFonts w:ascii="Garamond" w:hAnsi="Garamond"/>
                <w:sz w:val="20"/>
                <w:szCs w:val="20"/>
              </w:rPr>
              <w:t>0.081**</w:t>
            </w:r>
          </w:p>
        </w:tc>
        <w:tc>
          <w:tcPr>
            <w:tcW w:w="1876" w:type="dxa"/>
          </w:tcPr>
          <w:p w14:paraId="58356E2E" w14:textId="77777777" w:rsidR="007C344D" w:rsidRPr="00DB6C99" w:rsidRDefault="007C344D" w:rsidP="007C344D">
            <w:pPr>
              <w:widowControl w:val="0"/>
              <w:tabs>
                <w:tab w:val="decimal" w:pos="777"/>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-0.046</w:t>
            </w:r>
          </w:p>
        </w:tc>
        <w:tc>
          <w:tcPr>
            <w:tcW w:w="1427" w:type="dxa"/>
          </w:tcPr>
          <w:p w14:paraId="14D0C915" w14:textId="77777777" w:rsidR="007C344D" w:rsidRPr="00DB6C99" w:rsidRDefault="007C344D" w:rsidP="007C344D">
            <w:pPr>
              <w:widowControl w:val="0"/>
              <w:tabs>
                <w:tab w:val="decimal" w:pos="540"/>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-0.066**</w:t>
            </w:r>
          </w:p>
        </w:tc>
        <w:tc>
          <w:tcPr>
            <w:tcW w:w="1701" w:type="dxa"/>
          </w:tcPr>
          <w:p w14:paraId="28BEF376" w14:textId="77777777" w:rsidR="007C344D" w:rsidRPr="00DB6C99" w:rsidRDefault="007C344D" w:rsidP="007C344D">
            <w:pPr>
              <w:widowControl w:val="0"/>
              <w:tabs>
                <w:tab w:val="decimal" w:pos="0"/>
              </w:tabs>
              <w:kinsoku w:val="0"/>
              <w:overflowPunct w:val="0"/>
              <w:autoSpaceDE w:val="0"/>
              <w:autoSpaceDN w:val="0"/>
              <w:adjustRightInd w:val="0"/>
              <w:jc w:val="center"/>
              <w:rPr>
                <w:rFonts w:ascii="Garamond" w:hAnsi="Garamond"/>
                <w:sz w:val="20"/>
                <w:szCs w:val="20"/>
                <w:lang w:val="en-GB"/>
              </w:rPr>
            </w:pPr>
            <w:r w:rsidRPr="00DB6C99">
              <w:rPr>
                <w:rFonts w:ascii="Garamond" w:hAnsi="Garamond"/>
                <w:sz w:val="20"/>
                <w:szCs w:val="20"/>
              </w:rPr>
              <w:t>0.112**</w:t>
            </w:r>
          </w:p>
        </w:tc>
        <w:tc>
          <w:tcPr>
            <w:tcW w:w="1307" w:type="dxa"/>
          </w:tcPr>
          <w:p w14:paraId="408EBE9F"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-0.056**</w:t>
            </w:r>
          </w:p>
        </w:tc>
        <w:tc>
          <w:tcPr>
            <w:tcW w:w="1466" w:type="dxa"/>
          </w:tcPr>
          <w:p w14:paraId="3F33C1EA" w14:textId="77777777" w:rsidR="007C344D" w:rsidRPr="00DB6C99" w:rsidRDefault="007C344D" w:rsidP="007C344D">
            <w:pPr>
              <w:widowControl w:val="0"/>
              <w:tabs>
                <w:tab w:val="decimal" w:pos="645"/>
              </w:tabs>
              <w:kinsoku w:val="0"/>
              <w:overflowPunct w:val="0"/>
              <w:autoSpaceDE w:val="0"/>
              <w:autoSpaceDN w:val="0"/>
              <w:adjustRightInd w:val="0"/>
              <w:rPr>
                <w:rFonts w:ascii="Garamond" w:hAnsi="Garamond"/>
                <w:sz w:val="20"/>
                <w:szCs w:val="20"/>
              </w:rPr>
            </w:pPr>
            <w:r w:rsidRPr="00DB6C99">
              <w:rPr>
                <w:rFonts w:ascii="Garamond" w:hAnsi="Garamond"/>
                <w:sz w:val="20"/>
                <w:szCs w:val="20"/>
              </w:rPr>
              <w:t>0.006***</w:t>
            </w:r>
          </w:p>
        </w:tc>
        <w:tc>
          <w:tcPr>
            <w:tcW w:w="1245" w:type="dxa"/>
          </w:tcPr>
          <w:p w14:paraId="3FA2F3EB" w14:textId="77777777" w:rsidR="007C344D" w:rsidRPr="00DB6C99" w:rsidRDefault="007C344D" w:rsidP="007C344D">
            <w:pPr>
              <w:widowControl w:val="0"/>
              <w:tabs>
                <w:tab w:val="decimal" w:pos="434"/>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-0.070***</w:t>
            </w:r>
          </w:p>
        </w:tc>
      </w:tr>
      <w:tr w:rsidR="00DB6C99" w:rsidRPr="00DB6C99" w14:paraId="1FFED5FE" w14:textId="77777777" w:rsidTr="007C344D">
        <w:trPr>
          <w:trHeight w:val="230"/>
          <w:jc w:val="center"/>
        </w:trPr>
        <w:tc>
          <w:tcPr>
            <w:tcW w:w="3544" w:type="dxa"/>
            <w:vAlign w:val="center"/>
          </w:tcPr>
          <w:p w14:paraId="2C5DE456" w14:textId="77777777" w:rsidR="007C344D" w:rsidRPr="00DB6C99" w:rsidRDefault="007C344D" w:rsidP="007C344D">
            <w:pPr>
              <w:widowControl w:val="0"/>
              <w:kinsoku w:val="0"/>
              <w:overflowPunct w:val="0"/>
              <w:autoSpaceDE w:val="0"/>
              <w:autoSpaceDN w:val="0"/>
              <w:adjustRightInd w:val="0"/>
              <w:jc w:val="both"/>
              <w:rPr>
                <w:rFonts w:ascii="Garamond" w:hAnsi="Garamond"/>
                <w:i/>
                <w:iCs/>
                <w:sz w:val="20"/>
                <w:szCs w:val="20"/>
                <w:lang w:val="en-GB"/>
              </w:rPr>
            </w:pPr>
          </w:p>
        </w:tc>
        <w:tc>
          <w:tcPr>
            <w:tcW w:w="1810" w:type="dxa"/>
          </w:tcPr>
          <w:p w14:paraId="290D94E7" w14:textId="77777777" w:rsidR="007C344D" w:rsidRPr="00DB6C99" w:rsidRDefault="007C344D" w:rsidP="007C344D">
            <w:pPr>
              <w:widowControl w:val="0"/>
              <w:tabs>
                <w:tab w:val="decimal" w:pos="630"/>
              </w:tabs>
              <w:kinsoku w:val="0"/>
              <w:overflowPunct w:val="0"/>
              <w:autoSpaceDE w:val="0"/>
              <w:autoSpaceDN w:val="0"/>
              <w:adjustRightInd w:val="0"/>
              <w:jc w:val="both"/>
              <w:rPr>
                <w:rFonts w:ascii="Garamond" w:hAnsi="Garamond"/>
                <w:i/>
                <w:iCs/>
                <w:sz w:val="20"/>
                <w:szCs w:val="20"/>
                <w:lang w:val="en-GB"/>
              </w:rPr>
            </w:pPr>
            <w:r w:rsidRPr="00DB6C99">
              <w:rPr>
                <w:rFonts w:ascii="Garamond" w:hAnsi="Garamond"/>
                <w:sz w:val="20"/>
                <w:szCs w:val="20"/>
              </w:rPr>
              <w:t>(2.09)</w:t>
            </w:r>
          </w:p>
        </w:tc>
        <w:tc>
          <w:tcPr>
            <w:tcW w:w="1876" w:type="dxa"/>
          </w:tcPr>
          <w:p w14:paraId="09163DB5" w14:textId="77777777" w:rsidR="007C344D" w:rsidRPr="00DB6C99" w:rsidRDefault="007C344D" w:rsidP="007C344D">
            <w:pPr>
              <w:widowControl w:val="0"/>
              <w:tabs>
                <w:tab w:val="decimal" w:pos="777"/>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(-0.73)</w:t>
            </w:r>
          </w:p>
        </w:tc>
        <w:tc>
          <w:tcPr>
            <w:tcW w:w="1427" w:type="dxa"/>
          </w:tcPr>
          <w:p w14:paraId="354A0FC9" w14:textId="77777777" w:rsidR="007C344D" w:rsidRPr="00DB6C99" w:rsidRDefault="007C344D" w:rsidP="007C344D">
            <w:pPr>
              <w:widowControl w:val="0"/>
              <w:tabs>
                <w:tab w:val="decimal" w:pos="540"/>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(-2.45)</w:t>
            </w:r>
          </w:p>
        </w:tc>
        <w:tc>
          <w:tcPr>
            <w:tcW w:w="1701" w:type="dxa"/>
          </w:tcPr>
          <w:p w14:paraId="754C7359" w14:textId="77777777" w:rsidR="007C344D" w:rsidRPr="00DB6C99" w:rsidRDefault="007C344D" w:rsidP="007C344D">
            <w:pPr>
              <w:widowControl w:val="0"/>
              <w:tabs>
                <w:tab w:val="decimal" w:pos="0"/>
              </w:tabs>
              <w:kinsoku w:val="0"/>
              <w:overflowPunct w:val="0"/>
              <w:autoSpaceDE w:val="0"/>
              <w:autoSpaceDN w:val="0"/>
              <w:adjustRightInd w:val="0"/>
              <w:jc w:val="center"/>
              <w:rPr>
                <w:rFonts w:ascii="Garamond" w:hAnsi="Garamond"/>
                <w:sz w:val="20"/>
                <w:szCs w:val="20"/>
                <w:lang w:val="en-GB"/>
              </w:rPr>
            </w:pPr>
            <w:r w:rsidRPr="00DB6C99">
              <w:rPr>
                <w:rFonts w:ascii="Garamond" w:hAnsi="Garamond"/>
                <w:sz w:val="20"/>
                <w:szCs w:val="20"/>
              </w:rPr>
              <w:t>(2.39)</w:t>
            </w:r>
          </w:p>
        </w:tc>
        <w:tc>
          <w:tcPr>
            <w:tcW w:w="1307" w:type="dxa"/>
          </w:tcPr>
          <w:p w14:paraId="10F21BAA"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(-2.08)</w:t>
            </w:r>
          </w:p>
        </w:tc>
        <w:tc>
          <w:tcPr>
            <w:tcW w:w="1466" w:type="dxa"/>
          </w:tcPr>
          <w:p w14:paraId="331C05D3" w14:textId="77777777" w:rsidR="007C344D" w:rsidRPr="00DB6C99" w:rsidRDefault="007C344D" w:rsidP="007C344D">
            <w:pPr>
              <w:widowControl w:val="0"/>
              <w:tabs>
                <w:tab w:val="decimal" w:pos="645"/>
              </w:tabs>
              <w:kinsoku w:val="0"/>
              <w:overflowPunct w:val="0"/>
              <w:autoSpaceDE w:val="0"/>
              <w:autoSpaceDN w:val="0"/>
              <w:adjustRightInd w:val="0"/>
              <w:rPr>
                <w:rFonts w:ascii="Garamond" w:hAnsi="Garamond"/>
                <w:sz w:val="20"/>
                <w:szCs w:val="20"/>
              </w:rPr>
            </w:pPr>
            <w:r w:rsidRPr="00DB6C99">
              <w:rPr>
                <w:rFonts w:ascii="Garamond" w:hAnsi="Garamond"/>
                <w:sz w:val="20"/>
                <w:szCs w:val="20"/>
              </w:rPr>
              <w:t>(3.21)</w:t>
            </w:r>
          </w:p>
        </w:tc>
        <w:tc>
          <w:tcPr>
            <w:tcW w:w="1245" w:type="dxa"/>
          </w:tcPr>
          <w:p w14:paraId="55184AEA" w14:textId="77777777" w:rsidR="007C344D" w:rsidRPr="00DB6C99" w:rsidRDefault="007C344D" w:rsidP="007C344D">
            <w:pPr>
              <w:widowControl w:val="0"/>
              <w:tabs>
                <w:tab w:val="decimal" w:pos="434"/>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(-2.95)</w:t>
            </w:r>
          </w:p>
        </w:tc>
      </w:tr>
      <w:tr w:rsidR="00DB6C99" w:rsidRPr="00DB6C99" w14:paraId="5D420E86" w14:textId="77777777" w:rsidTr="007C344D">
        <w:trPr>
          <w:trHeight w:val="207"/>
          <w:jc w:val="center"/>
        </w:trPr>
        <w:tc>
          <w:tcPr>
            <w:tcW w:w="3544" w:type="dxa"/>
            <w:vAlign w:val="center"/>
          </w:tcPr>
          <w:p w14:paraId="0E6422BB" w14:textId="77777777" w:rsidR="007C344D" w:rsidRPr="00DB6C99" w:rsidRDefault="007C344D" w:rsidP="007C344D">
            <w:pPr>
              <w:widowControl w:val="0"/>
              <w:kinsoku w:val="0"/>
              <w:overflowPunct w:val="0"/>
              <w:autoSpaceDE w:val="0"/>
              <w:autoSpaceDN w:val="0"/>
              <w:adjustRightInd w:val="0"/>
              <w:jc w:val="both"/>
              <w:rPr>
                <w:rFonts w:ascii="Garamond" w:hAnsi="Garamond"/>
                <w:sz w:val="20"/>
                <w:szCs w:val="20"/>
              </w:rPr>
            </w:pPr>
            <w:r w:rsidRPr="00DB6C99">
              <w:rPr>
                <w:rFonts w:ascii="Garamond" w:hAnsi="Garamond"/>
                <w:i/>
                <w:iCs/>
                <w:sz w:val="20"/>
                <w:szCs w:val="20"/>
                <w:lang w:val="en-GB"/>
              </w:rPr>
              <w:t>DUAL</w:t>
            </w:r>
          </w:p>
        </w:tc>
        <w:tc>
          <w:tcPr>
            <w:tcW w:w="1810" w:type="dxa"/>
          </w:tcPr>
          <w:p w14:paraId="32950EEA" w14:textId="77777777" w:rsidR="007C344D" w:rsidRPr="00DB6C99" w:rsidRDefault="007C344D" w:rsidP="007C344D">
            <w:pPr>
              <w:widowControl w:val="0"/>
              <w:tabs>
                <w:tab w:val="decimal" w:pos="630"/>
              </w:tabs>
              <w:kinsoku w:val="0"/>
              <w:overflowPunct w:val="0"/>
              <w:autoSpaceDE w:val="0"/>
              <w:autoSpaceDN w:val="0"/>
              <w:adjustRightInd w:val="0"/>
              <w:jc w:val="both"/>
              <w:rPr>
                <w:rFonts w:ascii="Garamond" w:hAnsi="Garamond"/>
                <w:i/>
                <w:iCs/>
                <w:sz w:val="20"/>
                <w:szCs w:val="20"/>
                <w:lang w:val="en-GB"/>
              </w:rPr>
            </w:pPr>
            <w:r w:rsidRPr="00DB6C99">
              <w:rPr>
                <w:rFonts w:ascii="Garamond" w:hAnsi="Garamond"/>
                <w:sz w:val="20"/>
                <w:szCs w:val="20"/>
              </w:rPr>
              <w:t>0.086***</w:t>
            </w:r>
          </w:p>
        </w:tc>
        <w:tc>
          <w:tcPr>
            <w:tcW w:w="1876" w:type="dxa"/>
          </w:tcPr>
          <w:p w14:paraId="1B69FC94" w14:textId="77777777" w:rsidR="007C344D" w:rsidRPr="00DB6C99" w:rsidRDefault="007C344D" w:rsidP="007C344D">
            <w:pPr>
              <w:widowControl w:val="0"/>
              <w:tabs>
                <w:tab w:val="decimal" w:pos="777"/>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-0.007</w:t>
            </w:r>
          </w:p>
        </w:tc>
        <w:tc>
          <w:tcPr>
            <w:tcW w:w="1427" w:type="dxa"/>
          </w:tcPr>
          <w:p w14:paraId="4C0B7DE0" w14:textId="77777777" w:rsidR="007C344D" w:rsidRPr="00DB6C99" w:rsidRDefault="007C344D" w:rsidP="007C344D">
            <w:pPr>
              <w:widowControl w:val="0"/>
              <w:tabs>
                <w:tab w:val="decimal" w:pos="540"/>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0.003</w:t>
            </w:r>
          </w:p>
        </w:tc>
        <w:tc>
          <w:tcPr>
            <w:tcW w:w="1701" w:type="dxa"/>
          </w:tcPr>
          <w:p w14:paraId="6FE8D87B" w14:textId="77777777" w:rsidR="007C344D" w:rsidRPr="00DB6C99" w:rsidRDefault="007C344D" w:rsidP="007C344D">
            <w:pPr>
              <w:widowControl w:val="0"/>
              <w:tabs>
                <w:tab w:val="decimal" w:pos="0"/>
              </w:tabs>
              <w:kinsoku w:val="0"/>
              <w:overflowPunct w:val="0"/>
              <w:autoSpaceDE w:val="0"/>
              <w:autoSpaceDN w:val="0"/>
              <w:adjustRightInd w:val="0"/>
              <w:jc w:val="center"/>
              <w:rPr>
                <w:rFonts w:ascii="Garamond" w:hAnsi="Garamond"/>
                <w:sz w:val="20"/>
                <w:szCs w:val="20"/>
                <w:lang w:val="en-GB"/>
              </w:rPr>
            </w:pPr>
            <w:r w:rsidRPr="00DB6C99">
              <w:rPr>
                <w:rFonts w:ascii="Garamond" w:hAnsi="Garamond"/>
                <w:sz w:val="20"/>
                <w:szCs w:val="20"/>
              </w:rPr>
              <w:t>0.073**</w:t>
            </w:r>
          </w:p>
        </w:tc>
        <w:tc>
          <w:tcPr>
            <w:tcW w:w="1307" w:type="dxa"/>
          </w:tcPr>
          <w:p w14:paraId="52C5EC48"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-0.051*</w:t>
            </w:r>
          </w:p>
        </w:tc>
        <w:tc>
          <w:tcPr>
            <w:tcW w:w="1466" w:type="dxa"/>
          </w:tcPr>
          <w:p w14:paraId="0E065AE7" w14:textId="77777777" w:rsidR="007C344D" w:rsidRPr="00DB6C99" w:rsidRDefault="007C344D" w:rsidP="007C344D">
            <w:pPr>
              <w:widowControl w:val="0"/>
              <w:tabs>
                <w:tab w:val="decimal" w:pos="645"/>
              </w:tabs>
              <w:kinsoku w:val="0"/>
              <w:overflowPunct w:val="0"/>
              <w:autoSpaceDE w:val="0"/>
              <w:autoSpaceDN w:val="0"/>
              <w:adjustRightInd w:val="0"/>
              <w:rPr>
                <w:rFonts w:ascii="Garamond" w:hAnsi="Garamond"/>
                <w:sz w:val="20"/>
                <w:szCs w:val="20"/>
              </w:rPr>
            </w:pPr>
            <w:r w:rsidRPr="00DB6C99">
              <w:rPr>
                <w:rFonts w:ascii="Garamond" w:hAnsi="Garamond"/>
                <w:sz w:val="20"/>
                <w:szCs w:val="20"/>
              </w:rPr>
              <w:t>0.004**</w:t>
            </w:r>
          </w:p>
        </w:tc>
        <w:tc>
          <w:tcPr>
            <w:tcW w:w="1245" w:type="dxa"/>
          </w:tcPr>
          <w:p w14:paraId="24DA141B" w14:textId="77777777" w:rsidR="007C344D" w:rsidRPr="00DB6C99" w:rsidRDefault="007C344D" w:rsidP="007C344D">
            <w:pPr>
              <w:widowControl w:val="0"/>
              <w:tabs>
                <w:tab w:val="decimal" w:pos="434"/>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-0.028</w:t>
            </w:r>
          </w:p>
        </w:tc>
      </w:tr>
      <w:tr w:rsidR="00DB6C99" w:rsidRPr="00DB6C99" w14:paraId="47FA16A2" w14:textId="77777777" w:rsidTr="007C344D">
        <w:trPr>
          <w:trHeight w:val="144"/>
          <w:jc w:val="center"/>
        </w:trPr>
        <w:tc>
          <w:tcPr>
            <w:tcW w:w="3544" w:type="dxa"/>
            <w:vAlign w:val="center"/>
          </w:tcPr>
          <w:p w14:paraId="4A3405CB" w14:textId="77777777" w:rsidR="007C344D" w:rsidRPr="00DB6C99" w:rsidRDefault="007C344D" w:rsidP="007C344D">
            <w:pPr>
              <w:widowControl w:val="0"/>
              <w:kinsoku w:val="0"/>
              <w:overflowPunct w:val="0"/>
              <w:autoSpaceDE w:val="0"/>
              <w:autoSpaceDN w:val="0"/>
              <w:adjustRightInd w:val="0"/>
              <w:jc w:val="both"/>
              <w:rPr>
                <w:rFonts w:ascii="Garamond" w:hAnsi="Garamond"/>
                <w:i/>
                <w:iCs/>
                <w:sz w:val="20"/>
                <w:szCs w:val="20"/>
                <w:lang w:val="en-GB"/>
              </w:rPr>
            </w:pPr>
          </w:p>
        </w:tc>
        <w:tc>
          <w:tcPr>
            <w:tcW w:w="1810" w:type="dxa"/>
          </w:tcPr>
          <w:p w14:paraId="48CF11CA" w14:textId="77777777" w:rsidR="007C344D" w:rsidRPr="00DB6C99" w:rsidRDefault="007C344D" w:rsidP="007C344D">
            <w:pPr>
              <w:widowControl w:val="0"/>
              <w:tabs>
                <w:tab w:val="decimal" w:pos="630"/>
              </w:tabs>
              <w:kinsoku w:val="0"/>
              <w:overflowPunct w:val="0"/>
              <w:autoSpaceDE w:val="0"/>
              <w:autoSpaceDN w:val="0"/>
              <w:adjustRightInd w:val="0"/>
              <w:jc w:val="both"/>
              <w:rPr>
                <w:rFonts w:ascii="Garamond" w:hAnsi="Garamond"/>
                <w:i/>
                <w:iCs/>
                <w:sz w:val="20"/>
                <w:szCs w:val="20"/>
                <w:lang w:val="en-GB"/>
              </w:rPr>
            </w:pPr>
            <w:r w:rsidRPr="00DB6C99">
              <w:rPr>
                <w:rFonts w:ascii="Garamond" w:hAnsi="Garamond"/>
                <w:sz w:val="20"/>
                <w:szCs w:val="20"/>
              </w:rPr>
              <w:t>(2.73)</w:t>
            </w:r>
          </w:p>
        </w:tc>
        <w:tc>
          <w:tcPr>
            <w:tcW w:w="1876" w:type="dxa"/>
          </w:tcPr>
          <w:p w14:paraId="4AEA5271" w14:textId="77777777" w:rsidR="007C344D" w:rsidRPr="00DB6C99" w:rsidRDefault="007C344D" w:rsidP="007C344D">
            <w:pPr>
              <w:widowControl w:val="0"/>
              <w:tabs>
                <w:tab w:val="decimal" w:pos="777"/>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(-0.12)</w:t>
            </w:r>
          </w:p>
        </w:tc>
        <w:tc>
          <w:tcPr>
            <w:tcW w:w="1427" w:type="dxa"/>
          </w:tcPr>
          <w:p w14:paraId="1A698DA6" w14:textId="77777777" w:rsidR="007C344D" w:rsidRPr="00DB6C99" w:rsidRDefault="007C344D" w:rsidP="007C344D">
            <w:pPr>
              <w:widowControl w:val="0"/>
              <w:tabs>
                <w:tab w:val="decimal" w:pos="540"/>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(0.13)</w:t>
            </w:r>
          </w:p>
        </w:tc>
        <w:tc>
          <w:tcPr>
            <w:tcW w:w="1701" w:type="dxa"/>
          </w:tcPr>
          <w:p w14:paraId="5E6BCF8D" w14:textId="77777777" w:rsidR="007C344D" w:rsidRPr="00DB6C99" w:rsidRDefault="007C344D" w:rsidP="007C344D">
            <w:pPr>
              <w:widowControl w:val="0"/>
              <w:tabs>
                <w:tab w:val="decimal" w:pos="0"/>
              </w:tabs>
              <w:kinsoku w:val="0"/>
              <w:overflowPunct w:val="0"/>
              <w:autoSpaceDE w:val="0"/>
              <w:autoSpaceDN w:val="0"/>
              <w:adjustRightInd w:val="0"/>
              <w:jc w:val="center"/>
              <w:rPr>
                <w:rFonts w:ascii="Garamond" w:hAnsi="Garamond"/>
                <w:sz w:val="20"/>
                <w:szCs w:val="20"/>
                <w:lang w:val="en-GB"/>
              </w:rPr>
            </w:pPr>
            <w:r w:rsidRPr="00DB6C99">
              <w:rPr>
                <w:rFonts w:ascii="Garamond" w:hAnsi="Garamond"/>
                <w:sz w:val="20"/>
                <w:szCs w:val="20"/>
              </w:rPr>
              <w:t>(1.96)</w:t>
            </w:r>
          </w:p>
        </w:tc>
        <w:tc>
          <w:tcPr>
            <w:tcW w:w="1307" w:type="dxa"/>
          </w:tcPr>
          <w:p w14:paraId="6906418A"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(-1.94)</w:t>
            </w:r>
          </w:p>
        </w:tc>
        <w:tc>
          <w:tcPr>
            <w:tcW w:w="1466" w:type="dxa"/>
          </w:tcPr>
          <w:p w14:paraId="300D4BDC" w14:textId="77777777" w:rsidR="007C344D" w:rsidRPr="00DB6C99" w:rsidRDefault="007C344D" w:rsidP="007C344D">
            <w:pPr>
              <w:widowControl w:val="0"/>
              <w:tabs>
                <w:tab w:val="decimal" w:pos="645"/>
              </w:tabs>
              <w:kinsoku w:val="0"/>
              <w:overflowPunct w:val="0"/>
              <w:autoSpaceDE w:val="0"/>
              <w:autoSpaceDN w:val="0"/>
              <w:adjustRightInd w:val="0"/>
              <w:rPr>
                <w:rFonts w:ascii="Garamond" w:hAnsi="Garamond"/>
                <w:sz w:val="20"/>
                <w:szCs w:val="20"/>
              </w:rPr>
            </w:pPr>
            <w:r w:rsidRPr="00DB6C99">
              <w:rPr>
                <w:rFonts w:ascii="Garamond" w:hAnsi="Garamond"/>
                <w:sz w:val="20"/>
                <w:szCs w:val="20"/>
              </w:rPr>
              <w:t>(2.53)</w:t>
            </w:r>
          </w:p>
        </w:tc>
        <w:tc>
          <w:tcPr>
            <w:tcW w:w="1245" w:type="dxa"/>
          </w:tcPr>
          <w:p w14:paraId="09241303" w14:textId="77777777" w:rsidR="007C344D" w:rsidRPr="00DB6C99" w:rsidRDefault="007C344D" w:rsidP="007C344D">
            <w:pPr>
              <w:widowControl w:val="0"/>
              <w:tabs>
                <w:tab w:val="decimal" w:pos="434"/>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(-1.48)</w:t>
            </w:r>
          </w:p>
        </w:tc>
      </w:tr>
      <w:tr w:rsidR="00DB6C99" w:rsidRPr="00DB6C99" w14:paraId="4923B200" w14:textId="77777777" w:rsidTr="007C344D">
        <w:trPr>
          <w:trHeight w:val="207"/>
          <w:jc w:val="center"/>
        </w:trPr>
        <w:tc>
          <w:tcPr>
            <w:tcW w:w="3544" w:type="dxa"/>
            <w:vAlign w:val="center"/>
          </w:tcPr>
          <w:p w14:paraId="604315B3" w14:textId="77777777" w:rsidR="007C344D" w:rsidRPr="00DB6C99" w:rsidRDefault="007C344D" w:rsidP="007C344D">
            <w:pPr>
              <w:widowControl w:val="0"/>
              <w:kinsoku w:val="0"/>
              <w:overflowPunct w:val="0"/>
              <w:autoSpaceDE w:val="0"/>
              <w:autoSpaceDN w:val="0"/>
              <w:adjustRightInd w:val="0"/>
              <w:jc w:val="both"/>
              <w:rPr>
                <w:rFonts w:ascii="Garamond" w:hAnsi="Garamond"/>
                <w:sz w:val="20"/>
                <w:szCs w:val="20"/>
              </w:rPr>
            </w:pPr>
            <w:r w:rsidRPr="00DB6C99">
              <w:rPr>
                <w:rFonts w:ascii="Garamond" w:hAnsi="Garamond"/>
                <w:i/>
                <w:iCs/>
                <w:sz w:val="20"/>
                <w:szCs w:val="20"/>
                <w:lang w:val="en-GB"/>
              </w:rPr>
              <w:t>PM</w:t>
            </w:r>
          </w:p>
        </w:tc>
        <w:tc>
          <w:tcPr>
            <w:tcW w:w="1810" w:type="dxa"/>
          </w:tcPr>
          <w:p w14:paraId="08A44D7F" w14:textId="77777777" w:rsidR="007C344D" w:rsidRPr="00DB6C99" w:rsidRDefault="007C344D" w:rsidP="007C344D">
            <w:pPr>
              <w:widowControl w:val="0"/>
              <w:tabs>
                <w:tab w:val="decimal" w:pos="630"/>
              </w:tabs>
              <w:kinsoku w:val="0"/>
              <w:overflowPunct w:val="0"/>
              <w:autoSpaceDE w:val="0"/>
              <w:autoSpaceDN w:val="0"/>
              <w:adjustRightInd w:val="0"/>
              <w:jc w:val="both"/>
              <w:rPr>
                <w:rFonts w:ascii="Garamond" w:hAnsi="Garamond"/>
                <w:i/>
                <w:iCs/>
                <w:sz w:val="20"/>
                <w:szCs w:val="20"/>
                <w:lang w:val="en-GB"/>
              </w:rPr>
            </w:pPr>
            <w:r w:rsidRPr="00DB6C99">
              <w:rPr>
                <w:rFonts w:ascii="Garamond" w:hAnsi="Garamond"/>
                <w:sz w:val="20"/>
                <w:szCs w:val="20"/>
              </w:rPr>
              <w:t>-0.136</w:t>
            </w:r>
          </w:p>
        </w:tc>
        <w:tc>
          <w:tcPr>
            <w:tcW w:w="1876" w:type="dxa"/>
          </w:tcPr>
          <w:p w14:paraId="223DAFF8" w14:textId="77777777" w:rsidR="007C344D" w:rsidRPr="00DB6C99" w:rsidRDefault="007C344D" w:rsidP="007C344D">
            <w:pPr>
              <w:widowControl w:val="0"/>
              <w:tabs>
                <w:tab w:val="decimal" w:pos="777"/>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0.051</w:t>
            </w:r>
          </w:p>
        </w:tc>
        <w:tc>
          <w:tcPr>
            <w:tcW w:w="1427" w:type="dxa"/>
          </w:tcPr>
          <w:p w14:paraId="339484BA" w14:textId="77777777" w:rsidR="007C344D" w:rsidRPr="00DB6C99" w:rsidRDefault="007C344D" w:rsidP="007C344D">
            <w:pPr>
              <w:widowControl w:val="0"/>
              <w:tabs>
                <w:tab w:val="decimal" w:pos="540"/>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-0.042</w:t>
            </w:r>
          </w:p>
        </w:tc>
        <w:tc>
          <w:tcPr>
            <w:tcW w:w="1701" w:type="dxa"/>
          </w:tcPr>
          <w:p w14:paraId="63B49FEC" w14:textId="77777777" w:rsidR="007C344D" w:rsidRPr="00DB6C99" w:rsidRDefault="007C344D" w:rsidP="007C344D">
            <w:pPr>
              <w:widowControl w:val="0"/>
              <w:tabs>
                <w:tab w:val="decimal" w:pos="0"/>
              </w:tabs>
              <w:kinsoku w:val="0"/>
              <w:overflowPunct w:val="0"/>
              <w:autoSpaceDE w:val="0"/>
              <w:autoSpaceDN w:val="0"/>
              <w:adjustRightInd w:val="0"/>
              <w:jc w:val="center"/>
              <w:rPr>
                <w:rFonts w:ascii="Garamond" w:hAnsi="Garamond"/>
                <w:sz w:val="20"/>
                <w:szCs w:val="20"/>
                <w:lang w:val="en-GB"/>
              </w:rPr>
            </w:pPr>
            <w:r w:rsidRPr="00DB6C99">
              <w:rPr>
                <w:rFonts w:ascii="Garamond" w:hAnsi="Garamond"/>
                <w:sz w:val="20"/>
                <w:szCs w:val="20"/>
              </w:rPr>
              <w:t>0.034</w:t>
            </w:r>
          </w:p>
        </w:tc>
        <w:tc>
          <w:tcPr>
            <w:tcW w:w="1307" w:type="dxa"/>
          </w:tcPr>
          <w:p w14:paraId="2367FE19"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-0.018</w:t>
            </w:r>
          </w:p>
        </w:tc>
        <w:tc>
          <w:tcPr>
            <w:tcW w:w="1466" w:type="dxa"/>
          </w:tcPr>
          <w:p w14:paraId="678BC4FE" w14:textId="77777777" w:rsidR="007C344D" w:rsidRPr="00DB6C99" w:rsidRDefault="007C344D" w:rsidP="007C344D">
            <w:pPr>
              <w:widowControl w:val="0"/>
              <w:tabs>
                <w:tab w:val="decimal" w:pos="645"/>
              </w:tabs>
              <w:kinsoku w:val="0"/>
              <w:overflowPunct w:val="0"/>
              <w:autoSpaceDE w:val="0"/>
              <w:autoSpaceDN w:val="0"/>
              <w:adjustRightInd w:val="0"/>
              <w:rPr>
                <w:rFonts w:ascii="Garamond" w:hAnsi="Garamond"/>
                <w:sz w:val="20"/>
                <w:szCs w:val="20"/>
              </w:rPr>
            </w:pPr>
            <w:r w:rsidRPr="00DB6C99">
              <w:rPr>
                <w:rFonts w:ascii="Garamond" w:hAnsi="Garamond"/>
                <w:sz w:val="20"/>
                <w:szCs w:val="20"/>
              </w:rPr>
              <w:t>-0.002</w:t>
            </w:r>
          </w:p>
        </w:tc>
        <w:tc>
          <w:tcPr>
            <w:tcW w:w="1245" w:type="dxa"/>
          </w:tcPr>
          <w:p w14:paraId="78114226" w14:textId="77777777" w:rsidR="007C344D" w:rsidRPr="00DB6C99" w:rsidRDefault="007C344D" w:rsidP="007C344D">
            <w:pPr>
              <w:widowControl w:val="0"/>
              <w:tabs>
                <w:tab w:val="decimal" w:pos="434"/>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0.272***</w:t>
            </w:r>
          </w:p>
        </w:tc>
      </w:tr>
      <w:tr w:rsidR="00DB6C99" w:rsidRPr="00DB6C99" w14:paraId="7FCFF802" w14:textId="77777777" w:rsidTr="007C344D">
        <w:trPr>
          <w:trHeight w:val="197"/>
          <w:jc w:val="center"/>
        </w:trPr>
        <w:tc>
          <w:tcPr>
            <w:tcW w:w="3544" w:type="dxa"/>
            <w:vAlign w:val="center"/>
          </w:tcPr>
          <w:p w14:paraId="79709020" w14:textId="77777777" w:rsidR="007C344D" w:rsidRPr="00DB6C99" w:rsidRDefault="007C344D" w:rsidP="007C344D">
            <w:pPr>
              <w:widowControl w:val="0"/>
              <w:kinsoku w:val="0"/>
              <w:overflowPunct w:val="0"/>
              <w:autoSpaceDE w:val="0"/>
              <w:autoSpaceDN w:val="0"/>
              <w:adjustRightInd w:val="0"/>
              <w:jc w:val="both"/>
              <w:rPr>
                <w:rFonts w:ascii="Garamond" w:hAnsi="Garamond"/>
                <w:i/>
                <w:iCs/>
                <w:sz w:val="20"/>
                <w:szCs w:val="20"/>
                <w:lang w:val="en-GB"/>
              </w:rPr>
            </w:pPr>
          </w:p>
        </w:tc>
        <w:tc>
          <w:tcPr>
            <w:tcW w:w="1810" w:type="dxa"/>
          </w:tcPr>
          <w:p w14:paraId="6E560B91" w14:textId="77777777" w:rsidR="007C344D" w:rsidRPr="00DB6C99" w:rsidRDefault="007C344D" w:rsidP="007C344D">
            <w:pPr>
              <w:widowControl w:val="0"/>
              <w:tabs>
                <w:tab w:val="decimal" w:pos="630"/>
              </w:tabs>
              <w:kinsoku w:val="0"/>
              <w:overflowPunct w:val="0"/>
              <w:autoSpaceDE w:val="0"/>
              <w:autoSpaceDN w:val="0"/>
              <w:adjustRightInd w:val="0"/>
              <w:jc w:val="both"/>
              <w:rPr>
                <w:rFonts w:ascii="Garamond" w:hAnsi="Garamond"/>
                <w:i/>
                <w:iCs/>
                <w:sz w:val="20"/>
                <w:szCs w:val="20"/>
                <w:lang w:val="en-GB"/>
              </w:rPr>
            </w:pPr>
            <w:r w:rsidRPr="00DB6C99">
              <w:rPr>
                <w:rFonts w:ascii="Garamond" w:hAnsi="Garamond"/>
                <w:sz w:val="20"/>
                <w:szCs w:val="20"/>
              </w:rPr>
              <w:t>(-1.07)</w:t>
            </w:r>
          </w:p>
        </w:tc>
        <w:tc>
          <w:tcPr>
            <w:tcW w:w="1876" w:type="dxa"/>
          </w:tcPr>
          <w:p w14:paraId="7606A1E6" w14:textId="77777777" w:rsidR="007C344D" w:rsidRPr="00DB6C99" w:rsidRDefault="007C344D" w:rsidP="007C344D">
            <w:pPr>
              <w:widowControl w:val="0"/>
              <w:tabs>
                <w:tab w:val="decimal" w:pos="777"/>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(0.24)</w:t>
            </w:r>
          </w:p>
        </w:tc>
        <w:tc>
          <w:tcPr>
            <w:tcW w:w="1427" w:type="dxa"/>
          </w:tcPr>
          <w:p w14:paraId="777DE7DE" w14:textId="77777777" w:rsidR="007C344D" w:rsidRPr="00DB6C99" w:rsidRDefault="007C344D" w:rsidP="007C344D">
            <w:pPr>
              <w:widowControl w:val="0"/>
              <w:tabs>
                <w:tab w:val="decimal" w:pos="540"/>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(-0.44)</w:t>
            </w:r>
          </w:p>
        </w:tc>
        <w:tc>
          <w:tcPr>
            <w:tcW w:w="1701" w:type="dxa"/>
          </w:tcPr>
          <w:p w14:paraId="34351E78" w14:textId="77777777" w:rsidR="007C344D" w:rsidRPr="00DB6C99" w:rsidRDefault="007C344D" w:rsidP="007C344D">
            <w:pPr>
              <w:widowControl w:val="0"/>
              <w:tabs>
                <w:tab w:val="decimal" w:pos="0"/>
              </w:tabs>
              <w:kinsoku w:val="0"/>
              <w:overflowPunct w:val="0"/>
              <w:autoSpaceDE w:val="0"/>
              <w:autoSpaceDN w:val="0"/>
              <w:adjustRightInd w:val="0"/>
              <w:jc w:val="center"/>
              <w:rPr>
                <w:rFonts w:ascii="Garamond" w:hAnsi="Garamond"/>
                <w:sz w:val="20"/>
                <w:szCs w:val="20"/>
                <w:lang w:val="en-GB"/>
              </w:rPr>
            </w:pPr>
            <w:r w:rsidRPr="00DB6C99">
              <w:rPr>
                <w:rFonts w:ascii="Garamond" w:hAnsi="Garamond"/>
                <w:sz w:val="20"/>
                <w:szCs w:val="20"/>
              </w:rPr>
              <w:t>(0.22)</w:t>
            </w:r>
          </w:p>
        </w:tc>
        <w:tc>
          <w:tcPr>
            <w:tcW w:w="1307" w:type="dxa"/>
          </w:tcPr>
          <w:p w14:paraId="74DEADF1"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(-0.18)</w:t>
            </w:r>
          </w:p>
        </w:tc>
        <w:tc>
          <w:tcPr>
            <w:tcW w:w="1466" w:type="dxa"/>
          </w:tcPr>
          <w:p w14:paraId="1DC3FA47" w14:textId="77777777" w:rsidR="007C344D" w:rsidRPr="00DB6C99" w:rsidRDefault="007C344D" w:rsidP="007C344D">
            <w:pPr>
              <w:widowControl w:val="0"/>
              <w:tabs>
                <w:tab w:val="decimal" w:pos="645"/>
              </w:tabs>
              <w:kinsoku w:val="0"/>
              <w:overflowPunct w:val="0"/>
              <w:autoSpaceDE w:val="0"/>
              <w:autoSpaceDN w:val="0"/>
              <w:adjustRightInd w:val="0"/>
              <w:rPr>
                <w:rFonts w:ascii="Garamond" w:hAnsi="Garamond"/>
                <w:sz w:val="20"/>
                <w:szCs w:val="20"/>
              </w:rPr>
            </w:pPr>
            <w:r w:rsidRPr="00DB6C99">
              <w:rPr>
                <w:rFonts w:ascii="Garamond" w:hAnsi="Garamond"/>
                <w:sz w:val="20"/>
                <w:szCs w:val="20"/>
              </w:rPr>
              <w:t>(-0.35)</w:t>
            </w:r>
          </w:p>
        </w:tc>
        <w:tc>
          <w:tcPr>
            <w:tcW w:w="1245" w:type="dxa"/>
          </w:tcPr>
          <w:p w14:paraId="026535DC" w14:textId="77777777" w:rsidR="007C344D" w:rsidRPr="00DB6C99" w:rsidRDefault="007C344D" w:rsidP="007C344D">
            <w:pPr>
              <w:widowControl w:val="0"/>
              <w:tabs>
                <w:tab w:val="decimal" w:pos="434"/>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(3.48)</w:t>
            </w:r>
          </w:p>
        </w:tc>
      </w:tr>
      <w:tr w:rsidR="00DB6C99" w:rsidRPr="00DB6C99" w14:paraId="6FC47F8F" w14:textId="77777777" w:rsidTr="007C344D">
        <w:trPr>
          <w:trHeight w:val="123"/>
          <w:jc w:val="center"/>
        </w:trPr>
        <w:tc>
          <w:tcPr>
            <w:tcW w:w="3544" w:type="dxa"/>
            <w:vAlign w:val="center"/>
          </w:tcPr>
          <w:p w14:paraId="686A62AE" w14:textId="77777777" w:rsidR="007C344D" w:rsidRPr="00DB6C99" w:rsidRDefault="007C344D" w:rsidP="007C344D">
            <w:pPr>
              <w:widowControl w:val="0"/>
              <w:kinsoku w:val="0"/>
              <w:overflowPunct w:val="0"/>
              <w:autoSpaceDE w:val="0"/>
              <w:autoSpaceDN w:val="0"/>
              <w:adjustRightInd w:val="0"/>
              <w:jc w:val="both"/>
              <w:rPr>
                <w:rFonts w:ascii="Garamond" w:hAnsi="Garamond"/>
                <w:sz w:val="20"/>
                <w:szCs w:val="20"/>
              </w:rPr>
            </w:pPr>
            <w:r w:rsidRPr="00DB6C99">
              <w:rPr>
                <w:rFonts w:ascii="Garamond" w:hAnsi="Garamond"/>
                <w:i/>
                <w:iCs/>
                <w:sz w:val="20"/>
                <w:szCs w:val="20"/>
                <w:lang w:val="en-GB"/>
              </w:rPr>
              <w:t>ROA</w:t>
            </w:r>
          </w:p>
        </w:tc>
        <w:tc>
          <w:tcPr>
            <w:tcW w:w="1810" w:type="dxa"/>
          </w:tcPr>
          <w:p w14:paraId="5458AB04" w14:textId="77777777" w:rsidR="007C344D" w:rsidRPr="00DB6C99" w:rsidRDefault="007C344D" w:rsidP="007C344D">
            <w:pPr>
              <w:widowControl w:val="0"/>
              <w:tabs>
                <w:tab w:val="decimal" w:pos="630"/>
              </w:tabs>
              <w:kinsoku w:val="0"/>
              <w:overflowPunct w:val="0"/>
              <w:autoSpaceDE w:val="0"/>
              <w:autoSpaceDN w:val="0"/>
              <w:adjustRightInd w:val="0"/>
              <w:jc w:val="both"/>
              <w:rPr>
                <w:rFonts w:ascii="Garamond" w:hAnsi="Garamond"/>
                <w:i/>
                <w:iCs/>
                <w:sz w:val="20"/>
                <w:szCs w:val="20"/>
                <w:lang w:val="en-GB"/>
              </w:rPr>
            </w:pPr>
            <w:r w:rsidRPr="00DB6C99">
              <w:rPr>
                <w:rFonts w:ascii="Garamond" w:hAnsi="Garamond"/>
                <w:sz w:val="20"/>
                <w:szCs w:val="20"/>
              </w:rPr>
              <w:t>0.529**</w:t>
            </w:r>
          </w:p>
        </w:tc>
        <w:tc>
          <w:tcPr>
            <w:tcW w:w="1876" w:type="dxa"/>
          </w:tcPr>
          <w:p w14:paraId="68A59151" w14:textId="77777777" w:rsidR="007C344D" w:rsidRPr="00DB6C99" w:rsidRDefault="007C344D" w:rsidP="007C344D">
            <w:pPr>
              <w:widowControl w:val="0"/>
              <w:tabs>
                <w:tab w:val="decimal" w:pos="777"/>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-0.118</w:t>
            </w:r>
          </w:p>
        </w:tc>
        <w:tc>
          <w:tcPr>
            <w:tcW w:w="1427" w:type="dxa"/>
          </w:tcPr>
          <w:p w14:paraId="32C4BA9A" w14:textId="77777777" w:rsidR="007C344D" w:rsidRPr="00DB6C99" w:rsidRDefault="007C344D" w:rsidP="007C344D">
            <w:pPr>
              <w:widowControl w:val="0"/>
              <w:tabs>
                <w:tab w:val="decimal" w:pos="540"/>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0.011</w:t>
            </w:r>
          </w:p>
        </w:tc>
        <w:tc>
          <w:tcPr>
            <w:tcW w:w="1701" w:type="dxa"/>
          </w:tcPr>
          <w:p w14:paraId="4037682F" w14:textId="77777777" w:rsidR="007C344D" w:rsidRPr="00DB6C99" w:rsidRDefault="007C344D" w:rsidP="007C344D">
            <w:pPr>
              <w:widowControl w:val="0"/>
              <w:tabs>
                <w:tab w:val="decimal" w:pos="0"/>
              </w:tabs>
              <w:kinsoku w:val="0"/>
              <w:overflowPunct w:val="0"/>
              <w:autoSpaceDE w:val="0"/>
              <w:autoSpaceDN w:val="0"/>
              <w:adjustRightInd w:val="0"/>
              <w:jc w:val="center"/>
              <w:rPr>
                <w:rFonts w:ascii="Garamond" w:hAnsi="Garamond"/>
                <w:sz w:val="20"/>
                <w:szCs w:val="20"/>
                <w:lang w:val="en-GB"/>
              </w:rPr>
            </w:pPr>
            <w:r w:rsidRPr="00DB6C99">
              <w:rPr>
                <w:rFonts w:ascii="Garamond" w:hAnsi="Garamond"/>
                <w:sz w:val="20"/>
                <w:szCs w:val="20"/>
              </w:rPr>
              <w:t>0.570*</w:t>
            </w:r>
          </w:p>
        </w:tc>
        <w:tc>
          <w:tcPr>
            <w:tcW w:w="1307" w:type="dxa"/>
          </w:tcPr>
          <w:p w14:paraId="28A49C6E"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0.071</w:t>
            </w:r>
          </w:p>
        </w:tc>
        <w:tc>
          <w:tcPr>
            <w:tcW w:w="1466" w:type="dxa"/>
          </w:tcPr>
          <w:p w14:paraId="4E11FB21" w14:textId="77777777" w:rsidR="007C344D" w:rsidRPr="00DB6C99" w:rsidRDefault="007C344D" w:rsidP="007C344D">
            <w:pPr>
              <w:widowControl w:val="0"/>
              <w:tabs>
                <w:tab w:val="decimal" w:pos="645"/>
              </w:tabs>
              <w:kinsoku w:val="0"/>
              <w:overflowPunct w:val="0"/>
              <w:autoSpaceDE w:val="0"/>
              <w:autoSpaceDN w:val="0"/>
              <w:adjustRightInd w:val="0"/>
              <w:rPr>
                <w:rFonts w:ascii="Garamond" w:hAnsi="Garamond"/>
                <w:sz w:val="20"/>
                <w:szCs w:val="20"/>
              </w:rPr>
            </w:pPr>
            <w:r w:rsidRPr="00DB6C99">
              <w:rPr>
                <w:rFonts w:ascii="Garamond" w:hAnsi="Garamond"/>
                <w:sz w:val="20"/>
                <w:szCs w:val="20"/>
              </w:rPr>
              <w:t>0.019</w:t>
            </w:r>
          </w:p>
        </w:tc>
        <w:tc>
          <w:tcPr>
            <w:tcW w:w="1245" w:type="dxa"/>
          </w:tcPr>
          <w:p w14:paraId="22DC12A8" w14:textId="77777777" w:rsidR="007C344D" w:rsidRPr="00DB6C99" w:rsidRDefault="007C344D" w:rsidP="007C344D">
            <w:pPr>
              <w:widowControl w:val="0"/>
              <w:tabs>
                <w:tab w:val="decimal" w:pos="434"/>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-0.114</w:t>
            </w:r>
          </w:p>
        </w:tc>
      </w:tr>
      <w:tr w:rsidR="00DB6C99" w:rsidRPr="00DB6C99" w14:paraId="754D7C08" w14:textId="77777777" w:rsidTr="007C344D">
        <w:trPr>
          <w:trHeight w:val="173"/>
          <w:jc w:val="center"/>
        </w:trPr>
        <w:tc>
          <w:tcPr>
            <w:tcW w:w="3544" w:type="dxa"/>
            <w:vAlign w:val="center"/>
          </w:tcPr>
          <w:p w14:paraId="605E8A8E" w14:textId="77777777" w:rsidR="007C344D" w:rsidRPr="00DB6C99" w:rsidRDefault="007C344D" w:rsidP="007C344D">
            <w:pPr>
              <w:widowControl w:val="0"/>
              <w:kinsoku w:val="0"/>
              <w:overflowPunct w:val="0"/>
              <w:autoSpaceDE w:val="0"/>
              <w:autoSpaceDN w:val="0"/>
              <w:adjustRightInd w:val="0"/>
              <w:jc w:val="both"/>
              <w:rPr>
                <w:rFonts w:ascii="Garamond" w:hAnsi="Garamond"/>
                <w:i/>
                <w:iCs/>
                <w:sz w:val="20"/>
                <w:szCs w:val="20"/>
                <w:lang w:val="en-GB"/>
              </w:rPr>
            </w:pPr>
          </w:p>
        </w:tc>
        <w:tc>
          <w:tcPr>
            <w:tcW w:w="1810" w:type="dxa"/>
          </w:tcPr>
          <w:p w14:paraId="25F6624C" w14:textId="77777777" w:rsidR="007C344D" w:rsidRPr="00DB6C99" w:rsidRDefault="007C344D" w:rsidP="007C344D">
            <w:pPr>
              <w:widowControl w:val="0"/>
              <w:tabs>
                <w:tab w:val="decimal" w:pos="630"/>
              </w:tabs>
              <w:kinsoku w:val="0"/>
              <w:overflowPunct w:val="0"/>
              <w:autoSpaceDE w:val="0"/>
              <w:autoSpaceDN w:val="0"/>
              <w:adjustRightInd w:val="0"/>
              <w:jc w:val="both"/>
              <w:rPr>
                <w:rFonts w:ascii="Garamond" w:hAnsi="Garamond"/>
                <w:i/>
                <w:iCs/>
                <w:sz w:val="20"/>
                <w:szCs w:val="20"/>
                <w:lang w:val="en-GB"/>
              </w:rPr>
            </w:pPr>
            <w:r w:rsidRPr="00DB6C99">
              <w:rPr>
                <w:rFonts w:ascii="Garamond" w:hAnsi="Garamond"/>
                <w:sz w:val="20"/>
                <w:szCs w:val="20"/>
              </w:rPr>
              <w:t>(2.04)</w:t>
            </w:r>
          </w:p>
        </w:tc>
        <w:tc>
          <w:tcPr>
            <w:tcW w:w="1876" w:type="dxa"/>
          </w:tcPr>
          <w:p w14:paraId="7825C8FC" w14:textId="77777777" w:rsidR="007C344D" w:rsidRPr="00DB6C99" w:rsidRDefault="007C344D" w:rsidP="007C344D">
            <w:pPr>
              <w:widowControl w:val="0"/>
              <w:tabs>
                <w:tab w:val="decimal" w:pos="777"/>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(-0.29)</w:t>
            </w:r>
          </w:p>
        </w:tc>
        <w:tc>
          <w:tcPr>
            <w:tcW w:w="1427" w:type="dxa"/>
          </w:tcPr>
          <w:p w14:paraId="5C9C6168" w14:textId="77777777" w:rsidR="007C344D" w:rsidRPr="00DB6C99" w:rsidRDefault="007C344D" w:rsidP="007C344D">
            <w:pPr>
              <w:widowControl w:val="0"/>
              <w:tabs>
                <w:tab w:val="decimal" w:pos="540"/>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(0.06)</w:t>
            </w:r>
          </w:p>
        </w:tc>
        <w:tc>
          <w:tcPr>
            <w:tcW w:w="1701" w:type="dxa"/>
          </w:tcPr>
          <w:p w14:paraId="7651C857" w14:textId="77777777" w:rsidR="007C344D" w:rsidRPr="00DB6C99" w:rsidRDefault="007C344D" w:rsidP="007C344D">
            <w:pPr>
              <w:widowControl w:val="0"/>
              <w:tabs>
                <w:tab w:val="decimal" w:pos="0"/>
              </w:tabs>
              <w:kinsoku w:val="0"/>
              <w:overflowPunct w:val="0"/>
              <w:autoSpaceDE w:val="0"/>
              <w:autoSpaceDN w:val="0"/>
              <w:adjustRightInd w:val="0"/>
              <w:jc w:val="center"/>
              <w:rPr>
                <w:rFonts w:ascii="Garamond" w:hAnsi="Garamond"/>
                <w:sz w:val="20"/>
                <w:szCs w:val="20"/>
                <w:lang w:val="en-GB"/>
              </w:rPr>
            </w:pPr>
            <w:r w:rsidRPr="00DB6C99">
              <w:rPr>
                <w:rFonts w:ascii="Garamond" w:hAnsi="Garamond"/>
                <w:sz w:val="20"/>
                <w:szCs w:val="20"/>
              </w:rPr>
              <w:t>(1.83)</w:t>
            </w:r>
          </w:p>
        </w:tc>
        <w:tc>
          <w:tcPr>
            <w:tcW w:w="1307" w:type="dxa"/>
          </w:tcPr>
          <w:p w14:paraId="3A7FB195"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(0.38)</w:t>
            </w:r>
          </w:p>
        </w:tc>
        <w:tc>
          <w:tcPr>
            <w:tcW w:w="1466" w:type="dxa"/>
          </w:tcPr>
          <w:p w14:paraId="4FCC8442" w14:textId="77777777" w:rsidR="007C344D" w:rsidRPr="00DB6C99" w:rsidRDefault="007C344D" w:rsidP="007C344D">
            <w:pPr>
              <w:widowControl w:val="0"/>
              <w:tabs>
                <w:tab w:val="decimal" w:pos="645"/>
              </w:tabs>
              <w:kinsoku w:val="0"/>
              <w:overflowPunct w:val="0"/>
              <w:autoSpaceDE w:val="0"/>
              <w:autoSpaceDN w:val="0"/>
              <w:adjustRightInd w:val="0"/>
              <w:rPr>
                <w:rFonts w:ascii="Garamond" w:hAnsi="Garamond"/>
                <w:sz w:val="20"/>
                <w:szCs w:val="20"/>
              </w:rPr>
            </w:pPr>
            <w:r w:rsidRPr="00DB6C99">
              <w:rPr>
                <w:rFonts w:ascii="Garamond" w:hAnsi="Garamond"/>
                <w:sz w:val="20"/>
                <w:szCs w:val="20"/>
              </w:rPr>
              <w:t>(1.47)</w:t>
            </w:r>
          </w:p>
        </w:tc>
        <w:tc>
          <w:tcPr>
            <w:tcW w:w="1245" w:type="dxa"/>
          </w:tcPr>
          <w:p w14:paraId="73FABDBA" w14:textId="77777777" w:rsidR="007C344D" w:rsidRPr="00DB6C99" w:rsidRDefault="007C344D" w:rsidP="007C344D">
            <w:pPr>
              <w:widowControl w:val="0"/>
              <w:tabs>
                <w:tab w:val="decimal" w:pos="434"/>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(-0.72)</w:t>
            </w:r>
          </w:p>
        </w:tc>
      </w:tr>
      <w:tr w:rsidR="00DB6C99" w:rsidRPr="00DB6C99" w14:paraId="23494EA1" w14:textId="77777777" w:rsidTr="007C344D">
        <w:trPr>
          <w:trHeight w:val="268"/>
          <w:jc w:val="center"/>
        </w:trPr>
        <w:tc>
          <w:tcPr>
            <w:tcW w:w="3544" w:type="dxa"/>
            <w:vAlign w:val="center"/>
          </w:tcPr>
          <w:p w14:paraId="389C3BAA" w14:textId="77777777" w:rsidR="007C344D" w:rsidRPr="00DB6C99" w:rsidRDefault="007C344D" w:rsidP="007C344D">
            <w:pPr>
              <w:widowControl w:val="0"/>
              <w:kinsoku w:val="0"/>
              <w:overflowPunct w:val="0"/>
              <w:autoSpaceDE w:val="0"/>
              <w:autoSpaceDN w:val="0"/>
              <w:adjustRightInd w:val="0"/>
              <w:jc w:val="both"/>
              <w:rPr>
                <w:rFonts w:ascii="Garamond" w:hAnsi="Garamond"/>
                <w:sz w:val="20"/>
                <w:szCs w:val="20"/>
              </w:rPr>
            </w:pPr>
            <w:r w:rsidRPr="00DB6C99">
              <w:rPr>
                <w:rFonts w:ascii="Garamond" w:hAnsi="Garamond"/>
                <w:i/>
                <w:iCs/>
                <w:sz w:val="20"/>
                <w:szCs w:val="20"/>
                <w:lang w:val="en-GB"/>
              </w:rPr>
              <w:t>CI</w:t>
            </w:r>
          </w:p>
        </w:tc>
        <w:tc>
          <w:tcPr>
            <w:tcW w:w="1810" w:type="dxa"/>
          </w:tcPr>
          <w:p w14:paraId="5CA9ACDE" w14:textId="77777777" w:rsidR="007C344D" w:rsidRPr="00DB6C99" w:rsidRDefault="007C344D" w:rsidP="007C344D">
            <w:pPr>
              <w:widowControl w:val="0"/>
              <w:tabs>
                <w:tab w:val="decimal" w:pos="630"/>
              </w:tabs>
              <w:kinsoku w:val="0"/>
              <w:overflowPunct w:val="0"/>
              <w:autoSpaceDE w:val="0"/>
              <w:autoSpaceDN w:val="0"/>
              <w:adjustRightInd w:val="0"/>
              <w:jc w:val="both"/>
              <w:rPr>
                <w:rFonts w:ascii="Garamond" w:hAnsi="Garamond"/>
                <w:i/>
                <w:iCs/>
                <w:sz w:val="20"/>
                <w:szCs w:val="20"/>
                <w:lang w:val="en-GB"/>
              </w:rPr>
            </w:pPr>
            <w:r w:rsidRPr="00DB6C99">
              <w:rPr>
                <w:rFonts w:ascii="Garamond" w:hAnsi="Garamond"/>
                <w:sz w:val="20"/>
                <w:szCs w:val="20"/>
              </w:rPr>
              <w:t>-0.019***</w:t>
            </w:r>
          </w:p>
        </w:tc>
        <w:tc>
          <w:tcPr>
            <w:tcW w:w="1876" w:type="dxa"/>
          </w:tcPr>
          <w:p w14:paraId="74599EC1" w14:textId="77777777" w:rsidR="007C344D" w:rsidRPr="00DB6C99" w:rsidRDefault="007C344D" w:rsidP="007C344D">
            <w:pPr>
              <w:widowControl w:val="0"/>
              <w:tabs>
                <w:tab w:val="decimal" w:pos="777"/>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-0.000</w:t>
            </w:r>
          </w:p>
        </w:tc>
        <w:tc>
          <w:tcPr>
            <w:tcW w:w="1427" w:type="dxa"/>
          </w:tcPr>
          <w:p w14:paraId="2D2C57B6" w14:textId="77777777" w:rsidR="007C344D" w:rsidRPr="00DB6C99" w:rsidRDefault="007C344D" w:rsidP="007C344D">
            <w:pPr>
              <w:widowControl w:val="0"/>
              <w:tabs>
                <w:tab w:val="decimal" w:pos="540"/>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0.009</w:t>
            </w:r>
          </w:p>
        </w:tc>
        <w:tc>
          <w:tcPr>
            <w:tcW w:w="1701" w:type="dxa"/>
          </w:tcPr>
          <w:p w14:paraId="192DB5DD" w14:textId="77777777" w:rsidR="007C344D" w:rsidRPr="00DB6C99" w:rsidRDefault="007C344D" w:rsidP="007C344D">
            <w:pPr>
              <w:widowControl w:val="0"/>
              <w:tabs>
                <w:tab w:val="decimal" w:pos="0"/>
              </w:tabs>
              <w:kinsoku w:val="0"/>
              <w:overflowPunct w:val="0"/>
              <w:autoSpaceDE w:val="0"/>
              <w:autoSpaceDN w:val="0"/>
              <w:adjustRightInd w:val="0"/>
              <w:jc w:val="center"/>
              <w:rPr>
                <w:rFonts w:ascii="Garamond" w:hAnsi="Garamond"/>
                <w:sz w:val="20"/>
                <w:szCs w:val="20"/>
                <w:lang w:val="en-GB"/>
              </w:rPr>
            </w:pPr>
            <w:r w:rsidRPr="00DB6C99">
              <w:rPr>
                <w:rFonts w:ascii="Garamond" w:hAnsi="Garamond"/>
                <w:sz w:val="20"/>
                <w:szCs w:val="20"/>
              </w:rPr>
              <w:t>-0.013**</w:t>
            </w:r>
          </w:p>
        </w:tc>
        <w:tc>
          <w:tcPr>
            <w:tcW w:w="1307" w:type="dxa"/>
          </w:tcPr>
          <w:p w14:paraId="09A6A379"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0.007</w:t>
            </w:r>
          </w:p>
        </w:tc>
        <w:tc>
          <w:tcPr>
            <w:tcW w:w="1466" w:type="dxa"/>
          </w:tcPr>
          <w:p w14:paraId="58DA17AC" w14:textId="77777777" w:rsidR="007C344D" w:rsidRPr="00DB6C99" w:rsidRDefault="007C344D" w:rsidP="007C344D">
            <w:pPr>
              <w:widowControl w:val="0"/>
              <w:tabs>
                <w:tab w:val="decimal" w:pos="645"/>
              </w:tabs>
              <w:kinsoku w:val="0"/>
              <w:overflowPunct w:val="0"/>
              <w:autoSpaceDE w:val="0"/>
              <w:autoSpaceDN w:val="0"/>
              <w:adjustRightInd w:val="0"/>
              <w:rPr>
                <w:rFonts w:ascii="Garamond" w:hAnsi="Garamond"/>
                <w:sz w:val="20"/>
                <w:szCs w:val="20"/>
              </w:rPr>
            </w:pPr>
            <w:r w:rsidRPr="00DB6C99">
              <w:rPr>
                <w:rFonts w:ascii="Garamond" w:hAnsi="Garamond"/>
                <w:sz w:val="20"/>
                <w:szCs w:val="20"/>
              </w:rPr>
              <w:t>-0.001**</w:t>
            </w:r>
          </w:p>
        </w:tc>
        <w:tc>
          <w:tcPr>
            <w:tcW w:w="1245" w:type="dxa"/>
          </w:tcPr>
          <w:p w14:paraId="41CAFC99" w14:textId="77777777" w:rsidR="007C344D" w:rsidRPr="00DB6C99" w:rsidRDefault="007C344D" w:rsidP="007C344D">
            <w:pPr>
              <w:widowControl w:val="0"/>
              <w:tabs>
                <w:tab w:val="decimal" w:pos="434"/>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0.016***</w:t>
            </w:r>
          </w:p>
        </w:tc>
      </w:tr>
      <w:tr w:rsidR="00DB6C99" w:rsidRPr="00DB6C99" w14:paraId="2E2511FC" w14:textId="77777777" w:rsidTr="007C344D">
        <w:trPr>
          <w:trHeight w:val="103"/>
          <w:jc w:val="center"/>
        </w:trPr>
        <w:tc>
          <w:tcPr>
            <w:tcW w:w="3544" w:type="dxa"/>
            <w:vAlign w:val="center"/>
          </w:tcPr>
          <w:p w14:paraId="4E5A302F" w14:textId="77777777" w:rsidR="007C344D" w:rsidRPr="00DB6C99" w:rsidRDefault="007C344D" w:rsidP="007C344D">
            <w:pPr>
              <w:widowControl w:val="0"/>
              <w:kinsoku w:val="0"/>
              <w:overflowPunct w:val="0"/>
              <w:autoSpaceDE w:val="0"/>
              <w:autoSpaceDN w:val="0"/>
              <w:adjustRightInd w:val="0"/>
              <w:jc w:val="both"/>
              <w:rPr>
                <w:rFonts w:ascii="Garamond" w:hAnsi="Garamond"/>
                <w:i/>
                <w:iCs/>
                <w:sz w:val="20"/>
                <w:szCs w:val="20"/>
                <w:lang w:val="en-GB"/>
              </w:rPr>
            </w:pPr>
          </w:p>
        </w:tc>
        <w:tc>
          <w:tcPr>
            <w:tcW w:w="1810" w:type="dxa"/>
          </w:tcPr>
          <w:p w14:paraId="74F74FAA" w14:textId="77777777" w:rsidR="007C344D" w:rsidRPr="00DB6C99" w:rsidRDefault="007C344D" w:rsidP="007C344D">
            <w:pPr>
              <w:widowControl w:val="0"/>
              <w:tabs>
                <w:tab w:val="decimal" w:pos="630"/>
              </w:tabs>
              <w:kinsoku w:val="0"/>
              <w:overflowPunct w:val="0"/>
              <w:autoSpaceDE w:val="0"/>
              <w:autoSpaceDN w:val="0"/>
              <w:adjustRightInd w:val="0"/>
              <w:jc w:val="both"/>
              <w:rPr>
                <w:rFonts w:ascii="Garamond" w:hAnsi="Garamond"/>
                <w:i/>
                <w:iCs/>
                <w:sz w:val="20"/>
                <w:szCs w:val="20"/>
                <w:lang w:val="en-GB"/>
              </w:rPr>
            </w:pPr>
            <w:r w:rsidRPr="00DB6C99">
              <w:rPr>
                <w:rFonts w:ascii="Garamond" w:hAnsi="Garamond"/>
                <w:sz w:val="20"/>
                <w:szCs w:val="20"/>
              </w:rPr>
              <w:t>(-3.28)</w:t>
            </w:r>
          </w:p>
        </w:tc>
        <w:tc>
          <w:tcPr>
            <w:tcW w:w="1876" w:type="dxa"/>
          </w:tcPr>
          <w:p w14:paraId="4EB82FBB" w14:textId="77777777" w:rsidR="007C344D" w:rsidRPr="00DB6C99" w:rsidRDefault="007C344D" w:rsidP="007C344D">
            <w:pPr>
              <w:widowControl w:val="0"/>
              <w:tabs>
                <w:tab w:val="decimal" w:pos="777"/>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(-0.04)</w:t>
            </w:r>
          </w:p>
        </w:tc>
        <w:tc>
          <w:tcPr>
            <w:tcW w:w="1427" w:type="dxa"/>
          </w:tcPr>
          <w:p w14:paraId="0B0C0642" w14:textId="77777777" w:rsidR="007C344D" w:rsidRPr="00DB6C99" w:rsidRDefault="007C344D" w:rsidP="007C344D">
            <w:pPr>
              <w:widowControl w:val="0"/>
              <w:tabs>
                <w:tab w:val="decimal" w:pos="540"/>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(1.41)</w:t>
            </w:r>
          </w:p>
        </w:tc>
        <w:tc>
          <w:tcPr>
            <w:tcW w:w="1701" w:type="dxa"/>
          </w:tcPr>
          <w:p w14:paraId="6758C5FA" w14:textId="77777777" w:rsidR="007C344D" w:rsidRPr="00DB6C99" w:rsidRDefault="007C344D" w:rsidP="007C344D">
            <w:pPr>
              <w:widowControl w:val="0"/>
              <w:tabs>
                <w:tab w:val="decimal" w:pos="0"/>
              </w:tabs>
              <w:kinsoku w:val="0"/>
              <w:overflowPunct w:val="0"/>
              <w:autoSpaceDE w:val="0"/>
              <w:autoSpaceDN w:val="0"/>
              <w:adjustRightInd w:val="0"/>
              <w:jc w:val="center"/>
              <w:rPr>
                <w:rFonts w:ascii="Garamond" w:hAnsi="Garamond"/>
                <w:sz w:val="20"/>
                <w:szCs w:val="20"/>
                <w:lang w:val="en-GB"/>
              </w:rPr>
            </w:pPr>
            <w:r w:rsidRPr="00DB6C99">
              <w:rPr>
                <w:rFonts w:ascii="Garamond" w:hAnsi="Garamond"/>
                <w:sz w:val="20"/>
                <w:szCs w:val="20"/>
              </w:rPr>
              <w:t>(-2.00)</w:t>
            </w:r>
          </w:p>
        </w:tc>
        <w:tc>
          <w:tcPr>
            <w:tcW w:w="1307" w:type="dxa"/>
          </w:tcPr>
          <w:p w14:paraId="53AFE3E8"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(1.17)</w:t>
            </w:r>
          </w:p>
        </w:tc>
        <w:tc>
          <w:tcPr>
            <w:tcW w:w="1466" w:type="dxa"/>
          </w:tcPr>
          <w:p w14:paraId="1DC71E30" w14:textId="77777777" w:rsidR="007C344D" w:rsidRPr="00DB6C99" w:rsidRDefault="007C344D" w:rsidP="007C344D">
            <w:pPr>
              <w:widowControl w:val="0"/>
              <w:tabs>
                <w:tab w:val="decimal" w:pos="645"/>
              </w:tabs>
              <w:kinsoku w:val="0"/>
              <w:overflowPunct w:val="0"/>
              <w:autoSpaceDE w:val="0"/>
              <w:autoSpaceDN w:val="0"/>
              <w:adjustRightInd w:val="0"/>
              <w:rPr>
                <w:rFonts w:ascii="Garamond" w:hAnsi="Garamond"/>
                <w:sz w:val="20"/>
                <w:szCs w:val="20"/>
              </w:rPr>
            </w:pPr>
            <w:r w:rsidRPr="00DB6C99">
              <w:rPr>
                <w:rFonts w:ascii="Garamond" w:hAnsi="Garamond"/>
                <w:sz w:val="20"/>
                <w:szCs w:val="20"/>
              </w:rPr>
              <w:t>(-2.06)</w:t>
            </w:r>
          </w:p>
        </w:tc>
        <w:tc>
          <w:tcPr>
            <w:tcW w:w="1245" w:type="dxa"/>
          </w:tcPr>
          <w:p w14:paraId="7ADDE848" w14:textId="77777777" w:rsidR="007C344D" w:rsidRPr="00DB6C99" w:rsidRDefault="007C344D" w:rsidP="007C344D">
            <w:pPr>
              <w:widowControl w:val="0"/>
              <w:tabs>
                <w:tab w:val="decimal" w:pos="434"/>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(4.73)</w:t>
            </w:r>
          </w:p>
        </w:tc>
      </w:tr>
      <w:tr w:rsidR="00DB6C99" w:rsidRPr="00DB6C99" w14:paraId="4181B8D1" w14:textId="77777777" w:rsidTr="007C344D">
        <w:trPr>
          <w:trHeight w:val="264"/>
          <w:jc w:val="center"/>
        </w:trPr>
        <w:tc>
          <w:tcPr>
            <w:tcW w:w="3544" w:type="dxa"/>
            <w:vAlign w:val="center"/>
          </w:tcPr>
          <w:p w14:paraId="5F2FC5E3" w14:textId="77777777" w:rsidR="007C344D" w:rsidRPr="00DB6C99" w:rsidRDefault="007C344D" w:rsidP="007C344D">
            <w:pPr>
              <w:widowControl w:val="0"/>
              <w:kinsoku w:val="0"/>
              <w:overflowPunct w:val="0"/>
              <w:autoSpaceDE w:val="0"/>
              <w:autoSpaceDN w:val="0"/>
              <w:adjustRightInd w:val="0"/>
              <w:jc w:val="both"/>
              <w:rPr>
                <w:rFonts w:ascii="Garamond" w:hAnsi="Garamond"/>
                <w:i/>
                <w:iCs/>
                <w:sz w:val="20"/>
                <w:szCs w:val="20"/>
                <w:lang w:val="en-GB"/>
              </w:rPr>
            </w:pPr>
            <w:r w:rsidRPr="00DB6C99">
              <w:rPr>
                <w:rFonts w:ascii="Garamond" w:hAnsi="Garamond"/>
                <w:i/>
                <w:iCs/>
                <w:sz w:val="20"/>
                <w:szCs w:val="20"/>
              </w:rPr>
              <w:t>R&amp;D</w:t>
            </w:r>
          </w:p>
        </w:tc>
        <w:tc>
          <w:tcPr>
            <w:tcW w:w="1810" w:type="dxa"/>
          </w:tcPr>
          <w:p w14:paraId="46C79165" w14:textId="77777777" w:rsidR="007C344D" w:rsidRPr="00DB6C99" w:rsidRDefault="007C344D" w:rsidP="007C344D">
            <w:pPr>
              <w:widowControl w:val="0"/>
              <w:tabs>
                <w:tab w:val="decimal" w:pos="630"/>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0.941***</w:t>
            </w:r>
          </w:p>
        </w:tc>
        <w:tc>
          <w:tcPr>
            <w:tcW w:w="1876" w:type="dxa"/>
          </w:tcPr>
          <w:p w14:paraId="7121BA29" w14:textId="77777777" w:rsidR="007C344D" w:rsidRPr="00DB6C99" w:rsidRDefault="007C344D" w:rsidP="007C344D">
            <w:pPr>
              <w:widowControl w:val="0"/>
              <w:tabs>
                <w:tab w:val="decimal" w:pos="777"/>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-0.072</w:t>
            </w:r>
          </w:p>
        </w:tc>
        <w:tc>
          <w:tcPr>
            <w:tcW w:w="1427" w:type="dxa"/>
          </w:tcPr>
          <w:p w14:paraId="35EFBB5E" w14:textId="77777777" w:rsidR="007C344D" w:rsidRPr="00DB6C99" w:rsidRDefault="007C344D" w:rsidP="007C344D">
            <w:pPr>
              <w:widowControl w:val="0"/>
              <w:tabs>
                <w:tab w:val="decimal" w:pos="540"/>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0.394</w:t>
            </w:r>
          </w:p>
        </w:tc>
        <w:tc>
          <w:tcPr>
            <w:tcW w:w="1701" w:type="dxa"/>
          </w:tcPr>
          <w:p w14:paraId="48F3E462" w14:textId="77777777" w:rsidR="007C344D" w:rsidRPr="00DB6C99" w:rsidRDefault="007C344D" w:rsidP="007C344D">
            <w:pPr>
              <w:widowControl w:val="0"/>
              <w:tabs>
                <w:tab w:val="decimal" w:pos="0"/>
              </w:tabs>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1.167***</w:t>
            </w:r>
          </w:p>
        </w:tc>
        <w:tc>
          <w:tcPr>
            <w:tcW w:w="1307" w:type="dxa"/>
          </w:tcPr>
          <w:p w14:paraId="4F8D5845"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0.093</w:t>
            </w:r>
          </w:p>
        </w:tc>
        <w:tc>
          <w:tcPr>
            <w:tcW w:w="1466" w:type="dxa"/>
          </w:tcPr>
          <w:p w14:paraId="7C8032A5" w14:textId="77777777" w:rsidR="007C344D" w:rsidRPr="00DB6C99" w:rsidRDefault="007C344D" w:rsidP="007C344D">
            <w:pPr>
              <w:widowControl w:val="0"/>
              <w:tabs>
                <w:tab w:val="decimal" w:pos="645"/>
              </w:tabs>
              <w:kinsoku w:val="0"/>
              <w:overflowPunct w:val="0"/>
              <w:autoSpaceDE w:val="0"/>
              <w:autoSpaceDN w:val="0"/>
              <w:adjustRightInd w:val="0"/>
              <w:rPr>
                <w:rFonts w:ascii="Garamond" w:hAnsi="Garamond"/>
                <w:sz w:val="20"/>
                <w:szCs w:val="20"/>
              </w:rPr>
            </w:pPr>
            <w:r w:rsidRPr="00DB6C99">
              <w:rPr>
                <w:rFonts w:ascii="Garamond" w:hAnsi="Garamond"/>
                <w:sz w:val="20"/>
                <w:szCs w:val="20"/>
              </w:rPr>
              <w:t>0.029***</w:t>
            </w:r>
          </w:p>
        </w:tc>
        <w:tc>
          <w:tcPr>
            <w:tcW w:w="1245" w:type="dxa"/>
          </w:tcPr>
          <w:p w14:paraId="5D23CD24" w14:textId="77777777" w:rsidR="007C344D" w:rsidRPr="00DB6C99" w:rsidRDefault="007C344D" w:rsidP="007C344D">
            <w:pPr>
              <w:widowControl w:val="0"/>
              <w:tabs>
                <w:tab w:val="decimal" w:pos="434"/>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0.455***</w:t>
            </w:r>
          </w:p>
        </w:tc>
      </w:tr>
      <w:tr w:rsidR="00DB6C99" w:rsidRPr="00DB6C99" w14:paraId="084F4021" w14:textId="77777777" w:rsidTr="007C344D">
        <w:trPr>
          <w:trHeight w:val="264"/>
          <w:jc w:val="center"/>
        </w:trPr>
        <w:tc>
          <w:tcPr>
            <w:tcW w:w="3544" w:type="dxa"/>
            <w:vAlign w:val="center"/>
          </w:tcPr>
          <w:p w14:paraId="289C027E" w14:textId="77777777" w:rsidR="007C344D" w:rsidRPr="00DB6C99" w:rsidRDefault="007C344D" w:rsidP="007C344D">
            <w:pPr>
              <w:widowControl w:val="0"/>
              <w:kinsoku w:val="0"/>
              <w:overflowPunct w:val="0"/>
              <w:autoSpaceDE w:val="0"/>
              <w:autoSpaceDN w:val="0"/>
              <w:adjustRightInd w:val="0"/>
              <w:jc w:val="both"/>
              <w:rPr>
                <w:rFonts w:ascii="Garamond" w:hAnsi="Garamond"/>
                <w:i/>
                <w:iCs/>
                <w:sz w:val="20"/>
                <w:szCs w:val="20"/>
                <w:lang w:val="en-GB"/>
              </w:rPr>
            </w:pPr>
          </w:p>
        </w:tc>
        <w:tc>
          <w:tcPr>
            <w:tcW w:w="1810" w:type="dxa"/>
          </w:tcPr>
          <w:p w14:paraId="04186A14" w14:textId="77777777" w:rsidR="007C344D" w:rsidRPr="00DB6C99" w:rsidRDefault="007C344D" w:rsidP="007C344D">
            <w:pPr>
              <w:widowControl w:val="0"/>
              <w:tabs>
                <w:tab w:val="decimal" w:pos="630"/>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(4.85)</w:t>
            </w:r>
          </w:p>
        </w:tc>
        <w:tc>
          <w:tcPr>
            <w:tcW w:w="1876" w:type="dxa"/>
          </w:tcPr>
          <w:p w14:paraId="37AA2DA0" w14:textId="77777777" w:rsidR="007C344D" w:rsidRPr="00DB6C99" w:rsidRDefault="007C344D" w:rsidP="007C344D">
            <w:pPr>
              <w:widowControl w:val="0"/>
              <w:tabs>
                <w:tab w:val="decimal" w:pos="777"/>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(-0.20)</w:t>
            </w:r>
          </w:p>
        </w:tc>
        <w:tc>
          <w:tcPr>
            <w:tcW w:w="1427" w:type="dxa"/>
          </w:tcPr>
          <w:p w14:paraId="16A51AFC" w14:textId="77777777" w:rsidR="007C344D" w:rsidRPr="00DB6C99" w:rsidRDefault="007C344D" w:rsidP="007C344D">
            <w:pPr>
              <w:widowControl w:val="0"/>
              <w:tabs>
                <w:tab w:val="decimal" w:pos="540"/>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(1.47)</w:t>
            </w:r>
          </w:p>
        </w:tc>
        <w:tc>
          <w:tcPr>
            <w:tcW w:w="1701" w:type="dxa"/>
          </w:tcPr>
          <w:p w14:paraId="5708F070" w14:textId="77777777" w:rsidR="007C344D" w:rsidRPr="00DB6C99" w:rsidRDefault="007C344D" w:rsidP="007C344D">
            <w:pPr>
              <w:widowControl w:val="0"/>
              <w:tabs>
                <w:tab w:val="decimal" w:pos="0"/>
              </w:tabs>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(4.68)</w:t>
            </w:r>
          </w:p>
        </w:tc>
        <w:tc>
          <w:tcPr>
            <w:tcW w:w="1307" w:type="dxa"/>
          </w:tcPr>
          <w:p w14:paraId="0CFCF00D"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(0.31)</w:t>
            </w:r>
          </w:p>
        </w:tc>
        <w:tc>
          <w:tcPr>
            <w:tcW w:w="1466" w:type="dxa"/>
          </w:tcPr>
          <w:p w14:paraId="5E91E3C2" w14:textId="77777777" w:rsidR="007C344D" w:rsidRPr="00DB6C99" w:rsidRDefault="007C344D" w:rsidP="007C344D">
            <w:pPr>
              <w:widowControl w:val="0"/>
              <w:tabs>
                <w:tab w:val="decimal" w:pos="645"/>
              </w:tabs>
              <w:kinsoku w:val="0"/>
              <w:overflowPunct w:val="0"/>
              <w:autoSpaceDE w:val="0"/>
              <w:autoSpaceDN w:val="0"/>
              <w:adjustRightInd w:val="0"/>
              <w:rPr>
                <w:rFonts w:ascii="Garamond" w:hAnsi="Garamond"/>
                <w:sz w:val="20"/>
                <w:szCs w:val="20"/>
              </w:rPr>
            </w:pPr>
            <w:r w:rsidRPr="00DB6C99">
              <w:rPr>
                <w:rFonts w:ascii="Garamond" w:hAnsi="Garamond"/>
                <w:sz w:val="20"/>
                <w:szCs w:val="20"/>
              </w:rPr>
              <w:t>(2.80)</w:t>
            </w:r>
          </w:p>
        </w:tc>
        <w:tc>
          <w:tcPr>
            <w:tcW w:w="1245" w:type="dxa"/>
          </w:tcPr>
          <w:p w14:paraId="1DDB7CCB" w14:textId="77777777" w:rsidR="007C344D" w:rsidRPr="00DB6C99" w:rsidRDefault="007C344D" w:rsidP="007C344D">
            <w:pPr>
              <w:widowControl w:val="0"/>
              <w:tabs>
                <w:tab w:val="decimal" w:pos="434"/>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(3.63)</w:t>
            </w:r>
          </w:p>
        </w:tc>
      </w:tr>
      <w:tr w:rsidR="00DB6C99" w:rsidRPr="00DB6C99" w14:paraId="4A2F2026" w14:textId="77777777" w:rsidTr="007C344D">
        <w:trPr>
          <w:trHeight w:val="264"/>
          <w:jc w:val="center"/>
        </w:trPr>
        <w:tc>
          <w:tcPr>
            <w:tcW w:w="3544" w:type="dxa"/>
            <w:vAlign w:val="center"/>
          </w:tcPr>
          <w:p w14:paraId="635BF74C" w14:textId="77777777" w:rsidR="007C344D" w:rsidRPr="00DB6C99" w:rsidRDefault="007C344D" w:rsidP="007C344D">
            <w:pPr>
              <w:widowControl w:val="0"/>
              <w:kinsoku w:val="0"/>
              <w:overflowPunct w:val="0"/>
              <w:autoSpaceDE w:val="0"/>
              <w:autoSpaceDN w:val="0"/>
              <w:adjustRightInd w:val="0"/>
              <w:jc w:val="both"/>
              <w:rPr>
                <w:rFonts w:ascii="Garamond" w:hAnsi="Garamond"/>
                <w:i/>
                <w:iCs/>
                <w:sz w:val="20"/>
                <w:szCs w:val="20"/>
                <w:lang w:val="en-GB"/>
              </w:rPr>
            </w:pPr>
            <w:r w:rsidRPr="00DB6C99">
              <w:rPr>
                <w:rFonts w:ascii="Garamond" w:hAnsi="Garamond"/>
                <w:i/>
                <w:iCs/>
                <w:sz w:val="20"/>
                <w:szCs w:val="20"/>
              </w:rPr>
              <w:t>AFE</w:t>
            </w:r>
          </w:p>
        </w:tc>
        <w:tc>
          <w:tcPr>
            <w:tcW w:w="1810" w:type="dxa"/>
          </w:tcPr>
          <w:p w14:paraId="5A2AF91F" w14:textId="77777777" w:rsidR="007C344D" w:rsidRPr="00DB6C99" w:rsidRDefault="007C344D" w:rsidP="007C344D">
            <w:pPr>
              <w:widowControl w:val="0"/>
              <w:tabs>
                <w:tab w:val="decimal" w:pos="630"/>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-0.000</w:t>
            </w:r>
          </w:p>
        </w:tc>
        <w:tc>
          <w:tcPr>
            <w:tcW w:w="1876" w:type="dxa"/>
          </w:tcPr>
          <w:p w14:paraId="3DA40449" w14:textId="77777777" w:rsidR="007C344D" w:rsidRPr="00DB6C99" w:rsidRDefault="007C344D" w:rsidP="007C344D">
            <w:pPr>
              <w:widowControl w:val="0"/>
              <w:tabs>
                <w:tab w:val="decimal" w:pos="777"/>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-0.000</w:t>
            </w:r>
          </w:p>
        </w:tc>
        <w:tc>
          <w:tcPr>
            <w:tcW w:w="1427" w:type="dxa"/>
          </w:tcPr>
          <w:p w14:paraId="58453F2E" w14:textId="77777777" w:rsidR="007C344D" w:rsidRPr="00DB6C99" w:rsidRDefault="007C344D" w:rsidP="007C344D">
            <w:pPr>
              <w:widowControl w:val="0"/>
              <w:tabs>
                <w:tab w:val="decimal" w:pos="540"/>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-0.000</w:t>
            </w:r>
          </w:p>
        </w:tc>
        <w:tc>
          <w:tcPr>
            <w:tcW w:w="1701" w:type="dxa"/>
          </w:tcPr>
          <w:p w14:paraId="7395BFAB" w14:textId="77777777" w:rsidR="007C344D" w:rsidRPr="00DB6C99" w:rsidRDefault="007C344D" w:rsidP="007C344D">
            <w:pPr>
              <w:widowControl w:val="0"/>
              <w:tabs>
                <w:tab w:val="decimal" w:pos="0"/>
              </w:tabs>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-0.001</w:t>
            </w:r>
          </w:p>
        </w:tc>
        <w:tc>
          <w:tcPr>
            <w:tcW w:w="1307" w:type="dxa"/>
          </w:tcPr>
          <w:p w14:paraId="52E6FBE8"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0.001</w:t>
            </w:r>
          </w:p>
        </w:tc>
        <w:tc>
          <w:tcPr>
            <w:tcW w:w="1466" w:type="dxa"/>
          </w:tcPr>
          <w:p w14:paraId="025AC5A2" w14:textId="77777777" w:rsidR="007C344D" w:rsidRPr="00DB6C99" w:rsidRDefault="007C344D" w:rsidP="007C344D">
            <w:pPr>
              <w:widowControl w:val="0"/>
              <w:tabs>
                <w:tab w:val="decimal" w:pos="645"/>
              </w:tabs>
              <w:kinsoku w:val="0"/>
              <w:overflowPunct w:val="0"/>
              <w:autoSpaceDE w:val="0"/>
              <w:autoSpaceDN w:val="0"/>
              <w:adjustRightInd w:val="0"/>
              <w:rPr>
                <w:rFonts w:ascii="Garamond" w:hAnsi="Garamond"/>
                <w:sz w:val="20"/>
                <w:szCs w:val="20"/>
              </w:rPr>
            </w:pPr>
            <w:r w:rsidRPr="00DB6C99">
              <w:rPr>
                <w:rFonts w:ascii="Garamond" w:hAnsi="Garamond"/>
                <w:sz w:val="20"/>
                <w:szCs w:val="20"/>
              </w:rPr>
              <w:t>-0.000</w:t>
            </w:r>
          </w:p>
        </w:tc>
        <w:tc>
          <w:tcPr>
            <w:tcW w:w="1245" w:type="dxa"/>
          </w:tcPr>
          <w:p w14:paraId="6F5C7CDD" w14:textId="77777777" w:rsidR="007C344D" w:rsidRPr="00DB6C99" w:rsidRDefault="007C344D" w:rsidP="007C344D">
            <w:pPr>
              <w:widowControl w:val="0"/>
              <w:tabs>
                <w:tab w:val="decimal" w:pos="434"/>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-0.000</w:t>
            </w:r>
          </w:p>
        </w:tc>
      </w:tr>
      <w:tr w:rsidR="00DB6C99" w:rsidRPr="00DB6C99" w14:paraId="516AA609" w14:textId="77777777" w:rsidTr="007C344D">
        <w:trPr>
          <w:trHeight w:val="264"/>
          <w:jc w:val="center"/>
        </w:trPr>
        <w:tc>
          <w:tcPr>
            <w:tcW w:w="3544" w:type="dxa"/>
            <w:vAlign w:val="center"/>
          </w:tcPr>
          <w:p w14:paraId="0CF137EF" w14:textId="77777777" w:rsidR="007C344D" w:rsidRPr="00DB6C99" w:rsidRDefault="007C344D" w:rsidP="007C344D">
            <w:pPr>
              <w:widowControl w:val="0"/>
              <w:kinsoku w:val="0"/>
              <w:overflowPunct w:val="0"/>
              <w:autoSpaceDE w:val="0"/>
              <w:autoSpaceDN w:val="0"/>
              <w:adjustRightInd w:val="0"/>
              <w:jc w:val="both"/>
              <w:rPr>
                <w:rFonts w:ascii="Garamond" w:hAnsi="Garamond"/>
                <w:i/>
                <w:iCs/>
                <w:sz w:val="20"/>
                <w:szCs w:val="20"/>
                <w:lang w:val="en-GB"/>
              </w:rPr>
            </w:pPr>
          </w:p>
        </w:tc>
        <w:tc>
          <w:tcPr>
            <w:tcW w:w="1810" w:type="dxa"/>
          </w:tcPr>
          <w:p w14:paraId="1CFB9568" w14:textId="77777777" w:rsidR="007C344D" w:rsidRPr="00DB6C99" w:rsidRDefault="007C344D" w:rsidP="007C344D">
            <w:pPr>
              <w:widowControl w:val="0"/>
              <w:tabs>
                <w:tab w:val="decimal" w:pos="630"/>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(-0.16)</w:t>
            </w:r>
          </w:p>
        </w:tc>
        <w:tc>
          <w:tcPr>
            <w:tcW w:w="1876" w:type="dxa"/>
          </w:tcPr>
          <w:p w14:paraId="7A9F787D" w14:textId="77777777" w:rsidR="007C344D" w:rsidRPr="00DB6C99" w:rsidRDefault="007C344D" w:rsidP="007C344D">
            <w:pPr>
              <w:widowControl w:val="0"/>
              <w:tabs>
                <w:tab w:val="decimal" w:pos="777"/>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(-0.22)</w:t>
            </w:r>
          </w:p>
        </w:tc>
        <w:tc>
          <w:tcPr>
            <w:tcW w:w="1427" w:type="dxa"/>
          </w:tcPr>
          <w:p w14:paraId="52DE5F13" w14:textId="77777777" w:rsidR="007C344D" w:rsidRPr="00DB6C99" w:rsidRDefault="007C344D" w:rsidP="007C344D">
            <w:pPr>
              <w:widowControl w:val="0"/>
              <w:tabs>
                <w:tab w:val="decimal" w:pos="540"/>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(-0.16)</w:t>
            </w:r>
          </w:p>
        </w:tc>
        <w:tc>
          <w:tcPr>
            <w:tcW w:w="1701" w:type="dxa"/>
          </w:tcPr>
          <w:p w14:paraId="37F24BEC" w14:textId="77777777" w:rsidR="007C344D" w:rsidRPr="00DB6C99" w:rsidRDefault="007C344D" w:rsidP="007C344D">
            <w:pPr>
              <w:widowControl w:val="0"/>
              <w:tabs>
                <w:tab w:val="decimal" w:pos="0"/>
              </w:tabs>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(-0.48)</w:t>
            </w:r>
          </w:p>
        </w:tc>
        <w:tc>
          <w:tcPr>
            <w:tcW w:w="1307" w:type="dxa"/>
          </w:tcPr>
          <w:p w14:paraId="6557656A"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(0.41)</w:t>
            </w:r>
          </w:p>
        </w:tc>
        <w:tc>
          <w:tcPr>
            <w:tcW w:w="1466" w:type="dxa"/>
          </w:tcPr>
          <w:p w14:paraId="64DA74B0" w14:textId="77777777" w:rsidR="007C344D" w:rsidRPr="00DB6C99" w:rsidRDefault="007C344D" w:rsidP="007C344D">
            <w:pPr>
              <w:widowControl w:val="0"/>
              <w:tabs>
                <w:tab w:val="decimal" w:pos="645"/>
              </w:tabs>
              <w:kinsoku w:val="0"/>
              <w:overflowPunct w:val="0"/>
              <w:autoSpaceDE w:val="0"/>
              <w:autoSpaceDN w:val="0"/>
              <w:adjustRightInd w:val="0"/>
              <w:rPr>
                <w:rFonts w:ascii="Garamond" w:hAnsi="Garamond"/>
                <w:sz w:val="20"/>
                <w:szCs w:val="20"/>
              </w:rPr>
            </w:pPr>
            <w:r w:rsidRPr="00DB6C99">
              <w:rPr>
                <w:rFonts w:ascii="Garamond" w:hAnsi="Garamond"/>
                <w:sz w:val="20"/>
                <w:szCs w:val="20"/>
              </w:rPr>
              <w:t>(-0.51)</w:t>
            </w:r>
          </w:p>
        </w:tc>
        <w:tc>
          <w:tcPr>
            <w:tcW w:w="1245" w:type="dxa"/>
          </w:tcPr>
          <w:p w14:paraId="2BBB7455" w14:textId="77777777" w:rsidR="007C344D" w:rsidRPr="00DB6C99" w:rsidRDefault="007C344D" w:rsidP="007C344D">
            <w:pPr>
              <w:widowControl w:val="0"/>
              <w:tabs>
                <w:tab w:val="decimal" w:pos="434"/>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(-0.20)</w:t>
            </w:r>
          </w:p>
        </w:tc>
      </w:tr>
      <w:tr w:rsidR="00DB6C99" w:rsidRPr="00DB6C99" w14:paraId="2D084D4F" w14:textId="77777777" w:rsidTr="007C344D">
        <w:trPr>
          <w:trHeight w:val="264"/>
          <w:jc w:val="center"/>
        </w:trPr>
        <w:tc>
          <w:tcPr>
            <w:tcW w:w="3544" w:type="dxa"/>
            <w:vAlign w:val="center"/>
          </w:tcPr>
          <w:p w14:paraId="03709A37" w14:textId="77777777" w:rsidR="007C344D" w:rsidRPr="00DB6C99" w:rsidRDefault="007C344D" w:rsidP="007C344D">
            <w:pPr>
              <w:widowControl w:val="0"/>
              <w:kinsoku w:val="0"/>
              <w:overflowPunct w:val="0"/>
              <w:autoSpaceDE w:val="0"/>
              <w:autoSpaceDN w:val="0"/>
              <w:adjustRightInd w:val="0"/>
              <w:jc w:val="both"/>
              <w:rPr>
                <w:rFonts w:ascii="Garamond" w:hAnsi="Garamond"/>
                <w:i/>
                <w:iCs/>
                <w:sz w:val="20"/>
                <w:szCs w:val="20"/>
                <w:lang w:val="en-GB"/>
              </w:rPr>
            </w:pPr>
            <w:r w:rsidRPr="00DB6C99">
              <w:rPr>
                <w:rFonts w:ascii="Garamond" w:hAnsi="Garamond"/>
                <w:i/>
                <w:iCs/>
                <w:sz w:val="20"/>
                <w:szCs w:val="20"/>
              </w:rPr>
              <w:t>SLACK</w:t>
            </w:r>
          </w:p>
        </w:tc>
        <w:tc>
          <w:tcPr>
            <w:tcW w:w="1810" w:type="dxa"/>
          </w:tcPr>
          <w:p w14:paraId="11D8D586" w14:textId="77777777" w:rsidR="007C344D" w:rsidRPr="00DB6C99" w:rsidRDefault="007C344D" w:rsidP="007C344D">
            <w:pPr>
              <w:widowControl w:val="0"/>
              <w:tabs>
                <w:tab w:val="decimal" w:pos="630"/>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-0.003</w:t>
            </w:r>
          </w:p>
        </w:tc>
        <w:tc>
          <w:tcPr>
            <w:tcW w:w="1876" w:type="dxa"/>
          </w:tcPr>
          <w:p w14:paraId="4684293B" w14:textId="77777777" w:rsidR="007C344D" w:rsidRPr="00DB6C99" w:rsidRDefault="007C344D" w:rsidP="007C344D">
            <w:pPr>
              <w:widowControl w:val="0"/>
              <w:tabs>
                <w:tab w:val="decimal" w:pos="777"/>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-0.006</w:t>
            </w:r>
          </w:p>
        </w:tc>
        <w:tc>
          <w:tcPr>
            <w:tcW w:w="1427" w:type="dxa"/>
          </w:tcPr>
          <w:p w14:paraId="572E9513" w14:textId="77777777" w:rsidR="007C344D" w:rsidRPr="00DB6C99" w:rsidRDefault="007C344D" w:rsidP="007C344D">
            <w:pPr>
              <w:widowControl w:val="0"/>
              <w:tabs>
                <w:tab w:val="decimal" w:pos="540"/>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0.038***</w:t>
            </w:r>
          </w:p>
        </w:tc>
        <w:tc>
          <w:tcPr>
            <w:tcW w:w="1701" w:type="dxa"/>
          </w:tcPr>
          <w:p w14:paraId="3119CF2C" w14:textId="77777777" w:rsidR="007C344D" w:rsidRPr="00DB6C99" w:rsidRDefault="007C344D" w:rsidP="007C344D">
            <w:pPr>
              <w:widowControl w:val="0"/>
              <w:tabs>
                <w:tab w:val="decimal" w:pos="0"/>
              </w:tabs>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-0.032*</w:t>
            </w:r>
          </w:p>
        </w:tc>
        <w:tc>
          <w:tcPr>
            <w:tcW w:w="1307" w:type="dxa"/>
          </w:tcPr>
          <w:p w14:paraId="462D9996"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0.007</w:t>
            </w:r>
          </w:p>
        </w:tc>
        <w:tc>
          <w:tcPr>
            <w:tcW w:w="1466" w:type="dxa"/>
          </w:tcPr>
          <w:p w14:paraId="5E69D7B9" w14:textId="77777777" w:rsidR="007C344D" w:rsidRPr="00DB6C99" w:rsidRDefault="007C344D" w:rsidP="007C344D">
            <w:pPr>
              <w:widowControl w:val="0"/>
              <w:tabs>
                <w:tab w:val="decimal" w:pos="645"/>
              </w:tabs>
              <w:kinsoku w:val="0"/>
              <w:overflowPunct w:val="0"/>
              <w:autoSpaceDE w:val="0"/>
              <w:autoSpaceDN w:val="0"/>
              <w:adjustRightInd w:val="0"/>
              <w:rPr>
                <w:rFonts w:ascii="Garamond" w:hAnsi="Garamond"/>
                <w:sz w:val="20"/>
                <w:szCs w:val="20"/>
              </w:rPr>
            </w:pPr>
            <w:r w:rsidRPr="00DB6C99">
              <w:rPr>
                <w:rFonts w:ascii="Garamond" w:hAnsi="Garamond"/>
                <w:sz w:val="20"/>
                <w:szCs w:val="20"/>
              </w:rPr>
              <w:t>0.001</w:t>
            </w:r>
          </w:p>
        </w:tc>
        <w:tc>
          <w:tcPr>
            <w:tcW w:w="1245" w:type="dxa"/>
          </w:tcPr>
          <w:p w14:paraId="1D85B1F2" w14:textId="77777777" w:rsidR="007C344D" w:rsidRPr="00DB6C99" w:rsidRDefault="007C344D" w:rsidP="007C344D">
            <w:pPr>
              <w:widowControl w:val="0"/>
              <w:tabs>
                <w:tab w:val="decimal" w:pos="434"/>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-0.021**</w:t>
            </w:r>
          </w:p>
        </w:tc>
      </w:tr>
      <w:tr w:rsidR="00DB6C99" w:rsidRPr="00DB6C99" w14:paraId="41877648" w14:textId="77777777" w:rsidTr="007C344D">
        <w:trPr>
          <w:trHeight w:val="264"/>
          <w:jc w:val="center"/>
        </w:trPr>
        <w:tc>
          <w:tcPr>
            <w:tcW w:w="3544" w:type="dxa"/>
            <w:vAlign w:val="center"/>
          </w:tcPr>
          <w:p w14:paraId="328A929D" w14:textId="77777777" w:rsidR="007C344D" w:rsidRPr="00DB6C99" w:rsidRDefault="007C344D" w:rsidP="007C344D">
            <w:pPr>
              <w:widowControl w:val="0"/>
              <w:kinsoku w:val="0"/>
              <w:overflowPunct w:val="0"/>
              <w:autoSpaceDE w:val="0"/>
              <w:autoSpaceDN w:val="0"/>
              <w:adjustRightInd w:val="0"/>
              <w:jc w:val="both"/>
              <w:rPr>
                <w:rFonts w:ascii="Garamond" w:hAnsi="Garamond"/>
                <w:i/>
                <w:iCs/>
                <w:sz w:val="20"/>
                <w:szCs w:val="20"/>
                <w:lang w:val="en-GB"/>
              </w:rPr>
            </w:pPr>
          </w:p>
        </w:tc>
        <w:tc>
          <w:tcPr>
            <w:tcW w:w="1810" w:type="dxa"/>
          </w:tcPr>
          <w:p w14:paraId="09274C62" w14:textId="77777777" w:rsidR="007C344D" w:rsidRPr="00DB6C99" w:rsidRDefault="007C344D" w:rsidP="007C344D">
            <w:pPr>
              <w:widowControl w:val="0"/>
              <w:tabs>
                <w:tab w:val="decimal" w:pos="630"/>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(-0.22)</w:t>
            </w:r>
          </w:p>
        </w:tc>
        <w:tc>
          <w:tcPr>
            <w:tcW w:w="1876" w:type="dxa"/>
          </w:tcPr>
          <w:p w14:paraId="43A9F9AF" w14:textId="77777777" w:rsidR="007C344D" w:rsidRPr="00DB6C99" w:rsidRDefault="007C344D" w:rsidP="007C344D">
            <w:pPr>
              <w:widowControl w:val="0"/>
              <w:tabs>
                <w:tab w:val="decimal" w:pos="777"/>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(-0.23)</w:t>
            </w:r>
          </w:p>
        </w:tc>
        <w:tc>
          <w:tcPr>
            <w:tcW w:w="1427" w:type="dxa"/>
          </w:tcPr>
          <w:p w14:paraId="6ADC7D3F" w14:textId="77777777" w:rsidR="007C344D" w:rsidRPr="00DB6C99" w:rsidRDefault="007C344D" w:rsidP="007C344D">
            <w:pPr>
              <w:widowControl w:val="0"/>
              <w:tabs>
                <w:tab w:val="decimal" w:pos="540"/>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(3.05)</w:t>
            </w:r>
          </w:p>
        </w:tc>
        <w:tc>
          <w:tcPr>
            <w:tcW w:w="1701" w:type="dxa"/>
          </w:tcPr>
          <w:p w14:paraId="27BDCF73" w14:textId="77777777" w:rsidR="007C344D" w:rsidRPr="00DB6C99" w:rsidRDefault="007C344D" w:rsidP="007C344D">
            <w:pPr>
              <w:widowControl w:val="0"/>
              <w:tabs>
                <w:tab w:val="decimal" w:pos="0"/>
              </w:tabs>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(-1.72)</w:t>
            </w:r>
          </w:p>
        </w:tc>
        <w:tc>
          <w:tcPr>
            <w:tcW w:w="1307" w:type="dxa"/>
          </w:tcPr>
          <w:p w14:paraId="37CC4878"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(0.49)</w:t>
            </w:r>
          </w:p>
        </w:tc>
        <w:tc>
          <w:tcPr>
            <w:tcW w:w="1466" w:type="dxa"/>
          </w:tcPr>
          <w:p w14:paraId="3304E754" w14:textId="77777777" w:rsidR="007C344D" w:rsidRPr="00DB6C99" w:rsidRDefault="007C344D" w:rsidP="007C344D">
            <w:pPr>
              <w:widowControl w:val="0"/>
              <w:tabs>
                <w:tab w:val="decimal" w:pos="645"/>
              </w:tabs>
              <w:kinsoku w:val="0"/>
              <w:overflowPunct w:val="0"/>
              <w:autoSpaceDE w:val="0"/>
              <w:autoSpaceDN w:val="0"/>
              <w:adjustRightInd w:val="0"/>
              <w:rPr>
                <w:rFonts w:ascii="Garamond" w:hAnsi="Garamond"/>
                <w:sz w:val="20"/>
                <w:szCs w:val="20"/>
              </w:rPr>
            </w:pPr>
            <w:r w:rsidRPr="00DB6C99">
              <w:rPr>
                <w:rFonts w:ascii="Garamond" w:hAnsi="Garamond"/>
                <w:sz w:val="20"/>
                <w:szCs w:val="20"/>
              </w:rPr>
              <w:t>(1.39)</w:t>
            </w:r>
          </w:p>
        </w:tc>
        <w:tc>
          <w:tcPr>
            <w:tcW w:w="1245" w:type="dxa"/>
          </w:tcPr>
          <w:p w14:paraId="5E2B6325" w14:textId="77777777" w:rsidR="007C344D" w:rsidRPr="00DB6C99" w:rsidRDefault="007C344D" w:rsidP="007C344D">
            <w:pPr>
              <w:widowControl w:val="0"/>
              <w:tabs>
                <w:tab w:val="decimal" w:pos="434"/>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(-2.21)</w:t>
            </w:r>
          </w:p>
        </w:tc>
      </w:tr>
      <w:tr w:rsidR="00DB6C99" w:rsidRPr="00DB6C99" w14:paraId="2B063030" w14:textId="77777777" w:rsidTr="007C344D">
        <w:trPr>
          <w:trHeight w:val="264"/>
          <w:jc w:val="center"/>
        </w:trPr>
        <w:tc>
          <w:tcPr>
            <w:tcW w:w="3544" w:type="dxa"/>
            <w:vAlign w:val="center"/>
          </w:tcPr>
          <w:p w14:paraId="04D17AF5" w14:textId="77777777" w:rsidR="007C344D" w:rsidRPr="00DB6C99" w:rsidRDefault="007C344D" w:rsidP="007C344D">
            <w:pPr>
              <w:widowControl w:val="0"/>
              <w:kinsoku w:val="0"/>
              <w:overflowPunct w:val="0"/>
              <w:autoSpaceDE w:val="0"/>
              <w:autoSpaceDN w:val="0"/>
              <w:adjustRightInd w:val="0"/>
              <w:jc w:val="both"/>
              <w:rPr>
                <w:rFonts w:ascii="Garamond" w:hAnsi="Garamond"/>
                <w:i/>
                <w:iCs/>
                <w:sz w:val="20"/>
                <w:szCs w:val="20"/>
                <w:lang w:val="en-GB"/>
              </w:rPr>
            </w:pPr>
            <w:r w:rsidRPr="00DB6C99">
              <w:rPr>
                <w:rFonts w:ascii="Garamond" w:hAnsi="Garamond"/>
                <w:i/>
                <w:iCs/>
                <w:sz w:val="20"/>
                <w:szCs w:val="20"/>
                <w:lang w:val="en-GB"/>
              </w:rPr>
              <w:t>COD</w:t>
            </w:r>
          </w:p>
        </w:tc>
        <w:tc>
          <w:tcPr>
            <w:tcW w:w="1810" w:type="dxa"/>
          </w:tcPr>
          <w:p w14:paraId="7366B176" w14:textId="77777777" w:rsidR="007C344D" w:rsidRPr="00DB6C99" w:rsidRDefault="007C344D" w:rsidP="007C344D">
            <w:pPr>
              <w:widowControl w:val="0"/>
              <w:tabs>
                <w:tab w:val="decimal" w:pos="630"/>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0.817***</w:t>
            </w:r>
          </w:p>
        </w:tc>
        <w:tc>
          <w:tcPr>
            <w:tcW w:w="1876" w:type="dxa"/>
          </w:tcPr>
          <w:p w14:paraId="45B2FF5E" w14:textId="77777777" w:rsidR="007C344D" w:rsidRPr="00DB6C99" w:rsidRDefault="007C344D" w:rsidP="007C344D">
            <w:pPr>
              <w:widowControl w:val="0"/>
              <w:tabs>
                <w:tab w:val="decimal" w:pos="777"/>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0.021</w:t>
            </w:r>
          </w:p>
        </w:tc>
        <w:tc>
          <w:tcPr>
            <w:tcW w:w="1427" w:type="dxa"/>
          </w:tcPr>
          <w:p w14:paraId="7EFB8A98" w14:textId="77777777" w:rsidR="007C344D" w:rsidRPr="00DB6C99" w:rsidRDefault="007C344D" w:rsidP="007C344D">
            <w:pPr>
              <w:widowControl w:val="0"/>
              <w:tabs>
                <w:tab w:val="decimal" w:pos="540"/>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-0.206</w:t>
            </w:r>
          </w:p>
        </w:tc>
        <w:tc>
          <w:tcPr>
            <w:tcW w:w="1701" w:type="dxa"/>
          </w:tcPr>
          <w:p w14:paraId="1300D412" w14:textId="77777777" w:rsidR="007C344D" w:rsidRPr="00DB6C99" w:rsidRDefault="007C344D" w:rsidP="007C344D">
            <w:pPr>
              <w:widowControl w:val="0"/>
              <w:tabs>
                <w:tab w:val="decimal" w:pos="0"/>
              </w:tabs>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1.269***</w:t>
            </w:r>
          </w:p>
        </w:tc>
        <w:tc>
          <w:tcPr>
            <w:tcW w:w="1307" w:type="dxa"/>
          </w:tcPr>
          <w:p w14:paraId="21D46AEB"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0.275</w:t>
            </w:r>
          </w:p>
        </w:tc>
        <w:tc>
          <w:tcPr>
            <w:tcW w:w="1466" w:type="dxa"/>
          </w:tcPr>
          <w:p w14:paraId="6D166B92" w14:textId="77777777" w:rsidR="007C344D" w:rsidRPr="00DB6C99" w:rsidRDefault="007C344D" w:rsidP="007C344D">
            <w:pPr>
              <w:widowControl w:val="0"/>
              <w:tabs>
                <w:tab w:val="decimal" w:pos="645"/>
              </w:tabs>
              <w:kinsoku w:val="0"/>
              <w:overflowPunct w:val="0"/>
              <w:autoSpaceDE w:val="0"/>
              <w:autoSpaceDN w:val="0"/>
              <w:adjustRightInd w:val="0"/>
              <w:rPr>
                <w:rFonts w:ascii="Garamond" w:hAnsi="Garamond"/>
                <w:sz w:val="20"/>
                <w:szCs w:val="20"/>
              </w:rPr>
            </w:pPr>
            <w:r w:rsidRPr="00DB6C99">
              <w:rPr>
                <w:rFonts w:ascii="Garamond" w:hAnsi="Garamond"/>
                <w:sz w:val="20"/>
                <w:szCs w:val="20"/>
              </w:rPr>
              <w:t>0.016</w:t>
            </w:r>
          </w:p>
        </w:tc>
        <w:tc>
          <w:tcPr>
            <w:tcW w:w="1245" w:type="dxa"/>
          </w:tcPr>
          <w:p w14:paraId="1029B4B5" w14:textId="77777777" w:rsidR="007C344D" w:rsidRPr="00DB6C99" w:rsidRDefault="007C344D" w:rsidP="007C344D">
            <w:pPr>
              <w:widowControl w:val="0"/>
              <w:tabs>
                <w:tab w:val="decimal" w:pos="434"/>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0.402**</w:t>
            </w:r>
          </w:p>
        </w:tc>
      </w:tr>
      <w:tr w:rsidR="00DB6C99" w:rsidRPr="00DB6C99" w14:paraId="250BFF8A" w14:textId="77777777" w:rsidTr="007C344D">
        <w:trPr>
          <w:trHeight w:val="264"/>
          <w:jc w:val="center"/>
        </w:trPr>
        <w:tc>
          <w:tcPr>
            <w:tcW w:w="3544" w:type="dxa"/>
            <w:vAlign w:val="center"/>
          </w:tcPr>
          <w:p w14:paraId="27737044" w14:textId="77777777" w:rsidR="007C344D" w:rsidRPr="00DB6C99" w:rsidRDefault="007C344D" w:rsidP="007C344D">
            <w:pPr>
              <w:widowControl w:val="0"/>
              <w:kinsoku w:val="0"/>
              <w:overflowPunct w:val="0"/>
              <w:autoSpaceDE w:val="0"/>
              <w:autoSpaceDN w:val="0"/>
              <w:adjustRightInd w:val="0"/>
              <w:jc w:val="both"/>
              <w:rPr>
                <w:rFonts w:ascii="Garamond" w:hAnsi="Garamond"/>
                <w:i/>
                <w:iCs/>
                <w:sz w:val="20"/>
                <w:szCs w:val="20"/>
                <w:lang w:val="en-GB"/>
              </w:rPr>
            </w:pPr>
          </w:p>
        </w:tc>
        <w:tc>
          <w:tcPr>
            <w:tcW w:w="1810" w:type="dxa"/>
          </w:tcPr>
          <w:p w14:paraId="12A6977B" w14:textId="77777777" w:rsidR="007C344D" w:rsidRPr="00DB6C99" w:rsidRDefault="007C344D" w:rsidP="007C344D">
            <w:pPr>
              <w:widowControl w:val="0"/>
              <w:tabs>
                <w:tab w:val="decimal" w:pos="630"/>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(2.63)</w:t>
            </w:r>
          </w:p>
        </w:tc>
        <w:tc>
          <w:tcPr>
            <w:tcW w:w="1876" w:type="dxa"/>
          </w:tcPr>
          <w:p w14:paraId="1C0DF4B2" w14:textId="77777777" w:rsidR="007C344D" w:rsidRPr="00DB6C99" w:rsidRDefault="007C344D" w:rsidP="007C344D">
            <w:pPr>
              <w:widowControl w:val="0"/>
              <w:tabs>
                <w:tab w:val="decimal" w:pos="777"/>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(0.04)</w:t>
            </w:r>
          </w:p>
        </w:tc>
        <w:tc>
          <w:tcPr>
            <w:tcW w:w="1427" w:type="dxa"/>
          </w:tcPr>
          <w:p w14:paraId="5E710E2E" w14:textId="77777777" w:rsidR="007C344D" w:rsidRPr="00DB6C99" w:rsidRDefault="007C344D" w:rsidP="007C344D">
            <w:pPr>
              <w:widowControl w:val="0"/>
              <w:tabs>
                <w:tab w:val="decimal" w:pos="540"/>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(-0.93)</w:t>
            </w:r>
          </w:p>
        </w:tc>
        <w:tc>
          <w:tcPr>
            <w:tcW w:w="1701" w:type="dxa"/>
          </w:tcPr>
          <w:p w14:paraId="3239D96C" w14:textId="77777777" w:rsidR="007C344D" w:rsidRPr="00DB6C99" w:rsidRDefault="007C344D" w:rsidP="007C344D">
            <w:pPr>
              <w:widowControl w:val="0"/>
              <w:tabs>
                <w:tab w:val="decimal" w:pos="0"/>
              </w:tabs>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(3.31)</w:t>
            </w:r>
          </w:p>
        </w:tc>
        <w:tc>
          <w:tcPr>
            <w:tcW w:w="1307" w:type="dxa"/>
          </w:tcPr>
          <w:p w14:paraId="7056CE7C"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(1.17)</w:t>
            </w:r>
          </w:p>
        </w:tc>
        <w:tc>
          <w:tcPr>
            <w:tcW w:w="1466" w:type="dxa"/>
          </w:tcPr>
          <w:p w14:paraId="4D3C6B79" w14:textId="77777777" w:rsidR="007C344D" w:rsidRPr="00DB6C99" w:rsidRDefault="007C344D" w:rsidP="007C344D">
            <w:pPr>
              <w:widowControl w:val="0"/>
              <w:tabs>
                <w:tab w:val="decimal" w:pos="645"/>
              </w:tabs>
              <w:kinsoku w:val="0"/>
              <w:overflowPunct w:val="0"/>
              <w:autoSpaceDE w:val="0"/>
              <w:autoSpaceDN w:val="0"/>
              <w:adjustRightInd w:val="0"/>
              <w:rPr>
                <w:rFonts w:ascii="Garamond" w:hAnsi="Garamond"/>
                <w:sz w:val="20"/>
                <w:szCs w:val="20"/>
              </w:rPr>
            </w:pPr>
            <w:r w:rsidRPr="00DB6C99">
              <w:rPr>
                <w:rFonts w:ascii="Garamond" w:hAnsi="Garamond"/>
                <w:sz w:val="20"/>
                <w:szCs w:val="20"/>
              </w:rPr>
              <w:t>(1.01)</w:t>
            </w:r>
          </w:p>
        </w:tc>
        <w:tc>
          <w:tcPr>
            <w:tcW w:w="1245" w:type="dxa"/>
          </w:tcPr>
          <w:p w14:paraId="21F3E7B0" w14:textId="77777777" w:rsidR="007C344D" w:rsidRPr="00DB6C99" w:rsidRDefault="007C344D" w:rsidP="007C344D">
            <w:pPr>
              <w:widowControl w:val="0"/>
              <w:tabs>
                <w:tab w:val="decimal" w:pos="434"/>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(2.09)</w:t>
            </w:r>
          </w:p>
        </w:tc>
      </w:tr>
      <w:tr w:rsidR="00DB6C99" w:rsidRPr="00DB6C99" w14:paraId="55F77990" w14:textId="77777777" w:rsidTr="007C344D">
        <w:trPr>
          <w:trHeight w:val="264"/>
          <w:jc w:val="center"/>
        </w:trPr>
        <w:tc>
          <w:tcPr>
            <w:tcW w:w="3544" w:type="dxa"/>
            <w:vAlign w:val="center"/>
          </w:tcPr>
          <w:p w14:paraId="5857183D" w14:textId="77777777" w:rsidR="007C344D" w:rsidRPr="00DB6C99" w:rsidRDefault="007C344D" w:rsidP="007C344D">
            <w:pPr>
              <w:widowControl w:val="0"/>
              <w:kinsoku w:val="0"/>
              <w:overflowPunct w:val="0"/>
              <w:autoSpaceDE w:val="0"/>
              <w:autoSpaceDN w:val="0"/>
              <w:adjustRightInd w:val="0"/>
              <w:jc w:val="both"/>
              <w:rPr>
                <w:rFonts w:ascii="Garamond" w:hAnsi="Garamond"/>
                <w:sz w:val="20"/>
                <w:szCs w:val="20"/>
              </w:rPr>
            </w:pPr>
            <w:r w:rsidRPr="00DB6C99">
              <w:rPr>
                <w:rFonts w:ascii="Garamond" w:hAnsi="Garamond"/>
                <w:i/>
                <w:iCs/>
                <w:sz w:val="20"/>
                <w:szCs w:val="20"/>
                <w:lang w:val="en-GB"/>
              </w:rPr>
              <w:t>INST</w:t>
            </w:r>
          </w:p>
        </w:tc>
        <w:tc>
          <w:tcPr>
            <w:tcW w:w="1810" w:type="dxa"/>
          </w:tcPr>
          <w:p w14:paraId="2049C476" w14:textId="77777777" w:rsidR="007C344D" w:rsidRPr="00DB6C99" w:rsidRDefault="007C344D" w:rsidP="007C344D">
            <w:pPr>
              <w:widowControl w:val="0"/>
              <w:tabs>
                <w:tab w:val="decimal" w:pos="630"/>
              </w:tabs>
              <w:kinsoku w:val="0"/>
              <w:overflowPunct w:val="0"/>
              <w:autoSpaceDE w:val="0"/>
              <w:autoSpaceDN w:val="0"/>
              <w:adjustRightInd w:val="0"/>
              <w:jc w:val="both"/>
              <w:rPr>
                <w:rFonts w:ascii="Garamond" w:hAnsi="Garamond"/>
                <w:i/>
                <w:iCs/>
                <w:sz w:val="20"/>
                <w:szCs w:val="20"/>
                <w:lang w:val="en-GB"/>
              </w:rPr>
            </w:pPr>
            <w:r w:rsidRPr="00DB6C99">
              <w:rPr>
                <w:rFonts w:ascii="Garamond" w:hAnsi="Garamond"/>
                <w:sz w:val="20"/>
                <w:szCs w:val="20"/>
              </w:rPr>
              <w:t>0.014</w:t>
            </w:r>
          </w:p>
        </w:tc>
        <w:tc>
          <w:tcPr>
            <w:tcW w:w="1876" w:type="dxa"/>
          </w:tcPr>
          <w:p w14:paraId="4902B6B6" w14:textId="77777777" w:rsidR="007C344D" w:rsidRPr="00DB6C99" w:rsidRDefault="007C344D" w:rsidP="007C344D">
            <w:pPr>
              <w:widowControl w:val="0"/>
              <w:tabs>
                <w:tab w:val="decimal" w:pos="777"/>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0.027</w:t>
            </w:r>
          </w:p>
        </w:tc>
        <w:tc>
          <w:tcPr>
            <w:tcW w:w="1427" w:type="dxa"/>
          </w:tcPr>
          <w:p w14:paraId="082847C7" w14:textId="77777777" w:rsidR="007C344D" w:rsidRPr="00DB6C99" w:rsidRDefault="007C344D" w:rsidP="007C344D">
            <w:pPr>
              <w:widowControl w:val="0"/>
              <w:tabs>
                <w:tab w:val="decimal" w:pos="540"/>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-0.025</w:t>
            </w:r>
          </w:p>
        </w:tc>
        <w:tc>
          <w:tcPr>
            <w:tcW w:w="1701" w:type="dxa"/>
          </w:tcPr>
          <w:p w14:paraId="0C5640BD" w14:textId="77777777" w:rsidR="007C344D" w:rsidRPr="00DB6C99" w:rsidRDefault="007C344D" w:rsidP="007C344D">
            <w:pPr>
              <w:widowControl w:val="0"/>
              <w:tabs>
                <w:tab w:val="decimal" w:pos="0"/>
              </w:tabs>
              <w:kinsoku w:val="0"/>
              <w:overflowPunct w:val="0"/>
              <w:autoSpaceDE w:val="0"/>
              <w:autoSpaceDN w:val="0"/>
              <w:adjustRightInd w:val="0"/>
              <w:jc w:val="center"/>
              <w:rPr>
                <w:rFonts w:ascii="Garamond" w:hAnsi="Garamond"/>
                <w:sz w:val="20"/>
                <w:szCs w:val="20"/>
                <w:lang w:val="en-GB"/>
              </w:rPr>
            </w:pPr>
            <w:r w:rsidRPr="00DB6C99">
              <w:rPr>
                <w:rFonts w:ascii="Garamond" w:hAnsi="Garamond"/>
                <w:sz w:val="20"/>
                <w:szCs w:val="20"/>
              </w:rPr>
              <w:t>-0.023</w:t>
            </w:r>
          </w:p>
        </w:tc>
        <w:tc>
          <w:tcPr>
            <w:tcW w:w="1307" w:type="dxa"/>
          </w:tcPr>
          <w:p w14:paraId="63FE42EA"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-0.020</w:t>
            </w:r>
          </w:p>
        </w:tc>
        <w:tc>
          <w:tcPr>
            <w:tcW w:w="1466" w:type="dxa"/>
          </w:tcPr>
          <w:p w14:paraId="2C59E3F3" w14:textId="77777777" w:rsidR="007C344D" w:rsidRPr="00DB6C99" w:rsidRDefault="007C344D" w:rsidP="007C344D">
            <w:pPr>
              <w:widowControl w:val="0"/>
              <w:tabs>
                <w:tab w:val="decimal" w:pos="645"/>
              </w:tabs>
              <w:kinsoku w:val="0"/>
              <w:overflowPunct w:val="0"/>
              <w:autoSpaceDE w:val="0"/>
              <w:autoSpaceDN w:val="0"/>
              <w:adjustRightInd w:val="0"/>
              <w:rPr>
                <w:rFonts w:ascii="Garamond" w:hAnsi="Garamond"/>
                <w:sz w:val="20"/>
                <w:szCs w:val="20"/>
              </w:rPr>
            </w:pPr>
            <w:r w:rsidRPr="00DB6C99">
              <w:rPr>
                <w:rFonts w:ascii="Garamond" w:hAnsi="Garamond"/>
                <w:sz w:val="20"/>
                <w:szCs w:val="20"/>
              </w:rPr>
              <w:t>-0.001</w:t>
            </w:r>
          </w:p>
        </w:tc>
        <w:tc>
          <w:tcPr>
            <w:tcW w:w="1245" w:type="dxa"/>
          </w:tcPr>
          <w:p w14:paraId="0F8AAC0F" w14:textId="77777777" w:rsidR="007C344D" w:rsidRPr="00DB6C99" w:rsidRDefault="007C344D" w:rsidP="007C344D">
            <w:pPr>
              <w:widowControl w:val="0"/>
              <w:tabs>
                <w:tab w:val="decimal" w:pos="434"/>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-0.071***</w:t>
            </w:r>
          </w:p>
        </w:tc>
      </w:tr>
      <w:tr w:rsidR="00DB6C99" w:rsidRPr="00DB6C99" w14:paraId="30A6A1E8" w14:textId="77777777" w:rsidTr="007C344D">
        <w:trPr>
          <w:trHeight w:val="264"/>
          <w:jc w:val="center"/>
        </w:trPr>
        <w:tc>
          <w:tcPr>
            <w:tcW w:w="3544" w:type="dxa"/>
            <w:vAlign w:val="center"/>
          </w:tcPr>
          <w:p w14:paraId="11FF7969" w14:textId="77777777" w:rsidR="007C344D" w:rsidRPr="00DB6C99" w:rsidRDefault="007C344D" w:rsidP="007C344D">
            <w:pPr>
              <w:widowControl w:val="0"/>
              <w:kinsoku w:val="0"/>
              <w:overflowPunct w:val="0"/>
              <w:autoSpaceDE w:val="0"/>
              <w:autoSpaceDN w:val="0"/>
              <w:adjustRightInd w:val="0"/>
              <w:jc w:val="both"/>
              <w:rPr>
                <w:rFonts w:ascii="Garamond" w:hAnsi="Garamond"/>
                <w:i/>
                <w:iCs/>
                <w:sz w:val="20"/>
                <w:szCs w:val="20"/>
                <w:lang w:val="en-GB"/>
              </w:rPr>
            </w:pPr>
          </w:p>
        </w:tc>
        <w:tc>
          <w:tcPr>
            <w:tcW w:w="1810" w:type="dxa"/>
          </w:tcPr>
          <w:p w14:paraId="10E15A6F" w14:textId="77777777" w:rsidR="007C344D" w:rsidRPr="00DB6C99" w:rsidRDefault="007C344D" w:rsidP="007C344D">
            <w:pPr>
              <w:widowControl w:val="0"/>
              <w:tabs>
                <w:tab w:val="decimal" w:pos="630"/>
              </w:tabs>
              <w:kinsoku w:val="0"/>
              <w:overflowPunct w:val="0"/>
              <w:autoSpaceDE w:val="0"/>
              <w:autoSpaceDN w:val="0"/>
              <w:adjustRightInd w:val="0"/>
              <w:jc w:val="both"/>
              <w:rPr>
                <w:rFonts w:ascii="Garamond" w:hAnsi="Garamond"/>
                <w:i/>
                <w:iCs/>
                <w:sz w:val="20"/>
                <w:szCs w:val="20"/>
                <w:lang w:val="en-GB"/>
              </w:rPr>
            </w:pPr>
            <w:r w:rsidRPr="00DB6C99">
              <w:rPr>
                <w:rFonts w:ascii="Garamond" w:hAnsi="Garamond"/>
                <w:sz w:val="20"/>
                <w:szCs w:val="20"/>
              </w:rPr>
              <w:t>(0.40)</w:t>
            </w:r>
          </w:p>
        </w:tc>
        <w:tc>
          <w:tcPr>
            <w:tcW w:w="1876" w:type="dxa"/>
          </w:tcPr>
          <w:p w14:paraId="30570B06" w14:textId="77777777" w:rsidR="007C344D" w:rsidRPr="00DB6C99" w:rsidRDefault="007C344D" w:rsidP="007C344D">
            <w:pPr>
              <w:widowControl w:val="0"/>
              <w:tabs>
                <w:tab w:val="decimal" w:pos="777"/>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(0.52)</w:t>
            </w:r>
          </w:p>
        </w:tc>
        <w:tc>
          <w:tcPr>
            <w:tcW w:w="1427" w:type="dxa"/>
          </w:tcPr>
          <w:p w14:paraId="164EAF96" w14:textId="77777777" w:rsidR="007C344D" w:rsidRPr="00DB6C99" w:rsidRDefault="007C344D" w:rsidP="007C344D">
            <w:pPr>
              <w:widowControl w:val="0"/>
              <w:tabs>
                <w:tab w:val="decimal" w:pos="540"/>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(-1.24)</w:t>
            </w:r>
          </w:p>
        </w:tc>
        <w:tc>
          <w:tcPr>
            <w:tcW w:w="1701" w:type="dxa"/>
          </w:tcPr>
          <w:p w14:paraId="63B2CF21" w14:textId="77777777" w:rsidR="007C344D" w:rsidRPr="00DB6C99" w:rsidRDefault="007C344D" w:rsidP="007C344D">
            <w:pPr>
              <w:widowControl w:val="0"/>
              <w:tabs>
                <w:tab w:val="decimal" w:pos="0"/>
              </w:tabs>
              <w:kinsoku w:val="0"/>
              <w:overflowPunct w:val="0"/>
              <w:autoSpaceDE w:val="0"/>
              <w:autoSpaceDN w:val="0"/>
              <w:adjustRightInd w:val="0"/>
              <w:jc w:val="center"/>
              <w:rPr>
                <w:rFonts w:ascii="Garamond" w:hAnsi="Garamond"/>
                <w:sz w:val="20"/>
                <w:szCs w:val="20"/>
                <w:lang w:val="en-GB"/>
              </w:rPr>
            </w:pPr>
            <w:r w:rsidRPr="00DB6C99">
              <w:rPr>
                <w:rFonts w:ascii="Garamond" w:hAnsi="Garamond"/>
                <w:sz w:val="20"/>
                <w:szCs w:val="20"/>
              </w:rPr>
              <w:t>(-0.59)</w:t>
            </w:r>
          </w:p>
        </w:tc>
        <w:tc>
          <w:tcPr>
            <w:tcW w:w="1307" w:type="dxa"/>
          </w:tcPr>
          <w:p w14:paraId="5DC10352"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(-1.03)</w:t>
            </w:r>
          </w:p>
        </w:tc>
        <w:tc>
          <w:tcPr>
            <w:tcW w:w="1466" w:type="dxa"/>
          </w:tcPr>
          <w:p w14:paraId="50A954ED" w14:textId="77777777" w:rsidR="007C344D" w:rsidRPr="00DB6C99" w:rsidRDefault="007C344D" w:rsidP="007C344D">
            <w:pPr>
              <w:widowControl w:val="0"/>
              <w:tabs>
                <w:tab w:val="decimal" w:pos="645"/>
              </w:tabs>
              <w:kinsoku w:val="0"/>
              <w:overflowPunct w:val="0"/>
              <w:autoSpaceDE w:val="0"/>
              <w:autoSpaceDN w:val="0"/>
              <w:adjustRightInd w:val="0"/>
              <w:rPr>
                <w:rFonts w:ascii="Garamond" w:hAnsi="Garamond"/>
                <w:sz w:val="20"/>
                <w:szCs w:val="20"/>
              </w:rPr>
            </w:pPr>
            <w:r w:rsidRPr="00DB6C99">
              <w:rPr>
                <w:rFonts w:ascii="Garamond" w:hAnsi="Garamond"/>
                <w:sz w:val="20"/>
                <w:szCs w:val="20"/>
              </w:rPr>
              <w:t>(-0.46)</w:t>
            </w:r>
          </w:p>
        </w:tc>
        <w:tc>
          <w:tcPr>
            <w:tcW w:w="1245" w:type="dxa"/>
          </w:tcPr>
          <w:p w14:paraId="0B2BF6C5" w14:textId="77777777" w:rsidR="007C344D" w:rsidRPr="00DB6C99" w:rsidRDefault="007C344D" w:rsidP="007C344D">
            <w:pPr>
              <w:widowControl w:val="0"/>
              <w:tabs>
                <w:tab w:val="decimal" w:pos="434"/>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(-3.62)</w:t>
            </w:r>
          </w:p>
        </w:tc>
      </w:tr>
      <w:tr w:rsidR="00DB6C99" w:rsidRPr="00DB6C99" w14:paraId="615C6DFB" w14:textId="77777777" w:rsidTr="007C344D">
        <w:trPr>
          <w:trHeight w:val="254"/>
          <w:jc w:val="center"/>
        </w:trPr>
        <w:tc>
          <w:tcPr>
            <w:tcW w:w="3544" w:type="dxa"/>
            <w:vAlign w:val="center"/>
          </w:tcPr>
          <w:p w14:paraId="039E1FEB" w14:textId="77777777" w:rsidR="007C344D" w:rsidRPr="00DB6C99" w:rsidRDefault="007C344D" w:rsidP="007C344D">
            <w:pPr>
              <w:widowControl w:val="0"/>
              <w:kinsoku w:val="0"/>
              <w:overflowPunct w:val="0"/>
              <w:autoSpaceDE w:val="0"/>
              <w:autoSpaceDN w:val="0"/>
              <w:adjustRightInd w:val="0"/>
              <w:jc w:val="both"/>
              <w:rPr>
                <w:rFonts w:ascii="Garamond" w:hAnsi="Garamond"/>
                <w:sz w:val="20"/>
                <w:szCs w:val="20"/>
              </w:rPr>
            </w:pPr>
            <w:r w:rsidRPr="00DB6C99">
              <w:rPr>
                <w:rFonts w:ascii="Garamond" w:hAnsi="Garamond"/>
                <w:i/>
                <w:iCs/>
                <w:sz w:val="20"/>
                <w:szCs w:val="20"/>
                <w:lang w:val="en-GB"/>
              </w:rPr>
              <w:t>STATE</w:t>
            </w:r>
          </w:p>
        </w:tc>
        <w:tc>
          <w:tcPr>
            <w:tcW w:w="1810" w:type="dxa"/>
          </w:tcPr>
          <w:p w14:paraId="643B3DA8" w14:textId="77777777" w:rsidR="007C344D" w:rsidRPr="00DB6C99" w:rsidRDefault="007C344D" w:rsidP="007C344D">
            <w:pPr>
              <w:widowControl w:val="0"/>
              <w:tabs>
                <w:tab w:val="decimal" w:pos="630"/>
              </w:tabs>
              <w:kinsoku w:val="0"/>
              <w:overflowPunct w:val="0"/>
              <w:autoSpaceDE w:val="0"/>
              <w:autoSpaceDN w:val="0"/>
              <w:adjustRightInd w:val="0"/>
              <w:jc w:val="both"/>
              <w:rPr>
                <w:rFonts w:ascii="Garamond" w:hAnsi="Garamond"/>
                <w:i/>
                <w:iCs/>
                <w:sz w:val="20"/>
                <w:szCs w:val="20"/>
                <w:lang w:val="en-GB"/>
              </w:rPr>
            </w:pPr>
            <w:r w:rsidRPr="00DB6C99">
              <w:rPr>
                <w:rFonts w:ascii="Garamond" w:hAnsi="Garamond"/>
                <w:sz w:val="20"/>
                <w:szCs w:val="20"/>
              </w:rPr>
              <w:t>-0.047</w:t>
            </w:r>
          </w:p>
        </w:tc>
        <w:tc>
          <w:tcPr>
            <w:tcW w:w="1876" w:type="dxa"/>
          </w:tcPr>
          <w:p w14:paraId="4FB93437" w14:textId="77777777" w:rsidR="007C344D" w:rsidRPr="00DB6C99" w:rsidRDefault="007C344D" w:rsidP="007C344D">
            <w:pPr>
              <w:widowControl w:val="0"/>
              <w:tabs>
                <w:tab w:val="decimal" w:pos="540"/>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0.053</w:t>
            </w:r>
          </w:p>
        </w:tc>
        <w:tc>
          <w:tcPr>
            <w:tcW w:w="1427" w:type="dxa"/>
          </w:tcPr>
          <w:p w14:paraId="0F150830" w14:textId="77777777" w:rsidR="007C344D" w:rsidRPr="00DB6C99" w:rsidRDefault="007C344D" w:rsidP="007C344D">
            <w:pPr>
              <w:widowControl w:val="0"/>
              <w:tabs>
                <w:tab w:val="decimal" w:pos="540"/>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0.124</w:t>
            </w:r>
          </w:p>
        </w:tc>
        <w:tc>
          <w:tcPr>
            <w:tcW w:w="1701" w:type="dxa"/>
          </w:tcPr>
          <w:p w14:paraId="34E7C3A0" w14:textId="77777777" w:rsidR="007C344D" w:rsidRPr="00DB6C99" w:rsidRDefault="007C344D" w:rsidP="007C344D">
            <w:pPr>
              <w:widowControl w:val="0"/>
              <w:tabs>
                <w:tab w:val="decimal" w:pos="0"/>
              </w:tabs>
              <w:kinsoku w:val="0"/>
              <w:overflowPunct w:val="0"/>
              <w:autoSpaceDE w:val="0"/>
              <w:autoSpaceDN w:val="0"/>
              <w:adjustRightInd w:val="0"/>
              <w:jc w:val="center"/>
              <w:rPr>
                <w:rFonts w:ascii="Garamond" w:hAnsi="Garamond"/>
                <w:sz w:val="20"/>
                <w:szCs w:val="20"/>
                <w:lang w:val="en-GB"/>
              </w:rPr>
            </w:pPr>
            <w:r w:rsidRPr="00DB6C99">
              <w:rPr>
                <w:rFonts w:ascii="Garamond" w:hAnsi="Garamond"/>
                <w:sz w:val="20"/>
                <w:szCs w:val="20"/>
              </w:rPr>
              <w:t>-0.160</w:t>
            </w:r>
          </w:p>
        </w:tc>
        <w:tc>
          <w:tcPr>
            <w:tcW w:w="1307" w:type="dxa"/>
          </w:tcPr>
          <w:p w14:paraId="3A488EB7"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0.089</w:t>
            </w:r>
          </w:p>
        </w:tc>
        <w:tc>
          <w:tcPr>
            <w:tcW w:w="1466" w:type="dxa"/>
          </w:tcPr>
          <w:p w14:paraId="0C97E829" w14:textId="77777777" w:rsidR="007C344D" w:rsidRPr="00DB6C99" w:rsidRDefault="007C344D" w:rsidP="007C344D">
            <w:pPr>
              <w:widowControl w:val="0"/>
              <w:tabs>
                <w:tab w:val="decimal" w:pos="645"/>
              </w:tabs>
              <w:kinsoku w:val="0"/>
              <w:overflowPunct w:val="0"/>
              <w:autoSpaceDE w:val="0"/>
              <w:autoSpaceDN w:val="0"/>
              <w:adjustRightInd w:val="0"/>
              <w:rPr>
                <w:rFonts w:ascii="Garamond" w:hAnsi="Garamond"/>
                <w:sz w:val="20"/>
                <w:szCs w:val="20"/>
              </w:rPr>
            </w:pPr>
            <w:r w:rsidRPr="00DB6C99">
              <w:rPr>
                <w:rFonts w:ascii="Garamond" w:hAnsi="Garamond"/>
                <w:sz w:val="20"/>
                <w:szCs w:val="20"/>
              </w:rPr>
              <w:t>-0.012</w:t>
            </w:r>
          </w:p>
        </w:tc>
        <w:tc>
          <w:tcPr>
            <w:tcW w:w="1245" w:type="dxa"/>
          </w:tcPr>
          <w:p w14:paraId="3AB23307" w14:textId="77777777" w:rsidR="007C344D" w:rsidRPr="00DB6C99" w:rsidRDefault="007C344D" w:rsidP="007C344D">
            <w:pPr>
              <w:widowControl w:val="0"/>
              <w:tabs>
                <w:tab w:val="decimal" w:pos="434"/>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0.188*</w:t>
            </w:r>
          </w:p>
        </w:tc>
      </w:tr>
      <w:tr w:rsidR="00DB6C99" w:rsidRPr="00DB6C99" w14:paraId="46C65155" w14:textId="77777777" w:rsidTr="007C344D">
        <w:trPr>
          <w:trHeight w:val="254"/>
          <w:jc w:val="center"/>
        </w:trPr>
        <w:tc>
          <w:tcPr>
            <w:tcW w:w="3544" w:type="dxa"/>
            <w:vAlign w:val="center"/>
          </w:tcPr>
          <w:p w14:paraId="31F4193D" w14:textId="77777777" w:rsidR="007C344D" w:rsidRPr="00DB6C99" w:rsidRDefault="007C344D" w:rsidP="007C344D">
            <w:pPr>
              <w:widowControl w:val="0"/>
              <w:kinsoku w:val="0"/>
              <w:overflowPunct w:val="0"/>
              <w:autoSpaceDE w:val="0"/>
              <w:autoSpaceDN w:val="0"/>
              <w:adjustRightInd w:val="0"/>
              <w:jc w:val="both"/>
              <w:rPr>
                <w:rFonts w:ascii="Garamond" w:hAnsi="Garamond"/>
                <w:i/>
                <w:iCs/>
                <w:sz w:val="20"/>
                <w:szCs w:val="20"/>
                <w:lang w:val="en-GB"/>
              </w:rPr>
            </w:pPr>
          </w:p>
        </w:tc>
        <w:tc>
          <w:tcPr>
            <w:tcW w:w="1810" w:type="dxa"/>
          </w:tcPr>
          <w:p w14:paraId="7C7917F1" w14:textId="77777777" w:rsidR="007C344D" w:rsidRPr="00DB6C99" w:rsidRDefault="007C344D" w:rsidP="007C344D">
            <w:pPr>
              <w:widowControl w:val="0"/>
              <w:tabs>
                <w:tab w:val="decimal" w:pos="630"/>
              </w:tabs>
              <w:kinsoku w:val="0"/>
              <w:overflowPunct w:val="0"/>
              <w:autoSpaceDE w:val="0"/>
              <w:autoSpaceDN w:val="0"/>
              <w:adjustRightInd w:val="0"/>
              <w:jc w:val="both"/>
              <w:rPr>
                <w:rFonts w:ascii="Garamond" w:hAnsi="Garamond"/>
                <w:i/>
                <w:iCs/>
                <w:sz w:val="20"/>
                <w:szCs w:val="20"/>
                <w:lang w:val="en-GB"/>
              </w:rPr>
            </w:pPr>
            <w:r w:rsidRPr="00DB6C99">
              <w:rPr>
                <w:rFonts w:ascii="Garamond" w:hAnsi="Garamond"/>
                <w:sz w:val="20"/>
                <w:szCs w:val="20"/>
              </w:rPr>
              <w:t>(-0.25)</w:t>
            </w:r>
          </w:p>
        </w:tc>
        <w:tc>
          <w:tcPr>
            <w:tcW w:w="1876" w:type="dxa"/>
          </w:tcPr>
          <w:p w14:paraId="4C987023" w14:textId="77777777" w:rsidR="007C344D" w:rsidRPr="00DB6C99" w:rsidRDefault="007C344D" w:rsidP="007C344D">
            <w:pPr>
              <w:widowControl w:val="0"/>
              <w:tabs>
                <w:tab w:val="decimal" w:pos="540"/>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(0.17)</w:t>
            </w:r>
          </w:p>
        </w:tc>
        <w:tc>
          <w:tcPr>
            <w:tcW w:w="1427" w:type="dxa"/>
          </w:tcPr>
          <w:p w14:paraId="0F12C4A9" w14:textId="77777777" w:rsidR="007C344D" w:rsidRPr="00DB6C99" w:rsidRDefault="007C344D" w:rsidP="007C344D">
            <w:pPr>
              <w:widowControl w:val="0"/>
              <w:tabs>
                <w:tab w:val="decimal" w:pos="540"/>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(0.98)</w:t>
            </w:r>
          </w:p>
        </w:tc>
        <w:tc>
          <w:tcPr>
            <w:tcW w:w="1701" w:type="dxa"/>
          </w:tcPr>
          <w:p w14:paraId="5E0F47FB" w14:textId="77777777" w:rsidR="007C344D" w:rsidRPr="00DB6C99" w:rsidRDefault="007C344D" w:rsidP="007C344D">
            <w:pPr>
              <w:widowControl w:val="0"/>
              <w:tabs>
                <w:tab w:val="decimal" w:pos="0"/>
              </w:tabs>
              <w:kinsoku w:val="0"/>
              <w:overflowPunct w:val="0"/>
              <w:autoSpaceDE w:val="0"/>
              <w:autoSpaceDN w:val="0"/>
              <w:adjustRightInd w:val="0"/>
              <w:jc w:val="center"/>
              <w:rPr>
                <w:rFonts w:ascii="Garamond" w:hAnsi="Garamond"/>
                <w:sz w:val="20"/>
                <w:szCs w:val="20"/>
                <w:lang w:val="en-GB"/>
              </w:rPr>
            </w:pPr>
            <w:r w:rsidRPr="00DB6C99">
              <w:rPr>
                <w:rFonts w:ascii="Garamond" w:hAnsi="Garamond"/>
                <w:sz w:val="20"/>
                <w:szCs w:val="20"/>
              </w:rPr>
              <w:t>(-0.76)</w:t>
            </w:r>
          </w:p>
        </w:tc>
        <w:tc>
          <w:tcPr>
            <w:tcW w:w="1307" w:type="dxa"/>
          </w:tcPr>
          <w:p w14:paraId="0B49580E"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(0.74)</w:t>
            </w:r>
          </w:p>
        </w:tc>
        <w:tc>
          <w:tcPr>
            <w:tcW w:w="1466" w:type="dxa"/>
          </w:tcPr>
          <w:p w14:paraId="17C3CBD5" w14:textId="77777777" w:rsidR="007C344D" w:rsidRPr="00DB6C99" w:rsidRDefault="007C344D" w:rsidP="007C344D">
            <w:pPr>
              <w:widowControl w:val="0"/>
              <w:tabs>
                <w:tab w:val="decimal" w:pos="645"/>
              </w:tabs>
              <w:kinsoku w:val="0"/>
              <w:overflowPunct w:val="0"/>
              <w:autoSpaceDE w:val="0"/>
              <w:autoSpaceDN w:val="0"/>
              <w:adjustRightInd w:val="0"/>
              <w:rPr>
                <w:rFonts w:ascii="Garamond" w:hAnsi="Garamond"/>
                <w:sz w:val="20"/>
                <w:szCs w:val="20"/>
              </w:rPr>
            </w:pPr>
            <w:r w:rsidRPr="00DB6C99">
              <w:rPr>
                <w:rFonts w:ascii="Garamond" w:hAnsi="Garamond"/>
                <w:sz w:val="20"/>
                <w:szCs w:val="20"/>
              </w:rPr>
              <w:t>(-1.42)</w:t>
            </w:r>
          </w:p>
        </w:tc>
        <w:tc>
          <w:tcPr>
            <w:tcW w:w="1245" w:type="dxa"/>
          </w:tcPr>
          <w:p w14:paraId="4D6F6D70" w14:textId="77777777" w:rsidR="007C344D" w:rsidRPr="00DB6C99" w:rsidRDefault="007C344D" w:rsidP="007C344D">
            <w:pPr>
              <w:widowControl w:val="0"/>
              <w:tabs>
                <w:tab w:val="decimal" w:pos="434"/>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(1.80)</w:t>
            </w:r>
          </w:p>
        </w:tc>
      </w:tr>
      <w:tr w:rsidR="00DB6C99" w:rsidRPr="00DB6C99" w14:paraId="7627FBEF" w14:textId="77777777" w:rsidTr="007C344D">
        <w:trPr>
          <w:trHeight w:val="254"/>
          <w:jc w:val="center"/>
        </w:trPr>
        <w:tc>
          <w:tcPr>
            <w:tcW w:w="3544" w:type="dxa"/>
            <w:vAlign w:val="center"/>
          </w:tcPr>
          <w:p w14:paraId="412AF615" w14:textId="77777777" w:rsidR="007C344D" w:rsidRPr="00DB6C99" w:rsidRDefault="007C344D" w:rsidP="007C344D">
            <w:pPr>
              <w:widowControl w:val="0"/>
              <w:kinsoku w:val="0"/>
              <w:overflowPunct w:val="0"/>
              <w:autoSpaceDE w:val="0"/>
              <w:autoSpaceDN w:val="0"/>
              <w:adjustRightInd w:val="0"/>
              <w:jc w:val="both"/>
              <w:rPr>
                <w:rFonts w:ascii="Garamond" w:hAnsi="Garamond"/>
                <w:sz w:val="20"/>
                <w:szCs w:val="20"/>
              </w:rPr>
            </w:pPr>
            <w:r w:rsidRPr="00DB6C99">
              <w:rPr>
                <w:rFonts w:ascii="Garamond" w:hAnsi="Garamond"/>
                <w:i/>
                <w:iCs/>
                <w:sz w:val="20"/>
                <w:szCs w:val="20"/>
                <w:lang w:val="en-GB"/>
              </w:rPr>
              <w:t>SIZE</w:t>
            </w:r>
          </w:p>
        </w:tc>
        <w:tc>
          <w:tcPr>
            <w:tcW w:w="1810" w:type="dxa"/>
          </w:tcPr>
          <w:p w14:paraId="282F530E" w14:textId="77777777" w:rsidR="007C344D" w:rsidRPr="00DB6C99" w:rsidRDefault="007C344D" w:rsidP="007C344D">
            <w:pPr>
              <w:widowControl w:val="0"/>
              <w:tabs>
                <w:tab w:val="decimal" w:pos="630"/>
              </w:tabs>
              <w:kinsoku w:val="0"/>
              <w:overflowPunct w:val="0"/>
              <w:autoSpaceDE w:val="0"/>
              <w:autoSpaceDN w:val="0"/>
              <w:adjustRightInd w:val="0"/>
              <w:jc w:val="both"/>
              <w:rPr>
                <w:rFonts w:ascii="Garamond" w:hAnsi="Garamond"/>
                <w:i/>
                <w:iCs/>
                <w:sz w:val="20"/>
                <w:szCs w:val="20"/>
                <w:lang w:val="en-GB"/>
              </w:rPr>
            </w:pPr>
            <w:r w:rsidRPr="00DB6C99">
              <w:rPr>
                <w:rFonts w:ascii="Garamond" w:hAnsi="Garamond"/>
                <w:sz w:val="20"/>
                <w:szCs w:val="20"/>
              </w:rPr>
              <w:t>0.183***</w:t>
            </w:r>
          </w:p>
        </w:tc>
        <w:tc>
          <w:tcPr>
            <w:tcW w:w="1876" w:type="dxa"/>
          </w:tcPr>
          <w:p w14:paraId="3A92083E" w14:textId="77777777" w:rsidR="007C344D" w:rsidRPr="00DB6C99" w:rsidRDefault="007C344D" w:rsidP="007C344D">
            <w:pPr>
              <w:widowControl w:val="0"/>
              <w:tabs>
                <w:tab w:val="decimal" w:pos="540"/>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-0.025</w:t>
            </w:r>
          </w:p>
        </w:tc>
        <w:tc>
          <w:tcPr>
            <w:tcW w:w="1427" w:type="dxa"/>
          </w:tcPr>
          <w:p w14:paraId="0F53094B" w14:textId="77777777" w:rsidR="007C344D" w:rsidRPr="00DB6C99" w:rsidRDefault="007C344D" w:rsidP="007C344D">
            <w:pPr>
              <w:widowControl w:val="0"/>
              <w:tabs>
                <w:tab w:val="decimal" w:pos="540"/>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0.199***</w:t>
            </w:r>
          </w:p>
        </w:tc>
        <w:tc>
          <w:tcPr>
            <w:tcW w:w="1701" w:type="dxa"/>
          </w:tcPr>
          <w:p w14:paraId="7F9842C1" w14:textId="77777777" w:rsidR="007C344D" w:rsidRPr="00DB6C99" w:rsidRDefault="007C344D" w:rsidP="007C344D">
            <w:pPr>
              <w:widowControl w:val="0"/>
              <w:tabs>
                <w:tab w:val="decimal" w:pos="0"/>
              </w:tabs>
              <w:kinsoku w:val="0"/>
              <w:overflowPunct w:val="0"/>
              <w:autoSpaceDE w:val="0"/>
              <w:autoSpaceDN w:val="0"/>
              <w:adjustRightInd w:val="0"/>
              <w:jc w:val="center"/>
              <w:rPr>
                <w:rFonts w:ascii="Garamond" w:hAnsi="Garamond"/>
                <w:sz w:val="20"/>
                <w:szCs w:val="20"/>
                <w:lang w:val="en-GB"/>
              </w:rPr>
            </w:pPr>
            <w:r w:rsidRPr="00DB6C99">
              <w:rPr>
                <w:rFonts w:ascii="Garamond" w:hAnsi="Garamond"/>
                <w:sz w:val="20"/>
                <w:szCs w:val="20"/>
              </w:rPr>
              <w:t>0.152***</w:t>
            </w:r>
          </w:p>
        </w:tc>
        <w:tc>
          <w:tcPr>
            <w:tcW w:w="1307" w:type="dxa"/>
          </w:tcPr>
          <w:p w14:paraId="0F45F561"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0.175***</w:t>
            </w:r>
          </w:p>
        </w:tc>
        <w:tc>
          <w:tcPr>
            <w:tcW w:w="1466" w:type="dxa"/>
          </w:tcPr>
          <w:p w14:paraId="09E3491B" w14:textId="77777777" w:rsidR="007C344D" w:rsidRPr="00DB6C99" w:rsidRDefault="007C344D" w:rsidP="007C344D">
            <w:pPr>
              <w:widowControl w:val="0"/>
              <w:tabs>
                <w:tab w:val="decimal" w:pos="645"/>
              </w:tabs>
              <w:kinsoku w:val="0"/>
              <w:overflowPunct w:val="0"/>
              <w:autoSpaceDE w:val="0"/>
              <w:autoSpaceDN w:val="0"/>
              <w:adjustRightInd w:val="0"/>
              <w:rPr>
                <w:rFonts w:ascii="Garamond" w:hAnsi="Garamond"/>
                <w:sz w:val="20"/>
                <w:szCs w:val="20"/>
              </w:rPr>
            </w:pPr>
            <w:r w:rsidRPr="00DB6C99">
              <w:rPr>
                <w:rFonts w:ascii="Garamond" w:hAnsi="Garamond"/>
                <w:sz w:val="20"/>
                <w:szCs w:val="20"/>
              </w:rPr>
              <w:t>0.009***</w:t>
            </w:r>
          </w:p>
        </w:tc>
        <w:tc>
          <w:tcPr>
            <w:tcW w:w="1245" w:type="dxa"/>
          </w:tcPr>
          <w:p w14:paraId="6F78537E" w14:textId="77777777" w:rsidR="007C344D" w:rsidRPr="00DB6C99" w:rsidRDefault="007C344D" w:rsidP="007C344D">
            <w:pPr>
              <w:widowControl w:val="0"/>
              <w:tabs>
                <w:tab w:val="decimal" w:pos="434"/>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0.278***</w:t>
            </w:r>
          </w:p>
        </w:tc>
      </w:tr>
      <w:tr w:rsidR="00DB6C99" w:rsidRPr="00DB6C99" w14:paraId="48E652AE" w14:textId="77777777" w:rsidTr="007C344D">
        <w:trPr>
          <w:trHeight w:val="230"/>
          <w:jc w:val="center"/>
        </w:trPr>
        <w:tc>
          <w:tcPr>
            <w:tcW w:w="3544" w:type="dxa"/>
            <w:vAlign w:val="center"/>
          </w:tcPr>
          <w:p w14:paraId="76F90711" w14:textId="77777777" w:rsidR="007C344D" w:rsidRPr="00DB6C99" w:rsidRDefault="007C344D" w:rsidP="007C344D">
            <w:pPr>
              <w:widowControl w:val="0"/>
              <w:kinsoku w:val="0"/>
              <w:overflowPunct w:val="0"/>
              <w:autoSpaceDE w:val="0"/>
              <w:autoSpaceDN w:val="0"/>
              <w:adjustRightInd w:val="0"/>
              <w:jc w:val="both"/>
              <w:rPr>
                <w:rFonts w:ascii="Garamond" w:hAnsi="Garamond"/>
                <w:i/>
                <w:iCs/>
                <w:sz w:val="20"/>
                <w:szCs w:val="20"/>
                <w:lang w:val="en-GB"/>
              </w:rPr>
            </w:pPr>
          </w:p>
        </w:tc>
        <w:tc>
          <w:tcPr>
            <w:tcW w:w="1810" w:type="dxa"/>
          </w:tcPr>
          <w:p w14:paraId="4A911222" w14:textId="77777777" w:rsidR="007C344D" w:rsidRPr="00DB6C99" w:rsidRDefault="007C344D" w:rsidP="007C344D">
            <w:pPr>
              <w:widowControl w:val="0"/>
              <w:tabs>
                <w:tab w:val="decimal" w:pos="630"/>
              </w:tabs>
              <w:kinsoku w:val="0"/>
              <w:overflowPunct w:val="0"/>
              <w:autoSpaceDE w:val="0"/>
              <w:autoSpaceDN w:val="0"/>
              <w:adjustRightInd w:val="0"/>
              <w:jc w:val="both"/>
              <w:rPr>
                <w:rFonts w:ascii="Garamond" w:hAnsi="Garamond"/>
                <w:i/>
                <w:iCs/>
                <w:sz w:val="20"/>
                <w:szCs w:val="20"/>
                <w:lang w:val="en-GB"/>
              </w:rPr>
            </w:pPr>
            <w:r w:rsidRPr="00DB6C99">
              <w:rPr>
                <w:rFonts w:ascii="Garamond" w:hAnsi="Garamond"/>
                <w:sz w:val="20"/>
                <w:szCs w:val="20"/>
              </w:rPr>
              <w:t>(11.58)</w:t>
            </w:r>
          </w:p>
        </w:tc>
        <w:tc>
          <w:tcPr>
            <w:tcW w:w="1876" w:type="dxa"/>
          </w:tcPr>
          <w:p w14:paraId="3A717F0A" w14:textId="77777777" w:rsidR="007C344D" w:rsidRPr="00DB6C99" w:rsidRDefault="007C344D" w:rsidP="007C344D">
            <w:pPr>
              <w:widowControl w:val="0"/>
              <w:tabs>
                <w:tab w:val="decimal" w:pos="540"/>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(-0.75)</w:t>
            </w:r>
          </w:p>
        </w:tc>
        <w:tc>
          <w:tcPr>
            <w:tcW w:w="1427" w:type="dxa"/>
          </w:tcPr>
          <w:p w14:paraId="2F23708F" w14:textId="77777777" w:rsidR="007C344D" w:rsidRPr="00DB6C99" w:rsidRDefault="007C344D" w:rsidP="007C344D">
            <w:pPr>
              <w:widowControl w:val="0"/>
              <w:tabs>
                <w:tab w:val="decimal" w:pos="540"/>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(7.34)</w:t>
            </w:r>
          </w:p>
        </w:tc>
        <w:tc>
          <w:tcPr>
            <w:tcW w:w="1701" w:type="dxa"/>
          </w:tcPr>
          <w:p w14:paraId="7DA1F430" w14:textId="77777777" w:rsidR="007C344D" w:rsidRPr="00DB6C99" w:rsidRDefault="007C344D" w:rsidP="007C344D">
            <w:pPr>
              <w:widowControl w:val="0"/>
              <w:tabs>
                <w:tab w:val="decimal" w:pos="0"/>
              </w:tabs>
              <w:kinsoku w:val="0"/>
              <w:overflowPunct w:val="0"/>
              <w:autoSpaceDE w:val="0"/>
              <w:autoSpaceDN w:val="0"/>
              <w:adjustRightInd w:val="0"/>
              <w:jc w:val="center"/>
              <w:rPr>
                <w:rFonts w:ascii="Garamond" w:hAnsi="Garamond"/>
                <w:sz w:val="20"/>
                <w:szCs w:val="20"/>
                <w:lang w:val="en-GB"/>
              </w:rPr>
            </w:pPr>
            <w:r w:rsidRPr="00DB6C99">
              <w:rPr>
                <w:rFonts w:ascii="Garamond" w:hAnsi="Garamond"/>
                <w:sz w:val="20"/>
                <w:szCs w:val="20"/>
              </w:rPr>
              <w:t>(8.14)</w:t>
            </w:r>
          </w:p>
        </w:tc>
        <w:tc>
          <w:tcPr>
            <w:tcW w:w="1307" w:type="dxa"/>
          </w:tcPr>
          <w:p w14:paraId="4921D843"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(6.11)</w:t>
            </w:r>
          </w:p>
        </w:tc>
        <w:tc>
          <w:tcPr>
            <w:tcW w:w="1466" w:type="dxa"/>
          </w:tcPr>
          <w:p w14:paraId="327261E0" w14:textId="77777777" w:rsidR="007C344D" w:rsidRPr="00DB6C99" w:rsidRDefault="007C344D" w:rsidP="007C344D">
            <w:pPr>
              <w:widowControl w:val="0"/>
              <w:tabs>
                <w:tab w:val="decimal" w:pos="645"/>
              </w:tabs>
              <w:kinsoku w:val="0"/>
              <w:overflowPunct w:val="0"/>
              <w:autoSpaceDE w:val="0"/>
              <w:autoSpaceDN w:val="0"/>
              <w:adjustRightInd w:val="0"/>
              <w:rPr>
                <w:rFonts w:ascii="Garamond" w:hAnsi="Garamond"/>
                <w:sz w:val="20"/>
                <w:szCs w:val="20"/>
              </w:rPr>
            </w:pPr>
            <w:r w:rsidRPr="00DB6C99">
              <w:rPr>
                <w:rFonts w:ascii="Garamond" w:hAnsi="Garamond"/>
                <w:sz w:val="20"/>
                <w:szCs w:val="20"/>
              </w:rPr>
              <w:t>(12.05)</w:t>
            </w:r>
          </w:p>
        </w:tc>
        <w:tc>
          <w:tcPr>
            <w:tcW w:w="1245" w:type="dxa"/>
          </w:tcPr>
          <w:p w14:paraId="6921988D" w14:textId="77777777" w:rsidR="007C344D" w:rsidRPr="00DB6C99" w:rsidRDefault="007C344D" w:rsidP="007C344D">
            <w:pPr>
              <w:widowControl w:val="0"/>
              <w:tabs>
                <w:tab w:val="decimal" w:pos="434"/>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(29.45)</w:t>
            </w:r>
          </w:p>
        </w:tc>
      </w:tr>
      <w:tr w:rsidR="00DB6C99" w:rsidRPr="00DB6C99" w14:paraId="1EDF93DB" w14:textId="77777777" w:rsidTr="007C344D">
        <w:trPr>
          <w:trHeight w:val="268"/>
          <w:jc w:val="center"/>
        </w:trPr>
        <w:tc>
          <w:tcPr>
            <w:tcW w:w="3544" w:type="dxa"/>
            <w:vAlign w:val="center"/>
          </w:tcPr>
          <w:p w14:paraId="46FEC7E9" w14:textId="77777777" w:rsidR="007C344D" w:rsidRPr="00DB6C99" w:rsidRDefault="007C344D" w:rsidP="007C344D">
            <w:pPr>
              <w:widowControl w:val="0"/>
              <w:kinsoku w:val="0"/>
              <w:overflowPunct w:val="0"/>
              <w:autoSpaceDE w:val="0"/>
              <w:autoSpaceDN w:val="0"/>
              <w:adjustRightInd w:val="0"/>
              <w:jc w:val="both"/>
              <w:rPr>
                <w:rFonts w:ascii="Garamond" w:hAnsi="Garamond"/>
                <w:i/>
                <w:iCs/>
                <w:sz w:val="20"/>
                <w:szCs w:val="20"/>
              </w:rPr>
            </w:pPr>
            <w:r w:rsidRPr="00DB6C99">
              <w:rPr>
                <w:rFonts w:ascii="Garamond" w:hAnsi="Garamond"/>
                <w:i/>
                <w:iCs/>
                <w:sz w:val="20"/>
                <w:szCs w:val="20"/>
              </w:rPr>
              <w:t>I</w:t>
            </w:r>
            <w:r w:rsidRPr="00DB6C99">
              <w:rPr>
                <w:rFonts w:ascii="Garamond" w:hAnsi="Garamond"/>
                <w:i/>
                <w:iCs/>
                <w:spacing w:val="-2"/>
                <w:sz w:val="20"/>
                <w:szCs w:val="20"/>
              </w:rPr>
              <w:t>n</w:t>
            </w:r>
            <w:r w:rsidRPr="00DB6C99">
              <w:rPr>
                <w:rFonts w:ascii="Garamond" w:hAnsi="Garamond"/>
                <w:i/>
                <w:iCs/>
                <w:spacing w:val="-1"/>
                <w:sz w:val="20"/>
                <w:szCs w:val="20"/>
              </w:rPr>
              <w:t>t</w:t>
            </w:r>
            <w:r w:rsidRPr="00DB6C99">
              <w:rPr>
                <w:rFonts w:ascii="Garamond" w:hAnsi="Garamond"/>
                <w:i/>
                <w:iCs/>
                <w:sz w:val="20"/>
                <w:szCs w:val="20"/>
              </w:rPr>
              <w:t>erce</w:t>
            </w:r>
            <w:r w:rsidRPr="00DB6C99">
              <w:rPr>
                <w:rFonts w:ascii="Garamond" w:hAnsi="Garamond"/>
                <w:i/>
                <w:iCs/>
                <w:spacing w:val="1"/>
                <w:sz w:val="20"/>
                <w:szCs w:val="20"/>
              </w:rPr>
              <w:t>p</w:t>
            </w:r>
            <w:r w:rsidRPr="00DB6C99">
              <w:rPr>
                <w:rFonts w:ascii="Garamond" w:hAnsi="Garamond"/>
                <w:i/>
                <w:iCs/>
                <w:sz w:val="20"/>
                <w:szCs w:val="20"/>
              </w:rPr>
              <w:t>t</w:t>
            </w:r>
          </w:p>
        </w:tc>
        <w:tc>
          <w:tcPr>
            <w:tcW w:w="1810" w:type="dxa"/>
          </w:tcPr>
          <w:p w14:paraId="3748024C" w14:textId="77777777" w:rsidR="007C344D" w:rsidRPr="00DB6C99" w:rsidRDefault="007C344D" w:rsidP="007C344D">
            <w:pPr>
              <w:widowControl w:val="0"/>
              <w:tabs>
                <w:tab w:val="decimal" w:pos="630"/>
              </w:tabs>
              <w:kinsoku w:val="0"/>
              <w:overflowPunct w:val="0"/>
              <w:autoSpaceDE w:val="0"/>
              <w:autoSpaceDN w:val="0"/>
              <w:adjustRightInd w:val="0"/>
              <w:jc w:val="both"/>
              <w:rPr>
                <w:rFonts w:ascii="Garamond" w:hAnsi="Garamond"/>
                <w:i/>
                <w:iCs/>
                <w:sz w:val="20"/>
                <w:szCs w:val="20"/>
              </w:rPr>
            </w:pPr>
            <w:r w:rsidRPr="00DB6C99">
              <w:rPr>
                <w:rFonts w:ascii="Garamond" w:hAnsi="Garamond"/>
                <w:sz w:val="20"/>
                <w:szCs w:val="20"/>
              </w:rPr>
              <w:t>-5.995***</w:t>
            </w:r>
          </w:p>
        </w:tc>
        <w:tc>
          <w:tcPr>
            <w:tcW w:w="1876" w:type="dxa"/>
          </w:tcPr>
          <w:p w14:paraId="608CF07A" w14:textId="77777777" w:rsidR="007C344D" w:rsidRPr="00DB6C99" w:rsidRDefault="007C344D" w:rsidP="007C344D">
            <w:pPr>
              <w:widowControl w:val="0"/>
              <w:tabs>
                <w:tab w:val="decimal" w:pos="540"/>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0.502</w:t>
            </w:r>
          </w:p>
        </w:tc>
        <w:tc>
          <w:tcPr>
            <w:tcW w:w="1427" w:type="dxa"/>
          </w:tcPr>
          <w:p w14:paraId="19F2747B" w14:textId="77777777" w:rsidR="007C344D" w:rsidRPr="00DB6C99" w:rsidRDefault="007C344D" w:rsidP="007C344D">
            <w:pPr>
              <w:widowControl w:val="0"/>
              <w:tabs>
                <w:tab w:val="decimal" w:pos="540"/>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-4.495***</w:t>
            </w:r>
          </w:p>
        </w:tc>
        <w:tc>
          <w:tcPr>
            <w:tcW w:w="1701" w:type="dxa"/>
          </w:tcPr>
          <w:p w14:paraId="056B4557" w14:textId="77777777" w:rsidR="007C344D" w:rsidRPr="00DB6C99" w:rsidRDefault="007C344D" w:rsidP="007C344D">
            <w:pPr>
              <w:widowControl w:val="0"/>
              <w:tabs>
                <w:tab w:val="decimal" w:pos="0"/>
              </w:tabs>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-3.743***</w:t>
            </w:r>
          </w:p>
        </w:tc>
        <w:tc>
          <w:tcPr>
            <w:tcW w:w="1307" w:type="dxa"/>
          </w:tcPr>
          <w:p w14:paraId="7F4FC5FC"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-4.220***</w:t>
            </w:r>
          </w:p>
        </w:tc>
        <w:tc>
          <w:tcPr>
            <w:tcW w:w="1466" w:type="dxa"/>
          </w:tcPr>
          <w:p w14:paraId="326B5B45" w14:textId="77777777" w:rsidR="007C344D" w:rsidRPr="00DB6C99" w:rsidRDefault="007C344D" w:rsidP="007C344D">
            <w:pPr>
              <w:widowControl w:val="0"/>
              <w:tabs>
                <w:tab w:val="decimal" w:pos="645"/>
              </w:tabs>
              <w:kinsoku w:val="0"/>
              <w:overflowPunct w:val="0"/>
              <w:autoSpaceDE w:val="0"/>
              <w:autoSpaceDN w:val="0"/>
              <w:adjustRightInd w:val="0"/>
              <w:rPr>
                <w:rFonts w:ascii="Garamond" w:hAnsi="Garamond"/>
                <w:sz w:val="20"/>
                <w:szCs w:val="20"/>
              </w:rPr>
            </w:pPr>
            <w:r w:rsidRPr="00DB6C99">
              <w:rPr>
                <w:rFonts w:ascii="Garamond" w:hAnsi="Garamond"/>
                <w:sz w:val="20"/>
                <w:szCs w:val="20"/>
              </w:rPr>
              <w:t>-0.148***</w:t>
            </w:r>
          </w:p>
        </w:tc>
        <w:tc>
          <w:tcPr>
            <w:tcW w:w="1245" w:type="dxa"/>
          </w:tcPr>
          <w:p w14:paraId="5B993052" w14:textId="77777777" w:rsidR="007C344D" w:rsidRPr="00DB6C99" w:rsidRDefault="007C344D" w:rsidP="007C344D">
            <w:pPr>
              <w:widowControl w:val="0"/>
              <w:tabs>
                <w:tab w:val="decimal" w:pos="434"/>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-6.233***</w:t>
            </w:r>
          </w:p>
        </w:tc>
      </w:tr>
      <w:tr w:rsidR="00DB6C99" w:rsidRPr="00DB6C99" w14:paraId="28D1A3FF" w14:textId="77777777" w:rsidTr="007C344D">
        <w:trPr>
          <w:trHeight w:val="237"/>
          <w:jc w:val="center"/>
        </w:trPr>
        <w:tc>
          <w:tcPr>
            <w:tcW w:w="3544" w:type="dxa"/>
            <w:vAlign w:val="center"/>
          </w:tcPr>
          <w:p w14:paraId="0237F8C7" w14:textId="77777777" w:rsidR="007C344D" w:rsidRPr="00DB6C99" w:rsidRDefault="007C344D" w:rsidP="007C344D">
            <w:pPr>
              <w:widowControl w:val="0"/>
              <w:kinsoku w:val="0"/>
              <w:overflowPunct w:val="0"/>
              <w:autoSpaceDE w:val="0"/>
              <w:autoSpaceDN w:val="0"/>
              <w:adjustRightInd w:val="0"/>
              <w:jc w:val="both"/>
              <w:rPr>
                <w:rFonts w:ascii="Garamond" w:hAnsi="Garamond"/>
                <w:i/>
                <w:iCs/>
                <w:sz w:val="20"/>
                <w:szCs w:val="20"/>
              </w:rPr>
            </w:pPr>
          </w:p>
        </w:tc>
        <w:tc>
          <w:tcPr>
            <w:tcW w:w="1810" w:type="dxa"/>
          </w:tcPr>
          <w:p w14:paraId="384F90F5" w14:textId="77777777" w:rsidR="007C344D" w:rsidRPr="00DB6C99" w:rsidRDefault="007C344D" w:rsidP="007C344D">
            <w:pPr>
              <w:widowControl w:val="0"/>
              <w:tabs>
                <w:tab w:val="decimal" w:pos="630"/>
              </w:tabs>
              <w:kinsoku w:val="0"/>
              <w:overflowPunct w:val="0"/>
              <w:autoSpaceDE w:val="0"/>
              <w:autoSpaceDN w:val="0"/>
              <w:adjustRightInd w:val="0"/>
              <w:jc w:val="both"/>
              <w:rPr>
                <w:rFonts w:ascii="Garamond" w:hAnsi="Garamond"/>
                <w:i/>
                <w:iCs/>
                <w:sz w:val="20"/>
                <w:szCs w:val="20"/>
              </w:rPr>
            </w:pPr>
            <w:r w:rsidRPr="00DB6C99">
              <w:rPr>
                <w:rFonts w:ascii="Garamond" w:hAnsi="Garamond"/>
                <w:sz w:val="20"/>
                <w:szCs w:val="20"/>
              </w:rPr>
              <w:t>(-15.39)</w:t>
            </w:r>
          </w:p>
        </w:tc>
        <w:tc>
          <w:tcPr>
            <w:tcW w:w="1876" w:type="dxa"/>
          </w:tcPr>
          <w:p w14:paraId="5F78D65B" w14:textId="77777777" w:rsidR="007C344D" w:rsidRPr="00DB6C99" w:rsidRDefault="007C344D" w:rsidP="007C344D">
            <w:pPr>
              <w:widowControl w:val="0"/>
              <w:tabs>
                <w:tab w:val="decimal" w:pos="540"/>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(0.66)</w:t>
            </w:r>
          </w:p>
        </w:tc>
        <w:tc>
          <w:tcPr>
            <w:tcW w:w="1427" w:type="dxa"/>
          </w:tcPr>
          <w:p w14:paraId="39C43940" w14:textId="77777777" w:rsidR="007C344D" w:rsidRPr="00DB6C99" w:rsidRDefault="007C344D" w:rsidP="007C344D">
            <w:pPr>
              <w:widowControl w:val="0"/>
              <w:tabs>
                <w:tab w:val="decimal" w:pos="540"/>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(-10.42)</w:t>
            </w:r>
          </w:p>
        </w:tc>
        <w:tc>
          <w:tcPr>
            <w:tcW w:w="1701" w:type="dxa"/>
          </w:tcPr>
          <w:p w14:paraId="37D51E13" w14:textId="77777777" w:rsidR="007C344D" w:rsidRPr="00DB6C99" w:rsidRDefault="007C344D" w:rsidP="007C344D">
            <w:pPr>
              <w:widowControl w:val="0"/>
              <w:tabs>
                <w:tab w:val="decimal" w:pos="0"/>
              </w:tabs>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(-7.42)</w:t>
            </w:r>
          </w:p>
        </w:tc>
        <w:tc>
          <w:tcPr>
            <w:tcW w:w="1307" w:type="dxa"/>
          </w:tcPr>
          <w:p w14:paraId="05EF7FDE"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(-8.66)</w:t>
            </w:r>
          </w:p>
        </w:tc>
        <w:tc>
          <w:tcPr>
            <w:tcW w:w="1466" w:type="dxa"/>
          </w:tcPr>
          <w:p w14:paraId="50092DA1" w14:textId="77777777" w:rsidR="007C344D" w:rsidRPr="00DB6C99" w:rsidRDefault="007C344D" w:rsidP="007C344D">
            <w:pPr>
              <w:widowControl w:val="0"/>
              <w:tabs>
                <w:tab w:val="decimal" w:pos="645"/>
              </w:tabs>
              <w:kinsoku w:val="0"/>
              <w:overflowPunct w:val="0"/>
              <w:autoSpaceDE w:val="0"/>
              <w:autoSpaceDN w:val="0"/>
              <w:adjustRightInd w:val="0"/>
              <w:rPr>
                <w:rFonts w:ascii="Garamond" w:hAnsi="Garamond"/>
                <w:sz w:val="20"/>
                <w:szCs w:val="20"/>
              </w:rPr>
            </w:pPr>
            <w:r w:rsidRPr="00DB6C99">
              <w:rPr>
                <w:rFonts w:ascii="Garamond" w:hAnsi="Garamond"/>
                <w:sz w:val="20"/>
                <w:szCs w:val="20"/>
              </w:rPr>
              <w:t>(-7.00)</w:t>
            </w:r>
          </w:p>
        </w:tc>
        <w:tc>
          <w:tcPr>
            <w:tcW w:w="1245" w:type="dxa"/>
          </w:tcPr>
          <w:p w14:paraId="0B286C5B" w14:textId="77777777" w:rsidR="007C344D" w:rsidRPr="00DB6C99" w:rsidRDefault="007C344D" w:rsidP="007C344D">
            <w:pPr>
              <w:widowControl w:val="0"/>
              <w:tabs>
                <w:tab w:val="decimal" w:pos="434"/>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(-24.88)</w:t>
            </w:r>
          </w:p>
        </w:tc>
      </w:tr>
      <w:tr w:rsidR="00DB6C99" w:rsidRPr="00DB6C99" w14:paraId="2A8A9740" w14:textId="77777777" w:rsidTr="007C344D">
        <w:trPr>
          <w:trHeight w:val="207"/>
          <w:jc w:val="center"/>
        </w:trPr>
        <w:tc>
          <w:tcPr>
            <w:tcW w:w="3544" w:type="dxa"/>
            <w:vAlign w:val="center"/>
          </w:tcPr>
          <w:p w14:paraId="0D8D2550" w14:textId="77777777" w:rsidR="007C344D" w:rsidRPr="00DB6C99" w:rsidRDefault="007C344D" w:rsidP="007C344D">
            <w:pPr>
              <w:widowControl w:val="0"/>
              <w:kinsoku w:val="0"/>
              <w:overflowPunct w:val="0"/>
              <w:autoSpaceDE w:val="0"/>
              <w:autoSpaceDN w:val="0"/>
              <w:adjustRightInd w:val="0"/>
              <w:jc w:val="both"/>
              <w:rPr>
                <w:rFonts w:ascii="Garamond" w:hAnsi="Garamond"/>
                <w:i/>
                <w:iCs/>
                <w:sz w:val="20"/>
                <w:szCs w:val="20"/>
              </w:rPr>
            </w:pPr>
            <w:r w:rsidRPr="00DB6C99">
              <w:rPr>
                <w:rFonts w:ascii="Garamond" w:hAnsi="Garamond"/>
                <w:i/>
                <w:iCs/>
                <w:sz w:val="20"/>
                <w:szCs w:val="20"/>
              </w:rPr>
              <w:t>N</w:t>
            </w:r>
          </w:p>
        </w:tc>
        <w:tc>
          <w:tcPr>
            <w:tcW w:w="1810" w:type="dxa"/>
            <w:vAlign w:val="center"/>
          </w:tcPr>
          <w:p w14:paraId="7ADD1FF6"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9,048</w:t>
            </w:r>
          </w:p>
        </w:tc>
        <w:tc>
          <w:tcPr>
            <w:tcW w:w="1876" w:type="dxa"/>
            <w:vAlign w:val="center"/>
          </w:tcPr>
          <w:p w14:paraId="10201F86" w14:textId="77777777" w:rsidR="007C344D" w:rsidRPr="00DB6C99" w:rsidRDefault="007C344D" w:rsidP="007C344D">
            <w:pPr>
              <w:widowControl w:val="0"/>
              <w:kinsoku w:val="0"/>
              <w:overflowPunct w:val="0"/>
              <w:autoSpaceDE w:val="0"/>
              <w:autoSpaceDN w:val="0"/>
              <w:adjustRightInd w:val="0"/>
              <w:ind w:right="461"/>
              <w:jc w:val="center"/>
              <w:rPr>
                <w:rFonts w:ascii="Garamond" w:hAnsi="Garamond"/>
                <w:sz w:val="20"/>
                <w:szCs w:val="20"/>
              </w:rPr>
            </w:pPr>
            <w:r w:rsidRPr="00DB6C99">
              <w:rPr>
                <w:rFonts w:ascii="Garamond" w:hAnsi="Garamond"/>
                <w:sz w:val="20"/>
                <w:szCs w:val="20"/>
              </w:rPr>
              <w:t>7,042</w:t>
            </w:r>
          </w:p>
        </w:tc>
        <w:tc>
          <w:tcPr>
            <w:tcW w:w="1427" w:type="dxa"/>
            <w:vAlign w:val="center"/>
          </w:tcPr>
          <w:p w14:paraId="3B661499"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7,042</w:t>
            </w:r>
          </w:p>
        </w:tc>
        <w:tc>
          <w:tcPr>
            <w:tcW w:w="1701" w:type="dxa"/>
            <w:vAlign w:val="center"/>
          </w:tcPr>
          <w:p w14:paraId="5630FEE8"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6,931</w:t>
            </w:r>
          </w:p>
        </w:tc>
        <w:tc>
          <w:tcPr>
            <w:tcW w:w="1307" w:type="dxa"/>
            <w:vAlign w:val="center"/>
          </w:tcPr>
          <w:p w14:paraId="30AFF581"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6,931</w:t>
            </w:r>
          </w:p>
        </w:tc>
        <w:tc>
          <w:tcPr>
            <w:tcW w:w="1466" w:type="dxa"/>
            <w:vAlign w:val="center"/>
          </w:tcPr>
          <w:p w14:paraId="696A2CEE" w14:textId="77777777" w:rsidR="007C344D" w:rsidRPr="00DB6C99" w:rsidRDefault="007C344D" w:rsidP="007C344D">
            <w:pPr>
              <w:widowControl w:val="0"/>
              <w:tabs>
                <w:tab w:val="decimal" w:pos="645"/>
              </w:tabs>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7,147</w:t>
            </w:r>
          </w:p>
        </w:tc>
        <w:tc>
          <w:tcPr>
            <w:tcW w:w="1245" w:type="dxa"/>
            <w:vAlign w:val="center"/>
          </w:tcPr>
          <w:p w14:paraId="294A82D9" w14:textId="77777777" w:rsidR="007C344D" w:rsidRPr="00DB6C99" w:rsidRDefault="007C344D" w:rsidP="007C344D">
            <w:pPr>
              <w:widowControl w:val="0"/>
              <w:tabs>
                <w:tab w:val="decimal" w:pos="648"/>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7,147</w:t>
            </w:r>
          </w:p>
        </w:tc>
      </w:tr>
      <w:tr w:rsidR="00DB6C99" w:rsidRPr="00DB6C99" w14:paraId="7184D3A0" w14:textId="77777777" w:rsidTr="007C344D">
        <w:trPr>
          <w:trHeight w:val="207"/>
          <w:jc w:val="center"/>
        </w:trPr>
        <w:tc>
          <w:tcPr>
            <w:tcW w:w="3544" w:type="dxa"/>
            <w:vAlign w:val="center"/>
          </w:tcPr>
          <w:p w14:paraId="21D9329E" w14:textId="77777777" w:rsidR="007C344D" w:rsidRPr="00DB6C99" w:rsidRDefault="007C344D" w:rsidP="007C344D">
            <w:pPr>
              <w:widowControl w:val="0"/>
              <w:kinsoku w:val="0"/>
              <w:overflowPunct w:val="0"/>
              <w:autoSpaceDE w:val="0"/>
              <w:autoSpaceDN w:val="0"/>
              <w:adjustRightInd w:val="0"/>
              <w:jc w:val="both"/>
              <w:rPr>
                <w:rFonts w:ascii="Garamond" w:hAnsi="Garamond"/>
                <w:i/>
                <w:iCs/>
                <w:sz w:val="20"/>
                <w:szCs w:val="20"/>
              </w:rPr>
            </w:pPr>
            <w:r w:rsidRPr="00DB6C99">
              <w:rPr>
                <w:rFonts w:ascii="Garamond" w:hAnsi="Garamond"/>
                <w:i/>
                <w:iCs/>
                <w:sz w:val="20"/>
                <w:szCs w:val="20"/>
              </w:rPr>
              <w:t>Firm &amp; Year</w:t>
            </w:r>
          </w:p>
        </w:tc>
        <w:tc>
          <w:tcPr>
            <w:tcW w:w="1810" w:type="dxa"/>
            <w:vAlign w:val="center"/>
          </w:tcPr>
          <w:p w14:paraId="24778C00"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w:t>
            </w:r>
          </w:p>
        </w:tc>
        <w:tc>
          <w:tcPr>
            <w:tcW w:w="1876" w:type="dxa"/>
            <w:vAlign w:val="center"/>
          </w:tcPr>
          <w:p w14:paraId="1942A31C" w14:textId="77777777" w:rsidR="007C344D" w:rsidRPr="00DB6C99" w:rsidRDefault="007C344D" w:rsidP="007C344D">
            <w:pPr>
              <w:widowControl w:val="0"/>
              <w:kinsoku w:val="0"/>
              <w:overflowPunct w:val="0"/>
              <w:autoSpaceDE w:val="0"/>
              <w:autoSpaceDN w:val="0"/>
              <w:adjustRightInd w:val="0"/>
              <w:ind w:right="461"/>
              <w:jc w:val="center"/>
              <w:rPr>
                <w:rFonts w:ascii="Garamond" w:hAnsi="Garamond"/>
                <w:sz w:val="20"/>
                <w:szCs w:val="20"/>
              </w:rPr>
            </w:pPr>
            <w:r w:rsidRPr="00DB6C99">
              <w:rPr>
                <w:rFonts w:ascii="Garamond" w:hAnsi="Garamond"/>
                <w:sz w:val="20"/>
                <w:szCs w:val="20"/>
              </w:rPr>
              <w:t>-</w:t>
            </w:r>
          </w:p>
        </w:tc>
        <w:tc>
          <w:tcPr>
            <w:tcW w:w="1427" w:type="dxa"/>
            <w:vAlign w:val="center"/>
          </w:tcPr>
          <w:p w14:paraId="2C782B1C"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Yes</w:t>
            </w:r>
          </w:p>
        </w:tc>
        <w:tc>
          <w:tcPr>
            <w:tcW w:w="1701" w:type="dxa"/>
            <w:vAlign w:val="center"/>
          </w:tcPr>
          <w:p w14:paraId="191AA505"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w:t>
            </w:r>
          </w:p>
        </w:tc>
        <w:tc>
          <w:tcPr>
            <w:tcW w:w="1307" w:type="dxa"/>
            <w:vAlign w:val="center"/>
          </w:tcPr>
          <w:p w14:paraId="2E396E1C"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Yes</w:t>
            </w:r>
          </w:p>
        </w:tc>
        <w:tc>
          <w:tcPr>
            <w:tcW w:w="1466" w:type="dxa"/>
            <w:vAlign w:val="center"/>
          </w:tcPr>
          <w:p w14:paraId="6C41F1F9"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w:t>
            </w:r>
          </w:p>
        </w:tc>
        <w:tc>
          <w:tcPr>
            <w:tcW w:w="1245" w:type="dxa"/>
            <w:vAlign w:val="center"/>
          </w:tcPr>
          <w:p w14:paraId="38ECDA70" w14:textId="77777777" w:rsidR="007C344D" w:rsidRPr="00DB6C99" w:rsidRDefault="007C344D" w:rsidP="007C344D">
            <w:pPr>
              <w:widowControl w:val="0"/>
              <w:tabs>
                <w:tab w:val="decimal" w:pos="434"/>
              </w:tabs>
              <w:kinsoku w:val="0"/>
              <w:overflowPunct w:val="0"/>
              <w:autoSpaceDE w:val="0"/>
              <w:autoSpaceDN w:val="0"/>
              <w:adjustRightInd w:val="0"/>
              <w:jc w:val="both"/>
              <w:rPr>
                <w:rFonts w:ascii="Garamond" w:hAnsi="Garamond"/>
                <w:sz w:val="20"/>
                <w:szCs w:val="20"/>
              </w:rPr>
            </w:pPr>
            <w:r w:rsidRPr="00DB6C99">
              <w:rPr>
                <w:rFonts w:ascii="Garamond" w:hAnsi="Garamond"/>
                <w:sz w:val="20"/>
                <w:szCs w:val="20"/>
              </w:rPr>
              <w:t>-</w:t>
            </w:r>
          </w:p>
        </w:tc>
      </w:tr>
      <w:tr w:rsidR="00DB6C99" w:rsidRPr="00DB6C99" w14:paraId="780EC679" w14:textId="77777777" w:rsidTr="007C344D">
        <w:trPr>
          <w:trHeight w:val="154"/>
          <w:jc w:val="center"/>
        </w:trPr>
        <w:tc>
          <w:tcPr>
            <w:tcW w:w="3544" w:type="dxa"/>
            <w:vAlign w:val="center"/>
          </w:tcPr>
          <w:p w14:paraId="0FB79245" w14:textId="77777777" w:rsidR="007C344D" w:rsidRPr="00DB6C99" w:rsidRDefault="007C344D" w:rsidP="007C344D">
            <w:pPr>
              <w:widowControl w:val="0"/>
              <w:kinsoku w:val="0"/>
              <w:overflowPunct w:val="0"/>
              <w:autoSpaceDE w:val="0"/>
              <w:autoSpaceDN w:val="0"/>
              <w:adjustRightInd w:val="0"/>
              <w:jc w:val="both"/>
              <w:rPr>
                <w:rFonts w:ascii="Garamond" w:hAnsi="Garamond"/>
                <w:i/>
                <w:iCs/>
                <w:sz w:val="20"/>
                <w:szCs w:val="20"/>
              </w:rPr>
            </w:pPr>
            <w:r w:rsidRPr="00DB6C99">
              <w:rPr>
                <w:rFonts w:ascii="Garamond" w:hAnsi="Garamond"/>
                <w:i/>
                <w:iCs/>
                <w:sz w:val="20"/>
                <w:szCs w:val="20"/>
              </w:rPr>
              <w:t>I</w:t>
            </w:r>
            <w:r w:rsidRPr="00DB6C99">
              <w:rPr>
                <w:rFonts w:ascii="Garamond" w:hAnsi="Garamond"/>
                <w:i/>
                <w:iCs/>
                <w:spacing w:val="-2"/>
                <w:sz w:val="20"/>
                <w:szCs w:val="20"/>
              </w:rPr>
              <w:t>n</w:t>
            </w:r>
            <w:r w:rsidRPr="00DB6C99">
              <w:rPr>
                <w:rFonts w:ascii="Garamond" w:hAnsi="Garamond"/>
                <w:i/>
                <w:iCs/>
                <w:spacing w:val="1"/>
                <w:sz w:val="20"/>
                <w:szCs w:val="20"/>
              </w:rPr>
              <w:t>d</w:t>
            </w:r>
            <w:r w:rsidRPr="00DB6C99">
              <w:rPr>
                <w:rFonts w:ascii="Garamond" w:hAnsi="Garamond"/>
                <w:i/>
                <w:iCs/>
                <w:spacing w:val="-2"/>
                <w:sz w:val="20"/>
                <w:szCs w:val="20"/>
              </w:rPr>
              <w:t>u</w:t>
            </w:r>
            <w:r w:rsidRPr="00DB6C99">
              <w:rPr>
                <w:rFonts w:ascii="Garamond" w:hAnsi="Garamond"/>
                <w:i/>
                <w:iCs/>
                <w:spacing w:val="-1"/>
                <w:sz w:val="20"/>
                <w:szCs w:val="20"/>
              </w:rPr>
              <w:t>st</w:t>
            </w:r>
            <w:r w:rsidRPr="00DB6C99">
              <w:rPr>
                <w:rFonts w:ascii="Garamond" w:hAnsi="Garamond"/>
                <w:i/>
                <w:iCs/>
                <w:spacing w:val="3"/>
                <w:sz w:val="20"/>
                <w:szCs w:val="20"/>
              </w:rPr>
              <w:t>r</w:t>
            </w:r>
            <w:r w:rsidRPr="00DB6C99">
              <w:rPr>
                <w:rFonts w:ascii="Garamond" w:hAnsi="Garamond"/>
                <w:i/>
                <w:iCs/>
                <w:sz w:val="20"/>
                <w:szCs w:val="20"/>
              </w:rPr>
              <w:t>y &amp; Year</w:t>
            </w:r>
          </w:p>
        </w:tc>
        <w:tc>
          <w:tcPr>
            <w:tcW w:w="1810" w:type="dxa"/>
            <w:vAlign w:val="center"/>
          </w:tcPr>
          <w:p w14:paraId="10731F56"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Yes</w:t>
            </w:r>
          </w:p>
        </w:tc>
        <w:tc>
          <w:tcPr>
            <w:tcW w:w="1876" w:type="dxa"/>
            <w:vAlign w:val="center"/>
          </w:tcPr>
          <w:p w14:paraId="2B85D78C" w14:textId="77777777" w:rsidR="007C344D" w:rsidRPr="00DB6C99" w:rsidRDefault="007C344D" w:rsidP="007C344D">
            <w:pPr>
              <w:widowControl w:val="0"/>
              <w:tabs>
                <w:tab w:val="decimal" w:pos="0"/>
              </w:tabs>
              <w:kinsoku w:val="0"/>
              <w:overflowPunct w:val="0"/>
              <w:autoSpaceDE w:val="0"/>
              <w:autoSpaceDN w:val="0"/>
              <w:adjustRightInd w:val="0"/>
              <w:ind w:right="461"/>
              <w:jc w:val="center"/>
              <w:rPr>
                <w:rFonts w:ascii="Garamond" w:hAnsi="Garamond"/>
                <w:sz w:val="20"/>
                <w:szCs w:val="20"/>
              </w:rPr>
            </w:pPr>
            <w:r w:rsidRPr="00DB6C99">
              <w:rPr>
                <w:rFonts w:ascii="Garamond" w:hAnsi="Garamond"/>
                <w:sz w:val="20"/>
                <w:szCs w:val="20"/>
              </w:rPr>
              <w:t>Yes</w:t>
            </w:r>
          </w:p>
        </w:tc>
        <w:tc>
          <w:tcPr>
            <w:tcW w:w="1427" w:type="dxa"/>
            <w:vAlign w:val="center"/>
          </w:tcPr>
          <w:p w14:paraId="48AADD44" w14:textId="77777777" w:rsidR="007C344D" w:rsidRPr="00DB6C99" w:rsidRDefault="007C344D" w:rsidP="007C344D">
            <w:pPr>
              <w:widowControl w:val="0"/>
              <w:tabs>
                <w:tab w:val="decimal" w:pos="0"/>
              </w:tabs>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w:t>
            </w:r>
          </w:p>
        </w:tc>
        <w:tc>
          <w:tcPr>
            <w:tcW w:w="1701" w:type="dxa"/>
            <w:vAlign w:val="center"/>
          </w:tcPr>
          <w:p w14:paraId="5DF75783"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Yes</w:t>
            </w:r>
          </w:p>
        </w:tc>
        <w:tc>
          <w:tcPr>
            <w:tcW w:w="1307" w:type="dxa"/>
            <w:vAlign w:val="center"/>
          </w:tcPr>
          <w:p w14:paraId="74E52650"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w:t>
            </w:r>
          </w:p>
        </w:tc>
        <w:tc>
          <w:tcPr>
            <w:tcW w:w="1466" w:type="dxa"/>
            <w:vAlign w:val="center"/>
          </w:tcPr>
          <w:p w14:paraId="15FBB038"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Yes</w:t>
            </w:r>
          </w:p>
        </w:tc>
        <w:tc>
          <w:tcPr>
            <w:tcW w:w="1245" w:type="dxa"/>
            <w:vAlign w:val="center"/>
          </w:tcPr>
          <w:p w14:paraId="73A41035" w14:textId="77777777" w:rsidR="007C344D" w:rsidRPr="00DB6C99" w:rsidRDefault="007C344D" w:rsidP="007C344D">
            <w:pPr>
              <w:widowControl w:val="0"/>
              <w:kinsoku w:val="0"/>
              <w:overflowPunct w:val="0"/>
              <w:autoSpaceDE w:val="0"/>
              <w:autoSpaceDN w:val="0"/>
              <w:adjustRightInd w:val="0"/>
              <w:ind w:right="206"/>
              <w:jc w:val="center"/>
              <w:rPr>
                <w:rFonts w:ascii="Garamond" w:hAnsi="Garamond"/>
                <w:sz w:val="20"/>
                <w:szCs w:val="20"/>
              </w:rPr>
            </w:pPr>
            <w:r w:rsidRPr="00DB6C99">
              <w:rPr>
                <w:rFonts w:ascii="Garamond" w:hAnsi="Garamond"/>
                <w:sz w:val="20"/>
                <w:szCs w:val="20"/>
              </w:rPr>
              <w:t>Yes</w:t>
            </w:r>
          </w:p>
        </w:tc>
      </w:tr>
      <w:tr w:rsidR="00DB6C99" w:rsidRPr="00DB6C99" w14:paraId="4E001433" w14:textId="77777777" w:rsidTr="007C344D">
        <w:trPr>
          <w:trHeight w:val="144"/>
          <w:jc w:val="center"/>
        </w:trPr>
        <w:tc>
          <w:tcPr>
            <w:tcW w:w="3544" w:type="dxa"/>
            <w:vAlign w:val="center"/>
          </w:tcPr>
          <w:p w14:paraId="69E10EA9" w14:textId="77777777" w:rsidR="007C344D" w:rsidRPr="00DB6C99" w:rsidRDefault="007C344D" w:rsidP="007C344D">
            <w:pPr>
              <w:widowControl w:val="0"/>
              <w:kinsoku w:val="0"/>
              <w:overflowPunct w:val="0"/>
              <w:autoSpaceDE w:val="0"/>
              <w:autoSpaceDN w:val="0"/>
              <w:adjustRightInd w:val="0"/>
              <w:jc w:val="both"/>
              <w:rPr>
                <w:rFonts w:ascii="Garamond" w:hAnsi="Garamond"/>
                <w:i/>
                <w:iCs/>
                <w:sz w:val="20"/>
                <w:szCs w:val="20"/>
              </w:rPr>
            </w:pPr>
            <w:r w:rsidRPr="00DB6C99">
              <w:rPr>
                <w:rFonts w:ascii="Garamond" w:hAnsi="Garamond"/>
                <w:i/>
                <w:iCs/>
                <w:sz w:val="20"/>
                <w:szCs w:val="20"/>
              </w:rPr>
              <w:t>R</w:t>
            </w:r>
            <w:r w:rsidRPr="00DB6C99">
              <w:rPr>
                <w:rFonts w:ascii="Garamond" w:hAnsi="Garamond"/>
                <w:i/>
                <w:iCs/>
                <w:sz w:val="20"/>
                <w:szCs w:val="20"/>
                <w:vertAlign w:val="superscript"/>
              </w:rPr>
              <w:t>2</w:t>
            </w:r>
          </w:p>
        </w:tc>
        <w:tc>
          <w:tcPr>
            <w:tcW w:w="1810" w:type="dxa"/>
            <w:vAlign w:val="center"/>
          </w:tcPr>
          <w:p w14:paraId="79FC4939"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w:t>
            </w:r>
          </w:p>
        </w:tc>
        <w:tc>
          <w:tcPr>
            <w:tcW w:w="1876" w:type="dxa"/>
            <w:vAlign w:val="center"/>
          </w:tcPr>
          <w:p w14:paraId="5E921C1F" w14:textId="77777777" w:rsidR="007C344D" w:rsidRPr="00DB6C99" w:rsidRDefault="007C344D" w:rsidP="007C344D">
            <w:pPr>
              <w:widowControl w:val="0"/>
              <w:tabs>
                <w:tab w:val="decimal" w:pos="0"/>
              </w:tabs>
              <w:kinsoku w:val="0"/>
              <w:overflowPunct w:val="0"/>
              <w:autoSpaceDE w:val="0"/>
              <w:autoSpaceDN w:val="0"/>
              <w:adjustRightInd w:val="0"/>
              <w:ind w:right="461"/>
              <w:jc w:val="center"/>
              <w:rPr>
                <w:rFonts w:ascii="Garamond" w:hAnsi="Garamond"/>
                <w:sz w:val="20"/>
                <w:szCs w:val="20"/>
              </w:rPr>
            </w:pPr>
            <w:r w:rsidRPr="00DB6C99">
              <w:rPr>
                <w:rFonts w:ascii="Garamond" w:hAnsi="Garamond"/>
                <w:sz w:val="20"/>
                <w:szCs w:val="20"/>
              </w:rPr>
              <w:t>-</w:t>
            </w:r>
          </w:p>
        </w:tc>
        <w:tc>
          <w:tcPr>
            <w:tcW w:w="1427" w:type="dxa"/>
            <w:vAlign w:val="center"/>
          </w:tcPr>
          <w:p w14:paraId="264DBA63" w14:textId="77777777" w:rsidR="007C344D" w:rsidRPr="00DB6C99" w:rsidRDefault="007C344D" w:rsidP="007C344D">
            <w:pPr>
              <w:widowControl w:val="0"/>
              <w:tabs>
                <w:tab w:val="decimal" w:pos="0"/>
              </w:tabs>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0.173</w:t>
            </w:r>
          </w:p>
        </w:tc>
        <w:tc>
          <w:tcPr>
            <w:tcW w:w="1701" w:type="dxa"/>
            <w:vAlign w:val="center"/>
          </w:tcPr>
          <w:p w14:paraId="0EF43BBD"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w:t>
            </w:r>
          </w:p>
        </w:tc>
        <w:tc>
          <w:tcPr>
            <w:tcW w:w="1307" w:type="dxa"/>
            <w:vAlign w:val="center"/>
          </w:tcPr>
          <w:p w14:paraId="4AA477FC"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0.210</w:t>
            </w:r>
          </w:p>
        </w:tc>
        <w:tc>
          <w:tcPr>
            <w:tcW w:w="2711" w:type="dxa"/>
            <w:gridSpan w:val="2"/>
            <w:vAlign w:val="center"/>
          </w:tcPr>
          <w:p w14:paraId="229BCC79"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0.358</w:t>
            </w:r>
          </w:p>
        </w:tc>
      </w:tr>
      <w:tr w:rsidR="00DB6C99" w:rsidRPr="00DB6C99" w14:paraId="411AC813" w14:textId="77777777" w:rsidTr="007C344D">
        <w:trPr>
          <w:trHeight w:val="84"/>
          <w:jc w:val="center"/>
        </w:trPr>
        <w:tc>
          <w:tcPr>
            <w:tcW w:w="3544" w:type="dxa"/>
            <w:vAlign w:val="center"/>
          </w:tcPr>
          <w:p w14:paraId="7413C4FC" w14:textId="77777777" w:rsidR="007C344D" w:rsidRPr="00DB6C99" w:rsidRDefault="007C344D" w:rsidP="007C344D">
            <w:pPr>
              <w:widowControl w:val="0"/>
              <w:kinsoku w:val="0"/>
              <w:overflowPunct w:val="0"/>
              <w:autoSpaceDE w:val="0"/>
              <w:autoSpaceDN w:val="0"/>
              <w:adjustRightInd w:val="0"/>
              <w:jc w:val="both"/>
              <w:rPr>
                <w:rFonts w:ascii="Garamond" w:hAnsi="Garamond"/>
                <w:i/>
                <w:iCs/>
                <w:sz w:val="20"/>
                <w:szCs w:val="20"/>
              </w:rPr>
            </w:pPr>
            <w:r w:rsidRPr="00DB6C99">
              <w:rPr>
                <w:rFonts w:ascii="Garamond" w:hAnsi="Garamond"/>
                <w:i/>
                <w:iCs/>
                <w:sz w:val="20"/>
                <w:szCs w:val="20"/>
              </w:rPr>
              <w:t>Pseudo R</w:t>
            </w:r>
            <w:r w:rsidRPr="00DB6C99">
              <w:rPr>
                <w:rFonts w:ascii="Garamond" w:hAnsi="Garamond"/>
                <w:i/>
                <w:iCs/>
                <w:sz w:val="20"/>
                <w:szCs w:val="20"/>
                <w:vertAlign w:val="superscript"/>
              </w:rPr>
              <w:t>2</w:t>
            </w:r>
          </w:p>
        </w:tc>
        <w:tc>
          <w:tcPr>
            <w:tcW w:w="1810" w:type="dxa"/>
            <w:vAlign w:val="center"/>
          </w:tcPr>
          <w:p w14:paraId="3578FD4B"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0.053</w:t>
            </w:r>
          </w:p>
        </w:tc>
        <w:tc>
          <w:tcPr>
            <w:tcW w:w="1876" w:type="dxa"/>
            <w:vAlign w:val="center"/>
          </w:tcPr>
          <w:p w14:paraId="7D9A08EC" w14:textId="77777777" w:rsidR="007C344D" w:rsidRPr="00DB6C99" w:rsidRDefault="007C344D" w:rsidP="007C344D">
            <w:pPr>
              <w:widowControl w:val="0"/>
              <w:tabs>
                <w:tab w:val="decimal" w:pos="0"/>
              </w:tabs>
              <w:kinsoku w:val="0"/>
              <w:overflowPunct w:val="0"/>
              <w:autoSpaceDE w:val="0"/>
              <w:autoSpaceDN w:val="0"/>
              <w:adjustRightInd w:val="0"/>
              <w:ind w:right="461"/>
              <w:jc w:val="center"/>
              <w:rPr>
                <w:rFonts w:ascii="Garamond" w:hAnsi="Garamond"/>
                <w:sz w:val="20"/>
                <w:szCs w:val="20"/>
              </w:rPr>
            </w:pPr>
            <w:r w:rsidRPr="00DB6C99">
              <w:rPr>
                <w:rFonts w:ascii="Garamond" w:hAnsi="Garamond"/>
                <w:sz w:val="20"/>
                <w:szCs w:val="20"/>
              </w:rPr>
              <w:t>0.003</w:t>
            </w:r>
          </w:p>
        </w:tc>
        <w:tc>
          <w:tcPr>
            <w:tcW w:w="1427" w:type="dxa"/>
            <w:vAlign w:val="center"/>
          </w:tcPr>
          <w:p w14:paraId="19554E68" w14:textId="77777777" w:rsidR="007C344D" w:rsidRPr="00DB6C99" w:rsidRDefault="007C344D" w:rsidP="007C344D">
            <w:pPr>
              <w:widowControl w:val="0"/>
              <w:tabs>
                <w:tab w:val="decimal" w:pos="0"/>
              </w:tabs>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w:t>
            </w:r>
          </w:p>
        </w:tc>
        <w:tc>
          <w:tcPr>
            <w:tcW w:w="1701" w:type="dxa"/>
            <w:vAlign w:val="center"/>
          </w:tcPr>
          <w:p w14:paraId="78ADAB3E"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0.087</w:t>
            </w:r>
          </w:p>
        </w:tc>
        <w:tc>
          <w:tcPr>
            <w:tcW w:w="1307" w:type="dxa"/>
            <w:vAlign w:val="center"/>
          </w:tcPr>
          <w:p w14:paraId="398F63F5"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w:t>
            </w:r>
          </w:p>
        </w:tc>
        <w:tc>
          <w:tcPr>
            <w:tcW w:w="2711" w:type="dxa"/>
            <w:gridSpan w:val="2"/>
            <w:vAlign w:val="center"/>
          </w:tcPr>
          <w:p w14:paraId="4CFA805A"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w:t>
            </w:r>
          </w:p>
        </w:tc>
      </w:tr>
      <w:tr w:rsidR="00DB6C99" w:rsidRPr="00DB6C99" w14:paraId="56F981E6" w14:textId="77777777" w:rsidTr="007C344D">
        <w:trPr>
          <w:trHeight w:val="84"/>
          <w:jc w:val="center"/>
        </w:trPr>
        <w:tc>
          <w:tcPr>
            <w:tcW w:w="3544" w:type="dxa"/>
            <w:vAlign w:val="center"/>
          </w:tcPr>
          <w:p w14:paraId="3B7A5067" w14:textId="77777777" w:rsidR="007C344D" w:rsidRPr="00DB6C99" w:rsidRDefault="007C344D" w:rsidP="007C344D">
            <w:pPr>
              <w:widowControl w:val="0"/>
              <w:kinsoku w:val="0"/>
              <w:overflowPunct w:val="0"/>
              <w:autoSpaceDE w:val="0"/>
              <w:autoSpaceDN w:val="0"/>
              <w:adjustRightInd w:val="0"/>
              <w:rPr>
                <w:rFonts w:ascii="Garamond" w:hAnsi="Garamond"/>
                <w:i/>
                <w:iCs/>
                <w:sz w:val="20"/>
                <w:szCs w:val="20"/>
              </w:rPr>
            </w:pPr>
            <w:r w:rsidRPr="00DB6C99">
              <w:rPr>
                <w:rFonts w:ascii="Garamond" w:hAnsi="Garamond"/>
                <w:i/>
                <w:iCs/>
                <w:sz w:val="20"/>
                <w:szCs w:val="20"/>
              </w:rPr>
              <w:t>F-statistic</w:t>
            </w:r>
          </w:p>
        </w:tc>
        <w:tc>
          <w:tcPr>
            <w:tcW w:w="1810" w:type="dxa"/>
            <w:vAlign w:val="center"/>
          </w:tcPr>
          <w:p w14:paraId="5E6B4E8A"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w:t>
            </w:r>
          </w:p>
        </w:tc>
        <w:tc>
          <w:tcPr>
            <w:tcW w:w="1876" w:type="dxa"/>
            <w:vAlign w:val="center"/>
          </w:tcPr>
          <w:p w14:paraId="55B0FD24" w14:textId="77777777" w:rsidR="007C344D" w:rsidRPr="00DB6C99" w:rsidRDefault="007C344D" w:rsidP="007C344D">
            <w:pPr>
              <w:widowControl w:val="0"/>
              <w:tabs>
                <w:tab w:val="decimal" w:pos="0"/>
              </w:tabs>
              <w:kinsoku w:val="0"/>
              <w:overflowPunct w:val="0"/>
              <w:autoSpaceDE w:val="0"/>
              <w:autoSpaceDN w:val="0"/>
              <w:adjustRightInd w:val="0"/>
              <w:ind w:right="461"/>
              <w:jc w:val="center"/>
              <w:rPr>
                <w:rFonts w:ascii="Garamond" w:hAnsi="Garamond"/>
                <w:sz w:val="20"/>
                <w:szCs w:val="20"/>
              </w:rPr>
            </w:pPr>
            <w:r w:rsidRPr="00DB6C99">
              <w:rPr>
                <w:rFonts w:ascii="Garamond" w:hAnsi="Garamond"/>
                <w:sz w:val="20"/>
                <w:szCs w:val="20"/>
              </w:rPr>
              <w:t>-</w:t>
            </w:r>
          </w:p>
        </w:tc>
        <w:tc>
          <w:tcPr>
            <w:tcW w:w="1427" w:type="dxa"/>
            <w:vAlign w:val="center"/>
          </w:tcPr>
          <w:p w14:paraId="01EC3555" w14:textId="77777777" w:rsidR="007C344D" w:rsidRPr="00DB6C99" w:rsidRDefault="007C344D" w:rsidP="007C344D">
            <w:pPr>
              <w:widowControl w:val="0"/>
              <w:tabs>
                <w:tab w:val="decimal" w:pos="0"/>
              </w:tabs>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12.84</w:t>
            </w:r>
          </w:p>
        </w:tc>
        <w:tc>
          <w:tcPr>
            <w:tcW w:w="1701" w:type="dxa"/>
            <w:vAlign w:val="center"/>
          </w:tcPr>
          <w:p w14:paraId="5DC6BCE4"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w:t>
            </w:r>
          </w:p>
        </w:tc>
        <w:tc>
          <w:tcPr>
            <w:tcW w:w="1307" w:type="dxa"/>
            <w:vAlign w:val="center"/>
          </w:tcPr>
          <w:p w14:paraId="2C496DD1"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w:t>
            </w:r>
          </w:p>
        </w:tc>
        <w:tc>
          <w:tcPr>
            <w:tcW w:w="2711" w:type="dxa"/>
            <w:gridSpan w:val="2"/>
            <w:vAlign w:val="center"/>
          </w:tcPr>
          <w:p w14:paraId="1806C67E"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23.06</w:t>
            </w:r>
          </w:p>
        </w:tc>
      </w:tr>
      <w:tr w:rsidR="00DB6C99" w:rsidRPr="00DB6C99" w14:paraId="526F0742" w14:textId="77777777" w:rsidTr="007C344D">
        <w:trPr>
          <w:trHeight w:val="84"/>
          <w:jc w:val="center"/>
        </w:trPr>
        <w:tc>
          <w:tcPr>
            <w:tcW w:w="3544" w:type="dxa"/>
            <w:vAlign w:val="center"/>
          </w:tcPr>
          <w:p w14:paraId="3CF94240" w14:textId="77777777" w:rsidR="007C344D" w:rsidRPr="00DB6C99" w:rsidRDefault="007C344D" w:rsidP="007C344D">
            <w:pPr>
              <w:widowControl w:val="0"/>
              <w:kinsoku w:val="0"/>
              <w:overflowPunct w:val="0"/>
              <w:autoSpaceDE w:val="0"/>
              <w:autoSpaceDN w:val="0"/>
              <w:adjustRightInd w:val="0"/>
              <w:rPr>
                <w:rFonts w:ascii="Garamond" w:hAnsi="Garamond"/>
                <w:i/>
                <w:iCs/>
                <w:sz w:val="20"/>
                <w:szCs w:val="20"/>
              </w:rPr>
            </w:pPr>
            <w:r w:rsidRPr="00DB6C99">
              <w:rPr>
                <w:rFonts w:ascii="Garamond" w:hAnsi="Garamond"/>
                <w:b/>
                <w:bCs/>
                <w:i/>
                <w:iCs/>
                <w:sz w:val="20"/>
                <w:szCs w:val="20"/>
              </w:rPr>
              <w:t>Underidentification test:</w:t>
            </w:r>
          </w:p>
        </w:tc>
        <w:tc>
          <w:tcPr>
            <w:tcW w:w="1810" w:type="dxa"/>
            <w:vAlign w:val="center"/>
          </w:tcPr>
          <w:p w14:paraId="416F6818"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p>
        </w:tc>
        <w:tc>
          <w:tcPr>
            <w:tcW w:w="1876" w:type="dxa"/>
            <w:vAlign w:val="center"/>
          </w:tcPr>
          <w:p w14:paraId="69F92833" w14:textId="77777777" w:rsidR="007C344D" w:rsidRPr="00DB6C99" w:rsidRDefault="007C344D" w:rsidP="007C344D">
            <w:pPr>
              <w:widowControl w:val="0"/>
              <w:tabs>
                <w:tab w:val="decimal" w:pos="0"/>
              </w:tabs>
              <w:kinsoku w:val="0"/>
              <w:overflowPunct w:val="0"/>
              <w:autoSpaceDE w:val="0"/>
              <w:autoSpaceDN w:val="0"/>
              <w:adjustRightInd w:val="0"/>
              <w:ind w:right="461"/>
              <w:jc w:val="center"/>
              <w:rPr>
                <w:rFonts w:ascii="Garamond" w:hAnsi="Garamond"/>
                <w:sz w:val="20"/>
                <w:szCs w:val="20"/>
              </w:rPr>
            </w:pPr>
          </w:p>
        </w:tc>
        <w:tc>
          <w:tcPr>
            <w:tcW w:w="1427" w:type="dxa"/>
            <w:vAlign w:val="center"/>
          </w:tcPr>
          <w:p w14:paraId="1688114F" w14:textId="77777777" w:rsidR="007C344D" w:rsidRPr="00DB6C99" w:rsidRDefault="007C344D" w:rsidP="007C344D">
            <w:pPr>
              <w:widowControl w:val="0"/>
              <w:tabs>
                <w:tab w:val="decimal" w:pos="0"/>
              </w:tabs>
              <w:kinsoku w:val="0"/>
              <w:overflowPunct w:val="0"/>
              <w:autoSpaceDE w:val="0"/>
              <w:autoSpaceDN w:val="0"/>
              <w:adjustRightInd w:val="0"/>
              <w:jc w:val="center"/>
              <w:rPr>
                <w:rFonts w:ascii="Garamond" w:hAnsi="Garamond"/>
                <w:sz w:val="20"/>
                <w:szCs w:val="20"/>
              </w:rPr>
            </w:pPr>
          </w:p>
        </w:tc>
        <w:tc>
          <w:tcPr>
            <w:tcW w:w="1701" w:type="dxa"/>
            <w:vAlign w:val="center"/>
          </w:tcPr>
          <w:p w14:paraId="7D0CC2EF"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p>
        </w:tc>
        <w:tc>
          <w:tcPr>
            <w:tcW w:w="1307" w:type="dxa"/>
            <w:vAlign w:val="center"/>
          </w:tcPr>
          <w:p w14:paraId="6D9F56B6"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p>
        </w:tc>
        <w:tc>
          <w:tcPr>
            <w:tcW w:w="2711" w:type="dxa"/>
            <w:gridSpan w:val="2"/>
            <w:vAlign w:val="center"/>
          </w:tcPr>
          <w:p w14:paraId="14CE891E" w14:textId="77777777" w:rsidR="007C344D" w:rsidRPr="00DB6C99" w:rsidRDefault="007C344D" w:rsidP="007C344D">
            <w:pPr>
              <w:widowControl w:val="0"/>
              <w:tabs>
                <w:tab w:val="decimal" w:pos="1547"/>
              </w:tabs>
              <w:kinsoku w:val="0"/>
              <w:overflowPunct w:val="0"/>
              <w:autoSpaceDE w:val="0"/>
              <w:autoSpaceDN w:val="0"/>
              <w:adjustRightInd w:val="0"/>
              <w:jc w:val="center"/>
              <w:rPr>
                <w:rFonts w:ascii="Garamond" w:hAnsi="Garamond"/>
                <w:sz w:val="20"/>
                <w:szCs w:val="20"/>
              </w:rPr>
            </w:pPr>
          </w:p>
        </w:tc>
      </w:tr>
      <w:tr w:rsidR="00DB6C99" w:rsidRPr="00DB6C99" w14:paraId="33DBA4F1" w14:textId="77777777" w:rsidTr="007C344D">
        <w:trPr>
          <w:trHeight w:val="84"/>
          <w:jc w:val="center"/>
        </w:trPr>
        <w:tc>
          <w:tcPr>
            <w:tcW w:w="3544" w:type="dxa"/>
            <w:vAlign w:val="center"/>
          </w:tcPr>
          <w:p w14:paraId="08765422" w14:textId="77777777" w:rsidR="007C344D" w:rsidRPr="00DB6C99" w:rsidRDefault="007C344D" w:rsidP="007C344D">
            <w:pPr>
              <w:widowControl w:val="0"/>
              <w:kinsoku w:val="0"/>
              <w:overflowPunct w:val="0"/>
              <w:autoSpaceDE w:val="0"/>
              <w:autoSpaceDN w:val="0"/>
              <w:adjustRightInd w:val="0"/>
              <w:rPr>
                <w:rFonts w:ascii="Garamond" w:hAnsi="Garamond"/>
                <w:i/>
                <w:iCs/>
                <w:sz w:val="20"/>
                <w:szCs w:val="20"/>
                <w:lang w:val="nl-NL"/>
              </w:rPr>
            </w:pPr>
            <w:r w:rsidRPr="00DB6C99">
              <w:rPr>
                <w:rFonts w:ascii="Garamond" w:hAnsi="Garamond"/>
                <w:i/>
                <w:iCs/>
                <w:sz w:val="20"/>
                <w:szCs w:val="20"/>
                <w:lang w:val="nl-NL"/>
              </w:rPr>
              <w:t xml:space="preserve">Kleibergen-Paap rk LM statistic </w:t>
            </w:r>
          </w:p>
        </w:tc>
        <w:tc>
          <w:tcPr>
            <w:tcW w:w="1810" w:type="dxa"/>
            <w:vAlign w:val="center"/>
          </w:tcPr>
          <w:p w14:paraId="3E865812"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w:t>
            </w:r>
          </w:p>
        </w:tc>
        <w:tc>
          <w:tcPr>
            <w:tcW w:w="1876" w:type="dxa"/>
            <w:vAlign w:val="center"/>
          </w:tcPr>
          <w:p w14:paraId="42ED7B76" w14:textId="77777777" w:rsidR="007C344D" w:rsidRPr="00DB6C99" w:rsidRDefault="007C344D" w:rsidP="007C344D">
            <w:pPr>
              <w:widowControl w:val="0"/>
              <w:tabs>
                <w:tab w:val="decimal" w:pos="0"/>
              </w:tabs>
              <w:kinsoku w:val="0"/>
              <w:overflowPunct w:val="0"/>
              <w:autoSpaceDE w:val="0"/>
              <w:autoSpaceDN w:val="0"/>
              <w:adjustRightInd w:val="0"/>
              <w:ind w:right="461"/>
              <w:jc w:val="center"/>
              <w:rPr>
                <w:rFonts w:ascii="Garamond" w:hAnsi="Garamond"/>
                <w:sz w:val="20"/>
                <w:szCs w:val="20"/>
              </w:rPr>
            </w:pPr>
            <w:r w:rsidRPr="00DB6C99">
              <w:rPr>
                <w:rFonts w:ascii="Garamond" w:hAnsi="Garamond"/>
                <w:sz w:val="20"/>
                <w:szCs w:val="20"/>
              </w:rPr>
              <w:t>-</w:t>
            </w:r>
          </w:p>
        </w:tc>
        <w:tc>
          <w:tcPr>
            <w:tcW w:w="1427" w:type="dxa"/>
            <w:vAlign w:val="center"/>
          </w:tcPr>
          <w:p w14:paraId="2BA63E4D" w14:textId="77777777" w:rsidR="007C344D" w:rsidRPr="00DB6C99" w:rsidRDefault="007C344D" w:rsidP="007C344D">
            <w:pPr>
              <w:widowControl w:val="0"/>
              <w:tabs>
                <w:tab w:val="decimal" w:pos="0"/>
              </w:tabs>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w:t>
            </w:r>
          </w:p>
        </w:tc>
        <w:tc>
          <w:tcPr>
            <w:tcW w:w="1701" w:type="dxa"/>
            <w:vAlign w:val="center"/>
          </w:tcPr>
          <w:p w14:paraId="23B0E10C"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w:t>
            </w:r>
          </w:p>
        </w:tc>
        <w:tc>
          <w:tcPr>
            <w:tcW w:w="1307" w:type="dxa"/>
            <w:vAlign w:val="center"/>
          </w:tcPr>
          <w:p w14:paraId="53B6515D"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w:t>
            </w:r>
          </w:p>
        </w:tc>
        <w:tc>
          <w:tcPr>
            <w:tcW w:w="2711" w:type="dxa"/>
            <w:gridSpan w:val="2"/>
            <w:vAlign w:val="center"/>
          </w:tcPr>
          <w:p w14:paraId="145C4BFB"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2,595.34***</w:t>
            </w:r>
          </w:p>
        </w:tc>
      </w:tr>
      <w:tr w:rsidR="00DB6C99" w:rsidRPr="00DB6C99" w14:paraId="3C29843D" w14:textId="77777777" w:rsidTr="007C344D">
        <w:trPr>
          <w:trHeight w:val="84"/>
          <w:jc w:val="center"/>
        </w:trPr>
        <w:tc>
          <w:tcPr>
            <w:tcW w:w="3544" w:type="dxa"/>
            <w:vAlign w:val="center"/>
          </w:tcPr>
          <w:p w14:paraId="0C537357" w14:textId="77777777" w:rsidR="007C344D" w:rsidRPr="00DB6C99" w:rsidRDefault="007C344D" w:rsidP="007C344D">
            <w:pPr>
              <w:widowControl w:val="0"/>
              <w:kinsoku w:val="0"/>
              <w:overflowPunct w:val="0"/>
              <w:autoSpaceDE w:val="0"/>
              <w:autoSpaceDN w:val="0"/>
              <w:adjustRightInd w:val="0"/>
              <w:rPr>
                <w:rFonts w:ascii="Garamond" w:hAnsi="Garamond"/>
                <w:i/>
                <w:iCs/>
                <w:sz w:val="20"/>
                <w:szCs w:val="20"/>
              </w:rPr>
            </w:pPr>
            <w:r w:rsidRPr="00DB6C99">
              <w:rPr>
                <w:rFonts w:ascii="Garamond" w:hAnsi="Garamond"/>
                <w:b/>
                <w:bCs/>
                <w:i/>
                <w:iCs/>
                <w:sz w:val="20"/>
                <w:szCs w:val="20"/>
              </w:rPr>
              <w:t>Weak identification test:</w:t>
            </w:r>
          </w:p>
        </w:tc>
        <w:tc>
          <w:tcPr>
            <w:tcW w:w="1810" w:type="dxa"/>
            <w:vAlign w:val="center"/>
          </w:tcPr>
          <w:p w14:paraId="787C9683"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p>
        </w:tc>
        <w:tc>
          <w:tcPr>
            <w:tcW w:w="1876" w:type="dxa"/>
            <w:vAlign w:val="center"/>
          </w:tcPr>
          <w:p w14:paraId="5EA70B7C" w14:textId="77777777" w:rsidR="007C344D" w:rsidRPr="00DB6C99" w:rsidRDefault="007C344D" w:rsidP="007C344D">
            <w:pPr>
              <w:widowControl w:val="0"/>
              <w:tabs>
                <w:tab w:val="decimal" w:pos="0"/>
              </w:tabs>
              <w:kinsoku w:val="0"/>
              <w:overflowPunct w:val="0"/>
              <w:autoSpaceDE w:val="0"/>
              <w:autoSpaceDN w:val="0"/>
              <w:adjustRightInd w:val="0"/>
              <w:ind w:right="461"/>
              <w:jc w:val="center"/>
              <w:rPr>
                <w:rFonts w:ascii="Garamond" w:hAnsi="Garamond"/>
                <w:sz w:val="20"/>
                <w:szCs w:val="20"/>
              </w:rPr>
            </w:pPr>
          </w:p>
        </w:tc>
        <w:tc>
          <w:tcPr>
            <w:tcW w:w="1427" w:type="dxa"/>
            <w:vAlign w:val="center"/>
          </w:tcPr>
          <w:p w14:paraId="49708377" w14:textId="77777777" w:rsidR="007C344D" w:rsidRPr="00DB6C99" w:rsidRDefault="007C344D" w:rsidP="007C344D">
            <w:pPr>
              <w:widowControl w:val="0"/>
              <w:tabs>
                <w:tab w:val="decimal" w:pos="0"/>
              </w:tabs>
              <w:kinsoku w:val="0"/>
              <w:overflowPunct w:val="0"/>
              <w:autoSpaceDE w:val="0"/>
              <w:autoSpaceDN w:val="0"/>
              <w:adjustRightInd w:val="0"/>
              <w:jc w:val="center"/>
              <w:rPr>
                <w:rFonts w:ascii="Garamond" w:hAnsi="Garamond"/>
                <w:sz w:val="20"/>
                <w:szCs w:val="20"/>
              </w:rPr>
            </w:pPr>
          </w:p>
        </w:tc>
        <w:tc>
          <w:tcPr>
            <w:tcW w:w="1701" w:type="dxa"/>
            <w:vAlign w:val="center"/>
          </w:tcPr>
          <w:p w14:paraId="7C7049E3"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p>
        </w:tc>
        <w:tc>
          <w:tcPr>
            <w:tcW w:w="1307" w:type="dxa"/>
            <w:vAlign w:val="center"/>
          </w:tcPr>
          <w:p w14:paraId="7ACF8B9D"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p>
        </w:tc>
        <w:tc>
          <w:tcPr>
            <w:tcW w:w="2711" w:type="dxa"/>
            <w:gridSpan w:val="2"/>
            <w:vAlign w:val="center"/>
          </w:tcPr>
          <w:p w14:paraId="072BF382"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p>
        </w:tc>
      </w:tr>
      <w:tr w:rsidR="00DB6C99" w:rsidRPr="00DB6C99" w14:paraId="6D67CF67" w14:textId="77777777" w:rsidTr="007C344D">
        <w:trPr>
          <w:trHeight w:val="84"/>
          <w:jc w:val="center"/>
        </w:trPr>
        <w:tc>
          <w:tcPr>
            <w:tcW w:w="3544" w:type="dxa"/>
            <w:vAlign w:val="center"/>
          </w:tcPr>
          <w:p w14:paraId="1FC2F2FA" w14:textId="77777777" w:rsidR="007C344D" w:rsidRPr="00DB6C99" w:rsidRDefault="007C344D" w:rsidP="007C344D">
            <w:pPr>
              <w:widowControl w:val="0"/>
              <w:kinsoku w:val="0"/>
              <w:overflowPunct w:val="0"/>
              <w:autoSpaceDE w:val="0"/>
              <w:autoSpaceDN w:val="0"/>
              <w:adjustRightInd w:val="0"/>
              <w:rPr>
                <w:rFonts w:ascii="Garamond" w:hAnsi="Garamond"/>
                <w:i/>
                <w:iCs/>
                <w:sz w:val="20"/>
                <w:szCs w:val="20"/>
              </w:rPr>
            </w:pPr>
            <w:r w:rsidRPr="00DB6C99">
              <w:rPr>
                <w:rFonts w:ascii="Garamond" w:hAnsi="Garamond"/>
                <w:i/>
                <w:iCs/>
                <w:sz w:val="20"/>
                <w:szCs w:val="20"/>
              </w:rPr>
              <w:t xml:space="preserve">Cragg-Donald Wald F statistic </w:t>
            </w:r>
          </w:p>
        </w:tc>
        <w:tc>
          <w:tcPr>
            <w:tcW w:w="1810" w:type="dxa"/>
            <w:vAlign w:val="center"/>
          </w:tcPr>
          <w:p w14:paraId="14F019FE"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w:t>
            </w:r>
          </w:p>
        </w:tc>
        <w:tc>
          <w:tcPr>
            <w:tcW w:w="1876" w:type="dxa"/>
            <w:vAlign w:val="center"/>
          </w:tcPr>
          <w:p w14:paraId="5A21EF74" w14:textId="77777777" w:rsidR="007C344D" w:rsidRPr="00DB6C99" w:rsidRDefault="007C344D" w:rsidP="007C344D">
            <w:pPr>
              <w:widowControl w:val="0"/>
              <w:tabs>
                <w:tab w:val="decimal" w:pos="0"/>
              </w:tabs>
              <w:kinsoku w:val="0"/>
              <w:overflowPunct w:val="0"/>
              <w:autoSpaceDE w:val="0"/>
              <w:autoSpaceDN w:val="0"/>
              <w:adjustRightInd w:val="0"/>
              <w:ind w:right="461"/>
              <w:jc w:val="center"/>
              <w:rPr>
                <w:rFonts w:ascii="Garamond" w:hAnsi="Garamond"/>
                <w:sz w:val="20"/>
                <w:szCs w:val="20"/>
              </w:rPr>
            </w:pPr>
            <w:r w:rsidRPr="00DB6C99">
              <w:rPr>
                <w:rFonts w:ascii="Garamond" w:hAnsi="Garamond"/>
                <w:sz w:val="20"/>
                <w:szCs w:val="20"/>
              </w:rPr>
              <w:t>-</w:t>
            </w:r>
          </w:p>
        </w:tc>
        <w:tc>
          <w:tcPr>
            <w:tcW w:w="1427" w:type="dxa"/>
            <w:vAlign w:val="center"/>
          </w:tcPr>
          <w:p w14:paraId="62EC083C" w14:textId="77777777" w:rsidR="007C344D" w:rsidRPr="00DB6C99" w:rsidRDefault="007C344D" w:rsidP="007C344D">
            <w:pPr>
              <w:widowControl w:val="0"/>
              <w:tabs>
                <w:tab w:val="decimal" w:pos="0"/>
              </w:tabs>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w:t>
            </w:r>
          </w:p>
        </w:tc>
        <w:tc>
          <w:tcPr>
            <w:tcW w:w="1701" w:type="dxa"/>
            <w:vAlign w:val="center"/>
          </w:tcPr>
          <w:p w14:paraId="1404D07F"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w:t>
            </w:r>
          </w:p>
        </w:tc>
        <w:tc>
          <w:tcPr>
            <w:tcW w:w="1307" w:type="dxa"/>
            <w:vAlign w:val="center"/>
          </w:tcPr>
          <w:p w14:paraId="17BF64CB"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w:t>
            </w:r>
          </w:p>
        </w:tc>
        <w:tc>
          <w:tcPr>
            <w:tcW w:w="2711" w:type="dxa"/>
            <w:gridSpan w:val="2"/>
            <w:vAlign w:val="center"/>
          </w:tcPr>
          <w:p w14:paraId="248A6C41"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1,988.56</w:t>
            </w:r>
          </w:p>
        </w:tc>
      </w:tr>
      <w:tr w:rsidR="00DB6C99" w:rsidRPr="00DB6C99" w14:paraId="427C274B" w14:textId="77777777" w:rsidTr="007C344D">
        <w:trPr>
          <w:trHeight w:val="257"/>
          <w:jc w:val="center"/>
        </w:trPr>
        <w:tc>
          <w:tcPr>
            <w:tcW w:w="3544" w:type="dxa"/>
            <w:vAlign w:val="center"/>
          </w:tcPr>
          <w:p w14:paraId="428CA1CC" w14:textId="77777777" w:rsidR="007C344D" w:rsidRPr="00DB6C99" w:rsidRDefault="007C344D" w:rsidP="007C344D">
            <w:pPr>
              <w:widowControl w:val="0"/>
              <w:kinsoku w:val="0"/>
              <w:overflowPunct w:val="0"/>
              <w:autoSpaceDE w:val="0"/>
              <w:autoSpaceDN w:val="0"/>
              <w:adjustRightInd w:val="0"/>
              <w:rPr>
                <w:rFonts w:ascii="Garamond" w:hAnsi="Garamond"/>
                <w:i/>
                <w:iCs/>
                <w:sz w:val="20"/>
                <w:szCs w:val="20"/>
              </w:rPr>
            </w:pPr>
            <w:r w:rsidRPr="00DB6C99">
              <w:rPr>
                <w:rFonts w:ascii="Garamond" w:hAnsi="Garamond"/>
                <w:i/>
                <w:iCs/>
                <w:sz w:val="20"/>
                <w:szCs w:val="20"/>
              </w:rPr>
              <w:t>Stock-Yogo critical value at 10% IV size</w:t>
            </w:r>
          </w:p>
        </w:tc>
        <w:tc>
          <w:tcPr>
            <w:tcW w:w="1810" w:type="dxa"/>
            <w:vAlign w:val="center"/>
          </w:tcPr>
          <w:p w14:paraId="2827E0DC"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w:t>
            </w:r>
          </w:p>
        </w:tc>
        <w:tc>
          <w:tcPr>
            <w:tcW w:w="1876" w:type="dxa"/>
            <w:vAlign w:val="center"/>
          </w:tcPr>
          <w:p w14:paraId="1CEA11EB" w14:textId="77777777" w:rsidR="007C344D" w:rsidRPr="00DB6C99" w:rsidRDefault="007C344D" w:rsidP="007C344D">
            <w:pPr>
              <w:widowControl w:val="0"/>
              <w:tabs>
                <w:tab w:val="decimal" w:pos="0"/>
              </w:tabs>
              <w:kinsoku w:val="0"/>
              <w:overflowPunct w:val="0"/>
              <w:autoSpaceDE w:val="0"/>
              <w:autoSpaceDN w:val="0"/>
              <w:adjustRightInd w:val="0"/>
              <w:ind w:right="461"/>
              <w:jc w:val="center"/>
              <w:rPr>
                <w:rFonts w:ascii="Garamond" w:hAnsi="Garamond"/>
                <w:sz w:val="20"/>
                <w:szCs w:val="20"/>
              </w:rPr>
            </w:pPr>
            <w:r w:rsidRPr="00DB6C99">
              <w:rPr>
                <w:rFonts w:ascii="Garamond" w:hAnsi="Garamond"/>
                <w:sz w:val="20"/>
                <w:szCs w:val="20"/>
              </w:rPr>
              <w:t>-</w:t>
            </w:r>
          </w:p>
        </w:tc>
        <w:tc>
          <w:tcPr>
            <w:tcW w:w="1427" w:type="dxa"/>
            <w:vAlign w:val="center"/>
          </w:tcPr>
          <w:p w14:paraId="5ABE2E79" w14:textId="77777777" w:rsidR="007C344D" w:rsidRPr="00DB6C99" w:rsidRDefault="007C344D" w:rsidP="007C344D">
            <w:pPr>
              <w:widowControl w:val="0"/>
              <w:tabs>
                <w:tab w:val="decimal" w:pos="0"/>
              </w:tabs>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w:t>
            </w:r>
          </w:p>
        </w:tc>
        <w:tc>
          <w:tcPr>
            <w:tcW w:w="1701" w:type="dxa"/>
            <w:vAlign w:val="center"/>
          </w:tcPr>
          <w:p w14:paraId="4D09CA72"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w:t>
            </w:r>
          </w:p>
        </w:tc>
        <w:tc>
          <w:tcPr>
            <w:tcW w:w="1307" w:type="dxa"/>
            <w:vAlign w:val="center"/>
          </w:tcPr>
          <w:p w14:paraId="0BA8663D"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w:t>
            </w:r>
          </w:p>
        </w:tc>
        <w:tc>
          <w:tcPr>
            <w:tcW w:w="2711" w:type="dxa"/>
            <w:gridSpan w:val="2"/>
            <w:vAlign w:val="center"/>
          </w:tcPr>
          <w:p w14:paraId="5666D813"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19.93</w:t>
            </w:r>
          </w:p>
        </w:tc>
      </w:tr>
      <w:tr w:rsidR="00DB6C99" w:rsidRPr="00DB6C99" w14:paraId="0CD059F5" w14:textId="77777777" w:rsidTr="007C344D">
        <w:trPr>
          <w:trHeight w:val="130"/>
          <w:jc w:val="center"/>
        </w:trPr>
        <w:tc>
          <w:tcPr>
            <w:tcW w:w="3544" w:type="dxa"/>
            <w:vAlign w:val="center"/>
          </w:tcPr>
          <w:p w14:paraId="2FFC52A5" w14:textId="77777777" w:rsidR="007C344D" w:rsidRPr="00DB6C99" w:rsidRDefault="007C344D" w:rsidP="007C344D">
            <w:pPr>
              <w:widowControl w:val="0"/>
              <w:kinsoku w:val="0"/>
              <w:overflowPunct w:val="0"/>
              <w:autoSpaceDE w:val="0"/>
              <w:autoSpaceDN w:val="0"/>
              <w:adjustRightInd w:val="0"/>
              <w:rPr>
                <w:rFonts w:ascii="Garamond" w:hAnsi="Garamond"/>
                <w:b/>
                <w:bCs/>
                <w:i/>
                <w:iCs/>
                <w:sz w:val="20"/>
                <w:szCs w:val="20"/>
              </w:rPr>
            </w:pPr>
            <w:r w:rsidRPr="00DB6C99">
              <w:rPr>
                <w:rFonts w:ascii="Garamond" w:hAnsi="Garamond"/>
                <w:b/>
                <w:bCs/>
                <w:i/>
                <w:iCs/>
                <w:sz w:val="20"/>
                <w:szCs w:val="20"/>
              </w:rPr>
              <w:t>Overidentification test of instruments:</w:t>
            </w:r>
          </w:p>
        </w:tc>
        <w:tc>
          <w:tcPr>
            <w:tcW w:w="1810" w:type="dxa"/>
            <w:vAlign w:val="center"/>
          </w:tcPr>
          <w:p w14:paraId="7DFB5B14"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p>
        </w:tc>
        <w:tc>
          <w:tcPr>
            <w:tcW w:w="1876" w:type="dxa"/>
            <w:vAlign w:val="center"/>
          </w:tcPr>
          <w:p w14:paraId="2EE217FC" w14:textId="77777777" w:rsidR="007C344D" w:rsidRPr="00DB6C99" w:rsidRDefault="007C344D" w:rsidP="007C344D">
            <w:pPr>
              <w:widowControl w:val="0"/>
              <w:tabs>
                <w:tab w:val="decimal" w:pos="0"/>
              </w:tabs>
              <w:kinsoku w:val="0"/>
              <w:overflowPunct w:val="0"/>
              <w:autoSpaceDE w:val="0"/>
              <w:autoSpaceDN w:val="0"/>
              <w:adjustRightInd w:val="0"/>
              <w:ind w:right="461"/>
              <w:jc w:val="center"/>
              <w:rPr>
                <w:rFonts w:ascii="Garamond" w:hAnsi="Garamond"/>
                <w:sz w:val="20"/>
                <w:szCs w:val="20"/>
              </w:rPr>
            </w:pPr>
          </w:p>
        </w:tc>
        <w:tc>
          <w:tcPr>
            <w:tcW w:w="1427" w:type="dxa"/>
            <w:vAlign w:val="center"/>
          </w:tcPr>
          <w:p w14:paraId="32BEF2FE" w14:textId="77777777" w:rsidR="007C344D" w:rsidRPr="00DB6C99" w:rsidRDefault="007C344D" w:rsidP="007C344D">
            <w:pPr>
              <w:widowControl w:val="0"/>
              <w:tabs>
                <w:tab w:val="decimal" w:pos="0"/>
              </w:tabs>
              <w:kinsoku w:val="0"/>
              <w:overflowPunct w:val="0"/>
              <w:autoSpaceDE w:val="0"/>
              <w:autoSpaceDN w:val="0"/>
              <w:adjustRightInd w:val="0"/>
              <w:jc w:val="center"/>
              <w:rPr>
                <w:rFonts w:ascii="Garamond" w:hAnsi="Garamond"/>
                <w:sz w:val="20"/>
                <w:szCs w:val="20"/>
              </w:rPr>
            </w:pPr>
          </w:p>
        </w:tc>
        <w:tc>
          <w:tcPr>
            <w:tcW w:w="1701" w:type="dxa"/>
            <w:vAlign w:val="center"/>
          </w:tcPr>
          <w:p w14:paraId="627CC8F2"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p>
        </w:tc>
        <w:tc>
          <w:tcPr>
            <w:tcW w:w="1307" w:type="dxa"/>
            <w:vAlign w:val="center"/>
          </w:tcPr>
          <w:p w14:paraId="6835E179"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p>
        </w:tc>
        <w:tc>
          <w:tcPr>
            <w:tcW w:w="2711" w:type="dxa"/>
            <w:gridSpan w:val="2"/>
            <w:vAlign w:val="center"/>
          </w:tcPr>
          <w:p w14:paraId="7617DEEE"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p>
        </w:tc>
      </w:tr>
      <w:tr w:rsidR="00DB6C99" w:rsidRPr="00DB6C99" w14:paraId="688C553B" w14:textId="77777777" w:rsidTr="007C344D">
        <w:trPr>
          <w:trHeight w:val="257"/>
          <w:jc w:val="center"/>
        </w:trPr>
        <w:tc>
          <w:tcPr>
            <w:tcW w:w="3544" w:type="dxa"/>
            <w:vAlign w:val="center"/>
          </w:tcPr>
          <w:p w14:paraId="3017CB78" w14:textId="77777777" w:rsidR="007C344D" w:rsidRPr="00DB6C99" w:rsidRDefault="007C344D" w:rsidP="007C344D">
            <w:pPr>
              <w:widowControl w:val="0"/>
              <w:kinsoku w:val="0"/>
              <w:overflowPunct w:val="0"/>
              <w:autoSpaceDE w:val="0"/>
              <w:autoSpaceDN w:val="0"/>
              <w:adjustRightInd w:val="0"/>
              <w:rPr>
                <w:rFonts w:ascii="Garamond" w:hAnsi="Garamond"/>
                <w:i/>
                <w:iCs/>
                <w:sz w:val="20"/>
                <w:szCs w:val="20"/>
              </w:rPr>
            </w:pPr>
            <w:r w:rsidRPr="00DB6C99">
              <w:rPr>
                <w:rFonts w:ascii="Garamond" w:hAnsi="Garamond"/>
                <w:i/>
                <w:iCs/>
                <w:sz w:val="20"/>
                <w:szCs w:val="20"/>
              </w:rPr>
              <w:t>Sargan (p-value)</w:t>
            </w:r>
          </w:p>
        </w:tc>
        <w:tc>
          <w:tcPr>
            <w:tcW w:w="1810" w:type="dxa"/>
            <w:vAlign w:val="center"/>
          </w:tcPr>
          <w:p w14:paraId="1BE58EAA"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w:t>
            </w:r>
          </w:p>
        </w:tc>
        <w:tc>
          <w:tcPr>
            <w:tcW w:w="1876" w:type="dxa"/>
            <w:vAlign w:val="center"/>
          </w:tcPr>
          <w:p w14:paraId="509EE1F4" w14:textId="77777777" w:rsidR="007C344D" w:rsidRPr="00DB6C99" w:rsidRDefault="007C344D" w:rsidP="007C344D">
            <w:pPr>
              <w:widowControl w:val="0"/>
              <w:tabs>
                <w:tab w:val="decimal" w:pos="0"/>
              </w:tabs>
              <w:kinsoku w:val="0"/>
              <w:overflowPunct w:val="0"/>
              <w:autoSpaceDE w:val="0"/>
              <w:autoSpaceDN w:val="0"/>
              <w:adjustRightInd w:val="0"/>
              <w:ind w:right="461"/>
              <w:jc w:val="center"/>
              <w:rPr>
                <w:rFonts w:ascii="Garamond" w:hAnsi="Garamond"/>
                <w:sz w:val="20"/>
                <w:szCs w:val="20"/>
              </w:rPr>
            </w:pPr>
            <w:r w:rsidRPr="00DB6C99">
              <w:rPr>
                <w:rFonts w:ascii="Garamond" w:hAnsi="Garamond"/>
                <w:sz w:val="20"/>
                <w:szCs w:val="20"/>
              </w:rPr>
              <w:t>-</w:t>
            </w:r>
          </w:p>
        </w:tc>
        <w:tc>
          <w:tcPr>
            <w:tcW w:w="1427" w:type="dxa"/>
            <w:vAlign w:val="center"/>
          </w:tcPr>
          <w:p w14:paraId="7A4F3171" w14:textId="77777777" w:rsidR="007C344D" w:rsidRPr="00DB6C99" w:rsidRDefault="007C344D" w:rsidP="007C344D">
            <w:pPr>
              <w:widowControl w:val="0"/>
              <w:tabs>
                <w:tab w:val="decimal" w:pos="0"/>
              </w:tabs>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w:t>
            </w:r>
          </w:p>
        </w:tc>
        <w:tc>
          <w:tcPr>
            <w:tcW w:w="1701" w:type="dxa"/>
            <w:vAlign w:val="center"/>
          </w:tcPr>
          <w:p w14:paraId="4B28BA28"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w:t>
            </w:r>
          </w:p>
        </w:tc>
        <w:tc>
          <w:tcPr>
            <w:tcW w:w="1307" w:type="dxa"/>
            <w:vAlign w:val="center"/>
          </w:tcPr>
          <w:p w14:paraId="747A5EFA" w14:textId="77777777"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w:t>
            </w:r>
          </w:p>
        </w:tc>
        <w:tc>
          <w:tcPr>
            <w:tcW w:w="2711" w:type="dxa"/>
            <w:gridSpan w:val="2"/>
            <w:vAlign w:val="center"/>
          </w:tcPr>
          <w:p w14:paraId="159AA3D8" w14:textId="67CB2CE1" w:rsidR="007C344D" w:rsidRPr="00DB6C99" w:rsidRDefault="007C344D" w:rsidP="007C344D">
            <w:pPr>
              <w:widowControl w:val="0"/>
              <w:kinsoku w:val="0"/>
              <w:overflowPunct w:val="0"/>
              <w:autoSpaceDE w:val="0"/>
              <w:autoSpaceDN w:val="0"/>
              <w:adjustRightInd w:val="0"/>
              <w:jc w:val="center"/>
              <w:rPr>
                <w:rFonts w:ascii="Garamond" w:hAnsi="Garamond"/>
                <w:sz w:val="20"/>
                <w:szCs w:val="20"/>
              </w:rPr>
            </w:pPr>
            <w:r w:rsidRPr="00DB6C99">
              <w:rPr>
                <w:rFonts w:ascii="Garamond" w:hAnsi="Garamond"/>
                <w:sz w:val="20"/>
                <w:szCs w:val="20"/>
              </w:rPr>
              <w:t>0.2</w:t>
            </w:r>
            <w:r w:rsidR="002E3FFF" w:rsidRPr="00DB6C99">
              <w:rPr>
                <w:rFonts w:ascii="Garamond" w:hAnsi="Garamond"/>
                <w:sz w:val="20"/>
                <w:szCs w:val="20"/>
              </w:rPr>
              <w:t>1</w:t>
            </w:r>
          </w:p>
        </w:tc>
      </w:tr>
    </w:tbl>
    <w:p w14:paraId="6AAEA860" w14:textId="77777777" w:rsidR="007C344D" w:rsidRPr="00DB6C99" w:rsidRDefault="007C344D" w:rsidP="007C344D">
      <w:pPr>
        <w:widowControl w:val="0"/>
        <w:kinsoku w:val="0"/>
        <w:overflowPunct w:val="0"/>
        <w:autoSpaceDE w:val="0"/>
        <w:autoSpaceDN w:val="0"/>
        <w:adjustRightInd w:val="0"/>
        <w:spacing w:after="0" w:line="240" w:lineRule="auto"/>
        <w:ind w:left="180" w:right="90"/>
        <w:jc w:val="both"/>
        <w:rPr>
          <w:rFonts w:ascii="Garamond" w:hAnsi="Garamond"/>
          <w:sz w:val="20"/>
          <w:szCs w:val="20"/>
        </w:rPr>
      </w:pPr>
      <w:r w:rsidRPr="00DB6C99">
        <w:rPr>
          <w:rFonts w:ascii="Garamond" w:hAnsi="Garamond"/>
          <w:b/>
          <w:bCs/>
          <w:sz w:val="20"/>
          <w:szCs w:val="20"/>
        </w:rPr>
        <w:t>Note:</w:t>
      </w:r>
      <w:r w:rsidRPr="00DB6C99">
        <w:rPr>
          <w:rFonts w:ascii="Garamond" w:hAnsi="Garamond"/>
          <w:sz w:val="20"/>
          <w:szCs w:val="20"/>
        </w:rPr>
        <w:t xml:space="preserve"> </w:t>
      </w:r>
      <w:r w:rsidRPr="00DB6C99">
        <w:rPr>
          <w:rFonts w:ascii="Garamond" w:hAnsi="Garamond"/>
          <w:i/>
          <w:iCs/>
          <w:sz w:val="20"/>
          <w:szCs w:val="20"/>
        </w:rPr>
        <w:t>FPRO_DUMMY</w:t>
      </w:r>
      <w:r w:rsidRPr="00DB6C99">
        <w:rPr>
          <w:rFonts w:ascii="Garamond" w:hAnsi="Garamond"/>
          <w:sz w:val="20"/>
          <w:szCs w:val="20"/>
        </w:rPr>
        <w:t xml:space="preserve"> in probit regressions of PSM and two step Heckman is a dummy variable coded ‘1’ if proportion of female directors on the board is higher than industry-year average and ‘0’ otherwise. </w:t>
      </w:r>
      <w:r w:rsidRPr="00DB6C99">
        <w:rPr>
          <w:rFonts w:ascii="Garamond" w:hAnsi="Garamond"/>
          <w:i/>
          <w:iCs/>
          <w:sz w:val="20"/>
          <w:szCs w:val="20"/>
        </w:rPr>
        <w:t>MILLS</w:t>
      </w:r>
      <w:r w:rsidRPr="00DB6C99">
        <w:rPr>
          <w:rFonts w:ascii="Garamond" w:hAnsi="Garamond"/>
          <w:sz w:val="20"/>
          <w:szCs w:val="20"/>
        </w:rPr>
        <w:t xml:space="preserve"> is the inverse of the Mills ratio to control for self-selection in second stage of Heckman selection model. </w:t>
      </w:r>
      <w:r w:rsidRPr="00DB6C99">
        <w:rPr>
          <w:rFonts w:ascii="Garamond" w:hAnsi="Garamond"/>
          <w:i/>
          <w:iCs/>
          <w:sz w:val="20"/>
          <w:szCs w:val="20"/>
          <w:lang w:val="en-GB"/>
        </w:rPr>
        <w:t>BOARD_CONNECT</w:t>
      </w:r>
      <w:r w:rsidRPr="00DB6C99">
        <w:rPr>
          <w:rFonts w:ascii="Garamond" w:hAnsi="Garamond"/>
          <w:sz w:val="20"/>
          <w:szCs w:val="20"/>
        </w:rPr>
        <w:t xml:space="preserve"> in probit regression of two step Heckman and first stage of 2SLS is used as an instrument. </w:t>
      </w:r>
      <w:r w:rsidRPr="00DB6C99">
        <w:rPr>
          <w:rFonts w:ascii="Garamond" w:hAnsi="Garamond"/>
          <w:i/>
          <w:iCs/>
          <w:sz w:val="20"/>
          <w:szCs w:val="20"/>
          <w:lang w:val="en-GB"/>
        </w:rPr>
        <w:t>BOARD_CONNECT</w:t>
      </w:r>
      <w:r w:rsidRPr="00DB6C99">
        <w:rPr>
          <w:rFonts w:ascii="Garamond" w:hAnsi="Garamond"/>
          <w:sz w:val="20"/>
          <w:szCs w:val="20"/>
        </w:rPr>
        <w:t xml:space="preserve"> is measured as the number of male directors with board connections to women divided by the number of male directors on board. Male directors are defined as having board connections to women when they sit on at least one other board on which there are female directors. </w:t>
      </w:r>
      <w:r w:rsidRPr="00DB6C99">
        <w:rPr>
          <w:rFonts w:ascii="Garamond" w:hAnsi="Garamond"/>
          <w:i/>
          <w:iCs/>
          <w:sz w:val="20"/>
          <w:szCs w:val="20"/>
          <w:lang w:val="en-GB"/>
        </w:rPr>
        <w:t xml:space="preserve">FEM/MALE_HQ </w:t>
      </w:r>
      <w:r w:rsidRPr="00DB6C99">
        <w:rPr>
          <w:rFonts w:ascii="Garamond" w:hAnsi="Garamond"/>
          <w:sz w:val="20"/>
          <w:szCs w:val="20"/>
          <w:lang w:val="en-GB"/>
        </w:rPr>
        <w:t>is our second instrument, defined as the female to male directors’ ratio by head-quarter location using city.</w:t>
      </w:r>
    </w:p>
    <w:p w14:paraId="497E52F3" w14:textId="77777777" w:rsidR="007C344D" w:rsidRPr="00DB6C99" w:rsidRDefault="007C344D" w:rsidP="007C344D">
      <w:pPr>
        <w:widowControl w:val="0"/>
        <w:kinsoku w:val="0"/>
        <w:overflowPunct w:val="0"/>
        <w:autoSpaceDE w:val="0"/>
        <w:autoSpaceDN w:val="0"/>
        <w:adjustRightInd w:val="0"/>
        <w:spacing w:after="0" w:line="240" w:lineRule="auto"/>
        <w:ind w:left="180" w:right="90"/>
        <w:jc w:val="both"/>
        <w:rPr>
          <w:rFonts w:ascii="Garamond" w:hAnsi="Garamond"/>
          <w:sz w:val="20"/>
          <w:szCs w:val="20"/>
        </w:rPr>
      </w:pPr>
      <w:r w:rsidRPr="00DB6C99">
        <w:rPr>
          <w:rFonts w:ascii="Garamond" w:hAnsi="Garamond"/>
          <w:sz w:val="20"/>
          <w:szCs w:val="20"/>
        </w:rPr>
        <w:t>*,**, *** Represent significance at 0.1, 0.05 and 0.01 levels, respectively. T statistics are given in parenthesis.</w:t>
      </w:r>
    </w:p>
    <w:p w14:paraId="0E411995" w14:textId="77777777" w:rsidR="007C344D" w:rsidRPr="00DB6C99" w:rsidRDefault="007C344D" w:rsidP="007C344D">
      <w:pPr>
        <w:widowControl w:val="0"/>
        <w:kinsoku w:val="0"/>
        <w:overflowPunct w:val="0"/>
        <w:autoSpaceDE w:val="0"/>
        <w:autoSpaceDN w:val="0"/>
        <w:adjustRightInd w:val="0"/>
        <w:spacing w:after="0" w:line="240" w:lineRule="auto"/>
        <w:ind w:left="180" w:right="90"/>
        <w:jc w:val="both"/>
        <w:rPr>
          <w:rFonts w:ascii="Garamond" w:hAnsi="Garamond"/>
          <w:sz w:val="18"/>
          <w:szCs w:val="18"/>
        </w:rPr>
        <w:sectPr w:rsidR="007C344D" w:rsidRPr="00DB6C99" w:rsidSect="007C344D">
          <w:pgSz w:w="15840" w:h="12240" w:orient="landscape"/>
          <w:pgMar w:top="1417" w:right="1417" w:bottom="1417" w:left="1417" w:header="720" w:footer="720" w:gutter="0"/>
          <w:cols w:space="720"/>
          <w:docGrid w:linePitch="360"/>
        </w:sectPr>
      </w:pPr>
      <w:r w:rsidRPr="00DB6C99">
        <w:rPr>
          <w:rFonts w:ascii="Garamond" w:hAnsi="Garamond"/>
          <w:sz w:val="20"/>
          <w:szCs w:val="20"/>
        </w:rPr>
        <w:t>All variables are as defined in Table 1.</w:t>
      </w:r>
    </w:p>
    <w:p w14:paraId="727F32C8" w14:textId="77777777" w:rsidR="007C344D" w:rsidRPr="00DB6C99" w:rsidRDefault="007C344D" w:rsidP="007C344D">
      <w:pPr>
        <w:spacing w:after="0" w:line="240" w:lineRule="auto"/>
        <w:jc w:val="both"/>
        <w:rPr>
          <w:rFonts w:ascii="Garamond" w:hAnsi="Garamond"/>
        </w:rPr>
      </w:pPr>
      <w:r w:rsidRPr="00DB6C99">
        <w:rPr>
          <w:rFonts w:ascii="Garamond" w:hAnsi="Garamond"/>
          <w:b/>
          <w:bCs/>
        </w:rPr>
        <w:lastRenderedPageBreak/>
        <w:t xml:space="preserve">Table 12: </w:t>
      </w:r>
      <w:r w:rsidRPr="00DB6C99">
        <w:rPr>
          <w:rFonts w:ascii="Garamond" w:hAnsi="Garamond"/>
        </w:rPr>
        <w:t>Post-matched sample analysis</w:t>
      </w:r>
    </w:p>
    <w:tbl>
      <w:tblPr>
        <w:tblW w:w="9564" w:type="dxa"/>
        <w:jc w:val="center"/>
        <w:tblBorders>
          <w:top w:val="single" w:sz="4" w:space="0" w:color="auto"/>
          <w:bottom w:val="single" w:sz="4" w:space="0" w:color="auto"/>
        </w:tblBorders>
        <w:tblLook w:val="04A0" w:firstRow="1" w:lastRow="0" w:firstColumn="1" w:lastColumn="0" w:noHBand="0" w:noVBand="1"/>
      </w:tblPr>
      <w:tblGrid>
        <w:gridCol w:w="2323"/>
        <w:gridCol w:w="2445"/>
        <w:gridCol w:w="2600"/>
        <w:gridCol w:w="2196"/>
      </w:tblGrid>
      <w:tr w:rsidR="00DB6C99" w:rsidRPr="00DB6C99" w14:paraId="7A367293" w14:textId="77777777" w:rsidTr="007C344D">
        <w:trPr>
          <w:trHeight w:val="512"/>
          <w:jc w:val="center"/>
        </w:trPr>
        <w:tc>
          <w:tcPr>
            <w:tcW w:w="2323" w:type="dxa"/>
            <w:tcBorders>
              <w:top w:val="single" w:sz="4" w:space="0" w:color="auto"/>
              <w:bottom w:val="single" w:sz="4" w:space="0" w:color="auto"/>
            </w:tcBorders>
            <w:shd w:val="clear" w:color="auto" w:fill="auto"/>
          </w:tcPr>
          <w:p w14:paraId="14CC11B4" w14:textId="77777777" w:rsidR="007C344D" w:rsidRPr="00DB6C99" w:rsidRDefault="007C344D" w:rsidP="007C344D">
            <w:pPr>
              <w:spacing w:after="0" w:line="240" w:lineRule="auto"/>
              <w:jc w:val="both"/>
              <w:rPr>
                <w:rFonts w:ascii="Garamond" w:hAnsi="Garamond"/>
                <w:sz w:val="20"/>
                <w:szCs w:val="20"/>
              </w:rPr>
            </w:pPr>
          </w:p>
        </w:tc>
        <w:tc>
          <w:tcPr>
            <w:tcW w:w="2445" w:type="dxa"/>
            <w:tcBorders>
              <w:top w:val="single" w:sz="4" w:space="0" w:color="auto"/>
              <w:bottom w:val="single" w:sz="4" w:space="0" w:color="auto"/>
            </w:tcBorders>
            <w:shd w:val="clear" w:color="auto" w:fill="auto"/>
          </w:tcPr>
          <w:p w14:paraId="73CFE15B" w14:textId="77777777" w:rsidR="007C344D" w:rsidRPr="00DB6C99" w:rsidRDefault="007C344D" w:rsidP="007C344D">
            <w:pPr>
              <w:tabs>
                <w:tab w:val="decimal" w:pos="520"/>
              </w:tabs>
              <w:spacing w:after="0" w:line="240" w:lineRule="auto"/>
              <w:jc w:val="center"/>
              <w:rPr>
                <w:rFonts w:ascii="Garamond" w:hAnsi="Garamond"/>
                <w:b/>
                <w:bCs/>
                <w:sz w:val="20"/>
                <w:szCs w:val="20"/>
              </w:rPr>
            </w:pPr>
            <w:r w:rsidRPr="00DB6C99">
              <w:rPr>
                <w:rFonts w:ascii="Garamond" w:hAnsi="Garamond"/>
                <w:b/>
                <w:bCs/>
                <w:sz w:val="20"/>
                <w:szCs w:val="20"/>
              </w:rPr>
              <w:t>Treatment group</w:t>
            </w:r>
          </w:p>
          <w:p w14:paraId="09055E64" w14:textId="77777777" w:rsidR="007C344D" w:rsidRPr="00DB6C99" w:rsidRDefault="007C344D" w:rsidP="007C344D">
            <w:pPr>
              <w:spacing w:after="0" w:line="240" w:lineRule="auto"/>
              <w:jc w:val="center"/>
              <w:rPr>
                <w:rFonts w:ascii="Garamond" w:hAnsi="Garamond"/>
                <w:b/>
                <w:bCs/>
                <w:sz w:val="20"/>
                <w:szCs w:val="20"/>
              </w:rPr>
            </w:pPr>
            <w:r w:rsidRPr="00DB6C99">
              <w:rPr>
                <w:rFonts w:ascii="Garamond" w:hAnsi="Garamond"/>
                <w:b/>
                <w:bCs/>
                <w:sz w:val="20"/>
                <w:szCs w:val="20"/>
              </w:rPr>
              <w:t>(</w:t>
            </w:r>
            <w:r w:rsidRPr="00DB6C99">
              <w:rPr>
                <w:rFonts w:ascii="Garamond" w:hAnsi="Garamond"/>
                <w:b/>
                <w:bCs/>
                <w:i/>
                <w:iCs/>
                <w:sz w:val="20"/>
                <w:szCs w:val="20"/>
              </w:rPr>
              <w:t>FPRO_DUMMY=1</w:t>
            </w:r>
            <w:r w:rsidRPr="00DB6C99">
              <w:rPr>
                <w:rFonts w:ascii="Garamond" w:hAnsi="Garamond"/>
                <w:b/>
                <w:bCs/>
                <w:sz w:val="20"/>
                <w:szCs w:val="20"/>
              </w:rPr>
              <w:t>)</w:t>
            </w:r>
          </w:p>
        </w:tc>
        <w:tc>
          <w:tcPr>
            <w:tcW w:w="2600" w:type="dxa"/>
            <w:tcBorders>
              <w:top w:val="single" w:sz="4" w:space="0" w:color="auto"/>
              <w:bottom w:val="single" w:sz="4" w:space="0" w:color="auto"/>
            </w:tcBorders>
            <w:shd w:val="clear" w:color="auto" w:fill="auto"/>
          </w:tcPr>
          <w:p w14:paraId="2E02DF65" w14:textId="77777777" w:rsidR="007C344D" w:rsidRPr="00DB6C99" w:rsidRDefault="007C344D" w:rsidP="007C344D">
            <w:pPr>
              <w:tabs>
                <w:tab w:val="decimal" w:pos="520"/>
              </w:tabs>
              <w:spacing w:after="0" w:line="240" w:lineRule="auto"/>
              <w:jc w:val="center"/>
              <w:rPr>
                <w:rFonts w:ascii="Garamond" w:hAnsi="Garamond"/>
                <w:b/>
                <w:bCs/>
                <w:sz w:val="20"/>
                <w:szCs w:val="20"/>
              </w:rPr>
            </w:pPr>
            <w:r w:rsidRPr="00DB6C99">
              <w:rPr>
                <w:rFonts w:ascii="Garamond" w:hAnsi="Garamond"/>
                <w:b/>
                <w:bCs/>
                <w:sz w:val="20"/>
                <w:szCs w:val="20"/>
              </w:rPr>
              <w:t>Control group</w:t>
            </w:r>
          </w:p>
          <w:p w14:paraId="3F4100F4" w14:textId="77777777" w:rsidR="007C344D" w:rsidRPr="00DB6C99" w:rsidRDefault="007C344D" w:rsidP="007C344D">
            <w:pPr>
              <w:tabs>
                <w:tab w:val="decimal" w:pos="520"/>
              </w:tabs>
              <w:spacing w:after="0" w:line="240" w:lineRule="auto"/>
              <w:jc w:val="center"/>
              <w:rPr>
                <w:rFonts w:ascii="Garamond" w:hAnsi="Garamond"/>
                <w:b/>
                <w:bCs/>
                <w:sz w:val="20"/>
                <w:szCs w:val="20"/>
              </w:rPr>
            </w:pPr>
            <w:r w:rsidRPr="00DB6C99">
              <w:rPr>
                <w:rFonts w:ascii="Garamond" w:hAnsi="Garamond"/>
                <w:b/>
                <w:bCs/>
                <w:sz w:val="20"/>
                <w:szCs w:val="20"/>
              </w:rPr>
              <w:t>(</w:t>
            </w:r>
            <w:r w:rsidRPr="00DB6C99">
              <w:rPr>
                <w:rFonts w:ascii="Garamond" w:hAnsi="Garamond"/>
                <w:b/>
                <w:bCs/>
                <w:i/>
                <w:iCs/>
                <w:sz w:val="20"/>
                <w:szCs w:val="20"/>
              </w:rPr>
              <w:t>FPRO_DUMMY=0</w:t>
            </w:r>
            <w:r w:rsidRPr="00DB6C99">
              <w:rPr>
                <w:rFonts w:ascii="Garamond" w:hAnsi="Garamond"/>
                <w:b/>
                <w:bCs/>
                <w:sz w:val="20"/>
                <w:szCs w:val="20"/>
              </w:rPr>
              <w:t>)</w:t>
            </w:r>
          </w:p>
        </w:tc>
        <w:tc>
          <w:tcPr>
            <w:tcW w:w="2196" w:type="dxa"/>
            <w:tcBorders>
              <w:top w:val="single" w:sz="4" w:space="0" w:color="auto"/>
              <w:bottom w:val="single" w:sz="4" w:space="0" w:color="auto"/>
            </w:tcBorders>
            <w:shd w:val="clear" w:color="auto" w:fill="auto"/>
          </w:tcPr>
          <w:p w14:paraId="3BCE739F" w14:textId="77777777" w:rsidR="007C344D" w:rsidRPr="00DB6C99" w:rsidRDefault="007C344D" w:rsidP="007C344D">
            <w:pPr>
              <w:spacing w:after="0" w:line="240" w:lineRule="auto"/>
              <w:jc w:val="center"/>
              <w:rPr>
                <w:rFonts w:ascii="Garamond" w:hAnsi="Garamond"/>
                <w:b/>
                <w:bCs/>
                <w:sz w:val="20"/>
                <w:szCs w:val="20"/>
              </w:rPr>
            </w:pPr>
          </w:p>
        </w:tc>
      </w:tr>
      <w:tr w:rsidR="00DB6C99" w:rsidRPr="00DB6C99" w14:paraId="3A96414E" w14:textId="77777777" w:rsidTr="007C344D">
        <w:trPr>
          <w:trHeight w:val="235"/>
          <w:jc w:val="center"/>
        </w:trPr>
        <w:tc>
          <w:tcPr>
            <w:tcW w:w="2323" w:type="dxa"/>
            <w:tcBorders>
              <w:top w:val="single" w:sz="4" w:space="0" w:color="auto"/>
              <w:bottom w:val="single" w:sz="4" w:space="0" w:color="auto"/>
            </w:tcBorders>
            <w:shd w:val="clear" w:color="auto" w:fill="auto"/>
          </w:tcPr>
          <w:p w14:paraId="15D66D1D" w14:textId="77777777" w:rsidR="007C344D" w:rsidRPr="00DB6C99" w:rsidRDefault="007C344D" w:rsidP="007C344D">
            <w:pPr>
              <w:spacing w:after="0" w:line="240" w:lineRule="auto"/>
              <w:jc w:val="both"/>
              <w:rPr>
                <w:rFonts w:ascii="Garamond" w:hAnsi="Garamond"/>
                <w:sz w:val="20"/>
                <w:szCs w:val="20"/>
              </w:rPr>
            </w:pPr>
          </w:p>
        </w:tc>
        <w:tc>
          <w:tcPr>
            <w:tcW w:w="2445" w:type="dxa"/>
            <w:tcBorders>
              <w:top w:val="single" w:sz="4" w:space="0" w:color="auto"/>
              <w:bottom w:val="single" w:sz="4" w:space="0" w:color="auto"/>
            </w:tcBorders>
            <w:shd w:val="clear" w:color="auto" w:fill="auto"/>
          </w:tcPr>
          <w:p w14:paraId="5E24A0D0" w14:textId="77777777" w:rsidR="007C344D" w:rsidRPr="00DB6C99" w:rsidRDefault="007C344D" w:rsidP="007C344D">
            <w:pPr>
              <w:tabs>
                <w:tab w:val="decimal" w:pos="790"/>
              </w:tabs>
              <w:spacing w:after="0" w:line="240" w:lineRule="auto"/>
              <w:jc w:val="center"/>
              <w:rPr>
                <w:rFonts w:ascii="Garamond" w:hAnsi="Garamond"/>
                <w:sz w:val="20"/>
                <w:szCs w:val="20"/>
              </w:rPr>
            </w:pPr>
            <w:r w:rsidRPr="00DB6C99">
              <w:rPr>
                <w:rFonts w:ascii="Garamond" w:hAnsi="Garamond"/>
                <w:i/>
                <w:iCs/>
                <w:sz w:val="20"/>
                <w:szCs w:val="20"/>
              </w:rPr>
              <w:t>N=3,521</w:t>
            </w:r>
          </w:p>
        </w:tc>
        <w:tc>
          <w:tcPr>
            <w:tcW w:w="2600" w:type="dxa"/>
            <w:tcBorders>
              <w:top w:val="single" w:sz="4" w:space="0" w:color="auto"/>
              <w:bottom w:val="single" w:sz="4" w:space="0" w:color="auto"/>
            </w:tcBorders>
            <w:shd w:val="clear" w:color="auto" w:fill="auto"/>
          </w:tcPr>
          <w:p w14:paraId="3E3A3D01" w14:textId="77777777" w:rsidR="007C344D" w:rsidRPr="00DB6C99" w:rsidRDefault="007C344D" w:rsidP="007C344D">
            <w:pPr>
              <w:tabs>
                <w:tab w:val="decimal" w:pos="700"/>
              </w:tabs>
              <w:spacing w:after="0" w:line="240" w:lineRule="auto"/>
              <w:jc w:val="center"/>
              <w:rPr>
                <w:rFonts w:ascii="Garamond" w:hAnsi="Garamond"/>
                <w:sz w:val="20"/>
                <w:szCs w:val="20"/>
              </w:rPr>
            </w:pPr>
            <w:r w:rsidRPr="00DB6C99">
              <w:rPr>
                <w:rFonts w:ascii="Garamond" w:hAnsi="Garamond"/>
                <w:i/>
                <w:iCs/>
                <w:sz w:val="20"/>
                <w:szCs w:val="20"/>
              </w:rPr>
              <w:t>N=3,521</w:t>
            </w:r>
          </w:p>
        </w:tc>
        <w:tc>
          <w:tcPr>
            <w:tcW w:w="2196" w:type="dxa"/>
            <w:tcBorders>
              <w:top w:val="single" w:sz="4" w:space="0" w:color="auto"/>
              <w:bottom w:val="single" w:sz="4" w:space="0" w:color="auto"/>
            </w:tcBorders>
            <w:shd w:val="clear" w:color="auto" w:fill="auto"/>
          </w:tcPr>
          <w:p w14:paraId="5B43295A" w14:textId="77777777" w:rsidR="007C344D" w:rsidRPr="00DB6C99" w:rsidRDefault="007C344D" w:rsidP="007C344D">
            <w:pPr>
              <w:tabs>
                <w:tab w:val="decimal" w:pos="520"/>
              </w:tabs>
              <w:spacing w:after="0" w:line="240" w:lineRule="auto"/>
              <w:jc w:val="center"/>
              <w:rPr>
                <w:rFonts w:ascii="Garamond" w:hAnsi="Garamond"/>
                <w:b/>
                <w:bCs/>
                <w:sz w:val="20"/>
                <w:szCs w:val="20"/>
              </w:rPr>
            </w:pPr>
          </w:p>
        </w:tc>
      </w:tr>
      <w:tr w:rsidR="00DB6C99" w:rsidRPr="00DB6C99" w14:paraId="7509E5A2" w14:textId="77777777" w:rsidTr="007C344D">
        <w:trPr>
          <w:trHeight w:val="321"/>
          <w:jc w:val="center"/>
        </w:trPr>
        <w:tc>
          <w:tcPr>
            <w:tcW w:w="2323" w:type="dxa"/>
            <w:tcBorders>
              <w:top w:val="single" w:sz="4" w:space="0" w:color="auto"/>
              <w:bottom w:val="single" w:sz="4" w:space="0" w:color="auto"/>
            </w:tcBorders>
            <w:shd w:val="clear" w:color="auto" w:fill="auto"/>
            <w:vAlign w:val="center"/>
          </w:tcPr>
          <w:p w14:paraId="31541E7C" w14:textId="77777777" w:rsidR="007C344D" w:rsidRPr="00DB6C99" w:rsidRDefault="007C344D" w:rsidP="007C344D">
            <w:pPr>
              <w:spacing w:after="0" w:line="240" w:lineRule="auto"/>
              <w:jc w:val="both"/>
              <w:rPr>
                <w:rFonts w:ascii="Garamond" w:hAnsi="Garamond"/>
                <w:sz w:val="20"/>
                <w:szCs w:val="20"/>
              </w:rPr>
            </w:pPr>
            <w:r w:rsidRPr="00DB6C99">
              <w:rPr>
                <w:rFonts w:ascii="Garamond" w:hAnsi="Garamond"/>
                <w:sz w:val="20"/>
                <w:szCs w:val="20"/>
              </w:rPr>
              <w:t>Variables</w:t>
            </w:r>
          </w:p>
        </w:tc>
        <w:tc>
          <w:tcPr>
            <w:tcW w:w="2445" w:type="dxa"/>
            <w:tcBorders>
              <w:top w:val="single" w:sz="4" w:space="0" w:color="auto"/>
              <w:bottom w:val="single" w:sz="4" w:space="0" w:color="auto"/>
            </w:tcBorders>
            <w:shd w:val="clear" w:color="auto" w:fill="auto"/>
            <w:vAlign w:val="center"/>
          </w:tcPr>
          <w:p w14:paraId="03224A06" w14:textId="77777777" w:rsidR="007C344D" w:rsidRPr="00DB6C99" w:rsidRDefault="007C344D" w:rsidP="007C344D">
            <w:pPr>
              <w:tabs>
                <w:tab w:val="decimal" w:pos="700"/>
              </w:tabs>
              <w:spacing w:after="0" w:line="240" w:lineRule="auto"/>
              <w:jc w:val="center"/>
              <w:rPr>
                <w:rFonts w:ascii="Garamond" w:hAnsi="Garamond"/>
                <w:b/>
                <w:bCs/>
                <w:sz w:val="20"/>
                <w:szCs w:val="20"/>
              </w:rPr>
            </w:pPr>
            <w:r w:rsidRPr="00DB6C99">
              <w:rPr>
                <w:rFonts w:ascii="Garamond" w:hAnsi="Garamond"/>
                <w:b/>
                <w:bCs/>
                <w:sz w:val="20"/>
                <w:szCs w:val="20"/>
              </w:rPr>
              <w:t>Mean</w:t>
            </w:r>
          </w:p>
        </w:tc>
        <w:tc>
          <w:tcPr>
            <w:tcW w:w="2600" w:type="dxa"/>
            <w:tcBorders>
              <w:top w:val="single" w:sz="4" w:space="0" w:color="auto"/>
              <w:bottom w:val="single" w:sz="4" w:space="0" w:color="auto"/>
            </w:tcBorders>
            <w:shd w:val="clear" w:color="auto" w:fill="auto"/>
            <w:vAlign w:val="center"/>
          </w:tcPr>
          <w:p w14:paraId="557E8CE3" w14:textId="77777777" w:rsidR="007C344D" w:rsidRPr="00DB6C99" w:rsidRDefault="007C344D" w:rsidP="007C344D">
            <w:pPr>
              <w:tabs>
                <w:tab w:val="decimal" w:pos="700"/>
              </w:tabs>
              <w:spacing w:after="0" w:line="240" w:lineRule="auto"/>
              <w:jc w:val="center"/>
              <w:rPr>
                <w:rFonts w:ascii="Garamond" w:hAnsi="Garamond"/>
                <w:b/>
                <w:bCs/>
                <w:sz w:val="20"/>
                <w:szCs w:val="20"/>
              </w:rPr>
            </w:pPr>
            <w:r w:rsidRPr="00DB6C99">
              <w:rPr>
                <w:rFonts w:ascii="Garamond" w:hAnsi="Garamond"/>
                <w:b/>
                <w:bCs/>
                <w:sz w:val="20"/>
                <w:szCs w:val="20"/>
              </w:rPr>
              <w:t>Mean</w:t>
            </w:r>
          </w:p>
        </w:tc>
        <w:tc>
          <w:tcPr>
            <w:tcW w:w="2196" w:type="dxa"/>
            <w:tcBorders>
              <w:top w:val="single" w:sz="4" w:space="0" w:color="auto"/>
              <w:bottom w:val="single" w:sz="4" w:space="0" w:color="auto"/>
            </w:tcBorders>
            <w:shd w:val="clear" w:color="auto" w:fill="auto"/>
            <w:vAlign w:val="center"/>
          </w:tcPr>
          <w:p w14:paraId="72EFCFF5" w14:textId="77777777" w:rsidR="007C344D" w:rsidRPr="00DB6C99" w:rsidRDefault="007C344D" w:rsidP="007C344D">
            <w:pPr>
              <w:tabs>
                <w:tab w:val="decimal" w:pos="520"/>
              </w:tabs>
              <w:spacing w:after="0" w:line="240" w:lineRule="auto"/>
              <w:jc w:val="center"/>
              <w:rPr>
                <w:rFonts w:ascii="Garamond" w:hAnsi="Garamond"/>
                <w:b/>
                <w:bCs/>
                <w:sz w:val="20"/>
                <w:szCs w:val="20"/>
              </w:rPr>
            </w:pPr>
            <w:r w:rsidRPr="00DB6C99">
              <w:rPr>
                <w:rFonts w:ascii="Garamond" w:hAnsi="Garamond"/>
                <w:b/>
                <w:bCs/>
                <w:sz w:val="20"/>
                <w:szCs w:val="20"/>
              </w:rPr>
              <w:t>Mean differences</w:t>
            </w:r>
          </w:p>
        </w:tc>
      </w:tr>
      <w:tr w:rsidR="00DB6C99" w:rsidRPr="00DB6C99" w14:paraId="74BEC1CA" w14:textId="77777777" w:rsidTr="007C344D">
        <w:trPr>
          <w:trHeight w:val="256"/>
          <w:jc w:val="center"/>
        </w:trPr>
        <w:tc>
          <w:tcPr>
            <w:tcW w:w="2323" w:type="dxa"/>
            <w:tcBorders>
              <w:top w:val="single" w:sz="4" w:space="0" w:color="auto"/>
            </w:tcBorders>
            <w:shd w:val="clear" w:color="auto" w:fill="auto"/>
            <w:vAlign w:val="center"/>
          </w:tcPr>
          <w:p w14:paraId="17BB6CF8" w14:textId="77777777" w:rsidR="007C344D" w:rsidRPr="00DB6C99" w:rsidRDefault="007C344D" w:rsidP="007C344D">
            <w:pPr>
              <w:spacing w:after="0" w:line="240" w:lineRule="auto"/>
              <w:jc w:val="both"/>
              <w:rPr>
                <w:rFonts w:ascii="Garamond" w:hAnsi="Garamond"/>
                <w:sz w:val="20"/>
                <w:szCs w:val="20"/>
              </w:rPr>
            </w:pPr>
            <w:r w:rsidRPr="00DB6C99">
              <w:rPr>
                <w:rFonts w:ascii="Garamond" w:hAnsi="Garamond"/>
                <w:i/>
                <w:iCs/>
                <w:sz w:val="20"/>
                <w:szCs w:val="20"/>
                <w:lang w:val="en-GB"/>
              </w:rPr>
              <w:t>BSIZE (logged value)</w:t>
            </w:r>
          </w:p>
        </w:tc>
        <w:tc>
          <w:tcPr>
            <w:tcW w:w="2445" w:type="dxa"/>
            <w:tcBorders>
              <w:top w:val="single" w:sz="4" w:space="0" w:color="auto"/>
            </w:tcBorders>
            <w:shd w:val="clear" w:color="auto" w:fill="auto"/>
            <w:vAlign w:val="bottom"/>
          </w:tcPr>
          <w:p w14:paraId="0C5015FA" w14:textId="77777777" w:rsidR="007C344D" w:rsidRPr="00DB6C99" w:rsidRDefault="007C344D" w:rsidP="007C344D">
            <w:pPr>
              <w:tabs>
                <w:tab w:val="decimal" w:pos="340"/>
              </w:tabs>
              <w:spacing w:after="0" w:line="240" w:lineRule="auto"/>
              <w:jc w:val="center"/>
              <w:rPr>
                <w:rFonts w:ascii="Garamond" w:hAnsi="Garamond"/>
                <w:sz w:val="20"/>
                <w:szCs w:val="20"/>
              </w:rPr>
            </w:pPr>
            <w:r w:rsidRPr="00DB6C99">
              <w:rPr>
                <w:rFonts w:ascii="Garamond" w:hAnsi="Garamond"/>
                <w:sz w:val="20"/>
                <w:szCs w:val="20"/>
              </w:rPr>
              <w:t>2.294</w:t>
            </w:r>
          </w:p>
        </w:tc>
        <w:tc>
          <w:tcPr>
            <w:tcW w:w="2600" w:type="dxa"/>
            <w:tcBorders>
              <w:top w:val="single" w:sz="4" w:space="0" w:color="auto"/>
            </w:tcBorders>
            <w:shd w:val="clear" w:color="auto" w:fill="auto"/>
            <w:vAlign w:val="bottom"/>
          </w:tcPr>
          <w:p w14:paraId="7767CDEA" w14:textId="77777777" w:rsidR="007C344D" w:rsidRPr="00DB6C99" w:rsidRDefault="007C344D" w:rsidP="007C344D">
            <w:pPr>
              <w:tabs>
                <w:tab w:val="decimal" w:pos="340"/>
              </w:tabs>
              <w:spacing w:after="0" w:line="240" w:lineRule="auto"/>
              <w:jc w:val="center"/>
              <w:rPr>
                <w:rFonts w:ascii="Garamond" w:hAnsi="Garamond"/>
                <w:sz w:val="20"/>
                <w:szCs w:val="20"/>
              </w:rPr>
            </w:pPr>
            <w:r w:rsidRPr="00DB6C99">
              <w:rPr>
                <w:rFonts w:ascii="Garamond" w:hAnsi="Garamond"/>
                <w:sz w:val="20"/>
                <w:szCs w:val="20"/>
              </w:rPr>
              <w:t>2.296</w:t>
            </w:r>
          </w:p>
        </w:tc>
        <w:tc>
          <w:tcPr>
            <w:tcW w:w="2196" w:type="dxa"/>
            <w:tcBorders>
              <w:top w:val="single" w:sz="4" w:space="0" w:color="auto"/>
            </w:tcBorders>
            <w:shd w:val="clear" w:color="auto" w:fill="auto"/>
            <w:vAlign w:val="bottom"/>
          </w:tcPr>
          <w:p w14:paraId="64538FC1" w14:textId="77777777" w:rsidR="007C344D" w:rsidRPr="00DB6C99" w:rsidRDefault="007C344D" w:rsidP="007C344D">
            <w:pPr>
              <w:tabs>
                <w:tab w:val="decimal" w:pos="405"/>
              </w:tabs>
              <w:spacing w:after="0" w:line="240" w:lineRule="auto"/>
              <w:jc w:val="center"/>
              <w:rPr>
                <w:rFonts w:ascii="Garamond" w:hAnsi="Garamond"/>
                <w:sz w:val="20"/>
                <w:szCs w:val="20"/>
              </w:rPr>
            </w:pPr>
            <w:r w:rsidRPr="00DB6C99">
              <w:rPr>
                <w:rFonts w:ascii="Garamond" w:hAnsi="Garamond"/>
                <w:sz w:val="20"/>
                <w:szCs w:val="20"/>
              </w:rPr>
              <w:t>-0.002</w:t>
            </w:r>
          </w:p>
        </w:tc>
      </w:tr>
      <w:tr w:rsidR="00DB6C99" w:rsidRPr="00DB6C99" w14:paraId="0ABB35DC" w14:textId="77777777" w:rsidTr="007C344D">
        <w:trPr>
          <w:trHeight w:val="256"/>
          <w:jc w:val="center"/>
        </w:trPr>
        <w:tc>
          <w:tcPr>
            <w:tcW w:w="2323" w:type="dxa"/>
            <w:shd w:val="clear" w:color="auto" w:fill="auto"/>
            <w:vAlign w:val="center"/>
          </w:tcPr>
          <w:p w14:paraId="551D6B0D" w14:textId="77777777" w:rsidR="007C344D" w:rsidRPr="00DB6C99" w:rsidRDefault="007C344D" w:rsidP="007C344D">
            <w:pPr>
              <w:spacing w:after="0" w:line="240" w:lineRule="auto"/>
              <w:jc w:val="both"/>
              <w:rPr>
                <w:rFonts w:ascii="Garamond" w:hAnsi="Garamond"/>
                <w:sz w:val="20"/>
                <w:szCs w:val="20"/>
              </w:rPr>
            </w:pPr>
            <w:r w:rsidRPr="00DB6C99">
              <w:rPr>
                <w:rFonts w:ascii="Garamond" w:hAnsi="Garamond"/>
                <w:i/>
                <w:iCs/>
                <w:sz w:val="20"/>
                <w:szCs w:val="20"/>
                <w:lang w:val="en-GB"/>
              </w:rPr>
              <w:t>BIND</w:t>
            </w:r>
          </w:p>
        </w:tc>
        <w:tc>
          <w:tcPr>
            <w:tcW w:w="2445" w:type="dxa"/>
            <w:shd w:val="clear" w:color="auto" w:fill="auto"/>
            <w:vAlign w:val="bottom"/>
          </w:tcPr>
          <w:p w14:paraId="64A0B78C" w14:textId="77777777" w:rsidR="007C344D" w:rsidRPr="00DB6C99" w:rsidRDefault="007C344D" w:rsidP="007C344D">
            <w:pPr>
              <w:tabs>
                <w:tab w:val="decimal" w:pos="340"/>
              </w:tabs>
              <w:spacing w:after="0" w:line="240" w:lineRule="auto"/>
              <w:jc w:val="center"/>
              <w:rPr>
                <w:rFonts w:ascii="Garamond" w:hAnsi="Garamond"/>
                <w:sz w:val="20"/>
                <w:szCs w:val="20"/>
              </w:rPr>
            </w:pPr>
            <w:r w:rsidRPr="00DB6C99">
              <w:rPr>
                <w:rFonts w:ascii="Garamond" w:hAnsi="Garamond"/>
                <w:sz w:val="20"/>
                <w:szCs w:val="20"/>
              </w:rPr>
              <w:t>0.864</w:t>
            </w:r>
          </w:p>
        </w:tc>
        <w:tc>
          <w:tcPr>
            <w:tcW w:w="2600" w:type="dxa"/>
            <w:shd w:val="clear" w:color="auto" w:fill="auto"/>
            <w:vAlign w:val="bottom"/>
          </w:tcPr>
          <w:p w14:paraId="04AE704C" w14:textId="77777777" w:rsidR="007C344D" w:rsidRPr="00DB6C99" w:rsidRDefault="007C344D" w:rsidP="007C344D">
            <w:pPr>
              <w:tabs>
                <w:tab w:val="decimal" w:pos="340"/>
              </w:tabs>
              <w:spacing w:after="0" w:line="240" w:lineRule="auto"/>
              <w:jc w:val="center"/>
              <w:rPr>
                <w:rFonts w:ascii="Garamond" w:hAnsi="Garamond"/>
                <w:sz w:val="20"/>
                <w:szCs w:val="20"/>
              </w:rPr>
            </w:pPr>
            <w:r w:rsidRPr="00DB6C99">
              <w:rPr>
                <w:rFonts w:ascii="Garamond" w:hAnsi="Garamond"/>
                <w:sz w:val="20"/>
                <w:szCs w:val="20"/>
              </w:rPr>
              <w:t>0.863</w:t>
            </w:r>
          </w:p>
        </w:tc>
        <w:tc>
          <w:tcPr>
            <w:tcW w:w="2196" w:type="dxa"/>
            <w:shd w:val="clear" w:color="auto" w:fill="auto"/>
            <w:vAlign w:val="bottom"/>
          </w:tcPr>
          <w:p w14:paraId="3316BF72" w14:textId="77777777" w:rsidR="007C344D" w:rsidRPr="00DB6C99" w:rsidRDefault="007C344D" w:rsidP="007C344D">
            <w:pPr>
              <w:tabs>
                <w:tab w:val="decimal" w:pos="405"/>
              </w:tabs>
              <w:spacing w:after="0" w:line="240" w:lineRule="auto"/>
              <w:jc w:val="center"/>
              <w:rPr>
                <w:rFonts w:ascii="Garamond" w:hAnsi="Garamond"/>
                <w:sz w:val="20"/>
                <w:szCs w:val="20"/>
              </w:rPr>
            </w:pPr>
            <w:r w:rsidRPr="00DB6C99">
              <w:rPr>
                <w:rFonts w:ascii="Garamond" w:hAnsi="Garamond"/>
                <w:sz w:val="20"/>
                <w:szCs w:val="20"/>
              </w:rPr>
              <w:t>0.001</w:t>
            </w:r>
          </w:p>
        </w:tc>
      </w:tr>
      <w:tr w:rsidR="00DB6C99" w:rsidRPr="00DB6C99" w14:paraId="16FAA983" w14:textId="77777777" w:rsidTr="007C344D">
        <w:trPr>
          <w:trHeight w:val="256"/>
          <w:jc w:val="center"/>
        </w:trPr>
        <w:tc>
          <w:tcPr>
            <w:tcW w:w="2323" w:type="dxa"/>
            <w:shd w:val="clear" w:color="auto" w:fill="auto"/>
            <w:vAlign w:val="center"/>
          </w:tcPr>
          <w:p w14:paraId="4B0DEA4D" w14:textId="77777777" w:rsidR="007C344D" w:rsidRPr="00DB6C99" w:rsidRDefault="007C344D" w:rsidP="007C344D">
            <w:pPr>
              <w:spacing w:after="0" w:line="240" w:lineRule="auto"/>
              <w:jc w:val="both"/>
              <w:rPr>
                <w:rFonts w:ascii="Garamond" w:hAnsi="Garamond"/>
                <w:sz w:val="20"/>
                <w:szCs w:val="20"/>
              </w:rPr>
            </w:pPr>
            <w:r w:rsidRPr="00DB6C99">
              <w:rPr>
                <w:rFonts w:ascii="Garamond" w:hAnsi="Garamond"/>
                <w:i/>
                <w:iCs/>
                <w:sz w:val="20"/>
                <w:szCs w:val="20"/>
                <w:lang w:val="en-GB"/>
              </w:rPr>
              <w:t>BMEET (logged value)</w:t>
            </w:r>
          </w:p>
        </w:tc>
        <w:tc>
          <w:tcPr>
            <w:tcW w:w="2445" w:type="dxa"/>
            <w:shd w:val="clear" w:color="auto" w:fill="auto"/>
            <w:vAlign w:val="bottom"/>
          </w:tcPr>
          <w:p w14:paraId="6FE25A58" w14:textId="77777777" w:rsidR="007C344D" w:rsidRPr="00DB6C99" w:rsidRDefault="007C344D" w:rsidP="007C344D">
            <w:pPr>
              <w:tabs>
                <w:tab w:val="decimal" w:pos="340"/>
              </w:tabs>
              <w:spacing w:after="0" w:line="240" w:lineRule="auto"/>
              <w:jc w:val="center"/>
              <w:rPr>
                <w:rFonts w:ascii="Garamond" w:hAnsi="Garamond"/>
                <w:sz w:val="20"/>
                <w:szCs w:val="20"/>
              </w:rPr>
            </w:pPr>
            <w:r w:rsidRPr="00DB6C99">
              <w:rPr>
                <w:rFonts w:ascii="Garamond" w:hAnsi="Garamond"/>
                <w:sz w:val="20"/>
                <w:szCs w:val="20"/>
              </w:rPr>
              <w:t>2.009</w:t>
            </w:r>
          </w:p>
        </w:tc>
        <w:tc>
          <w:tcPr>
            <w:tcW w:w="2600" w:type="dxa"/>
            <w:shd w:val="clear" w:color="auto" w:fill="auto"/>
            <w:vAlign w:val="bottom"/>
          </w:tcPr>
          <w:p w14:paraId="59B0E205" w14:textId="77777777" w:rsidR="007C344D" w:rsidRPr="00DB6C99" w:rsidRDefault="007C344D" w:rsidP="007C344D">
            <w:pPr>
              <w:tabs>
                <w:tab w:val="decimal" w:pos="340"/>
              </w:tabs>
              <w:spacing w:after="0" w:line="240" w:lineRule="auto"/>
              <w:jc w:val="center"/>
              <w:rPr>
                <w:rFonts w:ascii="Garamond" w:hAnsi="Garamond"/>
                <w:sz w:val="20"/>
                <w:szCs w:val="20"/>
              </w:rPr>
            </w:pPr>
            <w:r w:rsidRPr="00DB6C99">
              <w:rPr>
                <w:rFonts w:ascii="Garamond" w:hAnsi="Garamond"/>
                <w:sz w:val="20"/>
                <w:szCs w:val="20"/>
              </w:rPr>
              <w:t>2.017</w:t>
            </w:r>
          </w:p>
        </w:tc>
        <w:tc>
          <w:tcPr>
            <w:tcW w:w="2196" w:type="dxa"/>
            <w:shd w:val="clear" w:color="auto" w:fill="auto"/>
            <w:vAlign w:val="bottom"/>
          </w:tcPr>
          <w:p w14:paraId="71DBC3FD" w14:textId="77777777" w:rsidR="007C344D" w:rsidRPr="00DB6C99" w:rsidRDefault="007C344D" w:rsidP="007C344D">
            <w:pPr>
              <w:tabs>
                <w:tab w:val="decimal" w:pos="405"/>
              </w:tabs>
              <w:spacing w:after="0" w:line="240" w:lineRule="auto"/>
              <w:jc w:val="center"/>
              <w:rPr>
                <w:rFonts w:ascii="Garamond" w:hAnsi="Garamond"/>
                <w:sz w:val="20"/>
                <w:szCs w:val="20"/>
              </w:rPr>
            </w:pPr>
            <w:r w:rsidRPr="00DB6C99">
              <w:rPr>
                <w:rFonts w:ascii="Garamond" w:hAnsi="Garamond"/>
                <w:sz w:val="20"/>
                <w:szCs w:val="20"/>
              </w:rPr>
              <w:t>-0.008</w:t>
            </w:r>
          </w:p>
        </w:tc>
      </w:tr>
      <w:tr w:rsidR="00DB6C99" w:rsidRPr="00DB6C99" w14:paraId="52369531" w14:textId="77777777" w:rsidTr="007C344D">
        <w:trPr>
          <w:trHeight w:val="256"/>
          <w:jc w:val="center"/>
        </w:trPr>
        <w:tc>
          <w:tcPr>
            <w:tcW w:w="2323" w:type="dxa"/>
            <w:shd w:val="clear" w:color="auto" w:fill="auto"/>
            <w:vAlign w:val="center"/>
          </w:tcPr>
          <w:p w14:paraId="2945CFF2" w14:textId="77777777" w:rsidR="007C344D" w:rsidRPr="00DB6C99" w:rsidRDefault="007C344D" w:rsidP="007C344D">
            <w:pPr>
              <w:spacing w:after="0" w:line="240" w:lineRule="auto"/>
              <w:jc w:val="both"/>
              <w:rPr>
                <w:rFonts w:ascii="Garamond" w:hAnsi="Garamond"/>
                <w:sz w:val="20"/>
                <w:szCs w:val="20"/>
              </w:rPr>
            </w:pPr>
            <w:r w:rsidRPr="00DB6C99">
              <w:rPr>
                <w:rFonts w:ascii="Garamond" w:hAnsi="Garamond"/>
                <w:i/>
                <w:iCs/>
                <w:sz w:val="20"/>
                <w:szCs w:val="20"/>
                <w:lang w:val="en-GB"/>
              </w:rPr>
              <w:t>DUAL</w:t>
            </w:r>
          </w:p>
        </w:tc>
        <w:tc>
          <w:tcPr>
            <w:tcW w:w="2445" w:type="dxa"/>
            <w:shd w:val="clear" w:color="auto" w:fill="auto"/>
            <w:vAlign w:val="bottom"/>
          </w:tcPr>
          <w:p w14:paraId="76474A15" w14:textId="77777777" w:rsidR="007C344D" w:rsidRPr="00DB6C99" w:rsidRDefault="007C344D" w:rsidP="007C344D">
            <w:pPr>
              <w:tabs>
                <w:tab w:val="decimal" w:pos="340"/>
              </w:tabs>
              <w:spacing w:after="0" w:line="240" w:lineRule="auto"/>
              <w:jc w:val="center"/>
              <w:rPr>
                <w:rFonts w:ascii="Garamond" w:hAnsi="Garamond"/>
                <w:sz w:val="20"/>
                <w:szCs w:val="20"/>
              </w:rPr>
            </w:pPr>
            <w:r w:rsidRPr="00DB6C99">
              <w:rPr>
                <w:rFonts w:ascii="Garamond" w:hAnsi="Garamond"/>
                <w:sz w:val="20"/>
                <w:szCs w:val="20"/>
              </w:rPr>
              <w:t>0.692</w:t>
            </w:r>
          </w:p>
        </w:tc>
        <w:tc>
          <w:tcPr>
            <w:tcW w:w="2600" w:type="dxa"/>
            <w:shd w:val="clear" w:color="auto" w:fill="auto"/>
            <w:vAlign w:val="bottom"/>
          </w:tcPr>
          <w:p w14:paraId="27F1F94C" w14:textId="77777777" w:rsidR="007C344D" w:rsidRPr="00DB6C99" w:rsidRDefault="007C344D" w:rsidP="007C344D">
            <w:pPr>
              <w:tabs>
                <w:tab w:val="decimal" w:pos="340"/>
              </w:tabs>
              <w:spacing w:after="0" w:line="240" w:lineRule="auto"/>
              <w:jc w:val="center"/>
              <w:rPr>
                <w:rFonts w:ascii="Garamond" w:hAnsi="Garamond"/>
                <w:sz w:val="20"/>
                <w:szCs w:val="20"/>
              </w:rPr>
            </w:pPr>
            <w:r w:rsidRPr="00DB6C99">
              <w:rPr>
                <w:rFonts w:ascii="Garamond" w:hAnsi="Garamond"/>
                <w:sz w:val="20"/>
                <w:szCs w:val="20"/>
              </w:rPr>
              <w:t>0.696</w:t>
            </w:r>
          </w:p>
        </w:tc>
        <w:tc>
          <w:tcPr>
            <w:tcW w:w="2196" w:type="dxa"/>
            <w:shd w:val="clear" w:color="auto" w:fill="auto"/>
            <w:vAlign w:val="bottom"/>
          </w:tcPr>
          <w:p w14:paraId="08F5A138" w14:textId="77777777" w:rsidR="007C344D" w:rsidRPr="00DB6C99" w:rsidRDefault="007C344D" w:rsidP="007C344D">
            <w:pPr>
              <w:tabs>
                <w:tab w:val="decimal" w:pos="405"/>
              </w:tabs>
              <w:spacing w:after="0" w:line="240" w:lineRule="auto"/>
              <w:jc w:val="center"/>
              <w:rPr>
                <w:rFonts w:ascii="Garamond" w:hAnsi="Garamond"/>
                <w:sz w:val="20"/>
                <w:szCs w:val="20"/>
              </w:rPr>
            </w:pPr>
            <w:r w:rsidRPr="00DB6C99">
              <w:rPr>
                <w:rFonts w:ascii="Garamond" w:hAnsi="Garamond"/>
                <w:sz w:val="20"/>
                <w:szCs w:val="20"/>
              </w:rPr>
              <w:t>-0.004</w:t>
            </w:r>
          </w:p>
        </w:tc>
      </w:tr>
      <w:tr w:rsidR="00DB6C99" w:rsidRPr="00DB6C99" w14:paraId="71EC21D2" w14:textId="77777777" w:rsidTr="007C344D">
        <w:trPr>
          <w:trHeight w:val="256"/>
          <w:jc w:val="center"/>
        </w:trPr>
        <w:tc>
          <w:tcPr>
            <w:tcW w:w="2323" w:type="dxa"/>
            <w:shd w:val="clear" w:color="auto" w:fill="auto"/>
            <w:vAlign w:val="center"/>
          </w:tcPr>
          <w:p w14:paraId="13066D51" w14:textId="77777777" w:rsidR="007C344D" w:rsidRPr="00DB6C99" w:rsidRDefault="007C344D" w:rsidP="007C344D">
            <w:pPr>
              <w:spacing w:after="0" w:line="240" w:lineRule="auto"/>
              <w:jc w:val="both"/>
              <w:rPr>
                <w:rFonts w:ascii="Garamond" w:hAnsi="Garamond"/>
                <w:sz w:val="20"/>
                <w:szCs w:val="20"/>
              </w:rPr>
            </w:pPr>
            <w:r w:rsidRPr="00DB6C99">
              <w:rPr>
                <w:rFonts w:ascii="Garamond" w:hAnsi="Garamond"/>
                <w:i/>
                <w:iCs/>
                <w:sz w:val="20"/>
                <w:szCs w:val="20"/>
                <w:lang w:val="en-GB"/>
              </w:rPr>
              <w:t>PM</w:t>
            </w:r>
          </w:p>
        </w:tc>
        <w:tc>
          <w:tcPr>
            <w:tcW w:w="2445" w:type="dxa"/>
            <w:shd w:val="clear" w:color="auto" w:fill="auto"/>
            <w:vAlign w:val="bottom"/>
          </w:tcPr>
          <w:p w14:paraId="789C8135" w14:textId="77777777" w:rsidR="007C344D" w:rsidRPr="00DB6C99" w:rsidRDefault="007C344D" w:rsidP="007C344D">
            <w:pPr>
              <w:tabs>
                <w:tab w:val="decimal" w:pos="340"/>
              </w:tabs>
              <w:spacing w:after="0" w:line="240" w:lineRule="auto"/>
              <w:jc w:val="center"/>
              <w:rPr>
                <w:rFonts w:ascii="Garamond" w:hAnsi="Garamond"/>
                <w:sz w:val="20"/>
                <w:szCs w:val="20"/>
              </w:rPr>
            </w:pPr>
            <w:r w:rsidRPr="00DB6C99">
              <w:rPr>
                <w:rFonts w:ascii="Garamond" w:hAnsi="Garamond"/>
                <w:sz w:val="20"/>
                <w:szCs w:val="20"/>
              </w:rPr>
              <w:t>0.054</w:t>
            </w:r>
          </w:p>
        </w:tc>
        <w:tc>
          <w:tcPr>
            <w:tcW w:w="2600" w:type="dxa"/>
            <w:shd w:val="clear" w:color="auto" w:fill="auto"/>
            <w:vAlign w:val="bottom"/>
          </w:tcPr>
          <w:p w14:paraId="2715C4B8" w14:textId="77777777" w:rsidR="007C344D" w:rsidRPr="00DB6C99" w:rsidRDefault="007C344D" w:rsidP="007C344D">
            <w:pPr>
              <w:tabs>
                <w:tab w:val="decimal" w:pos="340"/>
              </w:tabs>
              <w:spacing w:after="0" w:line="240" w:lineRule="auto"/>
              <w:jc w:val="center"/>
              <w:rPr>
                <w:rFonts w:ascii="Garamond" w:hAnsi="Garamond"/>
                <w:sz w:val="20"/>
                <w:szCs w:val="20"/>
              </w:rPr>
            </w:pPr>
            <w:r w:rsidRPr="00DB6C99">
              <w:rPr>
                <w:rFonts w:ascii="Garamond" w:hAnsi="Garamond"/>
                <w:sz w:val="20"/>
                <w:szCs w:val="20"/>
              </w:rPr>
              <w:t>0.053</w:t>
            </w:r>
          </w:p>
        </w:tc>
        <w:tc>
          <w:tcPr>
            <w:tcW w:w="2196" w:type="dxa"/>
            <w:shd w:val="clear" w:color="auto" w:fill="auto"/>
            <w:vAlign w:val="bottom"/>
          </w:tcPr>
          <w:p w14:paraId="09288111" w14:textId="77777777" w:rsidR="007C344D" w:rsidRPr="00DB6C99" w:rsidRDefault="007C344D" w:rsidP="007C344D">
            <w:pPr>
              <w:tabs>
                <w:tab w:val="decimal" w:pos="405"/>
              </w:tabs>
              <w:spacing w:after="0" w:line="240" w:lineRule="auto"/>
              <w:jc w:val="center"/>
              <w:rPr>
                <w:rFonts w:ascii="Garamond" w:hAnsi="Garamond"/>
                <w:sz w:val="20"/>
                <w:szCs w:val="20"/>
              </w:rPr>
            </w:pPr>
            <w:r w:rsidRPr="00DB6C99">
              <w:rPr>
                <w:rFonts w:ascii="Garamond" w:hAnsi="Garamond"/>
                <w:sz w:val="20"/>
                <w:szCs w:val="20"/>
              </w:rPr>
              <w:t>0.001</w:t>
            </w:r>
          </w:p>
        </w:tc>
      </w:tr>
      <w:tr w:rsidR="00DB6C99" w:rsidRPr="00DB6C99" w14:paraId="2161381A" w14:textId="77777777" w:rsidTr="007C344D">
        <w:trPr>
          <w:trHeight w:val="256"/>
          <w:jc w:val="center"/>
        </w:trPr>
        <w:tc>
          <w:tcPr>
            <w:tcW w:w="2323" w:type="dxa"/>
            <w:shd w:val="clear" w:color="auto" w:fill="auto"/>
            <w:vAlign w:val="center"/>
          </w:tcPr>
          <w:p w14:paraId="0ADA5B6B" w14:textId="77777777" w:rsidR="007C344D" w:rsidRPr="00DB6C99" w:rsidRDefault="007C344D" w:rsidP="007C344D">
            <w:pPr>
              <w:spacing w:after="0" w:line="240" w:lineRule="auto"/>
              <w:jc w:val="both"/>
              <w:rPr>
                <w:rFonts w:ascii="Garamond" w:hAnsi="Garamond"/>
                <w:sz w:val="20"/>
                <w:szCs w:val="20"/>
              </w:rPr>
            </w:pPr>
            <w:r w:rsidRPr="00DB6C99">
              <w:rPr>
                <w:rFonts w:ascii="Garamond" w:hAnsi="Garamond"/>
                <w:i/>
                <w:iCs/>
                <w:sz w:val="20"/>
                <w:szCs w:val="20"/>
                <w:lang w:val="en-GB"/>
              </w:rPr>
              <w:t>ROA</w:t>
            </w:r>
          </w:p>
        </w:tc>
        <w:tc>
          <w:tcPr>
            <w:tcW w:w="2445" w:type="dxa"/>
            <w:shd w:val="clear" w:color="auto" w:fill="auto"/>
            <w:vAlign w:val="bottom"/>
          </w:tcPr>
          <w:p w14:paraId="75F1E186" w14:textId="77777777" w:rsidR="007C344D" w:rsidRPr="00DB6C99" w:rsidRDefault="007C344D" w:rsidP="007C344D">
            <w:pPr>
              <w:tabs>
                <w:tab w:val="decimal" w:pos="340"/>
              </w:tabs>
              <w:spacing w:after="0" w:line="240" w:lineRule="auto"/>
              <w:jc w:val="center"/>
              <w:rPr>
                <w:rFonts w:ascii="Garamond" w:hAnsi="Garamond"/>
                <w:sz w:val="20"/>
                <w:szCs w:val="20"/>
              </w:rPr>
            </w:pPr>
            <w:r w:rsidRPr="00DB6C99">
              <w:rPr>
                <w:rFonts w:ascii="Garamond" w:hAnsi="Garamond"/>
                <w:sz w:val="20"/>
                <w:szCs w:val="20"/>
              </w:rPr>
              <w:t>0.052</w:t>
            </w:r>
          </w:p>
        </w:tc>
        <w:tc>
          <w:tcPr>
            <w:tcW w:w="2600" w:type="dxa"/>
            <w:shd w:val="clear" w:color="auto" w:fill="auto"/>
            <w:vAlign w:val="bottom"/>
          </w:tcPr>
          <w:p w14:paraId="5B65C0B9" w14:textId="77777777" w:rsidR="007C344D" w:rsidRPr="00DB6C99" w:rsidRDefault="007C344D" w:rsidP="007C344D">
            <w:pPr>
              <w:tabs>
                <w:tab w:val="decimal" w:pos="340"/>
              </w:tabs>
              <w:spacing w:after="0" w:line="240" w:lineRule="auto"/>
              <w:jc w:val="center"/>
              <w:rPr>
                <w:rFonts w:ascii="Garamond" w:hAnsi="Garamond"/>
                <w:sz w:val="20"/>
                <w:szCs w:val="20"/>
              </w:rPr>
            </w:pPr>
            <w:r w:rsidRPr="00DB6C99">
              <w:rPr>
                <w:rFonts w:ascii="Garamond" w:hAnsi="Garamond"/>
                <w:sz w:val="20"/>
                <w:szCs w:val="20"/>
              </w:rPr>
              <w:t>0.052</w:t>
            </w:r>
          </w:p>
        </w:tc>
        <w:tc>
          <w:tcPr>
            <w:tcW w:w="2196" w:type="dxa"/>
            <w:shd w:val="clear" w:color="auto" w:fill="auto"/>
            <w:vAlign w:val="bottom"/>
          </w:tcPr>
          <w:p w14:paraId="699F5A89" w14:textId="77777777" w:rsidR="007C344D" w:rsidRPr="00DB6C99" w:rsidRDefault="007C344D" w:rsidP="007C344D">
            <w:pPr>
              <w:tabs>
                <w:tab w:val="decimal" w:pos="405"/>
              </w:tabs>
              <w:spacing w:after="0" w:line="240" w:lineRule="auto"/>
              <w:jc w:val="center"/>
              <w:rPr>
                <w:rFonts w:ascii="Garamond" w:hAnsi="Garamond"/>
                <w:sz w:val="20"/>
                <w:szCs w:val="20"/>
              </w:rPr>
            </w:pPr>
            <w:r w:rsidRPr="00DB6C99">
              <w:rPr>
                <w:rFonts w:ascii="Garamond" w:hAnsi="Garamond"/>
                <w:sz w:val="20"/>
                <w:szCs w:val="20"/>
              </w:rPr>
              <w:t>0.000</w:t>
            </w:r>
          </w:p>
        </w:tc>
      </w:tr>
      <w:tr w:rsidR="00DB6C99" w:rsidRPr="00DB6C99" w14:paraId="3932F3DD" w14:textId="77777777" w:rsidTr="007C344D">
        <w:trPr>
          <w:trHeight w:val="256"/>
          <w:jc w:val="center"/>
        </w:trPr>
        <w:tc>
          <w:tcPr>
            <w:tcW w:w="2323" w:type="dxa"/>
            <w:shd w:val="clear" w:color="auto" w:fill="auto"/>
            <w:vAlign w:val="center"/>
          </w:tcPr>
          <w:p w14:paraId="29B1FA5D" w14:textId="77777777" w:rsidR="007C344D" w:rsidRPr="00DB6C99" w:rsidRDefault="007C344D" w:rsidP="007C344D">
            <w:pPr>
              <w:spacing w:after="0" w:line="240" w:lineRule="auto"/>
              <w:jc w:val="both"/>
              <w:rPr>
                <w:rFonts w:ascii="Garamond" w:hAnsi="Garamond"/>
                <w:sz w:val="20"/>
                <w:szCs w:val="20"/>
              </w:rPr>
            </w:pPr>
            <w:r w:rsidRPr="00DB6C99">
              <w:rPr>
                <w:rFonts w:ascii="Garamond" w:hAnsi="Garamond"/>
                <w:i/>
                <w:iCs/>
                <w:sz w:val="20"/>
                <w:szCs w:val="20"/>
                <w:lang w:val="en-GB"/>
              </w:rPr>
              <w:t>CI</w:t>
            </w:r>
          </w:p>
        </w:tc>
        <w:tc>
          <w:tcPr>
            <w:tcW w:w="2445" w:type="dxa"/>
            <w:shd w:val="clear" w:color="auto" w:fill="auto"/>
            <w:vAlign w:val="bottom"/>
          </w:tcPr>
          <w:p w14:paraId="2BDE8F1D" w14:textId="77777777" w:rsidR="007C344D" w:rsidRPr="00DB6C99" w:rsidRDefault="007C344D" w:rsidP="007C344D">
            <w:pPr>
              <w:tabs>
                <w:tab w:val="decimal" w:pos="340"/>
              </w:tabs>
              <w:spacing w:after="0" w:line="240" w:lineRule="auto"/>
              <w:jc w:val="center"/>
              <w:rPr>
                <w:rFonts w:ascii="Garamond" w:hAnsi="Garamond"/>
                <w:sz w:val="20"/>
                <w:szCs w:val="20"/>
              </w:rPr>
            </w:pPr>
            <w:r w:rsidRPr="00DB6C99">
              <w:rPr>
                <w:rFonts w:ascii="Garamond" w:hAnsi="Garamond"/>
                <w:sz w:val="20"/>
                <w:szCs w:val="20"/>
              </w:rPr>
              <w:t>1.826</w:t>
            </w:r>
          </w:p>
        </w:tc>
        <w:tc>
          <w:tcPr>
            <w:tcW w:w="2600" w:type="dxa"/>
            <w:shd w:val="clear" w:color="auto" w:fill="auto"/>
            <w:vAlign w:val="bottom"/>
          </w:tcPr>
          <w:p w14:paraId="14251066" w14:textId="77777777" w:rsidR="007C344D" w:rsidRPr="00DB6C99" w:rsidRDefault="007C344D" w:rsidP="007C344D">
            <w:pPr>
              <w:tabs>
                <w:tab w:val="decimal" w:pos="340"/>
              </w:tabs>
              <w:spacing w:after="0" w:line="240" w:lineRule="auto"/>
              <w:jc w:val="center"/>
              <w:rPr>
                <w:rFonts w:ascii="Garamond" w:hAnsi="Garamond"/>
                <w:sz w:val="20"/>
                <w:szCs w:val="20"/>
              </w:rPr>
            </w:pPr>
            <w:r w:rsidRPr="00DB6C99">
              <w:rPr>
                <w:rFonts w:ascii="Garamond" w:hAnsi="Garamond"/>
                <w:sz w:val="20"/>
                <w:szCs w:val="20"/>
              </w:rPr>
              <w:t>1.844</w:t>
            </w:r>
          </w:p>
        </w:tc>
        <w:tc>
          <w:tcPr>
            <w:tcW w:w="2196" w:type="dxa"/>
            <w:shd w:val="clear" w:color="auto" w:fill="auto"/>
            <w:vAlign w:val="bottom"/>
          </w:tcPr>
          <w:p w14:paraId="6CF2C9C1" w14:textId="77777777" w:rsidR="007C344D" w:rsidRPr="00DB6C99" w:rsidRDefault="007C344D" w:rsidP="007C344D">
            <w:pPr>
              <w:tabs>
                <w:tab w:val="decimal" w:pos="405"/>
              </w:tabs>
              <w:spacing w:after="0" w:line="240" w:lineRule="auto"/>
              <w:jc w:val="center"/>
              <w:rPr>
                <w:rFonts w:ascii="Garamond" w:hAnsi="Garamond"/>
                <w:sz w:val="20"/>
                <w:szCs w:val="20"/>
              </w:rPr>
            </w:pPr>
            <w:r w:rsidRPr="00DB6C99">
              <w:rPr>
                <w:rFonts w:ascii="Garamond" w:hAnsi="Garamond"/>
                <w:sz w:val="20"/>
                <w:szCs w:val="20"/>
              </w:rPr>
              <w:t>-0.018</w:t>
            </w:r>
          </w:p>
        </w:tc>
      </w:tr>
      <w:tr w:rsidR="00DB6C99" w:rsidRPr="00DB6C99" w14:paraId="7500932E" w14:textId="77777777" w:rsidTr="007C344D">
        <w:trPr>
          <w:trHeight w:val="256"/>
          <w:jc w:val="center"/>
        </w:trPr>
        <w:tc>
          <w:tcPr>
            <w:tcW w:w="2323" w:type="dxa"/>
            <w:shd w:val="clear" w:color="auto" w:fill="auto"/>
            <w:vAlign w:val="center"/>
          </w:tcPr>
          <w:p w14:paraId="72C23DC6" w14:textId="77777777" w:rsidR="007C344D" w:rsidRPr="00DB6C99" w:rsidRDefault="007C344D" w:rsidP="007C344D">
            <w:pPr>
              <w:spacing w:after="0" w:line="240" w:lineRule="auto"/>
              <w:jc w:val="both"/>
              <w:rPr>
                <w:rFonts w:ascii="Garamond" w:hAnsi="Garamond"/>
                <w:sz w:val="20"/>
                <w:szCs w:val="20"/>
              </w:rPr>
            </w:pPr>
            <w:r w:rsidRPr="00DB6C99">
              <w:rPr>
                <w:rFonts w:ascii="Garamond" w:hAnsi="Garamond"/>
                <w:i/>
                <w:iCs/>
                <w:sz w:val="20"/>
                <w:szCs w:val="20"/>
                <w:lang w:val="en-GB"/>
              </w:rPr>
              <w:t>R&amp;D</w:t>
            </w:r>
          </w:p>
        </w:tc>
        <w:tc>
          <w:tcPr>
            <w:tcW w:w="2445" w:type="dxa"/>
            <w:shd w:val="clear" w:color="auto" w:fill="auto"/>
            <w:vAlign w:val="bottom"/>
          </w:tcPr>
          <w:p w14:paraId="20C8C2A0" w14:textId="77777777" w:rsidR="007C344D" w:rsidRPr="00DB6C99" w:rsidRDefault="007C344D" w:rsidP="007C344D">
            <w:pPr>
              <w:tabs>
                <w:tab w:val="decimal" w:pos="340"/>
              </w:tabs>
              <w:spacing w:after="0" w:line="240" w:lineRule="auto"/>
              <w:jc w:val="center"/>
              <w:rPr>
                <w:rFonts w:ascii="Garamond" w:hAnsi="Garamond"/>
                <w:sz w:val="20"/>
                <w:szCs w:val="20"/>
              </w:rPr>
            </w:pPr>
            <w:r w:rsidRPr="00DB6C99">
              <w:rPr>
                <w:rFonts w:ascii="Garamond" w:hAnsi="Garamond"/>
                <w:sz w:val="20"/>
                <w:szCs w:val="20"/>
              </w:rPr>
              <w:t>0.047</w:t>
            </w:r>
          </w:p>
        </w:tc>
        <w:tc>
          <w:tcPr>
            <w:tcW w:w="2600" w:type="dxa"/>
            <w:shd w:val="clear" w:color="auto" w:fill="auto"/>
            <w:vAlign w:val="bottom"/>
          </w:tcPr>
          <w:p w14:paraId="50DF4AF7" w14:textId="77777777" w:rsidR="007C344D" w:rsidRPr="00DB6C99" w:rsidRDefault="007C344D" w:rsidP="007C344D">
            <w:pPr>
              <w:tabs>
                <w:tab w:val="decimal" w:pos="340"/>
              </w:tabs>
              <w:spacing w:after="0" w:line="240" w:lineRule="auto"/>
              <w:jc w:val="center"/>
              <w:rPr>
                <w:rFonts w:ascii="Garamond" w:hAnsi="Garamond"/>
                <w:sz w:val="20"/>
                <w:szCs w:val="20"/>
              </w:rPr>
            </w:pPr>
            <w:r w:rsidRPr="00DB6C99">
              <w:rPr>
                <w:rFonts w:ascii="Garamond" w:hAnsi="Garamond"/>
                <w:sz w:val="20"/>
                <w:szCs w:val="20"/>
              </w:rPr>
              <w:t>0.047</w:t>
            </w:r>
          </w:p>
        </w:tc>
        <w:tc>
          <w:tcPr>
            <w:tcW w:w="2196" w:type="dxa"/>
            <w:shd w:val="clear" w:color="auto" w:fill="auto"/>
            <w:vAlign w:val="bottom"/>
          </w:tcPr>
          <w:p w14:paraId="214BD394" w14:textId="77777777" w:rsidR="007C344D" w:rsidRPr="00DB6C99" w:rsidRDefault="007C344D" w:rsidP="007C344D">
            <w:pPr>
              <w:tabs>
                <w:tab w:val="decimal" w:pos="405"/>
              </w:tabs>
              <w:spacing w:after="0" w:line="240" w:lineRule="auto"/>
              <w:jc w:val="center"/>
              <w:rPr>
                <w:rFonts w:ascii="Garamond" w:hAnsi="Garamond"/>
                <w:sz w:val="20"/>
                <w:szCs w:val="20"/>
              </w:rPr>
            </w:pPr>
            <w:r w:rsidRPr="00DB6C99">
              <w:rPr>
                <w:rFonts w:ascii="Garamond" w:hAnsi="Garamond"/>
                <w:sz w:val="20"/>
                <w:szCs w:val="20"/>
              </w:rPr>
              <w:t>0.000</w:t>
            </w:r>
          </w:p>
        </w:tc>
      </w:tr>
      <w:tr w:rsidR="00DB6C99" w:rsidRPr="00DB6C99" w14:paraId="355DC6BF" w14:textId="77777777" w:rsidTr="007C344D">
        <w:trPr>
          <w:trHeight w:val="256"/>
          <w:jc w:val="center"/>
        </w:trPr>
        <w:tc>
          <w:tcPr>
            <w:tcW w:w="2323" w:type="dxa"/>
            <w:shd w:val="clear" w:color="auto" w:fill="auto"/>
            <w:vAlign w:val="center"/>
          </w:tcPr>
          <w:p w14:paraId="321B3151" w14:textId="77777777" w:rsidR="007C344D" w:rsidRPr="00DB6C99" w:rsidRDefault="007C344D" w:rsidP="007C344D">
            <w:pPr>
              <w:spacing w:after="0" w:line="240" w:lineRule="auto"/>
              <w:jc w:val="both"/>
              <w:rPr>
                <w:rFonts w:ascii="Garamond" w:hAnsi="Garamond"/>
                <w:sz w:val="20"/>
                <w:szCs w:val="20"/>
              </w:rPr>
            </w:pPr>
            <w:r w:rsidRPr="00DB6C99">
              <w:rPr>
                <w:rFonts w:ascii="Garamond" w:hAnsi="Garamond"/>
                <w:i/>
                <w:iCs/>
                <w:sz w:val="20"/>
                <w:szCs w:val="20"/>
                <w:lang w:val="en-GB"/>
              </w:rPr>
              <w:t>AFE</w:t>
            </w:r>
          </w:p>
        </w:tc>
        <w:tc>
          <w:tcPr>
            <w:tcW w:w="2445" w:type="dxa"/>
            <w:shd w:val="clear" w:color="auto" w:fill="auto"/>
            <w:vAlign w:val="bottom"/>
          </w:tcPr>
          <w:p w14:paraId="583FAF97" w14:textId="77777777" w:rsidR="007C344D" w:rsidRPr="00DB6C99" w:rsidRDefault="007C344D" w:rsidP="007C344D">
            <w:pPr>
              <w:tabs>
                <w:tab w:val="decimal" w:pos="340"/>
              </w:tabs>
              <w:spacing w:after="0" w:line="240" w:lineRule="auto"/>
              <w:jc w:val="center"/>
              <w:rPr>
                <w:rFonts w:ascii="Garamond" w:hAnsi="Garamond"/>
                <w:sz w:val="20"/>
                <w:szCs w:val="20"/>
              </w:rPr>
            </w:pPr>
            <w:r w:rsidRPr="00DB6C99">
              <w:rPr>
                <w:rFonts w:ascii="Garamond" w:hAnsi="Garamond"/>
                <w:sz w:val="20"/>
                <w:szCs w:val="20"/>
              </w:rPr>
              <w:t>1.238</w:t>
            </w:r>
          </w:p>
        </w:tc>
        <w:tc>
          <w:tcPr>
            <w:tcW w:w="2600" w:type="dxa"/>
            <w:shd w:val="clear" w:color="auto" w:fill="auto"/>
            <w:vAlign w:val="bottom"/>
          </w:tcPr>
          <w:p w14:paraId="1E40126B" w14:textId="77777777" w:rsidR="007C344D" w:rsidRPr="00DB6C99" w:rsidRDefault="007C344D" w:rsidP="007C344D">
            <w:pPr>
              <w:tabs>
                <w:tab w:val="decimal" w:pos="340"/>
              </w:tabs>
              <w:spacing w:after="0" w:line="240" w:lineRule="auto"/>
              <w:jc w:val="center"/>
              <w:rPr>
                <w:rFonts w:ascii="Garamond" w:hAnsi="Garamond"/>
                <w:sz w:val="20"/>
                <w:szCs w:val="20"/>
              </w:rPr>
            </w:pPr>
            <w:r w:rsidRPr="00DB6C99">
              <w:rPr>
                <w:rFonts w:ascii="Garamond" w:hAnsi="Garamond"/>
                <w:sz w:val="20"/>
                <w:szCs w:val="20"/>
              </w:rPr>
              <w:t>1.391</w:t>
            </w:r>
          </w:p>
        </w:tc>
        <w:tc>
          <w:tcPr>
            <w:tcW w:w="2196" w:type="dxa"/>
            <w:shd w:val="clear" w:color="auto" w:fill="auto"/>
            <w:vAlign w:val="bottom"/>
          </w:tcPr>
          <w:p w14:paraId="1B0F4F31" w14:textId="77777777" w:rsidR="007C344D" w:rsidRPr="00DB6C99" w:rsidRDefault="007C344D" w:rsidP="007C344D">
            <w:pPr>
              <w:tabs>
                <w:tab w:val="decimal" w:pos="405"/>
              </w:tabs>
              <w:spacing w:after="0" w:line="240" w:lineRule="auto"/>
              <w:jc w:val="center"/>
              <w:rPr>
                <w:rFonts w:ascii="Garamond" w:hAnsi="Garamond"/>
                <w:sz w:val="20"/>
                <w:szCs w:val="20"/>
              </w:rPr>
            </w:pPr>
            <w:r w:rsidRPr="00DB6C99">
              <w:rPr>
                <w:rFonts w:ascii="Garamond" w:hAnsi="Garamond"/>
                <w:sz w:val="20"/>
                <w:szCs w:val="20"/>
              </w:rPr>
              <w:t>-0.153</w:t>
            </w:r>
          </w:p>
        </w:tc>
      </w:tr>
      <w:tr w:rsidR="00DB6C99" w:rsidRPr="00DB6C99" w14:paraId="6D49A908" w14:textId="77777777" w:rsidTr="007C344D">
        <w:trPr>
          <w:trHeight w:val="256"/>
          <w:jc w:val="center"/>
        </w:trPr>
        <w:tc>
          <w:tcPr>
            <w:tcW w:w="2323" w:type="dxa"/>
            <w:shd w:val="clear" w:color="auto" w:fill="auto"/>
            <w:vAlign w:val="center"/>
          </w:tcPr>
          <w:p w14:paraId="699E4CD9" w14:textId="77777777" w:rsidR="007C344D" w:rsidRPr="00DB6C99" w:rsidRDefault="007C344D" w:rsidP="007C344D">
            <w:pPr>
              <w:spacing w:after="0" w:line="240" w:lineRule="auto"/>
              <w:jc w:val="both"/>
              <w:rPr>
                <w:rFonts w:ascii="Garamond" w:hAnsi="Garamond"/>
                <w:sz w:val="20"/>
                <w:szCs w:val="20"/>
              </w:rPr>
            </w:pPr>
            <w:r w:rsidRPr="00DB6C99">
              <w:rPr>
                <w:rFonts w:ascii="Garamond" w:hAnsi="Garamond"/>
                <w:i/>
                <w:iCs/>
                <w:sz w:val="20"/>
                <w:szCs w:val="20"/>
                <w:lang w:val="en-GB"/>
              </w:rPr>
              <w:t>SLACK</w:t>
            </w:r>
          </w:p>
        </w:tc>
        <w:tc>
          <w:tcPr>
            <w:tcW w:w="2445" w:type="dxa"/>
            <w:shd w:val="clear" w:color="auto" w:fill="auto"/>
            <w:vAlign w:val="bottom"/>
          </w:tcPr>
          <w:p w14:paraId="78F71B43" w14:textId="77777777" w:rsidR="007C344D" w:rsidRPr="00DB6C99" w:rsidRDefault="007C344D" w:rsidP="007C344D">
            <w:pPr>
              <w:tabs>
                <w:tab w:val="decimal" w:pos="340"/>
              </w:tabs>
              <w:spacing w:after="0" w:line="240" w:lineRule="auto"/>
              <w:jc w:val="center"/>
              <w:rPr>
                <w:rFonts w:ascii="Garamond" w:hAnsi="Garamond"/>
                <w:sz w:val="20"/>
                <w:szCs w:val="20"/>
              </w:rPr>
            </w:pPr>
            <w:r w:rsidRPr="00DB6C99">
              <w:rPr>
                <w:rFonts w:ascii="Garamond" w:hAnsi="Garamond"/>
                <w:sz w:val="20"/>
                <w:szCs w:val="20"/>
              </w:rPr>
              <w:t>0.933</w:t>
            </w:r>
          </w:p>
        </w:tc>
        <w:tc>
          <w:tcPr>
            <w:tcW w:w="2600" w:type="dxa"/>
            <w:shd w:val="clear" w:color="auto" w:fill="auto"/>
            <w:vAlign w:val="bottom"/>
          </w:tcPr>
          <w:p w14:paraId="3ADDD1E6" w14:textId="77777777" w:rsidR="007C344D" w:rsidRPr="00DB6C99" w:rsidRDefault="007C344D" w:rsidP="007C344D">
            <w:pPr>
              <w:tabs>
                <w:tab w:val="decimal" w:pos="340"/>
              </w:tabs>
              <w:spacing w:after="0" w:line="240" w:lineRule="auto"/>
              <w:jc w:val="center"/>
              <w:rPr>
                <w:rFonts w:ascii="Garamond" w:hAnsi="Garamond"/>
                <w:sz w:val="20"/>
                <w:szCs w:val="20"/>
              </w:rPr>
            </w:pPr>
            <w:r w:rsidRPr="00DB6C99">
              <w:rPr>
                <w:rFonts w:ascii="Garamond" w:hAnsi="Garamond"/>
                <w:sz w:val="20"/>
                <w:szCs w:val="20"/>
              </w:rPr>
              <w:t>0.935</w:t>
            </w:r>
          </w:p>
        </w:tc>
        <w:tc>
          <w:tcPr>
            <w:tcW w:w="2196" w:type="dxa"/>
            <w:shd w:val="clear" w:color="auto" w:fill="auto"/>
            <w:vAlign w:val="bottom"/>
          </w:tcPr>
          <w:p w14:paraId="6ACA486F" w14:textId="77777777" w:rsidR="007C344D" w:rsidRPr="00DB6C99" w:rsidRDefault="007C344D" w:rsidP="007C344D">
            <w:pPr>
              <w:tabs>
                <w:tab w:val="decimal" w:pos="405"/>
              </w:tabs>
              <w:spacing w:after="0" w:line="240" w:lineRule="auto"/>
              <w:jc w:val="center"/>
              <w:rPr>
                <w:rFonts w:ascii="Garamond" w:hAnsi="Garamond"/>
                <w:sz w:val="20"/>
                <w:szCs w:val="20"/>
              </w:rPr>
            </w:pPr>
            <w:r w:rsidRPr="00DB6C99">
              <w:rPr>
                <w:rFonts w:ascii="Garamond" w:hAnsi="Garamond"/>
                <w:sz w:val="20"/>
                <w:szCs w:val="20"/>
              </w:rPr>
              <w:t>-0.002</w:t>
            </w:r>
          </w:p>
        </w:tc>
      </w:tr>
      <w:tr w:rsidR="00DB6C99" w:rsidRPr="00DB6C99" w14:paraId="42E71502" w14:textId="77777777" w:rsidTr="007C344D">
        <w:trPr>
          <w:trHeight w:val="256"/>
          <w:jc w:val="center"/>
        </w:trPr>
        <w:tc>
          <w:tcPr>
            <w:tcW w:w="2323" w:type="dxa"/>
            <w:shd w:val="clear" w:color="auto" w:fill="auto"/>
            <w:vAlign w:val="center"/>
          </w:tcPr>
          <w:p w14:paraId="3DE68886" w14:textId="77777777" w:rsidR="007C344D" w:rsidRPr="00DB6C99" w:rsidRDefault="007C344D" w:rsidP="007C344D">
            <w:pPr>
              <w:spacing w:after="0" w:line="240" w:lineRule="auto"/>
              <w:jc w:val="both"/>
              <w:rPr>
                <w:rFonts w:ascii="Garamond" w:hAnsi="Garamond"/>
                <w:i/>
                <w:iCs/>
                <w:sz w:val="20"/>
                <w:szCs w:val="20"/>
                <w:lang w:val="en-GB"/>
              </w:rPr>
            </w:pPr>
            <w:r w:rsidRPr="00DB6C99">
              <w:rPr>
                <w:rFonts w:ascii="Garamond" w:hAnsi="Garamond"/>
                <w:i/>
                <w:iCs/>
                <w:sz w:val="20"/>
                <w:szCs w:val="20"/>
                <w:lang w:val="en-GB"/>
              </w:rPr>
              <w:t>COD</w:t>
            </w:r>
          </w:p>
        </w:tc>
        <w:tc>
          <w:tcPr>
            <w:tcW w:w="2445" w:type="dxa"/>
            <w:shd w:val="clear" w:color="auto" w:fill="auto"/>
            <w:vAlign w:val="center"/>
          </w:tcPr>
          <w:p w14:paraId="501056D1" w14:textId="77777777" w:rsidR="007C344D" w:rsidRPr="00DB6C99" w:rsidRDefault="007C344D" w:rsidP="007C344D">
            <w:pPr>
              <w:tabs>
                <w:tab w:val="decimal" w:pos="340"/>
              </w:tabs>
              <w:spacing w:after="0" w:line="240" w:lineRule="auto"/>
              <w:jc w:val="center"/>
              <w:rPr>
                <w:rFonts w:ascii="Garamond" w:hAnsi="Garamond"/>
                <w:sz w:val="20"/>
                <w:szCs w:val="20"/>
              </w:rPr>
            </w:pPr>
            <w:r w:rsidRPr="00DB6C99">
              <w:rPr>
                <w:rFonts w:ascii="Garamond" w:hAnsi="Garamond"/>
                <w:sz w:val="20"/>
                <w:szCs w:val="20"/>
              </w:rPr>
              <w:t>0.072</w:t>
            </w:r>
          </w:p>
        </w:tc>
        <w:tc>
          <w:tcPr>
            <w:tcW w:w="2600" w:type="dxa"/>
            <w:shd w:val="clear" w:color="auto" w:fill="auto"/>
            <w:vAlign w:val="center"/>
          </w:tcPr>
          <w:p w14:paraId="1DDF7D79" w14:textId="77777777" w:rsidR="007C344D" w:rsidRPr="00DB6C99" w:rsidRDefault="007C344D" w:rsidP="007C344D">
            <w:pPr>
              <w:tabs>
                <w:tab w:val="decimal" w:pos="340"/>
              </w:tabs>
              <w:spacing w:after="0" w:line="240" w:lineRule="auto"/>
              <w:jc w:val="center"/>
              <w:rPr>
                <w:rFonts w:ascii="Garamond" w:hAnsi="Garamond"/>
                <w:sz w:val="20"/>
                <w:szCs w:val="20"/>
              </w:rPr>
            </w:pPr>
            <w:r w:rsidRPr="00DB6C99">
              <w:rPr>
                <w:rFonts w:ascii="Garamond" w:hAnsi="Garamond"/>
                <w:sz w:val="20"/>
                <w:szCs w:val="20"/>
              </w:rPr>
              <w:t>0.072</w:t>
            </w:r>
          </w:p>
        </w:tc>
        <w:tc>
          <w:tcPr>
            <w:tcW w:w="2196" w:type="dxa"/>
            <w:shd w:val="clear" w:color="auto" w:fill="auto"/>
            <w:vAlign w:val="center"/>
          </w:tcPr>
          <w:p w14:paraId="21DD53DD" w14:textId="77777777" w:rsidR="007C344D" w:rsidRPr="00DB6C99" w:rsidRDefault="007C344D" w:rsidP="007C344D">
            <w:pPr>
              <w:tabs>
                <w:tab w:val="decimal" w:pos="405"/>
              </w:tabs>
              <w:spacing w:after="0" w:line="240" w:lineRule="auto"/>
              <w:jc w:val="center"/>
              <w:rPr>
                <w:rFonts w:ascii="Garamond" w:hAnsi="Garamond"/>
                <w:sz w:val="20"/>
                <w:szCs w:val="20"/>
              </w:rPr>
            </w:pPr>
            <w:r w:rsidRPr="00DB6C99">
              <w:rPr>
                <w:rFonts w:ascii="Garamond" w:hAnsi="Garamond"/>
                <w:sz w:val="20"/>
                <w:szCs w:val="20"/>
              </w:rPr>
              <w:t>0.000</w:t>
            </w:r>
          </w:p>
        </w:tc>
      </w:tr>
      <w:tr w:rsidR="00DB6C99" w:rsidRPr="00DB6C99" w14:paraId="2201FD43" w14:textId="77777777" w:rsidTr="007C344D">
        <w:trPr>
          <w:trHeight w:val="256"/>
          <w:jc w:val="center"/>
        </w:trPr>
        <w:tc>
          <w:tcPr>
            <w:tcW w:w="2323" w:type="dxa"/>
            <w:shd w:val="clear" w:color="auto" w:fill="auto"/>
            <w:vAlign w:val="center"/>
          </w:tcPr>
          <w:p w14:paraId="361DD1C2" w14:textId="77777777" w:rsidR="007C344D" w:rsidRPr="00DB6C99" w:rsidRDefault="007C344D" w:rsidP="007C344D">
            <w:pPr>
              <w:spacing w:after="0" w:line="240" w:lineRule="auto"/>
              <w:jc w:val="both"/>
              <w:rPr>
                <w:rFonts w:ascii="Garamond" w:hAnsi="Garamond"/>
                <w:sz w:val="20"/>
                <w:szCs w:val="20"/>
              </w:rPr>
            </w:pPr>
            <w:r w:rsidRPr="00DB6C99">
              <w:rPr>
                <w:rFonts w:ascii="Garamond" w:hAnsi="Garamond"/>
                <w:i/>
                <w:iCs/>
                <w:sz w:val="20"/>
                <w:szCs w:val="20"/>
                <w:lang w:val="en-GB"/>
              </w:rPr>
              <w:t>INST</w:t>
            </w:r>
          </w:p>
        </w:tc>
        <w:tc>
          <w:tcPr>
            <w:tcW w:w="2445" w:type="dxa"/>
            <w:shd w:val="clear" w:color="auto" w:fill="auto"/>
            <w:vAlign w:val="bottom"/>
          </w:tcPr>
          <w:p w14:paraId="3104C5C3" w14:textId="77777777" w:rsidR="007C344D" w:rsidRPr="00DB6C99" w:rsidRDefault="007C344D" w:rsidP="007C344D">
            <w:pPr>
              <w:tabs>
                <w:tab w:val="decimal" w:pos="340"/>
              </w:tabs>
              <w:spacing w:after="0" w:line="240" w:lineRule="auto"/>
              <w:jc w:val="center"/>
              <w:rPr>
                <w:rFonts w:ascii="Garamond" w:hAnsi="Garamond"/>
                <w:sz w:val="20"/>
                <w:szCs w:val="20"/>
              </w:rPr>
            </w:pPr>
            <w:r w:rsidRPr="00DB6C99">
              <w:rPr>
                <w:rFonts w:ascii="Garamond" w:hAnsi="Garamond"/>
                <w:sz w:val="20"/>
                <w:szCs w:val="20"/>
              </w:rPr>
              <w:t>0.743</w:t>
            </w:r>
          </w:p>
        </w:tc>
        <w:tc>
          <w:tcPr>
            <w:tcW w:w="2600" w:type="dxa"/>
            <w:shd w:val="clear" w:color="auto" w:fill="auto"/>
            <w:vAlign w:val="bottom"/>
          </w:tcPr>
          <w:p w14:paraId="1F238BDB" w14:textId="77777777" w:rsidR="007C344D" w:rsidRPr="00DB6C99" w:rsidRDefault="007C344D" w:rsidP="007C344D">
            <w:pPr>
              <w:tabs>
                <w:tab w:val="decimal" w:pos="340"/>
              </w:tabs>
              <w:spacing w:after="0" w:line="240" w:lineRule="auto"/>
              <w:jc w:val="center"/>
              <w:rPr>
                <w:rFonts w:ascii="Garamond" w:hAnsi="Garamond"/>
                <w:sz w:val="20"/>
                <w:szCs w:val="20"/>
              </w:rPr>
            </w:pPr>
            <w:r w:rsidRPr="00DB6C99">
              <w:rPr>
                <w:rFonts w:ascii="Garamond" w:hAnsi="Garamond"/>
                <w:sz w:val="20"/>
                <w:szCs w:val="20"/>
              </w:rPr>
              <w:t>0.733</w:t>
            </w:r>
          </w:p>
        </w:tc>
        <w:tc>
          <w:tcPr>
            <w:tcW w:w="2196" w:type="dxa"/>
            <w:shd w:val="clear" w:color="auto" w:fill="auto"/>
            <w:vAlign w:val="bottom"/>
          </w:tcPr>
          <w:p w14:paraId="31B90502" w14:textId="77777777" w:rsidR="007C344D" w:rsidRPr="00DB6C99" w:rsidRDefault="007C344D" w:rsidP="007C344D">
            <w:pPr>
              <w:tabs>
                <w:tab w:val="decimal" w:pos="405"/>
              </w:tabs>
              <w:spacing w:after="0" w:line="240" w:lineRule="auto"/>
              <w:jc w:val="center"/>
              <w:rPr>
                <w:rFonts w:ascii="Garamond" w:hAnsi="Garamond"/>
                <w:sz w:val="20"/>
                <w:szCs w:val="20"/>
              </w:rPr>
            </w:pPr>
            <w:r w:rsidRPr="00DB6C99">
              <w:rPr>
                <w:rFonts w:ascii="Garamond" w:hAnsi="Garamond"/>
                <w:sz w:val="20"/>
                <w:szCs w:val="20"/>
              </w:rPr>
              <w:t>0.010</w:t>
            </w:r>
          </w:p>
        </w:tc>
      </w:tr>
      <w:tr w:rsidR="00DB6C99" w:rsidRPr="00DB6C99" w14:paraId="5EE67F22" w14:textId="77777777" w:rsidTr="007C344D">
        <w:trPr>
          <w:trHeight w:val="256"/>
          <w:jc w:val="center"/>
        </w:trPr>
        <w:tc>
          <w:tcPr>
            <w:tcW w:w="2323" w:type="dxa"/>
            <w:shd w:val="clear" w:color="auto" w:fill="auto"/>
            <w:vAlign w:val="center"/>
          </w:tcPr>
          <w:p w14:paraId="415DBD85" w14:textId="77777777" w:rsidR="007C344D" w:rsidRPr="00DB6C99" w:rsidRDefault="007C344D" w:rsidP="007C344D">
            <w:pPr>
              <w:spacing w:after="0" w:line="240" w:lineRule="auto"/>
              <w:jc w:val="both"/>
              <w:rPr>
                <w:rFonts w:ascii="Garamond" w:hAnsi="Garamond"/>
                <w:sz w:val="20"/>
                <w:szCs w:val="20"/>
              </w:rPr>
            </w:pPr>
            <w:r w:rsidRPr="00DB6C99">
              <w:rPr>
                <w:rFonts w:ascii="Garamond" w:hAnsi="Garamond"/>
                <w:i/>
                <w:iCs/>
                <w:sz w:val="20"/>
                <w:szCs w:val="20"/>
                <w:lang w:val="en-GB"/>
              </w:rPr>
              <w:t>STATE</w:t>
            </w:r>
          </w:p>
        </w:tc>
        <w:tc>
          <w:tcPr>
            <w:tcW w:w="2445" w:type="dxa"/>
            <w:shd w:val="clear" w:color="auto" w:fill="auto"/>
            <w:vAlign w:val="bottom"/>
          </w:tcPr>
          <w:p w14:paraId="443C6A69" w14:textId="77777777" w:rsidR="007C344D" w:rsidRPr="00DB6C99" w:rsidRDefault="007C344D" w:rsidP="007C344D">
            <w:pPr>
              <w:tabs>
                <w:tab w:val="decimal" w:pos="340"/>
              </w:tabs>
              <w:spacing w:after="0" w:line="240" w:lineRule="auto"/>
              <w:jc w:val="center"/>
              <w:rPr>
                <w:rFonts w:ascii="Garamond" w:hAnsi="Garamond"/>
                <w:sz w:val="20"/>
                <w:szCs w:val="20"/>
              </w:rPr>
            </w:pPr>
            <w:r w:rsidRPr="00DB6C99">
              <w:rPr>
                <w:rFonts w:ascii="Garamond" w:hAnsi="Garamond"/>
                <w:sz w:val="20"/>
                <w:szCs w:val="20"/>
              </w:rPr>
              <w:t>0.005</w:t>
            </w:r>
          </w:p>
        </w:tc>
        <w:tc>
          <w:tcPr>
            <w:tcW w:w="2600" w:type="dxa"/>
            <w:shd w:val="clear" w:color="auto" w:fill="auto"/>
            <w:vAlign w:val="bottom"/>
          </w:tcPr>
          <w:p w14:paraId="5CCB28D7" w14:textId="77777777" w:rsidR="007C344D" w:rsidRPr="00DB6C99" w:rsidRDefault="007C344D" w:rsidP="007C344D">
            <w:pPr>
              <w:tabs>
                <w:tab w:val="decimal" w:pos="340"/>
              </w:tabs>
              <w:spacing w:after="0" w:line="240" w:lineRule="auto"/>
              <w:jc w:val="center"/>
              <w:rPr>
                <w:rFonts w:ascii="Garamond" w:hAnsi="Garamond"/>
                <w:sz w:val="20"/>
                <w:szCs w:val="20"/>
              </w:rPr>
            </w:pPr>
            <w:r w:rsidRPr="00DB6C99">
              <w:rPr>
                <w:rFonts w:ascii="Garamond" w:hAnsi="Garamond"/>
                <w:sz w:val="20"/>
                <w:szCs w:val="20"/>
              </w:rPr>
              <w:t>0.005</w:t>
            </w:r>
          </w:p>
        </w:tc>
        <w:tc>
          <w:tcPr>
            <w:tcW w:w="2196" w:type="dxa"/>
            <w:shd w:val="clear" w:color="auto" w:fill="auto"/>
            <w:vAlign w:val="bottom"/>
          </w:tcPr>
          <w:p w14:paraId="78EAB31E" w14:textId="77777777" w:rsidR="007C344D" w:rsidRPr="00DB6C99" w:rsidRDefault="007C344D" w:rsidP="007C344D">
            <w:pPr>
              <w:tabs>
                <w:tab w:val="decimal" w:pos="405"/>
              </w:tabs>
              <w:spacing w:after="0" w:line="240" w:lineRule="auto"/>
              <w:jc w:val="center"/>
              <w:rPr>
                <w:rFonts w:ascii="Garamond" w:hAnsi="Garamond"/>
                <w:sz w:val="20"/>
                <w:szCs w:val="20"/>
              </w:rPr>
            </w:pPr>
            <w:r w:rsidRPr="00DB6C99">
              <w:rPr>
                <w:rFonts w:ascii="Garamond" w:hAnsi="Garamond"/>
                <w:sz w:val="20"/>
                <w:szCs w:val="20"/>
              </w:rPr>
              <w:t>0.000</w:t>
            </w:r>
          </w:p>
        </w:tc>
      </w:tr>
      <w:tr w:rsidR="00DB6C99" w:rsidRPr="00DB6C99" w14:paraId="03089385" w14:textId="77777777" w:rsidTr="007C344D">
        <w:trPr>
          <w:trHeight w:val="256"/>
          <w:jc w:val="center"/>
        </w:trPr>
        <w:tc>
          <w:tcPr>
            <w:tcW w:w="2323" w:type="dxa"/>
            <w:shd w:val="clear" w:color="auto" w:fill="auto"/>
            <w:vAlign w:val="center"/>
          </w:tcPr>
          <w:p w14:paraId="4BA8114B" w14:textId="77777777" w:rsidR="007C344D" w:rsidRPr="00DB6C99" w:rsidRDefault="007C344D" w:rsidP="007C344D">
            <w:pPr>
              <w:spacing w:after="0" w:line="240" w:lineRule="auto"/>
              <w:jc w:val="both"/>
              <w:rPr>
                <w:rFonts w:ascii="Garamond" w:hAnsi="Garamond"/>
                <w:i/>
                <w:iCs/>
                <w:sz w:val="20"/>
                <w:szCs w:val="20"/>
                <w:lang w:val="en-GB"/>
              </w:rPr>
            </w:pPr>
            <w:r w:rsidRPr="00DB6C99">
              <w:rPr>
                <w:rFonts w:ascii="Garamond" w:hAnsi="Garamond"/>
                <w:i/>
                <w:iCs/>
                <w:sz w:val="20"/>
                <w:szCs w:val="20"/>
                <w:lang w:val="en-GB"/>
              </w:rPr>
              <w:t>SIZE</w:t>
            </w:r>
          </w:p>
        </w:tc>
        <w:tc>
          <w:tcPr>
            <w:tcW w:w="2445" w:type="dxa"/>
            <w:shd w:val="clear" w:color="auto" w:fill="auto"/>
            <w:vAlign w:val="bottom"/>
          </w:tcPr>
          <w:p w14:paraId="09AC5134" w14:textId="77777777" w:rsidR="007C344D" w:rsidRPr="00DB6C99" w:rsidRDefault="007C344D" w:rsidP="007C344D">
            <w:pPr>
              <w:tabs>
                <w:tab w:val="decimal" w:pos="340"/>
              </w:tabs>
              <w:spacing w:after="0" w:line="240" w:lineRule="auto"/>
              <w:jc w:val="center"/>
              <w:rPr>
                <w:rFonts w:ascii="Garamond" w:hAnsi="Garamond"/>
                <w:sz w:val="20"/>
                <w:szCs w:val="20"/>
              </w:rPr>
            </w:pPr>
            <w:r w:rsidRPr="00DB6C99">
              <w:rPr>
                <w:rFonts w:ascii="Garamond" w:hAnsi="Garamond"/>
                <w:sz w:val="20"/>
                <w:szCs w:val="20"/>
              </w:rPr>
              <w:t>15.318</w:t>
            </w:r>
          </w:p>
        </w:tc>
        <w:tc>
          <w:tcPr>
            <w:tcW w:w="2600" w:type="dxa"/>
            <w:shd w:val="clear" w:color="auto" w:fill="auto"/>
            <w:vAlign w:val="bottom"/>
          </w:tcPr>
          <w:p w14:paraId="32B3DB08" w14:textId="77777777" w:rsidR="007C344D" w:rsidRPr="00DB6C99" w:rsidRDefault="007C344D" w:rsidP="007C344D">
            <w:pPr>
              <w:tabs>
                <w:tab w:val="decimal" w:pos="340"/>
              </w:tabs>
              <w:spacing w:after="0" w:line="240" w:lineRule="auto"/>
              <w:jc w:val="center"/>
              <w:rPr>
                <w:rFonts w:ascii="Garamond" w:hAnsi="Garamond"/>
                <w:sz w:val="20"/>
                <w:szCs w:val="20"/>
              </w:rPr>
            </w:pPr>
            <w:r w:rsidRPr="00DB6C99">
              <w:rPr>
                <w:rFonts w:ascii="Garamond" w:hAnsi="Garamond"/>
                <w:sz w:val="20"/>
                <w:szCs w:val="20"/>
              </w:rPr>
              <w:t>15.349</w:t>
            </w:r>
          </w:p>
        </w:tc>
        <w:tc>
          <w:tcPr>
            <w:tcW w:w="2196" w:type="dxa"/>
            <w:shd w:val="clear" w:color="auto" w:fill="auto"/>
            <w:vAlign w:val="bottom"/>
          </w:tcPr>
          <w:p w14:paraId="38E6A304" w14:textId="77777777" w:rsidR="007C344D" w:rsidRPr="00DB6C99" w:rsidRDefault="007C344D" w:rsidP="007C344D">
            <w:pPr>
              <w:tabs>
                <w:tab w:val="decimal" w:pos="405"/>
              </w:tabs>
              <w:spacing w:after="0" w:line="240" w:lineRule="auto"/>
              <w:jc w:val="center"/>
              <w:rPr>
                <w:rFonts w:ascii="Garamond" w:hAnsi="Garamond"/>
                <w:sz w:val="20"/>
                <w:szCs w:val="20"/>
              </w:rPr>
            </w:pPr>
            <w:r w:rsidRPr="00DB6C99">
              <w:rPr>
                <w:rFonts w:ascii="Garamond" w:hAnsi="Garamond"/>
                <w:sz w:val="20"/>
                <w:szCs w:val="20"/>
              </w:rPr>
              <w:t>-0.031</w:t>
            </w:r>
          </w:p>
        </w:tc>
      </w:tr>
    </w:tbl>
    <w:p w14:paraId="7B0FF83B" w14:textId="77777777" w:rsidR="007C344D" w:rsidRPr="00DB6C99" w:rsidRDefault="007C344D" w:rsidP="007C344D">
      <w:pPr>
        <w:widowControl w:val="0"/>
        <w:kinsoku w:val="0"/>
        <w:overflowPunct w:val="0"/>
        <w:autoSpaceDE w:val="0"/>
        <w:autoSpaceDN w:val="0"/>
        <w:adjustRightInd w:val="0"/>
        <w:spacing w:after="0" w:line="240" w:lineRule="auto"/>
        <w:jc w:val="both"/>
        <w:rPr>
          <w:rFonts w:ascii="Garamond" w:hAnsi="Garamond"/>
          <w:sz w:val="20"/>
          <w:szCs w:val="20"/>
        </w:rPr>
      </w:pPr>
      <w:r w:rsidRPr="00DB6C99">
        <w:rPr>
          <w:rFonts w:ascii="Garamond" w:hAnsi="Garamond"/>
          <w:b/>
          <w:bCs/>
          <w:sz w:val="20"/>
          <w:szCs w:val="20"/>
        </w:rPr>
        <w:t xml:space="preserve">Note: </w:t>
      </w:r>
      <w:r w:rsidRPr="00DB6C99">
        <w:rPr>
          <w:rFonts w:ascii="Garamond" w:hAnsi="Garamond"/>
          <w:sz w:val="20"/>
          <w:szCs w:val="20"/>
        </w:rPr>
        <w:t xml:space="preserve">This table presents the </w:t>
      </w:r>
      <w:r w:rsidRPr="00DB6C99">
        <w:rPr>
          <w:rFonts w:ascii="Garamond" w:hAnsi="Garamond"/>
          <w:bCs/>
          <w:sz w:val="20"/>
          <w:szCs w:val="20"/>
        </w:rPr>
        <w:t xml:space="preserve">mean differences </w:t>
      </w:r>
      <w:r w:rsidRPr="00DB6C99">
        <w:rPr>
          <w:rFonts w:ascii="Garamond" w:hAnsi="Garamond"/>
          <w:sz w:val="20"/>
          <w:szCs w:val="20"/>
        </w:rPr>
        <w:t xml:space="preserve">in firm-level variables for the treatment and group based on the original and propensity score-matched samples. </w:t>
      </w:r>
    </w:p>
    <w:p w14:paraId="2EB2E201" w14:textId="77777777" w:rsidR="007C344D" w:rsidRPr="00DB6C99" w:rsidRDefault="007C344D" w:rsidP="007C344D">
      <w:pPr>
        <w:widowControl w:val="0"/>
        <w:kinsoku w:val="0"/>
        <w:overflowPunct w:val="0"/>
        <w:autoSpaceDE w:val="0"/>
        <w:autoSpaceDN w:val="0"/>
        <w:adjustRightInd w:val="0"/>
        <w:spacing w:after="0" w:line="240" w:lineRule="auto"/>
        <w:jc w:val="both"/>
        <w:rPr>
          <w:rFonts w:ascii="Garamond" w:hAnsi="Garamond"/>
          <w:sz w:val="20"/>
          <w:szCs w:val="20"/>
        </w:rPr>
      </w:pPr>
      <w:r w:rsidRPr="00DB6C99">
        <w:rPr>
          <w:rFonts w:ascii="Garamond" w:hAnsi="Garamond"/>
          <w:sz w:val="20"/>
          <w:szCs w:val="20"/>
        </w:rPr>
        <w:t xml:space="preserve">*,**, *** denote statistical significance at the 1%, 5%, and 10% levels, respectively. </w:t>
      </w:r>
    </w:p>
    <w:p w14:paraId="1F95006E" w14:textId="77777777" w:rsidR="007C344D" w:rsidRPr="00DB6C99" w:rsidRDefault="007C344D" w:rsidP="007C344D">
      <w:pPr>
        <w:widowControl w:val="0"/>
        <w:kinsoku w:val="0"/>
        <w:overflowPunct w:val="0"/>
        <w:autoSpaceDE w:val="0"/>
        <w:autoSpaceDN w:val="0"/>
        <w:adjustRightInd w:val="0"/>
        <w:spacing w:after="0" w:line="240" w:lineRule="auto"/>
        <w:jc w:val="both"/>
        <w:rPr>
          <w:rFonts w:ascii="Garamond" w:hAnsi="Garamond"/>
          <w:sz w:val="20"/>
          <w:szCs w:val="20"/>
        </w:rPr>
      </w:pPr>
      <w:r w:rsidRPr="00DB6C99">
        <w:rPr>
          <w:rFonts w:ascii="Garamond" w:hAnsi="Garamond"/>
          <w:sz w:val="20"/>
          <w:szCs w:val="20"/>
        </w:rPr>
        <w:t>All variables are defined in Table 1.</w:t>
      </w:r>
    </w:p>
    <w:p w14:paraId="323E3B0D" w14:textId="77777777" w:rsidR="007C344D" w:rsidRPr="00DB6C99" w:rsidRDefault="007C344D" w:rsidP="007C344D">
      <w:pPr>
        <w:widowControl w:val="0"/>
        <w:kinsoku w:val="0"/>
        <w:overflowPunct w:val="0"/>
        <w:autoSpaceDE w:val="0"/>
        <w:autoSpaceDN w:val="0"/>
        <w:adjustRightInd w:val="0"/>
        <w:spacing w:after="0" w:line="240" w:lineRule="auto"/>
        <w:ind w:left="180" w:right="90"/>
        <w:jc w:val="both"/>
        <w:rPr>
          <w:rFonts w:ascii="Garamond" w:hAnsi="Garamond"/>
          <w:sz w:val="20"/>
          <w:szCs w:val="20"/>
        </w:rPr>
      </w:pPr>
    </w:p>
    <w:p w14:paraId="7922DAF7" w14:textId="417A699D" w:rsidR="001B7C96" w:rsidRPr="00DB6C99" w:rsidRDefault="001B7C96" w:rsidP="007C344D">
      <w:pPr>
        <w:pStyle w:val="NoSpacing"/>
        <w:spacing w:before="100" w:beforeAutospacing="1"/>
        <w:ind w:left="540" w:hanging="540"/>
        <w:jc w:val="both"/>
        <w:rPr>
          <w:rFonts w:ascii="Garamond" w:hAnsi="Garamond" w:cs="Times New Roman"/>
          <w:sz w:val="24"/>
          <w:szCs w:val="24"/>
        </w:rPr>
      </w:pPr>
    </w:p>
    <w:sectPr w:rsidR="001B7C96" w:rsidRPr="00DB6C99" w:rsidSect="007C344D">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F11CB" w14:textId="77777777" w:rsidR="004B0626" w:rsidRDefault="004B0626" w:rsidP="00221462">
      <w:pPr>
        <w:spacing w:after="0" w:line="240" w:lineRule="auto"/>
      </w:pPr>
      <w:r>
        <w:separator/>
      </w:r>
    </w:p>
  </w:endnote>
  <w:endnote w:type="continuationSeparator" w:id="0">
    <w:p w14:paraId="61E7E1A5" w14:textId="77777777" w:rsidR="004B0626" w:rsidRDefault="004B0626" w:rsidP="00221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2"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30971032"/>
      <w:docPartObj>
        <w:docPartGallery w:val="Page Numbers (Bottom of Page)"/>
        <w:docPartUnique/>
      </w:docPartObj>
    </w:sdtPr>
    <w:sdtContent>
      <w:p w14:paraId="125816E9" w14:textId="6722F4C0" w:rsidR="00D907A6" w:rsidRDefault="00D907A6" w:rsidP="005808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43</w:t>
        </w:r>
        <w:r>
          <w:rPr>
            <w:rStyle w:val="PageNumber"/>
          </w:rPr>
          <w:fldChar w:fldCharType="end"/>
        </w:r>
      </w:p>
    </w:sdtContent>
  </w:sdt>
  <w:p w14:paraId="318D3C89" w14:textId="77777777" w:rsidR="00D907A6" w:rsidRDefault="00D907A6" w:rsidP="006012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52918926"/>
      <w:docPartObj>
        <w:docPartGallery w:val="Page Numbers (Bottom of Page)"/>
        <w:docPartUnique/>
      </w:docPartObj>
    </w:sdtPr>
    <w:sdtContent>
      <w:p w14:paraId="03B16382" w14:textId="08B747EA" w:rsidR="00D907A6" w:rsidRDefault="00D907A6" w:rsidP="005808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B6C99">
          <w:rPr>
            <w:rStyle w:val="PageNumber"/>
            <w:noProof/>
          </w:rPr>
          <w:t>42</w:t>
        </w:r>
        <w:r>
          <w:rPr>
            <w:rStyle w:val="PageNumber"/>
          </w:rPr>
          <w:fldChar w:fldCharType="end"/>
        </w:r>
      </w:p>
    </w:sdtContent>
  </w:sdt>
  <w:p w14:paraId="6FFACDAD" w14:textId="77777777" w:rsidR="00D907A6" w:rsidRDefault="00D907A6" w:rsidP="006012B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2AF97" w14:textId="77777777" w:rsidR="004B0626" w:rsidRDefault="004B0626" w:rsidP="00221462">
      <w:pPr>
        <w:spacing w:after="0" w:line="240" w:lineRule="auto"/>
      </w:pPr>
      <w:r>
        <w:separator/>
      </w:r>
    </w:p>
  </w:footnote>
  <w:footnote w:type="continuationSeparator" w:id="0">
    <w:p w14:paraId="05833105" w14:textId="77777777" w:rsidR="004B0626" w:rsidRDefault="004B0626" w:rsidP="00221462">
      <w:pPr>
        <w:spacing w:after="0" w:line="240" w:lineRule="auto"/>
      </w:pPr>
      <w:r>
        <w:continuationSeparator/>
      </w:r>
    </w:p>
  </w:footnote>
  <w:footnote w:id="1">
    <w:p w14:paraId="249E45D6" w14:textId="77777777" w:rsidR="006D1386" w:rsidRPr="000225CF" w:rsidRDefault="006D1386" w:rsidP="006D1386">
      <w:pPr>
        <w:jc w:val="both"/>
        <w:rPr>
          <w:rFonts w:ascii="Garamond" w:hAnsi="Garamond"/>
          <w:lang w:val="en-US"/>
        </w:rPr>
      </w:pPr>
      <w:r w:rsidRPr="000225CF">
        <w:rPr>
          <w:rStyle w:val="FootnoteReference"/>
          <w:rFonts w:ascii="Garamond" w:hAnsi="Garamond"/>
          <w:lang w:val="en-US"/>
        </w:rPr>
        <w:footnoteRef/>
      </w:r>
      <w:r w:rsidRPr="000225CF">
        <w:rPr>
          <w:rFonts w:ascii="Garamond" w:hAnsi="Garamond"/>
          <w:i/>
          <w:iCs/>
          <w:color w:val="000000"/>
          <w:sz w:val="20"/>
          <w:szCs w:val="20"/>
          <w:lang w:val="en-US"/>
        </w:rPr>
        <w:t>Corresponding author</w:t>
      </w:r>
      <w:r w:rsidRPr="000225CF">
        <w:rPr>
          <w:rFonts w:ascii="Garamond" w:hAnsi="Garamond"/>
          <w:color w:val="000000"/>
          <w:sz w:val="20"/>
          <w:szCs w:val="20"/>
          <w:lang w:val="en-US"/>
        </w:rPr>
        <w:t xml:space="preserve">: Department of Accounting, Faculty of Economics and Business, University of Groningen, Postcode: 9746AE, Groningen, The Netherlands. </w:t>
      </w:r>
    </w:p>
    <w:p w14:paraId="66E9DC23" w14:textId="77777777" w:rsidR="006D1386" w:rsidRPr="007C344D" w:rsidRDefault="006D1386" w:rsidP="006D1386">
      <w:pPr>
        <w:autoSpaceDE w:val="0"/>
        <w:jc w:val="both"/>
        <w:rPr>
          <w:lang w:val="en-US"/>
        </w:rPr>
      </w:pPr>
      <w:r w:rsidRPr="000225CF">
        <w:rPr>
          <w:rFonts w:ascii="Garamond" w:hAnsi="Garamond"/>
          <w:i/>
          <w:iCs/>
          <w:color w:val="000000"/>
          <w:sz w:val="20"/>
          <w:szCs w:val="20"/>
          <w:lang w:val="en-US"/>
        </w:rPr>
        <w:t>Email addresses</w:t>
      </w:r>
      <w:r w:rsidRPr="000225CF">
        <w:rPr>
          <w:rFonts w:ascii="Garamond" w:hAnsi="Garamond"/>
          <w:color w:val="000000"/>
          <w:sz w:val="20"/>
          <w:szCs w:val="20"/>
          <w:lang w:val="en-US"/>
        </w:rPr>
        <w:t>: A. A Gull (</w:t>
      </w:r>
      <w:hyperlink r:id="rId1" w:history="1">
        <w:r w:rsidRPr="000225CF">
          <w:rPr>
            <w:rStyle w:val="Hyperlink"/>
            <w:rFonts w:ascii="Garamond" w:hAnsi="Garamond"/>
            <w:lang w:val="en-US"/>
          </w:rPr>
          <w:t>ammarshaukit@gmail.com</w:t>
        </w:r>
      </w:hyperlink>
      <w:r w:rsidRPr="000225CF">
        <w:rPr>
          <w:rFonts w:ascii="Garamond" w:hAnsi="Garamond"/>
          <w:color w:val="000000"/>
          <w:sz w:val="20"/>
          <w:szCs w:val="20"/>
          <w:lang w:val="en-US"/>
        </w:rPr>
        <w:t>), N. Hussain (</w:t>
      </w:r>
      <w:hyperlink r:id="rId2" w:history="1">
        <w:r w:rsidRPr="000225CF">
          <w:rPr>
            <w:rStyle w:val="Hyperlink"/>
            <w:rFonts w:ascii="Garamond" w:hAnsi="Garamond"/>
            <w:lang w:val="en-US"/>
          </w:rPr>
          <w:t>n.hussain@rug.nl</w:t>
        </w:r>
      </w:hyperlink>
      <w:r w:rsidRPr="000225CF">
        <w:rPr>
          <w:rFonts w:ascii="Garamond" w:hAnsi="Garamond"/>
          <w:sz w:val="20"/>
          <w:szCs w:val="20"/>
          <w:lang w:val="en-US"/>
        </w:rPr>
        <w:t>)</w:t>
      </w:r>
      <w:r w:rsidRPr="000225CF">
        <w:rPr>
          <w:rFonts w:ascii="Garamond" w:hAnsi="Garamond"/>
          <w:color w:val="000000"/>
          <w:sz w:val="20"/>
          <w:szCs w:val="20"/>
          <w:lang w:val="en-US"/>
        </w:rPr>
        <w:t xml:space="preserve">, </w:t>
      </w:r>
      <w:r>
        <w:rPr>
          <w:rFonts w:ascii="Garamond" w:hAnsi="Garamond"/>
          <w:color w:val="000000"/>
          <w:sz w:val="20"/>
          <w:szCs w:val="20"/>
          <w:lang w:val="en-US"/>
        </w:rPr>
        <w:t>S</w:t>
      </w:r>
      <w:r w:rsidRPr="000225CF">
        <w:rPr>
          <w:rFonts w:ascii="Garamond" w:hAnsi="Garamond"/>
          <w:color w:val="000000"/>
          <w:sz w:val="20"/>
          <w:szCs w:val="20"/>
          <w:lang w:val="en-US"/>
        </w:rPr>
        <w:t>.</w:t>
      </w:r>
      <w:r>
        <w:rPr>
          <w:rFonts w:ascii="Garamond" w:hAnsi="Garamond"/>
          <w:color w:val="000000"/>
          <w:sz w:val="20"/>
          <w:szCs w:val="20"/>
          <w:lang w:val="en-US"/>
        </w:rPr>
        <w:t xml:space="preserve"> </w:t>
      </w:r>
      <w:r w:rsidRPr="007C344D">
        <w:rPr>
          <w:rFonts w:ascii="Garamond" w:hAnsi="Garamond"/>
          <w:color w:val="000000"/>
          <w:sz w:val="20"/>
          <w:szCs w:val="20"/>
          <w:lang w:val="en-US"/>
        </w:rPr>
        <w:t>A. Khan (</w:t>
      </w:r>
      <w:r w:rsidRPr="007C344D">
        <w:rPr>
          <w:rStyle w:val="Hyperlink"/>
          <w:rFonts w:ascii="Garamond" w:hAnsi="Garamond"/>
          <w:lang w:val="en-US"/>
        </w:rPr>
        <w:t>skhan@univ-catholyon.fr</w:t>
      </w:r>
      <w:r w:rsidRPr="007C344D">
        <w:rPr>
          <w:rFonts w:ascii="Garamond" w:hAnsi="Garamond"/>
          <w:color w:val="000000"/>
          <w:sz w:val="20"/>
          <w:szCs w:val="20"/>
          <w:lang w:val="en-US"/>
        </w:rPr>
        <w:t>), M. Nadeem (</w:t>
      </w:r>
      <w:hyperlink r:id="rId3" w:history="1">
        <w:r w:rsidRPr="007C344D">
          <w:rPr>
            <w:rStyle w:val="Hyperlink"/>
            <w:rFonts w:ascii="Garamond" w:hAnsi="Garamond"/>
            <w:lang w:val="en-US"/>
          </w:rPr>
          <w:t>muhammad.nadeem@otago.ac.nz</w:t>
        </w:r>
      </w:hyperlink>
      <w:r w:rsidRPr="007C344D">
        <w:rPr>
          <w:rFonts w:ascii="Garamond" w:hAnsi="Garamond"/>
          <w:color w:val="000000"/>
          <w:sz w:val="20"/>
          <w:szCs w:val="20"/>
          <w:lang w:val="en-US"/>
        </w:rPr>
        <w:t>), A. M. Zalata (</w:t>
      </w:r>
      <w:hyperlink r:id="rId4" w:history="1">
        <w:r w:rsidRPr="007C344D">
          <w:rPr>
            <w:rStyle w:val="Hyperlink"/>
            <w:rFonts w:ascii="Garamond" w:hAnsi="Garamond"/>
            <w:lang w:val="en-US"/>
          </w:rPr>
          <w:t>A.Zalata@soton.ac.uk</w:t>
        </w:r>
      </w:hyperlink>
      <w:r w:rsidRPr="007C344D">
        <w:rPr>
          <w:rFonts w:ascii="Garamond" w:hAnsi="Garamond"/>
          <w:color w:val="000000"/>
          <w:sz w:val="20"/>
          <w:szCs w:val="20"/>
          <w:lang w:val="en-US"/>
        </w:rPr>
        <w:t>)</w:t>
      </w:r>
    </w:p>
  </w:footnote>
  <w:footnote w:id="2">
    <w:p w14:paraId="4ADCF51A" w14:textId="24BE6D75" w:rsidR="00D907A6" w:rsidRPr="000225CF" w:rsidRDefault="00D907A6" w:rsidP="004A1788">
      <w:pPr>
        <w:pStyle w:val="FootnoteText"/>
        <w:jc w:val="both"/>
        <w:rPr>
          <w:rFonts w:ascii="Garamond" w:hAnsi="Garamond" w:cs="Times New Roman"/>
        </w:rPr>
      </w:pPr>
      <w:r w:rsidRPr="000225CF">
        <w:rPr>
          <w:rStyle w:val="FootnoteReference"/>
          <w:rFonts w:ascii="Garamond" w:hAnsi="Garamond"/>
        </w:rPr>
        <w:footnoteRef/>
      </w:r>
      <w:r w:rsidRPr="000225CF">
        <w:rPr>
          <w:rFonts w:ascii="Garamond" w:hAnsi="Garamond"/>
        </w:rPr>
        <w:t xml:space="preserve"> </w:t>
      </w:r>
      <w:r w:rsidRPr="000225CF">
        <w:rPr>
          <w:rFonts w:ascii="Garamond" w:hAnsi="Garamond" w:cs="Times New Roman"/>
        </w:rPr>
        <w:t xml:space="preserve">Hawn and Ioannou (2016) constructed the CSR gap as the absolute gap between the standardized score of 24 external and 21 internal actions. The data on these items was extracted from Asset4. The authors selected 120 data points </w:t>
      </w:r>
      <w:r>
        <w:rPr>
          <w:rFonts w:ascii="Garamond" w:hAnsi="Garamond" w:cs="Times New Roman"/>
        </w:rPr>
        <w:t>from</w:t>
      </w:r>
      <w:r w:rsidRPr="000225CF">
        <w:rPr>
          <w:rFonts w:ascii="Garamond" w:hAnsi="Garamond" w:cs="Times New Roman"/>
        </w:rPr>
        <w:t xml:space="preserve"> the </w:t>
      </w:r>
      <w:r>
        <w:rPr>
          <w:rFonts w:ascii="Garamond" w:hAnsi="Garamond" w:cs="Times New Roman"/>
        </w:rPr>
        <w:t>‘</w:t>
      </w:r>
      <w:r w:rsidRPr="000225CF">
        <w:rPr>
          <w:rFonts w:ascii="Garamond" w:hAnsi="Garamond" w:cs="Times New Roman"/>
        </w:rPr>
        <w:t>Strategic Framework</w:t>
      </w:r>
      <w:r>
        <w:rPr>
          <w:rFonts w:ascii="Garamond" w:hAnsi="Garamond" w:cs="Times New Roman"/>
        </w:rPr>
        <w:t>’,</w:t>
      </w:r>
      <w:r w:rsidRPr="000225CF">
        <w:rPr>
          <w:rFonts w:ascii="Garamond" w:hAnsi="Garamond" w:cs="Times New Roman"/>
        </w:rPr>
        <w:t xml:space="preserve"> which represents the entirety of the firm’s CSR orientation. </w:t>
      </w:r>
    </w:p>
  </w:footnote>
  <w:footnote w:id="3">
    <w:p w14:paraId="19B3D079" w14:textId="77777777" w:rsidR="00D907A6" w:rsidRPr="000225CF" w:rsidRDefault="00D907A6" w:rsidP="004A1788">
      <w:pPr>
        <w:pStyle w:val="FootnoteText"/>
        <w:jc w:val="both"/>
        <w:rPr>
          <w:rFonts w:ascii="Garamond" w:hAnsi="Garamond" w:cs="Times New Roman"/>
        </w:rPr>
      </w:pPr>
      <w:r w:rsidRPr="000225CF">
        <w:rPr>
          <w:rStyle w:val="FootnoteReference"/>
          <w:rFonts w:ascii="Garamond" w:hAnsi="Garamond" w:cs="Times New Roman"/>
        </w:rPr>
        <w:footnoteRef/>
      </w:r>
      <w:r w:rsidRPr="000225CF">
        <w:rPr>
          <w:rFonts w:ascii="Garamond" w:hAnsi="Garamond" w:cs="Times New Roman"/>
        </w:rPr>
        <w:t xml:space="preserve"> We mainly rely on the FE estimates to interpret our results because FE provides more consistent results after controlling for omitted variable bias and variations over time than OLS.</w:t>
      </w:r>
    </w:p>
  </w:footnote>
  <w:footnote w:id="4">
    <w:p w14:paraId="22516642" w14:textId="7752A3C1" w:rsidR="00D907A6" w:rsidRPr="006C78EB" w:rsidRDefault="00D907A6" w:rsidP="004A1788">
      <w:pPr>
        <w:widowControl w:val="0"/>
        <w:autoSpaceDE w:val="0"/>
        <w:autoSpaceDN w:val="0"/>
        <w:adjustRightInd w:val="0"/>
        <w:spacing w:after="0" w:line="240" w:lineRule="auto"/>
        <w:jc w:val="both"/>
        <w:rPr>
          <w:rFonts w:ascii="Garamond" w:hAnsi="Garamond" w:cs="Times New Roman"/>
          <w:sz w:val="20"/>
          <w:szCs w:val="20"/>
          <w:lang w:val="en-US"/>
        </w:rPr>
      </w:pPr>
      <w:r w:rsidRPr="006C78EB">
        <w:rPr>
          <w:rStyle w:val="FootnoteReference"/>
          <w:rFonts w:ascii="Garamond" w:hAnsi="Garamond" w:cs="Times New Roman"/>
        </w:rPr>
        <w:footnoteRef/>
      </w:r>
      <w:r w:rsidRPr="006C78EB">
        <w:rPr>
          <w:rFonts w:ascii="Garamond" w:hAnsi="Garamond" w:cs="Times New Roman"/>
          <w:sz w:val="20"/>
          <w:szCs w:val="20"/>
          <w:lang w:val="en-US"/>
        </w:rPr>
        <w:t xml:space="preserve"> </w:t>
      </w:r>
      <w:r>
        <w:rPr>
          <w:rFonts w:ascii="Garamond" w:hAnsi="Garamond" w:cs="Times New Roman"/>
          <w:sz w:val="20"/>
          <w:szCs w:val="20"/>
          <w:lang w:val="en-US"/>
        </w:rPr>
        <w:t>D</w:t>
      </w:r>
      <w:r w:rsidRPr="006C78EB">
        <w:rPr>
          <w:rFonts w:ascii="Garamond" w:hAnsi="Garamond" w:cs="Times New Roman"/>
          <w:sz w:val="20"/>
          <w:szCs w:val="20"/>
          <w:lang w:val="en-US"/>
        </w:rPr>
        <w:t>iscretionary accruals are estimated based on Kothari</w:t>
      </w:r>
      <w:r>
        <w:rPr>
          <w:rFonts w:ascii="Garamond" w:hAnsi="Garamond" w:cs="Times New Roman"/>
          <w:sz w:val="20"/>
          <w:szCs w:val="20"/>
          <w:lang w:val="en-US"/>
        </w:rPr>
        <w:t>, Leone and Wasley’</w:t>
      </w:r>
      <w:r w:rsidRPr="006C78EB">
        <w:rPr>
          <w:rFonts w:ascii="Garamond" w:hAnsi="Garamond" w:cs="Times New Roman"/>
          <w:sz w:val="20"/>
          <w:szCs w:val="20"/>
          <w:lang w:val="en-US"/>
        </w:rPr>
        <w:t>s (2005) modified Jones model</w:t>
      </w:r>
      <w:r>
        <w:rPr>
          <w:rFonts w:ascii="Garamond" w:hAnsi="Garamond" w:cs="Times New Roman"/>
          <w:sz w:val="20"/>
          <w:szCs w:val="20"/>
          <w:lang w:val="en-US"/>
        </w:rPr>
        <w:t>,</w:t>
      </w:r>
      <w:r w:rsidRPr="006C78EB">
        <w:rPr>
          <w:rFonts w:ascii="Garamond" w:hAnsi="Garamond" w:cs="Times New Roman"/>
          <w:sz w:val="20"/>
          <w:szCs w:val="20"/>
          <w:lang w:val="en-US"/>
        </w:rPr>
        <w:t xml:space="preserve"> as per the equation below. The absolute value of residual</w:t>
      </w:r>
      <w:r>
        <w:rPr>
          <w:rFonts w:ascii="Garamond" w:hAnsi="Garamond" w:cs="Times New Roman"/>
          <w:sz w:val="20"/>
          <w:szCs w:val="20"/>
          <w:lang w:val="en-US"/>
        </w:rPr>
        <w:t>s</w:t>
      </w:r>
      <w:r w:rsidRPr="006C78EB">
        <w:rPr>
          <w:rFonts w:ascii="Garamond" w:hAnsi="Garamond" w:cs="Times New Roman"/>
          <w:sz w:val="20"/>
          <w:szCs w:val="20"/>
          <w:lang w:val="en-US"/>
        </w:rPr>
        <w:t xml:space="preserve"> from this equation is our measure of discretionary accruals. A higher value of discretionary accruals indicates greater amounts of accrual</w:t>
      </w:r>
      <w:r>
        <w:rPr>
          <w:rFonts w:ascii="Garamond" w:hAnsi="Garamond" w:cs="Times New Roman"/>
          <w:sz w:val="20"/>
          <w:szCs w:val="20"/>
          <w:lang w:val="en-US"/>
        </w:rPr>
        <w:t>-</w:t>
      </w:r>
      <w:r w:rsidRPr="006C78EB">
        <w:rPr>
          <w:rFonts w:ascii="Garamond" w:hAnsi="Garamond" w:cs="Times New Roman"/>
          <w:sz w:val="20"/>
          <w:szCs w:val="20"/>
          <w:lang w:val="en-US"/>
        </w:rPr>
        <w:t>based earning</w:t>
      </w:r>
      <w:r>
        <w:rPr>
          <w:rFonts w:ascii="Garamond" w:hAnsi="Garamond" w:cs="Times New Roman"/>
          <w:sz w:val="20"/>
          <w:szCs w:val="20"/>
          <w:lang w:val="en-US"/>
        </w:rPr>
        <w:t>s</w:t>
      </w:r>
      <w:r w:rsidRPr="006C78EB">
        <w:rPr>
          <w:rFonts w:ascii="Garamond" w:hAnsi="Garamond" w:cs="Times New Roman"/>
          <w:sz w:val="20"/>
          <w:szCs w:val="20"/>
          <w:lang w:val="en-US"/>
        </w:rPr>
        <w:t xml:space="preserve"> management (</w:t>
      </w:r>
      <w:r w:rsidRPr="006C78EB">
        <w:rPr>
          <w:rFonts w:ascii="Garamond" w:hAnsi="Garamond" w:cs="Times New Roman"/>
          <w:i/>
          <w:sz w:val="20"/>
          <w:szCs w:val="20"/>
          <w:lang w:val="en-US"/>
        </w:rPr>
        <w:t>AEM</w:t>
      </w:r>
      <w:r w:rsidRPr="006C78EB">
        <w:rPr>
          <w:rFonts w:ascii="Garamond" w:hAnsi="Garamond" w:cs="Times New Roman"/>
          <w:sz w:val="20"/>
          <w:szCs w:val="20"/>
          <w:lang w:val="en-US"/>
        </w:rPr>
        <w:t>) and thus greater information asymmetry.</w:t>
      </w:r>
    </w:p>
    <w:p w14:paraId="27CCC393" w14:textId="77777777" w:rsidR="00D907A6" w:rsidRPr="006C78EB" w:rsidRDefault="00D907A6" w:rsidP="004A1788">
      <w:pPr>
        <w:widowControl w:val="0"/>
        <w:autoSpaceDE w:val="0"/>
        <w:autoSpaceDN w:val="0"/>
        <w:adjustRightInd w:val="0"/>
        <w:spacing w:after="0" w:line="240" w:lineRule="auto"/>
        <w:jc w:val="center"/>
        <w:rPr>
          <w:rFonts w:ascii="Garamond" w:hAnsi="Garamond" w:cs="Times New Roman"/>
          <w:sz w:val="20"/>
          <w:szCs w:val="20"/>
          <w:vertAlign w:val="subscript"/>
          <w:lang w:val="en-US"/>
        </w:rPr>
      </w:pPr>
      <w:r w:rsidRPr="006C78EB">
        <w:rPr>
          <w:rFonts w:ascii="Garamond" w:hAnsi="Garamond" w:cs="Times New Roman"/>
          <w:sz w:val="20"/>
          <w:szCs w:val="20"/>
          <w:lang w:val="en-US"/>
        </w:rPr>
        <w:t>TACC</w:t>
      </w:r>
      <w:r w:rsidRPr="006C78EB">
        <w:rPr>
          <w:rFonts w:ascii="Garamond" w:hAnsi="Garamond" w:cs="Times New Roman"/>
          <w:sz w:val="20"/>
          <w:szCs w:val="20"/>
          <w:vertAlign w:val="subscript"/>
          <w:lang w:val="en-US"/>
        </w:rPr>
        <w:t>t</w:t>
      </w:r>
      <w:r w:rsidRPr="006C78EB">
        <w:rPr>
          <w:rFonts w:ascii="Garamond" w:hAnsi="Garamond" w:cs="Times New Roman"/>
          <w:sz w:val="20"/>
          <w:szCs w:val="20"/>
          <w:lang w:val="en-US"/>
        </w:rPr>
        <w:t>/A</w:t>
      </w:r>
      <w:r w:rsidRPr="006C78EB">
        <w:rPr>
          <w:rFonts w:ascii="Garamond" w:hAnsi="Garamond" w:cs="Times New Roman"/>
          <w:sz w:val="20"/>
          <w:szCs w:val="20"/>
          <w:vertAlign w:val="subscript"/>
          <w:lang w:val="en-US"/>
        </w:rPr>
        <w:t>t-1</w:t>
      </w:r>
      <w:r w:rsidRPr="006C78EB">
        <w:rPr>
          <w:rFonts w:ascii="Garamond" w:hAnsi="Garamond" w:cs="Times New Roman"/>
          <w:sz w:val="20"/>
          <w:szCs w:val="20"/>
          <w:lang w:val="en-US"/>
        </w:rPr>
        <w:t xml:space="preserve"> = </w:t>
      </w:r>
      <w:r w:rsidRPr="006C78EB">
        <w:rPr>
          <w:rFonts w:ascii="Garamond" w:hAnsi="Garamond" w:cs="Times New Roman"/>
          <w:sz w:val="20"/>
          <w:szCs w:val="20"/>
        </w:rPr>
        <w:t>β</w:t>
      </w:r>
      <w:r w:rsidRPr="006C78EB">
        <w:rPr>
          <w:rFonts w:ascii="Garamond" w:hAnsi="Garamond" w:cs="Times New Roman"/>
          <w:sz w:val="20"/>
          <w:szCs w:val="20"/>
          <w:vertAlign w:val="subscript"/>
          <w:lang w:val="en-US"/>
        </w:rPr>
        <w:t>1</w:t>
      </w:r>
      <w:r w:rsidRPr="006C78EB">
        <w:rPr>
          <w:rFonts w:ascii="Garamond" w:hAnsi="Garamond" w:cs="Times New Roman"/>
          <w:sz w:val="20"/>
          <w:szCs w:val="20"/>
          <w:lang w:val="en-US"/>
        </w:rPr>
        <w:t>(1/A</w:t>
      </w:r>
      <w:r w:rsidRPr="006C78EB">
        <w:rPr>
          <w:rFonts w:ascii="Garamond" w:hAnsi="Garamond" w:cs="Times New Roman"/>
          <w:sz w:val="20"/>
          <w:szCs w:val="20"/>
          <w:vertAlign w:val="subscript"/>
          <w:lang w:val="en-US"/>
        </w:rPr>
        <w:t>t-1</w:t>
      </w:r>
      <w:r w:rsidRPr="006C78EB">
        <w:rPr>
          <w:rFonts w:ascii="Garamond" w:hAnsi="Garamond" w:cs="Times New Roman"/>
          <w:sz w:val="20"/>
          <w:szCs w:val="20"/>
          <w:lang w:val="en-US"/>
        </w:rPr>
        <w:t xml:space="preserve">) + </w:t>
      </w:r>
      <w:r w:rsidRPr="006C78EB">
        <w:rPr>
          <w:rFonts w:ascii="Garamond" w:hAnsi="Garamond" w:cs="Times New Roman"/>
          <w:sz w:val="20"/>
          <w:szCs w:val="20"/>
        </w:rPr>
        <w:t>β</w:t>
      </w:r>
      <w:r w:rsidRPr="006C78EB">
        <w:rPr>
          <w:rFonts w:ascii="Garamond" w:hAnsi="Garamond" w:cs="Times New Roman"/>
          <w:sz w:val="20"/>
          <w:szCs w:val="20"/>
          <w:vertAlign w:val="subscript"/>
          <w:lang w:val="en-US"/>
        </w:rPr>
        <w:t>2</w:t>
      </w:r>
      <w:r w:rsidRPr="006C78EB">
        <w:rPr>
          <w:rFonts w:ascii="Garamond" w:hAnsi="Garamond" w:cs="Times New Roman"/>
          <w:sz w:val="20"/>
          <w:szCs w:val="20"/>
          <w:lang w:val="en-US"/>
        </w:rPr>
        <w:t>(</w:t>
      </w:r>
      <w:r w:rsidRPr="006C78EB">
        <w:rPr>
          <w:rFonts w:ascii="Garamond" w:hAnsi="Garamond" w:cs="Times New Roman"/>
          <w:sz w:val="20"/>
          <w:szCs w:val="20"/>
        </w:rPr>
        <w:sym w:font="Symbol" w:char="F044"/>
      </w:r>
      <w:r w:rsidRPr="006C78EB">
        <w:rPr>
          <w:rFonts w:ascii="Garamond" w:hAnsi="Garamond" w:cs="Times New Roman"/>
          <w:sz w:val="20"/>
          <w:szCs w:val="20"/>
          <w:lang w:val="en-US"/>
        </w:rPr>
        <w:t>SALES</w:t>
      </w:r>
      <w:r w:rsidRPr="006C78EB">
        <w:rPr>
          <w:rFonts w:ascii="Garamond" w:hAnsi="Garamond" w:cs="Times New Roman"/>
          <w:sz w:val="20"/>
          <w:szCs w:val="20"/>
          <w:vertAlign w:val="subscript"/>
          <w:lang w:val="en-US"/>
        </w:rPr>
        <w:t xml:space="preserve">t </w:t>
      </w:r>
      <w:r w:rsidRPr="006C78EB">
        <w:rPr>
          <w:rFonts w:ascii="Garamond" w:hAnsi="Garamond" w:cs="Times New Roman"/>
          <w:sz w:val="20"/>
          <w:szCs w:val="20"/>
          <w:lang w:val="en-US"/>
        </w:rPr>
        <w:t xml:space="preserve">- </w:t>
      </w:r>
      <w:r w:rsidRPr="006C78EB">
        <w:rPr>
          <w:rFonts w:ascii="Garamond" w:hAnsi="Garamond" w:cs="Times New Roman"/>
          <w:sz w:val="20"/>
          <w:szCs w:val="20"/>
        </w:rPr>
        <w:sym w:font="Symbol" w:char="F044"/>
      </w:r>
      <w:r w:rsidRPr="006C78EB">
        <w:rPr>
          <w:rFonts w:ascii="Garamond" w:hAnsi="Garamond" w:cs="Times New Roman"/>
          <w:sz w:val="20"/>
          <w:szCs w:val="20"/>
          <w:lang w:val="en-US"/>
        </w:rPr>
        <w:t>REC</w:t>
      </w:r>
      <w:r w:rsidRPr="006C78EB">
        <w:rPr>
          <w:rFonts w:ascii="Garamond" w:hAnsi="Garamond" w:cs="Times New Roman"/>
          <w:sz w:val="20"/>
          <w:szCs w:val="20"/>
          <w:vertAlign w:val="subscript"/>
          <w:lang w:val="en-US"/>
        </w:rPr>
        <w:t>t</w:t>
      </w:r>
      <w:r w:rsidRPr="006C78EB">
        <w:rPr>
          <w:rFonts w:ascii="Garamond" w:hAnsi="Garamond" w:cs="Times New Roman"/>
          <w:sz w:val="20"/>
          <w:szCs w:val="20"/>
          <w:lang w:val="en-US"/>
        </w:rPr>
        <w:t>)/A</w:t>
      </w:r>
      <w:r w:rsidRPr="006C78EB">
        <w:rPr>
          <w:rFonts w:ascii="Garamond" w:hAnsi="Garamond" w:cs="Times New Roman"/>
          <w:sz w:val="20"/>
          <w:szCs w:val="20"/>
          <w:vertAlign w:val="subscript"/>
          <w:lang w:val="en-US"/>
        </w:rPr>
        <w:t xml:space="preserve">t-1 </w:t>
      </w:r>
      <w:r w:rsidRPr="006C78EB">
        <w:rPr>
          <w:rFonts w:ascii="Garamond" w:hAnsi="Garamond" w:cs="Times New Roman"/>
          <w:sz w:val="20"/>
          <w:szCs w:val="20"/>
          <w:lang w:val="en-US"/>
        </w:rPr>
        <w:t xml:space="preserve">+ </w:t>
      </w:r>
      <w:r w:rsidRPr="006C78EB">
        <w:rPr>
          <w:rFonts w:ascii="Garamond" w:hAnsi="Garamond" w:cs="Times New Roman"/>
          <w:sz w:val="20"/>
          <w:szCs w:val="20"/>
        </w:rPr>
        <w:t>β</w:t>
      </w:r>
      <w:r w:rsidRPr="006C78EB">
        <w:rPr>
          <w:rFonts w:ascii="Garamond" w:hAnsi="Garamond" w:cs="Times New Roman"/>
          <w:sz w:val="20"/>
          <w:szCs w:val="20"/>
          <w:vertAlign w:val="subscript"/>
          <w:lang w:val="en-US"/>
        </w:rPr>
        <w:t xml:space="preserve">3 </w:t>
      </w:r>
      <w:r w:rsidRPr="006C78EB">
        <w:rPr>
          <w:rFonts w:ascii="Garamond" w:hAnsi="Garamond" w:cs="Times New Roman"/>
          <w:sz w:val="20"/>
          <w:szCs w:val="20"/>
          <w:lang w:val="en-US"/>
        </w:rPr>
        <w:t>(PPE</w:t>
      </w:r>
      <w:r w:rsidRPr="006C78EB">
        <w:rPr>
          <w:rFonts w:ascii="Garamond" w:hAnsi="Garamond" w:cs="Times New Roman"/>
          <w:sz w:val="20"/>
          <w:szCs w:val="20"/>
          <w:vertAlign w:val="subscript"/>
          <w:lang w:val="en-US"/>
        </w:rPr>
        <w:t>t</w:t>
      </w:r>
      <w:r w:rsidRPr="006C78EB">
        <w:rPr>
          <w:rFonts w:ascii="Garamond" w:hAnsi="Garamond" w:cs="Times New Roman"/>
          <w:sz w:val="20"/>
          <w:szCs w:val="20"/>
          <w:lang w:val="en-US"/>
        </w:rPr>
        <w:t>)/A</w:t>
      </w:r>
      <w:r w:rsidRPr="006C78EB">
        <w:rPr>
          <w:rFonts w:ascii="Garamond" w:hAnsi="Garamond" w:cs="Times New Roman"/>
          <w:sz w:val="20"/>
          <w:szCs w:val="20"/>
          <w:vertAlign w:val="subscript"/>
          <w:lang w:val="en-US"/>
        </w:rPr>
        <w:t xml:space="preserve">t-1 </w:t>
      </w:r>
      <w:r w:rsidRPr="006C78EB">
        <w:rPr>
          <w:rFonts w:ascii="Garamond" w:hAnsi="Garamond" w:cs="Times New Roman"/>
          <w:sz w:val="20"/>
          <w:szCs w:val="20"/>
          <w:lang w:val="en-US"/>
        </w:rPr>
        <w:t>+</w:t>
      </w:r>
      <w:r w:rsidRPr="006C78EB">
        <w:rPr>
          <w:rFonts w:ascii="Garamond" w:hAnsi="Garamond" w:cs="Times New Roman"/>
          <w:sz w:val="20"/>
          <w:szCs w:val="20"/>
          <w:vertAlign w:val="subscript"/>
          <w:lang w:val="en-US"/>
        </w:rPr>
        <w:t xml:space="preserve"> </w:t>
      </w:r>
      <w:r w:rsidRPr="006C78EB">
        <w:rPr>
          <w:rFonts w:ascii="Garamond" w:hAnsi="Garamond" w:cs="Times New Roman"/>
          <w:sz w:val="20"/>
          <w:szCs w:val="20"/>
        </w:rPr>
        <w:t>β</w:t>
      </w:r>
      <w:r w:rsidRPr="006C78EB">
        <w:rPr>
          <w:rFonts w:ascii="Garamond" w:hAnsi="Garamond" w:cs="Times New Roman"/>
          <w:sz w:val="20"/>
          <w:szCs w:val="20"/>
          <w:vertAlign w:val="subscript"/>
          <w:lang w:val="en-US"/>
        </w:rPr>
        <w:t xml:space="preserve">4 </w:t>
      </w:r>
      <w:r w:rsidRPr="006C78EB">
        <w:rPr>
          <w:rFonts w:ascii="Garamond" w:hAnsi="Garamond" w:cs="Times New Roman"/>
          <w:sz w:val="20"/>
          <w:szCs w:val="20"/>
          <w:lang w:val="en-US"/>
        </w:rPr>
        <w:t>(ROA</w:t>
      </w:r>
      <w:r w:rsidRPr="006C78EB">
        <w:rPr>
          <w:rFonts w:ascii="Garamond" w:hAnsi="Garamond" w:cs="Times New Roman"/>
          <w:sz w:val="20"/>
          <w:szCs w:val="20"/>
          <w:vertAlign w:val="subscript"/>
          <w:lang w:val="en-US"/>
        </w:rPr>
        <w:t>t-1</w:t>
      </w:r>
      <w:r w:rsidRPr="006C78EB">
        <w:rPr>
          <w:rFonts w:ascii="Garamond" w:hAnsi="Garamond" w:cs="Times New Roman"/>
          <w:sz w:val="20"/>
          <w:szCs w:val="20"/>
          <w:lang w:val="en-US"/>
        </w:rPr>
        <w:t xml:space="preserve">) + </w:t>
      </w:r>
      <w:r w:rsidRPr="006C78EB">
        <w:rPr>
          <w:rFonts w:ascii="Garamond" w:hAnsi="Garamond" w:cs="Times New Roman"/>
          <w:sz w:val="20"/>
          <w:szCs w:val="20"/>
        </w:rPr>
        <w:t>ε</w:t>
      </w:r>
    </w:p>
    <w:p w14:paraId="7577B0D2" w14:textId="38610E69" w:rsidR="00D907A6" w:rsidRPr="006C78EB" w:rsidRDefault="00D907A6" w:rsidP="004A1788">
      <w:pPr>
        <w:pStyle w:val="FootnoteText"/>
        <w:jc w:val="both"/>
      </w:pPr>
      <w:r w:rsidRPr="006C78EB">
        <w:rPr>
          <w:rFonts w:ascii="Garamond" w:hAnsi="Garamond" w:cs="Times New Roman"/>
        </w:rPr>
        <w:t xml:space="preserve">where </w:t>
      </w:r>
      <w:r w:rsidRPr="006C78EB">
        <w:rPr>
          <w:rFonts w:ascii="Garamond" w:hAnsi="Garamond" w:cs="Times New Roman"/>
          <w:i/>
          <w:iCs/>
        </w:rPr>
        <w:t>TACC</w:t>
      </w:r>
      <w:r w:rsidRPr="006C78EB">
        <w:rPr>
          <w:rFonts w:ascii="Garamond" w:hAnsi="Garamond" w:cs="Times New Roman"/>
          <w:i/>
          <w:iCs/>
          <w:vertAlign w:val="subscript"/>
        </w:rPr>
        <w:t>t</w:t>
      </w:r>
      <w:r w:rsidRPr="006C78EB">
        <w:rPr>
          <w:rFonts w:ascii="Garamond" w:hAnsi="Garamond" w:cs="Times New Roman"/>
        </w:rPr>
        <w:t xml:space="preserve"> = total accruals in year t, estimated as the difference between net profit and cash flow from operating activities; </w:t>
      </w:r>
      <w:r w:rsidRPr="006C78EB">
        <w:rPr>
          <w:rFonts w:ascii="Garamond" w:hAnsi="Garamond" w:cs="Times New Roman"/>
          <w:i/>
          <w:iCs/>
        </w:rPr>
        <w:t>A</w:t>
      </w:r>
      <w:r w:rsidRPr="006C78EB">
        <w:rPr>
          <w:rFonts w:ascii="Garamond" w:hAnsi="Garamond" w:cs="Times New Roman"/>
          <w:i/>
          <w:iCs/>
          <w:vertAlign w:val="subscript"/>
        </w:rPr>
        <w:t>t-1</w:t>
      </w:r>
      <w:r w:rsidRPr="006C78EB">
        <w:rPr>
          <w:rFonts w:ascii="Garamond" w:hAnsi="Garamond" w:cs="Times New Roman"/>
        </w:rPr>
        <w:t xml:space="preserve"> = the total assets at the end of year</w:t>
      </w:r>
      <w:r w:rsidRPr="006C78EB">
        <w:rPr>
          <w:rFonts w:ascii="Garamond" w:hAnsi="Garamond" w:cs="Times New Roman"/>
          <w:vertAlign w:val="subscript"/>
        </w:rPr>
        <w:t>t-1</w:t>
      </w:r>
      <w:r w:rsidRPr="006C78EB">
        <w:rPr>
          <w:rFonts w:ascii="Garamond" w:hAnsi="Garamond" w:cs="Times New Roman"/>
        </w:rPr>
        <w:t xml:space="preserve">; </w:t>
      </w:r>
      <w:r w:rsidRPr="006C78EB">
        <w:rPr>
          <w:rFonts w:ascii="Garamond" w:hAnsi="Garamond" w:cs="Times New Roman"/>
          <w:i/>
          <w:iCs/>
        </w:rPr>
        <w:sym w:font="Symbol" w:char="F044"/>
      </w:r>
      <w:r w:rsidRPr="006C78EB">
        <w:rPr>
          <w:rFonts w:ascii="Garamond" w:hAnsi="Garamond" w:cs="Times New Roman"/>
          <w:i/>
          <w:iCs/>
        </w:rPr>
        <w:t>SALES</w:t>
      </w:r>
      <w:r w:rsidRPr="006C78EB">
        <w:rPr>
          <w:rFonts w:ascii="Garamond" w:hAnsi="Garamond" w:cs="Times New Roman"/>
          <w:i/>
          <w:iCs/>
          <w:vertAlign w:val="subscript"/>
        </w:rPr>
        <w:t>t</w:t>
      </w:r>
      <w:r w:rsidRPr="006C78EB">
        <w:rPr>
          <w:rFonts w:ascii="Garamond" w:hAnsi="Garamond" w:cs="Times New Roman"/>
        </w:rPr>
        <w:t xml:space="preserve"> = the change in sales revenue between years </w:t>
      </w:r>
      <w:r w:rsidRPr="006C78EB">
        <w:rPr>
          <w:rFonts w:ascii="Garamond" w:hAnsi="Garamond" w:cs="Times New Roman"/>
          <w:vertAlign w:val="subscript"/>
        </w:rPr>
        <w:t>t-1</w:t>
      </w:r>
      <w:r w:rsidRPr="006C78EB">
        <w:rPr>
          <w:rFonts w:ascii="Garamond" w:hAnsi="Garamond" w:cs="Times New Roman"/>
        </w:rPr>
        <w:t xml:space="preserve"> and </w:t>
      </w:r>
      <w:r w:rsidRPr="006C78EB">
        <w:rPr>
          <w:rFonts w:ascii="Garamond" w:hAnsi="Garamond" w:cs="Times New Roman"/>
          <w:vertAlign w:val="subscript"/>
        </w:rPr>
        <w:t>t</w:t>
      </w:r>
      <w:r w:rsidRPr="006C78EB">
        <w:rPr>
          <w:rFonts w:ascii="Garamond" w:hAnsi="Garamond" w:cs="Times New Roman"/>
        </w:rPr>
        <w:t xml:space="preserve">; </w:t>
      </w:r>
      <w:r w:rsidRPr="006C78EB">
        <w:rPr>
          <w:rFonts w:ascii="Garamond" w:hAnsi="Garamond" w:cs="Times New Roman"/>
          <w:i/>
          <w:iCs/>
        </w:rPr>
        <w:sym w:font="Symbol" w:char="F044"/>
      </w:r>
      <w:r w:rsidRPr="006C78EB">
        <w:rPr>
          <w:rFonts w:ascii="Garamond" w:hAnsi="Garamond" w:cs="Times New Roman"/>
          <w:i/>
          <w:iCs/>
        </w:rPr>
        <w:t>REC</w:t>
      </w:r>
      <w:r w:rsidRPr="006C78EB">
        <w:rPr>
          <w:rFonts w:ascii="Garamond" w:hAnsi="Garamond" w:cs="Times New Roman"/>
          <w:i/>
          <w:iCs/>
          <w:vertAlign w:val="subscript"/>
        </w:rPr>
        <w:t>t</w:t>
      </w:r>
      <w:r w:rsidRPr="006C78EB">
        <w:rPr>
          <w:rFonts w:ascii="Garamond" w:hAnsi="Garamond" w:cs="Times New Roman"/>
        </w:rPr>
        <w:t xml:space="preserve"> = the change in net accounts receivable between years </w:t>
      </w:r>
      <w:r w:rsidRPr="006C78EB">
        <w:rPr>
          <w:rFonts w:ascii="Garamond" w:hAnsi="Garamond" w:cs="Times New Roman"/>
          <w:vertAlign w:val="subscript"/>
        </w:rPr>
        <w:t>t-1</w:t>
      </w:r>
      <w:r w:rsidRPr="006C78EB">
        <w:rPr>
          <w:rFonts w:ascii="Garamond" w:hAnsi="Garamond" w:cs="Times New Roman"/>
        </w:rPr>
        <w:t xml:space="preserve"> and </w:t>
      </w:r>
      <w:r w:rsidRPr="006C78EB">
        <w:rPr>
          <w:rFonts w:ascii="Garamond" w:hAnsi="Garamond" w:cs="Times New Roman"/>
          <w:vertAlign w:val="subscript"/>
        </w:rPr>
        <w:t>t</w:t>
      </w:r>
      <w:r w:rsidRPr="006C78EB">
        <w:rPr>
          <w:rFonts w:ascii="Garamond" w:hAnsi="Garamond" w:cs="Times New Roman"/>
        </w:rPr>
        <w:t xml:space="preserve">; </w:t>
      </w:r>
      <w:r w:rsidRPr="006C78EB">
        <w:rPr>
          <w:rFonts w:ascii="Garamond" w:hAnsi="Garamond" w:cs="Times New Roman"/>
          <w:i/>
          <w:iCs/>
        </w:rPr>
        <w:t>PPE</w:t>
      </w:r>
      <w:r w:rsidRPr="006C78EB">
        <w:rPr>
          <w:rFonts w:ascii="Garamond" w:hAnsi="Garamond" w:cs="Times New Roman"/>
          <w:i/>
          <w:iCs/>
          <w:vertAlign w:val="subscript"/>
        </w:rPr>
        <w:t>t</w:t>
      </w:r>
      <w:r w:rsidRPr="006C78EB">
        <w:rPr>
          <w:rFonts w:ascii="Garamond" w:hAnsi="Garamond" w:cs="Times New Roman"/>
        </w:rPr>
        <w:t xml:space="preserve"> = gross property, plant and equipment at the end of year </w:t>
      </w:r>
      <w:r w:rsidRPr="006C78EB">
        <w:rPr>
          <w:rFonts w:ascii="Garamond" w:hAnsi="Garamond" w:cs="Times New Roman"/>
          <w:vertAlign w:val="subscript"/>
        </w:rPr>
        <w:t>t-1</w:t>
      </w:r>
      <w:r w:rsidRPr="006C78EB">
        <w:rPr>
          <w:rFonts w:ascii="Garamond" w:hAnsi="Garamond" w:cs="Times New Roman"/>
        </w:rPr>
        <w:t xml:space="preserve">; and </w:t>
      </w:r>
      <w:r w:rsidRPr="006C78EB">
        <w:rPr>
          <w:rFonts w:ascii="Garamond" w:hAnsi="Garamond" w:cs="Times New Roman"/>
          <w:i/>
          <w:iCs/>
        </w:rPr>
        <w:t>ROA</w:t>
      </w:r>
      <w:r w:rsidRPr="006C78EB">
        <w:rPr>
          <w:rFonts w:ascii="Garamond" w:hAnsi="Garamond" w:cs="Times New Roman"/>
          <w:i/>
          <w:iCs/>
          <w:vertAlign w:val="subscript"/>
        </w:rPr>
        <w:t>t-1</w:t>
      </w:r>
      <w:r w:rsidRPr="006C78EB">
        <w:rPr>
          <w:rFonts w:ascii="Garamond" w:hAnsi="Garamond" w:cs="Times New Roman"/>
        </w:rPr>
        <w:t xml:space="preserve"> = net profit in year </w:t>
      </w:r>
      <w:r w:rsidRPr="006C78EB">
        <w:rPr>
          <w:rFonts w:ascii="Garamond" w:hAnsi="Garamond" w:cs="Times New Roman"/>
          <w:vertAlign w:val="subscript"/>
        </w:rPr>
        <w:t>t-1</w:t>
      </w:r>
      <w:r w:rsidRPr="006C78EB">
        <w:rPr>
          <w:rFonts w:ascii="Garamond" w:hAnsi="Garamond" w:cs="Times New Roman"/>
        </w:rPr>
        <w:t xml:space="preserve"> divided by total assets.</w:t>
      </w:r>
    </w:p>
  </w:footnote>
  <w:footnote w:id="5">
    <w:p w14:paraId="1B986A9A" w14:textId="62118077" w:rsidR="00D907A6" w:rsidRPr="006C78EB" w:rsidRDefault="00D907A6" w:rsidP="00680674">
      <w:pPr>
        <w:pStyle w:val="FootnoteText"/>
        <w:jc w:val="both"/>
        <w:rPr>
          <w:rFonts w:ascii="Garamond" w:hAnsi="Garamond" w:cs="Times New Roman"/>
        </w:rPr>
      </w:pPr>
      <w:r w:rsidRPr="00F307AC">
        <w:rPr>
          <w:rFonts w:ascii="Garamond" w:hAnsi="Garamond" w:cs="Times New Roman"/>
          <w:sz w:val="22"/>
          <w:szCs w:val="22"/>
          <w:vertAlign w:val="superscript"/>
        </w:rPr>
        <w:footnoteRef/>
      </w:r>
      <w:r w:rsidRPr="006C78EB">
        <w:rPr>
          <w:rFonts w:ascii="Garamond" w:hAnsi="Garamond" w:cs="Times New Roman"/>
        </w:rPr>
        <w:t xml:space="preserve"> </w:t>
      </w:r>
      <w:r>
        <w:rPr>
          <w:rFonts w:ascii="Garamond" w:hAnsi="Garamond" w:cs="Times New Roman"/>
        </w:rPr>
        <w:t>W</w:t>
      </w:r>
      <w:r w:rsidRPr="006C78EB">
        <w:rPr>
          <w:rFonts w:ascii="Garamond" w:hAnsi="Garamond" w:cs="Times New Roman"/>
        </w:rPr>
        <w:t>e follow Fiechter</w:t>
      </w:r>
      <w:r>
        <w:rPr>
          <w:rFonts w:ascii="Garamond" w:hAnsi="Garamond" w:cs="Times New Roman"/>
        </w:rPr>
        <w:t>, Hitz and Lehmann</w:t>
      </w:r>
      <w:r w:rsidRPr="002426FF">
        <w:rPr>
          <w:rFonts w:ascii="Garamond" w:hAnsi="Garamond" w:cs="Times New Roman"/>
          <w:iCs/>
        </w:rPr>
        <w:t xml:space="preserve"> </w:t>
      </w:r>
      <w:r w:rsidRPr="006C78EB">
        <w:rPr>
          <w:rFonts w:ascii="Garamond" w:hAnsi="Garamond" w:cs="Times New Roman"/>
        </w:rPr>
        <w:t>(2022) and use CSR controversies as a measure of information asymmetry</w:t>
      </w:r>
      <w:r>
        <w:rPr>
          <w:rFonts w:ascii="Garamond" w:hAnsi="Garamond" w:cs="Times New Roman"/>
        </w:rPr>
        <w:t>-</w:t>
      </w:r>
      <w:r w:rsidRPr="006C78EB">
        <w:rPr>
          <w:rFonts w:ascii="Garamond" w:hAnsi="Garamond" w:cs="Times New Roman"/>
        </w:rPr>
        <w:t xml:space="preserve">related CSR practices of the firm. Using </w:t>
      </w:r>
      <w:r w:rsidRPr="005E4E6A">
        <w:rPr>
          <w:rFonts w:ascii="Garamond" w:hAnsi="Garamond" w:cs="Times New Roman"/>
        </w:rPr>
        <w:t>ESG</w:t>
      </w:r>
      <w:r w:rsidRPr="006C78EB">
        <w:rPr>
          <w:rFonts w:ascii="Garamond" w:hAnsi="Garamond" w:cs="Times New Roman"/>
        </w:rPr>
        <w:t xml:space="preserve"> controversies as a measure of information asymmetry yielded consistent results. </w:t>
      </w:r>
    </w:p>
  </w:footnote>
  <w:footnote w:id="6">
    <w:p w14:paraId="0BC76101" w14:textId="547A4B3E" w:rsidR="00D907A6" w:rsidRPr="000225CF" w:rsidRDefault="00D907A6" w:rsidP="004A1788">
      <w:pPr>
        <w:pStyle w:val="FootnoteText"/>
        <w:jc w:val="both"/>
        <w:rPr>
          <w:rFonts w:ascii="Garamond" w:hAnsi="Garamond" w:cs="Times New Roman"/>
        </w:rPr>
      </w:pPr>
      <w:r w:rsidRPr="000225CF">
        <w:rPr>
          <w:rStyle w:val="FootnoteReference"/>
          <w:rFonts w:ascii="Garamond" w:hAnsi="Garamond" w:cs="Times New Roman"/>
        </w:rPr>
        <w:footnoteRef/>
      </w:r>
      <w:r w:rsidRPr="000225CF">
        <w:rPr>
          <w:rFonts w:ascii="Garamond" w:hAnsi="Garamond" w:cs="Times New Roman"/>
        </w:rPr>
        <w:t xml:space="preserve"> To form the alternative measure of CSR decoupling (</w:t>
      </w:r>
      <w:r w:rsidRPr="000225CF">
        <w:rPr>
          <w:rFonts w:ascii="Garamond" w:hAnsi="Garamond" w:cs="Times New Roman"/>
          <w:i/>
          <w:iCs/>
        </w:rPr>
        <w:t>GAP1</w:t>
      </w:r>
      <w:r w:rsidRPr="000225CF">
        <w:rPr>
          <w:rFonts w:ascii="Garamond" w:hAnsi="Garamond" w:cs="Times New Roman"/>
        </w:rPr>
        <w:t xml:space="preserve">), we exclude the </w:t>
      </w:r>
      <w:r>
        <w:rPr>
          <w:rFonts w:ascii="Garamond" w:hAnsi="Garamond" w:cs="Times New Roman"/>
        </w:rPr>
        <w:t>CG</w:t>
      </w:r>
      <w:r w:rsidRPr="000225CF">
        <w:rPr>
          <w:rFonts w:ascii="Garamond" w:hAnsi="Garamond" w:cs="Times New Roman"/>
        </w:rPr>
        <w:t xml:space="preserve"> component and calculate CSR performance and </w:t>
      </w:r>
      <w:r>
        <w:rPr>
          <w:rFonts w:ascii="Garamond" w:hAnsi="Garamond" w:cs="Times New Roman"/>
        </w:rPr>
        <w:t xml:space="preserve">the </w:t>
      </w:r>
      <w:r w:rsidRPr="000225CF">
        <w:rPr>
          <w:rFonts w:ascii="Garamond" w:hAnsi="Garamond" w:cs="Times New Roman"/>
        </w:rPr>
        <w:t xml:space="preserve">disclosure score as the average of </w:t>
      </w:r>
      <w:r>
        <w:rPr>
          <w:rFonts w:ascii="Garamond" w:hAnsi="Garamond" w:cs="Times New Roman"/>
        </w:rPr>
        <w:t xml:space="preserve">the </w:t>
      </w:r>
      <w:r w:rsidRPr="000225CF">
        <w:rPr>
          <w:rFonts w:ascii="Garamond" w:hAnsi="Garamond" w:cs="Times New Roman"/>
        </w:rPr>
        <w:t xml:space="preserve">environmental and social performance and disclosure score.  </w:t>
      </w:r>
    </w:p>
  </w:footnote>
  <w:footnote w:id="7">
    <w:p w14:paraId="7AE10873" w14:textId="72A56695" w:rsidR="00D907A6" w:rsidRPr="006C78EB" w:rsidRDefault="00D907A6" w:rsidP="004A1788">
      <w:pPr>
        <w:pStyle w:val="FootnoteText"/>
        <w:jc w:val="both"/>
        <w:rPr>
          <w:rFonts w:ascii="Garamond" w:hAnsi="Garamond" w:cs="Times New Roman"/>
        </w:rPr>
      </w:pPr>
      <w:r w:rsidRPr="006C78EB">
        <w:rPr>
          <w:rStyle w:val="FootnoteReference"/>
          <w:rFonts w:ascii="Garamond" w:hAnsi="Garamond" w:cs="Times New Roman"/>
        </w:rPr>
        <w:footnoteRef/>
      </w:r>
      <w:r w:rsidRPr="006C78EB">
        <w:rPr>
          <w:rFonts w:ascii="Garamond" w:hAnsi="Garamond" w:cs="Times New Roman"/>
        </w:rPr>
        <w:t xml:space="preserve"> The unreported results also confirm our main finding using the number and presence of female directors on the board as alternate proxies. These results are available upon request.</w:t>
      </w:r>
    </w:p>
  </w:footnote>
  <w:footnote w:id="8">
    <w:p w14:paraId="260E209C" w14:textId="77777777" w:rsidR="00D907A6" w:rsidRPr="006C78EB" w:rsidRDefault="00D907A6" w:rsidP="004A1788">
      <w:pPr>
        <w:pStyle w:val="FootnoteText"/>
        <w:rPr>
          <w:rFonts w:ascii="Garamond" w:hAnsi="Garamond" w:cs="Times New Roman"/>
        </w:rPr>
      </w:pPr>
      <w:r w:rsidRPr="006C78EB">
        <w:rPr>
          <w:rStyle w:val="FootnoteReference"/>
          <w:rFonts w:ascii="Garamond" w:hAnsi="Garamond" w:cs="Times New Roman"/>
        </w:rPr>
        <w:footnoteRef/>
      </w:r>
      <w:r w:rsidRPr="006C78EB">
        <w:rPr>
          <w:rFonts w:ascii="Garamond" w:hAnsi="Garamond" w:cs="Times New Roman"/>
        </w:rPr>
        <w:t xml:space="preserve"> </w:t>
      </w:r>
      <w:r w:rsidRPr="006C78EB">
        <w:rPr>
          <w:rFonts w:ascii="Garamond" w:hAnsi="Garamond" w:cs="Times New Roman"/>
          <w:i/>
          <w:iCs/>
        </w:rPr>
        <w:t>FPRO_DUMMY</w:t>
      </w:r>
      <w:r w:rsidRPr="006C78EB">
        <w:rPr>
          <w:rFonts w:ascii="Garamond" w:hAnsi="Garamond" w:cs="Times New Roman"/>
        </w:rPr>
        <w:t xml:space="preserve"> is coded 1 if </w:t>
      </w:r>
      <w:r w:rsidRPr="006C78EB">
        <w:rPr>
          <w:rFonts w:ascii="Garamond" w:hAnsi="Garamond" w:cs="Times New Roman"/>
          <w:i/>
          <w:iCs/>
        </w:rPr>
        <w:t>FPRO</w:t>
      </w:r>
      <w:r w:rsidRPr="006C78EB">
        <w:rPr>
          <w:rFonts w:ascii="Garamond" w:hAnsi="Garamond" w:cs="Times New Roman"/>
        </w:rPr>
        <w:t xml:space="preserve"> is higher than the industry-year average and 0 otherwise.</w:t>
      </w:r>
    </w:p>
  </w:footnote>
  <w:footnote w:id="9">
    <w:p w14:paraId="0705CBD4" w14:textId="5C247404" w:rsidR="00D907A6" w:rsidRPr="006C78EB" w:rsidRDefault="00D907A6" w:rsidP="004A1788">
      <w:pPr>
        <w:spacing w:after="0" w:line="240" w:lineRule="auto"/>
        <w:jc w:val="both"/>
        <w:rPr>
          <w:rFonts w:ascii="Times New Roman" w:hAnsi="Times New Roman" w:cs="Times New Roman"/>
          <w:sz w:val="20"/>
          <w:szCs w:val="20"/>
          <w:lang w:val="en-US"/>
        </w:rPr>
      </w:pPr>
      <w:r w:rsidRPr="00F307AC">
        <w:rPr>
          <w:rStyle w:val="FootnoteReference"/>
          <w:rFonts w:ascii="Garamond" w:hAnsi="Garamond" w:cs="Times New Roman"/>
          <w:sz w:val="20"/>
          <w:szCs w:val="20"/>
        </w:rPr>
        <w:footnoteRef/>
      </w:r>
      <w:r w:rsidRPr="009F2B5E">
        <w:rPr>
          <w:rFonts w:ascii="Garamond" w:hAnsi="Garamond" w:cs="Times New Roman"/>
          <w:sz w:val="20"/>
          <w:szCs w:val="20"/>
          <w:lang w:val="en-US"/>
        </w:rPr>
        <w:t xml:space="preserve"> </w:t>
      </w:r>
      <w:r w:rsidRPr="006C78EB">
        <w:rPr>
          <w:rFonts w:ascii="Garamond" w:hAnsi="Garamond" w:cs="Times New Roman"/>
          <w:sz w:val="20"/>
          <w:szCs w:val="20"/>
          <w:lang w:val="en-US"/>
        </w:rPr>
        <w:t>We use the nearest-neighbor option and set the maximum PSM matching difference at 1%.</w:t>
      </w:r>
    </w:p>
  </w:footnote>
  <w:footnote w:id="10">
    <w:p w14:paraId="37E6893B" w14:textId="0BBB6334" w:rsidR="00D907A6" w:rsidRPr="004E1B0F" w:rsidRDefault="00D907A6" w:rsidP="00444319">
      <w:pPr>
        <w:pStyle w:val="FootnoteText"/>
        <w:jc w:val="both"/>
        <w:rPr>
          <w:rFonts w:ascii="Garamond" w:hAnsi="Garamond"/>
          <w:color w:val="00B050"/>
        </w:rPr>
      </w:pPr>
      <w:r w:rsidRPr="003405A5">
        <w:rPr>
          <w:rStyle w:val="FootnoteReference"/>
          <w:rFonts w:ascii="Garamond" w:hAnsi="Garamond"/>
          <w:color w:val="00B050"/>
        </w:rPr>
        <w:footnoteRef/>
      </w:r>
      <w:r w:rsidRPr="003405A5">
        <w:rPr>
          <w:rFonts w:ascii="Garamond" w:hAnsi="Garamond"/>
          <w:color w:val="00B050"/>
        </w:rPr>
        <w:t xml:space="preserve"> Additionally, we analyse the effect of male versus female independent directors on CSR decoupling. The female independent directors show significantly higher effect than their male counterparts. These results are available upon request.</w:t>
      </w:r>
      <w:r w:rsidRPr="004E1B0F">
        <w:rPr>
          <w:rFonts w:ascii="Garamond" w:hAnsi="Garamond"/>
          <w:color w:val="00B050"/>
        </w:rPr>
        <w:t xml:space="preserve"> </w:t>
      </w:r>
    </w:p>
  </w:footnote>
  <w:footnote w:id="11">
    <w:p w14:paraId="186C3951" w14:textId="4820CB48" w:rsidR="00D907A6" w:rsidRPr="00A26021" w:rsidRDefault="00D907A6" w:rsidP="007C344D">
      <w:pPr>
        <w:pStyle w:val="FootnoteText"/>
        <w:jc w:val="both"/>
      </w:pPr>
      <w:r w:rsidRPr="00E84DA1">
        <w:rPr>
          <w:rStyle w:val="FootnoteReference"/>
        </w:rPr>
        <w:footnoteRef/>
      </w:r>
      <w:r w:rsidRPr="00E84DA1">
        <w:t xml:space="preserve"> </w:t>
      </w:r>
      <w:r w:rsidRPr="00E84DA1">
        <w:rPr>
          <w:rFonts w:ascii="Garamond" w:hAnsi="Garamond"/>
          <w:i/>
          <w:iCs/>
        </w:rPr>
        <w:t>GAP1</w:t>
      </w:r>
      <w:r w:rsidRPr="00E84DA1">
        <w:rPr>
          <w:rFonts w:ascii="Garamond" w:hAnsi="Garamond"/>
        </w:rPr>
        <w:t xml:space="preserve"> is a difference between current CSR disclosure score form Bloomberg and lagged CSR performance score from the Asset4. Bloomberg disclosure score is from Bloomberg database which has a global coverage of more than 11000 firms (Eccles</w:t>
      </w:r>
      <w:r>
        <w:rPr>
          <w:rFonts w:ascii="Garamond" w:hAnsi="Garamond"/>
        </w:rPr>
        <w:t>, Serafeim and Krzus</w:t>
      </w:r>
      <w:r w:rsidRPr="00E84DA1">
        <w:rPr>
          <w:rFonts w:ascii="Garamond" w:hAnsi="Garamond"/>
        </w:rPr>
        <w:t xml:space="preserve">, 2011; Ioannou </w:t>
      </w:r>
      <w:r>
        <w:rPr>
          <w:rFonts w:ascii="Garamond" w:hAnsi="Garamond"/>
        </w:rPr>
        <w:t>and</w:t>
      </w:r>
      <w:r w:rsidRPr="00E84DA1">
        <w:rPr>
          <w:rFonts w:ascii="Garamond" w:hAnsi="Garamond"/>
        </w:rPr>
        <w:t xml:space="preserve"> Serafeim, 2017; Grewal, Riedl </w:t>
      </w:r>
      <w:r>
        <w:rPr>
          <w:rFonts w:ascii="Garamond" w:hAnsi="Garamond"/>
        </w:rPr>
        <w:t>and</w:t>
      </w:r>
      <w:r w:rsidRPr="00E84DA1">
        <w:rPr>
          <w:rFonts w:ascii="Garamond" w:hAnsi="Garamond"/>
        </w:rPr>
        <w:t xml:space="preserve"> Serafeim, 2019). We use the disclosure scores as a measure of external actions of sample firms (García-Sánchez et al., 2020). This score determines level of self-disclosed information related various ESG related issues. Environmental disclosure data covers various sub-dimensions e.g., emissions, use of renewable energy, management of waste, use of water, and operational policies around environmental impact. Similarly, social score provides information about; human resources, products, and impact of company’s policies and operations on communities. Finally, the information on governance pillar covers information on the internal governance structure of a firm.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F1187" w14:textId="32399CF3" w:rsidR="00D907A6" w:rsidRPr="007C344D" w:rsidRDefault="00D907A6">
    <w:pPr>
      <w:pStyle w:val="Header"/>
      <w:rPr>
        <w:rFonts w:ascii="Garamond" w:hAnsi="Garamond"/>
        <w:lang w:val="en-GB"/>
      </w:rPr>
    </w:pPr>
    <w:r w:rsidRPr="007C344D">
      <w:rPr>
        <w:rFonts w:ascii="Garamond" w:hAnsi="Garamond"/>
        <w:lang w:val="en-GB"/>
      </w:rPr>
      <w:t>BGD and CSR Decoupling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F65"/>
    <w:multiLevelType w:val="hybridMultilevel"/>
    <w:tmpl w:val="3C1A0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CF34F7"/>
    <w:multiLevelType w:val="hybridMultilevel"/>
    <w:tmpl w:val="5BCAC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5F0C90"/>
    <w:multiLevelType w:val="hybridMultilevel"/>
    <w:tmpl w:val="D9588968"/>
    <w:lvl w:ilvl="0" w:tplc="D20A8380">
      <w:start w:val="1"/>
      <w:numFmt w:val="decimal"/>
      <w:lvlText w:val="%1."/>
      <w:lvlJc w:val="left"/>
      <w:pPr>
        <w:ind w:left="720" w:hanging="360"/>
      </w:pPr>
      <w:rPr>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006660"/>
    <w:multiLevelType w:val="hybridMultilevel"/>
    <w:tmpl w:val="B8D20508"/>
    <w:lvl w:ilvl="0" w:tplc="519059D8">
      <w:start w:val="13"/>
      <w:numFmt w:val="decimal"/>
      <w:lvlText w:val="%1."/>
      <w:lvlJc w:val="left"/>
      <w:pPr>
        <w:ind w:left="297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681096"/>
    <w:multiLevelType w:val="hybridMultilevel"/>
    <w:tmpl w:val="7FE03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1652AC"/>
    <w:multiLevelType w:val="hybridMultilevel"/>
    <w:tmpl w:val="6CA20CD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45B336F3"/>
    <w:multiLevelType w:val="hybridMultilevel"/>
    <w:tmpl w:val="84B21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E205C1"/>
    <w:multiLevelType w:val="multilevel"/>
    <w:tmpl w:val="FF2C0238"/>
    <w:lvl w:ilvl="0">
      <w:start w:val="1"/>
      <w:numFmt w:val="upperRoman"/>
      <w:lvlText w:val="%1."/>
      <w:lvlJc w:val="righ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1614D8C"/>
    <w:multiLevelType w:val="hybridMultilevel"/>
    <w:tmpl w:val="4C502E26"/>
    <w:lvl w:ilvl="0" w:tplc="1CB6C57C">
      <w:start w:val="12"/>
      <w:numFmt w:val="decimal"/>
      <w:lvlText w:val="%1."/>
      <w:lvlJc w:val="lef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763F2F"/>
    <w:multiLevelType w:val="hybridMultilevel"/>
    <w:tmpl w:val="3C1A0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DB4E13"/>
    <w:multiLevelType w:val="hybridMultilevel"/>
    <w:tmpl w:val="E42C0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1260644">
    <w:abstractNumId w:val="5"/>
  </w:num>
  <w:num w:numId="2" w16cid:durableId="734812529">
    <w:abstractNumId w:val="6"/>
  </w:num>
  <w:num w:numId="3" w16cid:durableId="1400635414">
    <w:abstractNumId w:val="1"/>
  </w:num>
  <w:num w:numId="4" w16cid:durableId="414520094">
    <w:abstractNumId w:val="2"/>
  </w:num>
  <w:num w:numId="5" w16cid:durableId="24867255">
    <w:abstractNumId w:val="4"/>
  </w:num>
  <w:num w:numId="6" w16cid:durableId="281376898">
    <w:abstractNumId w:val="10"/>
  </w:num>
  <w:num w:numId="7" w16cid:durableId="518618880">
    <w:abstractNumId w:val="3"/>
  </w:num>
  <w:num w:numId="8" w16cid:durableId="881021740">
    <w:abstractNumId w:val="8"/>
  </w:num>
  <w:num w:numId="9" w16cid:durableId="1276904834">
    <w:abstractNumId w:val="7"/>
  </w:num>
  <w:num w:numId="10" w16cid:durableId="60099000">
    <w:abstractNumId w:val="9"/>
  </w:num>
  <w:num w:numId="11" w16cid:durableId="1278413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fr-FR" w:vendorID="64" w:dllVersion="6" w:nlCheck="1" w:checkStyle="0"/>
  <w:activeWritingStyle w:appName="MSWord" w:lang="en-NZ" w:vendorID="64" w:dllVersion="6" w:nlCheck="1" w:checkStyle="1"/>
  <w:activeWritingStyle w:appName="MSWord" w:lang="en-GB" w:vendorID="64" w:dllVersion="6" w:nlCheck="1" w:checkStyle="1"/>
  <w:activeWritingStyle w:appName="MSWord" w:lang="en-US" w:vendorID="64" w:dllVersion="6" w:nlCheck="1" w:checkStyle="1"/>
  <w:activeWritingStyle w:appName="MSWord" w:lang="en-NZ" w:vendorID="64" w:dllVersion="0" w:nlCheck="1" w:checkStyle="0"/>
  <w:activeWritingStyle w:appName="MSWord" w:lang="fr-FR" w:vendorID="64" w:dllVersion="0" w:nlCheck="1" w:checkStyle="0"/>
  <w:activeWritingStyle w:appName="MSWord" w:lang="en-GB" w:vendorID="64" w:dllVersion="0" w:nlCheck="1" w:checkStyle="0"/>
  <w:activeWritingStyle w:appName="MSWord" w:lang="nl-NL" w:vendorID="64" w:dllVersion="0" w:nlCheck="1" w:checkStyle="0"/>
  <w:activeWritingStyle w:appName="MSWord" w:lang="en-US" w:vendorID="64" w:dllVersion="0" w:nlCheck="1" w:checkStyle="0"/>
  <w:activeWritingStyle w:appName="MSWord" w:lang="de-DE" w:vendorID="64" w:dllVersion="0" w:nlCheck="1" w:checkStyle="0"/>
  <w:activeWritingStyle w:appName="MSWord" w:lang="en-IE" w:vendorID="64" w:dllVersion="6" w:nlCheck="1" w:checkStyle="1"/>
  <w:activeWritingStyle w:appName="MSWord" w:lang="en-IE" w:vendorID="64" w:dllVersion="0" w:nlCheck="1" w:checkStyle="0"/>
  <w:activeWritingStyle w:appName="MSWord" w:lang="nl-NL" w:vendorID="64" w:dllVersion="6" w:nlCheck="1" w:checkStyle="0"/>
  <w:activeWritingStyle w:appName="MSWord" w:lang="de-DE" w:vendorID="64" w:dllVersion="6"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4A0"/>
    <w:rsid w:val="00002213"/>
    <w:rsid w:val="000024C4"/>
    <w:rsid w:val="00002F38"/>
    <w:rsid w:val="00007CC4"/>
    <w:rsid w:val="0001154E"/>
    <w:rsid w:val="0001236E"/>
    <w:rsid w:val="00013370"/>
    <w:rsid w:val="0001514E"/>
    <w:rsid w:val="00017940"/>
    <w:rsid w:val="000202E5"/>
    <w:rsid w:val="00020729"/>
    <w:rsid w:val="000215FB"/>
    <w:rsid w:val="00021E0A"/>
    <w:rsid w:val="000225CF"/>
    <w:rsid w:val="00025BAC"/>
    <w:rsid w:val="00027110"/>
    <w:rsid w:val="0003043F"/>
    <w:rsid w:val="00031E7A"/>
    <w:rsid w:val="0003391A"/>
    <w:rsid w:val="000346B3"/>
    <w:rsid w:val="00035294"/>
    <w:rsid w:val="0003712B"/>
    <w:rsid w:val="0003732E"/>
    <w:rsid w:val="00037BFD"/>
    <w:rsid w:val="000403C4"/>
    <w:rsid w:val="00040570"/>
    <w:rsid w:val="00040C02"/>
    <w:rsid w:val="000410EF"/>
    <w:rsid w:val="0004672E"/>
    <w:rsid w:val="00046900"/>
    <w:rsid w:val="000473DF"/>
    <w:rsid w:val="00047453"/>
    <w:rsid w:val="00047B63"/>
    <w:rsid w:val="000504E9"/>
    <w:rsid w:val="0005095A"/>
    <w:rsid w:val="00050EFE"/>
    <w:rsid w:val="000523DF"/>
    <w:rsid w:val="00052C7F"/>
    <w:rsid w:val="00052FB6"/>
    <w:rsid w:val="00053473"/>
    <w:rsid w:val="0005361D"/>
    <w:rsid w:val="00056B33"/>
    <w:rsid w:val="00060F13"/>
    <w:rsid w:val="00063332"/>
    <w:rsid w:val="00066983"/>
    <w:rsid w:val="00067C12"/>
    <w:rsid w:val="0007086F"/>
    <w:rsid w:val="00070B12"/>
    <w:rsid w:val="00070D55"/>
    <w:rsid w:val="00071BF5"/>
    <w:rsid w:val="00073C08"/>
    <w:rsid w:val="00076790"/>
    <w:rsid w:val="00077524"/>
    <w:rsid w:val="00081670"/>
    <w:rsid w:val="000829AD"/>
    <w:rsid w:val="00084CBC"/>
    <w:rsid w:val="00084CD7"/>
    <w:rsid w:val="00085813"/>
    <w:rsid w:val="0008589B"/>
    <w:rsid w:val="00090A71"/>
    <w:rsid w:val="00090C18"/>
    <w:rsid w:val="00091498"/>
    <w:rsid w:val="00091658"/>
    <w:rsid w:val="000917AE"/>
    <w:rsid w:val="00092044"/>
    <w:rsid w:val="000922B7"/>
    <w:rsid w:val="000967B4"/>
    <w:rsid w:val="00097E3B"/>
    <w:rsid w:val="000A0FFE"/>
    <w:rsid w:val="000A1B12"/>
    <w:rsid w:val="000A32D5"/>
    <w:rsid w:val="000A4AA1"/>
    <w:rsid w:val="000A7B98"/>
    <w:rsid w:val="000B1EAB"/>
    <w:rsid w:val="000B4782"/>
    <w:rsid w:val="000B4DE4"/>
    <w:rsid w:val="000B50CA"/>
    <w:rsid w:val="000B514D"/>
    <w:rsid w:val="000B6151"/>
    <w:rsid w:val="000B6A99"/>
    <w:rsid w:val="000B6E11"/>
    <w:rsid w:val="000B7189"/>
    <w:rsid w:val="000C41AB"/>
    <w:rsid w:val="000C4956"/>
    <w:rsid w:val="000C51F6"/>
    <w:rsid w:val="000C746C"/>
    <w:rsid w:val="000D139C"/>
    <w:rsid w:val="000D1A14"/>
    <w:rsid w:val="000D4315"/>
    <w:rsid w:val="000D6306"/>
    <w:rsid w:val="000D65B0"/>
    <w:rsid w:val="000D6AAC"/>
    <w:rsid w:val="000D6B45"/>
    <w:rsid w:val="000E0698"/>
    <w:rsid w:val="000E0A07"/>
    <w:rsid w:val="000E2179"/>
    <w:rsid w:val="000E763C"/>
    <w:rsid w:val="000E7943"/>
    <w:rsid w:val="000E7E7E"/>
    <w:rsid w:val="000F080A"/>
    <w:rsid w:val="000F19BD"/>
    <w:rsid w:val="000F2009"/>
    <w:rsid w:val="000F2446"/>
    <w:rsid w:val="000F35EA"/>
    <w:rsid w:val="000F3AC9"/>
    <w:rsid w:val="000F4539"/>
    <w:rsid w:val="000F7B8A"/>
    <w:rsid w:val="001027A9"/>
    <w:rsid w:val="001035AE"/>
    <w:rsid w:val="00103F97"/>
    <w:rsid w:val="00104E77"/>
    <w:rsid w:val="001052C0"/>
    <w:rsid w:val="0010558A"/>
    <w:rsid w:val="00105E46"/>
    <w:rsid w:val="00107B76"/>
    <w:rsid w:val="00107CAA"/>
    <w:rsid w:val="001116FF"/>
    <w:rsid w:val="00111B62"/>
    <w:rsid w:val="00112B2F"/>
    <w:rsid w:val="00114AEF"/>
    <w:rsid w:val="00115F63"/>
    <w:rsid w:val="001163F8"/>
    <w:rsid w:val="00120FC5"/>
    <w:rsid w:val="001243E1"/>
    <w:rsid w:val="00127820"/>
    <w:rsid w:val="00130B39"/>
    <w:rsid w:val="00130EA2"/>
    <w:rsid w:val="001325DB"/>
    <w:rsid w:val="00136D89"/>
    <w:rsid w:val="001409B1"/>
    <w:rsid w:val="00152B25"/>
    <w:rsid w:val="00153D7C"/>
    <w:rsid w:val="00154AC4"/>
    <w:rsid w:val="001554D1"/>
    <w:rsid w:val="00157FE6"/>
    <w:rsid w:val="001605B9"/>
    <w:rsid w:val="001637B2"/>
    <w:rsid w:val="0016407C"/>
    <w:rsid w:val="00167342"/>
    <w:rsid w:val="001679A6"/>
    <w:rsid w:val="00167E10"/>
    <w:rsid w:val="00170B6C"/>
    <w:rsid w:val="00171487"/>
    <w:rsid w:val="001714F7"/>
    <w:rsid w:val="00171512"/>
    <w:rsid w:val="00172030"/>
    <w:rsid w:val="0017745A"/>
    <w:rsid w:val="00180F70"/>
    <w:rsid w:val="0018165A"/>
    <w:rsid w:val="00183FE4"/>
    <w:rsid w:val="00186302"/>
    <w:rsid w:val="0018648C"/>
    <w:rsid w:val="00187BC9"/>
    <w:rsid w:val="00190847"/>
    <w:rsid w:val="00192703"/>
    <w:rsid w:val="00193190"/>
    <w:rsid w:val="001941AC"/>
    <w:rsid w:val="00194370"/>
    <w:rsid w:val="00195D0C"/>
    <w:rsid w:val="001968A2"/>
    <w:rsid w:val="001A0ED3"/>
    <w:rsid w:val="001A170B"/>
    <w:rsid w:val="001A2543"/>
    <w:rsid w:val="001A338A"/>
    <w:rsid w:val="001B04B6"/>
    <w:rsid w:val="001B29E3"/>
    <w:rsid w:val="001B3820"/>
    <w:rsid w:val="001B3B23"/>
    <w:rsid w:val="001B5420"/>
    <w:rsid w:val="001B6B64"/>
    <w:rsid w:val="001B7C96"/>
    <w:rsid w:val="001C1287"/>
    <w:rsid w:val="001C1EDE"/>
    <w:rsid w:val="001C3A04"/>
    <w:rsid w:val="001C4EDE"/>
    <w:rsid w:val="001C5F0B"/>
    <w:rsid w:val="001C7254"/>
    <w:rsid w:val="001D005E"/>
    <w:rsid w:val="001D0A01"/>
    <w:rsid w:val="001D0CC3"/>
    <w:rsid w:val="001D22C8"/>
    <w:rsid w:val="001D5815"/>
    <w:rsid w:val="001D5D92"/>
    <w:rsid w:val="001D6D3C"/>
    <w:rsid w:val="001E0C5C"/>
    <w:rsid w:val="001E107A"/>
    <w:rsid w:val="001E201D"/>
    <w:rsid w:val="001E2EC6"/>
    <w:rsid w:val="001E31C8"/>
    <w:rsid w:val="001E3561"/>
    <w:rsid w:val="001E4F30"/>
    <w:rsid w:val="001F1D68"/>
    <w:rsid w:val="001F4505"/>
    <w:rsid w:val="001F6D3A"/>
    <w:rsid w:val="001F7966"/>
    <w:rsid w:val="001F7E27"/>
    <w:rsid w:val="0020127C"/>
    <w:rsid w:val="0020144A"/>
    <w:rsid w:val="00201E78"/>
    <w:rsid w:val="0021243B"/>
    <w:rsid w:val="00212C02"/>
    <w:rsid w:val="00213A94"/>
    <w:rsid w:val="00221462"/>
    <w:rsid w:val="0022168D"/>
    <w:rsid w:val="00221973"/>
    <w:rsid w:val="00221D0C"/>
    <w:rsid w:val="00223185"/>
    <w:rsid w:val="00223735"/>
    <w:rsid w:val="00227012"/>
    <w:rsid w:val="00227C8C"/>
    <w:rsid w:val="0023013B"/>
    <w:rsid w:val="002332A3"/>
    <w:rsid w:val="002347A0"/>
    <w:rsid w:val="00234E02"/>
    <w:rsid w:val="00235150"/>
    <w:rsid w:val="0023730F"/>
    <w:rsid w:val="002379DD"/>
    <w:rsid w:val="00237AB3"/>
    <w:rsid w:val="00240F0C"/>
    <w:rsid w:val="0024117B"/>
    <w:rsid w:val="002426FF"/>
    <w:rsid w:val="002461D3"/>
    <w:rsid w:val="00253A57"/>
    <w:rsid w:val="00261134"/>
    <w:rsid w:val="00261815"/>
    <w:rsid w:val="00261CA4"/>
    <w:rsid w:val="00264E7C"/>
    <w:rsid w:val="0026597C"/>
    <w:rsid w:val="00267719"/>
    <w:rsid w:val="00272630"/>
    <w:rsid w:val="0027288B"/>
    <w:rsid w:val="002730A7"/>
    <w:rsid w:val="00275E95"/>
    <w:rsid w:val="002806E6"/>
    <w:rsid w:val="00281865"/>
    <w:rsid w:val="00282C18"/>
    <w:rsid w:val="00283838"/>
    <w:rsid w:val="00286C8B"/>
    <w:rsid w:val="00291EF2"/>
    <w:rsid w:val="0029290D"/>
    <w:rsid w:val="00294D3D"/>
    <w:rsid w:val="002978B2"/>
    <w:rsid w:val="002A17C4"/>
    <w:rsid w:val="002A2ED3"/>
    <w:rsid w:val="002A3F5A"/>
    <w:rsid w:val="002A781E"/>
    <w:rsid w:val="002B052E"/>
    <w:rsid w:val="002B0B1A"/>
    <w:rsid w:val="002B0CAF"/>
    <w:rsid w:val="002B4533"/>
    <w:rsid w:val="002B6A85"/>
    <w:rsid w:val="002B7192"/>
    <w:rsid w:val="002B749F"/>
    <w:rsid w:val="002C07A0"/>
    <w:rsid w:val="002C0DEE"/>
    <w:rsid w:val="002C1145"/>
    <w:rsid w:val="002C3C4C"/>
    <w:rsid w:val="002C3C67"/>
    <w:rsid w:val="002C3DC4"/>
    <w:rsid w:val="002C4F3F"/>
    <w:rsid w:val="002C6CFD"/>
    <w:rsid w:val="002D0C23"/>
    <w:rsid w:val="002D369E"/>
    <w:rsid w:val="002D5689"/>
    <w:rsid w:val="002D7A16"/>
    <w:rsid w:val="002E14AB"/>
    <w:rsid w:val="002E18E3"/>
    <w:rsid w:val="002E32EB"/>
    <w:rsid w:val="002E3FFF"/>
    <w:rsid w:val="002E69C8"/>
    <w:rsid w:val="002F6615"/>
    <w:rsid w:val="002F7D8D"/>
    <w:rsid w:val="0030472A"/>
    <w:rsid w:val="00307446"/>
    <w:rsid w:val="00310421"/>
    <w:rsid w:val="00311875"/>
    <w:rsid w:val="00311ED0"/>
    <w:rsid w:val="00314F99"/>
    <w:rsid w:val="00316442"/>
    <w:rsid w:val="00316CBD"/>
    <w:rsid w:val="00320815"/>
    <w:rsid w:val="00320E91"/>
    <w:rsid w:val="00325511"/>
    <w:rsid w:val="003265D7"/>
    <w:rsid w:val="00332961"/>
    <w:rsid w:val="00332F5F"/>
    <w:rsid w:val="00333CB4"/>
    <w:rsid w:val="00334623"/>
    <w:rsid w:val="00335DB9"/>
    <w:rsid w:val="0033763B"/>
    <w:rsid w:val="00337B59"/>
    <w:rsid w:val="003405A5"/>
    <w:rsid w:val="00342429"/>
    <w:rsid w:val="00342708"/>
    <w:rsid w:val="00343216"/>
    <w:rsid w:val="003433DF"/>
    <w:rsid w:val="00343410"/>
    <w:rsid w:val="00343E5E"/>
    <w:rsid w:val="00344BF2"/>
    <w:rsid w:val="0034594B"/>
    <w:rsid w:val="003500BA"/>
    <w:rsid w:val="00352B60"/>
    <w:rsid w:val="00352DDD"/>
    <w:rsid w:val="00353468"/>
    <w:rsid w:val="003539F9"/>
    <w:rsid w:val="00353A1A"/>
    <w:rsid w:val="00354BCE"/>
    <w:rsid w:val="003551D5"/>
    <w:rsid w:val="0035602C"/>
    <w:rsid w:val="00356E31"/>
    <w:rsid w:val="00357102"/>
    <w:rsid w:val="00357E8E"/>
    <w:rsid w:val="00360D1F"/>
    <w:rsid w:val="003612AD"/>
    <w:rsid w:val="00363045"/>
    <w:rsid w:val="003648D4"/>
    <w:rsid w:val="00365782"/>
    <w:rsid w:val="003707D3"/>
    <w:rsid w:val="00371067"/>
    <w:rsid w:val="00372EB6"/>
    <w:rsid w:val="0037479E"/>
    <w:rsid w:val="00374931"/>
    <w:rsid w:val="0037737A"/>
    <w:rsid w:val="00380149"/>
    <w:rsid w:val="00381AB0"/>
    <w:rsid w:val="0038223E"/>
    <w:rsid w:val="00382A9D"/>
    <w:rsid w:val="00383173"/>
    <w:rsid w:val="0038467D"/>
    <w:rsid w:val="00385D7B"/>
    <w:rsid w:val="0038749B"/>
    <w:rsid w:val="00387E86"/>
    <w:rsid w:val="0039034C"/>
    <w:rsid w:val="003932D0"/>
    <w:rsid w:val="0039479D"/>
    <w:rsid w:val="00395632"/>
    <w:rsid w:val="00396EE0"/>
    <w:rsid w:val="003A0F41"/>
    <w:rsid w:val="003A232E"/>
    <w:rsid w:val="003A33CF"/>
    <w:rsid w:val="003A44E8"/>
    <w:rsid w:val="003A4E99"/>
    <w:rsid w:val="003A681D"/>
    <w:rsid w:val="003A7172"/>
    <w:rsid w:val="003A7596"/>
    <w:rsid w:val="003B15B1"/>
    <w:rsid w:val="003B61C0"/>
    <w:rsid w:val="003B664A"/>
    <w:rsid w:val="003C63CF"/>
    <w:rsid w:val="003C7DF7"/>
    <w:rsid w:val="003D0895"/>
    <w:rsid w:val="003D3A5E"/>
    <w:rsid w:val="003D45E1"/>
    <w:rsid w:val="003D54CF"/>
    <w:rsid w:val="003D6757"/>
    <w:rsid w:val="003D67B8"/>
    <w:rsid w:val="003D7B46"/>
    <w:rsid w:val="003E0C04"/>
    <w:rsid w:val="003E1F06"/>
    <w:rsid w:val="003E32FF"/>
    <w:rsid w:val="003E414D"/>
    <w:rsid w:val="003F070C"/>
    <w:rsid w:val="003F0E96"/>
    <w:rsid w:val="003F1483"/>
    <w:rsid w:val="003F1F96"/>
    <w:rsid w:val="003F2465"/>
    <w:rsid w:val="003F3C0E"/>
    <w:rsid w:val="003F5B66"/>
    <w:rsid w:val="003F641B"/>
    <w:rsid w:val="0040242B"/>
    <w:rsid w:val="00402B57"/>
    <w:rsid w:val="0040486F"/>
    <w:rsid w:val="00406FEA"/>
    <w:rsid w:val="00410C9B"/>
    <w:rsid w:val="00411B52"/>
    <w:rsid w:val="00416103"/>
    <w:rsid w:val="00420007"/>
    <w:rsid w:val="00420828"/>
    <w:rsid w:val="0042166C"/>
    <w:rsid w:val="00423043"/>
    <w:rsid w:val="004231C3"/>
    <w:rsid w:val="0042366C"/>
    <w:rsid w:val="00423AFB"/>
    <w:rsid w:val="00427DED"/>
    <w:rsid w:val="00430710"/>
    <w:rsid w:val="004316A0"/>
    <w:rsid w:val="0043693D"/>
    <w:rsid w:val="0044026F"/>
    <w:rsid w:val="00440292"/>
    <w:rsid w:val="00440774"/>
    <w:rsid w:val="00440FB9"/>
    <w:rsid w:val="00442E7B"/>
    <w:rsid w:val="004436F2"/>
    <w:rsid w:val="00444319"/>
    <w:rsid w:val="00444533"/>
    <w:rsid w:val="00444BC4"/>
    <w:rsid w:val="00446045"/>
    <w:rsid w:val="00451BA2"/>
    <w:rsid w:val="00451FCB"/>
    <w:rsid w:val="004551F7"/>
    <w:rsid w:val="004565E9"/>
    <w:rsid w:val="00457379"/>
    <w:rsid w:val="00460599"/>
    <w:rsid w:val="00461120"/>
    <w:rsid w:val="00461351"/>
    <w:rsid w:val="0046195B"/>
    <w:rsid w:val="00462D81"/>
    <w:rsid w:val="00462EC0"/>
    <w:rsid w:val="00463240"/>
    <w:rsid w:val="00463D19"/>
    <w:rsid w:val="004649F2"/>
    <w:rsid w:val="00465D14"/>
    <w:rsid w:val="00465D4A"/>
    <w:rsid w:val="00466D83"/>
    <w:rsid w:val="004672DC"/>
    <w:rsid w:val="00467DED"/>
    <w:rsid w:val="0047092F"/>
    <w:rsid w:val="004719A6"/>
    <w:rsid w:val="0047488B"/>
    <w:rsid w:val="0048051C"/>
    <w:rsid w:val="00480CEC"/>
    <w:rsid w:val="004822C9"/>
    <w:rsid w:val="004823AA"/>
    <w:rsid w:val="0048269B"/>
    <w:rsid w:val="00482867"/>
    <w:rsid w:val="00485886"/>
    <w:rsid w:val="00485C9D"/>
    <w:rsid w:val="00487798"/>
    <w:rsid w:val="00491A07"/>
    <w:rsid w:val="00491D4A"/>
    <w:rsid w:val="00492B3A"/>
    <w:rsid w:val="00497398"/>
    <w:rsid w:val="004A1788"/>
    <w:rsid w:val="004A1E6A"/>
    <w:rsid w:val="004A3911"/>
    <w:rsid w:val="004A4407"/>
    <w:rsid w:val="004B005A"/>
    <w:rsid w:val="004B0626"/>
    <w:rsid w:val="004B1E6A"/>
    <w:rsid w:val="004B606F"/>
    <w:rsid w:val="004B7B0B"/>
    <w:rsid w:val="004B7C7D"/>
    <w:rsid w:val="004B7EF1"/>
    <w:rsid w:val="004C01B2"/>
    <w:rsid w:val="004C18FE"/>
    <w:rsid w:val="004C1D9E"/>
    <w:rsid w:val="004C2C3B"/>
    <w:rsid w:val="004C4E52"/>
    <w:rsid w:val="004C4F71"/>
    <w:rsid w:val="004C7738"/>
    <w:rsid w:val="004D0C52"/>
    <w:rsid w:val="004D1AF8"/>
    <w:rsid w:val="004D2729"/>
    <w:rsid w:val="004D3A0E"/>
    <w:rsid w:val="004D5351"/>
    <w:rsid w:val="004D69C5"/>
    <w:rsid w:val="004E073A"/>
    <w:rsid w:val="004E0E8D"/>
    <w:rsid w:val="004E1B0F"/>
    <w:rsid w:val="004E1C12"/>
    <w:rsid w:val="004E3569"/>
    <w:rsid w:val="004E419A"/>
    <w:rsid w:val="004E5C3B"/>
    <w:rsid w:val="004F02B5"/>
    <w:rsid w:val="004F51A6"/>
    <w:rsid w:val="004F6F34"/>
    <w:rsid w:val="004F73D1"/>
    <w:rsid w:val="004F7AB2"/>
    <w:rsid w:val="0050089B"/>
    <w:rsid w:val="005029D2"/>
    <w:rsid w:val="00503B25"/>
    <w:rsid w:val="0050405C"/>
    <w:rsid w:val="00505EB7"/>
    <w:rsid w:val="005074F7"/>
    <w:rsid w:val="0051116B"/>
    <w:rsid w:val="005129A3"/>
    <w:rsid w:val="00514FC9"/>
    <w:rsid w:val="00515DFE"/>
    <w:rsid w:val="00517901"/>
    <w:rsid w:val="0052330C"/>
    <w:rsid w:val="00524C8E"/>
    <w:rsid w:val="00526AD0"/>
    <w:rsid w:val="00527C86"/>
    <w:rsid w:val="00530EE0"/>
    <w:rsid w:val="00532545"/>
    <w:rsid w:val="00533019"/>
    <w:rsid w:val="0053335D"/>
    <w:rsid w:val="00540540"/>
    <w:rsid w:val="0054121A"/>
    <w:rsid w:val="00542BAB"/>
    <w:rsid w:val="00544C70"/>
    <w:rsid w:val="005475B1"/>
    <w:rsid w:val="0055324C"/>
    <w:rsid w:val="00560E52"/>
    <w:rsid w:val="00561091"/>
    <w:rsid w:val="005613DC"/>
    <w:rsid w:val="00562143"/>
    <w:rsid w:val="00562C8C"/>
    <w:rsid w:val="00563146"/>
    <w:rsid w:val="00563E2B"/>
    <w:rsid w:val="00567785"/>
    <w:rsid w:val="00572708"/>
    <w:rsid w:val="00572B3F"/>
    <w:rsid w:val="0057312E"/>
    <w:rsid w:val="00574097"/>
    <w:rsid w:val="00574BA8"/>
    <w:rsid w:val="00576A2B"/>
    <w:rsid w:val="00577A03"/>
    <w:rsid w:val="0058072D"/>
    <w:rsid w:val="00580830"/>
    <w:rsid w:val="00582572"/>
    <w:rsid w:val="00582943"/>
    <w:rsid w:val="00584116"/>
    <w:rsid w:val="005845A9"/>
    <w:rsid w:val="00590F7C"/>
    <w:rsid w:val="0059116B"/>
    <w:rsid w:val="0059285B"/>
    <w:rsid w:val="00592953"/>
    <w:rsid w:val="00593F12"/>
    <w:rsid w:val="005940D4"/>
    <w:rsid w:val="0059572A"/>
    <w:rsid w:val="00596892"/>
    <w:rsid w:val="00596F10"/>
    <w:rsid w:val="00597267"/>
    <w:rsid w:val="00597C5B"/>
    <w:rsid w:val="005A09C9"/>
    <w:rsid w:val="005A1BB1"/>
    <w:rsid w:val="005A2694"/>
    <w:rsid w:val="005A2B66"/>
    <w:rsid w:val="005A2DF4"/>
    <w:rsid w:val="005A3006"/>
    <w:rsid w:val="005A3063"/>
    <w:rsid w:val="005A4914"/>
    <w:rsid w:val="005B0548"/>
    <w:rsid w:val="005B14FE"/>
    <w:rsid w:val="005B24DF"/>
    <w:rsid w:val="005B2A3F"/>
    <w:rsid w:val="005B38D8"/>
    <w:rsid w:val="005B494E"/>
    <w:rsid w:val="005B5EAA"/>
    <w:rsid w:val="005C07C3"/>
    <w:rsid w:val="005C0CA1"/>
    <w:rsid w:val="005C1290"/>
    <w:rsid w:val="005C2705"/>
    <w:rsid w:val="005C2C2B"/>
    <w:rsid w:val="005C3C60"/>
    <w:rsid w:val="005C3EBB"/>
    <w:rsid w:val="005C7218"/>
    <w:rsid w:val="005D0C55"/>
    <w:rsid w:val="005D2953"/>
    <w:rsid w:val="005D70B0"/>
    <w:rsid w:val="005E4E6A"/>
    <w:rsid w:val="005E6878"/>
    <w:rsid w:val="005E6C6B"/>
    <w:rsid w:val="005F3CF6"/>
    <w:rsid w:val="005F4412"/>
    <w:rsid w:val="005F58CD"/>
    <w:rsid w:val="005F5C48"/>
    <w:rsid w:val="005F6A3C"/>
    <w:rsid w:val="005F6ADE"/>
    <w:rsid w:val="005F6E78"/>
    <w:rsid w:val="005F7388"/>
    <w:rsid w:val="005F7D3F"/>
    <w:rsid w:val="00600E5E"/>
    <w:rsid w:val="006012BD"/>
    <w:rsid w:val="006051FF"/>
    <w:rsid w:val="00605880"/>
    <w:rsid w:val="0060668C"/>
    <w:rsid w:val="00606A91"/>
    <w:rsid w:val="006100AD"/>
    <w:rsid w:val="00610333"/>
    <w:rsid w:val="00610FE8"/>
    <w:rsid w:val="00611D97"/>
    <w:rsid w:val="006120EF"/>
    <w:rsid w:val="00612A86"/>
    <w:rsid w:val="00615D3C"/>
    <w:rsid w:val="00616D3D"/>
    <w:rsid w:val="00617238"/>
    <w:rsid w:val="00620612"/>
    <w:rsid w:val="006209CE"/>
    <w:rsid w:val="006214A6"/>
    <w:rsid w:val="006237F1"/>
    <w:rsid w:val="00626514"/>
    <w:rsid w:val="00627E1A"/>
    <w:rsid w:val="00632379"/>
    <w:rsid w:val="00632F9E"/>
    <w:rsid w:val="00633488"/>
    <w:rsid w:val="00633885"/>
    <w:rsid w:val="00636514"/>
    <w:rsid w:val="00642664"/>
    <w:rsid w:val="00643AFD"/>
    <w:rsid w:val="006454CA"/>
    <w:rsid w:val="00645FE6"/>
    <w:rsid w:val="0064628E"/>
    <w:rsid w:val="00646D83"/>
    <w:rsid w:val="0064709A"/>
    <w:rsid w:val="006470E3"/>
    <w:rsid w:val="00647565"/>
    <w:rsid w:val="006479B9"/>
    <w:rsid w:val="00653797"/>
    <w:rsid w:val="00654846"/>
    <w:rsid w:val="00654E40"/>
    <w:rsid w:val="00655481"/>
    <w:rsid w:val="00655F38"/>
    <w:rsid w:val="00657480"/>
    <w:rsid w:val="006629D9"/>
    <w:rsid w:val="0066376C"/>
    <w:rsid w:val="006649F7"/>
    <w:rsid w:val="00667164"/>
    <w:rsid w:val="0067235F"/>
    <w:rsid w:val="0067382D"/>
    <w:rsid w:val="006751D2"/>
    <w:rsid w:val="00677E91"/>
    <w:rsid w:val="00680674"/>
    <w:rsid w:val="00680765"/>
    <w:rsid w:val="0068395D"/>
    <w:rsid w:val="00683A73"/>
    <w:rsid w:val="006855DD"/>
    <w:rsid w:val="006858C7"/>
    <w:rsid w:val="00686335"/>
    <w:rsid w:val="00691841"/>
    <w:rsid w:val="00692333"/>
    <w:rsid w:val="006940D3"/>
    <w:rsid w:val="00694408"/>
    <w:rsid w:val="006946E0"/>
    <w:rsid w:val="0069481D"/>
    <w:rsid w:val="00695FEF"/>
    <w:rsid w:val="006A0C7C"/>
    <w:rsid w:val="006A1984"/>
    <w:rsid w:val="006A19CA"/>
    <w:rsid w:val="006A1C7E"/>
    <w:rsid w:val="006A33B0"/>
    <w:rsid w:val="006A4711"/>
    <w:rsid w:val="006A6039"/>
    <w:rsid w:val="006A69B4"/>
    <w:rsid w:val="006A7024"/>
    <w:rsid w:val="006B2383"/>
    <w:rsid w:val="006B2619"/>
    <w:rsid w:val="006B2A94"/>
    <w:rsid w:val="006B3465"/>
    <w:rsid w:val="006B37D6"/>
    <w:rsid w:val="006B42CE"/>
    <w:rsid w:val="006B6287"/>
    <w:rsid w:val="006C14F6"/>
    <w:rsid w:val="006C16AD"/>
    <w:rsid w:val="006C19A8"/>
    <w:rsid w:val="006C4595"/>
    <w:rsid w:val="006C7308"/>
    <w:rsid w:val="006C78EB"/>
    <w:rsid w:val="006D1386"/>
    <w:rsid w:val="006D251F"/>
    <w:rsid w:val="006D29F7"/>
    <w:rsid w:val="006D556B"/>
    <w:rsid w:val="006E1F87"/>
    <w:rsid w:val="006E3D56"/>
    <w:rsid w:val="006E6468"/>
    <w:rsid w:val="006E64CB"/>
    <w:rsid w:val="006E773B"/>
    <w:rsid w:val="006F070F"/>
    <w:rsid w:val="006F3280"/>
    <w:rsid w:val="006F35FC"/>
    <w:rsid w:val="006F46F3"/>
    <w:rsid w:val="006F7C65"/>
    <w:rsid w:val="007000C3"/>
    <w:rsid w:val="007005EA"/>
    <w:rsid w:val="00702262"/>
    <w:rsid w:val="0070396A"/>
    <w:rsid w:val="00704362"/>
    <w:rsid w:val="00710B56"/>
    <w:rsid w:val="0071104E"/>
    <w:rsid w:val="007136F8"/>
    <w:rsid w:val="00713A05"/>
    <w:rsid w:val="00716749"/>
    <w:rsid w:val="00717836"/>
    <w:rsid w:val="007178DB"/>
    <w:rsid w:val="00717D4C"/>
    <w:rsid w:val="00720E65"/>
    <w:rsid w:val="00722F52"/>
    <w:rsid w:val="00723954"/>
    <w:rsid w:val="00723EDD"/>
    <w:rsid w:val="00725658"/>
    <w:rsid w:val="007257AE"/>
    <w:rsid w:val="007264E8"/>
    <w:rsid w:val="00726594"/>
    <w:rsid w:val="00731160"/>
    <w:rsid w:val="0073122B"/>
    <w:rsid w:val="0073480E"/>
    <w:rsid w:val="0074087A"/>
    <w:rsid w:val="007422FB"/>
    <w:rsid w:val="0074257D"/>
    <w:rsid w:val="00745CA3"/>
    <w:rsid w:val="00751452"/>
    <w:rsid w:val="00755CA7"/>
    <w:rsid w:val="007560B9"/>
    <w:rsid w:val="007620FA"/>
    <w:rsid w:val="00762F6C"/>
    <w:rsid w:val="00763DB4"/>
    <w:rsid w:val="00765EA4"/>
    <w:rsid w:val="00766456"/>
    <w:rsid w:val="00770743"/>
    <w:rsid w:val="007715CA"/>
    <w:rsid w:val="0077254F"/>
    <w:rsid w:val="00772C8A"/>
    <w:rsid w:val="00774506"/>
    <w:rsid w:val="007749A9"/>
    <w:rsid w:val="007804A6"/>
    <w:rsid w:val="00781489"/>
    <w:rsid w:val="007816FE"/>
    <w:rsid w:val="007820A8"/>
    <w:rsid w:val="0078546E"/>
    <w:rsid w:val="007865BC"/>
    <w:rsid w:val="00787043"/>
    <w:rsid w:val="00787384"/>
    <w:rsid w:val="00793435"/>
    <w:rsid w:val="0079483E"/>
    <w:rsid w:val="00795FDF"/>
    <w:rsid w:val="0079658B"/>
    <w:rsid w:val="007A1AE1"/>
    <w:rsid w:val="007A1C35"/>
    <w:rsid w:val="007A3840"/>
    <w:rsid w:val="007A572D"/>
    <w:rsid w:val="007A5B93"/>
    <w:rsid w:val="007A765B"/>
    <w:rsid w:val="007A7CBE"/>
    <w:rsid w:val="007B0BBB"/>
    <w:rsid w:val="007B21FC"/>
    <w:rsid w:val="007B28CE"/>
    <w:rsid w:val="007B69B0"/>
    <w:rsid w:val="007B708E"/>
    <w:rsid w:val="007B70AD"/>
    <w:rsid w:val="007B75DE"/>
    <w:rsid w:val="007C1FF3"/>
    <w:rsid w:val="007C344D"/>
    <w:rsid w:val="007C37C7"/>
    <w:rsid w:val="007C4343"/>
    <w:rsid w:val="007C6004"/>
    <w:rsid w:val="007C683F"/>
    <w:rsid w:val="007C6B5F"/>
    <w:rsid w:val="007D1F16"/>
    <w:rsid w:val="007D2E1F"/>
    <w:rsid w:val="007D38E2"/>
    <w:rsid w:val="007D4234"/>
    <w:rsid w:val="007D48AA"/>
    <w:rsid w:val="007D60DB"/>
    <w:rsid w:val="007D71F7"/>
    <w:rsid w:val="007E42A8"/>
    <w:rsid w:val="007E52CE"/>
    <w:rsid w:val="007F2D9B"/>
    <w:rsid w:val="007F54FE"/>
    <w:rsid w:val="007F56B3"/>
    <w:rsid w:val="007F6CB5"/>
    <w:rsid w:val="007F7D47"/>
    <w:rsid w:val="00801B15"/>
    <w:rsid w:val="00804064"/>
    <w:rsid w:val="0080653C"/>
    <w:rsid w:val="0081019A"/>
    <w:rsid w:val="00810B17"/>
    <w:rsid w:val="008114AC"/>
    <w:rsid w:val="00812772"/>
    <w:rsid w:val="00812AD0"/>
    <w:rsid w:val="00815C32"/>
    <w:rsid w:val="0082021B"/>
    <w:rsid w:val="00821A7C"/>
    <w:rsid w:val="00822189"/>
    <w:rsid w:val="008222F5"/>
    <w:rsid w:val="00824027"/>
    <w:rsid w:val="008240B8"/>
    <w:rsid w:val="00824480"/>
    <w:rsid w:val="00824C3B"/>
    <w:rsid w:val="00824D87"/>
    <w:rsid w:val="008262DA"/>
    <w:rsid w:val="0083185E"/>
    <w:rsid w:val="00833DB6"/>
    <w:rsid w:val="00836DD0"/>
    <w:rsid w:val="00836E6B"/>
    <w:rsid w:val="00840CB8"/>
    <w:rsid w:val="008415CE"/>
    <w:rsid w:val="008449F9"/>
    <w:rsid w:val="00845CAB"/>
    <w:rsid w:val="0085105F"/>
    <w:rsid w:val="008517D3"/>
    <w:rsid w:val="008522D3"/>
    <w:rsid w:val="00852413"/>
    <w:rsid w:val="0085525D"/>
    <w:rsid w:val="00860C2D"/>
    <w:rsid w:val="00865539"/>
    <w:rsid w:val="008656A6"/>
    <w:rsid w:val="00866BD7"/>
    <w:rsid w:val="0087137B"/>
    <w:rsid w:val="008716DF"/>
    <w:rsid w:val="00871E12"/>
    <w:rsid w:val="00874F42"/>
    <w:rsid w:val="00881A2F"/>
    <w:rsid w:val="00882A1B"/>
    <w:rsid w:val="00883597"/>
    <w:rsid w:val="00885DF6"/>
    <w:rsid w:val="00886D42"/>
    <w:rsid w:val="008877BB"/>
    <w:rsid w:val="00887B20"/>
    <w:rsid w:val="008914EA"/>
    <w:rsid w:val="0089567E"/>
    <w:rsid w:val="008971E0"/>
    <w:rsid w:val="00897D63"/>
    <w:rsid w:val="008A0B46"/>
    <w:rsid w:val="008A0E06"/>
    <w:rsid w:val="008A3FB6"/>
    <w:rsid w:val="008A650F"/>
    <w:rsid w:val="008B0906"/>
    <w:rsid w:val="008B209E"/>
    <w:rsid w:val="008B2848"/>
    <w:rsid w:val="008B287E"/>
    <w:rsid w:val="008B29DE"/>
    <w:rsid w:val="008B32E5"/>
    <w:rsid w:val="008B46E7"/>
    <w:rsid w:val="008B7C3B"/>
    <w:rsid w:val="008C0D06"/>
    <w:rsid w:val="008C2853"/>
    <w:rsid w:val="008C45AF"/>
    <w:rsid w:val="008C54AA"/>
    <w:rsid w:val="008C5670"/>
    <w:rsid w:val="008D0F9F"/>
    <w:rsid w:val="008D125E"/>
    <w:rsid w:val="008D1B7A"/>
    <w:rsid w:val="008D25A0"/>
    <w:rsid w:val="008D4003"/>
    <w:rsid w:val="008D4DC7"/>
    <w:rsid w:val="008D657C"/>
    <w:rsid w:val="008D7DDC"/>
    <w:rsid w:val="008E2414"/>
    <w:rsid w:val="008E3C1D"/>
    <w:rsid w:val="008E3F91"/>
    <w:rsid w:val="008E45BA"/>
    <w:rsid w:val="008E54BE"/>
    <w:rsid w:val="008E5CCA"/>
    <w:rsid w:val="008E7AC9"/>
    <w:rsid w:val="008F0AB1"/>
    <w:rsid w:val="008F140B"/>
    <w:rsid w:val="008F28E2"/>
    <w:rsid w:val="008F32BF"/>
    <w:rsid w:val="008F3376"/>
    <w:rsid w:val="008F40D5"/>
    <w:rsid w:val="008F707A"/>
    <w:rsid w:val="008F7B5A"/>
    <w:rsid w:val="009015D7"/>
    <w:rsid w:val="00902DEA"/>
    <w:rsid w:val="0090320C"/>
    <w:rsid w:val="00912E42"/>
    <w:rsid w:val="0091358B"/>
    <w:rsid w:val="00914C46"/>
    <w:rsid w:val="009178E3"/>
    <w:rsid w:val="00920F62"/>
    <w:rsid w:val="0092141E"/>
    <w:rsid w:val="0092267E"/>
    <w:rsid w:val="009241D9"/>
    <w:rsid w:val="00924949"/>
    <w:rsid w:val="00926495"/>
    <w:rsid w:val="0093330A"/>
    <w:rsid w:val="00933736"/>
    <w:rsid w:val="00934600"/>
    <w:rsid w:val="009372BC"/>
    <w:rsid w:val="009373AD"/>
    <w:rsid w:val="0094036A"/>
    <w:rsid w:val="009404DC"/>
    <w:rsid w:val="00940EDB"/>
    <w:rsid w:val="009430BC"/>
    <w:rsid w:val="00943914"/>
    <w:rsid w:val="00944D16"/>
    <w:rsid w:val="00945439"/>
    <w:rsid w:val="009464E9"/>
    <w:rsid w:val="00952FB5"/>
    <w:rsid w:val="00955A3D"/>
    <w:rsid w:val="00955A58"/>
    <w:rsid w:val="0095657F"/>
    <w:rsid w:val="00960B9B"/>
    <w:rsid w:val="00960C39"/>
    <w:rsid w:val="009618E3"/>
    <w:rsid w:val="0096455E"/>
    <w:rsid w:val="009709C0"/>
    <w:rsid w:val="00975A76"/>
    <w:rsid w:val="00976D61"/>
    <w:rsid w:val="00984607"/>
    <w:rsid w:val="00984A23"/>
    <w:rsid w:val="009851D1"/>
    <w:rsid w:val="00986B22"/>
    <w:rsid w:val="0099008E"/>
    <w:rsid w:val="00991BE3"/>
    <w:rsid w:val="00991CF8"/>
    <w:rsid w:val="00993764"/>
    <w:rsid w:val="00993F2F"/>
    <w:rsid w:val="009960C2"/>
    <w:rsid w:val="009966F7"/>
    <w:rsid w:val="00996DE1"/>
    <w:rsid w:val="009A0F62"/>
    <w:rsid w:val="009A3A38"/>
    <w:rsid w:val="009A67AF"/>
    <w:rsid w:val="009A6BE7"/>
    <w:rsid w:val="009B4251"/>
    <w:rsid w:val="009B4D5E"/>
    <w:rsid w:val="009C1103"/>
    <w:rsid w:val="009C12F9"/>
    <w:rsid w:val="009C13C4"/>
    <w:rsid w:val="009C2731"/>
    <w:rsid w:val="009C2C32"/>
    <w:rsid w:val="009C45D7"/>
    <w:rsid w:val="009C461A"/>
    <w:rsid w:val="009D2879"/>
    <w:rsid w:val="009D28EE"/>
    <w:rsid w:val="009D3E48"/>
    <w:rsid w:val="009D453E"/>
    <w:rsid w:val="009D5C43"/>
    <w:rsid w:val="009D67AF"/>
    <w:rsid w:val="009D6E55"/>
    <w:rsid w:val="009D751A"/>
    <w:rsid w:val="009D7FF6"/>
    <w:rsid w:val="009E1FB3"/>
    <w:rsid w:val="009E3BD2"/>
    <w:rsid w:val="009E4DA3"/>
    <w:rsid w:val="009E5EB3"/>
    <w:rsid w:val="009E6DAE"/>
    <w:rsid w:val="009F2B5E"/>
    <w:rsid w:val="009F3F79"/>
    <w:rsid w:val="009F4C94"/>
    <w:rsid w:val="009F6AF8"/>
    <w:rsid w:val="009F76C3"/>
    <w:rsid w:val="009F7E85"/>
    <w:rsid w:val="00A00CA5"/>
    <w:rsid w:val="00A02E31"/>
    <w:rsid w:val="00A02F25"/>
    <w:rsid w:val="00A0324C"/>
    <w:rsid w:val="00A04C37"/>
    <w:rsid w:val="00A064CF"/>
    <w:rsid w:val="00A104BC"/>
    <w:rsid w:val="00A130A9"/>
    <w:rsid w:val="00A16645"/>
    <w:rsid w:val="00A209B3"/>
    <w:rsid w:val="00A232E4"/>
    <w:rsid w:val="00A23813"/>
    <w:rsid w:val="00A2582C"/>
    <w:rsid w:val="00A25BC7"/>
    <w:rsid w:val="00A275A5"/>
    <w:rsid w:val="00A31293"/>
    <w:rsid w:val="00A3142B"/>
    <w:rsid w:val="00A32E24"/>
    <w:rsid w:val="00A33524"/>
    <w:rsid w:val="00A40E5F"/>
    <w:rsid w:val="00A41CE2"/>
    <w:rsid w:val="00A42195"/>
    <w:rsid w:val="00A42DBA"/>
    <w:rsid w:val="00A43C59"/>
    <w:rsid w:val="00A56508"/>
    <w:rsid w:val="00A57FA5"/>
    <w:rsid w:val="00A623E0"/>
    <w:rsid w:val="00A64CDB"/>
    <w:rsid w:val="00A6621B"/>
    <w:rsid w:val="00A66277"/>
    <w:rsid w:val="00A66856"/>
    <w:rsid w:val="00A70930"/>
    <w:rsid w:val="00A75FF1"/>
    <w:rsid w:val="00A80857"/>
    <w:rsid w:val="00A81F7D"/>
    <w:rsid w:val="00A82453"/>
    <w:rsid w:val="00A826DF"/>
    <w:rsid w:val="00A837DD"/>
    <w:rsid w:val="00A91E61"/>
    <w:rsid w:val="00A9561E"/>
    <w:rsid w:val="00AA09FB"/>
    <w:rsid w:val="00AA13C6"/>
    <w:rsid w:val="00AA2DDF"/>
    <w:rsid w:val="00AA3092"/>
    <w:rsid w:val="00AA6449"/>
    <w:rsid w:val="00AA7F46"/>
    <w:rsid w:val="00AB213C"/>
    <w:rsid w:val="00AB5390"/>
    <w:rsid w:val="00AB5EDA"/>
    <w:rsid w:val="00AB672C"/>
    <w:rsid w:val="00AB71F2"/>
    <w:rsid w:val="00AC23D4"/>
    <w:rsid w:val="00AC25CD"/>
    <w:rsid w:val="00AC2662"/>
    <w:rsid w:val="00AC390F"/>
    <w:rsid w:val="00AC4386"/>
    <w:rsid w:val="00AC51DA"/>
    <w:rsid w:val="00AC7485"/>
    <w:rsid w:val="00AD09AF"/>
    <w:rsid w:val="00AD2FCE"/>
    <w:rsid w:val="00AD4729"/>
    <w:rsid w:val="00AD520A"/>
    <w:rsid w:val="00AE36BB"/>
    <w:rsid w:val="00AE4626"/>
    <w:rsid w:val="00AE73B6"/>
    <w:rsid w:val="00AF199E"/>
    <w:rsid w:val="00AF39BA"/>
    <w:rsid w:val="00B032A5"/>
    <w:rsid w:val="00B03BDC"/>
    <w:rsid w:val="00B070E0"/>
    <w:rsid w:val="00B07C6E"/>
    <w:rsid w:val="00B1182A"/>
    <w:rsid w:val="00B12FA8"/>
    <w:rsid w:val="00B14AEC"/>
    <w:rsid w:val="00B1532B"/>
    <w:rsid w:val="00B15359"/>
    <w:rsid w:val="00B1535D"/>
    <w:rsid w:val="00B15D01"/>
    <w:rsid w:val="00B1699E"/>
    <w:rsid w:val="00B20FF0"/>
    <w:rsid w:val="00B22AAB"/>
    <w:rsid w:val="00B24D5A"/>
    <w:rsid w:val="00B314D0"/>
    <w:rsid w:val="00B3195A"/>
    <w:rsid w:val="00B347C2"/>
    <w:rsid w:val="00B35B71"/>
    <w:rsid w:val="00B35C33"/>
    <w:rsid w:val="00B3729F"/>
    <w:rsid w:val="00B37724"/>
    <w:rsid w:val="00B410E6"/>
    <w:rsid w:val="00B41540"/>
    <w:rsid w:val="00B41DB0"/>
    <w:rsid w:val="00B435FD"/>
    <w:rsid w:val="00B43C41"/>
    <w:rsid w:val="00B44FA5"/>
    <w:rsid w:val="00B45DF0"/>
    <w:rsid w:val="00B477B3"/>
    <w:rsid w:val="00B52557"/>
    <w:rsid w:val="00B53BB1"/>
    <w:rsid w:val="00B542E8"/>
    <w:rsid w:val="00B55909"/>
    <w:rsid w:val="00B561C7"/>
    <w:rsid w:val="00B5691A"/>
    <w:rsid w:val="00B60062"/>
    <w:rsid w:val="00B60797"/>
    <w:rsid w:val="00B61182"/>
    <w:rsid w:val="00B6432B"/>
    <w:rsid w:val="00B662A6"/>
    <w:rsid w:val="00B66616"/>
    <w:rsid w:val="00B733DD"/>
    <w:rsid w:val="00B754CA"/>
    <w:rsid w:val="00B84040"/>
    <w:rsid w:val="00B92AC0"/>
    <w:rsid w:val="00B93951"/>
    <w:rsid w:val="00B94586"/>
    <w:rsid w:val="00B95052"/>
    <w:rsid w:val="00B95D0C"/>
    <w:rsid w:val="00B96C7A"/>
    <w:rsid w:val="00B96D39"/>
    <w:rsid w:val="00B96D52"/>
    <w:rsid w:val="00BA0CC6"/>
    <w:rsid w:val="00BB0A9E"/>
    <w:rsid w:val="00BB1D8A"/>
    <w:rsid w:val="00BB28FE"/>
    <w:rsid w:val="00BB5411"/>
    <w:rsid w:val="00BB788F"/>
    <w:rsid w:val="00BC0AB2"/>
    <w:rsid w:val="00BC1E12"/>
    <w:rsid w:val="00BC535D"/>
    <w:rsid w:val="00BC5A9D"/>
    <w:rsid w:val="00BC7055"/>
    <w:rsid w:val="00BC7EBC"/>
    <w:rsid w:val="00BD04EF"/>
    <w:rsid w:val="00BD1373"/>
    <w:rsid w:val="00BD1BC5"/>
    <w:rsid w:val="00BD3D05"/>
    <w:rsid w:val="00BD5E45"/>
    <w:rsid w:val="00BD6A6B"/>
    <w:rsid w:val="00BE27B7"/>
    <w:rsid w:val="00BE2C17"/>
    <w:rsid w:val="00BE61B6"/>
    <w:rsid w:val="00BE689B"/>
    <w:rsid w:val="00BF0512"/>
    <w:rsid w:val="00BF2C6B"/>
    <w:rsid w:val="00BF3979"/>
    <w:rsid w:val="00BF6B38"/>
    <w:rsid w:val="00C01A9F"/>
    <w:rsid w:val="00C01D24"/>
    <w:rsid w:val="00C02A84"/>
    <w:rsid w:val="00C034DE"/>
    <w:rsid w:val="00C035CA"/>
    <w:rsid w:val="00C055A6"/>
    <w:rsid w:val="00C10275"/>
    <w:rsid w:val="00C111CC"/>
    <w:rsid w:val="00C1292C"/>
    <w:rsid w:val="00C14267"/>
    <w:rsid w:val="00C144D1"/>
    <w:rsid w:val="00C14606"/>
    <w:rsid w:val="00C14EC6"/>
    <w:rsid w:val="00C159BF"/>
    <w:rsid w:val="00C176E6"/>
    <w:rsid w:val="00C2068D"/>
    <w:rsid w:val="00C20F36"/>
    <w:rsid w:val="00C231E3"/>
    <w:rsid w:val="00C24E6D"/>
    <w:rsid w:val="00C24FA2"/>
    <w:rsid w:val="00C25548"/>
    <w:rsid w:val="00C27836"/>
    <w:rsid w:val="00C31DFF"/>
    <w:rsid w:val="00C34008"/>
    <w:rsid w:val="00C36565"/>
    <w:rsid w:val="00C40501"/>
    <w:rsid w:val="00C45690"/>
    <w:rsid w:val="00C519D1"/>
    <w:rsid w:val="00C5488B"/>
    <w:rsid w:val="00C54EEE"/>
    <w:rsid w:val="00C55F4C"/>
    <w:rsid w:val="00C57168"/>
    <w:rsid w:val="00C579B5"/>
    <w:rsid w:val="00C57B8D"/>
    <w:rsid w:val="00C60160"/>
    <w:rsid w:val="00C608FF"/>
    <w:rsid w:val="00C629C4"/>
    <w:rsid w:val="00C62A52"/>
    <w:rsid w:val="00C62E85"/>
    <w:rsid w:val="00C63169"/>
    <w:rsid w:val="00C63909"/>
    <w:rsid w:val="00C63BBE"/>
    <w:rsid w:val="00C64387"/>
    <w:rsid w:val="00C67F29"/>
    <w:rsid w:val="00C71140"/>
    <w:rsid w:val="00C71CDE"/>
    <w:rsid w:val="00C72580"/>
    <w:rsid w:val="00C74CA1"/>
    <w:rsid w:val="00C75EAA"/>
    <w:rsid w:val="00C772C7"/>
    <w:rsid w:val="00C83477"/>
    <w:rsid w:val="00C84444"/>
    <w:rsid w:val="00C85B5C"/>
    <w:rsid w:val="00C86958"/>
    <w:rsid w:val="00C87CE2"/>
    <w:rsid w:val="00C90806"/>
    <w:rsid w:val="00C91053"/>
    <w:rsid w:val="00C923D7"/>
    <w:rsid w:val="00C924C2"/>
    <w:rsid w:val="00C92C5A"/>
    <w:rsid w:val="00CA1776"/>
    <w:rsid w:val="00CA2315"/>
    <w:rsid w:val="00CB20E6"/>
    <w:rsid w:val="00CB3417"/>
    <w:rsid w:val="00CB40DB"/>
    <w:rsid w:val="00CB509C"/>
    <w:rsid w:val="00CB63B3"/>
    <w:rsid w:val="00CB758E"/>
    <w:rsid w:val="00CB776C"/>
    <w:rsid w:val="00CC04AF"/>
    <w:rsid w:val="00CC0B4D"/>
    <w:rsid w:val="00CC0CE2"/>
    <w:rsid w:val="00CC2788"/>
    <w:rsid w:val="00CC284A"/>
    <w:rsid w:val="00CC3681"/>
    <w:rsid w:val="00CD0A24"/>
    <w:rsid w:val="00CD0F5D"/>
    <w:rsid w:val="00CD24C8"/>
    <w:rsid w:val="00CD24D7"/>
    <w:rsid w:val="00CD5BBE"/>
    <w:rsid w:val="00CD5FE1"/>
    <w:rsid w:val="00CD71AD"/>
    <w:rsid w:val="00CD7747"/>
    <w:rsid w:val="00CE01B3"/>
    <w:rsid w:val="00CE3543"/>
    <w:rsid w:val="00CE6A4F"/>
    <w:rsid w:val="00CF2178"/>
    <w:rsid w:val="00CF32DA"/>
    <w:rsid w:val="00CF46BF"/>
    <w:rsid w:val="00CF4ED2"/>
    <w:rsid w:val="00CF5A91"/>
    <w:rsid w:val="00D02101"/>
    <w:rsid w:val="00D03F70"/>
    <w:rsid w:val="00D07B03"/>
    <w:rsid w:val="00D117ED"/>
    <w:rsid w:val="00D141F1"/>
    <w:rsid w:val="00D1514D"/>
    <w:rsid w:val="00D1671C"/>
    <w:rsid w:val="00D175A5"/>
    <w:rsid w:val="00D20947"/>
    <w:rsid w:val="00D20FA9"/>
    <w:rsid w:val="00D2216A"/>
    <w:rsid w:val="00D22BB3"/>
    <w:rsid w:val="00D22BCC"/>
    <w:rsid w:val="00D22EEE"/>
    <w:rsid w:val="00D24A76"/>
    <w:rsid w:val="00D303AD"/>
    <w:rsid w:val="00D31007"/>
    <w:rsid w:val="00D31425"/>
    <w:rsid w:val="00D32495"/>
    <w:rsid w:val="00D424D2"/>
    <w:rsid w:val="00D44578"/>
    <w:rsid w:val="00D4495A"/>
    <w:rsid w:val="00D45764"/>
    <w:rsid w:val="00D45FE3"/>
    <w:rsid w:val="00D464A0"/>
    <w:rsid w:val="00D468C4"/>
    <w:rsid w:val="00D46A72"/>
    <w:rsid w:val="00D53483"/>
    <w:rsid w:val="00D538EF"/>
    <w:rsid w:val="00D54DD7"/>
    <w:rsid w:val="00D5600F"/>
    <w:rsid w:val="00D6117B"/>
    <w:rsid w:val="00D619EC"/>
    <w:rsid w:val="00D62904"/>
    <w:rsid w:val="00D635CD"/>
    <w:rsid w:val="00D645C8"/>
    <w:rsid w:val="00D65983"/>
    <w:rsid w:val="00D66D68"/>
    <w:rsid w:val="00D70B06"/>
    <w:rsid w:val="00D71659"/>
    <w:rsid w:val="00D74EC2"/>
    <w:rsid w:val="00D75B94"/>
    <w:rsid w:val="00D8003E"/>
    <w:rsid w:val="00D80078"/>
    <w:rsid w:val="00D837DF"/>
    <w:rsid w:val="00D85C77"/>
    <w:rsid w:val="00D87DE0"/>
    <w:rsid w:val="00D87FCD"/>
    <w:rsid w:val="00D907A6"/>
    <w:rsid w:val="00D909F4"/>
    <w:rsid w:val="00D910FA"/>
    <w:rsid w:val="00D93BFC"/>
    <w:rsid w:val="00D94305"/>
    <w:rsid w:val="00D96B15"/>
    <w:rsid w:val="00DA31FE"/>
    <w:rsid w:val="00DA39DB"/>
    <w:rsid w:val="00DA5728"/>
    <w:rsid w:val="00DA5BD3"/>
    <w:rsid w:val="00DB1836"/>
    <w:rsid w:val="00DB22A7"/>
    <w:rsid w:val="00DB5B02"/>
    <w:rsid w:val="00DB65EA"/>
    <w:rsid w:val="00DB6C99"/>
    <w:rsid w:val="00DB7145"/>
    <w:rsid w:val="00DB73DF"/>
    <w:rsid w:val="00DC3BBE"/>
    <w:rsid w:val="00DC3E57"/>
    <w:rsid w:val="00DC52CA"/>
    <w:rsid w:val="00DC6F3A"/>
    <w:rsid w:val="00DD1294"/>
    <w:rsid w:val="00DD2431"/>
    <w:rsid w:val="00DD35AE"/>
    <w:rsid w:val="00DD6D31"/>
    <w:rsid w:val="00DE200D"/>
    <w:rsid w:val="00DE4DF9"/>
    <w:rsid w:val="00DE4ECA"/>
    <w:rsid w:val="00DE6967"/>
    <w:rsid w:val="00DE7CD0"/>
    <w:rsid w:val="00DF1957"/>
    <w:rsid w:val="00DF35FB"/>
    <w:rsid w:val="00DF40B7"/>
    <w:rsid w:val="00DF4D80"/>
    <w:rsid w:val="00DF5DEF"/>
    <w:rsid w:val="00E002C3"/>
    <w:rsid w:val="00E01106"/>
    <w:rsid w:val="00E01EF9"/>
    <w:rsid w:val="00E04838"/>
    <w:rsid w:val="00E052A3"/>
    <w:rsid w:val="00E06218"/>
    <w:rsid w:val="00E06811"/>
    <w:rsid w:val="00E07288"/>
    <w:rsid w:val="00E10466"/>
    <w:rsid w:val="00E105D8"/>
    <w:rsid w:val="00E11282"/>
    <w:rsid w:val="00E13B13"/>
    <w:rsid w:val="00E16904"/>
    <w:rsid w:val="00E22E0A"/>
    <w:rsid w:val="00E23315"/>
    <w:rsid w:val="00E23DD6"/>
    <w:rsid w:val="00E23DED"/>
    <w:rsid w:val="00E24392"/>
    <w:rsid w:val="00E24593"/>
    <w:rsid w:val="00E25BEA"/>
    <w:rsid w:val="00E26726"/>
    <w:rsid w:val="00E27414"/>
    <w:rsid w:val="00E32116"/>
    <w:rsid w:val="00E32191"/>
    <w:rsid w:val="00E413C0"/>
    <w:rsid w:val="00E421E5"/>
    <w:rsid w:val="00E427BD"/>
    <w:rsid w:val="00E43F4E"/>
    <w:rsid w:val="00E44FD1"/>
    <w:rsid w:val="00E456DC"/>
    <w:rsid w:val="00E45877"/>
    <w:rsid w:val="00E467D6"/>
    <w:rsid w:val="00E46DC9"/>
    <w:rsid w:val="00E50D3C"/>
    <w:rsid w:val="00E524AD"/>
    <w:rsid w:val="00E62C5E"/>
    <w:rsid w:val="00E63F8E"/>
    <w:rsid w:val="00E65D09"/>
    <w:rsid w:val="00E67493"/>
    <w:rsid w:val="00E67BB1"/>
    <w:rsid w:val="00E720F2"/>
    <w:rsid w:val="00E73E92"/>
    <w:rsid w:val="00E800EB"/>
    <w:rsid w:val="00E801D1"/>
    <w:rsid w:val="00E8428B"/>
    <w:rsid w:val="00E84DA1"/>
    <w:rsid w:val="00E85526"/>
    <w:rsid w:val="00E85AFA"/>
    <w:rsid w:val="00E868DF"/>
    <w:rsid w:val="00E93094"/>
    <w:rsid w:val="00E9371E"/>
    <w:rsid w:val="00E93864"/>
    <w:rsid w:val="00E94265"/>
    <w:rsid w:val="00E9786A"/>
    <w:rsid w:val="00E97CCB"/>
    <w:rsid w:val="00EA042B"/>
    <w:rsid w:val="00EA046F"/>
    <w:rsid w:val="00EA0583"/>
    <w:rsid w:val="00EA2802"/>
    <w:rsid w:val="00EA377A"/>
    <w:rsid w:val="00EA4FDA"/>
    <w:rsid w:val="00EA537D"/>
    <w:rsid w:val="00EA5F7C"/>
    <w:rsid w:val="00EA6000"/>
    <w:rsid w:val="00EB05EA"/>
    <w:rsid w:val="00EB18B3"/>
    <w:rsid w:val="00EB41E0"/>
    <w:rsid w:val="00EB4914"/>
    <w:rsid w:val="00EB5C47"/>
    <w:rsid w:val="00EB67EB"/>
    <w:rsid w:val="00EB7B9D"/>
    <w:rsid w:val="00EC1A72"/>
    <w:rsid w:val="00EC7DC6"/>
    <w:rsid w:val="00ED02DA"/>
    <w:rsid w:val="00ED030F"/>
    <w:rsid w:val="00ED1077"/>
    <w:rsid w:val="00ED17D4"/>
    <w:rsid w:val="00ED3AF7"/>
    <w:rsid w:val="00ED5C1E"/>
    <w:rsid w:val="00ED77D1"/>
    <w:rsid w:val="00ED7DB9"/>
    <w:rsid w:val="00EE38D8"/>
    <w:rsid w:val="00EE3E91"/>
    <w:rsid w:val="00EE7221"/>
    <w:rsid w:val="00EE7411"/>
    <w:rsid w:val="00EE74F7"/>
    <w:rsid w:val="00EF11E3"/>
    <w:rsid w:val="00EF2013"/>
    <w:rsid w:val="00EF2E41"/>
    <w:rsid w:val="00EF2F71"/>
    <w:rsid w:val="00EF3E7B"/>
    <w:rsid w:val="00EF4591"/>
    <w:rsid w:val="00F008C1"/>
    <w:rsid w:val="00F00F2E"/>
    <w:rsid w:val="00F02039"/>
    <w:rsid w:val="00F02106"/>
    <w:rsid w:val="00F027A0"/>
    <w:rsid w:val="00F053C4"/>
    <w:rsid w:val="00F057E0"/>
    <w:rsid w:val="00F072EA"/>
    <w:rsid w:val="00F13879"/>
    <w:rsid w:val="00F1395C"/>
    <w:rsid w:val="00F13CF9"/>
    <w:rsid w:val="00F148D8"/>
    <w:rsid w:val="00F176E6"/>
    <w:rsid w:val="00F200D9"/>
    <w:rsid w:val="00F26604"/>
    <w:rsid w:val="00F26D1C"/>
    <w:rsid w:val="00F307AC"/>
    <w:rsid w:val="00F33D8E"/>
    <w:rsid w:val="00F3506E"/>
    <w:rsid w:val="00F37AA5"/>
    <w:rsid w:val="00F400E3"/>
    <w:rsid w:val="00F47752"/>
    <w:rsid w:val="00F47FEB"/>
    <w:rsid w:val="00F502BD"/>
    <w:rsid w:val="00F51A91"/>
    <w:rsid w:val="00F51AF4"/>
    <w:rsid w:val="00F5309C"/>
    <w:rsid w:val="00F531F4"/>
    <w:rsid w:val="00F532C6"/>
    <w:rsid w:val="00F53CD4"/>
    <w:rsid w:val="00F5602F"/>
    <w:rsid w:val="00F56B1E"/>
    <w:rsid w:val="00F56DC5"/>
    <w:rsid w:val="00F571DE"/>
    <w:rsid w:val="00F60801"/>
    <w:rsid w:val="00F63B91"/>
    <w:rsid w:val="00F6472F"/>
    <w:rsid w:val="00F65AD4"/>
    <w:rsid w:val="00F66679"/>
    <w:rsid w:val="00F66ED6"/>
    <w:rsid w:val="00F6712F"/>
    <w:rsid w:val="00F67453"/>
    <w:rsid w:val="00F67FB2"/>
    <w:rsid w:val="00F70A9A"/>
    <w:rsid w:val="00F7293D"/>
    <w:rsid w:val="00F733C2"/>
    <w:rsid w:val="00F74A2C"/>
    <w:rsid w:val="00F75EC8"/>
    <w:rsid w:val="00F75FB3"/>
    <w:rsid w:val="00F81D37"/>
    <w:rsid w:val="00F8673F"/>
    <w:rsid w:val="00F8715D"/>
    <w:rsid w:val="00F91383"/>
    <w:rsid w:val="00F94CF6"/>
    <w:rsid w:val="00F9619A"/>
    <w:rsid w:val="00F97691"/>
    <w:rsid w:val="00FA178B"/>
    <w:rsid w:val="00FA1D24"/>
    <w:rsid w:val="00FA4372"/>
    <w:rsid w:val="00FA46A3"/>
    <w:rsid w:val="00FA4C9B"/>
    <w:rsid w:val="00FA7913"/>
    <w:rsid w:val="00FB0C48"/>
    <w:rsid w:val="00FB43D0"/>
    <w:rsid w:val="00FB4581"/>
    <w:rsid w:val="00FB483A"/>
    <w:rsid w:val="00FB5E9E"/>
    <w:rsid w:val="00FC149F"/>
    <w:rsid w:val="00FC28C8"/>
    <w:rsid w:val="00FC5154"/>
    <w:rsid w:val="00FC72B4"/>
    <w:rsid w:val="00FD2B31"/>
    <w:rsid w:val="00FD3A11"/>
    <w:rsid w:val="00FD466D"/>
    <w:rsid w:val="00FD4F5A"/>
    <w:rsid w:val="00FD647C"/>
    <w:rsid w:val="00FE10C0"/>
    <w:rsid w:val="00FE3FDC"/>
    <w:rsid w:val="00FE4FD3"/>
    <w:rsid w:val="00FF002E"/>
    <w:rsid w:val="00FF19FC"/>
    <w:rsid w:val="00FF67DD"/>
    <w:rsid w:val="00FF6E1A"/>
    <w:rsid w:val="00FF7C93"/>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07D46"/>
  <w15:chartTrackingRefBased/>
  <w15:docId w15:val="{059FCB65-4880-4FC5-AA35-ADA859C75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6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21462"/>
    <w:pPr>
      <w:spacing w:after="0" w:line="240" w:lineRule="auto"/>
    </w:pPr>
    <w:rPr>
      <w:sz w:val="20"/>
      <w:szCs w:val="20"/>
    </w:rPr>
  </w:style>
  <w:style w:type="character" w:customStyle="1" w:styleId="FootnoteTextChar">
    <w:name w:val="Footnote Text Char"/>
    <w:basedOn w:val="DefaultParagraphFont"/>
    <w:link w:val="FootnoteText"/>
    <w:uiPriority w:val="99"/>
    <w:rsid w:val="00221462"/>
    <w:rPr>
      <w:sz w:val="20"/>
      <w:szCs w:val="20"/>
    </w:rPr>
  </w:style>
  <w:style w:type="character" w:styleId="FootnoteReference">
    <w:name w:val="footnote reference"/>
    <w:basedOn w:val="DefaultParagraphFont"/>
    <w:uiPriority w:val="99"/>
    <w:unhideWhenUsed/>
    <w:rsid w:val="00221462"/>
    <w:rPr>
      <w:vertAlign w:val="superscript"/>
    </w:rPr>
  </w:style>
  <w:style w:type="character" w:styleId="Hyperlink">
    <w:name w:val="Hyperlink"/>
    <w:basedOn w:val="DefaultParagraphFont"/>
    <w:uiPriority w:val="99"/>
    <w:unhideWhenUsed/>
    <w:rsid w:val="00221462"/>
    <w:rPr>
      <w:color w:val="0563C1" w:themeColor="hyperlink"/>
      <w:u w:val="single"/>
    </w:rPr>
  </w:style>
  <w:style w:type="character" w:styleId="CommentReference">
    <w:name w:val="annotation reference"/>
    <w:basedOn w:val="DefaultParagraphFont"/>
    <w:uiPriority w:val="99"/>
    <w:semiHidden/>
    <w:unhideWhenUsed/>
    <w:rsid w:val="00B96D39"/>
    <w:rPr>
      <w:sz w:val="16"/>
      <w:szCs w:val="16"/>
    </w:rPr>
  </w:style>
  <w:style w:type="paragraph" w:styleId="CommentText">
    <w:name w:val="annotation text"/>
    <w:basedOn w:val="Normal"/>
    <w:link w:val="CommentTextChar"/>
    <w:uiPriority w:val="99"/>
    <w:unhideWhenUsed/>
    <w:rsid w:val="00B96D39"/>
    <w:pPr>
      <w:spacing w:line="240" w:lineRule="auto"/>
    </w:pPr>
    <w:rPr>
      <w:sz w:val="20"/>
      <w:szCs w:val="20"/>
    </w:rPr>
  </w:style>
  <w:style w:type="character" w:customStyle="1" w:styleId="CommentTextChar">
    <w:name w:val="Comment Text Char"/>
    <w:basedOn w:val="DefaultParagraphFont"/>
    <w:link w:val="CommentText"/>
    <w:uiPriority w:val="99"/>
    <w:rsid w:val="00B96D39"/>
    <w:rPr>
      <w:sz w:val="20"/>
      <w:szCs w:val="20"/>
    </w:rPr>
  </w:style>
  <w:style w:type="paragraph" w:styleId="CommentSubject">
    <w:name w:val="annotation subject"/>
    <w:basedOn w:val="CommentText"/>
    <w:next w:val="CommentText"/>
    <w:link w:val="CommentSubjectChar"/>
    <w:uiPriority w:val="99"/>
    <w:semiHidden/>
    <w:unhideWhenUsed/>
    <w:rsid w:val="00B96D39"/>
    <w:rPr>
      <w:b/>
      <w:bCs/>
    </w:rPr>
  </w:style>
  <w:style w:type="character" w:customStyle="1" w:styleId="CommentSubjectChar">
    <w:name w:val="Comment Subject Char"/>
    <w:basedOn w:val="CommentTextChar"/>
    <w:link w:val="CommentSubject"/>
    <w:uiPriority w:val="99"/>
    <w:semiHidden/>
    <w:rsid w:val="00B96D39"/>
    <w:rPr>
      <w:b/>
      <w:bCs/>
      <w:sz w:val="20"/>
      <w:szCs w:val="20"/>
    </w:rPr>
  </w:style>
  <w:style w:type="paragraph" w:styleId="BalloonText">
    <w:name w:val="Balloon Text"/>
    <w:basedOn w:val="Normal"/>
    <w:link w:val="BalloonTextChar"/>
    <w:uiPriority w:val="99"/>
    <w:semiHidden/>
    <w:unhideWhenUsed/>
    <w:rsid w:val="00B96D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D39"/>
    <w:rPr>
      <w:rFonts w:ascii="Segoe UI" w:hAnsi="Segoe UI" w:cs="Segoe UI"/>
      <w:sz w:val="18"/>
      <w:szCs w:val="18"/>
    </w:rPr>
  </w:style>
  <w:style w:type="paragraph" w:styleId="ListParagraph">
    <w:name w:val="List Paragraph"/>
    <w:basedOn w:val="Normal"/>
    <w:uiPriority w:val="34"/>
    <w:qFormat/>
    <w:rsid w:val="004D2729"/>
    <w:pPr>
      <w:ind w:left="720"/>
      <w:contextualSpacing/>
    </w:pPr>
  </w:style>
  <w:style w:type="paragraph" w:styleId="NoSpacing">
    <w:name w:val="No Spacing"/>
    <w:uiPriority w:val="1"/>
    <w:qFormat/>
    <w:rsid w:val="0057312E"/>
    <w:pPr>
      <w:spacing w:after="0" w:line="240" w:lineRule="auto"/>
    </w:pPr>
  </w:style>
  <w:style w:type="table" w:styleId="TableGrid">
    <w:name w:val="Table Grid"/>
    <w:basedOn w:val="TableNormal"/>
    <w:uiPriority w:val="59"/>
    <w:rsid w:val="004E073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E073A"/>
    <w:pPr>
      <w:spacing w:after="200" w:line="240" w:lineRule="auto"/>
      <w:jc w:val="center"/>
    </w:pPr>
    <w:rPr>
      <w:rFonts w:ascii="Times New Roman" w:eastAsia="Times New Roman" w:hAnsi="Times New Roman" w:cs="Times New Roman"/>
      <w:b/>
      <w:bCs/>
      <w:sz w:val="24"/>
      <w:szCs w:val="18"/>
      <w:lang w:val="en-US" w:eastAsia="fr-FR"/>
    </w:rPr>
  </w:style>
  <w:style w:type="paragraph" w:styleId="Revision">
    <w:name w:val="Revision"/>
    <w:hidden/>
    <w:uiPriority w:val="99"/>
    <w:semiHidden/>
    <w:rsid w:val="0070396A"/>
    <w:pPr>
      <w:spacing w:after="0" w:line="240" w:lineRule="auto"/>
    </w:pPr>
  </w:style>
  <w:style w:type="paragraph" w:styleId="NormalWeb">
    <w:name w:val="Normal (Web)"/>
    <w:basedOn w:val="Normal"/>
    <w:uiPriority w:val="99"/>
    <w:semiHidden/>
    <w:unhideWhenUsed/>
    <w:rsid w:val="008F337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semiHidden/>
    <w:unhideWhenUsed/>
    <w:rsid w:val="00D74EC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74EC2"/>
    <w:rPr>
      <w:sz w:val="20"/>
      <w:szCs w:val="20"/>
    </w:rPr>
  </w:style>
  <w:style w:type="character" w:styleId="EndnoteReference">
    <w:name w:val="endnote reference"/>
    <w:basedOn w:val="DefaultParagraphFont"/>
    <w:uiPriority w:val="99"/>
    <w:semiHidden/>
    <w:unhideWhenUsed/>
    <w:rsid w:val="00D74EC2"/>
    <w:rPr>
      <w:vertAlign w:val="superscript"/>
    </w:rPr>
  </w:style>
  <w:style w:type="paragraph" w:styleId="Footer">
    <w:name w:val="footer"/>
    <w:basedOn w:val="Normal"/>
    <w:link w:val="FooterChar"/>
    <w:uiPriority w:val="99"/>
    <w:unhideWhenUsed/>
    <w:rsid w:val="00601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2BD"/>
  </w:style>
  <w:style w:type="character" w:styleId="PageNumber">
    <w:name w:val="page number"/>
    <w:basedOn w:val="DefaultParagraphFont"/>
    <w:uiPriority w:val="99"/>
    <w:semiHidden/>
    <w:unhideWhenUsed/>
    <w:rsid w:val="006012BD"/>
  </w:style>
  <w:style w:type="paragraph" w:styleId="Header">
    <w:name w:val="header"/>
    <w:basedOn w:val="Normal"/>
    <w:link w:val="HeaderChar"/>
    <w:uiPriority w:val="99"/>
    <w:unhideWhenUsed/>
    <w:rsid w:val="00694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6E0"/>
  </w:style>
  <w:style w:type="character" w:styleId="FollowedHyperlink">
    <w:name w:val="FollowedHyperlink"/>
    <w:basedOn w:val="DefaultParagraphFont"/>
    <w:uiPriority w:val="99"/>
    <w:semiHidden/>
    <w:unhideWhenUsed/>
    <w:rsid w:val="000E0A07"/>
    <w:rPr>
      <w:color w:val="954F72" w:themeColor="followedHyperlink"/>
      <w:u w:val="single"/>
    </w:rPr>
  </w:style>
  <w:style w:type="character" w:customStyle="1" w:styleId="UnresolvedMention1">
    <w:name w:val="Unresolved Mention1"/>
    <w:basedOn w:val="DefaultParagraphFont"/>
    <w:uiPriority w:val="99"/>
    <w:semiHidden/>
    <w:unhideWhenUsed/>
    <w:rsid w:val="007348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12828">
      <w:bodyDiv w:val="1"/>
      <w:marLeft w:val="0"/>
      <w:marRight w:val="0"/>
      <w:marTop w:val="0"/>
      <w:marBottom w:val="0"/>
      <w:divBdr>
        <w:top w:val="none" w:sz="0" w:space="0" w:color="auto"/>
        <w:left w:val="none" w:sz="0" w:space="0" w:color="auto"/>
        <w:bottom w:val="none" w:sz="0" w:space="0" w:color="auto"/>
        <w:right w:val="none" w:sz="0" w:space="0" w:color="auto"/>
      </w:divBdr>
    </w:div>
    <w:div w:id="118106527">
      <w:bodyDiv w:val="1"/>
      <w:marLeft w:val="0"/>
      <w:marRight w:val="0"/>
      <w:marTop w:val="0"/>
      <w:marBottom w:val="0"/>
      <w:divBdr>
        <w:top w:val="none" w:sz="0" w:space="0" w:color="auto"/>
        <w:left w:val="none" w:sz="0" w:space="0" w:color="auto"/>
        <w:bottom w:val="none" w:sz="0" w:space="0" w:color="auto"/>
        <w:right w:val="none" w:sz="0" w:space="0" w:color="auto"/>
      </w:divBdr>
    </w:div>
    <w:div w:id="260378360">
      <w:bodyDiv w:val="1"/>
      <w:marLeft w:val="0"/>
      <w:marRight w:val="0"/>
      <w:marTop w:val="0"/>
      <w:marBottom w:val="0"/>
      <w:divBdr>
        <w:top w:val="none" w:sz="0" w:space="0" w:color="auto"/>
        <w:left w:val="none" w:sz="0" w:space="0" w:color="auto"/>
        <w:bottom w:val="none" w:sz="0" w:space="0" w:color="auto"/>
        <w:right w:val="none" w:sz="0" w:space="0" w:color="auto"/>
      </w:divBdr>
    </w:div>
    <w:div w:id="404257254">
      <w:bodyDiv w:val="1"/>
      <w:marLeft w:val="0"/>
      <w:marRight w:val="0"/>
      <w:marTop w:val="0"/>
      <w:marBottom w:val="0"/>
      <w:divBdr>
        <w:top w:val="none" w:sz="0" w:space="0" w:color="auto"/>
        <w:left w:val="none" w:sz="0" w:space="0" w:color="auto"/>
        <w:bottom w:val="none" w:sz="0" w:space="0" w:color="auto"/>
        <w:right w:val="none" w:sz="0" w:space="0" w:color="auto"/>
      </w:divBdr>
    </w:div>
    <w:div w:id="414203205">
      <w:bodyDiv w:val="1"/>
      <w:marLeft w:val="0"/>
      <w:marRight w:val="0"/>
      <w:marTop w:val="0"/>
      <w:marBottom w:val="0"/>
      <w:divBdr>
        <w:top w:val="none" w:sz="0" w:space="0" w:color="auto"/>
        <w:left w:val="none" w:sz="0" w:space="0" w:color="auto"/>
        <w:bottom w:val="none" w:sz="0" w:space="0" w:color="auto"/>
        <w:right w:val="none" w:sz="0" w:space="0" w:color="auto"/>
      </w:divBdr>
    </w:div>
    <w:div w:id="614752204">
      <w:bodyDiv w:val="1"/>
      <w:marLeft w:val="0"/>
      <w:marRight w:val="0"/>
      <w:marTop w:val="0"/>
      <w:marBottom w:val="0"/>
      <w:divBdr>
        <w:top w:val="none" w:sz="0" w:space="0" w:color="auto"/>
        <w:left w:val="none" w:sz="0" w:space="0" w:color="auto"/>
        <w:bottom w:val="none" w:sz="0" w:space="0" w:color="auto"/>
        <w:right w:val="none" w:sz="0" w:space="0" w:color="auto"/>
      </w:divBdr>
    </w:div>
    <w:div w:id="657346724">
      <w:bodyDiv w:val="1"/>
      <w:marLeft w:val="0"/>
      <w:marRight w:val="0"/>
      <w:marTop w:val="0"/>
      <w:marBottom w:val="0"/>
      <w:divBdr>
        <w:top w:val="none" w:sz="0" w:space="0" w:color="auto"/>
        <w:left w:val="none" w:sz="0" w:space="0" w:color="auto"/>
        <w:bottom w:val="none" w:sz="0" w:space="0" w:color="auto"/>
        <w:right w:val="none" w:sz="0" w:space="0" w:color="auto"/>
      </w:divBdr>
    </w:div>
    <w:div w:id="768887913">
      <w:bodyDiv w:val="1"/>
      <w:marLeft w:val="0"/>
      <w:marRight w:val="0"/>
      <w:marTop w:val="0"/>
      <w:marBottom w:val="0"/>
      <w:divBdr>
        <w:top w:val="none" w:sz="0" w:space="0" w:color="auto"/>
        <w:left w:val="none" w:sz="0" w:space="0" w:color="auto"/>
        <w:bottom w:val="none" w:sz="0" w:space="0" w:color="auto"/>
        <w:right w:val="none" w:sz="0" w:space="0" w:color="auto"/>
      </w:divBdr>
    </w:div>
    <w:div w:id="793867966">
      <w:bodyDiv w:val="1"/>
      <w:marLeft w:val="0"/>
      <w:marRight w:val="0"/>
      <w:marTop w:val="0"/>
      <w:marBottom w:val="0"/>
      <w:divBdr>
        <w:top w:val="none" w:sz="0" w:space="0" w:color="auto"/>
        <w:left w:val="none" w:sz="0" w:space="0" w:color="auto"/>
        <w:bottom w:val="none" w:sz="0" w:space="0" w:color="auto"/>
        <w:right w:val="none" w:sz="0" w:space="0" w:color="auto"/>
      </w:divBdr>
    </w:div>
    <w:div w:id="806625770">
      <w:bodyDiv w:val="1"/>
      <w:marLeft w:val="0"/>
      <w:marRight w:val="0"/>
      <w:marTop w:val="0"/>
      <w:marBottom w:val="0"/>
      <w:divBdr>
        <w:top w:val="none" w:sz="0" w:space="0" w:color="auto"/>
        <w:left w:val="none" w:sz="0" w:space="0" w:color="auto"/>
        <w:bottom w:val="none" w:sz="0" w:space="0" w:color="auto"/>
        <w:right w:val="none" w:sz="0" w:space="0" w:color="auto"/>
      </w:divBdr>
    </w:div>
    <w:div w:id="847019103">
      <w:bodyDiv w:val="1"/>
      <w:marLeft w:val="0"/>
      <w:marRight w:val="0"/>
      <w:marTop w:val="0"/>
      <w:marBottom w:val="0"/>
      <w:divBdr>
        <w:top w:val="none" w:sz="0" w:space="0" w:color="auto"/>
        <w:left w:val="none" w:sz="0" w:space="0" w:color="auto"/>
        <w:bottom w:val="none" w:sz="0" w:space="0" w:color="auto"/>
        <w:right w:val="none" w:sz="0" w:space="0" w:color="auto"/>
      </w:divBdr>
    </w:div>
    <w:div w:id="931351160">
      <w:bodyDiv w:val="1"/>
      <w:marLeft w:val="0"/>
      <w:marRight w:val="0"/>
      <w:marTop w:val="0"/>
      <w:marBottom w:val="0"/>
      <w:divBdr>
        <w:top w:val="none" w:sz="0" w:space="0" w:color="auto"/>
        <w:left w:val="none" w:sz="0" w:space="0" w:color="auto"/>
        <w:bottom w:val="none" w:sz="0" w:space="0" w:color="auto"/>
        <w:right w:val="none" w:sz="0" w:space="0" w:color="auto"/>
      </w:divBdr>
    </w:div>
    <w:div w:id="1072195677">
      <w:bodyDiv w:val="1"/>
      <w:marLeft w:val="0"/>
      <w:marRight w:val="0"/>
      <w:marTop w:val="0"/>
      <w:marBottom w:val="0"/>
      <w:divBdr>
        <w:top w:val="none" w:sz="0" w:space="0" w:color="auto"/>
        <w:left w:val="none" w:sz="0" w:space="0" w:color="auto"/>
        <w:bottom w:val="none" w:sz="0" w:space="0" w:color="auto"/>
        <w:right w:val="none" w:sz="0" w:space="0" w:color="auto"/>
      </w:divBdr>
    </w:div>
    <w:div w:id="1309240596">
      <w:bodyDiv w:val="1"/>
      <w:marLeft w:val="0"/>
      <w:marRight w:val="0"/>
      <w:marTop w:val="0"/>
      <w:marBottom w:val="0"/>
      <w:divBdr>
        <w:top w:val="none" w:sz="0" w:space="0" w:color="auto"/>
        <w:left w:val="none" w:sz="0" w:space="0" w:color="auto"/>
        <w:bottom w:val="none" w:sz="0" w:space="0" w:color="auto"/>
        <w:right w:val="none" w:sz="0" w:space="0" w:color="auto"/>
      </w:divBdr>
      <w:divsChild>
        <w:div w:id="99109635">
          <w:marLeft w:val="0"/>
          <w:marRight w:val="0"/>
          <w:marTop w:val="0"/>
          <w:marBottom w:val="0"/>
          <w:divBdr>
            <w:top w:val="none" w:sz="0" w:space="0" w:color="auto"/>
            <w:left w:val="none" w:sz="0" w:space="0" w:color="auto"/>
            <w:bottom w:val="none" w:sz="0" w:space="0" w:color="auto"/>
            <w:right w:val="none" w:sz="0" w:space="0" w:color="auto"/>
          </w:divBdr>
        </w:div>
      </w:divsChild>
    </w:div>
    <w:div w:id="1338341794">
      <w:bodyDiv w:val="1"/>
      <w:marLeft w:val="0"/>
      <w:marRight w:val="0"/>
      <w:marTop w:val="0"/>
      <w:marBottom w:val="0"/>
      <w:divBdr>
        <w:top w:val="none" w:sz="0" w:space="0" w:color="auto"/>
        <w:left w:val="none" w:sz="0" w:space="0" w:color="auto"/>
        <w:bottom w:val="none" w:sz="0" w:space="0" w:color="auto"/>
        <w:right w:val="none" w:sz="0" w:space="0" w:color="auto"/>
      </w:divBdr>
    </w:div>
    <w:div w:id="1475835593">
      <w:bodyDiv w:val="1"/>
      <w:marLeft w:val="0"/>
      <w:marRight w:val="0"/>
      <w:marTop w:val="0"/>
      <w:marBottom w:val="0"/>
      <w:divBdr>
        <w:top w:val="none" w:sz="0" w:space="0" w:color="auto"/>
        <w:left w:val="none" w:sz="0" w:space="0" w:color="auto"/>
        <w:bottom w:val="none" w:sz="0" w:space="0" w:color="auto"/>
        <w:right w:val="none" w:sz="0" w:space="0" w:color="auto"/>
      </w:divBdr>
    </w:div>
    <w:div w:id="1548176998">
      <w:bodyDiv w:val="1"/>
      <w:marLeft w:val="0"/>
      <w:marRight w:val="0"/>
      <w:marTop w:val="0"/>
      <w:marBottom w:val="0"/>
      <w:divBdr>
        <w:top w:val="none" w:sz="0" w:space="0" w:color="auto"/>
        <w:left w:val="none" w:sz="0" w:space="0" w:color="auto"/>
        <w:bottom w:val="none" w:sz="0" w:space="0" w:color="auto"/>
        <w:right w:val="none" w:sz="0" w:space="0" w:color="auto"/>
      </w:divBdr>
      <w:divsChild>
        <w:div w:id="1954164623">
          <w:marLeft w:val="0"/>
          <w:marRight w:val="0"/>
          <w:marTop w:val="0"/>
          <w:marBottom w:val="0"/>
          <w:divBdr>
            <w:top w:val="none" w:sz="0" w:space="0" w:color="auto"/>
            <w:left w:val="none" w:sz="0" w:space="0" w:color="auto"/>
            <w:bottom w:val="none" w:sz="0" w:space="0" w:color="auto"/>
            <w:right w:val="none" w:sz="0" w:space="0" w:color="auto"/>
          </w:divBdr>
        </w:div>
      </w:divsChild>
    </w:div>
    <w:div w:id="1552422358">
      <w:bodyDiv w:val="1"/>
      <w:marLeft w:val="0"/>
      <w:marRight w:val="0"/>
      <w:marTop w:val="0"/>
      <w:marBottom w:val="0"/>
      <w:divBdr>
        <w:top w:val="none" w:sz="0" w:space="0" w:color="auto"/>
        <w:left w:val="none" w:sz="0" w:space="0" w:color="auto"/>
        <w:bottom w:val="none" w:sz="0" w:space="0" w:color="auto"/>
        <w:right w:val="none" w:sz="0" w:space="0" w:color="auto"/>
      </w:divBdr>
    </w:div>
    <w:div w:id="1592859448">
      <w:bodyDiv w:val="1"/>
      <w:marLeft w:val="0"/>
      <w:marRight w:val="0"/>
      <w:marTop w:val="0"/>
      <w:marBottom w:val="0"/>
      <w:divBdr>
        <w:top w:val="none" w:sz="0" w:space="0" w:color="auto"/>
        <w:left w:val="none" w:sz="0" w:space="0" w:color="auto"/>
        <w:bottom w:val="none" w:sz="0" w:space="0" w:color="auto"/>
        <w:right w:val="none" w:sz="0" w:space="0" w:color="auto"/>
      </w:divBdr>
    </w:div>
    <w:div w:id="1795440547">
      <w:bodyDiv w:val="1"/>
      <w:marLeft w:val="0"/>
      <w:marRight w:val="0"/>
      <w:marTop w:val="0"/>
      <w:marBottom w:val="0"/>
      <w:divBdr>
        <w:top w:val="none" w:sz="0" w:space="0" w:color="auto"/>
        <w:left w:val="none" w:sz="0" w:space="0" w:color="auto"/>
        <w:bottom w:val="none" w:sz="0" w:space="0" w:color="auto"/>
        <w:right w:val="none" w:sz="0" w:space="0" w:color="auto"/>
      </w:divBdr>
    </w:div>
    <w:div w:id="1865174269">
      <w:bodyDiv w:val="1"/>
      <w:marLeft w:val="0"/>
      <w:marRight w:val="0"/>
      <w:marTop w:val="0"/>
      <w:marBottom w:val="0"/>
      <w:divBdr>
        <w:top w:val="none" w:sz="0" w:space="0" w:color="auto"/>
        <w:left w:val="none" w:sz="0" w:space="0" w:color="auto"/>
        <w:bottom w:val="none" w:sz="0" w:space="0" w:color="auto"/>
        <w:right w:val="none" w:sz="0" w:space="0" w:color="auto"/>
      </w:divBdr>
    </w:div>
    <w:div w:id="1977295053">
      <w:bodyDiv w:val="1"/>
      <w:marLeft w:val="0"/>
      <w:marRight w:val="0"/>
      <w:marTop w:val="0"/>
      <w:marBottom w:val="0"/>
      <w:divBdr>
        <w:top w:val="none" w:sz="0" w:space="0" w:color="auto"/>
        <w:left w:val="none" w:sz="0" w:space="0" w:color="auto"/>
        <w:bottom w:val="none" w:sz="0" w:space="0" w:color="auto"/>
        <w:right w:val="none" w:sz="0" w:space="0" w:color="auto"/>
      </w:divBdr>
    </w:div>
    <w:div w:id="2009793552">
      <w:bodyDiv w:val="1"/>
      <w:marLeft w:val="0"/>
      <w:marRight w:val="0"/>
      <w:marTop w:val="0"/>
      <w:marBottom w:val="0"/>
      <w:divBdr>
        <w:top w:val="none" w:sz="0" w:space="0" w:color="auto"/>
        <w:left w:val="none" w:sz="0" w:space="0" w:color="auto"/>
        <w:bottom w:val="none" w:sz="0" w:space="0" w:color="auto"/>
        <w:right w:val="none" w:sz="0" w:space="0" w:color="auto"/>
      </w:divBdr>
    </w:div>
    <w:div w:id="2046058231">
      <w:bodyDiv w:val="1"/>
      <w:marLeft w:val="0"/>
      <w:marRight w:val="0"/>
      <w:marTop w:val="0"/>
      <w:marBottom w:val="0"/>
      <w:divBdr>
        <w:top w:val="none" w:sz="0" w:space="0" w:color="auto"/>
        <w:left w:val="none" w:sz="0" w:space="0" w:color="auto"/>
        <w:bottom w:val="none" w:sz="0" w:space="0" w:color="auto"/>
        <w:right w:val="none" w:sz="0" w:space="0" w:color="auto"/>
      </w:divBdr>
    </w:div>
    <w:div w:id="2075352769">
      <w:bodyDiv w:val="1"/>
      <w:marLeft w:val="0"/>
      <w:marRight w:val="0"/>
      <w:marTop w:val="0"/>
      <w:marBottom w:val="0"/>
      <w:divBdr>
        <w:top w:val="none" w:sz="0" w:space="0" w:color="auto"/>
        <w:left w:val="none" w:sz="0" w:space="0" w:color="auto"/>
        <w:bottom w:val="none" w:sz="0" w:space="0" w:color="auto"/>
        <w:right w:val="none" w:sz="0" w:space="0" w:color="auto"/>
      </w:divBdr>
    </w:div>
    <w:div w:id="211308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016/j.bar.2022.10109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07/s10551-022-05181-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rn.com/paper=1359450S)" TargetMode="External"/><Relationship Id="rId5" Type="http://schemas.openxmlformats.org/officeDocument/2006/relationships/webSettings" Target="webSettings.xml"/><Relationship Id="rId15" Type="http://schemas.openxmlformats.org/officeDocument/2006/relationships/hyperlink" Target="https://doi.org/10.1007/s10551-020-04690-3"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111/1467-8551.12586"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muhammad.nadeem@otago.ac.nz" TargetMode="External"/><Relationship Id="rId2" Type="http://schemas.openxmlformats.org/officeDocument/2006/relationships/hyperlink" Target="mailto:n.hussain@rug.nl" TargetMode="External"/><Relationship Id="rId1" Type="http://schemas.openxmlformats.org/officeDocument/2006/relationships/hyperlink" Target="mailto:ammarshaukit@gmail.com" TargetMode="External"/><Relationship Id="rId4" Type="http://schemas.openxmlformats.org/officeDocument/2006/relationships/hyperlink" Target="mailto:A.Zalata@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56FC53B-A2F9-421A-979C-707408090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14619</Words>
  <Characters>83333</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 Schaupp</dc:creator>
  <cp:keywords/>
  <dc:description/>
  <cp:lastModifiedBy>Alaa Zalata</cp:lastModifiedBy>
  <cp:revision>2</cp:revision>
  <cp:lastPrinted>2022-07-06T08:56:00Z</cp:lastPrinted>
  <dcterms:created xsi:type="dcterms:W3CDTF">2022-12-19T09:12:00Z</dcterms:created>
  <dcterms:modified xsi:type="dcterms:W3CDTF">2022-12-19T09:12:00Z</dcterms:modified>
</cp:coreProperties>
</file>