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F623" w14:textId="77777777" w:rsidR="00364EE1" w:rsidRDefault="009E4ECC">
      <w:pPr>
        <w:pStyle w:val="Heading3"/>
        <w:spacing w:before="0" w:after="200"/>
        <w:rPr>
          <w:sz w:val="24"/>
          <w:szCs w:val="24"/>
        </w:rPr>
      </w:pPr>
      <w:bookmarkStart w:id="0" w:name="_tajvxbpszeax" w:colFirst="0" w:colLast="0"/>
      <w:bookmarkEnd w:id="0"/>
      <w:r>
        <w:rPr>
          <w:noProof/>
          <w:sz w:val="24"/>
          <w:szCs w:val="24"/>
          <w:lang w:val="en-GB" w:eastAsia="en-GB"/>
        </w:rPr>
        <w:drawing>
          <wp:inline distT="114300" distB="114300" distL="114300" distR="114300" wp14:anchorId="54F33646" wp14:editId="1175EE9A">
            <wp:extent cx="2008913" cy="32577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008913" cy="325770"/>
                    </a:xfrm>
                    <a:prstGeom prst="rect">
                      <a:avLst/>
                    </a:prstGeom>
                    <a:ln/>
                  </pic:spPr>
                </pic:pic>
              </a:graphicData>
            </a:graphic>
          </wp:inline>
        </w:drawing>
      </w:r>
    </w:p>
    <w:p w14:paraId="597B6D30" w14:textId="1C5F5C30" w:rsidR="00364EE1" w:rsidRPr="00A71B95" w:rsidRDefault="009E4ECC">
      <w:pPr>
        <w:pStyle w:val="Heading2"/>
        <w:spacing w:before="360" w:after="120"/>
        <w:ind w:left="0" w:firstLine="0"/>
        <w:rPr>
          <w:sz w:val="28"/>
          <w:szCs w:val="28"/>
          <w:lang w:val="en-GB"/>
        </w:rPr>
      </w:pPr>
      <w:bookmarkStart w:id="1" w:name="_snyk7n3mpek" w:colFirst="0" w:colLast="0"/>
      <w:bookmarkEnd w:id="1"/>
      <w:r>
        <w:rPr>
          <w:rFonts w:ascii="Calibri" w:eastAsia="Calibri" w:hAnsi="Calibri" w:cs="Calibri"/>
          <w:b/>
          <w:color w:val="2A6EBB"/>
          <w:sz w:val="28"/>
          <w:szCs w:val="28"/>
        </w:rPr>
        <w:t>Complete the template below</w:t>
      </w:r>
      <w:r>
        <w:rPr>
          <w:rFonts w:ascii="Calibri" w:eastAsia="Calibri" w:hAnsi="Calibri" w:cs="Calibri"/>
          <w:b/>
          <w:color w:val="2A6EBB"/>
          <w:sz w:val="28"/>
          <w:szCs w:val="28"/>
        </w:rPr>
        <w:br/>
      </w:r>
      <w:r w:rsidR="00A71B95">
        <w:rPr>
          <w:rFonts w:ascii="Calibri" w:eastAsia="Calibri" w:hAnsi="Calibri" w:cs="Calibri"/>
          <w:sz w:val="28"/>
          <w:szCs w:val="28"/>
          <w:lang w:val="en-GB"/>
        </w:rPr>
        <w:t>Please type your report directly into this template. Read the tips and reminders in each section as you type.</w:t>
      </w:r>
      <w:r w:rsidR="00632305">
        <w:rPr>
          <w:rFonts w:ascii="Calibri" w:eastAsia="Calibri" w:hAnsi="Calibri" w:cs="Calibri"/>
          <w:sz w:val="28"/>
          <w:szCs w:val="28"/>
          <w:lang w:val="en-GB"/>
        </w:rPr>
        <w:t xml:space="preserve"> Use formal US or UK English and scientific terminology</w:t>
      </w:r>
      <w:r w:rsidR="009A764A">
        <w:rPr>
          <w:rFonts w:ascii="Calibri" w:eastAsia="Calibri" w:hAnsi="Calibri" w:cs="Calibri"/>
          <w:sz w:val="28"/>
          <w:szCs w:val="28"/>
          <w:lang w:val="en-GB"/>
        </w:rPr>
        <w:t>.</w:t>
      </w:r>
    </w:p>
    <w:p w14:paraId="6F18A76C" w14:textId="77777777" w:rsidR="00364EE1" w:rsidRDefault="00364EE1">
      <w:pPr>
        <w:pStyle w:val="Normal1"/>
        <w:rPr>
          <w:rFonts w:ascii="Calibri" w:eastAsia="Calibri" w:hAnsi="Calibri" w:cs="Calibri"/>
        </w:rPr>
      </w:pPr>
    </w:p>
    <w:tbl>
      <w:tblPr>
        <w:tblStyle w:val="a3"/>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4CFC5307" w14:textId="77777777">
        <w:trPr>
          <w:trHeight w:val="340"/>
        </w:trPr>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1FDBC409" w14:textId="77777777" w:rsidR="00364EE1" w:rsidRDefault="009E4ECC">
            <w:pPr>
              <w:pStyle w:val="Heading3"/>
              <w:spacing w:before="0" w:after="0"/>
              <w:rPr>
                <w:rFonts w:ascii="Calibri" w:eastAsia="Calibri" w:hAnsi="Calibri" w:cs="Calibri"/>
                <w:b/>
                <w:color w:val="2A6EBB"/>
                <w:sz w:val="24"/>
                <w:szCs w:val="24"/>
              </w:rPr>
            </w:pPr>
            <w:bookmarkStart w:id="2" w:name="_ubx8sg63qtk7" w:colFirst="0" w:colLast="0"/>
            <w:bookmarkEnd w:id="2"/>
            <w:r>
              <w:rPr>
                <w:rFonts w:ascii="Calibri" w:eastAsia="Calibri" w:hAnsi="Calibri" w:cs="Calibri"/>
                <w:b/>
                <w:color w:val="2A6EBB"/>
                <w:sz w:val="24"/>
                <w:szCs w:val="24"/>
              </w:rPr>
              <w:t>TITLE OF CASE</w:t>
            </w:r>
          </w:p>
        </w:tc>
      </w:tr>
      <w:tr w:rsidR="00364EE1" w14:paraId="28FF49AB" w14:textId="77777777">
        <w:trPr>
          <w:trHeight w:val="940"/>
        </w:trPr>
        <w:tc>
          <w:tcPr>
            <w:tcW w:w="9640" w:type="dxa"/>
            <w:tcBorders>
              <w:top w:val="single" w:sz="8" w:space="0" w:color="2A6EBB"/>
              <w:left w:val="nil"/>
              <w:bottom w:val="nil"/>
              <w:right w:val="nil"/>
            </w:tcBorders>
            <w:shd w:val="clear" w:color="auto" w:fill="auto"/>
            <w:tcMar>
              <w:top w:w="100" w:type="dxa"/>
              <w:left w:w="100" w:type="dxa"/>
              <w:bottom w:w="100" w:type="dxa"/>
              <w:right w:w="100" w:type="dxa"/>
            </w:tcMar>
          </w:tcPr>
          <w:p w14:paraId="284E532A" w14:textId="31F72554" w:rsidR="00364EE1" w:rsidRPr="00B1281D" w:rsidRDefault="00EE7BF9" w:rsidP="00B1281D">
            <w:pPr>
              <w:pStyle w:val="Normal1"/>
              <w:spacing w:line="360" w:lineRule="auto"/>
              <w:rPr>
                <w:rFonts w:eastAsia="Calibri"/>
                <w:iCs/>
                <w:sz w:val="24"/>
                <w:szCs w:val="24"/>
              </w:rPr>
            </w:pPr>
            <w:r w:rsidRPr="00B1281D">
              <w:rPr>
                <w:rFonts w:eastAsia="Calibri"/>
                <w:iCs/>
                <w:sz w:val="24"/>
                <w:szCs w:val="24"/>
              </w:rPr>
              <w:t>Delayed finding of Congenital Duodenal Obstruction following Congenital Diaphragmatic Hernia repair</w:t>
            </w:r>
          </w:p>
          <w:p w14:paraId="5FD928CE" w14:textId="77777777" w:rsidR="00364EE1" w:rsidRDefault="00364EE1">
            <w:pPr>
              <w:pStyle w:val="Normal1"/>
              <w:rPr>
                <w:rFonts w:ascii="Calibri" w:eastAsia="Calibri" w:hAnsi="Calibri" w:cs="Calibri"/>
                <w:i/>
              </w:rPr>
            </w:pPr>
          </w:p>
        </w:tc>
      </w:tr>
      <w:tr w:rsidR="00364EE1" w14:paraId="4C12B096"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64B9EF00" w14:textId="77777777" w:rsidR="00364EE1" w:rsidRDefault="009E4ECC">
            <w:pPr>
              <w:pStyle w:val="Heading3"/>
              <w:spacing w:before="0" w:after="0"/>
              <w:rPr>
                <w:rFonts w:ascii="Calibri" w:eastAsia="Calibri" w:hAnsi="Calibri" w:cs="Calibri"/>
                <w:b/>
                <w:color w:val="2A6EBB"/>
                <w:sz w:val="24"/>
                <w:szCs w:val="24"/>
              </w:rPr>
            </w:pPr>
            <w:bookmarkStart w:id="3" w:name="_aehq1n7ftsh7" w:colFirst="0" w:colLast="0"/>
            <w:bookmarkEnd w:id="3"/>
            <w:r>
              <w:rPr>
                <w:rFonts w:ascii="Calibri" w:eastAsia="Calibri" w:hAnsi="Calibri" w:cs="Calibri"/>
                <w:b/>
                <w:color w:val="2A6EBB"/>
                <w:sz w:val="24"/>
                <w:szCs w:val="24"/>
              </w:rPr>
              <w:t>SUMMARY</w:t>
            </w:r>
          </w:p>
        </w:tc>
      </w:tr>
      <w:tr w:rsidR="00364EE1" w14:paraId="0B42AB38" w14:textId="77777777">
        <w:trPr>
          <w:trHeight w:val="192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69CF6312" w14:textId="77777777" w:rsidR="00EE7BF9" w:rsidRDefault="00EE7BF9" w:rsidP="00B1281D">
            <w:pPr>
              <w:spacing w:line="480" w:lineRule="auto"/>
              <w:jc w:val="both"/>
              <w:rPr>
                <w:sz w:val="24"/>
                <w:szCs w:val="24"/>
              </w:rPr>
            </w:pPr>
            <w:r>
              <w:rPr>
                <w:sz w:val="24"/>
                <w:szCs w:val="24"/>
              </w:rPr>
              <w:t>Congenital diaphragmatic hernia (CDH) is encountered in just under 1 in 6000 live births whilst congenital duodenal obstruction (CDO) is seen once every 8000 live births. These congenital anomalies have only been reported together as part of the VACTERL syndrome and therefore in isolation represent an incredible rare occurrence. This is a case report of a girl born at 34 weeks gestation who had an antenatal diagnosis of left CDH. Five days following operative repair of this there was extensive pneumoperitoneum and pneumothorax. Upper gastrointestinal contrast study showed a perforation of the duodenum and at laparotomy a duodenal web was found in the fourth part of the duodenum with perforation immediately proximal. Following duodenoduodenostomy the post-operative recovery was good. She achieved full enteral feeds and discharge home. This case highlights the importance of considering rare associations if post operative recovery isn’t as expected to prevent delay in undergoing definitive treatment.</w:t>
            </w:r>
          </w:p>
          <w:p w14:paraId="040D3F51" w14:textId="0715C912" w:rsidR="00364EE1" w:rsidRPr="008A7DE1" w:rsidRDefault="00364EE1" w:rsidP="00B1281D">
            <w:pPr>
              <w:pStyle w:val="Normal1"/>
              <w:spacing w:line="480" w:lineRule="auto"/>
              <w:rPr>
                <w:rFonts w:ascii="Calibri" w:eastAsia="Calibri" w:hAnsi="Calibri" w:cs="Calibri"/>
                <w:i/>
                <w:lang w:val="en-GB"/>
              </w:rPr>
            </w:pPr>
          </w:p>
        </w:tc>
      </w:tr>
      <w:tr w:rsidR="00364EE1" w14:paraId="38E7FBAD"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17AF3DF1" w14:textId="77777777" w:rsidR="00364EE1" w:rsidRDefault="009E4ECC">
            <w:pPr>
              <w:pStyle w:val="Heading3"/>
              <w:spacing w:before="0" w:after="0"/>
              <w:rPr>
                <w:rFonts w:ascii="Calibri" w:eastAsia="Calibri" w:hAnsi="Calibri" w:cs="Calibri"/>
                <w:b/>
                <w:color w:val="2A6EBB"/>
                <w:sz w:val="24"/>
                <w:szCs w:val="24"/>
              </w:rPr>
            </w:pPr>
            <w:bookmarkStart w:id="4" w:name="_ez2uu7s79acb" w:colFirst="0" w:colLast="0"/>
            <w:bookmarkEnd w:id="4"/>
            <w:r>
              <w:rPr>
                <w:rFonts w:ascii="Calibri" w:eastAsia="Calibri" w:hAnsi="Calibri" w:cs="Calibri"/>
                <w:b/>
                <w:color w:val="2A6EBB"/>
                <w:sz w:val="24"/>
                <w:szCs w:val="24"/>
              </w:rPr>
              <w:t>BACKGROUND</w:t>
            </w:r>
          </w:p>
        </w:tc>
      </w:tr>
      <w:tr w:rsidR="00364EE1" w14:paraId="6982C1AE" w14:textId="77777777">
        <w:trPr>
          <w:trHeight w:val="156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5E5E7A32" w14:textId="1D301204" w:rsidR="0096375F" w:rsidRPr="00EE7BF9" w:rsidRDefault="00EE7BF9" w:rsidP="00B1281D">
            <w:pPr>
              <w:pStyle w:val="Normal1"/>
              <w:spacing w:line="480" w:lineRule="auto"/>
              <w:jc w:val="both"/>
              <w:rPr>
                <w:rFonts w:ascii="Calibri" w:eastAsia="Calibri" w:hAnsi="Calibri" w:cs="Calibri"/>
                <w:iCs/>
                <w:lang w:val="en-GB"/>
              </w:rPr>
            </w:pPr>
            <w:r>
              <w:rPr>
                <w:sz w:val="24"/>
                <w:szCs w:val="24"/>
              </w:rPr>
              <w:t xml:space="preserve">Congenital diaphragmatic hernia (CDH) congenital duodenal obstruction (CDO) </w:t>
            </w:r>
            <w:r>
              <w:rPr>
                <w:sz w:val="24"/>
                <w:szCs w:val="24"/>
                <w:lang w:val="en-GB"/>
              </w:rPr>
              <w:t>are rare congenital anomalies that require surgery in early infancy.</w:t>
            </w:r>
            <w:r>
              <w:rPr>
                <w:sz w:val="24"/>
                <w:szCs w:val="24"/>
              </w:rPr>
              <w:t xml:space="preserve"> </w:t>
            </w:r>
            <w:r>
              <w:rPr>
                <w:sz w:val="24"/>
                <w:szCs w:val="24"/>
                <w:lang w:val="en-GB"/>
              </w:rPr>
              <w:t>The presence of these anomalies together without underlying chromosomal anomaly is particularly rare and has not been previously reported. Here we report a case of these anomalies together.</w:t>
            </w:r>
          </w:p>
        </w:tc>
      </w:tr>
      <w:tr w:rsidR="00364EE1" w14:paraId="1F987A1C"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584D112B" w14:textId="77777777" w:rsidR="00364EE1" w:rsidRDefault="009E4ECC">
            <w:pPr>
              <w:pStyle w:val="Heading3"/>
              <w:spacing w:before="0" w:after="0"/>
              <w:rPr>
                <w:rFonts w:ascii="Calibri" w:eastAsia="Calibri" w:hAnsi="Calibri" w:cs="Calibri"/>
                <w:b/>
                <w:color w:val="2A6EBB"/>
                <w:sz w:val="24"/>
                <w:szCs w:val="24"/>
              </w:rPr>
            </w:pPr>
            <w:bookmarkStart w:id="5" w:name="_hclzsfp87dp5" w:colFirst="0" w:colLast="0"/>
            <w:bookmarkEnd w:id="5"/>
            <w:r>
              <w:rPr>
                <w:rFonts w:ascii="Calibri" w:eastAsia="Calibri" w:hAnsi="Calibri" w:cs="Calibri"/>
                <w:b/>
                <w:color w:val="2A6EBB"/>
                <w:sz w:val="24"/>
                <w:szCs w:val="24"/>
              </w:rPr>
              <w:lastRenderedPageBreak/>
              <w:t>CASE PRESENTATION</w:t>
            </w:r>
          </w:p>
        </w:tc>
      </w:tr>
      <w:tr w:rsidR="00364EE1" w14:paraId="3593D630" w14:textId="77777777">
        <w:trPr>
          <w:trHeight w:val="76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0787F194" w14:textId="6D60449B" w:rsidR="00EE7BF9" w:rsidRDefault="00DE0273" w:rsidP="00EE7BF9">
            <w:pPr>
              <w:spacing w:line="480" w:lineRule="auto"/>
              <w:jc w:val="both"/>
              <w:rPr>
                <w:sz w:val="24"/>
                <w:szCs w:val="24"/>
              </w:rPr>
            </w:pPr>
            <w:r>
              <w:rPr>
                <w:sz w:val="24"/>
                <w:szCs w:val="24"/>
                <w:lang w:val="en-US"/>
              </w:rPr>
              <w:t>The patient</w:t>
            </w:r>
            <w:r w:rsidR="00EE7BF9">
              <w:rPr>
                <w:sz w:val="24"/>
                <w:szCs w:val="24"/>
              </w:rPr>
              <w:t xml:space="preserve"> was born at 34 weeks gestation via emergency caesarean section due to foetal distress weighing 1.13kg. She had an antenatal diagnosis of left sided congenital diaphragmatic hernia (CDH) and her parents underwent counselling for this at a tertiary surgical neonatal unit. No other anomalies including a “double bubble” sign were seen on antenatal ultrasonography. She was born in poor condition and intubated by the third minute of life. She was commenced on high frequency oscillated ventilated on admission to the neonatal intensive care unit with 100% FiO2 and nitrous oxide. She required extensive inotropic support initially with pre and post ductal saturations of 90% and 84% respectively. Her initial radiograph showed left CDH without bowel dilatation (figure 1).</w:t>
            </w:r>
          </w:p>
          <w:p w14:paraId="1FF6CC83" w14:textId="77777777" w:rsidR="00EE7BF9" w:rsidRDefault="00EE7BF9" w:rsidP="00EE7BF9">
            <w:pPr>
              <w:spacing w:line="480" w:lineRule="auto"/>
              <w:jc w:val="both"/>
              <w:rPr>
                <w:sz w:val="24"/>
                <w:szCs w:val="24"/>
              </w:rPr>
            </w:pPr>
          </w:p>
          <w:p w14:paraId="054B7271" w14:textId="5A107988" w:rsidR="00EE7BF9" w:rsidRDefault="00EE7BF9" w:rsidP="00EE7BF9">
            <w:pPr>
              <w:spacing w:line="480" w:lineRule="auto"/>
              <w:jc w:val="both"/>
              <w:rPr>
                <w:sz w:val="24"/>
                <w:szCs w:val="24"/>
              </w:rPr>
            </w:pPr>
            <w:r>
              <w:rPr>
                <w:sz w:val="24"/>
                <w:szCs w:val="24"/>
              </w:rPr>
              <w:t>Echocardiography revealed a patent ductus arteriosus and ventricular septal defect. There were no other congenital anomalies detected and genetic sequencing showed 46XX.</w:t>
            </w:r>
          </w:p>
          <w:p w14:paraId="45133C3C" w14:textId="77777777" w:rsidR="00EE7BF9" w:rsidRDefault="00EE7BF9" w:rsidP="00EE7BF9">
            <w:pPr>
              <w:spacing w:line="480" w:lineRule="auto"/>
              <w:jc w:val="both"/>
              <w:rPr>
                <w:sz w:val="24"/>
                <w:szCs w:val="24"/>
              </w:rPr>
            </w:pPr>
          </w:p>
          <w:p w14:paraId="3A720AF4" w14:textId="00708C68" w:rsidR="00EE7BF9" w:rsidRDefault="00EE7BF9" w:rsidP="00EE7BF9">
            <w:pPr>
              <w:spacing w:line="480" w:lineRule="auto"/>
              <w:jc w:val="both"/>
              <w:rPr>
                <w:sz w:val="24"/>
                <w:szCs w:val="24"/>
              </w:rPr>
            </w:pPr>
            <w:r>
              <w:rPr>
                <w:sz w:val="24"/>
                <w:szCs w:val="24"/>
              </w:rPr>
              <w:t xml:space="preserve">By day 9 of life she was receiving no inotropic support and </w:t>
            </w:r>
            <w:r w:rsidRPr="00C303C6">
              <w:rPr>
                <w:sz w:val="24"/>
                <w:szCs w:val="24"/>
              </w:rPr>
              <w:t xml:space="preserve">required 25% oxygen </w:t>
            </w:r>
            <w:r>
              <w:rPr>
                <w:sz w:val="24"/>
                <w:szCs w:val="24"/>
              </w:rPr>
              <w:t xml:space="preserve">on convention ventilation with pressures of 23/6. She weighed 1.53kg and was taken to theatre on this day for a thoracoscopic left CDH repair which revealed a 5x4cm left </w:t>
            </w:r>
            <w:r w:rsidRPr="00C303C6">
              <w:rPr>
                <w:sz w:val="24"/>
                <w:szCs w:val="24"/>
              </w:rPr>
              <w:t xml:space="preserve">posterior lateral </w:t>
            </w:r>
            <w:r>
              <w:rPr>
                <w:sz w:val="24"/>
                <w:szCs w:val="24"/>
              </w:rPr>
              <w:t>diaphragmatic defect containing small bowel, colon, spleen and left lobe of liver. There was difficulty reducing the contents of the hernia and the procedure was converted to open via a subcostal laparotomy. After returning the contents of the hernia to the abdomen a polytetrafluoroethylene patch (Gore-Tex, W. L. Gore &amp; Assoc Inc, Flagstaff, USA) was used to close the defect with posterior and lateral fixation around the rib. A 10Fr chest drain was left in-</w:t>
            </w:r>
            <w:r w:rsidRPr="00CE31D7">
              <w:rPr>
                <w:sz w:val="24"/>
                <w:szCs w:val="24"/>
              </w:rPr>
              <w:t>situ</w:t>
            </w:r>
            <w:r w:rsidR="0035152E" w:rsidRPr="00CE31D7">
              <w:rPr>
                <w:sz w:val="24"/>
                <w:szCs w:val="24"/>
                <w:lang w:val="en-US"/>
              </w:rPr>
              <w:t xml:space="preserve"> as </w:t>
            </w:r>
            <w:r w:rsidR="0035152E" w:rsidRPr="00201D80">
              <w:rPr>
                <w:sz w:val="24"/>
                <w:szCs w:val="24"/>
                <w:lang w:val="en-US"/>
              </w:rPr>
              <w:t>t</w:t>
            </w:r>
            <w:r w:rsidR="0035152E" w:rsidRPr="00201D80">
              <w:rPr>
                <w:sz w:val="24"/>
                <w:szCs w:val="24"/>
              </w:rPr>
              <w:t>he thoracoscopic part of the procedure was challenging and there was concern about lung injury</w:t>
            </w:r>
            <w:r w:rsidR="0035152E" w:rsidRPr="00201D80">
              <w:rPr>
                <w:sz w:val="24"/>
                <w:szCs w:val="24"/>
                <w:lang w:val="en-US"/>
              </w:rPr>
              <w:t>. P</w:t>
            </w:r>
            <w:r w:rsidR="0035152E" w:rsidRPr="00201D80">
              <w:rPr>
                <w:sz w:val="24"/>
                <w:szCs w:val="24"/>
              </w:rPr>
              <w:t>rophylactic antibiotics were given</w:t>
            </w:r>
            <w:r w:rsidR="0035152E" w:rsidRPr="00201D80">
              <w:rPr>
                <w:sz w:val="24"/>
                <w:szCs w:val="24"/>
                <w:lang w:val="en-US"/>
              </w:rPr>
              <w:t xml:space="preserve"> due to the risk of patch infection</w:t>
            </w:r>
            <w:r w:rsidR="00CE31D7">
              <w:rPr>
                <w:sz w:val="24"/>
                <w:szCs w:val="24"/>
                <w:lang w:val="en-US"/>
              </w:rPr>
              <w:t xml:space="preserve"> with the chest drain</w:t>
            </w:r>
          </w:p>
          <w:p w14:paraId="62871FD8" w14:textId="77777777" w:rsidR="00EE7BF9" w:rsidRDefault="00EE7BF9" w:rsidP="00EE7BF9">
            <w:pPr>
              <w:spacing w:line="480" w:lineRule="auto"/>
              <w:jc w:val="both"/>
              <w:rPr>
                <w:sz w:val="24"/>
                <w:szCs w:val="24"/>
              </w:rPr>
            </w:pPr>
          </w:p>
          <w:p w14:paraId="441B0B6E" w14:textId="74DD8545" w:rsidR="00EE7BF9" w:rsidRDefault="00EE7BF9" w:rsidP="00EE7BF9">
            <w:pPr>
              <w:spacing w:line="480" w:lineRule="auto"/>
              <w:jc w:val="both"/>
              <w:rPr>
                <w:sz w:val="24"/>
                <w:szCs w:val="24"/>
              </w:rPr>
            </w:pPr>
            <w:r>
              <w:rPr>
                <w:sz w:val="24"/>
                <w:szCs w:val="24"/>
              </w:rPr>
              <w:t>On day 14 of life,</w:t>
            </w:r>
            <w:r w:rsidRPr="003F72D8">
              <w:rPr>
                <w:color w:val="FF0000"/>
                <w:sz w:val="24"/>
                <w:szCs w:val="24"/>
              </w:rPr>
              <w:t xml:space="preserve"> </w:t>
            </w:r>
            <w:r>
              <w:rPr>
                <w:sz w:val="24"/>
                <w:szCs w:val="24"/>
              </w:rPr>
              <w:t xml:space="preserve">which was day 5 post op, she was seen to have a pneumoperitoneum and persistent pneumothorax (figure 2). This was initially thought to be an air leak from </w:t>
            </w:r>
            <w:r>
              <w:rPr>
                <w:sz w:val="24"/>
                <w:szCs w:val="24"/>
              </w:rPr>
              <w:lastRenderedPageBreak/>
              <w:t xml:space="preserve">the left hemi-thorax and therefore an abdominal drain was placed in addition to the chest drain. Drainage was of air only. </w:t>
            </w:r>
          </w:p>
          <w:p w14:paraId="714EA62B" w14:textId="77777777" w:rsidR="00EE7BF9" w:rsidRDefault="00EE7BF9" w:rsidP="00EE7BF9">
            <w:pPr>
              <w:spacing w:line="480" w:lineRule="auto"/>
              <w:jc w:val="both"/>
              <w:rPr>
                <w:sz w:val="24"/>
                <w:szCs w:val="24"/>
              </w:rPr>
            </w:pPr>
          </w:p>
          <w:p w14:paraId="5C925E2A" w14:textId="7149B46E" w:rsidR="00EE7BF9" w:rsidRDefault="00EE7BF9" w:rsidP="00EE7BF9">
            <w:pPr>
              <w:spacing w:line="480" w:lineRule="auto"/>
              <w:jc w:val="both"/>
              <w:rPr>
                <w:sz w:val="24"/>
                <w:szCs w:val="24"/>
              </w:rPr>
            </w:pPr>
            <w:r>
              <w:rPr>
                <w:sz w:val="24"/>
                <w:szCs w:val="24"/>
              </w:rPr>
              <w:t>Despite chest and abdominal drainage there was no improvement in the appearance of the radiographs with persistent pneumoperitoneum which re-collected following aspiration and drainage. Given the suspicion of visceral perforation she underwent an upper gastrointestinal water soluble contrast study (figure 3). This showed contrast leak consistent with visceral perforation.</w:t>
            </w:r>
          </w:p>
          <w:p w14:paraId="339BE70F" w14:textId="77777777" w:rsidR="00EE7BF9" w:rsidRDefault="00EE7BF9" w:rsidP="00EE7BF9">
            <w:pPr>
              <w:spacing w:line="480" w:lineRule="auto"/>
              <w:jc w:val="both"/>
              <w:rPr>
                <w:sz w:val="24"/>
                <w:szCs w:val="24"/>
              </w:rPr>
            </w:pPr>
          </w:p>
          <w:p w14:paraId="12F75566" w14:textId="78C72E8C" w:rsidR="00364EE1" w:rsidRPr="00EE7BF9" w:rsidRDefault="00EE7BF9" w:rsidP="00EE7BF9">
            <w:pPr>
              <w:spacing w:line="480" w:lineRule="auto"/>
              <w:jc w:val="both"/>
              <w:rPr>
                <w:sz w:val="24"/>
                <w:szCs w:val="24"/>
              </w:rPr>
            </w:pPr>
            <w:r>
              <w:rPr>
                <w:sz w:val="24"/>
                <w:szCs w:val="24"/>
              </w:rPr>
              <w:t xml:space="preserve">She was taken back to theatre on day 22, day 13 post op, for a laparotomy where a perforation was found in the fourth part of the duodenum proximal to a duodenal web. The small and large bowel were inspected in entirety and no distal atresia or web was discovered. She had non-rotation of the midgut with a wide based mesentery (figure 4). The CDH repair remained intact. Given this finding the existing drains were removed and 3cm of duodenum containing the web </w:t>
            </w:r>
            <w:r w:rsidR="005E5F83">
              <w:rPr>
                <w:sz w:val="24"/>
                <w:szCs w:val="24"/>
                <w:lang w:val="en-US"/>
              </w:rPr>
              <w:t xml:space="preserve">and slightly dusky </w:t>
            </w:r>
            <w:r w:rsidR="003E287E">
              <w:rPr>
                <w:sz w:val="24"/>
                <w:szCs w:val="24"/>
                <w:lang w:val="en-US"/>
              </w:rPr>
              <w:t xml:space="preserve">distal bowel </w:t>
            </w:r>
            <w:r w:rsidR="003E287E">
              <w:rPr>
                <w:sz w:val="24"/>
                <w:szCs w:val="24"/>
              </w:rPr>
              <w:t>w</w:t>
            </w:r>
            <w:r w:rsidR="003E287E">
              <w:rPr>
                <w:sz w:val="24"/>
                <w:szCs w:val="24"/>
                <w:lang w:val="en-US"/>
              </w:rPr>
              <w:t>ere</w:t>
            </w:r>
            <w:r w:rsidR="003E287E">
              <w:rPr>
                <w:sz w:val="24"/>
                <w:szCs w:val="24"/>
              </w:rPr>
              <w:t xml:space="preserve"> </w:t>
            </w:r>
            <w:r>
              <w:rPr>
                <w:sz w:val="24"/>
                <w:szCs w:val="24"/>
              </w:rPr>
              <w:t xml:space="preserve">resected and she underwent </w:t>
            </w:r>
            <w:r w:rsidR="003E287E">
              <w:rPr>
                <w:sz w:val="24"/>
                <w:szCs w:val="24"/>
                <w:lang w:val="en-US"/>
              </w:rPr>
              <w:t xml:space="preserve">a primary </w:t>
            </w:r>
            <w:r>
              <w:rPr>
                <w:sz w:val="24"/>
                <w:szCs w:val="24"/>
              </w:rPr>
              <w:t xml:space="preserve">duodenoduodenostomy. </w:t>
            </w:r>
          </w:p>
        </w:tc>
      </w:tr>
    </w:tbl>
    <w:p w14:paraId="21A8539D" w14:textId="77777777" w:rsidR="00364EE1" w:rsidRDefault="00364EE1">
      <w:pPr>
        <w:pStyle w:val="Normal1"/>
        <w:rPr>
          <w:rFonts w:ascii="Calibri" w:eastAsia="Calibri" w:hAnsi="Calibri" w:cs="Calibri"/>
        </w:rPr>
      </w:pPr>
    </w:p>
    <w:tbl>
      <w:tblPr>
        <w:tblStyle w:val="a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7835E62C"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519C675B" w14:textId="77777777" w:rsidR="00364EE1" w:rsidRDefault="009E4ECC">
            <w:pPr>
              <w:pStyle w:val="Heading3"/>
              <w:spacing w:before="0" w:after="0"/>
              <w:rPr>
                <w:rFonts w:ascii="Calibri" w:eastAsia="Calibri" w:hAnsi="Calibri" w:cs="Calibri"/>
                <w:b/>
                <w:color w:val="2A6EBB"/>
                <w:sz w:val="24"/>
                <w:szCs w:val="24"/>
              </w:rPr>
            </w:pPr>
            <w:bookmarkStart w:id="6" w:name="_rotpn5evag5w" w:colFirst="0" w:colLast="0"/>
            <w:bookmarkEnd w:id="6"/>
            <w:r>
              <w:rPr>
                <w:rFonts w:ascii="Calibri" w:eastAsia="Calibri" w:hAnsi="Calibri" w:cs="Calibri"/>
                <w:b/>
                <w:color w:val="2A6EBB"/>
                <w:sz w:val="24"/>
                <w:szCs w:val="24"/>
              </w:rPr>
              <w:t>OUTCOME AND FOLLOW-UP</w:t>
            </w:r>
          </w:p>
        </w:tc>
      </w:tr>
      <w:tr w:rsidR="00364EE1" w14:paraId="4400DA5D" w14:textId="77777777">
        <w:trPr>
          <w:trHeight w:val="170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4A373BE0" w14:textId="5D6BEE73" w:rsidR="00364EE1" w:rsidRPr="00EE7BF9" w:rsidRDefault="00EE7BF9" w:rsidP="00EE7BF9">
            <w:pPr>
              <w:spacing w:line="480" w:lineRule="auto"/>
              <w:jc w:val="both"/>
              <w:rPr>
                <w:sz w:val="24"/>
                <w:szCs w:val="24"/>
              </w:rPr>
            </w:pPr>
            <w:r>
              <w:rPr>
                <w:sz w:val="24"/>
                <w:szCs w:val="24"/>
              </w:rPr>
              <w:t>She was commenced enteral feeding on day 14 post duodenoduodenostomy and established full enteral feeds on day 23. She required decreased respiratory support over the coming days and was extubated on day 60 of life. She has not experienced any further complications and was discharged from the neonatal unit on day 82 of life.</w:t>
            </w:r>
          </w:p>
        </w:tc>
      </w:tr>
    </w:tbl>
    <w:p w14:paraId="6FC60164" w14:textId="77777777" w:rsidR="00364EE1" w:rsidRDefault="00364EE1">
      <w:pPr>
        <w:pStyle w:val="Normal1"/>
        <w:rPr>
          <w:rFonts w:ascii="Calibri" w:eastAsia="Calibri" w:hAnsi="Calibri" w:cs="Calibri"/>
        </w:rPr>
      </w:pPr>
    </w:p>
    <w:tbl>
      <w:tblPr>
        <w:tblStyle w:val="a6"/>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39DB4DA0"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4A9A1728" w14:textId="77777777" w:rsidR="00364EE1" w:rsidRDefault="00364EE1">
            <w:pPr>
              <w:pStyle w:val="Heading3"/>
              <w:spacing w:before="0" w:after="0"/>
              <w:rPr>
                <w:rFonts w:ascii="Calibri" w:eastAsia="Calibri" w:hAnsi="Calibri" w:cs="Calibri"/>
                <w:b/>
                <w:color w:val="2A6EBB"/>
                <w:sz w:val="24"/>
                <w:szCs w:val="24"/>
              </w:rPr>
            </w:pPr>
            <w:bookmarkStart w:id="7" w:name="_hphyov1e360w" w:colFirst="0" w:colLast="0"/>
            <w:bookmarkStart w:id="8" w:name="_br5llfmuldmh" w:colFirst="0" w:colLast="0"/>
            <w:bookmarkEnd w:id="7"/>
            <w:bookmarkEnd w:id="8"/>
          </w:p>
          <w:p w14:paraId="14772536" w14:textId="77777777" w:rsidR="00364EE1" w:rsidRDefault="009E4ECC">
            <w:pPr>
              <w:pStyle w:val="Heading3"/>
              <w:spacing w:before="0" w:after="0"/>
              <w:rPr>
                <w:rFonts w:ascii="Calibri" w:eastAsia="Calibri" w:hAnsi="Calibri" w:cs="Calibri"/>
                <w:b/>
                <w:i/>
                <w:color w:val="2A6EBB"/>
                <w:sz w:val="24"/>
                <w:szCs w:val="24"/>
              </w:rPr>
            </w:pPr>
            <w:bookmarkStart w:id="9" w:name="_u0enx0otl0t8" w:colFirst="0" w:colLast="0"/>
            <w:bookmarkEnd w:id="9"/>
            <w:r>
              <w:rPr>
                <w:rFonts w:ascii="Calibri" w:eastAsia="Calibri" w:hAnsi="Calibri" w:cs="Calibri"/>
                <w:b/>
                <w:color w:val="2A6EBB"/>
                <w:sz w:val="24"/>
                <w:szCs w:val="24"/>
              </w:rPr>
              <w:t xml:space="preserve">DISCUSSION </w:t>
            </w:r>
            <w:r>
              <w:rPr>
                <w:rFonts w:ascii="Calibri" w:eastAsia="Calibri" w:hAnsi="Calibri" w:cs="Calibri"/>
                <w:b/>
                <w:i/>
                <w:color w:val="2A6EBB"/>
                <w:sz w:val="24"/>
                <w:szCs w:val="24"/>
              </w:rPr>
              <w:t>Include a very brief review of similar published cases</w:t>
            </w:r>
          </w:p>
        </w:tc>
      </w:tr>
    </w:tbl>
    <w:p w14:paraId="3D1E2676" w14:textId="3D6D5B67" w:rsidR="00EE7BF9" w:rsidRDefault="00EE7BF9" w:rsidP="00EE7BF9">
      <w:pPr>
        <w:spacing w:line="480" w:lineRule="auto"/>
        <w:jc w:val="both"/>
        <w:rPr>
          <w:sz w:val="24"/>
          <w:szCs w:val="24"/>
        </w:rPr>
      </w:pPr>
      <w:r>
        <w:rPr>
          <w:sz w:val="24"/>
          <w:szCs w:val="24"/>
        </w:rPr>
        <w:t xml:space="preserve">This is the first reported case of congenital duodenal obstruction (CDO) associated with congenital diaphragmatic hernia (CDH) in an infant without a syndrome or chromosomal anomalies. The importance of this, particularly in the era of thoracoscopic CDH repair, is that this association should be considered if there is intra-abdominal concerns following </w:t>
      </w:r>
      <w:r>
        <w:rPr>
          <w:sz w:val="24"/>
          <w:szCs w:val="24"/>
        </w:rPr>
        <w:lastRenderedPageBreak/>
        <w:t xml:space="preserve">CDH repair. Here we demonstrate a late, atypical </w:t>
      </w:r>
      <w:r w:rsidRPr="00C303C6">
        <w:rPr>
          <w:sz w:val="24"/>
          <w:szCs w:val="24"/>
        </w:rPr>
        <w:t xml:space="preserve">presentation identified </w:t>
      </w:r>
      <w:r>
        <w:rPr>
          <w:sz w:val="24"/>
          <w:szCs w:val="24"/>
        </w:rPr>
        <w:t>due to duodenal perforation and pneumoperitoneum.</w:t>
      </w:r>
    </w:p>
    <w:p w14:paraId="2758654C" w14:textId="77777777" w:rsidR="00EE7BF9" w:rsidRDefault="00EE7BF9" w:rsidP="00EE7BF9">
      <w:pPr>
        <w:spacing w:line="480" w:lineRule="auto"/>
        <w:jc w:val="both"/>
        <w:rPr>
          <w:sz w:val="24"/>
          <w:szCs w:val="24"/>
        </w:rPr>
      </w:pPr>
    </w:p>
    <w:p w14:paraId="48B64CD1" w14:textId="32281FF5" w:rsidR="00EE7BF9" w:rsidRDefault="00EE7BF9" w:rsidP="00EE7BF9">
      <w:pPr>
        <w:spacing w:line="480" w:lineRule="auto"/>
        <w:jc w:val="both"/>
        <w:rPr>
          <w:sz w:val="24"/>
          <w:szCs w:val="24"/>
        </w:rPr>
      </w:pPr>
      <w:r>
        <w:rPr>
          <w:sz w:val="24"/>
          <w:szCs w:val="24"/>
        </w:rPr>
        <w:t>Population based study within the United Kingdom and Ireland found that the incidence of CDH is 1 in 5880 live births and the majority of infa</w:t>
      </w:r>
      <w:r w:rsidRPr="00C303C6">
        <w:rPr>
          <w:sz w:val="24"/>
          <w:szCs w:val="24"/>
        </w:rPr>
        <w:t>nts had an antenatal diagnosis.</w:t>
      </w:r>
      <w:r w:rsidR="00B47870">
        <w:rPr>
          <w:sz w:val="24"/>
          <w:szCs w:val="24"/>
          <w:lang w:val="en-US"/>
        </w:rPr>
        <w:t>[1]</w:t>
      </w:r>
      <w:r w:rsidRPr="00C303C6">
        <w:rPr>
          <w:sz w:val="24"/>
          <w:szCs w:val="24"/>
        </w:rPr>
        <w:t xml:space="preserve"> These babies are typically critically unwell and as many as 44% required high frequency oscillated ventilation and 61% required inotropic support. Survival to surgery </w:t>
      </w:r>
      <w:r>
        <w:rPr>
          <w:sz w:val="24"/>
          <w:szCs w:val="24"/>
        </w:rPr>
        <w:t>is</w:t>
      </w:r>
      <w:r w:rsidRPr="00C303C6">
        <w:rPr>
          <w:sz w:val="24"/>
          <w:szCs w:val="24"/>
        </w:rPr>
        <w:t xml:space="preserve"> a</w:t>
      </w:r>
      <w:r>
        <w:rPr>
          <w:sz w:val="24"/>
          <w:szCs w:val="24"/>
        </w:rPr>
        <w:t>round 80% of infants with early mortality mostly due to severe pulmonary hypertension. Thoracoscopic repair of CDH has gained popularity in recent years and has similar results to the open procedure without the need for an intra-abdominal procedure.</w:t>
      </w:r>
      <w:r w:rsidR="00B47870">
        <w:rPr>
          <w:sz w:val="24"/>
          <w:szCs w:val="24"/>
          <w:lang w:val="en-US"/>
        </w:rPr>
        <w:t>[2]</w:t>
      </w:r>
      <w:r w:rsidR="00507F5C">
        <w:rPr>
          <w:sz w:val="24"/>
          <w:szCs w:val="24"/>
          <w:lang w:val="en-US"/>
        </w:rPr>
        <w:t xml:space="preserve"> This is approach is routinely undertaken at our institution for all </w:t>
      </w:r>
      <w:r w:rsidR="0070274E">
        <w:rPr>
          <w:sz w:val="24"/>
          <w:szCs w:val="24"/>
          <w:lang w:val="en-US"/>
        </w:rPr>
        <w:t>infants with CDH regardless of weight.</w:t>
      </w:r>
      <w:r>
        <w:rPr>
          <w:sz w:val="24"/>
          <w:szCs w:val="24"/>
        </w:rPr>
        <w:t xml:space="preserve"> A disadvantage of this approach is that there is no opportunity to discover rare intra-abdominal associated anomalies using this technique. However, intra-abdominal associated anomalies requiring intervention are unusual.</w:t>
      </w:r>
      <w:r w:rsidR="00B47870">
        <w:rPr>
          <w:sz w:val="24"/>
          <w:szCs w:val="24"/>
          <w:lang w:val="en-US"/>
        </w:rPr>
        <w:t>[3]</w:t>
      </w:r>
      <w:r w:rsidR="00B47870">
        <w:rPr>
          <w:sz w:val="24"/>
          <w:szCs w:val="24"/>
        </w:rPr>
        <w:t xml:space="preserve"> </w:t>
      </w:r>
    </w:p>
    <w:p w14:paraId="0A748BAC" w14:textId="77777777" w:rsidR="00EE7BF9" w:rsidRDefault="00EE7BF9" w:rsidP="00EE7BF9">
      <w:pPr>
        <w:spacing w:line="480" w:lineRule="auto"/>
        <w:jc w:val="both"/>
        <w:rPr>
          <w:sz w:val="24"/>
          <w:szCs w:val="24"/>
        </w:rPr>
      </w:pPr>
    </w:p>
    <w:p w14:paraId="14ADC080" w14:textId="47E8BF1D" w:rsidR="00EE7BF9" w:rsidRDefault="00EE7BF9" w:rsidP="00EE7BF9">
      <w:pPr>
        <w:spacing w:line="480" w:lineRule="auto"/>
        <w:jc w:val="both"/>
        <w:rPr>
          <w:sz w:val="24"/>
          <w:szCs w:val="24"/>
        </w:rPr>
      </w:pPr>
      <w:r>
        <w:rPr>
          <w:sz w:val="24"/>
          <w:szCs w:val="24"/>
        </w:rPr>
        <w:t>CDO, consisting of a duodenal web or atresia, is rarer than CDH and is seen in 1 in 8197 live births in the UK and Ireland.</w:t>
      </w:r>
      <w:r w:rsidR="00B47870">
        <w:rPr>
          <w:sz w:val="24"/>
          <w:szCs w:val="24"/>
          <w:lang w:val="en-US"/>
        </w:rPr>
        <w:t>[4]</w:t>
      </w:r>
      <w:r>
        <w:rPr>
          <w:sz w:val="24"/>
          <w:szCs w:val="24"/>
        </w:rPr>
        <w:t xml:space="preserve"> The diagnosis is </w:t>
      </w:r>
      <w:proofErr w:type="gramStart"/>
      <w:r>
        <w:rPr>
          <w:sz w:val="24"/>
          <w:szCs w:val="24"/>
        </w:rPr>
        <w:t>most commonly made</w:t>
      </w:r>
      <w:proofErr w:type="gramEnd"/>
      <w:r>
        <w:rPr>
          <w:sz w:val="24"/>
          <w:szCs w:val="24"/>
        </w:rPr>
        <w:t xml:space="preserve"> antenatally and associated anomalies are common. Around 50% of these anomalies are cardiac however in the largest population based study to date there were no reported cases of CDH.</w:t>
      </w:r>
      <w:r w:rsidR="00B47870">
        <w:rPr>
          <w:sz w:val="24"/>
          <w:szCs w:val="24"/>
          <w:lang w:val="en-US"/>
        </w:rPr>
        <w:t>[4]</w:t>
      </w:r>
      <w:r>
        <w:rPr>
          <w:sz w:val="24"/>
          <w:szCs w:val="24"/>
        </w:rPr>
        <w:t xml:space="preserve"> The finding of a duodenal web in the fourth part of the duodenum is particularly unusual as these are usually seen in more proximal duodenum. Moreover, duodenal webs occur in only 38% of CDO.  Outcomes of CDO are very good with 98% survival at 28 days post-surgical repair.</w:t>
      </w:r>
      <w:r w:rsidR="00B47870">
        <w:rPr>
          <w:sz w:val="24"/>
          <w:szCs w:val="24"/>
          <w:lang w:val="en-US"/>
        </w:rPr>
        <w:t>[5]</w:t>
      </w:r>
      <w:r>
        <w:rPr>
          <w:sz w:val="24"/>
          <w:szCs w:val="24"/>
        </w:rPr>
        <w:t xml:space="preserve"> Although the use of laparoscopy for these repairs has been reported, 95% of these procedures are still repaired using an open technique.</w:t>
      </w:r>
      <w:r w:rsidR="00B47870">
        <w:rPr>
          <w:sz w:val="24"/>
          <w:szCs w:val="24"/>
          <w:lang w:val="en-US"/>
        </w:rPr>
        <w:t>[4]</w:t>
      </w:r>
      <w:r>
        <w:rPr>
          <w:sz w:val="24"/>
          <w:szCs w:val="24"/>
        </w:rPr>
        <w:t xml:space="preserve"> Laparoscopic repair does offer similar outcomes with improved cosmesis.</w:t>
      </w:r>
      <w:r w:rsidR="00B47870">
        <w:rPr>
          <w:sz w:val="24"/>
          <w:szCs w:val="24"/>
          <w:lang w:val="en-US"/>
        </w:rPr>
        <w:t>[5]</w:t>
      </w:r>
      <w:r w:rsidR="00B47870">
        <w:rPr>
          <w:sz w:val="24"/>
          <w:szCs w:val="24"/>
        </w:rPr>
        <w:t xml:space="preserve"> </w:t>
      </w:r>
    </w:p>
    <w:p w14:paraId="25894CCA" w14:textId="77777777" w:rsidR="00EE7BF9" w:rsidRDefault="00EE7BF9" w:rsidP="00EE7BF9">
      <w:pPr>
        <w:spacing w:line="480" w:lineRule="auto"/>
        <w:jc w:val="both"/>
        <w:rPr>
          <w:sz w:val="24"/>
          <w:szCs w:val="24"/>
        </w:rPr>
      </w:pPr>
    </w:p>
    <w:p w14:paraId="68BEA86B" w14:textId="5545E73D" w:rsidR="00EE7BF9" w:rsidRDefault="00EE7BF9" w:rsidP="00EE7BF9">
      <w:pPr>
        <w:spacing w:line="480" w:lineRule="auto"/>
        <w:jc w:val="both"/>
        <w:rPr>
          <w:sz w:val="24"/>
          <w:szCs w:val="24"/>
        </w:rPr>
      </w:pPr>
      <w:r>
        <w:rPr>
          <w:sz w:val="24"/>
          <w:szCs w:val="24"/>
        </w:rPr>
        <w:t>Duodenal or gastric perforation secondary to CDO is rarely reported.</w:t>
      </w:r>
      <w:r w:rsidR="00B47870">
        <w:rPr>
          <w:sz w:val="24"/>
          <w:szCs w:val="24"/>
          <w:lang w:val="en-US"/>
        </w:rPr>
        <w:t>[6-8]</w:t>
      </w:r>
      <w:r>
        <w:rPr>
          <w:sz w:val="24"/>
          <w:szCs w:val="24"/>
        </w:rPr>
        <w:t xml:space="preserve"> This is likely due to early detection of the anomaly, gastric </w:t>
      </w:r>
      <w:proofErr w:type="gramStart"/>
      <w:r>
        <w:rPr>
          <w:sz w:val="24"/>
          <w:szCs w:val="24"/>
        </w:rPr>
        <w:t>decompression</w:t>
      </w:r>
      <w:proofErr w:type="gramEnd"/>
      <w:r>
        <w:rPr>
          <w:sz w:val="24"/>
          <w:szCs w:val="24"/>
        </w:rPr>
        <w:t xml:space="preserve"> and prompt surgical repair. In our case there was initial uncertainty of the source of pneumoperitoneum and pneumothorax. It </w:t>
      </w:r>
      <w:r>
        <w:rPr>
          <w:sz w:val="24"/>
          <w:szCs w:val="24"/>
        </w:rPr>
        <w:lastRenderedPageBreak/>
        <w:t xml:space="preserve">only became apparent following an upper gastrointestinal contrast study that clearly demonstrated an extra-luminal leak of contrast. </w:t>
      </w:r>
      <w:r w:rsidRPr="000B6039">
        <w:rPr>
          <w:sz w:val="24"/>
          <w:szCs w:val="24"/>
        </w:rPr>
        <w:t>Human factors training appears much more commonly on undergraduate and post graduate medical curriculums in recent years which includes raised awareness about cognitive bias.</w:t>
      </w:r>
      <w:r w:rsidR="00B47870">
        <w:rPr>
          <w:sz w:val="24"/>
          <w:szCs w:val="24"/>
          <w:lang w:val="en-US"/>
        </w:rPr>
        <w:t>[9]</w:t>
      </w:r>
      <w:r w:rsidRPr="00332BFA">
        <w:rPr>
          <w:color w:val="FF0000"/>
          <w:sz w:val="24"/>
          <w:szCs w:val="24"/>
        </w:rPr>
        <w:t xml:space="preserve"> </w:t>
      </w:r>
      <w:r>
        <w:rPr>
          <w:sz w:val="24"/>
          <w:szCs w:val="24"/>
        </w:rPr>
        <w:t xml:space="preserve">Without the co-existing CDH in our patient or the presence of pneumothorax, there may have been an opportunity for earlier intervention. It is apparent that diagnostic confusion was caused by cognitive bias in this incredibly rare association. Our infant had a very good outcome however with no adverse </w:t>
      </w:r>
      <w:r w:rsidRPr="00C303C6">
        <w:rPr>
          <w:sz w:val="24"/>
          <w:szCs w:val="24"/>
        </w:rPr>
        <w:t xml:space="preserve">effects of these two significant </w:t>
      </w:r>
      <w:r>
        <w:rPr>
          <w:sz w:val="24"/>
          <w:szCs w:val="24"/>
        </w:rPr>
        <w:t xml:space="preserve">congenital anomalies. </w:t>
      </w:r>
    </w:p>
    <w:p w14:paraId="658DE190" w14:textId="77777777" w:rsidR="00EE7BF9" w:rsidRDefault="00EE7BF9" w:rsidP="00EE7BF9">
      <w:pPr>
        <w:spacing w:line="480" w:lineRule="auto"/>
        <w:jc w:val="both"/>
        <w:rPr>
          <w:sz w:val="24"/>
          <w:szCs w:val="24"/>
        </w:rPr>
      </w:pPr>
    </w:p>
    <w:p w14:paraId="754FFA5E" w14:textId="225AFB75" w:rsidR="00EE7BF9" w:rsidRDefault="00EE7BF9" w:rsidP="00EE7BF9">
      <w:pPr>
        <w:spacing w:line="480" w:lineRule="auto"/>
        <w:jc w:val="both"/>
        <w:rPr>
          <w:sz w:val="24"/>
          <w:szCs w:val="24"/>
        </w:rPr>
      </w:pPr>
      <w:r>
        <w:rPr>
          <w:sz w:val="24"/>
          <w:szCs w:val="24"/>
        </w:rPr>
        <w:t>Existing reports of this rare association, of CDH and CDO, are limited. In a child with VACTERL association right CDH and duodenal atresia has been reported.</w:t>
      </w:r>
      <w:r w:rsidR="00B47870">
        <w:rPr>
          <w:sz w:val="24"/>
          <w:szCs w:val="24"/>
          <w:lang w:val="en-US"/>
        </w:rPr>
        <w:t>[10]</w:t>
      </w:r>
      <w:r>
        <w:rPr>
          <w:sz w:val="24"/>
          <w:szCs w:val="24"/>
        </w:rPr>
        <w:t xml:space="preserve"> Extrinsic duodenal obstruction due to a wandering spleen in CDH has also been described.</w:t>
      </w:r>
      <w:r w:rsidR="00870574">
        <w:rPr>
          <w:sz w:val="24"/>
          <w:szCs w:val="24"/>
          <w:lang w:val="en-US"/>
        </w:rPr>
        <w:t>[11]</w:t>
      </w:r>
      <w:r>
        <w:rPr>
          <w:sz w:val="24"/>
          <w:szCs w:val="24"/>
        </w:rPr>
        <w:t xml:space="preserve"> Our case is an intrinsic CDO in a child without a chromosomal anomaly and highlights the importance of considering this association in any infant that fails to tolerate enteral feeds or develops pneumoperitoneum post-operatively. </w:t>
      </w:r>
    </w:p>
    <w:p w14:paraId="40CB9362" w14:textId="77777777" w:rsidR="00364EE1" w:rsidRPr="009D4BE7" w:rsidRDefault="00364EE1">
      <w:pPr>
        <w:pStyle w:val="Normal1"/>
        <w:rPr>
          <w:rFonts w:ascii="Calibri" w:eastAsia="Calibri" w:hAnsi="Calibri" w:cs="Calibri"/>
          <w:lang w:val="en-GB"/>
        </w:rPr>
      </w:pPr>
    </w:p>
    <w:tbl>
      <w:tblPr>
        <w:tblStyle w:val="a7"/>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29159F10"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5FC9D3A4" w14:textId="77777777" w:rsidR="00364EE1" w:rsidRDefault="00364EE1">
            <w:pPr>
              <w:pStyle w:val="Heading3"/>
              <w:spacing w:before="0" w:after="0"/>
              <w:rPr>
                <w:rFonts w:ascii="Calibri" w:eastAsia="Calibri" w:hAnsi="Calibri" w:cs="Calibri"/>
                <w:b/>
                <w:color w:val="2A6EBB"/>
                <w:sz w:val="24"/>
                <w:szCs w:val="24"/>
              </w:rPr>
            </w:pPr>
            <w:bookmarkStart w:id="10" w:name="_r79k29jyfj73" w:colFirst="0" w:colLast="0"/>
            <w:bookmarkStart w:id="11" w:name="_lg4j1rt3cwl5" w:colFirst="0" w:colLast="0"/>
            <w:bookmarkEnd w:id="10"/>
            <w:bookmarkEnd w:id="11"/>
          </w:p>
          <w:p w14:paraId="5CC9141E" w14:textId="77777777" w:rsidR="00364EE1" w:rsidRDefault="009E4ECC">
            <w:pPr>
              <w:pStyle w:val="Heading3"/>
              <w:spacing w:before="0" w:after="0"/>
              <w:rPr>
                <w:rFonts w:ascii="Calibri" w:eastAsia="Calibri" w:hAnsi="Calibri" w:cs="Calibri"/>
                <w:b/>
                <w:i/>
                <w:color w:val="2A6EBB"/>
                <w:sz w:val="24"/>
                <w:szCs w:val="24"/>
              </w:rPr>
            </w:pPr>
            <w:bookmarkStart w:id="12" w:name="_3htit2xg0ct9" w:colFirst="0" w:colLast="0"/>
            <w:bookmarkEnd w:id="12"/>
            <w:r>
              <w:rPr>
                <w:rFonts w:ascii="Calibri" w:eastAsia="Calibri" w:hAnsi="Calibri" w:cs="Calibri"/>
                <w:b/>
                <w:color w:val="2A6EBB"/>
                <w:sz w:val="24"/>
                <w:szCs w:val="24"/>
              </w:rPr>
              <w:t xml:space="preserve">LEARNING POINTS/TAKE HOME MESSAGES </w:t>
            </w:r>
            <w:r>
              <w:rPr>
                <w:rFonts w:ascii="Calibri" w:eastAsia="Calibri" w:hAnsi="Calibri" w:cs="Calibri"/>
                <w:b/>
                <w:i/>
                <w:color w:val="2A6EBB"/>
                <w:sz w:val="24"/>
                <w:szCs w:val="24"/>
              </w:rPr>
              <w:t>3-5 bullet points</w:t>
            </w:r>
          </w:p>
        </w:tc>
      </w:tr>
      <w:tr w:rsidR="00364EE1" w14:paraId="7811A993" w14:textId="77777777">
        <w:trPr>
          <w:trHeight w:val="170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732CBBD7" w14:textId="77777777" w:rsidR="00764D97" w:rsidRDefault="00764D97" w:rsidP="00B1281D">
            <w:pPr>
              <w:pStyle w:val="Normal1"/>
              <w:numPr>
                <w:ilvl w:val="0"/>
                <w:numId w:val="22"/>
              </w:numPr>
              <w:spacing w:line="480" w:lineRule="auto"/>
              <w:jc w:val="both"/>
              <w:rPr>
                <w:rFonts w:ascii="Calibri" w:eastAsia="Calibri" w:hAnsi="Calibri" w:cs="Calibri"/>
                <w:i/>
                <w:lang w:val="en-GB"/>
              </w:rPr>
            </w:pPr>
            <w:bookmarkStart w:id="13" w:name="_9r6a4zdy5gfy" w:colFirst="0" w:colLast="0"/>
            <w:bookmarkEnd w:id="13"/>
            <w:r>
              <w:rPr>
                <w:sz w:val="24"/>
                <w:szCs w:val="24"/>
                <w:lang w:val="en-GB"/>
              </w:rPr>
              <w:t>Congenital duodenal obstruction should be considering and investigated in any infant failing to tolerate enteral feeds following congenital diaphragmatic hernia repair.</w:t>
            </w:r>
          </w:p>
          <w:p w14:paraId="0E276430" w14:textId="77777777" w:rsidR="00764D97" w:rsidRPr="00764D97" w:rsidRDefault="00764D97" w:rsidP="00B1281D">
            <w:pPr>
              <w:pStyle w:val="Normal1"/>
              <w:numPr>
                <w:ilvl w:val="0"/>
                <w:numId w:val="22"/>
              </w:numPr>
              <w:spacing w:line="480" w:lineRule="auto"/>
              <w:jc w:val="both"/>
              <w:rPr>
                <w:rFonts w:ascii="Calibri" w:eastAsia="Calibri" w:hAnsi="Calibri" w:cs="Calibri"/>
                <w:i/>
                <w:lang w:val="en-GB"/>
              </w:rPr>
            </w:pPr>
            <w:r>
              <w:rPr>
                <w:rFonts w:eastAsia="Calibri"/>
                <w:iCs/>
                <w:sz w:val="24"/>
                <w:szCs w:val="24"/>
                <w:lang w:val="en-GB"/>
              </w:rPr>
              <w:t xml:space="preserve">Rare associations often present in an atypical fashion. </w:t>
            </w:r>
          </w:p>
          <w:p w14:paraId="217AC9C4" w14:textId="77777777" w:rsidR="00764D97" w:rsidRPr="00201D80" w:rsidRDefault="00764D97" w:rsidP="00B1281D">
            <w:pPr>
              <w:pStyle w:val="Normal1"/>
              <w:numPr>
                <w:ilvl w:val="0"/>
                <w:numId w:val="22"/>
              </w:numPr>
              <w:spacing w:line="480" w:lineRule="auto"/>
              <w:jc w:val="both"/>
              <w:rPr>
                <w:rFonts w:ascii="Calibri" w:eastAsia="Calibri" w:hAnsi="Calibri" w:cs="Calibri"/>
                <w:i/>
                <w:lang w:val="en-GB"/>
              </w:rPr>
            </w:pPr>
            <w:r>
              <w:rPr>
                <w:rFonts w:eastAsia="Calibri"/>
                <w:iCs/>
                <w:sz w:val="24"/>
                <w:szCs w:val="24"/>
                <w:lang w:val="en-GB"/>
              </w:rPr>
              <w:t>Clinicians should keep be open to the possibility of rare diseases presenting together and investigate accordingly to prevent a delay in diagnosis and definitive management.</w:t>
            </w:r>
          </w:p>
          <w:p w14:paraId="090DF8E2" w14:textId="5E46597C" w:rsidR="00B33687" w:rsidRPr="00764D97" w:rsidRDefault="004F55D3" w:rsidP="00B1281D">
            <w:pPr>
              <w:pStyle w:val="Normal1"/>
              <w:numPr>
                <w:ilvl w:val="0"/>
                <w:numId w:val="22"/>
              </w:numPr>
              <w:spacing w:line="480" w:lineRule="auto"/>
              <w:jc w:val="both"/>
              <w:rPr>
                <w:rFonts w:ascii="Calibri" w:eastAsia="Calibri" w:hAnsi="Calibri" w:cs="Calibri"/>
                <w:i/>
                <w:lang w:val="en-GB"/>
              </w:rPr>
            </w:pPr>
            <w:r>
              <w:rPr>
                <w:rFonts w:eastAsia="Calibri"/>
                <w:iCs/>
                <w:sz w:val="24"/>
                <w:szCs w:val="24"/>
                <w:lang w:val="en-GB"/>
              </w:rPr>
              <w:t xml:space="preserve">Use of thoracoscopy in CDH repair doesn’t allow for assessment </w:t>
            </w:r>
            <w:r w:rsidR="003645A6">
              <w:rPr>
                <w:rFonts w:eastAsia="Calibri"/>
                <w:iCs/>
                <w:sz w:val="24"/>
                <w:szCs w:val="24"/>
                <w:lang w:val="en-GB"/>
              </w:rPr>
              <w:t>for intra-abdominal pathology included rotational defects and rare anomalies such as described here.</w:t>
            </w:r>
          </w:p>
        </w:tc>
      </w:tr>
    </w:tbl>
    <w:p w14:paraId="58A36470" w14:textId="77777777" w:rsidR="00364EE1" w:rsidRDefault="00364EE1">
      <w:pPr>
        <w:pStyle w:val="Normal1"/>
        <w:rPr>
          <w:rFonts w:ascii="Calibri" w:eastAsia="Calibri" w:hAnsi="Calibri" w:cs="Calibri"/>
        </w:rPr>
      </w:pPr>
    </w:p>
    <w:tbl>
      <w:tblPr>
        <w:tblStyle w:val="a8"/>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3002EB3C"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0F50F63B" w14:textId="77777777" w:rsidR="00364EE1" w:rsidRDefault="009E4ECC">
            <w:pPr>
              <w:pStyle w:val="Heading3"/>
              <w:spacing w:before="0" w:after="0"/>
              <w:rPr>
                <w:rFonts w:ascii="Calibri" w:eastAsia="Calibri" w:hAnsi="Calibri" w:cs="Calibri"/>
                <w:b/>
                <w:color w:val="2A6EBB"/>
                <w:sz w:val="24"/>
                <w:szCs w:val="24"/>
              </w:rPr>
            </w:pPr>
            <w:bookmarkStart w:id="14" w:name="_ijcsd16in4dz" w:colFirst="0" w:colLast="0"/>
            <w:bookmarkEnd w:id="14"/>
            <w:r>
              <w:rPr>
                <w:rFonts w:ascii="Calibri" w:eastAsia="Calibri" w:hAnsi="Calibri" w:cs="Calibri"/>
                <w:b/>
                <w:color w:val="2A6EBB"/>
                <w:sz w:val="24"/>
                <w:szCs w:val="24"/>
              </w:rPr>
              <w:lastRenderedPageBreak/>
              <w:t>REFERENCES</w:t>
            </w:r>
          </w:p>
        </w:tc>
      </w:tr>
      <w:tr w:rsidR="00364EE1" w14:paraId="5B6F436D" w14:textId="77777777" w:rsidTr="002929D6">
        <w:trPr>
          <w:trHeight w:val="1046"/>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50DC5F6B" w14:textId="77777777" w:rsidR="00833458" w:rsidRPr="005D05DF" w:rsidRDefault="002929D6"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fldChar w:fldCharType="begin"/>
            </w:r>
            <w:r w:rsidRPr="005D05DF">
              <w:rPr>
                <w:rFonts w:ascii="Arial" w:hAnsi="Arial" w:cs="Arial"/>
                <w:sz w:val="24"/>
                <w:szCs w:val="24"/>
              </w:rPr>
              <w:instrText xml:space="preserve"> ADDIN EN.REFLIST </w:instrText>
            </w:r>
            <w:r w:rsidRPr="005D05DF">
              <w:rPr>
                <w:rFonts w:ascii="Arial" w:hAnsi="Arial" w:cs="Arial"/>
                <w:sz w:val="24"/>
                <w:szCs w:val="24"/>
              </w:rPr>
              <w:fldChar w:fldCharType="separate"/>
            </w:r>
            <w:r w:rsidR="00833458" w:rsidRPr="005D05DF">
              <w:rPr>
                <w:rFonts w:ascii="Arial" w:hAnsi="Arial" w:cs="Arial"/>
                <w:sz w:val="24"/>
                <w:szCs w:val="24"/>
              </w:rPr>
              <w:t xml:space="preserve">1. Long AM, Bunch KJ, Knight M, et al. One-year outcomes of infants born with congenital diaphragmatic hernia: a national population cohort study. </w:t>
            </w:r>
            <w:r w:rsidR="00833458" w:rsidRPr="005D05DF">
              <w:rPr>
                <w:rFonts w:ascii="Arial" w:hAnsi="Arial" w:cs="Arial"/>
                <w:i/>
                <w:sz w:val="24"/>
                <w:szCs w:val="24"/>
              </w:rPr>
              <w:t>Arch Dis Child Fetal Neonatal Ed</w:t>
            </w:r>
            <w:r w:rsidR="00833458" w:rsidRPr="005D05DF">
              <w:rPr>
                <w:rFonts w:ascii="Arial" w:hAnsi="Arial" w:cs="Arial"/>
                <w:sz w:val="24"/>
                <w:szCs w:val="24"/>
              </w:rPr>
              <w:t xml:space="preserve"> 2019;</w:t>
            </w:r>
            <w:r w:rsidR="00833458" w:rsidRPr="005D05DF">
              <w:rPr>
                <w:rFonts w:ascii="Arial" w:hAnsi="Arial" w:cs="Arial"/>
                <w:b/>
                <w:sz w:val="24"/>
                <w:szCs w:val="24"/>
              </w:rPr>
              <w:t>104</w:t>
            </w:r>
            <w:r w:rsidR="00833458" w:rsidRPr="005D05DF">
              <w:rPr>
                <w:rFonts w:ascii="Arial" w:hAnsi="Arial" w:cs="Arial"/>
                <w:sz w:val="24"/>
                <w:szCs w:val="24"/>
              </w:rPr>
              <w:t>(6):F643-F47.</w:t>
            </w:r>
          </w:p>
          <w:p w14:paraId="62F62F70"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2. Fishman JR, Blackburn SC, Jones NJ, et al. Does thoracoscopic congenital diaphragmatic hernia repair cause a significant intraoperative acidosis when compared to an open abdominal approach? </w:t>
            </w:r>
            <w:r w:rsidRPr="005D05DF">
              <w:rPr>
                <w:rFonts w:ascii="Arial" w:hAnsi="Arial" w:cs="Arial"/>
                <w:i/>
                <w:sz w:val="24"/>
                <w:szCs w:val="24"/>
              </w:rPr>
              <w:t>J Pediatr Surg</w:t>
            </w:r>
            <w:r w:rsidRPr="005D05DF">
              <w:rPr>
                <w:rFonts w:ascii="Arial" w:hAnsi="Arial" w:cs="Arial"/>
                <w:sz w:val="24"/>
                <w:szCs w:val="24"/>
              </w:rPr>
              <w:t xml:space="preserve"> 2011;</w:t>
            </w:r>
            <w:r w:rsidRPr="005D05DF">
              <w:rPr>
                <w:rFonts w:ascii="Arial" w:hAnsi="Arial" w:cs="Arial"/>
                <w:b/>
                <w:sz w:val="24"/>
                <w:szCs w:val="24"/>
              </w:rPr>
              <w:t>46</w:t>
            </w:r>
            <w:r w:rsidRPr="005D05DF">
              <w:rPr>
                <w:rFonts w:ascii="Arial" w:hAnsi="Arial" w:cs="Arial"/>
                <w:sz w:val="24"/>
                <w:szCs w:val="24"/>
              </w:rPr>
              <w:t>(3):458-61.</w:t>
            </w:r>
          </w:p>
          <w:p w14:paraId="7CDE1D1B"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3. Zaiss I, Kehl S, Link K, et al. Associated malformations in congenital diaphragmatic hernia. </w:t>
            </w:r>
            <w:r w:rsidRPr="005D05DF">
              <w:rPr>
                <w:rFonts w:ascii="Arial" w:hAnsi="Arial" w:cs="Arial"/>
                <w:i/>
                <w:sz w:val="24"/>
                <w:szCs w:val="24"/>
              </w:rPr>
              <w:t>Am J Perinatol</w:t>
            </w:r>
            <w:r w:rsidRPr="005D05DF">
              <w:rPr>
                <w:rFonts w:ascii="Arial" w:hAnsi="Arial" w:cs="Arial"/>
                <w:sz w:val="24"/>
                <w:szCs w:val="24"/>
              </w:rPr>
              <w:t xml:space="preserve"> 2011;</w:t>
            </w:r>
            <w:r w:rsidRPr="005D05DF">
              <w:rPr>
                <w:rFonts w:ascii="Arial" w:hAnsi="Arial" w:cs="Arial"/>
                <w:b/>
                <w:sz w:val="24"/>
                <w:szCs w:val="24"/>
              </w:rPr>
              <w:t>28</w:t>
            </w:r>
            <w:r w:rsidRPr="005D05DF">
              <w:rPr>
                <w:rFonts w:ascii="Arial" w:hAnsi="Arial" w:cs="Arial"/>
                <w:sz w:val="24"/>
                <w:szCs w:val="24"/>
              </w:rPr>
              <w:t>(3):211-8.</w:t>
            </w:r>
          </w:p>
          <w:p w14:paraId="1D538E30"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4. Bethell GS, Long AM, Knight M, et al. Congenital duodenal obstruction in the UK: a population-based study. </w:t>
            </w:r>
            <w:r w:rsidRPr="005D05DF">
              <w:rPr>
                <w:rFonts w:ascii="Arial" w:hAnsi="Arial" w:cs="Arial"/>
                <w:i/>
                <w:sz w:val="24"/>
                <w:szCs w:val="24"/>
              </w:rPr>
              <w:t>Arch Dis Child Fetal Neonatal Ed</w:t>
            </w:r>
            <w:r w:rsidRPr="005D05DF">
              <w:rPr>
                <w:rFonts w:ascii="Arial" w:hAnsi="Arial" w:cs="Arial"/>
                <w:sz w:val="24"/>
                <w:szCs w:val="24"/>
              </w:rPr>
              <w:t xml:space="preserve"> 2020;</w:t>
            </w:r>
            <w:r w:rsidRPr="005D05DF">
              <w:rPr>
                <w:rFonts w:ascii="Arial" w:hAnsi="Arial" w:cs="Arial"/>
                <w:b/>
                <w:sz w:val="24"/>
                <w:szCs w:val="24"/>
              </w:rPr>
              <w:t>105</w:t>
            </w:r>
            <w:r w:rsidRPr="005D05DF">
              <w:rPr>
                <w:rFonts w:ascii="Arial" w:hAnsi="Arial" w:cs="Arial"/>
                <w:sz w:val="24"/>
                <w:szCs w:val="24"/>
              </w:rPr>
              <w:t>(2):178-83.</w:t>
            </w:r>
          </w:p>
          <w:p w14:paraId="296D6A1E"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5. Mentessidou A, Saxena AK. Laparoscopic Repair of Duodenal Atresia: Systematic Review and Meta-Analysis. </w:t>
            </w:r>
            <w:r w:rsidRPr="005D05DF">
              <w:rPr>
                <w:rFonts w:ascii="Arial" w:hAnsi="Arial" w:cs="Arial"/>
                <w:i/>
                <w:sz w:val="24"/>
                <w:szCs w:val="24"/>
              </w:rPr>
              <w:t>World J Surg</w:t>
            </w:r>
            <w:r w:rsidRPr="005D05DF">
              <w:rPr>
                <w:rFonts w:ascii="Arial" w:hAnsi="Arial" w:cs="Arial"/>
                <w:sz w:val="24"/>
                <w:szCs w:val="24"/>
              </w:rPr>
              <w:t xml:space="preserve"> 2017;</w:t>
            </w:r>
            <w:r w:rsidRPr="005D05DF">
              <w:rPr>
                <w:rFonts w:ascii="Arial" w:hAnsi="Arial" w:cs="Arial"/>
                <w:b/>
                <w:sz w:val="24"/>
                <w:szCs w:val="24"/>
              </w:rPr>
              <w:t>41</w:t>
            </w:r>
            <w:r w:rsidRPr="005D05DF">
              <w:rPr>
                <w:rFonts w:ascii="Arial" w:hAnsi="Arial" w:cs="Arial"/>
                <w:sz w:val="24"/>
                <w:szCs w:val="24"/>
              </w:rPr>
              <w:t>(8):2178-84.</w:t>
            </w:r>
          </w:p>
          <w:p w14:paraId="1F1396B5"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6. Piplani R, Acharya SK, Bagga D. Congenital Duodenal Obstruction, Situs Inversus Totalis, and Gastric Perforation in a Neonate. </w:t>
            </w:r>
            <w:r w:rsidRPr="005D05DF">
              <w:rPr>
                <w:rFonts w:ascii="Arial" w:hAnsi="Arial" w:cs="Arial"/>
                <w:i/>
                <w:sz w:val="24"/>
                <w:szCs w:val="24"/>
              </w:rPr>
              <w:t>J Neonatal Surg</w:t>
            </w:r>
            <w:r w:rsidRPr="005D05DF">
              <w:rPr>
                <w:rFonts w:ascii="Arial" w:hAnsi="Arial" w:cs="Arial"/>
                <w:sz w:val="24"/>
                <w:szCs w:val="24"/>
              </w:rPr>
              <w:t xml:space="preserve"> 2017;</w:t>
            </w:r>
            <w:r w:rsidRPr="005D05DF">
              <w:rPr>
                <w:rFonts w:ascii="Arial" w:hAnsi="Arial" w:cs="Arial"/>
                <w:b/>
                <w:sz w:val="24"/>
                <w:szCs w:val="24"/>
              </w:rPr>
              <w:t>6</w:t>
            </w:r>
            <w:r w:rsidRPr="005D05DF">
              <w:rPr>
                <w:rFonts w:ascii="Arial" w:hAnsi="Arial" w:cs="Arial"/>
                <w:sz w:val="24"/>
                <w:szCs w:val="24"/>
              </w:rPr>
              <w:t>(2):35.</w:t>
            </w:r>
          </w:p>
          <w:p w14:paraId="2A203D89"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7. Akcora B, Eris O. A newborn with duodenal atresia and a gastric perforation. </w:t>
            </w:r>
            <w:r w:rsidRPr="005D05DF">
              <w:rPr>
                <w:rFonts w:ascii="Arial" w:hAnsi="Arial" w:cs="Arial"/>
                <w:i/>
                <w:sz w:val="24"/>
                <w:szCs w:val="24"/>
              </w:rPr>
              <w:t>Afr J Paediatr Surg</w:t>
            </w:r>
            <w:r w:rsidRPr="005D05DF">
              <w:rPr>
                <w:rFonts w:ascii="Arial" w:hAnsi="Arial" w:cs="Arial"/>
                <w:sz w:val="24"/>
                <w:szCs w:val="24"/>
              </w:rPr>
              <w:t xml:space="preserve"> 2010;</w:t>
            </w:r>
            <w:r w:rsidRPr="005D05DF">
              <w:rPr>
                <w:rFonts w:ascii="Arial" w:hAnsi="Arial" w:cs="Arial"/>
                <w:b/>
                <w:sz w:val="24"/>
                <w:szCs w:val="24"/>
              </w:rPr>
              <w:t>7</w:t>
            </w:r>
            <w:r w:rsidRPr="005D05DF">
              <w:rPr>
                <w:rFonts w:ascii="Arial" w:hAnsi="Arial" w:cs="Arial"/>
                <w:sz w:val="24"/>
                <w:szCs w:val="24"/>
              </w:rPr>
              <w:t>(1):33-5.</w:t>
            </w:r>
          </w:p>
          <w:p w14:paraId="4B967047"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8. Keys C, Makkar N, Clarnette T, et al. Double duodenal atresia with perforation: a case report. </w:t>
            </w:r>
            <w:r w:rsidRPr="005D05DF">
              <w:rPr>
                <w:rFonts w:ascii="Arial" w:hAnsi="Arial" w:cs="Arial"/>
                <w:i/>
                <w:sz w:val="24"/>
                <w:szCs w:val="24"/>
              </w:rPr>
              <w:t>J Pediatr Surg</w:t>
            </w:r>
            <w:r w:rsidRPr="005D05DF">
              <w:rPr>
                <w:rFonts w:ascii="Arial" w:hAnsi="Arial" w:cs="Arial"/>
                <w:sz w:val="24"/>
                <w:szCs w:val="24"/>
              </w:rPr>
              <w:t xml:space="preserve"> 2011;</w:t>
            </w:r>
            <w:r w:rsidRPr="005D05DF">
              <w:rPr>
                <w:rFonts w:ascii="Arial" w:hAnsi="Arial" w:cs="Arial"/>
                <w:b/>
                <w:sz w:val="24"/>
                <w:szCs w:val="24"/>
              </w:rPr>
              <w:t>46</w:t>
            </w:r>
            <w:r w:rsidRPr="005D05DF">
              <w:rPr>
                <w:rFonts w:ascii="Arial" w:hAnsi="Arial" w:cs="Arial"/>
                <w:sz w:val="24"/>
                <w:szCs w:val="24"/>
              </w:rPr>
              <w:t>(5):e25-7.</w:t>
            </w:r>
          </w:p>
          <w:p w14:paraId="6149845A"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9. Antonacci AC, Dechario SP, Antonacci C, et al. Cognitive Bias Impact on Management of Postoperative Complications, Medical Error, and Standard of Care. </w:t>
            </w:r>
            <w:r w:rsidRPr="005D05DF">
              <w:rPr>
                <w:rFonts w:ascii="Arial" w:hAnsi="Arial" w:cs="Arial"/>
                <w:i/>
                <w:sz w:val="24"/>
                <w:szCs w:val="24"/>
              </w:rPr>
              <w:t>J Surg Res</w:t>
            </w:r>
            <w:r w:rsidRPr="005D05DF">
              <w:rPr>
                <w:rFonts w:ascii="Arial" w:hAnsi="Arial" w:cs="Arial"/>
                <w:sz w:val="24"/>
                <w:szCs w:val="24"/>
              </w:rPr>
              <w:t xml:space="preserve"> 2021;</w:t>
            </w:r>
            <w:r w:rsidRPr="005D05DF">
              <w:rPr>
                <w:rFonts w:ascii="Arial" w:hAnsi="Arial" w:cs="Arial"/>
                <w:b/>
                <w:sz w:val="24"/>
                <w:szCs w:val="24"/>
              </w:rPr>
              <w:t>258</w:t>
            </w:r>
            <w:r w:rsidRPr="005D05DF">
              <w:rPr>
                <w:rFonts w:ascii="Arial" w:hAnsi="Arial" w:cs="Arial"/>
                <w:sz w:val="24"/>
                <w:szCs w:val="24"/>
              </w:rPr>
              <w:t>:47-53.</w:t>
            </w:r>
          </w:p>
          <w:p w14:paraId="3C50C8D0" w14:textId="77777777" w:rsidR="00833458" w:rsidRPr="005D05DF" w:rsidRDefault="00833458" w:rsidP="005D05DF">
            <w:pPr>
              <w:pStyle w:val="EndNoteBibliography"/>
              <w:spacing w:after="0" w:line="360" w:lineRule="auto"/>
              <w:ind w:left="720" w:hanging="720"/>
              <w:rPr>
                <w:rFonts w:ascii="Arial" w:hAnsi="Arial" w:cs="Arial"/>
                <w:sz w:val="24"/>
                <w:szCs w:val="24"/>
              </w:rPr>
            </w:pPr>
            <w:r w:rsidRPr="005D05DF">
              <w:rPr>
                <w:rFonts w:ascii="Arial" w:hAnsi="Arial" w:cs="Arial"/>
                <w:sz w:val="24"/>
                <w:szCs w:val="24"/>
              </w:rPr>
              <w:t xml:space="preserve">10. Castle SL, Naik-Mathuria BJ, Torres MB. Right-sided congenital diaphragmatic hernia, hepatic pulmonary fusion, duodenal atresia, and imperforate anus in an infant. </w:t>
            </w:r>
            <w:r w:rsidRPr="005D05DF">
              <w:rPr>
                <w:rFonts w:ascii="Arial" w:hAnsi="Arial" w:cs="Arial"/>
                <w:i/>
                <w:sz w:val="24"/>
                <w:szCs w:val="24"/>
              </w:rPr>
              <w:t>J Pediatr Surg</w:t>
            </w:r>
            <w:r w:rsidRPr="005D05DF">
              <w:rPr>
                <w:rFonts w:ascii="Arial" w:hAnsi="Arial" w:cs="Arial"/>
                <w:sz w:val="24"/>
                <w:szCs w:val="24"/>
              </w:rPr>
              <w:t xml:space="preserve"> 2011;</w:t>
            </w:r>
            <w:r w:rsidRPr="005D05DF">
              <w:rPr>
                <w:rFonts w:ascii="Arial" w:hAnsi="Arial" w:cs="Arial"/>
                <w:b/>
                <w:sz w:val="24"/>
                <w:szCs w:val="24"/>
              </w:rPr>
              <w:t>46</w:t>
            </w:r>
            <w:r w:rsidRPr="005D05DF">
              <w:rPr>
                <w:rFonts w:ascii="Arial" w:hAnsi="Arial" w:cs="Arial"/>
                <w:sz w:val="24"/>
                <w:szCs w:val="24"/>
              </w:rPr>
              <w:t>(7):1432-4.</w:t>
            </w:r>
          </w:p>
          <w:p w14:paraId="73A81F7E" w14:textId="77777777" w:rsidR="00833458" w:rsidRPr="005D05DF" w:rsidRDefault="00833458" w:rsidP="005D05DF">
            <w:pPr>
              <w:pStyle w:val="EndNoteBibliography"/>
              <w:spacing w:line="360" w:lineRule="auto"/>
              <w:ind w:left="720" w:hanging="720"/>
              <w:rPr>
                <w:rFonts w:ascii="Arial" w:hAnsi="Arial" w:cs="Arial"/>
                <w:sz w:val="24"/>
                <w:szCs w:val="24"/>
              </w:rPr>
            </w:pPr>
            <w:r w:rsidRPr="005D05DF">
              <w:rPr>
                <w:rFonts w:ascii="Arial" w:hAnsi="Arial" w:cs="Arial"/>
                <w:sz w:val="24"/>
                <w:szCs w:val="24"/>
              </w:rPr>
              <w:t xml:space="preserve">11. Ng T, Lessin MS, Luks FI, et al. Wandering spleen presenting as duodenal obstruction after repair of congenital diaphragmatic hernia. </w:t>
            </w:r>
            <w:r w:rsidRPr="005D05DF">
              <w:rPr>
                <w:rFonts w:ascii="Arial" w:hAnsi="Arial" w:cs="Arial"/>
                <w:i/>
                <w:sz w:val="24"/>
                <w:szCs w:val="24"/>
              </w:rPr>
              <w:t>J Pediatr Surg</w:t>
            </w:r>
            <w:r w:rsidRPr="005D05DF">
              <w:rPr>
                <w:rFonts w:ascii="Arial" w:hAnsi="Arial" w:cs="Arial"/>
                <w:sz w:val="24"/>
                <w:szCs w:val="24"/>
              </w:rPr>
              <w:t xml:space="preserve"> 1997;</w:t>
            </w:r>
            <w:r w:rsidRPr="005D05DF">
              <w:rPr>
                <w:rFonts w:ascii="Arial" w:hAnsi="Arial" w:cs="Arial"/>
                <w:b/>
                <w:sz w:val="24"/>
                <w:szCs w:val="24"/>
              </w:rPr>
              <w:t>32</w:t>
            </w:r>
            <w:r w:rsidRPr="005D05DF">
              <w:rPr>
                <w:rFonts w:ascii="Arial" w:hAnsi="Arial" w:cs="Arial"/>
                <w:sz w:val="24"/>
                <w:szCs w:val="24"/>
              </w:rPr>
              <w:t>(12):1790-2.</w:t>
            </w:r>
          </w:p>
          <w:p w14:paraId="7B07204E" w14:textId="39BF1C29" w:rsidR="00364EE1" w:rsidRDefault="002929D6" w:rsidP="005D05DF">
            <w:pPr>
              <w:pStyle w:val="Normal1"/>
              <w:spacing w:line="360" w:lineRule="auto"/>
              <w:rPr>
                <w:rFonts w:ascii="Calibri" w:eastAsia="Calibri" w:hAnsi="Calibri" w:cs="Calibri"/>
                <w:i/>
              </w:rPr>
            </w:pPr>
            <w:r w:rsidRPr="005D05DF">
              <w:rPr>
                <w:sz w:val="24"/>
                <w:szCs w:val="24"/>
              </w:rPr>
              <w:fldChar w:fldCharType="end"/>
            </w:r>
          </w:p>
        </w:tc>
      </w:tr>
    </w:tbl>
    <w:p w14:paraId="567A8670" w14:textId="77777777" w:rsidR="00364EE1" w:rsidRDefault="00364EE1">
      <w:pPr>
        <w:pStyle w:val="Normal1"/>
        <w:rPr>
          <w:rFonts w:ascii="Calibri" w:eastAsia="Calibri" w:hAnsi="Calibri" w:cs="Calibri"/>
        </w:rPr>
      </w:pPr>
    </w:p>
    <w:tbl>
      <w:tblPr>
        <w:tblStyle w:val="a9"/>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2ED8CAD0"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3584485C" w14:textId="77777777" w:rsidR="00364EE1" w:rsidRDefault="009E4ECC">
            <w:pPr>
              <w:pStyle w:val="Heading3"/>
              <w:spacing w:before="0" w:after="0"/>
              <w:rPr>
                <w:rFonts w:ascii="Calibri" w:eastAsia="Calibri" w:hAnsi="Calibri" w:cs="Calibri"/>
                <w:b/>
                <w:color w:val="2A6EBB"/>
                <w:sz w:val="24"/>
                <w:szCs w:val="24"/>
              </w:rPr>
            </w:pPr>
            <w:bookmarkStart w:id="15" w:name="_753oc5i1o0p4" w:colFirst="0" w:colLast="0"/>
            <w:bookmarkEnd w:id="15"/>
            <w:r>
              <w:rPr>
                <w:rFonts w:ascii="Calibri" w:eastAsia="Calibri" w:hAnsi="Calibri" w:cs="Calibri"/>
                <w:b/>
                <w:color w:val="2A6EBB"/>
                <w:sz w:val="24"/>
                <w:szCs w:val="24"/>
              </w:rPr>
              <w:t>FIGURE/VIDEO CAPTIONS</w:t>
            </w:r>
          </w:p>
        </w:tc>
      </w:tr>
      <w:tr w:rsidR="00364EE1" w14:paraId="0C732024" w14:textId="77777777">
        <w:trPr>
          <w:trHeight w:val="170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65707DFB" w14:textId="77777777" w:rsidR="00EE7BF9" w:rsidRDefault="00EE7BF9" w:rsidP="00EE7BF9">
            <w:pPr>
              <w:spacing w:line="480" w:lineRule="auto"/>
              <w:jc w:val="both"/>
              <w:rPr>
                <w:sz w:val="24"/>
                <w:szCs w:val="24"/>
              </w:rPr>
            </w:pPr>
            <w:r>
              <w:rPr>
                <w:sz w:val="24"/>
                <w:szCs w:val="24"/>
              </w:rPr>
              <w:t>Figure 1 - Chest and abdominal radiograph on day 1 of life demonstrating left congenital diaphragmatic hernia and absence of dilated bowel loops.</w:t>
            </w:r>
          </w:p>
          <w:p w14:paraId="279DF7D0" w14:textId="77777777" w:rsidR="00EE7BF9" w:rsidRDefault="00EE7BF9" w:rsidP="00EE7BF9">
            <w:pPr>
              <w:spacing w:line="480" w:lineRule="auto"/>
              <w:jc w:val="both"/>
              <w:rPr>
                <w:sz w:val="24"/>
                <w:szCs w:val="24"/>
              </w:rPr>
            </w:pPr>
            <w:r>
              <w:rPr>
                <w:sz w:val="24"/>
                <w:szCs w:val="24"/>
              </w:rPr>
              <w:t>Figure 2 – Chest and abdominal radiograph on day 14 of life demonstrating left pneumothorax and pneumoperitoneum.</w:t>
            </w:r>
          </w:p>
          <w:p w14:paraId="7238BED3" w14:textId="77777777" w:rsidR="00EE7BF9" w:rsidRDefault="00EE7BF9" w:rsidP="00EE7BF9">
            <w:pPr>
              <w:spacing w:line="480" w:lineRule="auto"/>
              <w:jc w:val="both"/>
              <w:rPr>
                <w:sz w:val="24"/>
                <w:szCs w:val="24"/>
              </w:rPr>
            </w:pPr>
            <w:r>
              <w:rPr>
                <w:sz w:val="24"/>
                <w:szCs w:val="24"/>
              </w:rPr>
              <w:lastRenderedPageBreak/>
              <w:t>Figure 3 – Image taken from upper gastrointestinal tract contrast study demonstrating extra-luminal leak of contrast in the duodenum.</w:t>
            </w:r>
          </w:p>
          <w:p w14:paraId="05FDA3CF" w14:textId="77777777" w:rsidR="00EE7BF9" w:rsidRPr="00D07390" w:rsidRDefault="00EE7BF9" w:rsidP="00EE7BF9">
            <w:pPr>
              <w:spacing w:line="480" w:lineRule="auto"/>
              <w:jc w:val="both"/>
              <w:rPr>
                <w:sz w:val="24"/>
                <w:szCs w:val="24"/>
              </w:rPr>
            </w:pPr>
            <w:r>
              <w:rPr>
                <w:sz w:val="24"/>
                <w:szCs w:val="24"/>
              </w:rPr>
              <w:t>Figure 4 – Intraoperative image of perforation proximal to duodenal web.</w:t>
            </w:r>
          </w:p>
          <w:p w14:paraId="4DE95BCA" w14:textId="6319BDA2" w:rsidR="004E794F" w:rsidRPr="005903B9" w:rsidRDefault="004E794F">
            <w:pPr>
              <w:pStyle w:val="Normal1"/>
              <w:rPr>
                <w:rFonts w:ascii="Calibri" w:eastAsia="Calibri" w:hAnsi="Calibri" w:cs="Calibri"/>
                <w:i/>
                <w:lang w:val="en-GB"/>
              </w:rPr>
            </w:pPr>
          </w:p>
        </w:tc>
      </w:tr>
    </w:tbl>
    <w:p w14:paraId="37A4AAB1" w14:textId="77777777" w:rsidR="00364EE1" w:rsidRDefault="00364EE1">
      <w:pPr>
        <w:pStyle w:val="Normal1"/>
        <w:rPr>
          <w:rFonts w:ascii="Calibri" w:eastAsia="Calibri" w:hAnsi="Calibri" w:cs="Calibri"/>
        </w:rPr>
      </w:pPr>
    </w:p>
    <w:tbl>
      <w:tblPr>
        <w:tblStyle w:val="aa"/>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6979C497"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4335292F" w14:textId="77777777" w:rsidR="00364EE1" w:rsidRDefault="009E4ECC">
            <w:pPr>
              <w:pStyle w:val="Heading3"/>
              <w:spacing w:before="0" w:after="0"/>
              <w:rPr>
                <w:rFonts w:ascii="Calibri" w:eastAsia="Calibri" w:hAnsi="Calibri" w:cs="Calibri"/>
                <w:b/>
                <w:color w:val="2A6EBB"/>
                <w:sz w:val="24"/>
                <w:szCs w:val="24"/>
              </w:rPr>
            </w:pPr>
            <w:bookmarkStart w:id="16" w:name="_jkbz9t1fepa8" w:colFirst="0" w:colLast="0"/>
            <w:bookmarkEnd w:id="16"/>
            <w:r>
              <w:rPr>
                <w:rFonts w:ascii="Calibri" w:eastAsia="Calibri" w:hAnsi="Calibri" w:cs="Calibri"/>
                <w:b/>
                <w:color w:val="2A6EBB"/>
                <w:sz w:val="24"/>
                <w:szCs w:val="24"/>
              </w:rPr>
              <w:t>PATIENT’S PERSPECTIVE</w:t>
            </w:r>
          </w:p>
        </w:tc>
      </w:tr>
      <w:tr w:rsidR="00364EE1" w14:paraId="3294795D" w14:textId="77777777">
        <w:trPr>
          <w:trHeight w:val="1500"/>
        </w:trPr>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7F77D0DC" w14:textId="0222BDCB" w:rsidR="00B63597" w:rsidRPr="00B1281D" w:rsidRDefault="00B33AB8" w:rsidP="005517CC">
            <w:pPr>
              <w:pStyle w:val="Normal1"/>
              <w:spacing w:line="480" w:lineRule="auto"/>
              <w:jc w:val="both"/>
              <w:rPr>
                <w:rFonts w:eastAsia="Calibri"/>
                <w:bCs/>
                <w:iCs/>
                <w:sz w:val="24"/>
                <w:szCs w:val="24"/>
                <w:lang w:val="en-GB"/>
              </w:rPr>
            </w:pPr>
            <w:r>
              <w:rPr>
                <w:rFonts w:eastAsia="Calibri"/>
                <w:bCs/>
                <w:iCs/>
                <w:sz w:val="24"/>
                <w:szCs w:val="24"/>
                <w:lang w:val="en-GB"/>
              </w:rPr>
              <w:t>Father’s perspective</w:t>
            </w:r>
            <w:r w:rsidR="00B1281D">
              <w:rPr>
                <w:rFonts w:eastAsia="Calibri"/>
                <w:bCs/>
                <w:iCs/>
                <w:sz w:val="24"/>
                <w:szCs w:val="24"/>
                <w:lang w:val="en-GB"/>
              </w:rPr>
              <w:t xml:space="preserve"> </w:t>
            </w:r>
            <w:r>
              <w:rPr>
                <w:rFonts w:eastAsia="Calibri"/>
                <w:bCs/>
                <w:iCs/>
                <w:sz w:val="24"/>
                <w:szCs w:val="24"/>
                <w:lang w:val="en-GB"/>
              </w:rPr>
              <w:t xml:space="preserve">– We are </w:t>
            </w:r>
            <w:r w:rsidR="00B1281D">
              <w:rPr>
                <w:rFonts w:eastAsia="Calibri"/>
                <w:bCs/>
                <w:iCs/>
                <w:sz w:val="24"/>
                <w:szCs w:val="24"/>
                <w:lang w:val="en-GB"/>
              </w:rPr>
              <w:t xml:space="preserve">very </w:t>
            </w:r>
            <w:r>
              <w:rPr>
                <w:rFonts w:eastAsia="Calibri"/>
                <w:bCs/>
                <w:iCs/>
                <w:sz w:val="24"/>
                <w:szCs w:val="24"/>
                <w:lang w:val="en-GB"/>
              </w:rPr>
              <w:t>happy with the</w:t>
            </w:r>
            <w:r w:rsidR="00B1281D">
              <w:rPr>
                <w:rFonts w:eastAsia="Calibri"/>
                <w:bCs/>
                <w:iCs/>
                <w:sz w:val="24"/>
                <w:szCs w:val="24"/>
                <w:lang w:val="en-GB"/>
              </w:rPr>
              <w:t xml:space="preserve"> care</w:t>
            </w:r>
            <w:r>
              <w:rPr>
                <w:rFonts w:eastAsia="Calibri"/>
                <w:bCs/>
                <w:iCs/>
                <w:sz w:val="24"/>
                <w:szCs w:val="24"/>
                <w:lang w:val="en-GB"/>
              </w:rPr>
              <w:t xml:space="preserve"> received. We hope that </w:t>
            </w:r>
            <w:r w:rsidR="00B1281D">
              <w:rPr>
                <w:rFonts w:eastAsia="Calibri"/>
                <w:bCs/>
                <w:iCs/>
                <w:sz w:val="24"/>
                <w:szCs w:val="24"/>
                <w:lang w:val="en-GB"/>
              </w:rPr>
              <w:t>publish</w:t>
            </w:r>
            <w:r>
              <w:rPr>
                <w:rFonts w:eastAsia="Calibri"/>
                <w:bCs/>
                <w:iCs/>
                <w:sz w:val="24"/>
                <w:szCs w:val="24"/>
                <w:lang w:val="en-GB"/>
              </w:rPr>
              <w:t>ing</w:t>
            </w:r>
            <w:r w:rsidR="00B1281D">
              <w:rPr>
                <w:rFonts w:eastAsia="Calibri"/>
                <w:bCs/>
                <w:iCs/>
                <w:sz w:val="24"/>
                <w:szCs w:val="24"/>
                <w:lang w:val="en-GB"/>
              </w:rPr>
              <w:t xml:space="preserve"> her story will benefit other babies in the future</w:t>
            </w:r>
            <w:r>
              <w:rPr>
                <w:rFonts w:eastAsia="Calibri"/>
                <w:bCs/>
                <w:iCs/>
                <w:sz w:val="24"/>
                <w:szCs w:val="24"/>
                <w:lang w:val="en-GB"/>
              </w:rPr>
              <w:t xml:space="preserve"> with a similar condition by allowing doctors to learn about her condition</w:t>
            </w:r>
            <w:r w:rsidR="00B1281D">
              <w:rPr>
                <w:rFonts w:eastAsia="Calibri"/>
                <w:bCs/>
                <w:iCs/>
                <w:sz w:val="24"/>
                <w:szCs w:val="24"/>
                <w:lang w:val="en-GB"/>
              </w:rPr>
              <w:t>.</w:t>
            </w:r>
          </w:p>
        </w:tc>
      </w:tr>
    </w:tbl>
    <w:p w14:paraId="0500BEEE" w14:textId="77777777" w:rsidR="00364EE1" w:rsidRDefault="00364EE1">
      <w:pPr>
        <w:pStyle w:val="Normal1"/>
        <w:rPr>
          <w:rFonts w:ascii="Calibri" w:eastAsia="Calibri" w:hAnsi="Calibri" w:cs="Calibri"/>
        </w:rPr>
      </w:pPr>
    </w:p>
    <w:tbl>
      <w:tblPr>
        <w:tblStyle w:val="ab"/>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62A0000F" w14:textId="77777777">
        <w:tc>
          <w:tcPr>
            <w:tcW w:w="9640" w:type="dxa"/>
            <w:tcBorders>
              <w:top w:val="nil"/>
              <w:left w:val="nil"/>
              <w:bottom w:val="single" w:sz="8" w:space="0" w:color="2A6EBB"/>
              <w:right w:val="nil"/>
            </w:tcBorders>
            <w:shd w:val="clear" w:color="auto" w:fill="auto"/>
            <w:tcMar>
              <w:top w:w="100" w:type="dxa"/>
              <w:left w:w="100" w:type="dxa"/>
              <w:bottom w:w="100" w:type="dxa"/>
              <w:right w:w="100" w:type="dxa"/>
            </w:tcMar>
          </w:tcPr>
          <w:p w14:paraId="08A95149" w14:textId="0543E1A8" w:rsidR="00364EE1" w:rsidRDefault="00672617">
            <w:pPr>
              <w:pStyle w:val="Heading3"/>
              <w:spacing w:before="0" w:after="0"/>
              <w:rPr>
                <w:rFonts w:ascii="Calibri" w:eastAsia="Calibri" w:hAnsi="Calibri" w:cs="Calibri"/>
                <w:b/>
                <w:i/>
                <w:color w:val="2A6EBB"/>
                <w:sz w:val="24"/>
                <w:szCs w:val="24"/>
              </w:rPr>
            </w:pPr>
            <w:bookmarkStart w:id="17" w:name="_zh898fm5ajoa" w:colFirst="0" w:colLast="0"/>
            <w:bookmarkEnd w:id="17"/>
            <w:r>
              <w:rPr>
                <w:rFonts w:ascii="Calibri" w:eastAsia="Calibri" w:hAnsi="Calibri" w:cs="Calibri"/>
                <w:b/>
                <w:color w:val="2A6EBB"/>
                <w:sz w:val="24"/>
                <w:szCs w:val="24"/>
                <w:lang w:val="en-GB"/>
              </w:rPr>
              <w:t>INTELLECTUAL PROPERTY RIGHTS ASSIGNMENT OR LICENCE</w:t>
            </w:r>
            <w:r w:rsidR="009E4ECC">
              <w:rPr>
                <w:rFonts w:ascii="Calibri" w:eastAsia="Calibri" w:hAnsi="Calibri" w:cs="Calibri"/>
                <w:b/>
                <w:color w:val="2A6EBB"/>
                <w:sz w:val="24"/>
                <w:szCs w:val="24"/>
              </w:rPr>
              <w:t xml:space="preserve"> STATEMENT</w:t>
            </w:r>
          </w:p>
        </w:tc>
      </w:tr>
      <w:tr w:rsidR="00364EE1" w14:paraId="1A11E43A" w14:textId="77777777">
        <w:tc>
          <w:tcPr>
            <w:tcW w:w="9640" w:type="dxa"/>
            <w:tcBorders>
              <w:top w:val="single" w:sz="8" w:space="0" w:color="2A6EBB"/>
              <w:left w:val="single" w:sz="8" w:space="0" w:color="FFFFFF"/>
              <w:bottom w:val="nil"/>
              <w:right w:val="single" w:sz="8" w:space="0" w:color="FFFFFF"/>
            </w:tcBorders>
            <w:shd w:val="clear" w:color="auto" w:fill="auto"/>
            <w:tcMar>
              <w:top w:w="100" w:type="dxa"/>
              <w:left w:w="100" w:type="dxa"/>
              <w:bottom w:w="100" w:type="dxa"/>
              <w:right w:w="100" w:type="dxa"/>
            </w:tcMar>
          </w:tcPr>
          <w:p w14:paraId="2F2F358A" w14:textId="04A1956F" w:rsidR="00364EE1" w:rsidRDefault="009E4ECC">
            <w:pPr>
              <w:pStyle w:val="Normal1"/>
              <w:rPr>
                <w:rFonts w:ascii="Calibri" w:eastAsia="Calibri" w:hAnsi="Calibri" w:cs="Calibri"/>
              </w:rPr>
            </w:pPr>
            <w:r>
              <w:rPr>
                <w:rFonts w:ascii="Calibri" w:eastAsia="Calibri" w:hAnsi="Calibri" w:cs="Calibri"/>
              </w:rPr>
              <w:t xml:space="preserve">I, </w:t>
            </w:r>
            <w:r w:rsidR="00EE7BF9">
              <w:rPr>
                <w:rFonts w:ascii="Calibri" w:eastAsia="Calibri" w:hAnsi="Calibri" w:cs="Calibri"/>
                <w:b/>
                <w:lang w:val="en-GB"/>
              </w:rPr>
              <w:t>George Bethell</w:t>
            </w:r>
            <w:r w:rsidR="00672617">
              <w:rPr>
                <w:rFonts w:ascii="Calibri" w:eastAsia="Calibri" w:hAnsi="Calibri" w:cs="Calibri"/>
              </w:rPr>
              <w:t>, t</w:t>
            </w:r>
            <w:r>
              <w:rPr>
                <w:rFonts w:ascii="Calibri" w:eastAsia="Calibri" w:hAnsi="Calibri" w:cs="Calibri"/>
              </w:rPr>
              <w:t xml:space="preserve">he </w:t>
            </w:r>
            <w:r w:rsidR="00672617" w:rsidRPr="00672617">
              <w:rPr>
                <w:rFonts w:ascii="Calibri" w:eastAsia="Calibri" w:hAnsi="Calibri" w:cs="Calibri"/>
              </w:rPr>
              <w:t xml:space="preserve">Author has the right to grant and does grant on behalf of all authors, an exclusive licence and/or a non-exclusive licence for contributions from authors who are: i) UK Crown employees; ii) where BMJ has agreed a CC-BY licence shall apply, and/or iii) in accordance with the relevant stated licence terms for US Federal Government Employees acting in the course of the their employment, on a worldwide basis to the BMJ Publishing Group Ltd (“BMJ”) and its licensees,  to permit this Work  (as defined in the below licence), if accepted, to be published in </w:t>
            </w:r>
            <w:r w:rsidR="008066D3">
              <w:rPr>
                <w:rFonts w:ascii="Calibri" w:eastAsia="Calibri" w:hAnsi="Calibri" w:cs="Calibri"/>
                <w:lang w:val="en-GB"/>
              </w:rPr>
              <w:t>BMJ Case Reports</w:t>
            </w:r>
            <w:r w:rsidR="00672617" w:rsidRPr="00672617">
              <w:rPr>
                <w:rFonts w:ascii="Calibri" w:eastAsia="Calibri" w:hAnsi="Calibri" w:cs="Calibri"/>
              </w:rPr>
              <w:t xml:space="preserve"> and any other B</w:t>
            </w:r>
            <w:r w:rsidR="008066D3">
              <w:rPr>
                <w:rFonts w:ascii="Calibri" w:eastAsia="Calibri" w:hAnsi="Calibri" w:cs="Calibri"/>
              </w:rPr>
              <w:t xml:space="preserve">MJ products and to exploit all </w:t>
            </w:r>
            <w:r w:rsidR="00672617" w:rsidRPr="00672617">
              <w:rPr>
                <w:rFonts w:ascii="Calibri" w:eastAsia="Calibri" w:hAnsi="Calibri" w:cs="Calibri"/>
              </w:rPr>
              <w:t xml:space="preserve">rights, </w:t>
            </w:r>
            <w:r w:rsidR="00672617">
              <w:rPr>
                <w:rFonts w:ascii="Calibri" w:eastAsia="Calibri" w:hAnsi="Calibri" w:cs="Calibri"/>
              </w:rPr>
              <w:t xml:space="preserve">as set out in our licence </w:t>
            </w:r>
            <w:hyperlink r:id="rId11">
              <w:r>
                <w:rPr>
                  <w:rFonts w:ascii="Calibri" w:eastAsia="Calibri" w:hAnsi="Calibri" w:cs="Calibri"/>
                  <w:color w:val="1155CC"/>
                  <w:u w:val="single"/>
                </w:rPr>
                <w:t>author licence</w:t>
              </w:r>
            </w:hyperlink>
            <w:r>
              <w:rPr>
                <w:rFonts w:ascii="Calibri" w:eastAsia="Calibri" w:hAnsi="Calibri" w:cs="Calibri"/>
              </w:rPr>
              <w:t>.</w:t>
            </w:r>
          </w:p>
          <w:p w14:paraId="2A0EC55A" w14:textId="6297831D" w:rsidR="00672617" w:rsidRDefault="00672617">
            <w:pPr>
              <w:pStyle w:val="Normal1"/>
              <w:rPr>
                <w:rFonts w:ascii="Calibri" w:eastAsia="Calibri" w:hAnsi="Calibri" w:cs="Calibri"/>
              </w:rPr>
            </w:pPr>
          </w:p>
          <w:p w14:paraId="4125ACCD" w14:textId="77777777" w:rsidR="00364EE1" w:rsidRDefault="009E4ECC">
            <w:pPr>
              <w:pStyle w:val="Normal1"/>
              <w:rPr>
                <w:rFonts w:ascii="Calibri" w:eastAsia="Calibri" w:hAnsi="Calibri" w:cs="Calibri"/>
                <w:b/>
              </w:rPr>
            </w:pPr>
            <w:r>
              <w:rPr>
                <w:rFonts w:ascii="Calibri" w:eastAsia="Calibri" w:hAnsi="Calibri" w:cs="Calibri"/>
                <w:b/>
              </w:rPr>
              <w:t xml:space="preserve"> </w:t>
            </w:r>
          </w:p>
          <w:p w14:paraId="5D62FAC1" w14:textId="6A0FD56A" w:rsidR="00364EE1" w:rsidRPr="00EE7BF9" w:rsidRDefault="009E4ECC">
            <w:pPr>
              <w:pStyle w:val="Normal1"/>
              <w:rPr>
                <w:rFonts w:ascii="Calibri" w:eastAsia="Calibri" w:hAnsi="Calibri" w:cs="Calibri"/>
                <w:b/>
                <w:lang w:val="en-GB"/>
              </w:rPr>
            </w:pPr>
            <w:r>
              <w:rPr>
                <w:rFonts w:ascii="Calibri" w:eastAsia="Calibri" w:hAnsi="Calibri" w:cs="Calibri"/>
                <w:b/>
              </w:rPr>
              <w:t>Date:</w:t>
            </w:r>
            <w:r w:rsidR="00EE7BF9">
              <w:rPr>
                <w:rFonts w:ascii="Calibri" w:eastAsia="Calibri" w:hAnsi="Calibri" w:cs="Calibri"/>
                <w:b/>
                <w:lang w:val="en-GB"/>
              </w:rPr>
              <w:t xml:space="preserve"> 13/10/2022</w:t>
            </w:r>
          </w:p>
          <w:p w14:paraId="393AA67D" w14:textId="77777777" w:rsidR="00364EE1" w:rsidRDefault="00364EE1">
            <w:pPr>
              <w:pStyle w:val="Normal1"/>
              <w:rPr>
                <w:rFonts w:ascii="Calibri" w:eastAsia="Calibri" w:hAnsi="Calibri" w:cs="Calibri"/>
                <w:i/>
              </w:rPr>
            </w:pPr>
          </w:p>
        </w:tc>
      </w:tr>
    </w:tbl>
    <w:p w14:paraId="3B6D3E3E" w14:textId="77777777" w:rsidR="00364EE1" w:rsidRDefault="00364EE1">
      <w:pPr>
        <w:pStyle w:val="Normal1"/>
        <w:rPr>
          <w:rFonts w:ascii="Calibri" w:eastAsia="Calibri" w:hAnsi="Calibri" w:cs="Calibri"/>
        </w:rPr>
      </w:pPr>
    </w:p>
    <w:tbl>
      <w:tblPr>
        <w:tblStyle w:val="ac"/>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798885BE" w14:textId="77777777">
        <w:tc>
          <w:tcPr>
            <w:tcW w:w="9640" w:type="dxa"/>
            <w:tcBorders>
              <w:top w:val="single" w:sz="8" w:space="0" w:color="2A6EBB"/>
              <w:left w:val="single" w:sz="8" w:space="0" w:color="2A6EBB"/>
              <w:bottom w:val="single" w:sz="8" w:space="0" w:color="2A6EBB"/>
              <w:right w:val="single" w:sz="8" w:space="0" w:color="2A6EBB"/>
            </w:tcBorders>
            <w:shd w:val="clear" w:color="auto" w:fill="auto"/>
            <w:tcMar>
              <w:top w:w="100" w:type="dxa"/>
              <w:left w:w="100" w:type="dxa"/>
              <w:bottom w:w="100" w:type="dxa"/>
              <w:right w:w="100" w:type="dxa"/>
            </w:tcMar>
          </w:tcPr>
          <w:p w14:paraId="68F99AB3" w14:textId="77777777" w:rsidR="00364EE1" w:rsidRDefault="009E4ECC">
            <w:pPr>
              <w:pStyle w:val="Normal1"/>
              <w:rPr>
                <w:rFonts w:ascii="Verdana" w:eastAsia="Verdana" w:hAnsi="Verdana" w:cs="Verdana"/>
                <w:b/>
                <w:color w:val="2A6EBB"/>
                <w:sz w:val="20"/>
                <w:szCs w:val="20"/>
              </w:rPr>
            </w:pPr>
            <w:r>
              <w:rPr>
                <w:rFonts w:ascii="Verdana" w:eastAsia="Verdana" w:hAnsi="Verdana" w:cs="Verdana"/>
                <w:b/>
                <w:color w:val="2A6EBB"/>
                <w:sz w:val="20"/>
                <w:szCs w:val="20"/>
              </w:rPr>
              <w:t>PLEASE SAVE YOUR TEMPLATE WITH THE FOLLOWING FORMAT:</w:t>
            </w:r>
          </w:p>
          <w:p w14:paraId="4AB0BE7C" w14:textId="50F0D121" w:rsidR="00364EE1" w:rsidRDefault="00E31778">
            <w:pPr>
              <w:pStyle w:val="Normal1"/>
              <w:rPr>
                <w:rFonts w:ascii="Calibri" w:eastAsia="Calibri" w:hAnsi="Calibri" w:cs="Calibri"/>
                <w:sz w:val="24"/>
                <w:szCs w:val="24"/>
              </w:rPr>
            </w:pPr>
            <w:r>
              <w:rPr>
                <w:rFonts w:ascii="Calibri" w:eastAsia="Calibri" w:hAnsi="Calibri" w:cs="Calibri"/>
                <w:sz w:val="24"/>
                <w:szCs w:val="24"/>
                <w:lang w:val="en-GB"/>
              </w:rPr>
              <w:t xml:space="preserve">Submitting </w:t>
            </w:r>
            <w:r w:rsidR="009E4ECC">
              <w:rPr>
                <w:rFonts w:ascii="Calibri" w:eastAsia="Calibri" w:hAnsi="Calibri" w:cs="Calibri"/>
                <w:sz w:val="24"/>
                <w:szCs w:val="24"/>
              </w:rPr>
              <w:t xml:space="preserve">author’s last name and date of submission, </w:t>
            </w:r>
            <w:proofErr w:type="gramStart"/>
            <w:r w:rsidR="009E4ECC">
              <w:rPr>
                <w:rFonts w:ascii="Calibri" w:eastAsia="Calibri" w:hAnsi="Calibri" w:cs="Calibri"/>
                <w:sz w:val="24"/>
                <w:szCs w:val="24"/>
              </w:rPr>
              <w:t>e.g.</w:t>
            </w:r>
            <w:proofErr w:type="gramEnd"/>
            <w:r w:rsidR="009E4ECC">
              <w:rPr>
                <w:rFonts w:ascii="Calibri" w:eastAsia="Calibri" w:hAnsi="Calibri" w:cs="Calibri"/>
                <w:sz w:val="24"/>
                <w:szCs w:val="24"/>
              </w:rPr>
              <w:t xml:space="preserve"> Smith_</w:t>
            </w:r>
            <w:r w:rsidR="00154E91">
              <w:rPr>
                <w:rFonts w:ascii="Calibri" w:eastAsia="Calibri" w:hAnsi="Calibri" w:cs="Calibri"/>
                <w:sz w:val="24"/>
                <w:szCs w:val="24"/>
                <w:lang w:val="en-GB"/>
              </w:rPr>
              <w:t>April</w:t>
            </w:r>
            <w:r w:rsidR="009E4ECC">
              <w:rPr>
                <w:rFonts w:ascii="Calibri" w:eastAsia="Calibri" w:hAnsi="Calibri" w:cs="Calibri"/>
                <w:sz w:val="24"/>
                <w:szCs w:val="24"/>
              </w:rPr>
              <w:t>_</w:t>
            </w:r>
            <w:r w:rsidR="00154E91">
              <w:rPr>
                <w:rFonts w:ascii="Calibri" w:eastAsia="Calibri" w:hAnsi="Calibri" w:cs="Calibri"/>
                <w:sz w:val="24"/>
                <w:szCs w:val="24"/>
                <w:lang w:val="en-GB"/>
              </w:rPr>
              <w:t>2022</w:t>
            </w:r>
            <w:r w:rsidR="009E4ECC">
              <w:rPr>
                <w:rFonts w:ascii="Calibri" w:eastAsia="Calibri" w:hAnsi="Calibri" w:cs="Calibri"/>
                <w:sz w:val="24"/>
                <w:szCs w:val="24"/>
              </w:rPr>
              <w:t>.doc</w:t>
            </w:r>
          </w:p>
        </w:tc>
      </w:tr>
    </w:tbl>
    <w:p w14:paraId="057FBD0B" w14:textId="77777777" w:rsidR="00364EE1" w:rsidRDefault="00364EE1">
      <w:pPr>
        <w:pStyle w:val="Normal1"/>
        <w:rPr>
          <w:rFonts w:ascii="Calibri" w:eastAsia="Calibri" w:hAnsi="Calibri" w:cs="Calibri"/>
        </w:rPr>
      </w:pPr>
    </w:p>
    <w:p w14:paraId="1083FB95" w14:textId="77777777" w:rsidR="00364EE1" w:rsidRDefault="00364EE1">
      <w:pPr>
        <w:pStyle w:val="Normal1"/>
        <w:rPr>
          <w:rFonts w:ascii="Calibri" w:eastAsia="Calibri" w:hAnsi="Calibri" w:cs="Calibri"/>
        </w:rPr>
      </w:pPr>
    </w:p>
    <w:tbl>
      <w:tblPr>
        <w:tblStyle w:val="ad"/>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64EE1" w14:paraId="50FDFD4F" w14:textId="77777777">
        <w:tc>
          <w:tcPr>
            <w:tcW w:w="9640" w:type="dxa"/>
            <w:tcBorders>
              <w:top w:val="nil"/>
              <w:left w:val="nil"/>
              <w:bottom w:val="nil"/>
              <w:right w:val="nil"/>
            </w:tcBorders>
            <w:shd w:val="clear" w:color="auto" w:fill="2A6EBB"/>
            <w:tcMar>
              <w:top w:w="100" w:type="dxa"/>
              <w:left w:w="100" w:type="dxa"/>
              <w:bottom w:w="100" w:type="dxa"/>
              <w:right w:w="100" w:type="dxa"/>
            </w:tcMar>
          </w:tcPr>
          <w:p w14:paraId="32573987" w14:textId="77777777" w:rsidR="00364EE1" w:rsidRDefault="009E4ECC">
            <w:pPr>
              <w:pStyle w:val="Normal1"/>
              <w:jc w:val="center"/>
              <w:rPr>
                <w:rFonts w:ascii="Calibri" w:eastAsia="Calibri" w:hAnsi="Calibri" w:cs="Calibri"/>
                <w:b/>
                <w:color w:val="FFFFFF"/>
                <w:sz w:val="24"/>
                <w:szCs w:val="24"/>
              </w:rPr>
            </w:pPr>
            <w:r>
              <w:rPr>
                <w:rFonts w:ascii="Calibri" w:eastAsia="Calibri" w:hAnsi="Calibri" w:cs="Calibri"/>
                <w:b/>
                <w:color w:val="FFFFFF"/>
                <w:sz w:val="24"/>
                <w:szCs w:val="24"/>
              </w:rPr>
              <w:t>EXAMPLE OF A WELL PRESENTED CASE REPORT</w:t>
            </w:r>
          </w:p>
          <w:p w14:paraId="5746C4F0" w14:textId="77777777" w:rsidR="00364EE1" w:rsidRDefault="005A6A4A">
            <w:pPr>
              <w:pStyle w:val="Normal1"/>
              <w:jc w:val="center"/>
              <w:rPr>
                <w:rFonts w:ascii="Calibri" w:eastAsia="Calibri" w:hAnsi="Calibri" w:cs="Calibri"/>
                <w:b/>
                <w:color w:val="FFFFFF"/>
                <w:sz w:val="24"/>
                <w:szCs w:val="24"/>
              </w:rPr>
            </w:pPr>
            <w:hyperlink r:id="rId12">
              <w:r w:rsidR="009E4ECC">
                <w:rPr>
                  <w:rFonts w:ascii="Calibri" w:eastAsia="Calibri" w:hAnsi="Calibri" w:cs="Calibri"/>
                  <w:color w:val="FFFFFF"/>
                  <w:sz w:val="24"/>
                  <w:szCs w:val="24"/>
                  <w:u w:val="single"/>
                </w:rPr>
                <w:t>Resection of a large carotid paraganglioma in Carney-Stratakis syndrome: a multidisciplinary feat</w:t>
              </w:r>
            </w:hyperlink>
          </w:p>
        </w:tc>
      </w:tr>
    </w:tbl>
    <w:p w14:paraId="3AEB9C89" w14:textId="77777777" w:rsidR="00364EE1" w:rsidRDefault="00364EE1">
      <w:pPr>
        <w:pStyle w:val="Normal1"/>
        <w:rPr>
          <w:rFonts w:ascii="Calibri" w:eastAsia="Calibri" w:hAnsi="Calibri" w:cs="Calibri"/>
        </w:rPr>
      </w:pPr>
    </w:p>
    <w:sectPr w:rsidR="00364EE1">
      <w:footerReference w:type="default" r:id="rId13"/>
      <w:headerReference w:type="first" r:id="rId14"/>
      <w:pgSz w:w="11906" w:h="16838"/>
      <w:pgMar w:top="0" w:right="1133" w:bottom="283"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C9314" w14:textId="77777777" w:rsidR="00B5609F" w:rsidRDefault="00B5609F">
      <w:pPr>
        <w:spacing w:line="240" w:lineRule="auto"/>
      </w:pPr>
      <w:r>
        <w:separator/>
      </w:r>
    </w:p>
  </w:endnote>
  <w:endnote w:type="continuationSeparator" w:id="0">
    <w:p w14:paraId="4E967377" w14:textId="77777777" w:rsidR="00B5609F" w:rsidRDefault="00B56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9017" w14:textId="69443707" w:rsidR="00364EE1" w:rsidRPr="00711EA2" w:rsidRDefault="00132E0F" w:rsidP="00711EA2">
    <w:pPr>
      <w:pStyle w:val="Footer"/>
      <w:rPr>
        <w:i/>
        <w:iCs/>
        <w:sz w:val="16"/>
        <w:szCs w:val="16"/>
      </w:rPr>
    </w:pPr>
    <w:r>
      <w:rPr>
        <w:i/>
        <w:iCs/>
        <w:sz w:val="16"/>
        <w:szCs w:val="16"/>
      </w:rPr>
      <w:t>Updated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6073" w14:textId="77777777" w:rsidR="00B5609F" w:rsidRDefault="00B5609F">
      <w:pPr>
        <w:spacing w:line="240" w:lineRule="auto"/>
      </w:pPr>
      <w:r>
        <w:separator/>
      </w:r>
    </w:p>
  </w:footnote>
  <w:footnote w:type="continuationSeparator" w:id="0">
    <w:p w14:paraId="23B594A7" w14:textId="77777777" w:rsidR="00B5609F" w:rsidRDefault="00B56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D564" w14:textId="77777777" w:rsidR="00364EE1" w:rsidRDefault="00364EE1">
    <w:pPr>
      <w:pStyle w:val="Normal1"/>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BC1"/>
    <w:multiLevelType w:val="hybridMultilevel"/>
    <w:tmpl w:val="5AA2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06DDC"/>
    <w:multiLevelType w:val="hybridMultilevel"/>
    <w:tmpl w:val="CB6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93B39"/>
    <w:multiLevelType w:val="hybridMultilevel"/>
    <w:tmpl w:val="72268A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0FE5DF0"/>
    <w:multiLevelType w:val="hybridMultilevel"/>
    <w:tmpl w:val="36F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45F7F"/>
    <w:multiLevelType w:val="hybridMultilevel"/>
    <w:tmpl w:val="C7A0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0182"/>
    <w:multiLevelType w:val="hybridMultilevel"/>
    <w:tmpl w:val="2A6A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02242"/>
    <w:multiLevelType w:val="hybridMultilevel"/>
    <w:tmpl w:val="CA80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85D39"/>
    <w:multiLevelType w:val="hybridMultilevel"/>
    <w:tmpl w:val="487A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D51C2"/>
    <w:multiLevelType w:val="hybridMultilevel"/>
    <w:tmpl w:val="9B64F3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220753F"/>
    <w:multiLevelType w:val="hybridMultilevel"/>
    <w:tmpl w:val="75801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C1A7A"/>
    <w:multiLevelType w:val="hybridMultilevel"/>
    <w:tmpl w:val="C036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B043B"/>
    <w:multiLevelType w:val="hybridMultilevel"/>
    <w:tmpl w:val="F4EA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77FC4"/>
    <w:multiLevelType w:val="hybridMultilevel"/>
    <w:tmpl w:val="A228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31F9D"/>
    <w:multiLevelType w:val="hybridMultilevel"/>
    <w:tmpl w:val="04BC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602BA"/>
    <w:multiLevelType w:val="hybridMultilevel"/>
    <w:tmpl w:val="927E88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2503816"/>
    <w:multiLevelType w:val="hybridMultilevel"/>
    <w:tmpl w:val="DC74FA3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72CF311C"/>
    <w:multiLevelType w:val="hybridMultilevel"/>
    <w:tmpl w:val="0F6C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82B7F"/>
    <w:multiLevelType w:val="hybridMultilevel"/>
    <w:tmpl w:val="B472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413A6"/>
    <w:multiLevelType w:val="hybridMultilevel"/>
    <w:tmpl w:val="0BE8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40FFA"/>
    <w:multiLevelType w:val="hybridMultilevel"/>
    <w:tmpl w:val="2356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B17DC"/>
    <w:multiLevelType w:val="hybridMultilevel"/>
    <w:tmpl w:val="1046D1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9EB0917"/>
    <w:multiLevelType w:val="hybridMultilevel"/>
    <w:tmpl w:val="D09A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4"/>
  </w:num>
  <w:num w:numId="4">
    <w:abstractNumId w:val="8"/>
  </w:num>
  <w:num w:numId="5">
    <w:abstractNumId w:val="15"/>
  </w:num>
  <w:num w:numId="6">
    <w:abstractNumId w:val="16"/>
  </w:num>
  <w:num w:numId="7">
    <w:abstractNumId w:val="9"/>
  </w:num>
  <w:num w:numId="8">
    <w:abstractNumId w:val="12"/>
  </w:num>
  <w:num w:numId="9">
    <w:abstractNumId w:val="6"/>
  </w:num>
  <w:num w:numId="10">
    <w:abstractNumId w:val="3"/>
  </w:num>
  <w:num w:numId="11">
    <w:abstractNumId w:val="5"/>
  </w:num>
  <w:num w:numId="12">
    <w:abstractNumId w:val="7"/>
  </w:num>
  <w:num w:numId="13">
    <w:abstractNumId w:val="1"/>
  </w:num>
  <w:num w:numId="14">
    <w:abstractNumId w:val="19"/>
  </w:num>
  <w:num w:numId="15">
    <w:abstractNumId w:val="11"/>
  </w:num>
  <w:num w:numId="16">
    <w:abstractNumId w:val="18"/>
  </w:num>
  <w:num w:numId="17">
    <w:abstractNumId w:val="10"/>
  </w:num>
  <w:num w:numId="18">
    <w:abstractNumId w:val="0"/>
  </w:num>
  <w:num w:numId="19">
    <w:abstractNumId w:val="21"/>
  </w:num>
  <w:num w:numId="20">
    <w:abstractNumId w:val="13"/>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ase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64EE1"/>
    <w:rsid w:val="00030081"/>
    <w:rsid w:val="000379AD"/>
    <w:rsid w:val="000466A9"/>
    <w:rsid w:val="000646CE"/>
    <w:rsid w:val="00067110"/>
    <w:rsid w:val="000A1801"/>
    <w:rsid w:val="000A6B14"/>
    <w:rsid w:val="000B3252"/>
    <w:rsid w:val="000D3D9A"/>
    <w:rsid w:val="000E0581"/>
    <w:rsid w:val="000F37A6"/>
    <w:rsid w:val="00102AAD"/>
    <w:rsid w:val="001073B1"/>
    <w:rsid w:val="00124988"/>
    <w:rsid w:val="00132E0F"/>
    <w:rsid w:val="0014112F"/>
    <w:rsid w:val="00154E91"/>
    <w:rsid w:val="00181474"/>
    <w:rsid w:val="001A1093"/>
    <w:rsid w:val="001B734D"/>
    <w:rsid w:val="00201D80"/>
    <w:rsid w:val="00217B21"/>
    <w:rsid w:val="002929D6"/>
    <w:rsid w:val="00294CCC"/>
    <w:rsid w:val="002B5482"/>
    <w:rsid w:val="002E22E0"/>
    <w:rsid w:val="00301965"/>
    <w:rsid w:val="003315EB"/>
    <w:rsid w:val="003411D0"/>
    <w:rsid w:val="0035152E"/>
    <w:rsid w:val="003645A6"/>
    <w:rsid w:val="00364EE1"/>
    <w:rsid w:val="003C146D"/>
    <w:rsid w:val="003D36CE"/>
    <w:rsid w:val="003E287E"/>
    <w:rsid w:val="00400F38"/>
    <w:rsid w:val="00422D59"/>
    <w:rsid w:val="00437077"/>
    <w:rsid w:val="00440582"/>
    <w:rsid w:val="004514AE"/>
    <w:rsid w:val="004712FA"/>
    <w:rsid w:val="00487371"/>
    <w:rsid w:val="0049327B"/>
    <w:rsid w:val="004E794F"/>
    <w:rsid w:val="004F55D3"/>
    <w:rsid w:val="00502633"/>
    <w:rsid w:val="005065FC"/>
    <w:rsid w:val="00507F5C"/>
    <w:rsid w:val="005517CC"/>
    <w:rsid w:val="00557CBF"/>
    <w:rsid w:val="005903B9"/>
    <w:rsid w:val="005A6A4A"/>
    <w:rsid w:val="005D05DF"/>
    <w:rsid w:val="005E5F83"/>
    <w:rsid w:val="006245C6"/>
    <w:rsid w:val="00626C58"/>
    <w:rsid w:val="00632305"/>
    <w:rsid w:val="00635D65"/>
    <w:rsid w:val="00653496"/>
    <w:rsid w:val="00672617"/>
    <w:rsid w:val="006A5708"/>
    <w:rsid w:val="006A79F4"/>
    <w:rsid w:val="006F2F67"/>
    <w:rsid w:val="0070274E"/>
    <w:rsid w:val="00711EA2"/>
    <w:rsid w:val="00731F80"/>
    <w:rsid w:val="00763F9D"/>
    <w:rsid w:val="00764D97"/>
    <w:rsid w:val="00792898"/>
    <w:rsid w:val="00792BDA"/>
    <w:rsid w:val="007A6CC5"/>
    <w:rsid w:val="007B7E91"/>
    <w:rsid w:val="007E205A"/>
    <w:rsid w:val="008066D3"/>
    <w:rsid w:val="00813048"/>
    <w:rsid w:val="00815DB3"/>
    <w:rsid w:val="00824051"/>
    <w:rsid w:val="00826D37"/>
    <w:rsid w:val="0082782E"/>
    <w:rsid w:val="00833458"/>
    <w:rsid w:val="00870574"/>
    <w:rsid w:val="008710C3"/>
    <w:rsid w:val="008A0693"/>
    <w:rsid w:val="008A5DA9"/>
    <w:rsid w:val="008A7DE1"/>
    <w:rsid w:val="0091635A"/>
    <w:rsid w:val="0092446B"/>
    <w:rsid w:val="009304E1"/>
    <w:rsid w:val="00943EFA"/>
    <w:rsid w:val="00947CA8"/>
    <w:rsid w:val="0096375F"/>
    <w:rsid w:val="009A3EF9"/>
    <w:rsid w:val="009A764A"/>
    <w:rsid w:val="009D1B97"/>
    <w:rsid w:val="009D4BE7"/>
    <w:rsid w:val="009E4ECC"/>
    <w:rsid w:val="009F06F7"/>
    <w:rsid w:val="009F30EE"/>
    <w:rsid w:val="00A26817"/>
    <w:rsid w:val="00A47396"/>
    <w:rsid w:val="00A707EE"/>
    <w:rsid w:val="00A71B95"/>
    <w:rsid w:val="00A9105C"/>
    <w:rsid w:val="00A9260C"/>
    <w:rsid w:val="00AB1B26"/>
    <w:rsid w:val="00AD5299"/>
    <w:rsid w:val="00B1281D"/>
    <w:rsid w:val="00B21FE3"/>
    <w:rsid w:val="00B33687"/>
    <w:rsid w:val="00B33AB8"/>
    <w:rsid w:val="00B47870"/>
    <w:rsid w:val="00B5609F"/>
    <w:rsid w:val="00B63597"/>
    <w:rsid w:val="00B87476"/>
    <w:rsid w:val="00B955BE"/>
    <w:rsid w:val="00BA167C"/>
    <w:rsid w:val="00BA2F3E"/>
    <w:rsid w:val="00C00FE1"/>
    <w:rsid w:val="00C14D0A"/>
    <w:rsid w:val="00C22CB6"/>
    <w:rsid w:val="00C255FE"/>
    <w:rsid w:val="00C415A0"/>
    <w:rsid w:val="00C71E5D"/>
    <w:rsid w:val="00C81844"/>
    <w:rsid w:val="00C83F50"/>
    <w:rsid w:val="00C873DB"/>
    <w:rsid w:val="00C90F84"/>
    <w:rsid w:val="00C9333B"/>
    <w:rsid w:val="00CB6965"/>
    <w:rsid w:val="00CE31D7"/>
    <w:rsid w:val="00CE6D81"/>
    <w:rsid w:val="00CF17CB"/>
    <w:rsid w:val="00CF2863"/>
    <w:rsid w:val="00D41F7D"/>
    <w:rsid w:val="00D92281"/>
    <w:rsid w:val="00DE0273"/>
    <w:rsid w:val="00E31778"/>
    <w:rsid w:val="00E34CC6"/>
    <w:rsid w:val="00E54086"/>
    <w:rsid w:val="00E57529"/>
    <w:rsid w:val="00E8369F"/>
    <w:rsid w:val="00E8421C"/>
    <w:rsid w:val="00E87BA1"/>
    <w:rsid w:val="00E93346"/>
    <w:rsid w:val="00EB4417"/>
    <w:rsid w:val="00ED226E"/>
    <w:rsid w:val="00EE74E0"/>
    <w:rsid w:val="00EE7BF9"/>
    <w:rsid w:val="00F13746"/>
    <w:rsid w:val="00F519CC"/>
    <w:rsid w:val="00F64440"/>
    <w:rsid w:val="00F80D76"/>
    <w:rsid w:val="00FF2B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202F9"/>
  <w15:docId w15:val="{0F2F057E-DEE4-4A61-A3D6-FFE9955F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contextualSpacing/>
      <w:outlineLvl w:val="0"/>
    </w:pPr>
    <w:rPr>
      <w:b/>
      <w:color w:val="2A6EBB"/>
      <w:sz w:val="44"/>
      <w:szCs w:val="44"/>
      <w:highlight w:val="white"/>
    </w:rPr>
  </w:style>
  <w:style w:type="paragraph" w:styleId="Heading2">
    <w:name w:val="heading 2"/>
    <w:basedOn w:val="Normal1"/>
    <w:next w:val="Normal1"/>
    <w:pPr>
      <w:keepNext/>
      <w:keepLines/>
      <w:ind w:left="720" w:hanging="360"/>
      <w:outlineLvl w:val="1"/>
    </w:pPr>
  </w:style>
  <w:style w:type="paragraph" w:styleId="Heading3">
    <w:name w:val="heading 3"/>
    <w:basedOn w:val="Normal1"/>
    <w:next w:val="Normal1"/>
    <w:link w:val="Heading3Char"/>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style>
  <w:style w:type="paragraph" w:styleId="Title">
    <w:name w:val="Title"/>
    <w:basedOn w:val="Normal1"/>
    <w:next w:val="Normal1"/>
    <w:pPr>
      <w:keepNext/>
      <w:keepLines/>
      <w:spacing w:before="200" w:line="360" w:lineRule="auto"/>
    </w:pPr>
    <w:rPr>
      <w:b/>
      <w:color w:val="333333"/>
      <w:sz w:val="20"/>
      <w:szCs w:val="20"/>
      <w:highlight w:val="white"/>
    </w:rPr>
  </w:style>
  <w:style w:type="paragraph" w:styleId="Subtitle">
    <w:name w:val="Subtitle"/>
    <w:basedOn w:val="Normal1"/>
    <w:next w:val="Normal1"/>
    <w:pPr>
      <w:keepNext/>
      <w:keepLines/>
      <w:contextualSpacing/>
    </w:pPr>
    <w:rPr>
      <w:b/>
      <w:color w:val="4D8B1D"/>
      <w:sz w:val="24"/>
      <w:szCs w:val="24"/>
      <w:highlight w:val="white"/>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E4EC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4ECC"/>
    <w:rPr>
      <w:rFonts w:ascii="Lucida Grande" w:hAnsi="Lucida Grande"/>
      <w:sz w:val="18"/>
      <w:szCs w:val="18"/>
    </w:rPr>
  </w:style>
  <w:style w:type="character" w:styleId="Hyperlink">
    <w:name w:val="Hyperlink"/>
    <w:basedOn w:val="DefaultParagraphFont"/>
    <w:uiPriority w:val="99"/>
    <w:unhideWhenUsed/>
    <w:rsid w:val="00672617"/>
    <w:rPr>
      <w:color w:val="0000FF" w:themeColor="hyperlink"/>
      <w:u w:val="single"/>
    </w:rPr>
  </w:style>
  <w:style w:type="paragraph" w:styleId="CommentText">
    <w:name w:val="annotation text"/>
    <w:basedOn w:val="Normal"/>
    <w:link w:val="CommentTextChar"/>
    <w:uiPriority w:val="99"/>
    <w:semiHidden/>
    <w:unhideWhenUsed/>
    <w:rsid w:val="00672617"/>
    <w:pPr>
      <w:spacing w:line="240" w:lineRule="auto"/>
    </w:pPr>
    <w:rPr>
      <w:sz w:val="20"/>
      <w:szCs w:val="20"/>
      <w:lang w:val="en-GB" w:eastAsia="en-GB"/>
    </w:rPr>
  </w:style>
  <w:style w:type="character" w:customStyle="1" w:styleId="CommentTextChar">
    <w:name w:val="Comment Text Char"/>
    <w:basedOn w:val="DefaultParagraphFont"/>
    <w:link w:val="CommentText"/>
    <w:uiPriority w:val="99"/>
    <w:semiHidden/>
    <w:rsid w:val="00672617"/>
    <w:rPr>
      <w:sz w:val="20"/>
      <w:szCs w:val="20"/>
      <w:lang w:val="en-GB" w:eastAsia="en-GB"/>
    </w:rPr>
  </w:style>
  <w:style w:type="character" w:styleId="CommentReference">
    <w:name w:val="annotation reference"/>
    <w:basedOn w:val="DefaultParagraphFont"/>
    <w:uiPriority w:val="99"/>
    <w:semiHidden/>
    <w:unhideWhenUsed/>
    <w:rsid w:val="00672617"/>
    <w:rPr>
      <w:sz w:val="16"/>
      <w:szCs w:val="16"/>
    </w:rPr>
  </w:style>
  <w:style w:type="character" w:customStyle="1" w:styleId="UnresolvedMention1">
    <w:name w:val="Unresolved Mention1"/>
    <w:basedOn w:val="DefaultParagraphFont"/>
    <w:uiPriority w:val="99"/>
    <w:semiHidden/>
    <w:unhideWhenUsed/>
    <w:rsid w:val="009F06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A6CC5"/>
    <w:rPr>
      <w:b/>
      <w:bCs/>
      <w:lang w:val="uz-Cyrl-UZ" w:eastAsia="en-US"/>
    </w:rPr>
  </w:style>
  <w:style w:type="character" w:customStyle="1" w:styleId="CommentSubjectChar">
    <w:name w:val="Comment Subject Char"/>
    <w:basedOn w:val="CommentTextChar"/>
    <w:link w:val="CommentSubject"/>
    <w:uiPriority w:val="99"/>
    <w:semiHidden/>
    <w:rsid w:val="007A6CC5"/>
    <w:rPr>
      <w:b/>
      <w:bCs/>
      <w:sz w:val="20"/>
      <w:szCs w:val="20"/>
      <w:lang w:val="en-GB" w:eastAsia="en-GB"/>
    </w:rPr>
  </w:style>
  <w:style w:type="character" w:styleId="FollowedHyperlink">
    <w:name w:val="FollowedHyperlink"/>
    <w:basedOn w:val="DefaultParagraphFont"/>
    <w:uiPriority w:val="99"/>
    <w:semiHidden/>
    <w:unhideWhenUsed/>
    <w:rsid w:val="00943EFA"/>
    <w:rPr>
      <w:color w:val="800080" w:themeColor="followedHyperlink"/>
      <w:u w:val="single"/>
    </w:rPr>
  </w:style>
  <w:style w:type="paragraph" w:styleId="Header">
    <w:name w:val="header"/>
    <w:basedOn w:val="Normal"/>
    <w:link w:val="HeaderChar"/>
    <w:uiPriority w:val="99"/>
    <w:unhideWhenUsed/>
    <w:rsid w:val="00132E0F"/>
    <w:pPr>
      <w:tabs>
        <w:tab w:val="center" w:pos="4513"/>
        <w:tab w:val="right" w:pos="9026"/>
      </w:tabs>
      <w:spacing w:line="240" w:lineRule="auto"/>
    </w:pPr>
  </w:style>
  <w:style w:type="character" w:customStyle="1" w:styleId="HeaderChar">
    <w:name w:val="Header Char"/>
    <w:basedOn w:val="DefaultParagraphFont"/>
    <w:link w:val="Header"/>
    <w:uiPriority w:val="99"/>
    <w:rsid w:val="00132E0F"/>
  </w:style>
  <w:style w:type="paragraph" w:styleId="Footer">
    <w:name w:val="footer"/>
    <w:basedOn w:val="Normal"/>
    <w:link w:val="FooterChar"/>
    <w:uiPriority w:val="99"/>
    <w:unhideWhenUsed/>
    <w:rsid w:val="00132E0F"/>
    <w:pPr>
      <w:tabs>
        <w:tab w:val="center" w:pos="4513"/>
        <w:tab w:val="right" w:pos="9026"/>
      </w:tabs>
      <w:spacing w:line="240" w:lineRule="auto"/>
    </w:pPr>
  </w:style>
  <w:style w:type="character" w:customStyle="1" w:styleId="FooterChar">
    <w:name w:val="Footer Char"/>
    <w:basedOn w:val="DefaultParagraphFont"/>
    <w:link w:val="Footer"/>
    <w:uiPriority w:val="99"/>
    <w:rsid w:val="00132E0F"/>
  </w:style>
  <w:style w:type="paragraph" w:customStyle="1" w:styleId="EndNoteBibliography">
    <w:name w:val="EndNote Bibliography"/>
    <w:basedOn w:val="Normal"/>
    <w:link w:val="EndNoteBibliographyChar"/>
    <w:rsid w:val="002929D6"/>
    <w:pPr>
      <w:spacing w:after="160" w:line="240" w:lineRule="auto"/>
    </w:pPr>
    <w:rPr>
      <w:rFonts w:ascii="Calibri" w:eastAsiaTheme="minorHAnsi" w:hAnsi="Calibri" w:cs="Calibri"/>
      <w:noProof/>
      <w:lang w:val="en-US"/>
    </w:rPr>
  </w:style>
  <w:style w:type="character" w:customStyle="1" w:styleId="EndNoteBibliographyChar">
    <w:name w:val="EndNote Bibliography Char"/>
    <w:basedOn w:val="DefaultParagraphFont"/>
    <w:link w:val="EndNoteBibliography"/>
    <w:rsid w:val="002929D6"/>
    <w:rPr>
      <w:rFonts w:ascii="Calibri" w:eastAsiaTheme="minorHAnsi" w:hAnsi="Calibri" w:cs="Calibri"/>
      <w:noProof/>
      <w:lang w:val="en-US"/>
    </w:rPr>
  </w:style>
  <w:style w:type="paragraph" w:customStyle="1" w:styleId="EndNoteBibliographyTitle">
    <w:name w:val="EndNote Bibliography Title"/>
    <w:basedOn w:val="Normal"/>
    <w:link w:val="EndNoteBibliographyTitleChar"/>
    <w:rsid w:val="00833458"/>
    <w:pPr>
      <w:jc w:val="center"/>
    </w:pPr>
    <w:rPr>
      <w:rFonts w:ascii="Calibri" w:hAnsi="Calibri" w:cs="Calibri"/>
      <w:noProof/>
      <w:lang w:val="en-US"/>
    </w:rPr>
  </w:style>
  <w:style w:type="character" w:customStyle="1" w:styleId="Normal1Char">
    <w:name w:val="Normal1 Char"/>
    <w:basedOn w:val="DefaultParagraphFont"/>
    <w:link w:val="Normal1"/>
    <w:rsid w:val="00833458"/>
  </w:style>
  <w:style w:type="character" w:customStyle="1" w:styleId="Heading3Char">
    <w:name w:val="Heading 3 Char"/>
    <w:basedOn w:val="Normal1Char"/>
    <w:link w:val="Heading3"/>
    <w:rsid w:val="00833458"/>
    <w:rPr>
      <w:color w:val="434343"/>
      <w:sz w:val="28"/>
      <w:szCs w:val="28"/>
    </w:rPr>
  </w:style>
  <w:style w:type="character" w:customStyle="1" w:styleId="EndNoteBibliographyTitleChar">
    <w:name w:val="EndNote Bibliography Title Char"/>
    <w:basedOn w:val="Heading3Char"/>
    <w:link w:val="EndNoteBibliographyTitle"/>
    <w:rsid w:val="00833458"/>
    <w:rPr>
      <w:rFonts w:ascii="Calibri" w:hAnsi="Calibri" w:cs="Calibri"/>
      <w:noProof/>
      <w:color w:val="434343"/>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975">
      <w:bodyDiv w:val="1"/>
      <w:marLeft w:val="0"/>
      <w:marRight w:val="0"/>
      <w:marTop w:val="0"/>
      <w:marBottom w:val="0"/>
      <w:divBdr>
        <w:top w:val="none" w:sz="0" w:space="0" w:color="auto"/>
        <w:left w:val="none" w:sz="0" w:space="0" w:color="auto"/>
        <w:bottom w:val="none" w:sz="0" w:space="0" w:color="auto"/>
        <w:right w:val="none" w:sz="0" w:space="0" w:color="auto"/>
      </w:divBdr>
    </w:div>
    <w:div w:id="97212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sereports.bmj.com/content/2015/bcr-2014-208271.full?keytype=ref&amp;siteid=bmjjournals&amp;ijkey=yUWb.r6U3n6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hors.bmj.com/policies/copyright-and-authors-righ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699272364AC438326FE9B9610D5B7" ma:contentTypeVersion="14" ma:contentTypeDescription="Create a new document." ma:contentTypeScope="" ma:versionID="5682fa2aaa1f911f6173dc085cc0c9c3">
  <xsd:schema xmlns:xsd="http://www.w3.org/2001/XMLSchema" xmlns:xs="http://www.w3.org/2001/XMLSchema" xmlns:p="http://schemas.microsoft.com/office/2006/metadata/properties" xmlns:ns3="b432a815-7207-465c-aa97-887c5d26a707" xmlns:ns4="4e0fa6a6-4b24-474f-9a30-9a21c7eb9df3" targetNamespace="http://schemas.microsoft.com/office/2006/metadata/properties" ma:root="true" ma:fieldsID="f9cd30d7d0c659d43d5838ae3756110d" ns3:_="" ns4:_="">
    <xsd:import namespace="b432a815-7207-465c-aa97-887c5d26a707"/>
    <xsd:import namespace="4e0fa6a6-4b24-474f-9a30-9a21c7eb9d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a815-7207-465c-aa97-887c5d26a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0fa6a6-4b24-474f-9a30-9a21c7eb9d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370AA-1D62-4662-89EB-9EC616C3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2a815-7207-465c-aa97-887c5d26a707"/>
    <ds:schemaRef ds:uri="4e0fa6a6-4b24-474f-9a30-9a21c7eb9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93C6C-0EAE-4D78-BC7E-312D2D3DC4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B2AE4-B381-4CA7-8BD8-01F4BB8E2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Gary Green</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Seema Biswas</dc:creator>
  <cp:lastModifiedBy>George Bethell</cp:lastModifiedBy>
  <cp:revision>3</cp:revision>
  <dcterms:created xsi:type="dcterms:W3CDTF">2022-12-13T12:52:00Z</dcterms:created>
  <dcterms:modified xsi:type="dcterms:W3CDTF">2022-12-13T12:52:00Z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0x0101008EB699272364AC438326FE9B9610D5B7</vt:lpwstr>
  </property>
</Properties>
</file>