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58DA" w14:textId="77777777" w:rsidR="002B7CF8" w:rsidRPr="00D57686" w:rsidRDefault="002B7CF8" w:rsidP="002B7CF8">
      <w:pPr>
        <w:pBdr>
          <w:bottom w:val="single" w:sz="4" w:space="1" w:color="auto"/>
        </w:pBdr>
        <w:spacing w:line="360" w:lineRule="auto"/>
        <w:rPr>
          <w:color w:val="2F5496" w:themeColor="accent1" w:themeShade="BF"/>
        </w:rPr>
      </w:pPr>
      <w:r>
        <w:rPr>
          <w:color w:val="2F5496" w:themeColor="accent1" w:themeShade="BF"/>
        </w:rPr>
        <w:t xml:space="preserve">Transatlantic </w:t>
      </w:r>
      <w:r w:rsidRPr="00D57686">
        <w:rPr>
          <w:color w:val="2F5496" w:themeColor="accent1" w:themeShade="BF"/>
        </w:rPr>
        <w:t xml:space="preserve">Progress in Measurement of </w:t>
      </w:r>
      <w:r>
        <w:rPr>
          <w:color w:val="2F5496" w:themeColor="accent1" w:themeShade="BF"/>
        </w:rPr>
        <w:t xml:space="preserve">Cognitive Outcomes </w:t>
      </w:r>
      <w:r w:rsidRPr="00D57686">
        <w:rPr>
          <w:color w:val="2F5496" w:themeColor="accent1" w:themeShade="BF"/>
        </w:rPr>
        <w:t xml:space="preserve">in Paediatric </w:t>
      </w:r>
      <w:r>
        <w:rPr>
          <w:color w:val="2F5496" w:themeColor="accent1" w:themeShade="BF"/>
        </w:rPr>
        <w:t>Oncology</w:t>
      </w:r>
      <w:r w:rsidRPr="00D57686">
        <w:rPr>
          <w:color w:val="2F5496" w:themeColor="accent1" w:themeShade="BF"/>
        </w:rPr>
        <w:t xml:space="preserve"> Trials</w:t>
      </w:r>
    </w:p>
    <w:p w14:paraId="7BD85B03" w14:textId="77777777" w:rsidR="002B7CF8" w:rsidRPr="00CF48A8" w:rsidRDefault="002B7CF8" w:rsidP="002B7CF8">
      <w:pPr>
        <w:spacing w:line="360" w:lineRule="auto"/>
        <w:rPr>
          <w:i/>
          <w:iCs/>
          <w:color w:val="000000" w:themeColor="text1"/>
          <w:sz w:val="22"/>
          <w:szCs w:val="22"/>
        </w:rPr>
      </w:pPr>
    </w:p>
    <w:p w14:paraId="36288EA8" w14:textId="77777777" w:rsidR="002B7CF8" w:rsidRDefault="002B7CF8" w:rsidP="002B7CF8">
      <w:pPr>
        <w:spacing w:line="360" w:lineRule="auto"/>
        <w:rPr>
          <w:color w:val="000000" w:themeColor="text1"/>
          <w:sz w:val="22"/>
          <w:szCs w:val="22"/>
        </w:rPr>
      </w:pPr>
      <w:r w:rsidRPr="00CF48A8">
        <w:rPr>
          <w:color w:val="000000" w:themeColor="text1"/>
          <w:sz w:val="22"/>
          <w:szCs w:val="22"/>
        </w:rPr>
        <w:t>Thomas, S.</w:t>
      </w:r>
      <w:r w:rsidRPr="00CF48A8">
        <w:rPr>
          <w:color w:val="000000" w:themeColor="text1"/>
          <w:sz w:val="22"/>
          <w:szCs w:val="22"/>
          <w:vertAlign w:val="superscript"/>
        </w:rPr>
        <w:t>1,2</w:t>
      </w:r>
      <w:r w:rsidRPr="00CF48A8">
        <w:rPr>
          <w:color w:val="000000" w:themeColor="text1"/>
          <w:sz w:val="22"/>
          <w:szCs w:val="22"/>
        </w:rPr>
        <w:t>, Embry, L.</w:t>
      </w:r>
      <w:r w:rsidRPr="00CF48A8">
        <w:rPr>
          <w:color w:val="000000" w:themeColor="text1"/>
          <w:sz w:val="22"/>
          <w:szCs w:val="22"/>
          <w:vertAlign w:val="superscript"/>
        </w:rPr>
        <w:t>3</w:t>
      </w:r>
      <w:r w:rsidRPr="00CF48A8">
        <w:rPr>
          <w:color w:val="000000" w:themeColor="text1"/>
          <w:sz w:val="22"/>
          <w:szCs w:val="22"/>
        </w:rPr>
        <w:t>, Walsh, K.</w:t>
      </w:r>
      <w:r w:rsidRPr="00CF48A8">
        <w:rPr>
          <w:color w:val="000000" w:themeColor="text1"/>
          <w:sz w:val="22"/>
          <w:szCs w:val="22"/>
          <w:vertAlign w:val="superscript"/>
        </w:rPr>
        <w:t>4,5</w:t>
      </w:r>
      <w:r w:rsidRPr="00CF48A8">
        <w:rPr>
          <w:color w:val="000000" w:themeColor="text1"/>
          <w:sz w:val="22"/>
          <w:szCs w:val="22"/>
        </w:rPr>
        <w:t>, Bull, K.</w:t>
      </w:r>
      <w:r w:rsidRPr="00CF48A8">
        <w:rPr>
          <w:color w:val="000000" w:themeColor="text1"/>
          <w:sz w:val="22"/>
          <w:szCs w:val="22"/>
          <w:vertAlign w:val="superscript"/>
        </w:rPr>
        <w:t>6</w:t>
      </w:r>
      <w:r w:rsidRPr="00CF48A8">
        <w:rPr>
          <w:color w:val="000000" w:themeColor="text1"/>
          <w:sz w:val="22"/>
          <w:szCs w:val="22"/>
        </w:rPr>
        <w:t>, Grundy, R.</w:t>
      </w:r>
      <w:r w:rsidRPr="00CF48A8">
        <w:rPr>
          <w:color w:val="000000" w:themeColor="text1"/>
          <w:sz w:val="22"/>
          <w:szCs w:val="22"/>
          <w:vertAlign w:val="superscript"/>
        </w:rPr>
        <w:t>1,2</w:t>
      </w:r>
      <w:r w:rsidRPr="00CF48A8">
        <w:rPr>
          <w:color w:val="000000" w:themeColor="text1"/>
          <w:sz w:val="22"/>
          <w:szCs w:val="22"/>
        </w:rPr>
        <w:t>, Kennedy, C.</w:t>
      </w:r>
      <w:r w:rsidRPr="00CF48A8">
        <w:rPr>
          <w:color w:val="000000" w:themeColor="text1"/>
          <w:sz w:val="22"/>
          <w:szCs w:val="22"/>
          <w:vertAlign w:val="superscript"/>
        </w:rPr>
        <w:t>6</w:t>
      </w:r>
      <w:r w:rsidRPr="00CF48A8">
        <w:rPr>
          <w:color w:val="000000" w:themeColor="text1"/>
          <w:sz w:val="22"/>
          <w:szCs w:val="22"/>
        </w:rPr>
        <w:t>, Lemiere, J.</w:t>
      </w:r>
      <w:r w:rsidRPr="00CF48A8">
        <w:rPr>
          <w:color w:val="000000" w:themeColor="text1"/>
          <w:sz w:val="22"/>
          <w:szCs w:val="22"/>
          <w:vertAlign w:val="superscript"/>
        </w:rPr>
        <w:t>7</w:t>
      </w:r>
      <w:r w:rsidRPr="00CF48A8">
        <w:rPr>
          <w:color w:val="000000" w:themeColor="text1"/>
          <w:sz w:val="22"/>
          <w:szCs w:val="22"/>
        </w:rPr>
        <w:t xml:space="preserve">, </w:t>
      </w:r>
      <w:proofErr w:type="spellStart"/>
      <w:r w:rsidRPr="00CF48A8">
        <w:rPr>
          <w:color w:val="000000" w:themeColor="text1"/>
          <w:sz w:val="22"/>
          <w:szCs w:val="22"/>
        </w:rPr>
        <w:t>Hernáiz</w:t>
      </w:r>
      <w:proofErr w:type="spellEnd"/>
      <w:r w:rsidRPr="00CF48A8">
        <w:rPr>
          <w:color w:val="000000" w:themeColor="text1"/>
          <w:sz w:val="22"/>
          <w:szCs w:val="22"/>
        </w:rPr>
        <w:t xml:space="preserve"> Driever, P.</w:t>
      </w:r>
      <w:r w:rsidRPr="00CF48A8">
        <w:rPr>
          <w:color w:val="000000" w:themeColor="text1"/>
          <w:sz w:val="22"/>
          <w:szCs w:val="22"/>
          <w:vertAlign w:val="superscript"/>
        </w:rPr>
        <w:t>8</w:t>
      </w:r>
      <w:r w:rsidRPr="00CF48A8">
        <w:rPr>
          <w:color w:val="000000" w:themeColor="text1"/>
          <w:sz w:val="22"/>
          <w:szCs w:val="22"/>
        </w:rPr>
        <w:t>, Limond,J.</w:t>
      </w:r>
      <w:r w:rsidRPr="00CF48A8">
        <w:rPr>
          <w:color w:val="000000" w:themeColor="text1"/>
          <w:sz w:val="22"/>
          <w:szCs w:val="22"/>
          <w:vertAlign w:val="superscript"/>
        </w:rPr>
        <w:t>9</w:t>
      </w:r>
      <w:r w:rsidRPr="00CF48A8">
        <w:rPr>
          <w:color w:val="000000" w:themeColor="text1"/>
          <w:sz w:val="22"/>
          <w:szCs w:val="22"/>
        </w:rPr>
        <w:t>, Chevignard, M.</w:t>
      </w:r>
      <w:r w:rsidRPr="00CF48A8">
        <w:rPr>
          <w:color w:val="000000" w:themeColor="text1"/>
          <w:sz w:val="22"/>
          <w:szCs w:val="22"/>
          <w:vertAlign w:val="superscript"/>
        </w:rPr>
        <w:t>10,11,12</w:t>
      </w:r>
      <w:r w:rsidRPr="00CF48A8">
        <w:rPr>
          <w:color w:val="000000" w:themeColor="text1"/>
          <w:sz w:val="22"/>
          <w:szCs w:val="22"/>
        </w:rPr>
        <w:t>, Hardy, K.K</w:t>
      </w:r>
      <w:r w:rsidRPr="00CF48A8">
        <w:rPr>
          <w:color w:val="000000" w:themeColor="text1"/>
          <w:sz w:val="22"/>
          <w:szCs w:val="22"/>
          <w:vertAlign w:val="superscript"/>
        </w:rPr>
        <w:t>4,5</w:t>
      </w:r>
      <w:r w:rsidRPr="00CF48A8">
        <w:rPr>
          <w:color w:val="000000" w:themeColor="text1"/>
          <w:sz w:val="22"/>
          <w:szCs w:val="22"/>
        </w:rPr>
        <w:t>.</w:t>
      </w:r>
    </w:p>
    <w:p w14:paraId="4CF59394" w14:textId="77777777" w:rsidR="002B7CF8" w:rsidRPr="00F2080E" w:rsidRDefault="002B7CF8" w:rsidP="002B7CF8">
      <w:pPr>
        <w:spacing w:line="360" w:lineRule="auto"/>
        <w:rPr>
          <w:color w:val="000000" w:themeColor="text1"/>
          <w:sz w:val="22"/>
          <w:szCs w:val="22"/>
        </w:rPr>
      </w:pPr>
    </w:p>
    <w:p w14:paraId="042B78B9" w14:textId="77777777" w:rsidR="002B7CF8" w:rsidRDefault="002B7CF8" w:rsidP="002B7CF8">
      <w:pPr>
        <w:spacing w:line="360" w:lineRule="auto"/>
        <w:rPr>
          <w:sz w:val="20"/>
          <w:szCs w:val="20"/>
        </w:rPr>
      </w:pPr>
      <w:r w:rsidRPr="00CF48A8">
        <w:rPr>
          <w:sz w:val="20"/>
          <w:szCs w:val="20"/>
        </w:rPr>
        <w:t>Institutions</w:t>
      </w:r>
      <w:r>
        <w:rPr>
          <w:sz w:val="20"/>
          <w:szCs w:val="20"/>
        </w:rPr>
        <w:t>:</w:t>
      </w:r>
    </w:p>
    <w:p w14:paraId="12C31086" w14:textId="77777777" w:rsidR="002B7CF8" w:rsidRDefault="002B7CF8" w:rsidP="00936C51">
      <w:pPr>
        <w:pStyle w:val="ListParagraph"/>
        <w:numPr>
          <w:ilvl w:val="0"/>
          <w:numId w:val="8"/>
        </w:numPr>
        <w:tabs>
          <w:tab w:val="left" w:pos="2410"/>
        </w:tabs>
        <w:spacing w:before="100" w:beforeAutospacing="1" w:after="100" w:afterAutospacing="1" w:line="480" w:lineRule="auto"/>
        <w:ind w:left="567" w:hanging="425"/>
        <w:rPr>
          <w:rFonts w:cs="Arial"/>
          <w:sz w:val="16"/>
          <w:szCs w:val="20"/>
        </w:rPr>
      </w:pPr>
      <w:r w:rsidRPr="0016702F">
        <w:rPr>
          <w:rFonts w:cs="Arial"/>
          <w:sz w:val="16"/>
          <w:szCs w:val="20"/>
        </w:rPr>
        <w:t>De</w:t>
      </w:r>
      <w:r>
        <w:rPr>
          <w:rFonts w:cs="Arial"/>
          <w:sz w:val="16"/>
          <w:szCs w:val="20"/>
        </w:rPr>
        <w:t>p</w:t>
      </w:r>
      <w:r w:rsidRPr="0016702F">
        <w:rPr>
          <w:rFonts w:cs="Arial"/>
          <w:sz w:val="16"/>
          <w:szCs w:val="20"/>
        </w:rPr>
        <w:t>artment of Paediatric Neuropsychology, Nottingham Children’s Hospital, Queen’s Medical Centre, Nottingham, NG7 2UH, UK</w:t>
      </w:r>
    </w:p>
    <w:p w14:paraId="605DAAD0" w14:textId="77777777" w:rsidR="002B7CF8" w:rsidRDefault="002B7CF8" w:rsidP="00936C51">
      <w:pPr>
        <w:pStyle w:val="ListParagraph"/>
        <w:numPr>
          <w:ilvl w:val="0"/>
          <w:numId w:val="8"/>
        </w:numPr>
        <w:tabs>
          <w:tab w:val="left" w:pos="2410"/>
        </w:tabs>
        <w:spacing w:before="100" w:beforeAutospacing="1" w:after="100" w:afterAutospacing="1" w:line="480" w:lineRule="auto"/>
        <w:ind w:left="567" w:hanging="425"/>
        <w:rPr>
          <w:rFonts w:cs="Arial"/>
          <w:sz w:val="16"/>
          <w:szCs w:val="20"/>
        </w:rPr>
      </w:pPr>
      <w:r>
        <w:rPr>
          <w:rFonts w:cs="Arial"/>
          <w:sz w:val="16"/>
          <w:szCs w:val="20"/>
        </w:rPr>
        <w:t xml:space="preserve">Child Brain Tumour Research Centre, </w:t>
      </w:r>
      <w:r w:rsidRPr="0016702F">
        <w:rPr>
          <w:rFonts w:cs="Arial"/>
          <w:sz w:val="16"/>
          <w:szCs w:val="20"/>
        </w:rPr>
        <w:t>School of Medicine, University of Nottingham, Queen’s Medical Centre, Nottingham, NG7 2UH, UK</w:t>
      </w:r>
    </w:p>
    <w:p w14:paraId="046EC801" w14:textId="77777777" w:rsidR="002B7CF8" w:rsidRPr="00D9570E" w:rsidRDefault="002B7CF8" w:rsidP="00936C51">
      <w:pPr>
        <w:pStyle w:val="ListParagraph"/>
        <w:numPr>
          <w:ilvl w:val="0"/>
          <w:numId w:val="8"/>
        </w:numPr>
        <w:tabs>
          <w:tab w:val="left" w:pos="2410"/>
        </w:tabs>
        <w:spacing w:before="100" w:beforeAutospacing="1" w:after="100" w:afterAutospacing="1" w:line="480" w:lineRule="auto"/>
        <w:ind w:left="567" w:hanging="425"/>
        <w:rPr>
          <w:rFonts w:cs="Arial"/>
          <w:sz w:val="16"/>
          <w:szCs w:val="20"/>
          <w:lang w:val="it-IT"/>
        </w:rPr>
      </w:pPr>
      <w:r w:rsidRPr="00D9570E">
        <w:rPr>
          <w:rFonts w:cs="Arial"/>
          <w:sz w:val="16"/>
          <w:szCs w:val="20"/>
          <w:lang w:val="it-IT"/>
        </w:rPr>
        <w:t>San Antonio, Pediatric Hematology/Oncology, 333 N. Santa Rosa - 8th floorSan Antonio, TX, USA 78207, 2107042987</w:t>
      </w:r>
    </w:p>
    <w:p w14:paraId="28FB8B0F" w14:textId="77777777" w:rsidR="002B7CF8" w:rsidRPr="00CF48A8" w:rsidRDefault="002B7CF8" w:rsidP="00936C51">
      <w:pPr>
        <w:pStyle w:val="ListParagraph"/>
        <w:numPr>
          <w:ilvl w:val="0"/>
          <w:numId w:val="8"/>
        </w:numPr>
        <w:tabs>
          <w:tab w:val="left" w:pos="2410"/>
        </w:tabs>
        <w:spacing w:before="100" w:beforeAutospacing="1" w:after="100" w:afterAutospacing="1" w:line="480" w:lineRule="auto"/>
        <w:ind w:left="567" w:hanging="425"/>
        <w:rPr>
          <w:rFonts w:cs="Arial"/>
          <w:sz w:val="16"/>
          <w:szCs w:val="20"/>
        </w:rPr>
      </w:pPr>
      <w:r w:rsidRPr="00CF48A8">
        <w:rPr>
          <w:rFonts w:cs="Arial"/>
          <w:sz w:val="16"/>
          <w:szCs w:val="20"/>
        </w:rPr>
        <w:t>Children's National Hospital, Neuropsychology, 111 Michigan Ave, NW, Washington, DC, USA 20010, 202-476-2514</w:t>
      </w:r>
    </w:p>
    <w:p w14:paraId="551276DF" w14:textId="77777777" w:rsidR="002B7CF8" w:rsidRPr="00CF48A8" w:rsidRDefault="002B7CF8" w:rsidP="00936C51">
      <w:pPr>
        <w:pStyle w:val="ListParagraph"/>
        <w:numPr>
          <w:ilvl w:val="0"/>
          <w:numId w:val="8"/>
        </w:numPr>
        <w:tabs>
          <w:tab w:val="left" w:pos="2410"/>
        </w:tabs>
        <w:spacing w:before="100" w:beforeAutospacing="1" w:after="100" w:afterAutospacing="1" w:line="480" w:lineRule="auto"/>
        <w:ind w:left="567" w:hanging="425"/>
        <w:rPr>
          <w:rFonts w:cs="Arial"/>
          <w:sz w:val="16"/>
          <w:szCs w:val="20"/>
        </w:rPr>
      </w:pPr>
      <w:r w:rsidRPr="00CF48A8">
        <w:rPr>
          <w:rFonts w:cs="Arial"/>
          <w:sz w:val="16"/>
          <w:szCs w:val="20"/>
        </w:rPr>
        <w:t xml:space="preserve">The George Washington University School of Medicine, Departments of Psychiatry &amp; </w:t>
      </w:r>
      <w:proofErr w:type="spellStart"/>
      <w:r w:rsidRPr="00CF48A8">
        <w:rPr>
          <w:rFonts w:cs="Arial"/>
          <w:sz w:val="16"/>
          <w:szCs w:val="20"/>
        </w:rPr>
        <w:t>Behavioral</w:t>
      </w:r>
      <w:proofErr w:type="spellEnd"/>
      <w:r w:rsidRPr="00CF48A8">
        <w:rPr>
          <w:rFonts w:cs="Arial"/>
          <w:sz w:val="16"/>
          <w:szCs w:val="20"/>
        </w:rPr>
        <w:t xml:space="preserve"> Medicine and </w:t>
      </w:r>
      <w:proofErr w:type="spellStart"/>
      <w:r w:rsidRPr="00CF48A8">
        <w:rPr>
          <w:rFonts w:cs="Arial"/>
          <w:sz w:val="16"/>
          <w:szCs w:val="20"/>
        </w:rPr>
        <w:t>Pediatrics</w:t>
      </w:r>
      <w:proofErr w:type="spellEnd"/>
      <w:r>
        <w:rPr>
          <w:rFonts w:cs="Arial"/>
          <w:sz w:val="16"/>
          <w:szCs w:val="20"/>
        </w:rPr>
        <w:t>, USA</w:t>
      </w:r>
    </w:p>
    <w:p w14:paraId="40671A3C" w14:textId="77777777" w:rsidR="002B7CF8" w:rsidRPr="00CF48A8" w:rsidRDefault="002B7CF8" w:rsidP="00936C51">
      <w:pPr>
        <w:pStyle w:val="ListParagraph"/>
        <w:numPr>
          <w:ilvl w:val="0"/>
          <w:numId w:val="8"/>
        </w:numPr>
        <w:tabs>
          <w:tab w:val="left" w:pos="2410"/>
        </w:tabs>
        <w:spacing w:before="100" w:beforeAutospacing="1" w:after="100" w:afterAutospacing="1" w:line="480" w:lineRule="auto"/>
        <w:ind w:left="567" w:hanging="425"/>
        <w:rPr>
          <w:rFonts w:cs="Arial"/>
          <w:sz w:val="16"/>
          <w:szCs w:val="20"/>
        </w:rPr>
      </w:pPr>
      <w:r w:rsidRPr="00CF48A8">
        <w:rPr>
          <w:rFonts w:cs="Arial"/>
          <w:sz w:val="16"/>
          <w:szCs w:val="20"/>
        </w:rPr>
        <w:t>Clinical and Experimental Sciences, Faculty of Medicine, University of Southampton, MP 803G, G level, Centre Block, Southampton General Hospital, SO16 6YD, UK</w:t>
      </w:r>
    </w:p>
    <w:p w14:paraId="4E6645BD" w14:textId="77777777" w:rsidR="002B7CF8" w:rsidRPr="00CF48A8" w:rsidRDefault="002B7CF8" w:rsidP="00936C51">
      <w:pPr>
        <w:pStyle w:val="ListParagraph"/>
        <w:numPr>
          <w:ilvl w:val="0"/>
          <w:numId w:val="8"/>
        </w:numPr>
        <w:tabs>
          <w:tab w:val="left" w:pos="2410"/>
        </w:tabs>
        <w:spacing w:before="100" w:beforeAutospacing="1" w:after="100" w:afterAutospacing="1" w:line="480" w:lineRule="auto"/>
        <w:ind w:left="567" w:hanging="425"/>
        <w:rPr>
          <w:rFonts w:cs="Arial"/>
          <w:sz w:val="16"/>
          <w:szCs w:val="20"/>
        </w:rPr>
      </w:pPr>
      <w:r w:rsidRPr="00CF48A8">
        <w:rPr>
          <w:rFonts w:cs="Arial"/>
          <w:sz w:val="16"/>
          <w:szCs w:val="20"/>
        </w:rPr>
        <w:t xml:space="preserve">University Hospital Leuven, Pediatric </w:t>
      </w:r>
      <w:proofErr w:type="spellStart"/>
      <w:r w:rsidRPr="00CF48A8">
        <w:rPr>
          <w:rFonts w:cs="Arial"/>
          <w:sz w:val="16"/>
          <w:szCs w:val="20"/>
        </w:rPr>
        <w:t>Hemato</w:t>
      </w:r>
      <w:proofErr w:type="spellEnd"/>
      <w:r w:rsidRPr="00CF48A8">
        <w:rPr>
          <w:rFonts w:cs="Arial"/>
          <w:sz w:val="16"/>
          <w:szCs w:val="20"/>
        </w:rPr>
        <w:t xml:space="preserve">-Oncology, </w:t>
      </w:r>
      <w:proofErr w:type="spellStart"/>
      <w:r w:rsidRPr="00CF48A8">
        <w:rPr>
          <w:rFonts w:cs="Arial"/>
          <w:sz w:val="16"/>
          <w:szCs w:val="20"/>
        </w:rPr>
        <w:t>KULeuven</w:t>
      </w:r>
      <w:proofErr w:type="spellEnd"/>
      <w:r w:rsidRPr="00CF48A8">
        <w:rPr>
          <w:rFonts w:cs="Arial"/>
          <w:sz w:val="16"/>
          <w:szCs w:val="20"/>
        </w:rPr>
        <w:t xml:space="preserve">, Department Oncology, </w:t>
      </w:r>
      <w:proofErr w:type="spellStart"/>
      <w:r w:rsidRPr="00CF48A8">
        <w:rPr>
          <w:rFonts w:cs="Arial"/>
          <w:sz w:val="16"/>
          <w:szCs w:val="20"/>
        </w:rPr>
        <w:t>Herestraat</w:t>
      </w:r>
      <w:proofErr w:type="spellEnd"/>
      <w:r w:rsidRPr="00CF48A8">
        <w:rPr>
          <w:rFonts w:cs="Arial"/>
          <w:sz w:val="16"/>
          <w:szCs w:val="20"/>
        </w:rPr>
        <w:t xml:space="preserve"> 49, 3000 L</w:t>
      </w:r>
      <w:r>
        <w:rPr>
          <w:rFonts w:cs="Arial"/>
          <w:sz w:val="16"/>
          <w:szCs w:val="20"/>
        </w:rPr>
        <w:t>euven</w:t>
      </w:r>
      <w:r w:rsidRPr="00CF48A8">
        <w:rPr>
          <w:rFonts w:cs="Arial"/>
          <w:sz w:val="16"/>
          <w:szCs w:val="20"/>
        </w:rPr>
        <w:t>, B</w:t>
      </w:r>
      <w:r>
        <w:rPr>
          <w:rFonts w:cs="Arial"/>
          <w:sz w:val="16"/>
          <w:szCs w:val="20"/>
        </w:rPr>
        <w:t>elgium</w:t>
      </w:r>
    </w:p>
    <w:p w14:paraId="448E4A9D" w14:textId="77777777" w:rsidR="002B7CF8" w:rsidRPr="00CF48A8" w:rsidRDefault="002B7CF8" w:rsidP="00936C51">
      <w:pPr>
        <w:pStyle w:val="ListParagraph"/>
        <w:numPr>
          <w:ilvl w:val="0"/>
          <w:numId w:val="8"/>
        </w:numPr>
        <w:tabs>
          <w:tab w:val="left" w:pos="2410"/>
        </w:tabs>
        <w:spacing w:before="100" w:beforeAutospacing="1" w:after="100" w:afterAutospacing="1" w:line="480" w:lineRule="auto"/>
        <w:ind w:left="567" w:hanging="425"/>
        <w:rPr>
          <w:rFonts w:cs="Arial"/>
          <w:sz w:val="16"/>
          <w:szCs w:val="20"/>
        </w:rPr>
      </w:pPr>
      <w:proofErr w:type="spellStart"/>
      <w:r w:rsidRPr="00CF48A8">
        <w:rPr>
          <w:rFonts w:cs="Arial"/>
          <w:sz w:val="16"/>
          <w:szCs w:val="20"/>
        </w:rPr>
        <w:t>Charité-Universitätsmedizin</w:t>
      </w:r>
      <w:proofErr w:type="spellEnd"/>
      <w:r w:rsidRPr="00CF48A8">
        <w:rPr>
          <w:rFonts w:cs="Arial"/>
          <w:sz w:val="16"/>
          <w:szCs w:val="20"/>
        </w:rPr>
        <w:t xml:space="preserve"> Berlin, Corporate member of </w:t>
      </w:r>
      <w:proofErr w:type="spellStart"/>
      <w:r w:rsidRPr="00CF48A8">
        <w:rPr>
          <w:rFonts w:cs="Arial"/>
          <w:sz w:val="16"/>
          <w:szCs w:val="20"/>
        </w:rPr>
        <w:t>Freie</w:t>
      </w:r>
      <w:proofErr w:type="spellEnd"/>
      <w:r w:rsidRPr="00CF48A8">
        <w:rPr>
          <w:rFonts w:cs="Arial"/>
          <w:sz w:val="16"/>
          <w:szCs w:val="20"/>
        </w:rPr>
        <w:t xml:space="preserve"> Universität Berlin, Humboldt-Universität </w:t>
      </w:r>
      <w:proofErr w:type="spellStart"/>
      <w:r w:rsidRPr="00CF48A8">
        <w:rPr>
          <w:rFonts w:cs="Arial"/>
          <w:sz w:val="16"/>
          <w:szCs w:val="20"/>
        </w:rPr>
        <w:t>zu</w:t>
      </w:r>
      <w:proofErr w:type="spellEnd"/>
      <w:r w:rsidRPr="00CF48A8">
        <w:rPr>
          <w:rFonts w:cs="Arial"/>
          <w:sz w:val="16"/>
          <w:szCs w:val="20"/>
        </w:rPr>
        <w:t xml:space="preserve"> Berlin, and Berlin Institute of Health, Department of Pediatric Oncology and </w:t>
      </w:r>
      <w:proofErr w:type="spellStart"/>
      <w:r w:rsidRPr="00CF48A8">
        <w:rPr>
          <w:rFonts w:cs="Arial"/>
          <w:sz w:val="16"/>
          <w:szCs w:val="20"/>
        </w:rPr>
        <w:t>Hematology</w:t>
      </w:r>
      <w:proofErr w:type="spellEnd"/>
      <w:r w:rsidRPr="00CF48A8">
        <w:rPr>
          <w:rFonts w:cs="Arial"/>
          <w:sz w:val="16"/>
          <w:szCs w:val="20"/>
        </w:rPr>
        <w:t>, Germany</w:t>
      </w:r>
    </w:p>
    <w:p w14:paraId="21D1328B" w14:textId="77777777" w:rsidR="002B7CF8" w:rsidRPr="00CF48A8" w:rsidRDefault="002B7CF8" w:rsidP="00936C51">
      <w:pPr>
        <w:pStyle w:val="ListParagraph"/>
        <w:numPr>
          <w:ilvl w:val="0"/>
          <w:numId w:val="8"/>
        </w:numPr>
        <w:tabs>
          <w:tab w:val="left" w:pos="2410"/>
        </w:tabs>
        <w:spacing w:before="100" w:beforeAutospacing="1" w:after="100" w:afterAutospacing="1" w:line="480" w:lineRule="auto"/>
        <w:ind w:left="567" w:hanging="425"/>
        <w:rPr>
          <w:rFonts w:cs="Arial"/>
          <w:sz w:val="16"/>
          <w:szCs w:val="20"/>
        </w:rPr>
      </w:pPr>
      <w:r>
        <w:rPr>
          <w:rFonts w:cs="Arial"/>
          <w:sz w:val="16"/>
          <w:szCs w:val="20"/>
        </w:rPr>
        <w:t xml:space="preserve">Department of </w:t>
      </w:r>
      <w:r w:rsidRPr="0016702F">
        <w:rPr>
          <w:rFonts w:cs="Arial"/>
          <w:sz w:val="16"/>
          <w:szCs w:val="20"/>
        </w:rPr>
        <w:t>Psychology, University of Exeter, Perry Road EX4 4QG</w:t>
      </w:r>
    </w:p>
    <w:p w14:paraId="718CB93D" w14:textId="77777777" w:rsidR="002B7CF8" w:rsidRPr="00CF48A8" w:rsidRDefault="002B7CF8" w:rsidP="00936C51">
      <w:pPr>
        <w:pStyle w:val="ListParagraph"/>
        <w:numPr>
          <w:ilvl w:val="0"/>
          <w:numId w:val="8"/>
        </w:numPr>
        <w:tabs>
          <w:tab w:val="left" w:pos="2410"/>
        </w:tabs>
        <w:spacing w:before="100" w:beforeAutospacing="1" w:after="100" w:afterAutospacing="1" w:line="480" w:lineRule="auto"/>
        <w:ind w:left="567" w:hanging="425"/>
        <w:rPr>
          <w:rFonts w:cs="Arial"/>
          <w:sz w:val="16"/>
          <w:szCs w:val="20"/>
        </w:rPr>
      </w:pPr>
      <w:r w:rsidRPr="00CF48A8">
        <w:rPr>
          <w:rFonts w:cs="Arial"/>
          <w:sz w:val="16"/>
          <w:szCs w:val="20"/>
        </w:rPr>
        <w:t>Rehabilitation department for children with acquired neurological injury; and Outreach team for children and adolescents with acquired brain injury; Saint Maurice Hospitals; Saint Maurice, France</w:t>
      </w:r>
    </w:p>
    <w:p w14:paraId="3EAB4296" w14:textId="77777777" w:rsidR="002B7CF8" w:rsidRPr="00D9570E" w:rsidRDefault="002B7CF8" w:rsidP="00936C51">
      <w:pPr>
        <w:pStyle w:val="ListParagraph"/>
        <w:numPr>
          <w:ilvl w:val="0"/>
          <w:numId w:val="8"/>
        </w:numPr>
        <w:tabs>
          <w:tab w:val="left" w:pos="2410"/>
        </w:tabs>
        <w:spacing w:before="100" w:beforeAutospacing="1" w:after="100" w:afterAutospacing="1" w:line="480" w:lineRule="auto"/>
        <w:ind w:left="567" w:hanging="425"/>
        <w:rPr>
          <w:rFonts w:cs="Arial"/>
          <w:sz w:val="16"/>
          <w:szCs w:val="20"/>
          <w:lang w:val="fr-FR"/>
        </w:rPr>
      </w:pPr>
      <w:r w:rsidRPr="00D9570E">
        <w:rPr>
          <w:rFonts w:cs="Arial"/>
          <w:sz w:val="16"/>
          <w:szCs w:val="20"/>
          <w:lang w:val="fr-FR"/>
        </w:rPr>
        <w:t>Sorbonne Université, Laboratoire d’Imagerie Biomédicale, LIB, Inserm, CNRS, Paris, France</w:t>
      </w:r>
    </w:p>
    <w:p w14:paraId="4B263DD9" w14:textId="77777777" w:rsidR="002B7CF8" w:rsidRPr="00D9570E" w:rsidRDefault="002B7CF8" w:rsidP="00936C51">
      <w:pPr>
        <w:pStyle w:val="ListParagraph"/>
        <w:numPr>
          <w:ilvl w:val="0"/>
          <w:numId w:val="8"/>
        </w:numPr>
        <w:tabs>
          <w:tab w:val="left" w:pos="2410"/>
        </w:tabs>
        <w:spacing w:before="100" w:beforeAutospacing="1" w:after="100" w:afterAutospacing="1" w:line="480" w:lineRule="auto"/>
        <w:ind w:left="567" w:hanging="425"/>
        <w:rPr>
          <w:rFonts w:cs="Arial"/>
          <w:sz w:val="16"/>
          <w:szCs w:val="20"/>
          <w:lang w:val="fr-FR"/>
        </w:rPr>
      </w:pPr>
      <w:r w:rsidRPr="00D9570E">
        <w:rPr>
          <w:rFonts w:cs="Arial"/>
          <w:sz w:val="16"/>
          <w:szCs w:val="20"/>
          <w:lang w:val="fr-FR"/>
        </w:rPr>
        <w:t>Sorbonne Université, GRC 24, Handicap Moteur et Cognitif et Réadaptation (</w:t>
      </w:r>
      <w:proofErr w:type="spellStart"/>
      <w:r w:rsidRPr="00D9570E">
        <w:rPr>
          <w:rFonts w:cs="Arial"/>
          <w:sz w:val="16"/>
          <w:szCs w:val="20"/>
          <w:lang w:val="fr-FR"/>
        </w:rPr>
        <w:t>HaMCRe</w:t>
      </w:r>
      <w:proofErr w:type="spellEnd"/>
      <w:r w:rsidRPr="00D9570E">
        <w:rPr>
          <w:rFonts w:cs="Arial"/>
          <w:sz w:val="16"/>
          <w:szCs w:val="20"/>
          <w:lang w:val="fr-FR"/>
        </w:rPr>
        <w:t>), Paris, France</w:t>
      </w:r>
    </w:p>
    <w:p w14:paraId="151F8101" w14:textId="3C8821DD" w:rsidR="002B7CF8" w:rsidRDefault="002B7CF8" w:rsidP="00936C51">
      <w:pPr>
        <w:tabs>
          <w:tab w:val="left" w:pos="2410"/>
        </w:tabs>
        <w:spacing w:before="100" w:beforeAutospacing="1" w:line="480" w:lineRule="auto"/>
        <w:rPr>
          <w:rFonts w:cs="Arial"/>
          <w:sz w:val="16"/>
          <w:szCs w:val="20"/>
        </w:rPr>
      </w:pPr>
      <w:r w:rsidRPr="00F2080E">
        <w:rPr>
          <w:rFonts w:cs="Arial"/>
          <w:sz w:val="16"/>
          <w:szCs w:val="20"/>
        </w:rPr>
        <w:t xml:space="preserve">Corresponding Author: </w:t>
      </w:r>
      <w:r>
        <w:rPr>
          <w:rFonts w:cs="Arial"/>
          <w:sz w:val="16"/>
          <w:szCs w:val="20"/>
        </w:rPr>
        <w:t xml:space="preserve">Dr Sophie Thomas, </w:t>
      </w:r>
      <w:r w:rsidRPr="00F2080E">
        <w:rPr>
          <w:rFonts w:cs="Arial"/>
          <w:sz w:val="16"/>
          <w:szCs w:val="20"/>
        </w:rPr>
        <w:t>Department of Paediatric Neuropsychology, Nottingham Children’s Hospital, Queen’s Medical Centre, Nottingham, NG7 2UH, UK</w:t>
      </w:r>
      <w:r>
        <w:rPr>
          <w:rFonts w:cs="Arial"/>
          <w:sz w:val="16"/>
          <w:szCs w:val="20"/>
        </w:rPr>
        <w:t>. sophie.thomas@nhs.net</w:t>
      </w:r>
    </w:p>
    <w:p w14:paraId="74A4CEAA" w14:textId="77777777" w:rsidR="002B7CF8" w:rsidRPr="00CF48A8" w:rsidRDefault="002B7CF8" w:rsidP="002B7CF8">
      <w:pPr>
        <w:spacing w:line="360" w:lineRule="auto"/>
        <w:rPr>
          <w:sz w:val="18"/>
          <w:szCs w:val="18"/>
          <w:u w:val="single"/>
        </w:rPr>
      </w:pPr>
      <w:r w:rsidRPr="00CF48A8">
        <w:rPr>
          <w:sz w:val="18"/>
          <w:szCs w:val="18"/>
          <w:u w:val="single"/>
        </w:rPr>
        <w:t xml:space="preserve">Table of Abbreviations </w:t>
      </w:r>
    </w:p>
    <w:tbl>
      <w:tblPr>
        <w:tblStyle w:val="TableGrid"/>
        <w:tblW w:w="0" w:type="auto"/>
        <w:tblLook w:val="04A0" w:firstRow="1" w:lastRow="0" w:firstColumn="1" w:lastColumn="0" w:noHBand="0" w:noVBand="1"/>
      </w:tblPr>
      <w:tblGrid>
        <w:gridCol w:w="4505"/>
        <w:gridCol w:w="1160"/>
      </w:tblGrid>
      <w:tr w:rsidR="002B7CF8" w:rsidRPr="00CF48A8" w14:paraId="2C3D665B" w14:textId="77777777" w:rsidTr="00122669">
        <w:tc>
          <w:tcPr>
            <w:tcW w:w="4505" w:type="dxa"/>
          </w:tcPr>
          <w:p w14:paraId="71993EA6" w14:textId="77777777" w:rsidR="002B7CF8" w:rsidRPr="00CF48A8" w:rsidRDefault="002B7CF8" w:rsidP="00122669">
            <w:pPr>
              <w:spacing w:line="360" w:lineRule="auto"/>
              <w:rPr>
                <w:color w:val="000000" w:themeColor="text1"/>
                <w:sz w:val="16"/>
                <w:szCs w:val="16"/>
              </w:rPr>
            </w:pPr>
            <w:r w:rsidRPr="00CF48A8">
              <w:rPr>
                <w:color w:val="000000" w:themeColor="text1"/>
                <w:sz w:val="16"/>
                <w:szCs w:val="16"/>
              </w:rPr>
              <w:t>Brain Tumour Group</w:t>
            </w:r>
          </w:p>
        </w:tc>
        <w:tc>
          <w:tcPr>
            <w:tcW w:w="1160" w:type="dxa"/>
          </w:tcPr>
          <w:p w14:paraId="1F055FEA" w14:textId="77777777" w:rsidR="002B7CF8" w:rsidRPr="00CF48A8" w:rsidRDefault="002B7CF8" w:rsidP="00122669">
            <w:pPr>
              <w:spacing w:line="360" w:lineRule="auto"/>
              <w:rPr>
                <w:color w:val="000000" w:themeColor="text1"/>
                <w:sz w:val="16"/>
                <w:szCs w:val="16"/>
              </w:rPr>
            </w:pPr>
            <w:r w:rsidRPr="00CF48A8">
              <w:rPr>
                <w:color w:val="000000" w:themeColor="text1"/>
                <w:sz w:val="16"/>
                <w:szCs w:val="16"/>
              </w:rPr>
              <w:t>BTG</w:t>
            </w:r>
          </w:p>
        </w:tc>
      </w:tr>
      <w:tr w:rsidR="002B7CF8" w:rsidRPr="00CF48A8" w14:paraId="1D3D9490" w14:textId="77777777" w:rsidTr="00122669">
        <w:tc>
          <w:tcPr>
            <w:tcW w:w="4505" w:type="dxa"/>
          </w:tcPr>
          <w:p w14:paraId="4A8C7C70" w14:textId="77777777" w:rsidR="002B7CF8" w:rsidRPr="00CF48A8" w:rsidRDefault="002B7CF8" w:rsidP="00122669">
            <w:pPr>
              <w:spacing w:line="360" w:lineRule="auto"/>
              <w:rPr>
                <w:color w:val="000000" w:themeColor="text1"/>
                <w:sz w:val="16"/>
                <w:szCs w:val="16"/>
              </w:rPr>
            </w:pPr>
            <w:r w:rsidRPr="00CF48A8">
              <w:rPr>
                <w:color w:val="000000" w:themeColor="text1"/>
                <w:sz w:val="16"/>
                <w:szCs w:val="16"/>
              </w:rPr>
              <w:t>Children’s Oncology Group</w:t>
            </w:r>
          </w:p>
        </w:tc>
        <w:tc>
          <w:tcPr>
            <w:tcW w:w="1160" w:type="dxa"/>
          </w:tcPr>
          <w:p w14:paraId="0A8EA431" w14:textId="77777777" w:rsidR="002B7CF8" w:rsidRPr="00CF48A8" w:rsidRDefault="002B7CF8" w:rsidP="00122669">
            <w:pPr>
              <w:spacing w:line="360" w:lineRule="auto"/>
              <w:rPr>
                <w:color w:val="000000" w:themeColor="text1"/>
                <w:sz w:val="16"/>
                <w:szCs w:val="16"/>
              </w:rPr>
            </w:pPr>
            <w:r w:rsidRPr="00CF48A8">
              <w:rPr>
                <w:color w:val="000000" w:themeColor="text1"/>
                <w:sz w:val="16"/>
                <w:szCs w:val="16"/>
              </w:rPr>
              <w:t>COG</w:t>
            </w:r>
          </w:p>
        </w:tc>
      </w:tr>
      <w:tr w:rsidR="002B7CF8" w:rsidRPr="00CF48A8" w14:paraId="50B502FE" w14:textId="77777777" w:rsidTr="00122669">
        <w:tc>
          <w:tcPr>
            <w:tcW w:w="4505" w:type="dxa"/>
          </w:tcPr>
          <w:p w14:paraId="5E792AF5" w14:textId="77777777" w:rsidR="002B7CF8" w:rsidRPr="00CF48A8" w:rsidRDefault="002B7CF8" w:rsidP="00122669">
            <w:pPr>
              <w:spacing w:line="360" w:lineRule="auto"/>
              <w:rPr>
                <w:color w:val="000000" w:themeColor="text1"/>
                <w:sz w:val="16"/>
                <w:szCs w:val="16"/>
              </w:rPr>
            </w:pPr>
            <w:r w:rsidRPr="00CF48A8">
              <w:rPr>
                <w:color w:val="000000" w:themeColor="text1"/>
                <w:sz w:val="16"/>
                <w:szCs w:val="16"/>
              </w:rPr>
              <w:t>Children’s Cancer and Leukaemia Group</w:t>
            </w:r>
          </w:p>
        </w:tc>
        <w:tc>
          <w:tcPr>
            <w:tcW w:w="1160" w:type="dxa"/>
          </w:tcPr>
          <w:p w14:paraId="6971E041" w14:textId="77777777" w:rsidR="002B7CF8" w:rsidRPr="00CF48A8" w:rsidRDefault="002B7CF8" w:rsidP="00122669">
            <w:pPr>
              <w:spacing w:line="360" w:lineRule="auto"/>
              <w:rPr>
                <w:color w:val="000000" w:themeColor="text1"/>
                <w:sz w:val="16"/>
                <w:szCs w:val="16"/>
              </w:rPr>
            </w:pPr>
            <w:r w:rsidRPr="00CF48A8">
              <w:rPr>
                <w:color w:val="000000" w:themeColor="text1"/>
                <w:sz w:val="16"/>
                <w:szCs w:val="16"/>
              </w:rPr>
              <w:t>CCLG</w:t>
            </w:r>
          </w:p>
        </w:tc>
      </w:tr>
      <w:tr w:rsidR="002B7CF8" w:rsidRPr="00CF48A8" w14:paraId="2B8CF018" w14:textId="77777777" w:rsidTr="00122669">
        <w:tc>
          <w:tcPr>
            <w:tcW w:w="4505" w:type="dxa"/>
          </w:tcPr>
          <w:p w14:paraId="4B409AE5" w14:textId="77777777" w:rsidR="002B7CF8" w:rsidRPr="00CF48A8" w:rsidRDefault="002B7CF8" w:rsidP="00122669">
            <w:pPr>
              <w:spacing w:line="360" w:lineRule="auto"/>
              <w:rPr>
                <w:color w:val="000000" w:themeColor="text1"/>
                <w:sz w:val="16"/>
                <w:szCs w:val="16"/>
              </w:rPr>
            </w:pPr>
            <w:r w:rsidRPr="00CF48A8">
              <w:rPr>
                <w:color w:val="000000" w:themeColor="text1"/>
                <w:sz w:val="16"/>
                <w:szCs w:val="16"/>
              </w:rPr>
              <w:t>European Society of Paediatric Oncology</w:t>
            </w:r>
          </w:p>
        </w:tc>
        <w:tc>
          <w:tcPr>
            <w:tcW w:w="1160" w:type="dxa"/>
          </w:tcPr>
          <w:p w14:paraId="08832E1E" w14:textId="77777777" w:rsidR="002B7CF8" w:rsidRPr="00CF48A8" w:rsidRDefault="002B7CF8" w:rsidP="00122669">
            <w:pPr>
              <w:spacing w:line="360" w:lineRule="auto"/>
              <w:rPr>
                <w:color w:val="000000" w:themeColor="text1"/>
                <w:sz w:val="16"/>
                <w:szCs w:val="16"/>
              </w:rPr>
            </w:pPr>
            <w:r w:rsidRPr="00CF48A8">
              <w:rPr>
                <w:color w:val="000000" w:themeColor="text1"/>
                <w:sz w:val="16"/>
                <w:szCs w:val="16"/>
              </w:rPr>
              <w:t>SIOP-E</w:t>
            </w:r>
          </w:p>
        </w:tc>
      </w:tr>
      <w:tr w:rsidR="002B7CF8" w:rsidRPr="00CF48A8" w14:paraId="204D0A5D" w14:textId="77777777" w:rsidTr="00122669">
        <w:tc>
          <w:tcPr>
            <w:tcW w:w="4505" w:type="dxa"/>
          </w:tcPr>
          <w:p w14:paraId="58E38F3A" w14:textId="77777777" w:rsidR="002B7CF8" w:rsidRPr="00CF48A8" w:rsidRDefault="002B7CF8" w:rsidP="00122669">
            <w:pPr>
              <w:spacing w:line="360" w:lineRule="auto"/>
              <w:rPr>
                <w:color w:val="000000" w:themeColor="text1"/>
                <w:sz w:val="16"/>
                <w:szCs w:val="16"/>
              </w:rPr>
            </w:pPr>
            <w:r w:rsidRPr="00CF48A8">
              <w:rPr>
                <w:color w:val="000000" w:themeColor="text1"/>
                <w:sz w:val="16"/>
                <w:szCs w:val="16"/>
              </w:rPr>
              <w:t>H</w:t>
            </w:r>
            <w:r w:rsidRPr="00CF48A8">
              <w:rPr>
                <w:rFonts w:ascii="Calibri" w:hAnsi="Calibri"/>
                <w:color w:val="000000" w:themeColor="text1"/>
                <w:sz w:val="16"/>
                <w:szCs w:val="16"/>
              </w:rPr>
              <w:t>ealth-related Quality of Life</w:t>
            </w:r>
          </w:p>
        </w:tc>
        <w:tc>
          <w:tcPr>
            <w:tcW w:w="1160" w:type="dxa"/>
          </w:tcPr>
          <w:p w14:paraId="2CFA7AFD" w14:textId="77777777" w:rsidR="002B7CF8" w:rsidRPr="00CF48A8" w:rsidRDefault="002B7CF8" w:rsidP="00122669">
            <w:pPr>
              <w:spacing w:line="360" w:lineRule="auto"/>
              <w:rPr>
                <w:color w:val="000000" w:themeColor="text1"/>
                <w:sz w:val="16"/>
                <w:szCs w:val="16"/>
              </w:rPr>
            </w:pPr>
            <w:r w:rsidRPr="00CF48A8">
              <w:rPr>
                <w:rFonts w:ascii="Calibri" w:hAnsi="Calibri"/>
                <w:color w:val="000000" w:themeColor="text1"/>
                <w:sz w:val="16"/>
                <w:szCs w:val="16"/>
              </w:rPr>
              <w:t>HRQoL</w:t>
            </w:r>
          </w:p>
        </w:tc>
      </w:tr>
      <w:tr w:rsidR="002B7CF8" w:rsidRPr="00CF48A8" w14:paraId="289D0988" w14:textId="77777777" w:rsidTr="00122669">
        <w:tc>
          <w:tcPr>
            <w:tcW w:w="4505" w:type="dxa"/>
          </w:tcPr>
          <w:p w14:paraId="46934C14" w14:textId="77777777" w:rsidR="002B7CF8" w:rsidRPr="00CF48A8" w:rsidRDefault="002B7CF8" w:rsidP="00122669">
            <w:pPr>
              <w:spacing w:line="360" w:lineRule="auto"/>
              <w:rPr>
                <w:color w:val="000000" w:themeColor="text1"/>
                <w:sz w:val="16"/>
                <w:szCs w:val="16"/>
              </w:rPr>
            </w:pPr>
            <w:r w:rsidRPr="00CF48A8">
              <w:rPr>
                <w:color w:val="000000" w:themeColor="text1"/>
                <w:sz w:val="16"/>
                <w:szCs w:val="16"/>
              </w:rPr>
              <w:t>Medical, Educational, Employment, and Social</w:t>
            </w:r>
          </w:p>
        </w:tc>
        <w:tc>
          <w:tcPr>
            <w:tcW w:w="1160" w:type="dxa"/>
          </w:tcPr>
          <w:p w14:paraId="1BDA813F" w14:textId="77777777" w:rsidR="002B7CF8" w:rsidRPr="00CF48A8" w:rsidRDefault="002B7CF8" w:rsidP="00122669">
            <w:pPr>
              <w:spacing w:line="360" w:lineRule="auto"/>
              <w:rPr>
                <w:color w:val="000000" w:themeColor="text1"/>
                <w:sz w:val="16"/>
                <w:szCs w:val="16"/>
              </w:rPr>
            </w:pPr>
            <w:r w:rsidRPr="00CF48A8">
              <w:rPr>
                <w:color w:val="000000" w:themeColor="text1"/>
                <w:sz w:val="16"/>
                <w:szCs w:val="16"/>
              </w:rPr>
              <w:t>MEES</w:t>
            </w:r>
          </w:p>
        </w:tc>
      </w:tr>
      <w:tr w:rsidR="002B7CF8" w:rsidRPr="00CF48A8" w14:paraId="2D741085" w14:textId="77777777" w:rsidTr="00122669">
        <w:tc>
          <w:tcPr>
            <w:tcW w:w="4505" w:type="dxa"/>
          </w:tcPr>
          <w:p w14:paraId="2B83705D" w14:textId="77777777" w:rsidR="002B7CF8" w:rsidRPr="00CF48A8" w:rsidRDefault="002B7CF8" w:rsidP="00122669">
            <w:pPr>
              <w:spacing w:line="360" w:lineRule="auto"/>
              <w:rPr>
                <w:color w:val="000000" w:themeColor="text1"/>
                <w:sz w:val="16"/>
                <w:szCs w:val="16"/>
              </w:rPr>
            </w:pPr>
            <w:r w:rsidRPr="00CF48A8">
              <w:rPr>
                <w:color w:val="000000" w:themeColor="text1"/>
                <w:sz w:val="16"/>
                <w:szCs w:val="16"/>
              </w:rPr>
              <w:t>Patient Reported Outcome Measures</w:t>
            </w:r>
          </w:p>
        </w:tc>
        <w:tc>
          <w:tcPr>
            <w:tcW w:w="1160" w:type="dxa"/>
          </w:tcPr>
          <w:p w14:paraId="6C7A5DF9" w14:textId="77777777" w:rsidR="002B7CF8" w:rsidRPr="00CF48A8" w:rsidRDefault="002B7CF8" w:rsidP="00122669">
            <w:pPr>
              <w:tabs>
                <w:tab w:val="left" w:pos="480"/>
              </w:tabs>
              <w:spacing w:line="360" w:lineRule="auto"/>
              <w:rPr>
                <w:color w:val="000000" w:themeColor="text1"/>
                <w:sz w:val="16"/>
                <w:szCs w:val="16"/>
              </w:rPr>
            </w:pPr>
            <w:r w:rsidRPr="00CF48A8">
              <w:rPr>
                <w:bCs/>
                <w:color w:val="000000" w:themeColor="text1"/>
                <w:sz w:val="16"/>
                <w:szCs w:val="16"/>
              </w:rPr>
              <w:t>PROMs</w:t>
            </w:r>
          </w:p>
        </w:tc>
      </w:tr>
      <w:tr w:rsidR="002B7CF8" w:rsidRPr="00CF48A8" w14:paraId="5BB0F50D" w14:textId="77777777" w:rsidTr="00122669">
        <w:tc>
          <w:tcPr>
            <w:tcW w:w="4505" w:type="dxa"/>
          </w:tcPr>
          <w:p w14:paraId="58AA89EB" w14:textId="77777777" w:rsidR="002B7CF8" w:rsidRPr="00CF48A8" w:rsidRDefault="002B7CF8" w:rsidP="00122669">
            <w:pPr>
              <w:spacing w:line="360" w:lineRule="auto"/>
              <w:rPr>
                <w:color w:val="000000" w:themeColor="text1"/>
                <w:sz w:val="16"/>
                <w:szCs w:val="16"/>
              </w:rPr>
            </w:pPr>
            <w:r w:rsidRPr="00CF48A8">
              <w:rPr>
                <w:color w:val="000000" w:themeColor="text1"/>
                <w:sz w:val="16"/>
                <w:szCs w:val="16"/>
              </w:rPr>
              <w:t xml:space="preserve">Quality of Survival </w:t>
            </w:r>
          </w:p>
        </w:tc>
        <w:tc>
          <w:tcPr>
            <w:tcW w:w="1160" w:type="dxa"/>
          </w:tcPr>
          <w:p w14:paraId="2179E0C7" w14:textId="77777777" w:rsidR="002B7CF8" w:rsidRPr="00CF48A8" w:rsidRDefault="002B7CF8" w:rsidP="00122669">
            <w:pPr>
              <w:tabs>
                <w:tab w:val="left" w:pos="480"/>
              </w:tabs>
              <w:spacing w:line="360" w:lineRule="auto"/>
              <w:rPr>
                <w:color w:val="000000" w:themeColor="text1"/>
                <w:sz w:val="16"/>
                <w:szCs w:val="16"/>
              </w:rPr>
            </w:pPr>
            <w:r w:rsidRPr="00CF48A8">
              <w:rPr>
                <w:color w:val="000000" w:themeColor="text1"/>
                <w:sz w:val="16"/>
                <w:szCs w:val="16"/>
              </w:rPr>
              <w:t>QoS</w:t>
            </w:r>
          </w:p>
        </w:tc>
      </w:tr>
    </w:tbl>
    <w:p w14:paraId="0A329C10" w14:textId="276B5F64" w:rsidR="00936C51" w:rsidRPr="00936C51" w:rsidRDefault="00936C51" w:rsidP="00936C51">
      <w:pPr>
        <w:tabs>
          <w:tab w:val="left" w:pos="2410"/>
        </w:tabs>
        <w:spacing w:before="100" w:beforeAutospacing="1"/>
        <w:rPr>
          <w:rFonts w:cs="Arial"/>
          <w:sz w:val="16"/>
          <w:szCs w:val="20"/>
        </w:rPr>
      </w:pPr>
      <w:r w:rsidRPr="00936C51">
        <w:rPr>
          <w:rFonts w:cs="Arial"/>
          <w:sz w:val="16"/>
          <w:szCs w:val="20"/>
        </w:rPr>
        <w:t>Abstract 71 words. Manuscript</w:t>
      </w:r>
      <w:r>
        <w:rPr>
          <w:rFonts w:cs="Arial"/>
          <w:sz w:val="16"/>
          <w:szCs w:val="20"/>
        </w:rPr>
        <w:t xml:space="preserve"> with requested changes</w:t>
      </w:r>
      <w:r w:rsidRPr="00936C51">
        <w:rPr>
          <w:rFonts w:cs="Arial"/>
          <w:sz w:val="16"/>
          <w:szCs w:val="20"/>
        </w:rPr>
        <w:t xml:space="preserve"> 2987. 1 Figure. 1 Table</w:t>
      </w:r>
    </w:p>
    <w:p w14:paraId="670F4B27" w14:textId="18AF1402" w:rsidR="00936C51" w:rsidRPr="00936C51" w:rsidRDefault="00936C51" w:rsidP="00936C51">
      <w:pPr>
        <w:tabs>
          <w:tab w:val="left" w:pos="2410"/>
        </w:tabs>
        <w:spacing w:before="100" w:beforeAutospacing="1"/>
        <w:rPr>
          <w:rFonts w:cs="Arial"/>
          <w:sz w:val="20"/>
          <w:szCs w:val="22"/>
        </w:rPr>
      </w:pPr>
      <w:r w:rsidRPr="00936C51">
        <w:rPr>
          <w:rFonts w:cs="Arial"/>
          <w:sz w:val="20"/>
          <w:szCs w:val="22"/>
        </w:rPr>
        <w:t xml:space="preserve">Running Title: Transatlantic Progress in Measurement of Cognitive Outcomes </w:t>
      </w:r>
    </w:p>
    <w:p w14:paraId="1472C73F" w14:textId="469F4462" w:rsidR="002B7CF8" w:rsidRPr="006C0485" w:rsidRDefault="002B7CF8" w:rsidP="002B7CF8">
      <w:pPr>
        <w:spacing w:line="360" w:lineRule="auto"/>
        <w:rPr>
          <w:color w:val="2F5496" w:themeColor="accent1" w:themeShade="BF"/>
        </w:rPr>
      </w:pPr>
      <w:r w:rsidRPr="006C0485">
        <w:rPr>
          <w:color w:val="2F5496" w:themeColor="accent1" w:themeShade="BF"/>
        </w:rPr>
        <w:lastRenderedPageBreak/>
        <w:t>Abstract</w:t>
      </w:r>
    </w:p>
    <w:p w14:paraId="125289D1" w14:textId="77777777" w:rsidR="002B7CF8" w:rsidRDefault="002B7CF8" w:rsidP="002B7CF8">
      <w:pPr>
        <w:spacing w:line="360" w:lineRule="auto"/>
        <w:rPr>
          <w:rFonts w:ascii="Calibri" w:hAnsi="Calibri"/>
          <w:color w:val="000000"/>
        </w:rPr>
      </w:pPr>
    </w:p>
    <w:p w14:paraId="037DC6CF" w14:textId="77777777" w:rsidR="002B7CF8" w:rsidRDefault="002B7CF8" w:rsidP="002B7CF8">
      <w:pPr>
        <w:spacing w:line="360" w:lineRule="auto"/>
        <w:jc w:val="both"/>
        <w:rPr>
          <w:rFonts w:ascii="Calibri" w:hAnsi="Calibri"/>
          <w:color w:val="000000"/>
        </w:rPr>
      </w:pPr>
      <w:r>
        <w:rPr>
          <w:rFonts w:ascii="Calibri" w:hAnsi="Calibri"/>
          <w:color w:val="000000"/>
        </w:rPr>
        <w:t xml:space="preserve">The importance of measuring quality of survival within paediatric oncology trials is increasingly recognised. However, capturing neuropsychological outcomes and other aspects of quality of survival in the context of large or multinational trials can be challenging. We provide examples of protocols designed to address this challenge recently employed in clinical trials in the USA and Europe. We discuss their respective strengths and challenges, obstacles encountered, and future opportunities for transatlantic collaboration. </w:t>
      </w:r>
    </w:p>
    <w:p w14:paraId="615A93E9" w14:textId="77777777" w:rsidR="002B7CF8" w:rsidRDefault="002B7CF8">
      <w:pPr>
        <w:rPr>
          <w:color w:val="2F5496" w:themeColor="accent1" w:themeShade="BF"/>
        </w:rPr>
      </w:pPr>
      <w:r>
        <w:rPr>
          <w:color w:val="2F5496" w:themeColor="accent1" w:themeShade="BF"/>
        </w:rPr>
        <w:br w:type="page"/>
      </w:r>
    </w:p>
    <w:p w14:paraId="72456691" w14:textId="77777777" w:rsidR="002B7CF8" w:rsidRDefault="002B7CF8" w:rsidP="002B7CF8">
      <w:pPr>
        <w:pStyle w:val="ListParagraph"/>
        <w:spacing w:line="360" w:lineRule="auto"/>
        <w:ind w:left="270"/>
        <w:rPr>
          <w:color w:val="2F5496" w:themeColor="accent1" w:themeShade="BF"/>
        </w:rPr>
      </w:pPr>
    </w:p>
    <w:p w14:paraId="3A4978ED" w14:textId="16450E61" w:rsidR="00D57686" w:rsidRPr="00D57686" w:rsidRDefault="00D57686" w:rsidP="00FC3DC9">
      <w:pPr>
        <w:pStyle w:val="ListParagraph"/>
        <w:numPr>
          <w:ilvl w:val="0"/>
          <w:numId w:val="1"/>
        </w:numPr>
        <w:spacing w:line="360" w:lineRule="auto"/>
        <w:ind w:left="270" w:hanging="270"/>
        <w:rPr>
          <w:color w:val="2F5496" w:themeColor="accent1" w:themeShade="BF"/>
        </w:rPr>
      </w:pPr>
      <w:r w:rsidRPr="00D57686">
        <w:rPr>
          <w:color w:val="2F5496" w:themeColor="accent1" w:themeShade="BF"/>
        </w:rPr>
        <w:t>Introduction</w:t>
      </w:r>
      <w:r w:rsidR="00C453F1">
        <w:rPr>
          <w:color w:val="2F5496" w:themeColor="accent1" w:themeShade="BF"/>
        </w:rPr>
        <w:t xml:space="preserve"> </w:t>
      </w:r>
    </w:p>
    <w:p w14:paraId="179BBA6D" w14:textId="77777777" w:rsidR="00904452" w:rsidRDefault="00904452" w:rsidP="00FC3DC9">
      <w:pPr>
        <w:spacing w:line="360" w:lineRule="auto"/>
        <w:rPr>
          <w:color w:val="2F5496" w:themeColor="accent1" w:themeShade="BF"/>
        </w:rPr>
      </w:pPr>
    </w:p>
    <w:p w14:paraId="4A310EC4" w14:textId="19FEF995" w:rsidR="00946A01" w:rsidRDefault="00675FC0" w:rsidP="00FC3DC9">
      <w:pPr>
        <w:spacing w:line="360" w:lineRule="auto"/>
        <w:jc w:val="both"/>
        <w:rPr>
          <w:rFonts w:ascii="Calibri" w:hAnsi="Calibri" w:cs="Times New Roman"/>
          <w:color w:val="000000"/>
          <w:lang w:eastAsia="en-GB"/>
        </w:rPr>
      </w:pPr>
      <w:r>
        <w:rPr>
          <w:rFonts w:ascii="Calibri" w:hAnsi="Calibri" w:cs="Times New Roman"/>
          <w:color w:val="000000"/>
          <w:lang w:eastAsia="en-GB"/>
        </w:rPr>
        <w:t>I</w:t>
      </w:r>
      <w:r w:rsidR="006A347C">
        <w:rPr>
          <w:rFonts w:ascii="Calibri" w:hAnsi="Calibri" w:cs="Times New Roman"/>
          <w:color w:val="000000"/>
          <w:lang w:eastAsia="en-GB"/>
        </w:rPr>
        <w:t xml:space="preserve">t </w:t>
      </w:r>
      <w:r>
        <w:rPr>
          <w:rFonts w:ascii="Calibri" w:hAnsi="Calibri" w:cs="Times New Roman"/>
          <w:color w:val="000000"/>
          <w:lang w:eastAsia="en-GB"/>
        </w:rPr>
        <w:t xml:space="preserve">is </w:t>
      </w:r>
      <w:r w:rsidR="00F358B6">
        <w:rPr>
          <w:rFonts w:ascii="Calibri" w:hAnsi="Calibri" w:cs="Times New Roman"/>
          <w:color w:val="000000"/>
          <w:lang w:eastAsia="en-GB"/>
        </w:rPr>
        <w:t xml:space="preserve">now </w:t>
      </w:r>
      <w:r w:rsidR="006A347C">
        <w:rPr>
          <w:rFonts w:ascii="Calibri" w:hAnsi="Calibri" w:cs="Times New Roman"/>
          <w:color w:val="000000"/>
          <w:lang w:eastAsia="en-GB"/>
        </w:rPr>
        <w:t xml:space="preserve">widely accepted that </w:t>
      </w:r>
      <w:r w:rsidR="00CD7EF8">
        <w:rPr>
          <w:rFonts w:ascii="Calibri" w:hAnsi="Calibri" w:cs="Times New Roman"/>
          <w:color w:val="000000"/>
          <w:lang w:eastAsia="en-GB"/>
        </w:rPr>
        <w:t xml:space="preserve">although survival is the primary </w:t>
      </w:r>
      <w:r w:rsidR="00FB48F5">
        <w:rPr>
          <w:rFonts w:ascii="Calibri" w:hAnsi="Calibri" w:cs="Times New Roman"/>
          <w:color w:val="000000"/>
          <w:lang w:eastAsia="en-GB"/>
        </w:rPr>
        <w:t>goal</w:t>
      </w:r>
      <w:r w:rsidR="00CD7EF8">
        <w:rPr>
          <w:rFonts w:ascii="Calibri" w:hAnsi="Calibri" w:cs="Times New Roman"/>
          <w:color w:val="000000"/>
          <w:lang w:eastAsia="en-GB"/>
        </w:rPr>
        <w:t xml:space="preserve"> of </w:t>
      </w:r>
      <w:r w:rsidR="009525B0">
        <w:rPr>
          <w:rFonts w:ascii="Calibri" w:hAnsi="Calibri" w:cs="Times New Roman"/>
          <w:color w:val="000000"/>
          <w:lang w:eastAsia="en-GB"/>
        </w:rPr>
        <w:t>treatments</w:t>
      </w:r>
      <w:r w:rsidR="00CD7EF8">
        <w:rPr>
          <w:rFonts w:ascii="Calibri" w:hAnsi="Calibri" w:cs="Times New Roman"/>
          <w:color w:val="000000"/>
          <w:lang w:eastAsia="en-GB"/>
        </w:rPr>
        <w:t xml:space="preserve">, it </w:t>
      </w:r>
      <w:r w:rsidR="006A347C">
        <w:rPr>
          <w:rFonts w:ascii="Calibri" w:hAnsi="Calibri" w:cs="Times New Roman"/>
          <w:color w:val="000000"/>
          <w:lang w:eastAsia="en-GB"/>
        </w:rPr>
        <w:t xml:space="preserve">is </w:t>
      </w:r>
      <w:r w:rsidR="00CD7EF8">
        <w:rPr>
          <w:rFonts w:ascii="Calibri" w:hAnsi="Calibri" w:cs="Times New Roman"/>
          <w:color w:val="000000"/>
          <w:lang w:eastAsia="en-GB"/>
        </w:rPr>
        <w:t>no longer an</w:t>
      </w:r>
      <w:r w:rsidR="006A347C">
        <w:rPr>
          <w:rFonts w:ascii="Calibri" w:hAnsi="Calibri" w:cs="Times New Roman"/>
          <w:color w:val="000000"/>
          <w:lang w:eastAsia="en-GB"/>
        </w:rPr>
        <w:t xml:space="preserve"> appropriate single outcome measure </w:t>
      </w:r>
      <w:r>
        <w:rPr>
          <w:rFonts w:ascii="Calibri" w:hAnsi="Calibri" w:cs="Times New Roman"/>
          <w:color w:val="000000"/>
          <w:lang w:eastAsia="en-GB"/>
        </w:rPr>
        <w:t>within paediatric oncology trials</w:t>
      </w:r>
      <w:r w:rsidR="00C204E3">
        <w:rPr>
          <w:rFonts w:ascii="Calibri" w:hAnsi="Calibri" w:cs="Times New Roman"/>
          <w:color w:val="000000"/>
          <w:lang w:eastAsia="en-GB"/>
        </w:rPr>
        <w:t>,</w:t>
      </w:r>
      <w:r>
        <w:rPr>
          <w:rFonts w:ascii="Calibri" w:hAnsi="Calibri" w:cs="Times New Roman"/>
          <w:color w:val="000000"/>
          <w:lang w:eastAsia="en-GB"/>
        </w:rPr>
        <w:t xml:space="preserve"> and more</w:t>
      </w:r>
      <w:r w:rsidR="006A347C">
        <w:rPr>
          <w:rFonts w:ascii="Calibri" w:hAnsi="Calibri" w:cs="Times New Roman"/>
          <w:color w:val="000000"/>
          <w:lang w:eastAsia="en-GB"/>
        </w:rPr>
        <w:t xml:space="preserve"> emphasis </w:t>
      </w:r>
      <w:r>
        <w:rPr>
          <w:rFonts w:ascii="Calibri" w:hAnsi="Calibri" w:cs="Times New Roman"/>
          <w:color w:val="000000"/>
          <w:lang w:eastAsia="en-GB"/>
        </w:rPr>
        <w:t xml:space="preserve">is being placed </w:t>
      </w:r>
      <w:r w:rsidR="006A347C">
        <w:rPr>
          <w:rFonts w:ascii="Calibri" w:hAnsi="Calibri" w:cs="Times New Roman"/>
          <w:color w:val="000000"/>
          <w:lang w:eastAsia="en-GB"/>
        </w:rPr>
        <w:t xml:space="preserve">on </w:t>
      </w:r>
      <w:r w:rsidR="003A4484">
        <w:rPr>
          <w:rFonts w:ascii="Calibri" w:hAnsi="Calibri" w:cs="Times New Roman"/>
          <w:color w:val="000000"/>
          <w:lang w:eastAsia="en-GB"/>
        </w:rPr>
        <w:t>measuring</w:t>
      </w:r>
      <w:r w:rsidR="00D46DE8">
        <w:rPr>
          <w:rFonts w:ascii="Calibri" w:hAnsi="Calibri" w:cs="Times New Roman"/>
          <w:color w:val="000000"/>
          <w:lang w:eastAsia="en-GB"/>
        </w:rPr>
        <w:t xml:space="preserve"> </w:t>
      </w:r>
      <w:r w:rsidR="00C204E3">
        <w:rPr>
          <w:rFonts w:ascii="Calibri" w:hAnsi="Calibri" w:cs="Times New Roman"/>
          <w:color w:val="000000"/>
          <w:lang w:eastAsia="en-GB"/>
        </w:rPr>
        <w:t>aspects of physical</w:t>
      </w:r>
      <w:r w:rsidR="003A4484">
        <w:rPr>
          <w:rFonts w:ascii="Calibri" w:hAnsi="Calibri" w:cs="Times New Roman"/>
          <w:color w:val="000000"/>
          <w:lang w:eastAsia="en-GB"/>
        </w:rPr>
        <w:t xml:space="preserve"> and psychosocial</w:t>
      </w:r>
      <w:r w:rsidR="00C204E3">
        <w:rPr>
          <w:rFonts w:ascii="Calibri" w:hAnsi="Calibri" w:cs="Times New Roman"/>
          <w:color w:val="000000"/>
          <w:lang w:eastAsia="en-GB"/>
        </w:rPr>
        <w:t xml:space="preserve"> well-being that contribute to </w:t>
      </w:r>
      <w:r w:rsidR="00F377EC">
        <w:rPr>
          <w:rFonts w:ascii="Calibri" w:hAnsi="Calibri" w:cs="Times New Roman"/>
          <w:color w:val="000000"/>
          <w:lang w:eastAsia="en-GB"/>
        </w:rPr>
        <w:t>quality of survival (QoS</w:t>
      </w:r>
      <w:r w:rsidR="000506AE">
        <w:rPr>
          <w:rFonts w:ascii="Calibri" w:hAnsi="Calibri" w:cs="Times New Roman"/>
          <w:color w:val="000000"/>
          <w:lang w:eastAsia="en-GB"/>
        </w:rPr>
        <w:t xml:space="preserve">). This includes </w:t>
      </w:r>
      <w:r w:rsidR="00D46DE8">
        <w:rPr>
          <w:rFonts w:ascii="Calibri" w:hAnsi="Calibri" w:cs="Times New Roman"/>
          <w:color w:val="000000"/>
          <w:lang w:eastAsia="en-GB"/>
        </w:rPr>
        <w:t>cognitive outcome</w:t>
      </w:r>
      <w:r w:rsidR="00301124">
        <w:rPr>
          <w:rFonts w:ascii="Calibri" w:hAnsi="Calibri" w:cs="Times New Roman"/>
          <w:color w:val="000000"/>
          <w:lang w:eastAsia="en-GB"/>
        </w:rPr>
        <w:t>s</w:t>
      </w:r>
      <w:r>
        <w:rPr>
          <w:rFonts w:ascii="Calibri" w:hAnsi="Calibri" w:cs="Times New Roman"/>
          <w:color w:val="000000"/>
          <w:lang w:eastAsia="en-GB"/>
        </w:rPr>
        <w:t>,</w:t>
      </w:r>
      <w:r w:rsidR="00301124">
        <w:rPr>
          <w:rFonts w:ascii="Calibri" w:hAnsi="Calibri" w:cs="Times New Roman"/>
          <w:color w:val="000000"/>
          <w:lang w:eastAsia="en-GB"/>
        </w:rPr>
        <w:t xml:space="preserve"> usually measured </w:t>
      </w:r>
      <w:r w:rsidR="0097391D">
        <w:rPr>
          <w:rFonts w:ascii="Calibri" w:hAnsi="Calibri" w:cs="Times New Roman"/>
          <w:color w:val="000000"/>
          <w:lang w:eastAsia="en-GB"/>
        </w:rPr>
        <w:t>by</w:t>
      </w:r>
      <w:r w:rsidR="00301124">
        <w:rPr>
          <w:rFonts w:ascii="Calibri" w:hAnsi="Calibri" w:cs="Times New Roman"/>
          <w:color w:val="000000"/>
          <w:lang w:eastAsia="en-GB"/>
        </w:rPr>
        <w:t xml:space="preserve"> neuropsychological testing</w:t>
      </w:r>
      <w:r>
        <w:rPr>
          <w:rFonts w:ascii="Calibri" w:hAnsi="Calibri" w:cs="Times New Roman"/>
          <w:color w:val="000000"/>
          <w:lang w:eastAsia="en-GB"/>
        </w:rPr>
        <w:t>,</w:t>
      </w:r>
      <w:r w:rsidR="00301124">
        <w:rPr>
          <w:rFonts w:ascii="Calibri" w:hAnsi="Calibri" w:cs="Times New Roman"/>
          <w:color w:val="000000"/>
          <w:lang w:eastAsia="en-GB"/>
        </w:rPr>
        <w:t xml:space="preserve"> </w:t>
      </w:r>
      <w:r w:rsidR="005D5BBC">
        <w:rPr>
          <w:rFonts w:ascii="Calibri" w:hAnsi="Calibri" w:cs="Times New Roman"/>
          <w:color w:val="000000"/>
          <w:lang w:eastAsia="en-GB"/>
        </w:rPr>
        <w:t xml:space="preserve">and </w:t>
      </w:r>
      <w:r w:rsidR="00353991">
        <w:rPr>
          <w:rFonts w:ascii="Calibri" w:hAnsi="Calibri" w:cs="Times New Roman"/>
          <w:color w:val="000000"/>
          <w:lang w:eastAsia="en-GB"/>
        </w:rPr>
        <w:t>other determinants of</w:t>
      </w:r>
      <w:r w:rsidR="00BB2090">
        <w:rPr>
          <w:rFonts w:ascii="Calibri" w:hAnsi="Calibri" w:cs="Times New Roman"/>
          <w:color w:val="000000"/>
          <w:lang w:eastAsia="en-GB"/>
        </w:rPr>
        <w:t xml:space="preserve"> QoS </w:t>
      </w:r>
      <w:r w:rsidR="003A4484">
        <w:rPr>
          <w:rFonts w:ascii="Calibri" w:hAnsi="Calibri" w:cs="Times New Roman"/>
          <w:color w:val="000000"/>
          <w:lang w:eastAsia="en-GB"/>
        </w:rPr>
        <w:t>including</w:t>
      </w:r>
      <w:r w:rsidR="00353991">
        <w:rPr>
          <w:rFonts w:ascii="Calibri" w:hAnsi="Calibri" w:cs="Times New Roman"/>
          <w:color w:val="000000"/>
          <w:lang w:eastAsia="en-GB"/>
        </w:rPr>
        <w:t xml:space="preserve"> </w:t>
      </w:r>
      <w:r w:rsidR="00946A01">
        <w:rPr>
          <w:rFonts w:ascii="Calibri" w:hAnsi="Calibri" w:cs="Times New Roman"/>
          <w:color w:val="000000"/>
          <w:lang w:eastAsia="en-GB"/>
        </w:rPr>
        <w:t xml:space="preserve">physical, </w:t>
      </w:r>
      <w:proofErr w:type="gramStart"/>
      <w:r w:rsidR="00946A01">
        <w:rPr>
          <w:rFonts w:ascii="Calibri" w:hAnsi="Calibri" w:cs="Times New Roman"/>
          <w:color w:val="000000"/>
          <w:lang w:eastAsia="en-GB"/>
        </w:rPr>
        <w:t>emotional</w:t>
      </w:r>
      <w:proofErr w:type="gramEnd"/>
      <w:r w:rsidR="00946A01">
        <w:rPr>
          <w:rFonts w:ascii="Calibri" w:hAnsi="Calibri" w:cs="Times New Roman"/>
          <w:color w:val="000000"/>
          <w:lang w:eastAsia="en-GB"/>
        </w:rPr>
        <w:t xml:space="preserve"> and social functioning</w:t>
      </w:r>
      <w:r w:rsidR="00773A50">
        <w:rPr>
          <w:rFonts w:ascii="Calibri" w:hAnsi="Calibri" w:cs="Times New Roman"/>
          <w:color w:val="000000"/>
          <w:lang w:eastAsia="en-GB"/>
        </w:rPr>
        <w:t xml:space="preserve">. </w:t>
      </w:r>
      <w:r w:rsidR="003A4484">
        <w:rPr>
          <w:rFonts w:ascii="Calibri" w:hAnsi="Calibri" w:cs="Times New Roman"/>
          <w:color w:val="000000"/>
          <w:lang w:eastAsia="en-GB"/>
        </w:rPr>
        <w:t xml:space="preserve">In paediatric </w:t>
      </w:r>
      <w:r w:rsidR="008F1EDB">
        <w:rPr>
          <w:rFonts w:ascii="Calibri" w:hAnsi="Calibri" w:cs="Times New Roman"/>
          <w:color w:val="000000"/>
          <w:lang w:eastAsia="en-GB"/>
        </w:rPr>
        <w:t>patients</w:t>
      </w:r>
      <w:r w:rsidR="003A4484">
        <w:rPr>
          <w:rFonts w:ascii="Calibri" w:hAnsi="Calibri" w:cs="Times New Roman"/>
          <w:color w:val="000000"/>
          <w:lang w:eastAsia="en-GB"/>
        </w:rPr>
        <w:t xml:space="preserve">, </w:t>
      </w:r>
      <w:r w:rsidR="00BB2090">
        <w:rPr>
          <w:rFonts w:ascii="Calibri" w:hAnsi="Calibri" w:cs="Times New Roman"/>
          <w:color w:val="000000"/>
          <w:lang w:eastAsia="en-GB"/>
        </w:rPr>
        <w:t xml:space="preserve">QoS </w:t>
      </w:r>
      <w:r w:rsidR="00773A50">
        <w:rPr>
          <w:rFonts w:ascii="Calibri" w:hAnsi="Calibri" w:cs="Times New Roman"/>
          <w:color w:val="000000"/>
          <w:lang w:eastAsia="en-GB"/>
        </w:rPr>
        <w:t xml:space="preserve">is </w:t>
      </w:r>
      <w:r w:rsidR="00301124">
        <w:rPr>
          <w:rFonts w:ascii="Calibri" w:hAnsi="Calibri" w:cs="Times New Roman"/>
          <w:color w:val="000000"/>
          <w:lang w:eastAsia="en-GB"/>
        </w:rPr>
        <w:t xml:space="preserve">often measured </w:t>
      </w:r>
      <w:r w:rsidR="0097391D">
        <w:rPr>
          <w:rFonts w:ascii="Calibri" w:hAnsi="Calibri" w:cs="Times New Roman"/>
          <w:color w:val="000000"/>
          <w:lang w:eastAsia="en-GB"/>
        </w:rPr>
        <w:t xml:space="preserve">by </w:t>
      </w:r>
      <w:r w:rsidR="00301124">
        <w:rPr>
          <w:rFonts w:ascii="Calibri" w:hAnsi="Calibri" w:cs="Times New Roman"/>
          <w:color w:val="000000"/>
          <w:lang w:eastAsia="en-GB"/>
        </w:rPr>
        <w:t>proxy</w:t>
      </w:r>
      <w:r>
        <w:rPr>
          <w:rFonts w:ascii="Calibri" w:hAnsi="Calibri" w:cs="Times New Roman"/>
          <w:color w:val="000000"/>
          <w:lang w:eastAsia="en-GB"/>
        </w:rPr>
        <w:t>-report</w:t>
      </w:r>
      <w:r w:rsidR="00301124">
        <w:rPr>
          <w:rFonts w:ascii="Calibri" w:hAnsi="Calibri" w:cs="Times New Roman"/>
          <w:color w:val="000000"/>
          <w:lang w:eastAsia="en-GB"/>
        </w:rPr>
        <w:t xml:space="preserve"> </w:t>
      </w:r>
      <w:r w:rsidR="00946A01">
        <w:rPr>
          <w:rFonts w:ascii="Calibri" w:hAnsi="Calibri" w:cs="Times New Roman"/>
          <w:color w:val="000000"/>
          <w:lang w:eastAsia="en-GB"/>
        </w:rPr>
        <w:t>questionnaires</w:t>
      </w:r>
      <w:r w:rsidR="00CD1CD3" w:rsidRPr="00CD1CD3">
        <w:rPr>
          <w:rFonts w:ascii="Calibri" w:hAnsi="Calibri" w:cs="Times New Roman"/>
          <w:color w:val="000000"/>
          <w:lang w:eastAsia="en-GB"/>
        </w:rPr>
        <w:t xml:space="preserve"> </w:t>
      </w:r>
      <w:r w:rsidR="00CD1CD3">
        <w:rPr>
          <w:rFonts w:ascii="Calibri" w:hAnsi="Calibri" w:cs="Times New Roman"/>
          <w:color w:val="000000"/>
          <w:lang w:eastAsia="en-GB"/>
        </w:rPr>
        <w:t xml:space="preserve">and, </w:t>
      </w:r>
      <w:r w:rsidR="00CD1CD3" w:rsidRPr="00827E08">
        <w:rPr>
          <w:rFonts w:ascii="Calibri" w:hAnsi="Calibri" w:cs="Times New Roman"/>
          <w:color w:val="000000"/>
          <w:lang w:eastAsia="en-GB"/>
        </w:rPr>
        <w:t>in the case of</w:t>
      </w:r>
      <w:r w:rsidR="00CD1CD3">
        <w:rPr>
          <w:rFonts w:ascii="Calibri" w:hAnsi="Calibri" w:cs="Times New Roman"/>
          <w:color w:val="000000"/>
          <w:lang w:eastAsia="en-GB"/>
        </w:rPr>
        <w:t xml:space="preserve"> older children,</w:t>
      </w:r>
      <w:r w:rsidR="00353991">
        <w:rPr>
          <w:rFonts w:ascii="Calibri" w:hAnsi="Calibri" w:cs="Times New Roman"/>
          <w:color w:val="000000"/>
          <w:lang w:eastAsia="en-GB"/>
        </w:rPr>
        <w:t xml:space="preserve"> </w:t>
      </w:r>
      <w:r w:rsidR="00946A01">
        <w:rPr>
          <w:rFonts w:ascii="Calibri" w:hAnsi="Calibri" w:cs="Times New Roman"/>
          <w:color w:val="000000"/>
          <w:lang w:eastAsia="en-GB"/>
        </w:rPr>
        <w:t>self-report questionnaires</w:t>
      </w:r>
      <w:r w:rsidR="00DA284B">
        <w:rPr>
          <w:rFonts w:ascii="Calibri" w:hAnsi="Calibri" w:cs="Times New Roman"/>
          <w:color w:val="000000"/>
          <w:lang w:eastAsia="en-GB"/>
        </w:rPr>
        <w:t>,</w:t>
      </w:r>
      <w:r w:rsidR="00946A01">
        <w:rPr>
          <w:rFonts w:ascii="Calibri" w:hAnsi="Calibri" w:cs="Times New Roman"/>
          <w:color w:val="000000"/>
          <w:lang w:eastAsia="en-GB"/>
        </w:rPr>
        <w:t xml:space="preserve"> </w:t>
      </w:r>
      <w:r w:rsidR="00341984" w:rsidRPr="00D83544">
        <w:rPr>
          <w:rFonts w:ascii="Calibri" w:hAnsi="Calibri" w:cs="Times New Roman"/>
          <w:color w:val="000000"/>
          <w:lang w:eastAsia="en-GB"/>
        </w:rPr>
        <w:t xml:space="preserve">alongside </w:t>
      </w:r>
      <w:r w:rsidR="00773A50" w:rsidRPr="00D83544">
        <w:rPr>
          <w:rFonts w:ascii="Calibri" w:hAnsi="Calibri" w:cs="Times New Roman"/>
          <w:color w:val="000000"/>
          <w:lang w:eastAsia="en-GB"/>
        </w:rPr>
        <w:t>direct measure</w:t>
      </w:r>
      <w:r w:rsidR="00341984" w:rsidRPr="00D83544">
        <w:rPr>
          <w:rFonts w:ascii="Calibri" w:hAnsi="Calibri" w:cs="Times New Roman"/>
          <w:color w:val="000000"/>
          <w:lang w:eastAsia="en-GB"/>
        </w:rPr>
        <w:t>s</w:t>
      </w:r>
      <w:r w:rsidR="00773A50" w:rsidRPr="00D83544">
        <w:rPr>
          <w:rFonts w:ascii="Calibri" w:hAnsi="Calibri" w:cs="Times New Roman"/>
          <w:color w:val="000000"/>
          <w:lang w:eastAsia="en-GB"/>
        </w:rPr>
        <w:t xml:space="preserve"> of growth, sensory and endocrine function</w:t>
      </w:r>
      <w:r w:rsidR="00946A01">
        <w:rPr>
          <w:rFonts w:ascii="Calibri" w:hAnsi="Calibri" w:cs="Times New Roman"/>
          <w:color w:val="000000"/>
          <w:lang w:eastAsia="en-GB"/>
        </w:rPr>
        <w:t xml:space="preserve">. </w:t>
      </w:r>
      <w:r w:rsidR="00773A50">
        <w:rPr>
          <w:rFonts w:ascii="Calibri" w:hAnsi="Calibri" w:cs="Times New Roman"/>
          <w:color w:val="000000"/>
          <w:lang w:eastAsia="en-GB"/>
        </w:rPr>
        <w:t>Whilst b</w:t>
      </w:r>
      <w:r w:rsidR="00DC61BC">
        <w:rPr>
          <w:rFonts w:ascii="Calibri" w:hAnsi="Calibri" w:cs="Times New Roman"/>
          <w:color w:val="000000"/>
          <w:lang w:eastAsia="en-GB"/>
        </w:rPr>
        <w:t xml:space="preserve">oth </w:t>
      </w:r>
      <w:r w:rsidR="005417E6">
        <w:rPr>
          <w:rFonts w:ascii="Calibri" w:hAnsi="Calibri" w:cs="Times New Roman"/>
          <w:color w:val="000000"/>
          <w:lang w:eastAsia="en-GB"/>
        </w:rPr>
        <w:t xml:space="preserve">cognitive and </w:t>
      </w:r>
      <w:r w:rsidR="00BB2090">
        <w:rPr>
          <w:rFonts w:ascii="Calibri" w:hAnsi="Calibri" w:cs="Times New Roman"/>
          <w:color w:val="000000"/>
          <w:lang w:eastAsia="en-GB"/>
        </w:rPr>
        <w:t xml:space="preserve">QoS </w:t>
      </w:r>
      <w:r w:rsidR="00DC61BC">
        <w:rPr>
          <w:rFonts w:ascii="Calibri" w:hAnsi="Calibri" w:cs="Times New Roman"/>
          <w:color w:val="000000"/>
          <w:lang w:eastAsia="en-GB"/>
        </w:rPr>
        <w:t>outcomes are of central importance</w:t>
      </w:r>
      <w:r w:rsidR="00353991">
        <w:rPr>
          <w:rFonts w:ascii="Calibri" w:hAnsi="Calibri" w:cs="Times New Roman"/>
          <w:color w:val="000000"/>
          <w:lang w:eastAsia="en-GB"/>
        </w:rPr>
        <w:t>,</w:t>
      </w:r>
      <w:r w:rsidR="00773A50">
        <w:rPr>
          <w:rFonts w:ascii="Calibri" w:hAnsi="Calibri" w:cs="Times New Roman"/>
          <w:color w:val="000000"/>
          <w:lang w:eastAsia="en-GB"/>
        </w:rPr>
        <w:t xml:space="preserve"> </w:t>
      </w:r>
      <w:r w:rsidR="00E236AD">
        <w:rPr>
          <w:rFonts w:ascii="Calibri" w:hAnsi="Calibri" w:cs="Times New Roman"/>
          <w:color w:val="000000"/>
          <w:lang w:eastAsia="en-GB"/>
        </w:rPr>
        <w:t xml:space="preserve">the </w:t>
      </w:r>
      <w:r w:rsidR="00946A01">
        <w:rPr>
          <w:rFonts w:ascii="Calibri" w:hAnsi="Calibri" w:cs="Times New Roman"/>
          <w:color w:val="000000"/>
          <w:lang w:eastAsia="en-GB"/>
        </w:rPr>
        <w:t>primary focus</w:t>
      </w:r>
      <w:r w:rsidR="00773A50">
        <w:rPr>
          <w:rFonts w:ascii="Calibri" w:hAnsi="Calibri" w:cs="Times New Roman"/>
          <w:color w:val="000000"/>
          <w:lang w:eastAsia="en-GB"/>
        </w:rPr>
        <w:t xml:space="preserve"> </w:t>
      </w:r>
      <w:r w:rsidR="00E236AD">
        <w:rPr>
          <w:rFonts w:ascii="Calibri" w:hAnsi="Calibri" w:cs="Times New Roman"/>
          <w:color w:val="000000"/>
          <w:lang w:eastAsia="en-GB"/>
        </w:rPr>
        <w:t xml:space="preserve">of this </w:t>
      </w:r>
      <w:r w:rsidR="00773A50">
        <w:rPr>
          <w:rFonts w:ascii="Calibri" w:hAnsi="Calibri" w:cs="Times New Roman"/>
          <w:color w:val="000000"/>
          <w:lang w:eastAsia="en-GB"/>
        </w:rPr>
        <w:t xml:space="preserve">article will be </w:t>
      </w:r>
      <w:r w:rsidR="00F724B9">
        <w:rPr>
          <w:rFonts w:ascii="Calibri" w:hAnsi="Calibri" w:cs="Times New Roman"/>
          <w:color w:val="000000"/>
          <w:lang w:eastAsia="en-GB"/>
        </w:rPr>
        <w:t xml:space="preserve">largely </w:t>
      </w:r>
      <w:r w:rsidR="00946A01">
        <w:rPr>
          <w:rFonts w:ascii="Calibri" w:hAnsi="Calibri" w:cs="Times New Roman"/>
          <w:color w:val="000000"/>
          <w:lang w:eastAsia="en-GB"/>
        </w:rPr>
        <w:t>on</w:t>
      </w:r>
      <w:r w:rsidR="00773A50">
        <w:rPr>
          <w:rFonts w:ascii="Calibri" w:hAnsi="Calibri" w:cs="Times New Roman"/>
          <w:color w:val="000000"/>
          <w:lang w:eastAsia="en-GB"/>
        </w:rPr>
        <w:t xml:space="preserve"> trial protocols</w:t>
      </w:r>
      <w:r w:rsidR="00801230">
        <w:rPr>
          <w:rFonts w:ascii="Calibri" w:hAnsi="Calibri" w:cs="Times New Roman"/>
          <w:color w:val="000000"/>
          <w:lang w:eastAsia="en-GB"/>
        </w:rPr>
        <w:t xml:space="preserve"> aiming to capture </w:t>
      </w:r>
      <w:r w:rsidR="00CD1CD3">
        <w:rPr>
          <w:rFonts w:ascii="Calibri" w:hAnsi="Calibri" w:cs="Times New Roman"/>
          <w:color w:val="000000"/>
          <w:lang w:eastAsia="en-GB"/>
        </w:rPr>
        <w:t>long</w:t>
      </w:r>
      <w:r w:rsidR="003A4484">
        <w:rPr>
          <w:rFonts w:ascii="Calibri" w:hAnsi="Calibri" w:cs="Times New Roman"/>
          <w:color w:val="000000"/>
          <w:lang w:eastAsia="en-GB"/>
        </w:rPr>
        <w:t>-</w:t>
      </w:r>
      <w:r w:rsidR="00CD1CD3">
        <w:rPr>
          <w:rFonts w:ascii="Calibri" w:hAnsi="Calibri" w:cs="Times New Roman"/>
          <w:color w:val="000000"/>
          <w:lang w:eastAsia="en-GB"/>
        </w:rPr>
        <w:t xml:space="preserve">term </w:t>
      </w:r>
      <w:r w:rsidR="00353991">
        <w:rPr>
          <w:rFonts w:ascii="Calibri" w:hAnsi="Calibri" w:cs="Times New Roman"/>
          <w:color w:val="000000"/>
          <w:lang w:eastAsia="en-GB"/>
        </w:rPr>
        <w:t xml:space="preserve">cognitive </w:t>
      </w:r>
      <w:r w:rsidR="00CD1CD3">
        <w:rPr>
          <w:rFonts w:ascii="Calibri" w:hAnsi="Calibri" w:cs="Times New Roman"/>
          <w:color w:val="000000"/>
          <w:lang w:eastAsia="en-GB"/>
        </w:rPr>
        <w:t>outcome</w:t>
      </w:r>
      <w:r w:rsidR="00DA284B">
        <w:rPr>
          <w:rFonts w:ascii="Calibri" w:hAnsi="Calibri" w:cs="Times New Roman"/>
          <w:color w:val="000000"/>
          <w:lang w:eastAsia="en-GB"/>
        </w:rPr>
        <w:t>s</w:t>
      </w:r>
      <w:r w:rsidR="00CD1CD3">
        <w:rPr>
          <w:rFonts w:ascii="Calibri" w:hAnsi="Calibri" w:cs="Times New Roman"/>
          <w:color w:val="000000"/>
          <w:lang w:eastAsia="en-GB"/>
        </w:rPr>
        <w:t xml:space="preserve"> </w:t>
      </w:r>
      <w:r w:rsidR="00143605">
        <w:rPr>
          <w:rFonts w:ascii="Calibri" w:hAnsi="Calibri" w:cs="Times New Roman"/>
          <w:color w:val="000000"/>
          <w:lang w:eastAsia="en-GB"/>
        </w:rPr>
        <w:t>and a</w:t>
      </w:r>
      <w:r w:rsidR="00CD1CD3">
        <w:rPr>
          <w:rFonts w:ascii="Calibri" w:hAnsi="Calibri" w:cs="Times New Roman"/>
          <w:color w:val="000000"/>
          <w:lang w:eastAsia="en-GB"/>
        </w:rPr>
        <w:t xml:space="preserve">cute </w:t>
      </w:r>
      <w:r w:rsidR="00353991">
        <w:rPr>
          <w:rFonts w:ascii="Calibri" w:hAnsi="Calibri" w:cs="Times New Roman"/>
          <w:color w:val="000000"/>
          <w:lang w:eastAsia="en-GB"/>
        </w:rPr>
        <w:t>neuro</w:t>
      </w:r>
      <w:r w:rsidR="00CD1CD3">
        <w:rPr>
          <w:rFonts w:ascii="Calibri" w:hAnsi="Calibri" w:cs="Times New Roman"/>
          <w:color w:val="000000"/>
          <w:lang w:eastAsia="en-GB"/>
        </w:rPr>
        <w:t>toxicity</w:t>
      </w:r>
      <w:r w:rsidR="00831D2B">
        <w:rPr>
          <w:rFonts w:ascii="Calibri" w:hAnsi="Calibri" w:cs="Times New Roman"/>
          <w:color w:val="000000"/>
          <w:lang w:eastAsia="en-GB"/>
        </w:rPr>
        <w:t>, rather than cognitive assessment within routine clinical care</w:t>
      </w:r>
      <w:r w:rsidR="00CD1CD3">
        <w:rPr>
          <w:rFonts w:ascii="Calibri" w:hAnsi="Calibri" w:cs="Times New Roman"/>
          <w:color w:val="000000"/>
          <w:lang w:eastAsia="en-GB"/>
        </w:rPr>
        <w:t xml:space="preserve">. </w:t>
      </w:r>
      <w:r w:rsidR="005275ED">
        <w:rPr>
          <w:rFonts w:ascii="Calibri" w:hAnsi="Calibri" w:cs="Times New Roman"/>
          <w:color w:val="000000"/>
          <w:lang w:eastAsia="en-GB"/>
        </w:rPr>
        <w:t xml:space="preserve">We provide examples of approaches recently employed in clinical trials in the USA and Europe which </w:t>
      </w:r>
      <w:r w:rsidR="00CD1CD3" w:rsidRPr="003643DB">
        <w:rPr>
          <w:rFonts w:ascii="Calibri" w:hAnsi="Calibri" w:cs="Times New Roman"/>
          <w:color w:val="000000"/>
          <w:lang w:eastAsia="en-GB"/>
        </w:rPr>
        <w:t xml:space="preserve">use both </w:t>
      </w:r>
      <w:r w:rsidR="003A4484">
        <w:rPr>
          <w:rFonts w:ascii="Calibri" w:hAnsi="Calibri" w:cs="Times New Roman"/>
          <w:color w:val="000000"/>
          <w:lang w:eastAsia="en-GB"/>
        </w:rPr>
        <w:t xml:space="preserve">performance-based </w:t>
      </w:r>
      <w:r w:rsidR="000C0644">
        <w:rPr>
          <w:rFonts w:ascii="Calibri" w:hAnsi="Calibri" w:cs="Times New Roman"/>
          <w:color w:val="000000"/>
          <w:lang w:eastAsia="en-GB"/>
        </w:rPr>
        <w:t xml:space="preserve">assessment </w:t>
      </w:r>
      <w:r w:rsidR="003A4484">
        <w:rPr>
          <w:rFonts w:ascii="Calibri" w:hAnsi="Calibri" w:cs="Times New Roman"/>
          <w:color w:val="000000"/>
          <w:lang w:eastAsia="en-GB"/>
        </w:rPr>
        <w:t>and questionnaire</w:t>
      </w:r>
      <w:r w:rsidR="00827E08">
        <w:rPr>
          <w:rFonts w:ascii="Calibri" w:hAnsi="Calibri" w:cs="Times New Roman"/>
          <w:color w:val="000000"/>
          <w:lang w:eastAsia="en-GB"/>
        </w:rPr>
        <w:t>s</w:t>
      </w:r>
      <w:r w:rsidR="000C0644">
        <w:rPr>
          <w:rFonts w:ascii="Calibri" w:hAnsi="Calibri" w:cs="Times New Roman"/>
          <w:color w:val="000000"/>
          <w:lang w:eastAsia="en-GB"/>
        </w:rPr>
        <w:t xml:space="preserve"> </w:t>
      </w:r>
      <w:r w:rsidR="00CD1CD3">
        <w:rPr>
          <w:rFonts w:ascii="Calibri" w:hAnsi="Calibri" w:cs="Times New Roman"/>
          <w:color w:val="000000"/>
          <w:lang w:eastAsia="en-GB"/>
        </w:rPr>
        <w:t xml:space="preserve">as complementary </w:t>
      </w:r>
      <w:r w:rsidR="000B7018">
        <w:rPr>
          <w:rFonts w:ascii="Calibri" w:hAnsi="Calibri" w:cs="Times New Roman"/>
          <w:color w:val="000000"/>
          <w:lang w:eastAsia="en-GB"/>
        </w:rPr>
        <w:t xml:space="preserve">methods </w:t>
      </w:r>
      <w:r w:rsidR="00F724B9">
        <w:rPr>
          <w:rFonts w:ascii="Calibri" w:hAnsi="Calibri" w:cs="Times New Roman"/>
          <w:color w:val="000000"/>
          <w:lang w:eastAsia="en-GB"/>
        </w:rPr>
        <w:t xml:space="preserve">of measurement </w:t>
      </w:r>
      <w:r w:rsidR="00773A50">
        <w:rPr>
          <w:rFonts w:ascii="Calibri" w:hAnsi="Calibri" w:cs="Times New Roman"/>
          <w:color w:val="000000"/>
          <w:lang w:eastAsia="en-GB"/>
        </w:rPr>
        <w:t xml:space="preserve">within clinical trials. </w:t>
      </w:r>
    </w:p>
    <w:p w14:paraId="7AA32B3A" w14:textId="77777777" w:rsidR="00946A01" w:rsidRDefault="00946A01" w:rsidP="00FC3DC9">
      <w:pPr>
        <w:spacing w:line="360" w:lineRule="auto"/>
        <w:jc w:val="both"/>
        <w:rPr>
          <w:rFonts w:ascii="Calibri" w:hAnsi="Calibri" w:cs="Times New Roman"/>
          <w:color w:val="000000"/>
          <w:lang w:eastAsia="en-GB"/>
        </w:rPr>
      </w:pPr>
    </w:p>
    <w:p w14:paraId="3027D961" w14:textId="281BCBB5" w:rsidR="007E1B54" w:rsidRDefault="005D5BBC" w:rsidP="00FC3DC9">
      <w:pPr>
        <w:spacing w:line="360" w:lineRule="auto"/>
        <w:jc w:val="both"/>
        <w:rPr>
          <w:rFonts w:ascii="Calibri" w:hAnsi="Calibri" w:cs="Times New Roman"/>
          <w:color w:val="000000"/>
          <w:lang w:eastAsia="en-GB"/>
        </w:rPr>
      </w:pPr>
      <w:r>
        <w:rPr>
          <w:rFonts w:ascii="Calibri" w:hAnsi="Calibri" w:cs="Times New Roman"/>
          <w:color w:val="000000"/>
          <w:lang w:eastAsia="en-GB"/>
        </w:rPr>
        <w:t>H</w:t>
      </w:r>
      <w:r w:rsidR="006600FA" w:rsidRPr="006600FA">
        <w:rPr>
          <w:rFonts w:ascii="Calibri" w:hAnsi="Calibri" w:cs="Times New Roman"/>
          <w:color w:val="000000"/>
          <w:lang w:eastAsia="en-GB"/>
        </w:rPr>
        <w:t xml:space="preserve">istorically, </w:t>
      </w:r>
      <w:r w:rsidR="00BC50DB">
        <w:rPr>
          <w:rFonts w:ascii="Calibri" w:hAnsi="Calibri" w:cs="Times New Roman"/>
          <w:color w:val="000000"/>
          <w:lang w:eastAsia="en-GB"/>
        </w:rPr>
        <w:t xml:space="preserve">measures of </w:t>
      </w:r>
      <w:r w:rsidR="00773A50">
        <w:rPr>
          <w:rFonts w:ascii="Calibri" w:hAnsi="Calibri" w:cs="Times New Roman"/>
          <w:color w:val="000000"/>
          <w:lang w:eastAsia="en-GB"/>
        </w:rPr>
        <w:t xml:space="preserve">cognitive outcome </w:t>
      </w:r>
      <w:r w:rsidR="00BC50DB">
        <w:rPr>
          <w:rFonts w:ascii="Calibri" w:hAnsi="Calibri" w:cs="Times New Roman"/>
          <w:color w:val="000000"/>
          <w:lang w:eastAsia="en-GB"/>
        </w:rPr>
        <w:t>have either been absent</w:t>
      </w:r>
      <w:r w:rsidR="00801230">
        <w:rPr>
          <w:rFonts w:ascii="Calibri" w:hAnsi="Calibri" w:cs="Times New Roman"/>
          <w:color w:val="000000"/>
          <w:lang w:eastAsia="en-GB"/>
        </w:rPr>
        <w:t xml:space="preserve"> from clinical trials</w:t>
      </w:r>
      <w:r w:rsidR="00BC50DB">
        <w:rPr>
          <w:rFonts w:ascii="Calibri" w:hAnsi="Calibri" w:cs="Times New Roman"/>
          <w:color w:val="000000"/>
          <w:lang w:eastAsia="en-GB"/>
        </w:rPr>
        <w:t xml:space="preserve"> or </w:t>
      </w:r>
      <w:r w:rsidR="0078146A">
        <w:rPr>
          <w:rFonts w:ascii="Calibri" w:hAnsi="Calibri" w:cs="Times New Roman"/>
          <w:color w:val="000000"/>
          <w:lang w:eastAsia="en-GB"/>
        </w:rPr>
        <w:t xml:space="preserve">specific to individual </w:t>
      </w:r>
      <w:r w:rsidR="006600FA" w:rsidRPr="006600FA">
        <w:rPr>
          <w:rFonts w:ascii="Calibri" w:hAnsi="Calibri" w:cs="Times New Roman"/>
          <w:color w:val="000000"/>
          <w:lang w:eastAsia="en-GB"/>
        </w:rPr>
        <w:t>stud</w:t>
      </w:r>
      <w:r w:rsidR="0078146A">
        <w:rPr>
          <w:rFonts w:ascii="Calibri" w:hAnsi="Calibri" w:cs="Times New Roman"/>
          <w:color w:val="000000"/>
          <w:lang w:eastAsia="en-GB"/>
        </w:rPr>
        <w:t xml:space="preserve">ies, </w:t>
      </w:r>
      <w:r w:rsidR="0078146A" w:rsidRPr="00D83544">
        <w:rPr>
          <w:rFonts w:ascii="Calibri" w:hAnsi="Calibri" w:cs="Times New Roman"/>
          <w:color w:val="000000"/>
          <w:lang w:eastAsia="en-GB"/>
        </w:rPr>
        <w:t xml:space="preserve">typically </w:t>
      </w:r>
      <w:r w:rsidR="00847102" w:rsidRPr="00D83544">
        <w:rPr>
          <w:rFonts w:ascii="Calibri" w:hAnsi="Calibri" w:cs="Times New Roman"/>
          <w:color w:val="000000"/>
          <w:lang w:eastAsia="en-GB"/>
        </w:rPr>
        <w:t xml:space="preserve">brain tumour </w:t>
      </w:r>
      <w:r w:rsidR="0078146A" w:rsidRPr="00D83544">
        <w:rPr>
          <w:rFonts w:ascii="Calibri" w:hAnsi="Calibri" w:cs="Times New Roman"/>
          <w:color w:val="000000"/>
          <w:lang w:eastAsia="en-GB"/>
        </w:rPr>
        <w:t xml:space="preserve">treatment </w:t>
      </w:r>
      <w:r w:rsidR="00847102" w:rsidRPr="00D83544">
        <w:rPr>
          <w:rFonts w:ascii="Calibri" w:hAnsi="Calibri" w:cs="Times New Roman"/>
          <w:color w:val="000000"/>
          <w:lang w:eastAsia="en-GB"/>
        </w:rPr>
        <w:t>trials</w:t>
      </w:r>
      <w:r w:rsidR="00801230">
        <w:rPr>
          <w:rFonts w:ascii="Calibri" w:hAnsi="Calibri" w:cs="Times New Roman"/>
          <w:color w:val="000000"/>
          <w:lang w:eastAsia="en-GB"/>
        </w:rPr>
        <w:t xml:space="preserve">, with </w:t>
      </w:r>
      <w:r w:rsidR="000C0644">
        <w:rPr>
          <w:rFonts w:ascii="Calibri" w:hAnsi="Calibri" w:cs="Times New Roman"/>
          <w:color w:val="000000"/>
          <w:lang w:eastAsia="en-GB"/>
        </w:rPr>
        <w:t xml:space="preserve">the aim </w:t>
      </w:r>
      <w:r w:rsidR="00801230">
        <w:rPr>
          <w:rFonts w:ascii="Calibri" w:hAnsi="Calibri" w:cs="Times New Roman"/>
          <w:color w:val="000000"/>
          <w:lang w:eastAsia="en-GB"/>
        </w:rPr>
        <w:t xml:space="preserve">of </w:t>
      </w:r>
      <w:r w:rsidR="0078146A">
        <w:rPr>
          <w:rFonts w:ascii="Calibri" w:hAnsi="Calibri" w:cs="Times New Roman"/>
          <w:color w:val="000000"/>
          <w:lang w:eastAsia="en-GB"/>
        </w:rPr>
        <w:t>increasing survival</w:t>
      </w:r>
      <w:r w:rsidR="0078146A" w:rsidRPr="006600FA">
        <w:rPr>
          <w:rFonts w:ascii="Calibri" w:hAnsi="Calibri" w:cs="Times New Roman"/>
          <w:color w:val="000000"/>
          <w:lang w:eastAsia="en-GB"/>
        </w:rPr>
        <w:t xml:space="preserve"> and reducing </w:t>
      </w:r>
      <w:r w:rsidR="0078146A">
        <w:rPr>
          <w:rFonts w:ascii="Calibri" w:hAnsi="Calibri" w:cs="Times New Roman"/>
          <w:color w:val="000000"/>
          <w:lang w:eastAsia="en-GB"/>
        </w:rPr>
        <w:t xml:space="preserve">tumour- and treatment-related </w:t>
      </w:r>
      <w:r w:rsidR="0078146A" w:rsidRPr="006600FA">
        <w:rPr>
          <w:rFonts w:ascii="Calibri" w:hAnsi="Calibri" w:cs="Times New Roman"/>
          <w:color w:val="000000"/>
          <w:lang w:eastAsia="en-GB"/>
        </w:rPr>
        <w:t>morbidity</w:t>
      </w:r>
      <w:r w:rsidR="00020175">
        <w:rPr>
          <w:rFonts w:ascii="Calibri" w:hAnsi="Calibri" w:cs="Times New Roman"/>
          <w:color w:val="000000"/>
          <w:lang w:eastAsia="en-GB"/>
        </w:rPr>
        <w:t xml:space="preserve">. </w:t>
      </w:r>
      <w:r w:rsidR="00847102">
        <w:rPr>
          <w:rFonts w:ascii="Calibri" w:hAnsi="Calibri" w:cs="Times New Roman"/>
          <w:color w:val="000000"/>
          <w:lang w:eastAsia="en-GB"/>
        </w:rPr>
        <w:t xml:space="preserve">Batteries have </w:t>
      </w:r>
      <w:r w:rsidR="000C0644">
        <w:rPr>
          <w:rFonts w:ascii="Calibri" w:hAnsi="Calibri" w:cs="Times New Roman"/>
          <w:color w:val="000000"/>
          <w:lang w:eastAsia="en-GB"/>
        </w:rPr>
        <w:t xml:space="preserve">tended to be </w:t>
      </w:r>
      <w:r w:rsidR="006600FA" w:rsidRPr="006600FA">
        <w:rPr>
          <w:rFonts w:ascii="Calibri" w:hAnsi="Calibri" w:cs="Times New Roman"/>
          <w:color w:val="000000"/>
          <w:lang w:eastAsia="en-GB"/>
        </w:rPr>
        <w:t xml:space="preserve">lengthy </w:t>
      </w:r>
      <w:r w:rsidR="00847102">
        <w:rPr>
          <w:rFonts w:ascii="Calibri" w:hAnsi="Calibri" w:cs="Times New Roman"/>
          <w:color w:val="000000"/>
          <w:lang w:eastAsia="en-GB"/>
        </w:rPr>
        <w:t xml:space="preserve">and </w:t>
      </w:r>
      <w:r w:rsidR="006600FA" w:rsidRPr="006600FA">
        <w:rPr>
          <w:rFonts w:ascii="Calibri" w:hAnsi="Calibri" w:cs="Times New Roman"/>
          <w:color w:val="000000"/>
          <w:lang w:eastAsia="en-GB"/>
        </w:rPr>
        <w:t>embedded within discrete therapeutic trials</w:t>
      </w:r>
      <w:r w:rsidR="00827E08">
        <w:rPr>
          <w:rFonts w:ascii="Calibri" w:hAnsi="Calibri" w:cs="Times New Roman"/>
          <w:color w:val="000000"/>
          <w:lang w:eastAsia="en-GB"/>
        </w:rPr>
        <w:t>,</w:t>
      </w:r>
      <w:r w:rsidR="00801230">
        <w:rPr>
          <w:rFonts w:ascii="Calibri" w:hAnsi="Calibri" w:cs="Times New Roman"/>
          <w:color w:val="000000"/>
          <w:lang w:eastAsia="en-GB"/>
        </w:rPr>
        <w:t xml:space="preserve"> </w:t>
      </w:r>
      <w:r w:rsidR="00FC3DC9">
        <w:rPr>
          <w:rFonts w:ascii="Calibri" w:hAnsi="Calibri" w:cs="Times New Roman"/>
          <w:color w:val="000000"/>
          <w:lang w:eastAsia="en-GB"/>
        </w:rPr>
        <w:t xml:space="preserve">often </w:t>
      </w:r>
      <w:r w:rsidR="00F14733">
        <w:rPr>
          <w:rFonts w:ascii="Calibri" w:hAnsi="Calibri" w:cs="Times New Roman"/>
          <w:color w:val="000000"/>
          <w:lang w:eastAsia="en-GB"/>
        </w:rPr>
        <w:t>yielding small datasets</w:t>
      </w:r>
      <w:r w:rsidR="006600FA" w:rsidRPr="006600FA">
        <w:rPr>
          <w:rFonts w:ascii="Calibri" w:hAnsi="Calibri" w:cs="Times New Roman"/>
          <w:color w:val="000000"/>
          <w:lang w:eastAsia="en-GB"/>
        </w:rPr>
        <w:t xml:space="preserve">. </w:t>
      </w:r>
      <w:r w:rsidR="006600FA">
        <w:rPr>
          <w:rFonts w:ascii="Calibri" w:hAnsi="Calibri" w:cs="Times New Roman"/>
          <w:color w:val="000000"/>
          <w:lang w:eastAsia="en-GB"/>
        </w:rPr>
        <w:t>As</w:t>
      </w:r>
      <w:r w:rsidR="00972898">
        <w:rPr>
          <w:rFonts w:ascii="Calibri" w:hAnsi="Calibri" w:cs="Times New Roman"/>
          <w:color w:val="000000"/>
          <w:lang w:eastAsia="en-GB"/>
        </w:rPr>
        <w:t xml:space="preserve"> no two </w:t>
      </w:r>
      <w:r w:rsidR="0036462B">
        <w:rPr>
          <w:rFonts w:ascii="Calibri" w:hAnsi="Calibri" w:cs="Times New Roman"/>
          <w:color w:val="000000"/>
          <w:lang w:eastAsia="en-GB"/>
        </w:rPr>
        <w:t xml:space="preserve">protocols </w:t>
      </w:r>
      <w:r w:rsidR="006B586B">
        <w:rPr>
          <w:rFonts w:ascii="Calibri" w:hAnsi="Calibri" w:cs="Times New Roman"/>
          <w:color w:val="000000"/>
          <w:lang w:eastAsia="en-GB"/>
        </w:rPr>
        <w:t xml:space="preserve">have been </w:t>
      </w:r>
      <w:r w:rsidR="006600FA" w:rsidRPr="006600FA">
        <w:rPr>
          <w:rFonts w:ascii="Calibri" w:hAnsi="Calibri" w:cs="Times New Roman"/>
          <w:color w:val="000000"/>
          <w:lang w:eastAsia="en-GB"/>
        </w:rPr>
        <w:t>alike</w:t>
      </w:r>
      <w:r w:rsidR="00827E08">
        <w:rPr>
          <w:rFonts w:ascii="Calibri" w:hAnsi="Calibri" w:cs="Times New Roman"/>
          <w:color w:val="000000"/>
          <w:lang w:eastAsia="en-GB"/>
        </w:rPr>
        <w:t>,</w:t>
      </w:r>
      <w:r w:rsidR="006600FA" w:rsidRPr="006600FA">
        <w:rPr>
          <w:rFonts w:ascii="Calibri" w:hAnsi="Calibri" w:cs="Times New Roman"/>
          <w:color w:val="000000"/>
          <w:lang w:eastAsia="en-GB"/>
        </w:rPr>
        <w:t xml:space="preserve"> </w:t>
      </w:r>
      <w:r w:rsidR="008F7E34">
        <w:rPr>
          <w:rFonts w:ascii="Calibri" w:hAnsi="Calibri" w:cs="Times New Roman"/>
          <w:color w:val="000000"/>
          <w:lang w:eastAsia="en-GB"/>
        </w:rPr>
        <w:t>it has been</w:t>
      </w:r>
      <w:r w:rsidR="006600FA" w:rsidRPr="006600FA">
        <w:rPr>
          <w:rFonts w:ascii="Calibri" w:hAnsi="Calibri" w:cs="Times New Roman"/>
          <w:color w:val="000000"/>
          <w:lang w:eastAsia="en-GB"/>
        </w:rPr>
        <w:t xml:space="preserve"> difficult to compare </w:t>
      </w:r>
      <w:r w:rsidR="0036462B">
        <w:rPr>
          <w:rFonts w:ascii="Calibri" w:hAnsi="Calibri" w:cs="Times New Roman"/>
          <w:color w:val="000000"/>
          <w:lang w:eastAsia="en-GB"/>
        </w:rPr>
        <w:t>outcomes</w:t>
      </w:r>
      <w:r w:rsidR="006600FA" w:rsidRPr="006600FA">
        <w:rPr>
          <w:rFonts w:ascii="Calibri" w:hAnsi="Calibri" w:cs="Times New Roman"/>
          <w:color w:val="000000"/>
          <w:lang w:eastAsia="en-GB"/>
        </w:rPr>
        <w:t xml:space="preserve"> across </w:t>
      </w:r>
      <w:r w:rsidR="000D2412">
        <w:rPr>
          <w:rFonts w:ascii="Calibri" w:hAnsi="Calibri" w:cs="Times New Roman"/>
          <w:color w:val="000000"/>
          <w:lang w:eastAsia="en-GB"/>
        </w:rPr>
        <w:t>different diagnoses</w:t>
      </w:r>
      <w:r w:rsidR="006600FA" w:rsidRPr="006600FA">
        <w:rPr>
          <w:rFonts w:ascii="Calibri" w:hAnsi="Calibri" w:cs="Times New Roman"/>
          <w:color w:val="000000"/>
          <w:lang w:eastAsia="en-GB"/>
        </w:rPr>
        <w:t>, treatment regimens, cultural contexts, and age cohorts.</w:t>
      </w:r>
      <w:r w:rsidR="00847102">
        <w:rPr>
          <w:rFonts w:ascii="Calibri" w:hAnsi="Calibri" w:cs="Times New Roman"/>
          <w:color w:val="000000"/>
          <w:lang w:eastAsia="en-GB"/>
        </w:rPr>
        <w:t xml:space="preserve"> </w:t>
      </w:r>
      <w:r w:rsidR="00014F14">
        <w:rPr>
          <w:rFonts w:ascii="Calibri" w:hAnsi="Calibri" w:cs="Times New Roman"/>
          <w:color w:val="000000"/>
          <w:lang w:eastAsia="en-GB"/>
        </w:rPr>
        <w:t>Additionally, w</w:t>
      </w:r>
      <w:r w:rsidR="0078146A">
        <w:rPr>
          <w:rFonts w:ascii="Calibri" w:hAnsi="Calibri" w:cs="Times New Roman"/>
          <w:color w:val="000000"/>
          <w:lang w:eastAsia="en-GB"/>
        </w:rPr>
        <w:t>ith growing emphasis on stratification according to molecular biology or neuroimaging correlates, m</w:t>
      </w:r>
      <w:r w:rsidR="0036462B">
        <w:rPr>
          <w:rFonts w:ascii="Calibri" w:hAnsi="Calibri" w:cs="Times New Roman"/>
          <w:color w:val="000000"/>
          <w:lang w:eastAsia="en-GB"/>
        </w:rPr>
        <w:t>ultinational trials are</w:t>
      </w:r>
      <w:r w:rsidR="00020175">
        <w:rPr>
          <w:rFonts w:ascii="Calibri" w:hAnsi="Calibri" w:cs="Times New Roman"/>
          <w:color w:val="000000"/>
          <w:lang w:eastAsia="en-GB"/>
        </w:rPr>
        <w:t xml:space="preserve"> increasingly </w:t>
      </w:r>
      <w:r w:rsidR="0036462B">
        <w:rPr>
          <w:rFonts w:ascii="Calibri" w:hAnsi="Calibri" w:cs="Times New Roman"/>
          <w:color w:val="000000"/>
          <w:lang w:eastAsia="en-GB"/>
        </w:rPr>
        <w:t>essential</w:t>
      </w:r>
      <w:r w:rsidR="00801230">
        <w:rPr>
          <w:rFonts w:ascii="Calibri" w:hAnsi="Calibri" w:cs="Times New Roman"/>
          <w:color w:val="000000"/>
          <w:lang w:eastAsia="en-GB"/>
        </w:rPr>
        <w:t xml:space="preserve"> to obtain sufficient data</w:t>
      </w:r>
      <w:r w:rsidR="0036462B">
        <w:rPr>
          <w:rFonts w:ascii="Calibri" w:hAnsi="Calibri" w:cs="Times New Roman"/>
          <w:color w:val="000000"/>
          <w:lang w:eastAsia="en-GB"/>
        </w:rPr>
        <w:t xml:space="preserve"> </w:t>
      </w:r>
      <w:r w:rsidR="00847102">
        <w:rPr>
          <w:rFonts w:ascii="Calibri" w:hAnsi="Calibri" w:cs="Times New Roman"/>
          <w:color w:val="000000"/>
          <w:lang w:eastAsia="en-GB"/>
        </w:rPr>
        <w:t xml:space="preserve">in relatively rare </w:t>
      </w:r>
      <w:r w:rsidR="00BD123A">
        <w:rPr>
          <w:rFonts w:ascii="Calibri" w:hAnsi="Calibri" w:cs="Times New Roman"/>
          <w:color w:val="000000"/>
          <w:lang w:eastAsia="en-GB"/>
        </w:rPr>
        <w:t>childhood cancers</w:t>
      </w:r>
      <w:r w:rsidR="00847102">
        <w:rPr>
          <w:rFonts w:ascii="Calibri" w:hAnsi="Calibri" w:cs="Times New Roman"/>
          <w:color w:val="000000"/>
          <w:lang w:eastAsia="en-GB"/>
        </w:rPr>
        <w:t xml:space="preserve">. </w:t>
      </w:r>
      <w:r w:rsidR="00801230">
        <w:rPr>
          <w:rFonts w:ascii="Calibri" w:hAnsi="Calibri" w:cs="Times New Roman"/>
          <w:color w:val="000000"/>
          <w:lang w:eastAsia="en-GB"/>
        </w:rPr>
        <w:t>However, r</w:t>
      </w:r>
      <w:r w:rsidR="00263B47">
        <w:rPr>
          <w:rFonts w:ascii="Calibri" w:hAnsi="Calibri" w:cs="Times New Roman"/>
          <w:color w:val="000000"/>
          <w:lang w:eastAsia="en-GB"/>
        </w:rPr>
        <w:t>eaching consensus</w:t>
      </w:r>
      <w:r w:rsidR="0036462B">
        <w:rPr>
          <w:rFonts w:ascii="Calibri" w:hAnsi="Calibri" w:cs="Times New Roman"/>
          <w:color w:val="000000"/>
          <w:lang w:eastAsia="en-GB"/>
        </w:rPr>
        <w:t xml:space="preserve"> </w:t>
      </w:r>
      <w:r w:rsidR="0078146A">
        <w:rPr>
          <w:rFonts w:ascii="Calibri" w:hAnsi="Calibri" w:cs="Times New Roman"/>
          <w:color w:val="000000"/>
          <w:lang w:eastAsia="en-GB"/>
        </w:rPr>
        <w:t>on</w:t>
      </w:r>
      <w:r w:rsidR="0036462B">
        <w:rPr>
          <w:rFonts w:ascii="Calibri" w:hAnsi="Calibri" w:cs="Times New Roman"/>
          <w:color w:val="000000"/>
          <w:lang w:eastAsia="en-GB"/>
        </w:rPr>
        <w:t xml:space="preserve"> </w:t>
      </w:r>
      <w:r w:rsidR="00847102">
        <w:rPr>
          <w:rFonts w:ascii="Calibri" w:hAnsi="Calibri" w:cs="Times New Roman"/>
          <w:color w:val="000000"/>
          <w:lang w:eastAsia="en-GB"/>
        </w:rPr>
        <w:t xml:space="preserve">QoS </w:t>
      </w:r>
      <w:r w:rsidR="0078146A">
        <w:rPr>
          <w:rFonts w:ascii="Calibri" w:hAnsi="Calibri" w:cs="Times New Roman"/>
          <w:color w:val="000000"/>
          <w:lang w:eastAsia="en-GB"/>
        </w:rPr>
        <w:t xml:space="preserve">trial </w:t>
      </w:r>
      <w:r w:rsidR="0036462B">
        <w:rPr>
          <w:rFonts w:ascii="Calibri" w:hAnsi="Calibri" w:cs="Times New Roman"/>
          <w:color w:val="000000"/>
          <w:lang w:eastAsia="en-GB"/>
        </w:rPr>
        <w:t>protocols can</w:t>
      </w:r>
      <w:r w:rsidR="00801230">
        <w:rPr>
          <w:rFonts w:ascii="Calibri" w:hAnsi="Calibri" w:cs="Times New Roman"/>
          <w:color w:val="000000"/>
          <w:lang w:eastAsia="en-GB"/>
        </w:rPr>
        <w:t xml:space="preserve"> </w:t>
      </w:r>
      <w:r w:rsidR="0036462B">
        <w:rPr>
          <w:rFonts w:ascii="Calibri" w:hAnsi="Calibri" w:cs="Times New Roman"/>
          <w:color w:val="000000"/>
          <w:lang w:eastAsia="en-GB"/>
        </w:rPr>
        <w:t xml:space="preserve">be </w:t>
      </w:r>
      <w:r w:rsidR="00263B47" w:rsidRPr="006600FA">
        <w:rPr>
          <w:rFonts w:ascii="Calibri" w:hAnsi="Calibri" w:cs="Times New Roman"/>
          <w:color w:val="000000"/>
          <w:lang w:eastAsia="en-GB"/>
        </w:rPr>
        <w:t>challenging</w:t>
      </w:r>
      <w:r w:rsidR="007F2730">
        <w:rPr>
          <w:rFonts w:ascii="Calibri" w:hAnsi="Calibri" w:cs="Times New Roman"/>
          <w:color w:val="000000"/>
          <w:lang w:eastAsia="en-GB"/>
        </w:rPr>
        <w:t xml:space="preserve"> due to </w:t>
      </w:r>
      <w:r w:rsidR="00F377EC">
        <w:rPr>
          <w:rFonts w:ascii="Calibri" w:hAnsi="Calibri" w:cs="Times New Roman"/>
          <w:color w:val="000000"/>
          <w:lang w:eastAsia="en-GB"/>
        </w:rPr>
        <w:t xml:space="preserve">a </w:t>
      </w:r>
      <w:r w:rsidR="00E44262" w:rsidRPr="004E131F">
        <w:rPr>
          <w:rFonts w:ascii="Calibri" w:hAnsi="Calibri" w:cs="Times New Roman"/>
          <w:color w:val="000000"/>
          <w:lang w:eastAsia="en-GB"/>
        </w:rPr>
        <w:t xml:space="preserve">lack of </w:t>
      </w:r>
      <w:r w:rsidR="0036462B">
        <w:rPr>
          <w:rFonts w:ascii="Calibri" w:hAnsi="Calibri" w:cs="Times New Roman"/>
          <w:color w:val="000000"/>
          <w:lang w:eastAsia="en-GB"/>
        </w:rPr>
        <w:t>measures</w:t>
      </w:r>
      <w:r w:rsidR="005275ED">
        <w:rPr>
          <w:rFonts w:ascii="Calibri" w:hAnsi="Calibri" w:cs="Times New Roman"/>
          <w:color w:val="000000"/>
          <w:lang w:eastAsia="en-GB"/>
        </w:rPr>
        <w:t xml:space="preserve"> </w:t>
      </w:r>
      <w:r w:rsidR="007F2730">
        <w:rPr>
          <w:rFonts w:ascii="Calibri" w:hAnsi="Calibri" w:cs="Times New Roman"/>
          <w:color w:val="000000"/>
          <w:lang w:eastAsia="en-GB"/>
        </w:rPr>
        <w:t>validated for use in</w:t>
      </w:r>
      <w:r w:rsidR="00E44262" w:rsidRPr="004E131F">
        <w:rPr>
          <w:rFonts w:ascii="Calibri" w:hAnsi="Calibri" w:cs="Times New Roman"/>
          <w:color w:val="000000"/>
          <w:lang w:eastAsia="en-GB"/>
        </w:rPr>
        <w:t xml:space="preserve"> </w:t>
      </w:r>
      <w:r w:rsidR="00827E08">
        <w:rPr>
          <w:rFonts w:ascii="Calibri" w:hAnsi="Calibri" w:cs="Times New Roman"/>
          <w:color w:val="000000"/>
          <w:lang w:eastAsia="en-GB"/>
        </w:rPr>
        <w:t>multiple</w:t>
      </w:r>
      <w:r w:rsidR="00AC2CF7">
        <w:rPr>
          <w:rFonts w:ascii="Calibri" w:hAnsi="Calibri" w:cs="Times New Roman"/>
          <w:color w:val="000000"/>
          <w:lang w:eastAsia="en-GB"/>
        </w:rPr>
        <w:t xml:space="preserve"> age range</w:t>
      </w:r>
      <w:r w:rsidR="00A5690F">
        <w:rPr>
          <w:rFonts w:ascii="Calibri" w:hAnsi="Calibri" w:cs="Times New Roman"/>
          <w:color w:val="000000"/>
          <w:lang w:eastAsia="en-GB"/>
        </w:rPr>
        <w:t>s</w:t>
      </w:r>
      <w:r w:rsidR="00AC2CF7">
        <w:rPr>
          <w:rFonts w:ascii="Calibri" w:hAnsi="Calibri" w:cs="Times New Roman"/>
          <w:color w:val="000000"/>
          <w:lang w:eastAsia="en-GB"/>
        </w:rPr>
        <w:t>,</w:t>
      </w:r>
      <w:r w:rsidR="00E44262" w:rsidRPr="004E131F">
        <w:rPr>
          <w:rFonts w:ascii="Calibri" w:hAnsi="Calibri" w:cs="Times New Roman"/>
          <w:color w:val="000000"/>
          <w:lang w:eastAsia="en-GB"/>
        </w:rPr>
        <w:t xml:space="preserve"> cultural </w:t>
      </w:r>
      <w:proofErr w:type="gramStart"/>
      <w:r w:rsidR="00E44262" w:rsidRPr="004E131F">
        <w:rPr>
          <w:rFonts w:ascii="Calibri" w:hAnsi="Calibri" w:cs="Times New Roman"/>
          <w:color w:val="000000"/>
          <w:lang w:eastAsia="en-GB"/>
        </w:rPr>
        <w:t>contexts</w:t>
      </w:r>
      <w:proofErr w:type="gramEnd"/>
      <w:r w:rsidR="00AC2CF7">
        <w:rPr>
          <w:rFonts w:ascii="Calibri" w:hAnsi="Calibri" w:cs="Times New Roman"/>
          <w:color w:val="000000"/>
          <w:lang w:eastAsia="en-GB"/>
        </w:rPr>
        <w:t xml:space="preserve"> and </w:t>
      </w:r>
      <w:r w:rsidR="00E44262" w:rsidRPr="004E131F">
        <w:rPr>
          <w:rFonts w:ascii="Calibri" w:hAnsi="Calibri" w:cs="Times New Roman"/>
          <w:color w:val="000000"/>
          <w:lang w:eastAsia="en-GB"/>
        </w:rPr>
        <w:t>languages</w:t>
      </w:r>
      <w:r w:rsidR="00AC2CF7">
        <w:rPr>
          <w:rFonts w:ascii="Calibri" w:hAnsi="Calibri" w:cs="Times New Roman"/>
          <w:color w:val="000000"/>
          <w:lang w:eastAsia="en-GB"/>
        </w:rPr>
        <w:t>.</w:t>
      </w:r>
      <w:r w:rsidR="00E44262" w:rsidRPr="004E131F">
        <w:rPr>
          <w:rFonts w:ascii="Calibri" w:hAnsi="Calibri" w:cs="Times New Roman"/>
          <w:color w:val="000000"/>
          <w:lang w:eastAsia="en-GB"/>
        </w:rPr>
        <w:t xml:space="preserve"> </w:t>
      </w:r>
      <w:r w:rsidR="005D58DB">
        <w:rPr>
          <w:rFonts w:ascii="Calibri" w:hAnsi="Calibri" w:cs="Times New Roman"/>
          <w:color w:val="000000"/>
          <w:lang w:eastAsia="en-GB"/>
        </w:rPr>
        <w:t>An additional challenge involves d</w:t>
      </w:r>
      <w:r w:rsidR="00DC61BC" w:rsidRPr="00904452">
        <w:rPr>
          <w:rFonts w:ascii="Calibri" w:hAnsi="Calibri" w:cs="Times New Roman"/>
          <w:color w:val="000000"/>
          <w:lang w:eastAsia="en-GB"/>
        </w:rPr>
        <w:t>is</w:t>
      </w:r>
      <w:r w:rsidR="00DC61BC">
        <w:rPr>
          <w:rFonts w:ascii="Calibri" w:hAnsi="Calibri" w:cs="Times New Roman"/>
          <w:color w:val="000000"/>
          <w:lang w:eastAsia="en-GB"/>
        </w:rPr>
        <w:t>parities</w:t>
      </w:r>
      <w:r w:rsidR="00DC61BC" w:rsidRPr="00904452">
        <w:rPr>
          <w:rFonts w:ascii="Calibri" w:hAnsi="Calibri" w:cs="Times New Roman"/>
          <w:color w:val="000000"/>
          <w:lang w:eastAsia="en-GB"/>
        </w:rPr>
        <w:t xml:space="preserve"> </w:t>
      </w:r>
      <w:r w:rsidR="00A5690F">
        <w:rPr>
          <w:rFonts w:ascii="Calibri" w:hAnsi="Calibri" w:cs="Times New Roman"/>
          <w:color w:val="000000"/>
          <w:lang w:eastAsia="en-GB"/>
        </w:rPr>
        <w:t>within and across countries</w:t>
      </w:r>
      <w:r w:rsidR="00C012EA">
        <w:rPr>
          <w:rFonts w:ascii="Calibri" w:hAnsi="Calibri" w:cs="Times New Roman"/>
          <w:color w:val="000000"/>
          <w:lang w:eastAsia="en-GB"/>
        </w:rPr>
        <w:t xml:space="preserve"> with respect to </w:t>
      </w:r>
      <w:r w:rsidR="00DC61BC">
        <w:rPr>
          <w:rFonts w:ascii="Calibri" w:hAnsi="Calibri" w:cs="Times New Roman"/>
          <w:color w:val="000000"/>
          <w:lang w:eastAsia="en-GB"/>
        </w:rPr>
        <w:t xml:space="preserve">the </w:t>
      </w:r>
      <w:r w:rsidR="00C012EA">
        <w:rPr>
          <w:rFonts w:ascii="Calibri" w:hAnsi="Calibri" w:cs="Times New Roman"/>
          <w:color w:val="000000"/>
          <w:lang w:eastAsia="en-GB"/>
        </w:rPr>
        <w:t xml:space="preserve">availability of </w:t>
      </w:r>
      <w:r w:rsidR="00DC61BC">
        <w:rPr>
          <w:rFonts w:ascii="Calibri" w:hAnsi="Calibri" w:cs="Times New Roman"/>
          <w:color w:val="000000"/>
          <w:lang w:eastAsia="en-GB"/>
        </w:rPr>
        <w:t xml:space="preserve">staff to undertake </w:t>
      </w:r>
      <w:r w:rsidR="00341984">
        <w:rPr>
          <w:rFonts w:ascii="Calibri" w:hAnsi="Calibri" w:cs="Times New Roman"/>
          <w:color w:val="000000"/>
          <w:lang w:eastAsia="en-GB"/>
        </w:rPr>
        <w:t xml:space="preserve">cognitive assessments, </w:t>
      </w:r>
      <w:r w:rsidR="00DC61BC">
        <w:rPr>
          <w:rFonts w:ascii="Calibri" w:hAnsi="Calibri" w:cs="Times New Roman"/>
          <w:color w:val="000000"/>
          <w:lang w:eastAsia="en-GB"/>
        </w:rPr>
        <w:t>administer questionnaires and coordinate return of data.</w:t>
      </w:r>
      <w:r w:rsidR="00BD123A">
        <w:rPr>
          <w:rFonts w:ascii="Calibri" w:hAnsi="Calibri" w:cs="Times New Roman"/>
          <w:color w:val="000000"/>
          <w:lang w:eastAsia="en-GB"/>
        </w:rPr>
        <w:t xml:space="preserve"> </w:t>
      </w:r>
      <w:r w:rsidR="00E420EB">
        <w:rPr>
          <w:rFonts w:ascii="Calibri" w:hAnsi="Calibri" w:cs="Times New Roman"/>
          <w:color w:val="000000"/>
          <w:lang w:eastAsia="en-GB"/>
        </w:rPr>
        <w:t xml:space="preserve">Even when cognitive assessments are recommended </w:t>
      </w:r>
      <w:r w:rsidR="007100A1">
        <w:rPr>
          <w:rFonts w:ascii="Calibri" w:hAnsi="Calibri" w:cs="Times New Roman"/>
          <w:color w:val="000000"/>
          <w:lang w:eastAsia="en-GB"/>
        </w:rPr>
        <w:t>clinically</w:t>
      </w:r>
      <w:r w:rsidR="00E420EB">
        <w:rPr>
          <w:rFonts w:ascii="Calibri" w:hAnsi="Calibri" w:cs="Times New Roman"/>
          <w:color w:val="000000"/>
          <w:lang w:eastAsia="en-GB"/>
        </w:rPr>
        <w:t>, i</w:t>
      </w:r>
      <w:r w:rsidR="008A5DEF" w:rsidRPr="008A5DEF">
        <w:rPr>
          <w:rFonts w:ascii="Calibri" w:hAnsi="Calibri" w:cs="Times New Roman"/>
          <w:color w:val="000000"/>
          <w:lang w:eastAsia="en-GB"/>
        </w:rPr>
        <w:t xml:space="preserve">n </w:t>
      </w:r>
      <w:r w:rsidR="00C012EA">
        <w:rPr>
          <w:rFonts w:ascii="Calibri" w:hAnsi="Calibri" w:cs="Times New Roman"/>
          <w:color w:val="000000"/>
          <w:lang w:eastAsia="en-GB"/>
        </w:rPr>
        <w:t xml:space="preserve">parts of </w:t>
      </w:r>
      <w:r>
        <w:rPr>
          <w:rFonts w:ascii="Calibri" w:hAnsi="Calibri" w:cs="Times New Roman"/>
          <w:color w:val="000000"/>
          <w:lang w:eastAsia="en-GB"/>
        </w:rPr>
        <w:t xml:space="preserve">both </w:t>
      </w:r>
      <w:r w:rsidR="00C012EA">
        <w:rPr>
          <w:rFonts w:ascii="Calibri" w:hAnsi="Calibri" w:cs="Times New Roman"/>
          <w:color w:val="000000"/>
          <w:lang w:eastAsia="en-GB"/>
        </w:rPr>
        <w:t xml:space="preserve">North America </w:t>
      </w:r>
      <w:r w:rsidR="008A5DEF">
        <w:rPr>
          <w:rFonts w:ascii="Calibri" w:hAnsi="Calibri" w:cs="Times New Roman"/>
          <w:color w:val="000000"/>
          <w:lang w:eastAsia="en-GB"/>
        </w:rPr>
        <w:t>and Europe</w:t>
      </w:r>
      <w:r w:rsidR="008A5DEF" w:rsidRPr="008A5DEF">
        <w:rPr>
          <w:rFonts w:ascii="Calibri" w:hAnsi="Calibri" w:cs="Times New Roman"/>
          <w:color w:val="000000"/>
          <w:lang w:eastAsia="en-GB"/>
        </w:rPr>
        <w:t xml:space="preserve">, neuropsychological </w:t>
      </w:r>
      <w:r w:rsidR="008A5DEF" w:rsidRPr="008A5DEF">
        <w:rPr>
          <w:rFonts w:ascii="Calibri" w:hAnsi="Calibri" w:cs="Times New Roman"/>
          <w:color w:val="000000"/>
          <w:lang w:eastAsia="en-GB"/>
        </w:rPr>
        <w:lastRenderedPageBreak/>
        <w:t>evaluation</w:t>
      </w:r>
      <w:r w:rsidR="009C4EA2">
        <w:rPr>
          <w:rFonts w:ascii="Calibri" w:hAnsi="Calibri" w:cs="Times New Roman"/>
          <w:color w:val="000000"/>
          <w:lang w:eastAsia="en-GB"/>
        </w:rPr>
        <w:t xml:space="preserve"> </w:t>
      </w:r>
      <w:r w:rsidR="008A5DEF" w:rsidRPr="008A5DEF">
        <w:rPr>
          <w:rFonts w:ascii="Calibri" w:hAnsi="Calibri" w:cs="Times New Roman"/>
          <w:color w:val="000000"/>
          <w:lang w:eastAsia="en-GB"/>
        </w:rPr>
        <w:t xml:space="preserve">is not universally </w:t>
      </w:r>
      <w:r w:rsidR="00F719D3">
        <w:rPr>
          <w:rFonts w:ascii="Calibri" w:hAnsi="Calibri" w:cs="Times New Roman"/>
          <w:color w:val="000000"/>
          <w:lang w:eastAsia="en-GB"/>
        </w:rPr>
        <w:t>provided as standard of care</w:t>
      </w:r>
      <w:r w:rsidR="00C012EA" w:rsidRPr="008A5DEF">
        <w:rPr>
          <w:rFonts w:ascii="Calibri" w:hAnsi="Calibri" w:cs="Times New Roman"/>
          <w:color w:val="000000"/>
          <w:lang w:eastAsia="en-GB"/>
        </w:rPr>
        <w:t>, even for children with brain tumo</w:t>
      </w:r>
      <w:r w:rsidR="00C012EA">
        <w:rPr>
          <w:rFonts w:ascii="Calibri" w:hAnsi="Calibri" w:cs="Times New Roman"/>
          <w:color w:val="000000"/>
          <w:lang w:eastAsia="en-GB"/>
        </w:rPr>
        <w:t>u</w:t>
      </w:r>
      <w:r w:rsidR="00C012EA" w:rsidRPr="008A5DEF">
        <w:rPr>
          <w:rFonts w:ascii="Calibri" w:hAnsi="Calibri" w:cs="Times New Roman"/>
          <w:color w:val="000000"/>
          <w:lang w:eastAsia="en-GB"/>
        </w:rPr>
        <w:t>rs</w:t>
      </w:r>
      <w:r w:rsidR="008A5DEF" w:rsidRPr="008A5DEF">
        <w:rPr>
          <w:rFonts w:ascii="Calibri" w:hAnsi="Calibri" w:cs="Times New Roman"/>
          <w:color w:val="000000"/>
          <w:lang w:eastAsia="en-GB"/>
        </w:rPr>
        <w:t>.</w:t>
      </w:r>
      <w:r w:rsidR="008A5DEF">
        <w:rPr>
          <w:rFonts w:ascii="Calibri" w:hAnsi="Calibri" w:cs="Times New Roman"/>
          <w:color w:val="000000"/>
          <w:lang w:eastAsia="en-GB"/>
        </w:rPr>
        <w:t xml:space="preserve"> </w:t>
      </w:r>
      <w:r w:rsidR="00AC2CF7">
        <w:rPr>
          <w:rFonts w:ascii="Calibri" w:hAnsi="Calibri" w:cs="Times New Roman"/>
          <w:color w:val="000000"/>
          <w:lang w:eastAsia="en-GB"/>
        </w:rPr>
        <w:t>Families in</w:t>
      </w:r>
      <w:r w:rsidR="00F719D3">
        <w:rPr>
          <w:rFonts w:ascii="Calibri" w:hAnsi="Calibri" w:cs="Times New Roman"/>
          <w:color w:val="000000"/>
          <w:lang w:eastAsia="en-GB"/>
        </w:rPr>
        <w:t xml:space="preserve"> the US</w:t>
      </w:r>
      <w:r w:rsidR="00213C93">
        <w:rPr>
          <w:rFonts w:ascii="Calibri" w:hAnsi="Calibri" w:cs="Times New Roman"/>
          <w:color w:val="000000"/>
          <w:lang w:eastAsia="en-GB"/>
        </w:rPr>
        <w:t>A</w:t>
      </w:r>
      <w:r w:rsidR="008A5DEF" w:rsidRPr="008A5DEF">
        <w:rPr>
          <w:rFonts w:ascii="Calibri" w:hAnsi="Calibri" w:cs="Times New Roman"/>
          <w:color w:val="000000"/>
          <w:lang w:eastAsia="en-GB"/>
        </w:rPr>
        <w:t xml:space="preserve"> without adequate </w:t>
      </w:r>
      <w:r w:rsidR="008A5DEF">
        <w:rPr>
          <w:rFonts w:ascii="Calibri" w:hAnsi="Calibri" w:cs="Times New Roman"/>
          <w:color w:val="000000"/>
          <w:lang w:eastAsia="en-GB"/>
        </w:rPr>
        <w:t xml:space="preserve">insurance </w:t>
      </w:r>
      <w:r w:rsidR="00AC2CF7">
        <w:rPr>
          <w:rFonts w:ascii="Calibri" w:hAnsi="Calibri" w:cs="Times New Roman"/>
          <w:color w:val="000000"/>
          <w:lang w:eastAsia="en-GB"/>
        </w:rPr>
        <w:t xml:space="preserve">to </w:t>
      </w:r>
      <w:r w:rsidR="008A5DEF" w:rsidRPr="008A5DEF">
        <w:rPr>
          <w:rFonts w:ascii="Calibri" w:hAnsi="Calibri" w:cs="Times New Roman"/>
          <w:color w:val="000000"/>
          <w:lang w:eastAsia="en-GB"/>
        </w:rPr>
        <w:t>cover</w:t>
      </w:r>
      <w:r w:rsidR="00BD123A">
        <w:rPr>
          <w:rFonts w:ascii="Calibri" w:hAnsi="Calibri" w:cs="Times New Roman"/>
          <w:color w:val="000000"/>
          <w:lang w:eastAsia="en-GB"/>
        </w:rPr>
        <w:t xml:space="preserve"> cognitive assessments</w:t>
      </w:r>
      <w:r w:rsidR="008A5DEF" w:rsidRPr="008A5DEF">
        <w:rPr>
          <w:rFonts w:ascii="Calibri" w:hAnsi="Calibri" w:cs="Times New Roman"/>
          <w:color w:val="000000"/>
          <w:lang w:eastAsia="en-GB"/>
        </w:rPr>
        <w:t xml:space="preserve"> </w:t>
      </w:r>
      <w:r w:rsidR="007F2730" w:rsidRPr="008A5DEF">
        <w:rPr>
          <w:rFonts w:ascii="Calibri" w:hAnsi="Calibri" w:cs="Times New Roman"/>
          <w:color w:val="000000"/>
          <w:lang w:eastAsia="en-GB"/>
        </w:rPr>
        <w:t xml:space="preserve">may </w:t>
      </w:r>
      <w:r w:rsidR="007F2730">
        <w:rPr>
          <w:rFonts w:ascii="Calibri" w:hAnsi="Calibri" w:cs="Times New Roman"/>
          <w:color w:val="000000"/>
          <w:lang w:eastAsia="en-GB"/>
        </w:rPr>
        <w:t>incur</w:t>
      </w:r>
      <w:r w:rsidR="007F2730" w:rsidRPr="008A5DEF">
        <w:rPr>
          <w:rFonts w:ascii="Calibri" w:hAnsi="Calibri" w:cs="Times New Roman"/>
          <w:color w:val="000000"/>
          <w:lang w:eastAsia="en-GB"/>
        </w:rPr>
        <w:t xml:space="preserve"> additional expense</w:t>
      </w:r>
      <w:r w:rsidR="007F2730">
        <w:rPr>
          <w:rFonts w:ascii="Calibri" w:hAnsi="Calibri" w:cs="Times New Roman"/>
          <w:color w:val="000000"/>
          <w:lang w:eastAsia="en-GB"/>
        </w:rPr>
        <w:t xml:space="preserve"> </w:t>
      </w:r>
      <w:r w:rsidR="008A5DEF" w:rsidRPr="008A5DEF">
        <w:rPr>
          <w:rFonts w:ascii="Calibri" w:hAnsi="Calibri" w:cs="Times New Roman"/>
          <w:color w:val="000000"/>
          <w:lang w:eastAsia="en-GB"/>
        </w:rPr>
        <w:t xml:space="preserve">at a time when financial resources are already </w:t>
      </w:r>
      <w:r w:rsidR="00F724B9">
        <w:rPr>
          <w:rFonts w:ascii="Calibri" w:hAnsi="Calibri" w:cs="Times New Roman"/>
          <w:color w:val="000000"/>
          <w:lang w:eastAsia="en-GB"/>
        </w:rPr>
        <w:t>stretched</w:t>
      </w:r>
      <w:r w:rsidR="008A5DEF" w:rsidRPr="008A5DEF">
        <w:rPr>
          <w:rFonts w:ascii="Calibri" w:hAnsi="Calibri" w:cs="Times New Roman"/>
          <w:color w:val="000000"/>
          <w:lang w:eastAsia="en-GB"/>
        </w:rPr>
        <w:t xml:space="preserve">. </w:t>
      </w:r>
      <w:r w:rsidR="00BD123A">
        <w:rPr>
          <w:rFonts w:ascii="Calibri" w:hAnsi="Calibri" w:cs="Times New Roman"/>
          <w:color w:val="000000"/>
          <w:lang w:eastAsia="en-GB"/>
        </w:rPr>
        <w:t xml:space="preserve">In </w:t>
      </w:r>
      <w:r w:rsidR="00AC2CF7">
        <w:rPr>
          <w:rFonts w:ascii="Calibri" w:hAnsi="Calibri" w:cs="Times New Roman"/>
          <w:color w:val="000000"/>
          <w:lang w:eastAsia="en-GB"/>
        </w:rPr>
        <w:t>the</w:t>
      </w:r>
      <w:r w:rsidR="00BD123A">
        <w:rPr>
          <w:rFonts w:ascii="Calibri" w:hAnsi="Calibri" w:cs="Times New Roman"/>
          <w:color w:val="000000"/>
          <w:lang w:eastAsia="en-GB"/>
        </w:rPr>
        <w:t xml:space="preserve"> UK</w:t>
      </w:r>
      <w:r w:rsidR="00827E08">
        <w:rPr>
          <w:rFonts w:ascii="Calibri" w:hAnsi="Calibri" w:cs="Times New Roman"/>
          <w:color w:val="000000"/>
          <w:lang w:eastAsia="en-GB"/>
        </w:rPr>
        <w:t>,</w:t>
      </w:r>
      <w:r w:rsidR="008116DA">
        <w:rPr>
          <w:rFonts w:ascii="Calibri" w:hAnsi="Calibri" w:cs="Times New Roman"/>
          <w:color w:val="000000"/>
          <w:lang w:eastAsia="en-GB"/>
        </w:rPr>
        <w:t xml:space="preserve"> </w:t>
      </w:r>
      <w:r w:rsidR="00BD123A">
        <w:rPr>
          <w:rFonts w:ascii="Calibri" w:hAnsi="Calibri" w:cs="Times New Roman"/>
          <w:color w:val="000000"/>
          <w:lang w:eastAsia="en-GB"/>
        </w:rPr>
        <w:t xml:space="preserve">resources </w:t>
      </w:r>
      <w:r w:rsidR="00AC2CF7">
        <w:rPr>
          <w:rFonts w:ascii="Calibri" w:hAnsi="Calibri" w:cs="Times New Roman"/>
          <w:color w:val="000000"/>
          <w:lang w:eastAsia="en-GB"/>
        </w:rPr>
        <w:t xml:space="preserve">within publicly funded health care </w:t>
      </w:r>
      <w:r w:rsidR="00BD123A">
        <w:rPr>
          <w:rFonts w:ascii="Calibri" w:hAnsi="Calibri" w:cs="Times New Roman"/>
          <w:color w:val="000000"/>
          <w:lang w:eastAsia="en-GB"/>
        </w:rPr>
        <w:t xml:space="preserve">are </w:t>
      </w:r>
      <w:r w:rsidR="00863011">
        <w:rPr>
          <w:rFonts w:ascii="Calibri" w:hAnsi="Calibri" w:cs="Times New Roman"/>
          <w:color w:val="000000"/>
          <w:lang w:eastAsia="en-GB"/>
        </w:rPr>
        <w:t>constrained</w:t>
      </w:r>
      <w:r w:rsidR="00863011" w:rsidRPr="00863011">
        <w:rPr>
          <w:rFonts w:ascii="Calibri" w:hAnsi="Calibri" w:cs="Times New Roman"/>
          <w:color w:val="000000"/>
          <w:vertAlign w:val="superscript"/>
          <w:lang w:eastAsia="en-GB"/>
        </w:rPr>
        <w:t>1</w:t>
      </w:r>
      <w:r w:rsidR="0008114F">
        <w:rPr>
          <w:rFonts w:ascii="Calibri" w:hAnsi="Calibri" w:cs="Times New Roman"/>
          <w:color w:val="000000"/>
          <w:lang w:eastAsia="en-GB"/>
        </w:rPr>
        <w:t>.</w:t>
      </w:r>
      <w:r w:rsidR="00BD123A">
        <w:rPr>
          <w:rFonts w:ascii="Calibri" w:hAnsi="Calibri" w:cs="Times New Roman"/>
          <w:color w:val="FF0000"/>
          <w:lang w:eastAsia="en-GB"/>
        </w:rPr>
        <w:t xml:space="preserve"> </w:t>
      </w:r>
      <w:r w:rsidR="00BD123A" w:rsidRPr="00BD123A">
        <w:rPr>
          <w:rFonts w:ascii="Calibri" w:hAnsi="Calibri" w:cs="Times New Roman"/>
          <w:color w:val="000000"/>
          <w:lang w:eastAsia="en-GB"/>
        </w:rPr>
        <w:t xml:space="preserve">Even </w:t>
      </w:r>
      <w:r w:rsidR="00E65815">
        <w:rPr>
          <w:rFonts w:ascii="Calibri" w:hAnsi="Calibri" w:cs="Times New Roman"/>
          <w:color w:val="000000"/>
          <w:lang w:eastAsia="en-GB"/>
        </w:rPr>
        <w:t xml:space="preserve">where </w:t>
      </w:r>
      <w:r w:rsidR="00BD123A" w:rsidRPr="00BD123A">
        <w:rPr>
          <w:rFonts w:ascii="Calibri" w:hAnsi="Calibri" w:cs="Times New Roman"/>
          <w:color w:val="000000"/>
          <w:lang w:eastAsia="en-GB"/>
        </w:rPr>
        <w:t xml:space="preserve">service </w:t>
      </w:r>
      <w:r w:rsidR="008116DA">
        <w:rPr>
          <w:rFonts w:ascii="Calibri" w:hAnsi="Calibri" w:cs="Times New Roman"/>
          <w:color w:val="000000"/>
          <w:lang w:eastAsia="en-GB"/>
        </w:rPr>
        <w:t>for</w:t>
      </w:r>
      <w:r w:rsidR="00AC2CF7">
        <w:rPr>
          <w:rFonts w:ascii="Calibri" w:hAnsi="Calibri" w:cs="Times New Roman"/>
          <w:color w:val="000000"/>
          <w:lang w:eastAsia="en-GB"/>
        </w:rPr>
        <w:t xml:space="preserve"> families is adequate, </w:t>
      </w:r>
      <w:r w:rsidR="00E65815">
        <w:rPr>
          <w:rFonts w:ascii="Calibri" w:hAnsi="Calibri" w:cs="Times New Roman"/>
          <w:color w:val="000000"/>
          <w:lang w:eastAsia="en-GB"/>
        </w:rPr>
        <w:t xml:space="preserve">providers </w:t>
      </w:r>
      <w:r w:rsidR="0078146A">
        <w:rPr>
          <w:rFonts w:ascii="Calibri" w:hAnsi="Calibri" w:cs="Times New Roman"/>
          <w:color w:val="000000"/>
          <w:lang w:eastAsia="en-GB"/>
        </w:rPr>
        <w:t xml:space="preserve">may lack </w:t>
      </w:r>
      <w:r w:rsidR="007100A1">
        <w:rPr>
          <w:rFonts w:ascii="Calibri" w:hAnsi="Calibri" w:cs="Times New Roman"/>
          <w:color w:val="000000"/>
          <w:lang w:eastAsia="en-GB"/>
        </w:rPr>
        <w:t>access to assessment tools in their patients’ native languages</w:t>
      </w:r>
      <w:r w:rsidR="00AC2CF7">
        <w:rPr>
          <w:rFonts w:ascii="Calibri" w:hAnsi="Calibri" w:cs="Times New Roman"/>
          <w:color w:val="000000"/>
          <w:lang w:eastAsia="en-GB"/>
        </w:rPr>
        <w:t>.</w:t>
      </w:r>
      <w:r w:rsidR="00533510">
        <w:rPr>
          <w:rFonts w:ascii="Calibri" w:hAnsi="Calibri" w:cs="Times New Roman"/>
          <w:color w:val="000000"/>
          <w:lang w:eastAsia="en-GB"/>
        </w:rPr>
        <w:t xml:space="preserve"> </w:t>
      </w:r>
    </w:p>
    <w:p w14:paraId="134DFE8C" w14:textId="77777777" w:rsidR="007E1B54" w:rsidRDefault="007E1B54" w:rsidP="00FC3DC9">
      <w:pPr>
        <w:spacing w:line="360" w:lineRule="auto"/>
        <w:jc w:val="both"/>
        <w:rPr>
          <w:rFonts w:ascii="Calibri" w:hAnsi="Calibri" w:cs="Times New Roman"/>
          <w:color w:val="000000"/>
          <w:lang w:eastAsia="en-GB"/>
        </w:rPr>
      </w:pPr>
    </w:p>
    <w:p w14:paraId="2FB52EF5" w14:textId="15D1DF46" w:rsidR="008A5DEF" w:rsidRPr="007E1B54" w:rsidRDefault="007100A1" w:rsidP="00FC3DC9">
      <w:pPr>
        <w:spacing w:line="360" w:lineRule="auto"/>
        <w:jc w:val="both"/>
      </w:pPr>
      <w:r>
        <w:t xml:space="preserve">There are </w:t>
      </w:r>
      <w:r w:rsidR="00014F14">
        <w:t>further</w:t>
      </w:r>
      <w:r w:rsidR="00DD2CDB">
        <w:t xml:space="preserve"> </w:t>
      </w:r>
      <w:r>
        <w:t xml:space="preserve">barriers to </w:t>
      </w:r>
      <w:r w:rsidR="00F724B9">
        <w:t xml:space="preserve">assessment </w:t>
      </w:r>
      <w:r w:rsidR="008116DA">
        <w:t xml:space="preserve">for children </w:t>
      </w:r>
      <w:r w:rsidR="00DD2CDB">
        <w:t>undergoing cancer treatment</w:t>
      </w:r>
      <w:r w:rsidR="008116DA">
        <w:t xml:space="preserve">. </w:t>
      </w:r>
      <w:r>
        <w:t>C</w:t>
      </w:r>
      <w:r w:rsidR="007E1B54">
        <w:t>hildren are</w:t>
      </w:r>
      <w:r w:rsidR="00304954">
        <w:t xml:space="preserve"> often</w:t>
      </w:r>
      <w:r w:rsidR="007E1B54">
        <w:t xml:space="preserve"> unwell and undergo</w:t>
      </w:r>
      <w:r w:rsidR="00DD2CDB">
        <w:t>ing</w:t>
      </w:r>
      <w:r w:rsidR="007E1B54">
        <w:t xml:space="preserve"> multiple medical </w:t>
      </w:r>
      <w:r w:rsidR="008208DF">
        <w:t xml:space="preserve">procedures </w:t>
      </w:r>
      <w:r w:rsidR="007E1B54">
        <w:t>or treatment</w:t>
      </w:r>
      <w:r w:rsidR="00BB1672">
        <w:t>s</w:t>
      </w:r>
      <w:r w:rsidR="00DD2CDB">
        <w:t xml:space="preserve"> affecting their engagement</w:t>
      </w:r>
      <w:r w:rsidR="008116DA">
        <w:t xml:space="preserve">. </w:t>
      </w:r>
      <w:r w:rsidR="00D83544">
        <w:t>P</w:t>
      </w:r>
      <w:r w:rsidR="00533510">
        <w:t>arents are often distressed and sometimes reluctant</w:t>
      </w:r>
      <w:r w:rsidR="0078146A">
        <w:t xml:space="preserve"> to complete lengthy questionnaire batteries</w:t>
      </w:r>
      <w:r w:rsidR="008116DA">
        <w:t>. F</w:t>
      </w:r>
      <w:r w:rsidR="0078146A">
        <w:t xml:space="preserve">amilies </w:t>
      </w:r>
      <w:r w:rsidR="00533510">
        <w:t xml:space="preserve">may </w:t>
      </w:r>
      <w:r w:rsidR="008116DA">
        <w:t xml:space="preserve">also </w:t>
      </w:r>
      <w:r w:rsidR="00533510">
        <w:t xml:space="preserve">be </w:t>
      </w:r>
      <w:r w:rsidR="007E1B54">
        <w:t xml:space="preserve">required to </w:t>
      </w:r>
      <w:r w:rsidR="007E1B54" w:rsidRPr="00D83544">
        <w:t xml:space="preserve">travel </w:t>
      </w:r>
      <w:r w:rsidR="00BC4A94" w:rsidRPr="00D83544">
        <w:t>far from home</w:t>
      </w:r>
      <w:r w:rsidR="009C4EA2" w:rsidRPr="00D83544">
        <w:t xml:space="preserve"> </w:t>
      </w:r>
      <w:r w:rsidR="007E1B54" w:rsidRPr="00D83544">
        <w:t xml:space="preserve">for </w:t>
      </w:r>
      <w:r w:rsidR="00BC4A94" w:rsidRPr="00D83544">
        <w:t>treatments or trials</w:t>
      </w:r>
      <w:r w:rsidR="0078146A" w:rsidRPr="00D83544">
        <w:t xml:space="preserve"> </w:t>
      </w:r>
      <w:r w:rsidR="00E9301A" w:rsidRPr="00D83544">
        <w:t xml:space="preserve">that </w:t>
      </w:r>
      <w:r w:rsidR="00BC4A94" w:rsidRPr="00D83544">
        <w:t>are</w:t>
      </w:r>
      <w:r w:rsidR="00E9301A" w:rsidRPr="00D83544">
        <w:t xml:space="preserve"> not</w:t>
      </w:r>
      <w:r w:rsidR="00E9301A">
        <w:t xml:space="preserve"> available locally</w:t>
      </w:r>
      <w:r w:rsidR="008208DF">
        <w:t>.</w:t>
      </w:r>
      <w:r w:rsidR="007E1B54">
        <w:t xml:space="preserve"> </w:t>
      </w:r>
      <w:r w:rsidR="008208DF">
        <w:t>P</w:t>
      </w:r>
      <w:r w:rsidR="007E1B54">
        <w:t xml:space="preserve">articipation in </w:t>
      </w:r>
      <w:r w:rsidR="008116DA">
        <w:t xml:space="preserve">pre-treatment assessment </w:t>
      </w:r>
      <w:r w:rsidR="007E1B54">
        <w:t>can also be limited by</w:t>
      </w:r>
      <w:r w:rsidR="005417E6">
        <w:t xml:space="preserve"> </w:t>
      </w:r>
      <w:r w:rsidR="008208DF">
        <w:t xml:space="preserve">patients’ </w:t>
      </w:r>
      <w:r w:rsidR="00DF1318">
        <w:t xml:space="preserve">psychological </w:t>
      </w:r>
      <w:r w:rsidR="008208DF">
        <w:t>adjustment to their</w:t>
      </w:r>
      <w:r w:rsidR="00DF1318">
        <w:t xml:space="preserve"> diagnosis</w:t>
      </w:r>
      <w:r w:rsidR="00BC4A94">
        <w:t>,</w:t>
      </w:r>
      <w:r w:rsidR="009C4EA2">
        <w:t xml:space="preserve"> </w:t>
      </w:r>
      <w:r w:rsidR="00FE6A77">
        <w:t>fatigue</w:t>
      </w:r>
      <w:r w:rsidR="00BC4A94">
        <w:t>,</w:t>
      </w:r>
      <w:r w:rsidR="00FE6A77">
        <w:t xml:space="preserve"> </w:t>
      </w:r>
      <w:r w:rsidR="00BC4A94">
        <w:t>and/</w:t>
      </w:r>
      <w:r w:rsidR="00FE6A77">
        <w:t>or</w:t>
      </w:r>
      <w:r w:rsidR="007E1B54">
        <w:t xml:space="preserve"> </w:t>
      </w:r>
      <w:r w:rsidR="00FE6A77">
        <w:t>sensorimotor</w:t>
      </w:r>
      <w:r w:rsidR="007E1B54">
        <w:t xml:space="preserve"> impairments which </w:t>
      </w:r>
      <w:r w:rsidR="008116DA">
        <w:t xml:space="preserve">also </w:t>
      </w:r>
      <w:r w:rsidR="009C4EA2">
        <w:t xml:space="preserve">complicate </w:t>
      </w:r>
      <w:r w:rsidR="007E1B54">
        <w:t xml:space="preserve">data </w:t>
      </w:r>
      <w:r w:rsidR="009C4EA2">
        <w:t>interpretation</w:t>
      </w:r>
      <w:r w:rsidR="009C4EA2" w:rsidRPr="00D83544">
        <w:t xml:space="preserve">, especially </w:t>
      </w:r>
      <w:r w:rsidR="00F358B6">
        <w:t xml:space="preserve">comparison </w:t>
      </w:r>
      <w:r w:rsidR="009C4EA2" w:rsidRPr="00D83544">
        <w:t>over time.</w:t>
      </w:r>
      <w:r w:rsidR="007E1B54" w:rsidRPr="00D83544">
        <w:t xml:space="preserve"> </w:t>
      </w:r>
      <w:r w:rsidR="00FE6A77" w:rsidRPr="00D83544">
        <w:t>Collectively, these issues raise</w:t>
      </w:r>
      <w:r w:rsidR="007E1B54" w:rsidRPr="00D83544">
        <w:t xml:space="preserve"> </w:t>
      </w:r>
      <w:r w:rsidR="00FE6A77" w:rsidRPr="00D83544">
        <w:t>concerns</w:t>
      </w:r>
      <w:r w:rsidR="00FE6A77">
        <w:t xml:space="preserve"> about</w:t>
      </w:r>
      <w:r w:rsidR="007E1B54">
        <w:t xml:space="preserve"> patient burden and clinical versus research</w:t>
      </w:r>
      <w:r w:rsidR="00DF1318">
        <w:t xml:space="preserve"> </w:t>
      </w:r>
      <w:r w:rsidR="00FE6A77">
        <w:t>priorities.</w:t>
      </w:r>
      <w:r w:rsidR="007E1B54">
        <w:t xml:space="preserve"> </w:t>
      </w:r>
    </w:p>
    <w:p w14:paraId="0A0322EB" w14:textId="77777777" w:rsidR="00F14733" w:rsidRDefault="00F14733" w:rsidP="00FC3DC9">
      <w:pPr>
        <w:spacing w:line="360" w:lineRule="auto"/>
        <w:jc w:val="both"/>
      </w:pPr>
    </w:p>
    <w:p w14:paraId="0647C155" w14:textId="65B9910F" w:rsidR="00F731CD" w:rsidRPr="007E1B54" w:rsidRDefault="003E52D1" w:rsidP="00FC3DC9">
      <w:pPr>
        <w:spacing w:line="360" w:lineRule="auto"/>
        <w:jc w:val="both"/>
      </w:pPr>
      <w:r>
        <w:t xml:space="preserve">Traditional </w:t>
      </w:r>
      <w:r w:rsidR="00E9301A">
        <w:t xml:space="preserve">cognitive </w:t>
      </w:r>
      <w:r w:rsidR="00BD4DB5">
        <w:t xml:space="preserve">test </w:t>
      </w:r>
      <w:r>
        <w:t xml:space="preserve">batteries </w:t>
      </w:r>
      <w:r w:rsidR="00CF39F1">
        <w:t>involve</w:t>
      </w:r>
      <w:r w:rsidR="00F731CD" w:rsidRPr="003E52D1">
        <w:t xml:space="preserve"> specialized tasks requiring administration by trained psychol</w:t>
      </w:r>
      <w:r w:rsidR="00F50CA2">
        <w:t>ogists or neuropsychologists</w:t>
      </w:r>
      <w:r w:rsidR="00F14733">
        <w:t xml:space="preserve">. These are clinically useful </w:t>
      </w:r>
      <w:r w:rsidR="00C31911">
        <w:t xml:space="preserve">to identify needs and facilitate </w:t>
      </w:r>
      <w:r w:rsidR="007E1B54">
        <w:t>intervention</w:t>
      </w:r>
      <w:r w:rsidR="00533510">
        <w:t xml:space="preserve"> </w:t>
      </w:r>
      <w:r w:rsidR="00DD2CDB">
        <w:t>though</w:t>
      </w:r>
      <w:r w:rsidR="00533510">
        <w:t xml:space="preserve"> </w:t>
      </w:r>
      <w:r w:rsidR="007E1B54">
        <w:t xml:space="preserve">require </w:t>
      </w:r>
      <w:r w:rsidR="00F731CD" w:rsidRPr="003E52D1">
        <w:t>on-site</w:t>
      </w:r>
      <w:r w:rsidR="00FE6A77">
        <w:t xml:space="preserve">, often lengthy, </w:t>
      </w:r>
      <w:r w:rsidR="00CF39F1">
        <w:t>evaluation procedures</w:t>
      </w:r>
      <w:r w:rsidR="00F731CD" w:rsidRPr="003E52D1">
        <w:t xml:space="preserve">. Many </w:t>
      </w:r>
      <w:r w:rsidR="00533510">
        <w:t xml:space="preserve">such </w:t>
      </w:r>
      <w:r w:rsidR="007E1B54">
        <w:t>tests</w:t>
      </w:r>
      <w:r w:rsidR="00F731CD" w:rsidRPr="003E52D1">
        <w:t xml:space="preserve"> </w:t>
      </w:r>
      <w:r w:rsidR="00CF39F1">
        <w:t>we</w:t>
      </w:r>
      <w:r w:rsidR="00F14733">
        <w:t>re</w:t>
      </w:r>
      <w:r w:rsidR="00F731CD" w:rsidRPr="003E52D1">
        <w:t xml:space="preserve"> not developed for </w:t>
      </w:r>
      <w:r w:rsidR="0078146A">
        <w:t xml:space="preserve">frequent use </w:t>
      </w:r>
      <w:r w:rsidR="007E1B54">
        <w:t xml:space="preserve">and </w:t>
      </w:r>
      <w:r w:rsidR="009C4EA2">
        <w:t xml:space="preserve">are </w:t>
      </w:r>
      <w:r w:rsidR="00C75F9E">
        <w:t>inappropriate for</w:t>
      </w:r>
      <w:r w:rsidR="009C4EA2">
        <w:t xml:space="preserve"> </w:t>
      </w:r>
      <w:r w:rsidR="0078146A">
        <w:t xml:space="preserve">short-term </w:t>
      </w:r>
      <w:r w:rsidR="007E1B54">
        <w:t>assess</w:t>
      </w:r>
      <w:r w:rsidR="009C4EA2">
        <w:t xml:space="preserve">ment of </w:t>
      </w:r>
      <w:r w:rsidR="00F731CD" w:rsidRPr="003E52D1">
        <w:t>acute change</w:t>
      </w:r>
      <w:r w:rsidR="00D67F2B">
        <w:t>s</w:t>
      </w:r>
      <w:r w:rsidR="00C75F9E">
        <w:t>.</w:t>
      </w:r>
      <w:r w:rsidR="00D67F2B">
        <w:t xml:space="preserve"> </w:t>
      </w:r>
      <w:r w:rsidR="00C75F9E">
        <w:t xml:space="preserve">Measures </w:t>
      </w:r>
      <w:r w:rsidR="00F724B9">
        <w:t xml:space="preserve">that are </w:t>
      </w:r>
      <w:r w:rsidR="00C75F9E">
        <w:t>more psychometrically robust to repeated administration over short intervals</w:t>
      </w:r>
      <w:r w:rsidR="008049E6">
        <w:t xml:space="preserve"> </w:t>
      </w:r>
      <w:r w:rsidR="00D67F2B">
        <w:t xml:space="preserve">are </w:t>
      </w:r>
      <w:r w:rsidR="00014F14">
        <w:t>available but</w:t>
      </w:r>
      <w:r w:rsidR="00C75F9E">
        <w:t xml:space="preserve"> tend to be </w:t>
      </w:r>
      <w:r w:rsidR="00D67F2B">
        <w:t>less familiar to clinicians and offer l</w:t>
      </w:r>
      <w:r w:rsidR="00C75F9E">
        <w:t>ess</w:t>
      </w:r>
      <w:r w:rsidR="00D67F2B">
        <w:t xml:space="preserve"> value</w:t>
      </w:r>
      <w:r w:rsidR="00F731CD" w:rsidRPr="003E52D1">
        <w:t xml:space="preserve"> to patient</w:t>
      </w:r>
      <w:r w:rsidR="007E1B54">
        <w:t>s</w:t>
      </w:r>
      <w:r w:rsidR="00F731CD" w:rsidRPr="003E52D1">
        <w:t xml:space="preserve"> and families seeking information </w:t>
      </w:r>
      <w:r w:rsidR="007E1B54">
        <w:t xml:space="preserve">to facilitate appropriate </w:t>
      </w:r>
      <w:r w:rsidR="00194BB1">
        <w:t xml:space="preserve">clinical </w:t>
      </w:r>
      <w:r w:rsidR="007E1B54">
        <w:t xml:space="preserve">support. </w:t>
      </w:r>
      <w:r w:rsidR="00533510">
        <w:rPr>
          <w:rFonts w:ascii="Calibri" w:hAnsi="Calibri" w:cs="Times New Roman"/>
          <w:color w:val="000000"/>
          <w:lang w:eastAsia="en-GB"/>
        </w:rPr>
        <w:t>D</w:t>
      </w:r>
      <w:r w:rsidR="00213C93">
        <w:rPr>
          <w:rFonts w:ascii="Calibri" w:hAnsi="Calibri" w:cs="Times New Roman"/>
          <w:color w:val="000000"/>
          <w:lang w:eastAsia="en-GB"/>
        </w:rPr>
        <w:t>evelop</w:t>
      </w:r>
      <w:r w:rsidR="00533510">
        <w:rPr>
          <w:rFonts w:ascii="Calibri" w:hAnsi="Calibri" w:cs="Times New Roman"/>
          <w:color w:val="000000"/>
          <w:lang w:eastAsia="en-GB"/>
        </w:rPr>
        <w:t>ment of</w:t>
      </w:r>
      <w:r w:rsidR="00213C93">
        <w:rPr>
          <w:rFonts w:ascii="Calibri" w:hAnsi="Calibri" w:cs="Times New Roman"/>
          <w:color w:val="000000"/>
          <w:lang w:eastAsia="en-GB"/>
        </w:rPr>
        <w:t xml:space="preserve"> </w:t>
      </w:r>
      <w:r w:rsidR="00BC4A94">
        <w:rPr>
          <w:rFonts w:ascii="Calibri" w:hAnsi="Calibri" w:cs="Times New Roman"/>
          <w:color w:val="000000"/>
          <w:lang w:eastAsia="en-GB"/>
        </w:rPr>
        <w:t xml:space="preserve">batteries </w:t>
      </w:r>
      <w:r w:rsidR="007E1B54" w:rsidRPr="008A5DEF">
        <w:rPr>
          <w:rFonts w:ascii="Calibri" w:hAnsi="Calibri" w:cs="Times New Roman"/>
          <w:color w:val="000000"/>
          <w:lang w:eastAsia="en-GB"/>
        </w:rPr>
        <w:t xml:space="preserve">that are </w:t>
      </w:r>
      <w:r w:rsidR="007E1B54">
        <w:rPr>
          <w:rFonts w:ascii="Calibri" w:hAnsi="Calibri" w:cs="Times New Roman"/>
          <w:color w:val="000000"/>
          <w:lang w:eastAsia="en-GB"/>
        </w:rPr>
        <w:t>cost effective, acceptable to clinicians and families</w:t>
      </w:r>
      <w:r w:rsidR="00C31911">
        <w:rPr>
          <w:rFonts w:ascii="Calibri" w:hAnsi="Calibri" w:cs="Times New Roman"/>
          <w:color w:val="000000"/>
          <w:lang w:eastAsia="en-GB"/>
        </w:rPr>
        <w:t>,</w:t>
      </w:r>
      <w:r w:rsidR="007E1B54">
        <w:rPr>
          <w:rFonts w:ascii="Calibri" w:hAnsi="Calibri" w:cs="Times New Roman"/>
          <w:color w:val="000000"/>
          <w:lang w:eastAsia="en-GB"/>
        </w:rPr>
        <w:t xml:space="preserve"> </w:t>
      </w:r>
      <w:r w:rsidR="007E1B54" w:rsidRPr="008A5DEF">
        <w:rPr>
          <w:rFonts w:ascii="Calibri" w:hAnsi="Calibri" w:cs="Times New Roman"/>
          <w:color w:val="000000"/>
          <w:lang w:eastAsia="en-GB"/>
        </w:rPr>
        <w:t xml:space="preserve">and </w:t>
      </w:r>
      <w:r w:rsidR="007E1B54">
        <w:rPr>
          <w:rFonts w:ascii="Calibri" w:hAnsi="Calibri" w:cs="Times New Roman"/>
          <w:color w:val="000000"/>
          <w:lang w:eastAsia="en-GB"/>
        </w:rPr>
        <w:t>can be widely implemented</w:t>
      </w:r>
      <w:r w:rsidR="00533510">
        <w:rPr>
          <w:rFonts w:ascii="Calibri" w:hAnsi="Calibri" w:cs="Times New Roman"/>
          <w:color w:val="000000"/>
          <w:lang w:eastAsia="en-GB"/>
        </w:rPr>
        <w:t xml:space="preserve"> </w:t>
      </w:r>
      <w:r w:rsidR="00305B50">
        <w:rPr>
          <w:rFonts w:ascii="Calibri" w:hAnsi="Calibri" w:cs="Times New Roman"/>
          <w:color w:val="000000"/>
          <w:lang w:eastAsia="en-GB"/>
        </w:rPr>
        <w:t xml:space="preserve">to yield </w:t>
      </w:r>
      <w:r w:rsidR="00305B50">
        <w:t xml:space="preserve">sufficiently </w:t>
      </w:r>
      <w:r w:rsidR="00F731CD" w:rsidRPr="004C0AFB">
        <w:t>detailed data</w:t>
      </w:r>
      <w:r w:rsidR="00533510">
        <w:t xml:space="preserve"> can therefore be challenging</w:t>
      </w:r>
      <w:r w:rsidR="007E1B54">
        <w:t xml:space="preserve">. </w:t>
      </w:r>
      <w:r w:rsidR="00B54426">
        <w:t>An optimal approach to evaluating cognitive and</w:t>
      </w:r>
      <w:r w:rsidR="00143605">
        <w:t xml:space="preserve"> QoS </w:t>
      </w:r>
      <w:r w:rsidR="00B54426">
        <w:t>outcomes</w:t>
      </w:r>
      <w:r w:rsidR="008049E6">
        <w:t xml:space="preserve"> requires </w:t>
      </w:r>
      <w:r w:rsidR="00FE537E">
        <w:t xml:space="preserve">a </w:t>
      </w:r>
      <w:r w:rsidR="00B54426">
        <w:t>compromise</w:t>
      </w:r>
      <w:r w:rsidR="00FE537E">
        <w:t xml:space="preserve"> </w:t>
      </w:r>
      <w:r w:rsidR="00F731CD" w:rsidRPr="004C0AFB">
        <w:t xml:space="preserve">between </w:t>
      </w:r>
      <w:r w:rsidR="00B54426">
        <w:t xml:space="preserve">use of </w:t>
      </w:r>
      <w:r w:rsidR="00F731CD" w:rsidRPr="004C0AFB">
        <w:t xml:space="preserve">comprehensive batteries </w:t>
      </w:r>
      <w:r w:rsidR="00305B50">
        <w:t xml:space="preserve">requiring </w:t>
      </w:r>
      <w:r w:rsidR="00F731CD" w:rsidRPr="004C0AFB">
        <w:t xml:space="preserve">substantial time, resources, and patient burden </w:t>
      </w:r>
      <w:r w:rsidR="00533510">
        <w:t xml:space="preserve">and </w:t>
      </w:r>
      <w:r w:rsidR="00305B50" w:rsidRPr="004C0AFB">
        <w:t>shorter research batteries that may</w:t>
      </w:r>
      <w:r w:rsidR="00305B50">
        <w:t xml:space="preserve"> have less utility for patient care</w:t>
      </w:r>
      <w:r w:rsidR="00FE537E">
        <w:t>.</w:t>
      </w:r>
      <w:r w:rsidR="004E131F">
        <w:t xml:space="preserve"> </w:t>
      </w:r>
      <w:r w:rsidR="00F731CD" w:rsidRPr="004C0AFB">
        <w:t xml:space="preserve">In this article, we </w:t>
      </w:r>
      <w:r w:rsidR="00533510">
        <w:t xml:space="preserve">describe recent </w:t>
      </w:r>
      <w:r w:rsidR="00F731CD" w:rsidRPr="004C0AFB">
        <w:t xml:space="preserve">approaches </w:t>
      </w:r>
      <w:r w:rsidR="00533510">
        <w:t xml:space="preserve">to resolving these difficulties </w:t>
      </w:r>
      <w:r w:rsidR="00F731CD" w:rsidRPr="004C0AFB">
        <w:t>in cooperative group trials</w:t>
      </w:r>
      <w:r w:rsidR="008049E6">
        <w:t xml:space="preserve"> in the USA and Europe</w:t>
      </w:r>
      <w:r w:rsidR="001C2499">
        <w:t>.</w:t>
      </w:r>
      <w:r w:rsidR="00F731CD">
        <w:rPr>
          <w:rFonts w:ascii="Arial" w:hAnsi="Arial" w:cs="Arial"/>
          <w:szCs w:val="22"/>
        </w:rPr>
        <w:t xml:space="preserve"> </w:t>
      </w:r>
    </w:p>
    <w:p w14:paraId="47FE60D6" w14:textId="77777777" w:rsidR="00B06DD0" w:rsidRPr="00F7113B" w:rsidRDefault="00B06DD0" w:rsidP="00FC3DC9">
      <w:pPr>
        <w:spacing w:line="360" w:lineRule="auto"/>
        <w:rPr>
          <w:color w:val="000000" w:themeColor="text1"/>
        </w:rPr>
      </w:pPr>
    </w:p>
    <w:p w14:paraId="3831BE63" w14:textId="3AEDD865" w:rsidR="00CB7C8E" w:rsidRPr="00F7113B" w:rsidRDefault="00EC040E" w:rsidP="00FC3DC9">
      <w:pPr>
        <w:pStyle w:val="ListParagraph"/>
        <w:numPr>
          <w:ilvl w:val="0"/>
          <w:numId w:val="1"/>
        </w:numPr>
        <w:spacing w:line="360" w:lineRule="auto"/>
        <w:ind w:left="270" w:hanging="270"/>
        <w:rPr>
          <w:color w:val="000000" w:themeColor="text1"/>
        </w:rPr>
      </w:pPr>
      <w:r w:rsidRPr="00F7113B">
        <w:rPr>
          <w:color w:val="000000" w:themeColor="text1"/>
        </w:rPr>
        <w:t>USA Children’s Oncology Group</w:t>
      </w:r>
      <w:r w:rsidR="00213C93" w:rsidRPr="00F7113B">
        <w:rPr>
          <w:color w:val="000000" w:themeColor="text1"/>
        </w:rPr>
        <w:t xml:space="preserve"> (COG)</w:t>
      </w:r>
      <w:r w:rsidRPr="00F7113B">
        <w:rPr>
          <w:color w:val="000000" w:themeColor="text1"/>
        </w:rPr>
        <w:t xml:space="preserve"> </w:t>
      </w:r>
      <w:r w:rsidR="00CB7C8E" w:rsidRPr="00F7113B">
        <w:rPr>
          <w:color w:val="000000" w:themeColor="text1"/>
        </w:rPr>
        <w:t xml:space="preserve"> </w:t>
      </w:r>
    </w:p>
    <w:p w14:paraId="7EB151D5" w14:textId="77777777" w:rsidR="00051481" w:rsidRPr="00F7113B" w:rsidRDefault="00051481" w:rsidP="00FC3DC9">
      <w:pPr>
        <w:spacing w:line="360" w:lineRule="auto"/>
        <w:jc w:val="both"/>
        <w:rPr>
          <w:color w:val="000000" w:themeColor="text1"/>
        </w:rPr>
      </w:pPr>
    </w:p>
    <w:p w14:paraId="5375FED0" w14:textId="1AFED4AD" w:rsidR="00E445C9" w:rsidRPr="00F7113B" w:rsidRDefault="00E445C9" w:rsidP="00E445C9">
      <w:pPr>
        <w:spacing w:line="360" w:lineRule="auto"/>
        <w:jc w:val="both"/>
        <w:rPr>
          <w:color w:val="000000" w:themeColor="text1"/>
        </w:rPr>
      </w:pPr>
      <w:r w:rsidRPr="00F7113B">
        <w:rPr>
          <w:color w:val="000000" w:themeColor="text1"/>
        </w:rPr>
        <w:t>Prior to the early 2000s, comprehensive assessment of cognition, behaviour, and</w:t>
      </w:r>
      <w:r w:rsidR="00BB2090">
        <w:rPr>
          <w:color w:val="000000" w:themeColor="text1"/>
        </w:rPr>
        <w:t xml:space="preserve"> QoS </w:t>
      </w:r>
      <w:r w:rsidRPr="00F7113B">
        <w:rPr>
          <w:color w:val="000000" w:themeColor="text1"/>
        </w:rPr>
        <w:t xml:space="preserve">in </w:t>
      </w:r>
      <w:r w:rsidR="00F358B6">
        <w:rPr>
          <w:color w:val="000000" w:themeColor="text1"/>
        </w:rPr>
        <w:t xml:space="preserve">children and young people </w:t>
      </w:r>
      <w:r w:rsidRPr="00F7113B">
        <w:rPr>
          <w:color w:val="000000" w:themeColor="text1"/>
        </w:rPr>
        <w:t xml:space="preserve">treated for brain tumours and acute </w:t>
      </w:r>
      <w:proofErr w:type="spellStart"/>
      <w:r w:rsidRPr="00F7113B">
        <w:rPr>
          <w:color w:val="000000" w:themeColor="text1"/>
        </w:rPr>
        <w:t>leukemias</w:t>
      </w:r>
      <w:proofErr w:type="spellEnd"/>
      <w:r w:rsidRPr="00F7113B">
        <w:rPr>
          <w:color w:val="000000" w:themeColor="text1"/>
        </w:rPr>
        <w:t xml:space="preserve"> on COG clinical trials in North America relied heavily on direct psychometric testing, but typically achieved adherence rates below 30% with high risk of associated attrition bias</w:t>
      </w:r>
      <w:r w:rsidR="007A7326">
        <w:rPr>
          <w:color w:val="000000" w:themeColor="text1"/>
          <w:vertAlign w:val="superscript"/>
        </w:rPr>
        <w:t>2</w:t>
      </w:r>
      <w:r w:rsidR="00CE4A8A">
        <w:rPr>
          <w:color w:val="000000" w:themeColor="text1"/>
        </w:rPr>
        <w:t>.</w:t>
      </w:r>
      <w:r w:rsidRPr="00F7113B">
        <w:rPr>
          <w:color w:val="000000" w:themeColor="text1"/>
        </w:rPr>
        <w:t xml:space="preserve"> To address the barriers identified, </w:t>
      </w:r>
      <w:r w:rsidR="00033E56" w:rsidRPr="00F7113B">
        <w:rPr>
          <w:color w:val="000000" w:themeColor="text1"/>
        </w:rPr>
        <w:t xml:space="preserve">including many of the issues described above, </w:t>
      </w:r>
      <w:r w:rsidRPr="00F7113B">
        <w:rPr>
          <w:color w:val="000000" w:themeColor="text1"/>
        </w:rPr>
        <w:t xml:space="preserve">two complementary strategies have </w:t>
      </w:r>
      <w:r w:rsidR="00B20AA0">
        <w:rPr>
          <w:color w:val="000000" w:themeColor="text1"/>
        </w:rPr>
        <w:t xml:space="preserve">since </w:t>
      </w:r>
      <w:r w:rsidRPr="00F7113B">
        <w:rPr>
          <w:color w:val="000000" w:themeColor="text1"/>
        </w:rPr>
        <w:t>been developed to evaluate neuropsychological functioning</w:t>
      </w:r>
      <w:r w:rsidR="00522D49" w:rsidRPr="00F7113B">
        <w:rPr>
          <w:color w:val="000000" w:themeColor="text1"/>
        </w:rPr>
        <w:t xml:space="preserve">: </w:t>
      </w:r>
      <w:r w:rsidRPr="00F7113B">
        <w:rPr>
          <w:color w:val="000000" w:themeColor="text1"/>
        </w:rPr>
        <w:t>ALTE07C1 and</w:t>
      </w:r>
      <w:r w:rsidR="004D7BC2">
        <w:rPr>
          <w:color w:val="000000" w:themeColor="text1"/>
        </w:rPr>
        <w:t xml:space="preserve"> Cogstate</w:t>
      </w:r>
      <w:r w:rsidR="00522D49" w:rsidRPr="00F7113B">
        <w:rPr>
          <w:color w:val="000000" w:themeColor="text1"/>
        </w:rPr>
        <w:t xml:space="preserve"> computerized battery</w:t>
      </w:r>
      <w:r w:rsidRPr="00F7113B">
        <w:rPr>
          <w:color w:val="000000" w:themeColor="text1"/>
        </w:rPr>
        <w:t xml:space="preserve">. Each was developed to address unique assessment needs for children with cancer within the context of clinical trials.  </w:t>
      </w:r>
    </w:p>
    <w:p w14:paraId="310E4540" w14:textId="77777777" w:rsidR="00051481" w:rsidRPr="004D7BC2" w:rsidRDefault="00051481" w:rsidP="00FC3DC9">
      <w:pPr>
        <w:spacing w:line="360" w:lineRule="auto"/>
        <w:jc w:val="both"/>
        <w:rPr>
          <w:color w:val="000000" w:themeColor="text1"/>
        </w:rPr>
      </w:pPr>
    </w:p>
    <w:p w14:paraId="71CDC843" w14:textId="77777777" w:rsidR="00E445C9" w:rsidRPr="004D7BC2" w:rsidRDefault="00E445C9" w:rsidP="00E445C9">
      <w:pPr>
        <w:spacing w:line="360" w:lineRule="auto"/>
        <w:rPr>
          <w:color w:val="000000" w:themeColor="text1"/>
          <w:sz w:val="18"/>
        </w:rPr>
      </w:pPr>
      <w:r w:rsidRPr="004D7BC2">
        <w:rPr>
          <w:color w:val="000000" w:themeColor="text1"/>
        </w:rPr>
        <w:t xml:space="preserve">2.1 COG protocol ALTE07C1 </w:t>
      </w:r>
    </w:p>
    <w:p w14:paraId="7E88A880" w14:textId="77777777" w:rsidR="00E445C9" w:rsidRPr="004D7BC2" w:rsidRDefault="00E445C9" w:rsidP="00E445C9">
      <w:pPr>
        <w:spacing w:line="360" w:lineRule="auto"/>
        <w:jc w:val="both"/>
        <w:rPr>
          <w:rFonts w:cstheme="minorHAnsi"/>
          <w:color w:val="000000" w:themeColor="text1"/>
        </w:rPr>
      </w:pPr>
    </w:p>
    <w:p w14:paraId="5BB52192" w14:textId="47160D7D" w:rsidR="00E445C9" w:rsidRPr="004D7BC2" w:rsidRDefault="00B20AA0" w:rsidP="00E445C9">
      <w:pPr>
        <w:spacing w:line="360" w:lineRule="auto"/>
        <w:jc w:val="both"/>
        <w:rPr>
          <w:color w:val="000000" w:themeColor="text1"/>
        </w:rPr>
      </w:pPr>
      <w:r>
        <w:rPr>
          <w:rFonts w:cstheme="minorHAnsi"/>
          <w:color w:val="000000" w:themeColor="text1"/>
        </w:rPr>
        <w:t>ALTE07C1</w:t>
      </w:r>
      <w:r w:rsidRPr="004D7BC2">
        <w:rPr>
          <w:rFonts w:cstheme="minorHAnsi"/>
          <w:color w:val="000000" w:themeColor="text1"/>
        </w:rPr>
        <w:t xml:space="preserve"> </w:t>
      </w:r>
      <w:r w:rsidR="00E445C9" w:rsidRPr="004D7BC2">
        <w:rPr>
          <w:rFonts w:cstheme="minorHAnsi"/>
          <w:color w:val="000000" w:themeColor="text1"/>
        </w:rPr>
        <w:t>is a free-</w:t>
      </w:r>
      <w:r w:rsidR="00E445C9" w:rsidRPr="004D7BC2">
        <w:rPr>
          <w:color w:val="000000" w:themeColor="text1"/>
        </w:rPr>
        <w:t xml:space="preserve">standing companion protocol designed for COG therapeutic trials using traditional </w:t>
      </w:r>
      <w:r>
        <w:rPr>
          <w:color w:val="000000" w:themeColor="text1"/>
        </w:rPr>
        <w:t>cognitive</w:t>
      </w:r>
      <w:r w:rsidRPr="004D7BC2">
        <w:rPr>
          <w:color w:val="000000" w:themeColor="text1"/>
        </w:rPr>
        <w:t xml:space="preserve"> </w:t>
      </w:r>
      <w:r w:rsidR="00E445C9" w:rsidRPr="004D7BC2">
        <w:rPr>
          <w:color w:val="000000" w:themeColor="text1"/>
        </w:rPr>
        <w:t>tests. Consensus was obtained from a panel of experts regarding the measures and timing of assessments at three discrete time points (9-, 30- and 60-months post-diagnosis +/- 3 months). Measurements selected have robust psychometric properties, broad age range utility, relatively brief administration time (i.e., 60-90 minutes), administration proficiency by most psychologists, and established relevance to “real-world” functioning (</w:t>
      </w:r>
      <w:proofErr w:type="gramStart"/>
      <w:r w:rsidR="00E445C9" w:rsidRPr="004D7BC2">
        <w:rPr>
          <w:color w:val="000000" w:themeColor="text1"/>
        </w:rPr>
        <w:t>e.g.</w:t>
      </w:r>
      <w:proofErr w:type="gramEnd"/>
      <w:r w:rsidR="00E445C9" w:rsidRPr="004D7BC2">
        <w:rPr>
          <w:color w:val="000000" w:themeColor="text1"/>
        </w:rPr>
        <w:t xml:space="preserve"> school performance)</w:t>
      </w:r>
      <w:r w:rsidR="007A7326">
        <w:rPr>
          <w:color w:val="000000" w:themeColor="text1"/>
          <w:vertAlign w:val="superscript"/>
        </w:rPr>
        <w:t>3</w:t>
      </w:r>
      <w:r w:rsidR="00E445C9" w:rsidRPr="004D7BC2">
        <w:rPr>
          <w:color w:val="000000" w:themeColor="text1"/>
        </w:rPr>
        <w:t xml:space="preserve">. Domains assessed include global intellectual functioning, working memory, processing speed, and visual and verbal long-term memory. Parents also complete questionnaires relating to HRQoL and psychosocial and adaptive functioning (Table 1). </w:t>
      </w:r>
    </w:p>
    <w:p w14:paraId="4ED5CD9B" w14:textId="77777777" w:rsidR="00E445C9" w:rsidRPr="004D7BC2" w:rsidRDefault="00E445C9" w:rsidP="00E445C9">
      <w:pPr>
        <w:spacing w:line="360" w:lineRule="auto"/>
        <w:jc w:val="both"/>
        <w:rPr>
          <w:color w:val="000000" w:themeColor="text1"/>
        </w:rPr>
      </w:pPr>
    </w:p>
    <w:p w14:paraId="7B3D9EE7" w14:textId="1C4856E3" w:rsidR="00E445C9" w:rsidRPr="004D7BC2" w:rsidRDefault="00E445C9" w:rsidP="00E445C9">
      <w:pPr>
        <w:spacing w:line="360" w:lineRule="auto"/>
        <w:jc w:val="both"/>
        <w:rPr>
          <w:rFonts w:cstheme="minorHAnsi"/>
          <w:color w:val="000000" w:themeColor="text1"/>
        </w:rPr>
      </w:pPr>
      <w:r w:rsidRPr="004D7BC2">
        <w:rPr>
          <w:color w:val="000000" w:themeColor="text1"/>
        </w:rPr>
        <w:t>The initial evaluation takes place when a child is beyond the window of acute illness, but before deficits typically emerge</w:t>
      </w:r>
      <w:r w:rsidRPr="004D7BC2">
        <w:rPr>
          <w:rFonts w:cstheme="minorHAnsi"/>
          <w:color w:val="000000" w:themeColor="text1"/>
        </w:rPr>
        <w:t xml:space="preserve">. The second is timed to coincide with the anticipated emergence of cognitive impairments. The final assessment corresponds with the transition to long-term survivorship. </w:t>
      </w:r>
      <w:r w:rsidR="00B20AA0">
        <w:rPr>
          <w:rFonts w:cstheme="minorHAnsi"/>
          <w:color w:val="000000" w:themeColor="text1"/>
        </w:rPr>
        <w:t>After</w:t>
      </w:r>
      <w:r w:rsidR="00B20AA0" w:rsidRPr="004D7BC2">
        <w:rPr>
          <w:rFonts w:cstheme="minorHAnsi"/>
          <w:color w:val="000000" w:themeColor="text1"/>
        </w:rPr>
        <w:t xml:space="preserve"> </w:t>
      </w:r>
      <w:r w:rsidRPr="004D7BC2">
        <w:rPr>
          <w:rFonts w:cstheme="minorHAnsi"/>
          <w:color w:val="000000" w:themeColor="text1"/>
        </w:rPr>
        <w:t xml:space="preserve">initial activation of the ALTE07C1 protocol in 2008, the study </w:t>
      </w:r>
      <w:r w:rsidR="00B20AA0">
        <w:rPr>
          <w:rFonts w:cstheme="minorHAnsi"/>
          <w:color w:val="000000" w:themeColor="text1"/>
        </w:rPr>
        <w:t>was</w:t>
      </w:r>
      <w:r w:rsidRPr="004D7BC2">
        <w:rPr>
          <w:rFonts w:cstheme="minorHAnsi"/>
          <w:color w:val="000000" w:themeColor="text1"/>
        </w:rPr>
        <w:t xml:space="preserve"> opened at 75% of all COG institutions (169 sites) and more than 900 patients </w:t>
      </w:r>
      <w:r w:rsidR="00B20AA0">
        <w:rPr>
          <w:rFonts w:cstheme="minorHAnsi"/>
          <w:color w:val="000000" w:themeColor="text1"/>
        </w:rPr>
        <w:t>were</w:t>
      </w:r>
      <w:r w:rsidRPr="004D7BC2">
        <w:rPr>
          <w:rFonts w:cstheme="minorHAnsi"/>
          <w:color w:val="000000" w:themeColor="text1"/>
        </w:rPr>
        <w:t xml:space="preserve"> enrolled. Data have been captured for more than 90% of participants</w:t>
      </w:r>
      <w:r w:rsidR="00F358B6">
        <w:rPr>
          <w:rFonts w:cstheme="minorHAnsi"/>
          <w:color w:val="000000" w:themeColor="text1"/>
        </w:rPr>
        <w:t xml:space="preserve"> enrolled in this companion protocol</w:t>
      </w:r>
      <w:r w:rsidRPr="004D7BC2">
        <w:rPr>
          <w:rFonts w:cstheme="minorHAnsi"/>
          <w:color w:val="000000" w:themeColor="text1"/>
        </w:rPr>
        <w:t xml:space="preserve"> at the first two assessment points, and nearly 80% at the final assessment, approximately 5 years post-diagnosis.</w:t>
      </w:r>
    </w:p>
    <w:p w14:paraId="32C42973" w14:textId="4BB84B12" w:rsidR="004C6A02" w:rsidRDefault="004C6A02" w:rsidP="00FC3DC9">
      <w:pPr>
        <w:spacing w:line="360" w:lineRule="auto"/>
        <w:jc w:val="both"/>
        <w:rPr>
          <w:rFonts w:cstheme="minorHAnsi"/>
        </w:rPr>
      </w:pPr>
    </w:p>
    <w:p w14:paraId="17931559" w14:textId="5DF3A256" w:rsidR="00E445C9" w:rsidRPr="00F23161" w:rsidRDefault="00E445C9" w:rsidP="00E445C9">
      <w:pPr>
        <w:autoSpaceDE w:val="0"/>
        <w:autoSpaceDN w:val="0"/>
        <w:adjustRightInd w:val="0"/>
        <w:spacing w:line="360" w:lineRule="auto"/>
        <w:jc w:val="both"/>
        <w:rPr>
          <w:rFonts w:cstheme="minorHAnsi"/>
        </w:rPr>
      </w:pPr>
      <w:r>
        <w:rPr>
          <w:rFonts w:cstheme="minorHAnsi"/>
        </w:rPr>
        <w:lastRenderedPageBreak/>
        <w:t>T</w:t>
      </w:r>
      <w:r w:rsidRPr="00F23161">
        <w:rPr>
          <w:rFonts w:cstheme="minorHAnsi"/>
        </w:rPr>
        <w:t>his evaluation strategy has been both feasible and successful within CO</w:t>
      </w:r>
      <w:r>
        <w:rPr>
          <w:rFonts w:cstheme="minorHAnsi"/>
        </w:rPr>
        <w:t>G.</w:t>
      </w:r>
      <w:r w:rsidR="00F358B6">
        <w:rPr>
          <w:rFonts w:cstheme="minorHAnsi"/>
        </w:rPr>
        <w:t xml:space="preserve"> </w:t>
      </w:r>
      <w:r w:rsidR="00C47723">
        <w:rPr>
          <w:rFonts w:cstheme="minorHAnsi"/>
        </w:rPr>
        <w:t xml:space="preserve">However, </w:t>
      </w:r>
      <w:proofErr w:type="gramStart"/>
      <w:r w:rsidR="00C47723">
        <w:rPr>
          <w:rFonts w:cstheme="minorHAnsi"/>
        </w:rPr>
        <w:t>i</w:t>
      </w:r>
      <w:r>
        <w:rPr>
          <w:rFonts w:cstheme="minorHAnsi"/>
        </w:rPr>
        <w:t>n order t</w:t>
      </w:r>
      <w:r w:rsidRPr="00F23161">
        <w:rPr>
          <w:rFonts w:cstheme="minorHAnsi"/>
        </w:rPr>
        <w:t>o</w:t>
      </w:r>
      <w:proofErr w:type="gramEnd"/>
      <w:r w:rsidRPr="00F23161">
        <w:rPr>
          <w:rFonts w:cstheme="minorHAnsi"/>
        </w:rPr>
        <w:t xml:space="preserve"> maintain consistency with guidelines and standard practices across cooperative groups, ALTE07C1 </w:t>
      </w:r>
      <w:r w:rsidR="00C47723">
        <w:rPr>
          <w:rFonts w:cstheme="minorHAnsi"/>
        </w:rPr>
        <w:t xml:space="preserve">is </w:t>
      </w:r>
      <w:r w:rsidRPr="00F23161">
        <w:rPr>
          <w:rFonts w:cstheme="minorHAnsi"/>
        </w:rPr>
        <w:t>no longer maintained as a free-standing protocol</w:t>
      </w:r>
      <w:r>
        <w:rPr>
          <w:rFonts w:cstheme="minorHAnsi"/>
        </w:rPr>
        <w:t xml:space="preserve"> but </w:t>
      </w:r>
      <w:r w:rsidR="00C47723">
        <w:rPr>
          <w:rFonts w:cstheme="minorHAnsi"/>
        </w:rPr>
        <w:t xml:space="preserve">has </w:t>
      </w:r>
      <w:r w:rsidRPr="00F23161">
        <w:rPr>
          <w:rFonts w:cstheme="minorHAnsi"/>
        </w:rPr>
        <w:t>transition</w:t>
      </w:r>
      <w:r w:rsidR="00C47723">
        <w:rPr>
          <w:rFonts w:cstheme="minorHAnsi"/>
        </w:rPr>
        <w:t>ed</w:t>
      </w:r>
      <w:r w:rsidRPr="00F23161">
        <w:rPr>
          <w:rFonts w:cstheme="minorHAnsi"/>
        </w:rPr>
        <w:t xml:space="preserve"> to a </w:t>
      </w:r>
      <w:r>
        <w:rPr>
          <w:rFonts w:cstheme="minorHAnsi"/>
        </w:rPr>
        <w:t>standardized</w:t>
      </w:r>
      <w:r w:rsidRPr="00F23161">
        <w:rPr>
          <w:rFonts w:cstheme="minorHAnsi"/>
        </w:rPr>
        <w:t xml:space="preserve"> battery that </w:t>
      </w:r>
      <w:r w:rsidR="00C47723">
        <w:rPr>
          <w:rFonts w:cstheme="minorHAnsi"/>
        </w:rPr>
        <w:t>is</w:t>
      </w:r>
      <w:r w:rsidRPr="00F23161">
        <w:rPr>
          <w:rFonts w:cstheme="minorHAnsi"/>
        </w:rPr>
        <w:t xml:space="preserve"> embedded within </w:t>
      </w:r>
      <w:r w:rsidR="00C47723">
        <w:rPr>
          <w:rFonts w:cstheme="minorHAnsi"/>
        </w:rPr>
        <w:t>newly developed</w:t>
      </w:r>
      <w:r w:rsidR="00C47723" w:rsidRPr="00F23161">
        <w:rPr>
          <w:rFonts w:cstheme="minorHAnsi"/>
        </w:rPr>
        <w:t xml:space="preserve"> </w:t>
      </w:r>
      <w:r w:rsidRPr="00F23161">
        <w:rPr>
          <w:rFonts w:cstheme="minorHAnsi"/>
        </w:rPr>
        <w:t>therapeutic trials. Thus, specific, relevant research aims, hypotheses</w:t>
      </w:r>
      <w:r>
        <w:rPr>
          <w:rFonts w:cstheme="minorHAnsi"/>
        </w:rPr>
        <w:t>,</w:t>
      </w:r>
      <w:r w:rsidRPr="00F23161">
        <w:rPr>
          <w:rFonts w:cstheme="minorHAnsi"/>
        </w:rPr>
        <w:t xml:space="preserve"> and analy</w:t>
      </w:r>
      <w:r>
        <w:rPr>
          <w:rFonts w:cstheme="minorHAnsi"/>
        </w:rPr>
        <w:t>tic</w:t>
      </w:r>
      <w:r w:rsidRPr="00F23161">
        <w:rPr>
          <w:rFonts w:cstheme="minorHAnsi"/>
        </w:rPr>
        <w:t xml:space="preserve"> plans </w:t>
      </w:r>
      <w:r w:rsidR="00C47723">
        <w:rPr>
          <w:rFonts w:cstheme="minorHAnsi"/>
        </w:rPr>
        <w:t xml:space="preserve">are </w:t>
      </w:r>
      <w:r>
        <w:rPr>
          <w:rFonts w:cstheme="minorHAnsi"/>
        </w:rPr>
        <w:t>contained</w:t>
      </w:r>
      <w:r w:rsidRPr="00F23161">
        <w:rPr>
          <w:rFonts w:cstheme="minorHAnsi"/>
        </w:rPr>
        <w:t xml:space="preserve"> within each treatment study, and the </w:t>
      </w:r>
      <w:r>
        <w:rPr>
          <w:rFonts w:cstheme="minorHAnsi"/>
        </w:rPr>
        <w:t>intact</w:t>
      </w:r>
      <w:r w:rsidRPr="00F23161">
        <w:rPr>
          <w:rFonts w:cstheme="minorHAnsi"/>
        </w:rPr>
        <w:t xml:space="preserve"> </w:t>
      </w:r>
      <w:r>
        <w:rPr>
          <w:rFonts w:cstheme="minorHAnsi"/>
        </w:rPr>
        <w:t>assessment</w:t>
      </w:r>
      <w:r w:rsidRPr="00F23161">
        <w:rPr>
          <w:rFonts w:cstheme="minorHAnsi"/>
        </w:rPr>
        <w:t xml:space="preserve"> battery </w:t>
      </w:r>
      <w:r w:rsidR="00C47723">
        <w:rPr>
          <w:rFonts w:cstheme="minorHAnsi"/>
        </w:rPr>
        <w:t>is</w:t>
      </w:r>
      <w:r w:rsidRPr="00F23161">
        <w:rPr>
          <w:rFonts w:cstheme="minorHAnsi"/>
        </w:rPr>
        <w:t xml:space="preserve"> included as an appendix. </w:t>
      </w:r>
    </w:p>
    <w:p w14:paraId="2D07A565" w14:textId="1AF0798E" w:rsidR="00B67699" w:rsidRDefault="00B67699" w:rsidP="00FC3DC9">
      <w:pPr>
        <w:spacing w:line="360" w:lineRule="auto"/>
        <w:jc w:val="both"/>
      </w:pPr>
    </w:p>
    <w:p w14:paraId="677657E6" w14:textId="4894A10D" w:rsidR="00766E7C" w:rsidRPr="004D7BC2" w:rsidRDefault="00766E7C" w:rsidP="00FC3DC9">
      <w:pPr>
        <w:spacing w:line="360" w:lineRule="auto"/>
        <w:rPr>
          <w:b/>
          <w:bCs/>
          <w:color w:val="000000" w:themeColor="text1"/>
          <w:sz w:val="21"/>
          <w:szCs w:val="32"/>
        </w:rPr>
      </w:pPr>
      <w:r w:rsidRPr="004D7BC2">
        <w:rPr>
          <w:color w:val="000000" w:themeColor="text1"/>
        </w:rPr>
        <w:t>2.</w:t>
      </w:r>
      <w:r w:rsidR="00305B50" w:rsidRPr="004D7BC2">
        <w:rPr>
          <w:color w:val="000000" w:themeColor="text1"/>
        </w:rPr>
        <w:t>2</w:t>
      </w:r>
      <w:r w:rsidR="00884EB0" w:rsidRPr="004D7BC2">
        <w:rPr>
          <w:color w:val="000000" w:themeColor="text1"/>
        </w:rPr>
        <w:t xml:space="preserve"> </w:t>
      </w:r>
      <w:r w:rsidRPr="004D7BC2">
        <w:rPr>
          <w:color w:val="000000" w:themeColor="text1"/>
        </w:rPr>
        <w:t>Cogstate Computerised Assessment Battery</w:t>
      </w:r>
      <w:r w:rsidR="00A11033" w:rsidRPr="004D7BC2">
        <w:rPr>
          <w:color w:val="000000" w:themeColor="text1"/>
        </w:rPr>
        <w:t xml:space="preserve"> </w:t>
      </w:r>
    </w:p>
    <w:p w14:paraId="4216F0E4" w14:textId="77777777" w:rsidR="00766E7C" w:rsidRDefault="00766E7C" w:rsidP="00FC3DC9">
      <w:pPr>
        <w:spacing w:line="360" w:lineRule="auto"/>
        <w:jc w:val="both"/>
      </w:pPr>
    </w:p>
    <w:p w14:paraId="5AD2ABCD" w14:textId="161B820C" w:rsidR="00204A7C" w:rsidRDefault="003F4BBC" w:rsidP="00FC3DC9">
      <w:pPr>
        <w:spacing w:line="360" w:lineRule="auto"/>
        <w:jc w:val="both"/>
      </w:pPr>
      <w:r>
        <w:t>T</w:t>
      </w:r>
      <w:r w:rsidR="00F731CD" w:rsidRPr="00051481">
        <w:t>here is</w:t>
      </w:r>
      <w:r w:rsidR="00F204CE">
        <w:t xml:space="preserve"> often</w:t>
      </w:r>
      <w:r w:rsidR="00204A7C">
        <w:t xml:space="preserve"> a </w:t>
      </w:r>
      <w:r w:rsidR="00C47723">
        <w:t xml:space="preserve">need </w:t>
      </w:r>
      <w:r w:rsidR="00F731CD" w:rsidRPr="00051481">
        <w:t>to evaluate the onset and trajectory of cognitive deficits over the course of therapy and into survivorship, including</w:t>
      </w:r>
      <w:r w:rsidR="00C47723">
        <w:t xml:space="preserve"> </w:t>
      </w:r>
      <w:r w:rsidR="00F731CD" w:rsidRPr="00051481">
        <w:t xml:space="preserve">acute </w:t>
      </w:r>
      <w:r w:rsidR="0097391D" w:rsidRPr="00051481">
        <w:t>neurotoxicity</w:t>
      </w:r>
      <w:r w:rsidR="00F731CD" w:rsidRPr="00051481">
        <w:t xml:space="preserve"> and other early disease</w:t>
      </w:r>
      <w:r w:rsidR="00C47723">
        <w:t>-</w:t>
      </w:r>
      <w:r w:rsidR="00F204CE">
        <w:t xml:space="preserve"> or treatment</w:t>
      </w:r>
      <w:r w:rsidR="00C47723">
        <w:t>-related changes</w:t>
      </w:r>
      <w:r w:rsidR="00F204CE">
        <w:t xml:space="preserve">. </w:t>
      </w:r>
      <w:r w:rsidR="00F731CD" w:rsidRPr="00051481">
        <w:t>Computerized forms of cognitive testing</w:t>
      </w:r>
      <w:r w:rsidR="00951AE3">
        <w:t>,</w:t>
      </w:r>
      <w:r w:rsidR="006B586B">
        <w:t xml:space="preserve"> such as Cogstate</w:t>
      </w:r>
      <w:r w:rsidR="00951AE3">
        <w:t>,</w:t>
      </w:r>
      <w:r w:rsidR="00F731CD" w:rsidRPr="00051481">
        <w:t xml:space="preserve"> have been developed as an alternative</w:t>
      </w:r>
      <w:r w:rsidR="00C47723">
        <w:t xml:space="preserve"> and/or</w:t>
      </w:r>
      <w:r w:rsidR="00522D49">
        <w:t xml:space="preserve"> complement</w:t>
      </w:r>
      <w:r w:rsidR="00F731CD" w:rsidRPr="00051481">
        <w:t xml:space="preserve"> to traditional batteries and have the potential to reduce testing time</w:t>
      </w:r>
      <w:r w:rsidR="00655E26">
        <w:t xml:space="preserve"> and</w:t>
      </w:r>
      <w:r w:rsidR="00F731CD" w:rsidRPr="00051481">
        <w:t xml:space="preserve"> burden </w:t>
      </w:r>
      <w:r w:rsidR="007E483D">
        <w:t xml:space="preserve">for patients and staff. </w:t>
      </w:r>
      <w:r w:rsidR="00522D49">
        <w:t>Although computerized batteries</w:t>
      </w:r>
      <w:r w:rsidR="00DA284B">
        <w:t xml:space="preserve"> can</w:t>
      </w:r>
      <w:r w:rsidR="000A655F">
        <w:t xml:space="preserve"> rarely evaluate all relevant aspects of cognitive functioning,</w:t>
      </w:r>
      <w:r w:rsidR="00F731CD" w:rsidRPr="00051481">
        <w:t xml:space="preserve"> </w:t>
      </w:r>
      <w:r w:rsidR="007E483D">
        <w:t>the</w:t>
      </w:r>
      <w:r w:rsidR="000A655F">
        <w:t>y</w:t>
      </w:r>
      <w:r w:rsidR="007E483D">
        <w:t xml:space="preserve"> </w:t>
      </w:r>
      <w:r w:rsidR="000A655F">
        <w:t>typically measure</w:t>
      </w:r>
      <w:r w:rsidR="000D59B6">
        <w:t xml:space="preserve"> important </w:t>
      </w:r>
      <w:r w:rsidR="000A655F">
        <w:t xml:space="preserve">domains vulnerable to decline, and </w:t>
      </w:r>
      <w:r w:rsidR="00F731CD" w:rsidRPr="00051481">
        <w:t xml:space="preserve">often have negligible practice effects, making them well-suited for use in longitudinal studies with assessment intervals shorter than one year. </w:t>
      </w:r>
    </w:p>
    <w:p w14:paraId="627BCAFA" w14:textId="77777777" w:rsidR="00204A7C" w:rsidRDefault="00204A7C" w:rsidP="00FC3DC9">
      <w:pPr>
        <w:spacing w:line="360" w:lineRule="auto"/>
        <w:jc w:val="both"/>
      </w:pPr>
    </w:p>
    <w:p w14:paraId="23CC0343" w14:textId="5D8BF222" w:rsidR="00B317FE" w:rsidRDefault="00204A7C" w:rsidP="00FC3DC9">
      <w:pPr>
        <w:spacing w:line="360" w:lineRule="auto"/>
        <w:jc w:val="both"/>
      </w:pPr>
      <w:r>
        <w:t>Cogstate</w:t>
      </w:r>
      <w:r w:rsidR="006B586B">
        <w:t xml:space="preserve"> has been employed in </w:t>
      </w:r>
      <w:r w:rsidR="00606F5A">
        <w:t>eight</w:t>
      </w:r>
      <w:r w:rsidR="00E445C9">
        <w:t xml:space="preserve"> COG </w:t>
      </w:r>
      <w:r>
        <w:t>clinical trials since 2011</w:t>
      </w:r>
      <w:r w:rsidR="006B586B">
        <w:t>,</w:t>
      </w:r>
      <w:r w:rsidR="00E445C9">
        <w:t xml:space="preserve"> with an additional </w:t>
      </w:r>
      <w:r w:rsidR="00606F5A">
        <w:t>two</w:t>
      </w:r>
      <w:r w:rsidR="00606F5A" w:rsidRPr="00051481">
        <w:t xml:space="preserve"> </w:t>
      </w:r>
      <w:r w:rsidRPr="00051481">
        <w:t xml:space="preserve">trials in development.  </w:t>
      </w:r>
      <w:r w:rsidR="00F731CD" w:rsidRPr="00051481">
        <w:t xml:space="preserve">Cogstate offers a range of tasks measuring </w:t>
      </w:r>
      <w:r w:rsidR="00FD2AD7">
        <w:t xml:space="preserve">some of the </w:t>
      </w:r>
      <w:r w:rsidR="00F731CD" w:rsidRPr="00051481">
        <w:t>cognitive skills vulnerable to change following treatment with chemotherapy or radiation (</w:t>
      </w:r>
      <w:proofErr w:type="gramStart"/>
      <w:r w:rsidR="00F731CD" w:rsidRPr="00051481">
        <w:t>e.g.</w:t>
      </w:r>
      <w:proofErr w:type="gramEnd"/>
      <w:r w:rsidR="00F731CD" w:rsidRPr="00051481">
        <w:t xml:space="preserve"> attention, working memory, processing speed). </w:t>
      </w:r>
      <w:r w:rsidR="007E2B87">
        <w:t>For example, i</w:t>
      </w:r>
      <w:r w:rsidR="006B586B">
        <w:t>t</w:t>
      </w:r>
      <w:r w:rsidR="00F731CD" w:rsidRPr="00051481">
        <w:t xml:space="preserve"> is being used to identify the timing and trajectory of neurocognitive decline in children </w:t>
      </w:r>
      <w:r w:rsidR="00655E26">
        <w:t>with</w:t>
      </w:r>
      <w:r w:rsidR="00F731CD" w:rsidRPr="00051481">
        <w:t xml:space="preserve"> high-risk </w:t>
      </w:r>
      <w:r w:rsidR="0097391D" w:rsidRPr="00051481">
        <w:t>leukaemia</w:t>
      </w:r>
      <w:r w:rsidR="00F731CD" w:rsidRPr="00051481">
        <w:t xml:space="preserve"> (AALL1131)</w:t>
      </w:r>
      <w:r w:rsidR="007E2B87">
        <w:t xml:space="preserve">, </w:t>
      </w:r>
      <w:r w:rsidR="00F358B6">
        <w:t xml:space="preserve">to </w:t>
      </w:r>
      <w:r w:rsidR="00655E26">
        <w:t xml:space="preserve">determine </w:t>
      </w:r>
      <w:r w:rsidR="007E2B87">
        <w:t xml:space="preserve">associations between poverty and cognitive change in children with </w:t>
      </w:r>
      <w:r w:rsidR="007E2B87" w:rsidRPr="0012310E">
        <w:t>ALL</w:t>
      </w:r>
      <w:r w:rsidR="007E2B87">
        <w:t xml:space="preserve"> (AALL1731), </w:t>
      </w:r>
      <w:r w:rsidR="00F358B6">
        <w:t xml:space="preserve">to </w:t>
      </w:r>
      <w:r w:rsidR="007E2B87">
        <w:t xml:space="preserve">track cognitive changes in children with neurofibromatosis type 1 and low-grade glioma treated with a </w:t>
      </w:r>
      <w:proofErr w:type="spellStart"/>
      <w:r w:rsidR="007E2B87">
        <w:t>MeK</w:t>
      </w:r>
      <w:proofErr w:type="spellEnd"/>
      <w:r w:rsidR="007E2B87">
        <w:t xml:space="preserve"> inhibitor (ACNS1831),</w:t>
      </w:r>
      <w:r w:rsidR="00F731CD" w:rsidRPr="00051481">
        <w:t xml:space="preserve"> and </w:t>
      </w:r>
      <w:r w:rsidR="00F358B6">
        <w:t xml:space="preserve">to </w:t>
      </w:r>
      <w:r w:rsidR="00F731CD" w:rsidRPr="00051481">
        <w:t xml:space="preserve">determine whether there </w:t>
      </w:r>
      <w:r w:rsidR="00187E9C">
        <w:t xml:space="preserve">is </w:t>
      </w:r>
      <w:r w:rsidR="00F731CD" w:rsidRPr="00051481">
        <w:t xml:space="preserve">acute cognitive toxicity associated with arsenic trioxide treatment for </w:t>
      </w:r>
      <w:r w:rsidR="00187E9C">
        <w:t>Acute Promyelocytic L</w:t>
      </w:r>
      <w:r w:rsidR="00187E9C" w:rsidRPr="00187E9C">
        <w:t>eukaemia </w:t>
      </w:r>
      <w:r w:rsidR="00187E9C">
        <w:rPr>
          <w:rFonts w:ascii="Arial" w:eastAsia="Times New Roman" w:hAnsi="Arial" w:cs="Arial"/>
          <w:color w:val="545454"/>
          <w:sz w:val="21"/>
          <w:szCs w:val="21"/>
          <w:shd w:val="clear" w:color="auto" w:fill="FFFFFF"/>
          <w:lang w:eastAsia="en-GB"/>
        </w:rPr>
        <w:t>(</w:t>
      </w:r>
      <w:r w:rsidR="00F731CD" w:rsidRPr="00051481">
        <w:t>APML</w:t>
      </w:r>
      <w:r w:rsidR="00606F5A">
        <w:t>; AAML1331</w:t>
      </w:r>
      <w:r w:rsidR="00187E9C">
        <w:t>)</w:t>
      </w:r>
      <w:r w:rsidR="00F731CD" w:rsidRPr="00051481">
        <w:t xml:space="preserve">.  </w:t>
      </w:r>
    </w:p>
    <w:p w14:paraId="4904A60C" w14:textId="77777777" w:rsidR="00B317FE" w:rsidRDefault="00B317FE" w:rsidP="00FC3DC9">
      <w:pPr>
        <w:spacing w:line="360" w:lineRule="auto"/>
        <w:jc w:val="both"/>
      </w:pPr>
    </w:p>
    <w:p w14:paraId="733285BE" w14:textId="6C975AE7" w:rsidR="00CC750F" w:rsidRDefault="00F731CD" w:rsidP="00FC3DC9">
      <w:pPr>
        <w:spacing w:line="360" w:lineRule="auto"/>
        <w:jc w:val="both"/>
      </w:pPr>
      <w:r w:rsidRPr="00051481">
        <w:t>Cogstate has also been used as the primary outcome in two intervention trials for children with brain tumo</w:t>
      </w:r>
      <w:r w:rsidR="00A02B75">
        <w:t>u</w:t>
      </w:r>
      <w:r w:rsidRPr="00051481">
        <w:t xml:space="preserve">rs, evaluating the efficacy of </w:t>
      </w:r>
      <w:r w:rsidR="006B586B">
        <w:t>M</w:t>
      </w:r>
      <w:r w:rsidRPr="00051481">
        <w:t xml:space="preserve">odafinil in survivors with cognitive deficits </w:t>
      </w:r>
      <w:r w:rsidRPr="00051481">
        <w:lastRenderedPageBreak/>
        <w:t xml:space="preserve">(ACCL0922) and the feasibility of computerized cognitive training for children treated with cranial radiation (ACCL10P1). This approach appears feasible and acceptable across studies.  </w:t>
      </w:r>
      <w:r w:rsidRPr="0012310E">
        <w:t xml:space="preserve">For example, in AALL1131, 486 participants (70% of eligible patients) aged 6-11 </w:t>
      </w:r>
      <w:r w:rsidR="0094457A" w:rsidRPr="0012310E">
        <w:t xml:space="preserve">years </w:t>
      </w:r>
      <w:r w:rsidRPr="0012310E">
        <w:t>at diagnosis were enrolled.</w:t>
      </w:r>
      <w:r w:rsidRPr="00051481">
        <w:t xml:space="preserve"> Over </w:t>
      </w:r>
      <w:r w:rsidR="00606F5A">
        <w:t>9</w:t>
      </w:r>
      <w:r w:rsidRPr="00051481">
        <w:t xml:space="preserve">00 individuals have been trained to administer the battery at </w:t>
      </w:r>
      <w:r w:rsidR="00606F5A">
        <w:t>almost 190</w:t>
      </w:r>
      <w:r w:rsidRPr="00051481">
        <w:t xml:space="preserve"> COG member institutions</w:t>
      </w:r>
      <w:r w:rsidR="007E2B87">
        <w:t xml:space="preserve">. </w:t>
      </w:r>
      <w:r w:rsidRPr="00051481">
        <w:t>Technical problems with the program</w:t>
      </w:r>
      <w:r w:rsidR="00A02B75">
        <w:t>me</w:t>
      </w:r>
      <w:r w:rsidRPr="00051481">
        <w:t xml:space="preserve"> have occurred in less than 2% of cases and fewer than 2% of patients have been too </w:t>
      </w:r>
      <w:r w:rsidR="003C2371">
        <w:t xml:space="preserve">unwell </w:t>
      </w:r>
      <w:r w:rsidRPr="00051481">
        <w:t xml:space="preserve">to complete testing. </w:t>
      </w:r>
    </w:p>
    <w:p w14:paraId="32D3E781" w14:textId="7A9CF8D3" w:rsidR="00E7768A" w:rsidRDefault="00E7768A" w:rsidP="00FC3DC9">
      <w:pPr>
        <w:spacing w:line="360" w:lineRule="auto"/>
        <w:jc w:val="both"/>
      </w:pPr>
    </w:p>
    <w:p w14:paraId="7F6DF425" w14:textId="229B1CAA" w:rsidR="00E7768A" w:rsidRPr="003643DB" w:rsidRDefault="00134D8F" w:rsidP="00E7768A">
      <w:pPr>
        <w:pStyle w:val="ListParagraph"/>
        <w:numPr>
          <w:ilvl w:val="0"/>
          <w:numId w:val="1"/>
        </w:numPr>
        <w:spacing w:line="360" w:lineRule="auto"/>
        <w:ind w:left="426" w:hanging="426"/>
        <w:jc w:val="both"/>
        <w:rPr>
          <w:color w:val="2F5496" w:themeColor="accent1" w:themeShade="BF"/>
        </w:rPr>
      </w:pPr>
      <w:r w:rsidRPr="003643DB">
        <w:rPr>
          <w:color w:val="2F5496" w:themeColor="accent1" w:themeShade="BF"/>
        </w:rPr>
        <w:t xml:space="preserve">European </w:t>
      </w:r>
      <w:r w:rsidR="00E7768A" w:rsidRPr="003643DB">
        <w:rPr>
          <w:color w:val="2F5496" w:themeColor="accent1" w:themeShade="BF"/>
        </w:rPr>
        <w:t>Society of Paediatric Oncology (SIOP-E)</w:t>
      </w:r>
    </w:p>
    <w:p w14:paraId="08470118" w14:textId="77777777" w:rsidR="00E7768A" w:rsidRPr="00E7768A" w:rsidRDefault="00E7768A" w:rsidP="00E7768A">
      <w:pPr>
        <w:pStyle w:val="ListParagraph"/>
        <w:spacing w:line="360" w:lineRule="auto"/>
        <w:ind w:left="426"/>
        <w:jc w:val="both"/>
        <w:rPr>
          <w:b/>
          <w:color w:val="2F5496" w:themeColor="accent1" w:themeShade="BF"/>
        </w:rPr>
      </w:pPr>
    </w:p>
    <w:p w14:paraId="3F774305" w14:textId="0913B2CD" w:rsidR="009D47FF" w:rsidRPr="003643DB" w:rsidRDefault="00BA172F" w:rsidP="009D47FF">
      <w:pPr>
        <w:spacing w:line="360" w:lineRule="auto"/>
        <w:jc w:val="both"/>
      </w:pPr>
      <w:r w:rsidRPr="003643DB">
        <w:t>The European branch of the International Society of Paediatric Oncology (SIOP-E) is a</w:t>
      </w:r>
      <w:r w:rsidR="00270AAF">
        <w:t>n</w:t>
      </w:r>
      <w:r w:rsidRPr="003643DB">
        <w:t xml:space="preserve"> organisation representing professionals working in childhood cancer across 34 countries. </w:t>
      </w:r>
      <w:r w:rsidR="009D47FF" w:rsidRPr="003643DB">
        <w:t xml:space="preserve">In 2015 the SIOP-E </w:t>
      </w:r>
      <w:r w:rsidR="008049E6" w:rsidRPr="003643DB">
        <w:t xml:space="preserve">Brain Tumour Group (BTG) </w:t>
      </w:r>
      <w:r w:rsidR="009D47FF" w:rsidRPr="003643DB">
        <w:t xml:space="preserve">published a position statement </w:t>
      </w:r>
      <w:r w:rsidR="00456235" w:rsidRPr="003643DB">
        <w:t>describ</w:t>
      </w:r>
      <w:r w:rsidR="00206C80" w:rsidRPr="003643DB">
        <w:t>ing</w:t>
      </w:r>
      <w:r w:rsidR="00456235" w:rsidRPr="003643DB">
        <w:t xml:space="preserve"> a </w:t>
      </w:r>
      <w:r w:rsidR="009D47FF" w:rsidRPr="003643DB">
        <w:t>common set of QoS assessments</w:t>
      </w:r>
      <w:r w:rsidR="0081637F" w:rsidRPr="003643DB">
        <w:t xml:space="preserve"> to be used in </w:t>
      </w:r>
      <w:r w:rsidR="00206C80" w:rsidRPr="003643DB">
        <w:t>European</w:t>
      </w:r>
      <w:r w:rsidR="0081637F" w:rsidRPr="003643DB">
        <w:t xml:space="preserve"> trials</w:t>
      </w:r>
      <w:r w:rsidR="00206C80" w:rsidRPr="003643DB">
        <w:t xml:space="preserve"> in multiple languages for children over the age of five </w:t>
      </w:r>
      <w:r w:rsidR="009811C2" w:rsidRPr="003643DB">
        <w:t>years</w:t>
      </w:r>
      <w:r w:rsidR="009811C2" w:rsidRPr="009811C2">
        <w:rPr>
          <w:color w:val="0070C0"/>
          <w:sz w:val="22"/>
          <w:szCs w:val="22"/>
          <w:vertAlign w:val="superscript"/>
        </w:rPr>
        <w:t>16</w:t>
      </w:r>
      <w:r w:rsidR="00206C80" w:rsidRPr="003643DB">
        <w:t>.</w:t>
      </w:r>
      <w:r w:rsidR="009D47FF" w:rsidRPr="003643DB">
        <w:t xml:space="preserve"> </w:t>
      </w:r>
      <w:r w:rsidR="00C2420B">
        <w:t xml:space="preserve">A ‘Core </w:t>
      </w:r>
      <w:proofErr w:type="spellStart"/>
      <w:r w:rsidR="00C2420B">
        <w:t>Plus’</w:t>
      </w:r>
      <w:proofErr w:type="spellEnd"/>
      <w:r w:rsidR="00C2420B">
        <w:t xml:space="preserve"> approach was introduced which recommended </w:t>
      </w:r>
      <w:r w:rsidR="00227B6B">
        <w:t xml:space="preserve">relatively brief </w:t>
      </w:r>
      <w:r w:rsidR="00C2420B">
        <w:t>‘Core’ measures o</w:t>
      </w:r>
      <w:r w:rsidR="00227B6B">
        <w:t>f</w:t>
      </w:r>
      <w:r w:rsidR="00C2420B">
        <w:t xml:space="preserve"> cognition and HRQoL for all trials alongside more e</w:t>
      </w:r>
      <w:r w:rsidR="00577328">
        <w:t>xtensive</w:t>
      </w:r>
      <w:r w:rsidR="00C2420B">
        <w:t xml:space="preserve"> ‘Plus’ measures where </w:t>
      </w:r>
      <w:r w:rsidR="00227B6B">
        <w:t>feasible</w:t>
      </w:r>
      <w:r w:rsidR="00C2420B">
        <w:t xml:space="preserve">. </w:t>
      </w:r>
      <w:r w:rsidR="00206C80" w:rsidRPr="003643DB">
        <w:t>Th</w:t>
      </w:r>
      <w:r w:rsidR="00C2420B">
        <w:t xml:space="preserve">e initial SIOP-E position statement </w:t>
      </w:r>
      <w:r w:rsidR="00206C80" w:rsidRPr="003643DB">
        <w:t>was subsequently</w:t>
      </w:r>
      <w:r w:rsidR="00456235" w:rsidRPr="003643DB">
        <w:t xml:space="preserve"> </w:t>
      </w:r>
      <w:r w:rsidR="00270AAF">
        <w:t xml:space="preserve">modified to include </w:t>
      </w:r>
      <w:r w:rsidR="00456235" w:rsidRPr="003643DB">
        <w:t xml:space="preserve">children </w:t>
      </w:r>
      <w:r w:rsidR="00206C80" w:rsidRPr="003643DB">
        <w:t xml:space="preserve">five </w:t>
      </w:r>
      <w:r w:rsidR="00456235" w:rsidRPr="003643DB">
        <w:t xml:space="preserve">years and </w:t>
      </w:r>
      <w:r w:rsidR="009811C2" w:rsidRPr="003643DB">
        <w:t>under</w:t>
      </w:r>
      <w:r w:rsidR="009811C2" w:rsidRPr="009811C2">
        <w:rPr>
          <w:color w:val="0070C0"/>
          <w:vertAlign w:val="superscript"/>
        </w:rPr>
        <w:t>17</w:t>
      </w:r>
      <w:r w:rsidR="000C60A4" w:rsidRPr="003643DB">
        <w:t>.</w:t>
      </w:r>
      <w:r w:rsidR="009D47FF" w:rsidRPr="003643DB">
        <w:t xml:space="preserve"> </w:t>
      </w:r>
    </w:p>
    <w:p w14:paraId="2DBB2333" w14:textId="77777777" w:rsidR="009D47FF" w:rsidRDefault="009D47FF" w:rsidP="00FC3DC9">
      <w:pPr>
        <w:spacing w:line="360" w:lineRule="auto"/>
        <w:jc w:val="both"/>
      </w:pPr>
    </w:p>
    <w:p w14:paraId="6E435AB7" w14:textId="14AB3176" w:rsidR="00134D8F" w:rsidRPr="00C2420B" w:rsidRDefault="00134D8F" w:rsidP="00134D8F">
      <w:pPr>
        <w:spacing w:line="360" w:lineRule="auto"/>
        <w:rPr>
          <w:bCs/>
          <w:i/>
          <w:color w:val="000000" w:themeColor="text1"/>
          <w:sz w:val="18"/>
          <w:szCs w:val="21"/>
        </w:rPr>
      </w:pPr>
      <w:r w:rsidRPr="00C2420B">
        <w:rPr>
          <w:bCs/>
          <w:color w:val="000000" w:themeColor="text1"/>
        </w:rPr>
        <w:t xml:space="preserve">3.1 </w:t>
      </w:r>
      <w:r w:rsidR="00C33654" w:rsidRPr="00C2420B">
        <w:rPr>
          <w:bCs/>
          <w:color w:val="000000" w:themeColor="text1"/>
        </w:rPr>
        <w:t xml:space="preserve">Use of </w:t>
      </w:r>
      <w:r w:rsidR="00A73BC4" w:rsidRPr="00C2420B">
        <w:rPr>
          <w:bCs/>
          <w:color w:val="000000" w:themeColor="text1"/>
        </w:rPr>
        <w:t xml:space="preserve">PROMs </w:t>
      </w:r>
      <w:r w:rsidR="00C33654" w:rsidRPr="00C2420B">
        <w:rPr>
          <w:bCs/>
          <w:color w:val="000000" w:themeColor="text1"/>
        </w:rPr>
        <w:t xml:space="preserve">in SIOP-E </w:t>
      </w:r>
    </w:p>
    <w:p w14:paraId="6A782216" w14:textId="77777777" w:rsidR="00D47E03" w:rsidRPr="00531E51" w:rsidRDefault="00D47E03" w:rsidP="00531E51">
      <w:pPr>
        <w:spacing w:line="360" w:lineRule="auto"/>
        <w:jc w:val="both"/>
        <w:rPr>
          <w:b/>
          <w:color w:val="2F5496" w:themeColor="accent1" w:themeShade="BF"/>
        </w:rPr>
      </w:pPr>
    </w:p>
    <w:p w14:paraId="2C83AC15" w14:textId="1FCD2DE3" w:rsidR="003C79DC" w:rsidRPr="00531E51" w:rsidRDefault="00270AAF">
      <w:pPr>
        <w:spacing w:line="360" w:lineRule="auto"/>
        <w:jc w:val="both"/>
      </w:pPr>
      <w:r>
        <w:t>I</w:t>
      </w:r>
      <w:r w:rsidR="003C79DC" w:rsidRPr="003643DB">
        <w:t>n the 1990s</w:t>
      </w:r>
      <w:r>
        <w:t>,</w:t>
      </w:r>
      <w:r w:rsidR="003C79DC" w:rsidRPr="003643DB">
        <w:t xml:space="preserve"> </w:t>
      </w:r>
      <w:r w:rsidR="00741026" w:rsidRPr="003643DB">
        <w:t>proxy-</w:t>
      </w:r>
      <w:r w:rsidR="003C79DC" w:rsidRPr="003643DB">
        <w:t>reports w</w:t>
      </w:r>
      <w:r w:rsidR="00AD2384">
        <w:t>ere</w:t>
      </w:r>
      <w:r w:rsidR="003C79DC" w:rsidRPr="003643DB">
        <w:t xml:space="preserve"> favoured by epidemiologists </w:t>
      </w:r>
      <w:r w:rsidR="00A02B75" w:rsidRPr="003643DB">
        <w:t xml:space="preserve">in the UK </w:t>
      </w:r>
      <w:r w:rsidR="003C79DC" w:rsidRPr="003643DB">
        <w:t>to assess QoS in multicentre treatment trials of infants with neurological disorders</w:t>
      </w:r>
      <w:r w:rsidR="00760A14" w:rsidRPr="003643DB">
        <w:t xml:space="preserve">. This </w:t>
      </w:r>
      <w:r w:rsidR="00741026" w:rsidRPr="003643DB">
        <w:t xml:space="preserve">approach </w:t>
      </w:r>
      <w:r w:rsidR="00760A14" w:rsidRPr="003643DB">
        <w:t xml:space="preserve">was </w:t>
      </w:r>
      <w:r>
        <w:t xml:space="preserve">later </w:t>
      </w:r>
      <w:r w:rsidR="00760A14" w:rsidRPr="003643DB">
        <w:t xml:space="preserve">adapted in successful pilot studies in UK </w:t>
      </w:r>
      <w:r w:rsidR="003C79DC" w:rsidRPr="003643DB">
        <w:t xml:space="preserve">regional paediatric brain tumour treatment </w:t>
      </w:r>
      <w:r w:rsidR="00B3711D" w:rsidRPr="003643DB">
        <w:t>centres</w:t>
      </w:r>
      <w:r w:rsidR="00B3711D" w:rsidRPr="00B3711D">
        <w:rPr>
          <w:color w:val="0070C0"/>
          <w:vertAlign w:val="superscript"/>
        </w:rPr>
        <w:t>18,19</w:t>
      </w:r>
      <w:r w:rsidR="003C79DC" w:rsidRPr="003643DB">
        <w:t xml:space="preserve">. </w:t>
      </w:r>
      <w:r w:rsidR="00741026" w:rsidRPr="003643DB">
        <w:t>Subsequently a</w:t>
      </w:r>
      <w:r w:rsidR="002B437B">
        <w:t xml:space="preserve"> battery </w:t>
      </w:r>
      <w:r w:rsidR="00741026" w:rsidRPr="003643DB">
        <w:t>of P</w:t>
      </w:r>
      <w:r w:rsidR="00AD2384">
        <w:t xml:space="preserve">atient Reported Outcome Measures (PROMs) </w:t>
      </w:r>
      <w:r w:rsidR="00741026" w:rsidRPr="003643DB">
        <w:t xml:space="preserve">was </w:t>
      </w:r>
      <w:r w:rsidR="003C79DC" w:rsidRPr="003643DB">
        <w:t xml:space="preserve">proposed for use by the UK Children’s Cancer and Leukaemia Group (CCLG,) </w:t>
      </w:r>
      <w:r w:rsidR="00741026" w:rsidRPr="003643DB">
        <w:t>to</w:t>
      </w:r>
      <w:r w:rsidR="003C79DC" w:rsidRPr="003643DB">
        <w:t xml:space="preserve"> </w:t>
      </w:r>
      <w:r w:rsidR="002848CB" w:rsidRPr="003643DB">
        <w:t xml:space="preserve">assess and </w:t>
      </w:r>
      <w:r w:rsidR="003C79DC" w:rsidRPr="003643DB">
        <w:t>monitor</w:t>
      </w:r>
      <w:r w:rsidR="00741026" w:rsidRPr="003643DB">
        <w:t xml:space="preserve"> outcomes</w:t>
      </w:r>
      <w:r w:rsidR="003C79DC" w:rsidRPr="003643DB">
        <w:t xml:space="preserve"> following </w:t>
      </w:r>
      <w:r>
        <w:t>brain</w:t>
      </w:r>
      <w:r w:rsidRPr="003643DB">
        <w:t xml:space="preserve"> </w:t>
      </w:r>
      <w:r w:rsidR="002848CB" w:rsidRPr="003643DB">
        <w:t xml:space="preserve">tumour </w:t>
      </w:r>
      <w:r w:rsidR="003C79DC" w:rsidRPr="003643DB">
        <w:t xml:space="preserve">treatment trials. The </w:t>
      </w:r>
      <w:r w:rsidR="002B437B">
        <w:t>battery</w:t>
      </w:r>
      <w:r w:rsidR="003C79DC" w:rsidRPr="003643DB">
        <w:t xml:space="preserve"> used standardized PROMs to capture behavioural and emotional functioning, health status, and HRQoL</w:t>
      </w:r>
      <w:r>
        <w:t>,</w:t>
      </w:r>
      <w:r w:rsidR="002B437B">
        <w:t xml:space="preserve"> and </w:t>
      </w:r>
      <w:r w:rsidR="003C79DC" w:rsidRPr="003643DB">
        <w:t>a novel Medical</w:t>
      </w:r>
      <w:r w:rsidR="00556F55" w:rsidRPr="003643DB">
        <w:t>,</w:t>
      </w:r>
      <w:r w:rsidR="003C79DC" w:rsidRPr="003643DB">
        <w:t xml:space="preserve"> Educational, Employment, and Social (MEES) </w:t>
      </w:r>
      <w:r w:rsidR="00B3711D" w:rsidRPr="003643DB">
        <w:t>questionnaire</w:t>
      </w:r>
      <w:r w:rsidR="00B3711D" w:rsidRPr="00B3711D">
        <w:rPr>
          <w:color w:val="0070C0"/>
          <w:vertAlign w:val="superscript"/>
        </w:rPr>
        <w:t>19</w:t>
      </w:r>
      <w:r w:rsidR="00B3711D">
        <w:t xml:space="preserve"> </w:t>
      </w:r>
      <w:r>
        <w:t>was developed</w:t>
      </w:r>
      <w:r w:rsidR="003C79DC" w:rsidRPr="003643DB">
        <w:t>. Th</w:t>
      </w:r>
      <w:r w:rsidR="002B437B">
        <w:t xml:space="preserve">e </w:t>
      </w:r>
      <w:r>
        <w:t>battery was</w:t>
      </w:r>
      <w:r w:rsidR="003C79DC" w:rsidRPr="003643DB">
        <w:t xml:space="preserve"> first applied in a study of UK survivors </w:t>
      </w:r>
      <w:r w:rsidR="002848CB" w:rsidRPr="003643DB">
        <w:t xml:space="preserve">of </w:t>
      </w:r>
      <w:r w:rsidR="006D6235" w:rsidRPr="003643DB">
        <w:t>the SIOP PNET3 medulloblastoma</w:t>
      </w:r>
      <w:r w:rsidR="006D6235" w:rsidRPr="003643DB" w:rsidDel="002848CB">
        <w:t xml:space="preserve"> </w:t>
      </w:r>
      <w:r w:rsidR="006D6235" w:rsidRPr="003643DB">
        <w:t>trial</w:t>
      </w:r>
      <w:r w:rsidR="006D6235" w:rsidRPr="003643DB" w:rsidDel="002848CB">
        <w:t xml:space="preserve"> </w:t>
      </w:r>
      <w:r w:rsidR="003C79DC" w:rsidRPr="003643DB">
        <w:t xml:space="preserve">at a mean interval of 7.2 years after enrolment. </w:t>
      </w:r>
      <w:r w:rsidR="00556F55" w:rsidRPr="003643DB">
        <w:t>QoS outcome</w:t>
      </w:r>
      <w:r w:rsidR="002848CB" w:rsidRPr="003643DB">
        <w:t>s</w:t>
      </w:r>
      <w:r w:rsidR="00556F55" w:rsidRPr="003643DB">
        <w:t xml:space="preserve"> </w:t>
      </w:r>
      <w:r w:rsidR="002848CB" w:rsidRPr="003643DB">
        <w:t>were</w:t>
      </w:r>
      <w:r w:rsidR="00556F55" w:rsidRPr="003643DB">
        <w:t xml:space="preserve"> </w:t>
      </w:r>
      <w:r w:rsidR="006D6235" w:rsidRPr="003643DB">
        <w:t>obtained</w:t>
      </w:r>
      <w:r w:rsidR="00556F55" w:rsidRPr="003643DB">
        <w:t xml:space="preserve"> </w:t>
      </w:r>
      <w:r w:rsidR="003C79DC" w:rsidRPr="003643DB">
        <w:t>in 107</w:t>
      </w:r>
      <w:r w:rsidR="006D6235" w:rsidRPr="003643DB">
        <w:t>/</w:t>
      </w:r>
      <w:r w:rsidR="003C79DC" w:rsidRPr="003643DB">
        <w:t xml:space="preserve">143 (73%) </w:t>
      </w:r>
      <w:r w:rsidR="00B3711D" w:rsidRPr="003643DB">
        <w:t>survivors</w:t>
      </w:r>
      <w:r w:rsidR="00B3711D" w:rsidRPr="00B3711D">
        <w:rPr>
          <w:color w:val="0070C0"/>
          <w:vertAlign w:val="superscript"/>
        </w:rPr>
        <w:t>20</w:t>
      </w:r>
      <w:r w:rsidR="006D6235" w:rsidRPr="003643DB">
        <w:t>.</w:t>
      </w:r>
      <w:r w:rsidR="003C79DC" w:rsidRPr="003643DB">
        <w:t xml:space="preserve"> </w:t>
      </w:r>
      <w:r w:rsidR="006D6235" w:rsidRPr="003643DB">
        <w:t>Following the successful implementation of the schema in th</w:t>
      </w:r>
      <w:r w:rsidR="003227EF" w:rsidRPr="003643DB">
        <w:t xml:space="preserve">e above </w:t>
      </w:r>
      <w:r w:rsidR="006D6235" w:rsidRPr="003643DB">
        <w:t>study,</w:t>
      </w:r>
      <w:r w:rsidR="00760A14" w:rsidRPr="003643DB">
        <w:t xml:space="preserve"> </w:t>
      </w:r>
      <w:r w:rsidR="00760A14" w:rsidRPr="003643DB">
        <w:lastRenderedPageBreak/>
        <w:t xml:space="preserve">the SIOP-E BTG QoS subgroup was </w:t>
      </w:r>
      <w:proofErr w:type="gramStart"/>
      <w:r w:rsidR="00760A14" w:rsidRPr="003643DB">
        <w:t>formed</w:t>
      </w:r>
      <w:proofErr w:type="gramEnd"/>
      <w:r w:rsidR="003A655C" w:rsidRPr="003643DB">
        <w:t xml:space="preserve"> and these indirect assessments</w:t>
      </w:r>
      <w:r w:rsidR="00E5155C" w:rsidRPr="003643DB">
        <w:t xml:space="preserve"> were </w:t>
      </w:r>
      <w:r>
        <w:t xml:space="preserve">successfully </w:t>
      </w:r>
      <w:r w:rsidR="00E5155C" w:rsidRPr="003643DB">
        <w:t>applied</w:t>
      </w:r>
      <w:r w:rsidR="003227EF" w:rsidRPr="003643DB">
        <w:t xml:space="preserve"> across Europe</w:t>
      </w:r>
      <w:r w:rsidR="0003459D">
        <w:t xml:space="preserve"> in </w:t>
      </w:r>
      <w:r w:rsidR="003227EF" w:rsidRPr="00270AAF">
        <w:t xml:space="preserve">62% </w:t>
      </w:r>
      <w:r w:rsidR="00B94FA7">
        <w:t xml:space="preserve">of </w:t>
      </w:r>
      <w:r w:rsidR="003227EF" w:rsidRPr="00270AAF">
        <w:t>eligible survivors</w:t>
      </w:r>
      <w:r w:rsidR="008049E6" w:rsidRPr="00270AAF">
        <w:t xml:space="preserve"> </w:t>
      </w:r>
      <w:r w:rsidR="00E5155C" w:rsidRPr="00270AAF">
        <w:t xml:space="preserve">in the PNET4 </w:t>
      </w:r>
      <w:r w:rsidR="00C33654" w:rsidRPr="00270AAF">
        <w:t>trial</w:t>
      </w:r>
      <w:r w:rsidR="00B3711D" w:rsidRPr="00B3711D">
        <w:rPr>
          <w:color w:val="0070C0"/>
          <w:vertAlign w:val="superscript"/>
        </w:rPr>
        <w:t>2</w:t>
      </w:r>
      <w:r w:rsidR="00B3711D">
        <w:rPr>
          <w:color w:val="0070C0"/>
          <w:vertAlign w:val="superscript"/>
        </w:rPr>
        <w:t>1</w:t>
      </w:r>
      <w:r w:rsidR="0012310E">
        <w:t>.</w:t>
      </w:r>
      <w:r w:rsidR="00C33654" w:rsidRPr="00270AAF">
        <w:t xml:space="preserve"> </w:t>
      </w:r>
    </w:p>
    <w:p w14:paraId="53831BAC" w14:textId="093A0B67" w:rsidR="00760A14" w:rsidRPr="00531E51" w:rsidRDefault="00760A14" w:rsidP="003C79DC">
      <w:pPr>
        <w:spacing w:line="360" w:lineRule="auto"/>
        <w:jc w:val="both"/>
      </w:pPr>
    </w:p>
    <w:p w14:paraId="7179A063" w14:textId="4818FE84" w:rsidR="009D47FF" w:rsidRPr="00531E51" w:rsidRDefault="009D47FF" w:rsidP="009D47FF">
      <w:pPr>
        <w:spacing w:line="360" w:lineRule="auto"/>
        <w:jc w:val="both"/>
      </w:pPr>
      <w:r w:rsidRPr="00531E51">
        <w:t xml:space="preserve">The SIOP-PNET5-MB medulloblastoma trial, which opened in 2014, </w:t>
      </w:r>
      <w:r w:rsidR="006D6235" w:rsidRPr="00531E51">
        <w:t xml:space="preserve">provided </w:t>
      </w:r>
      <w:r w:rsidRPr="00531E51">
        <w:t xml:space="preserve">an opportunity to capture PROM data via an on-line platform, rather than </w:t>
      </w:r>
      <w:r w:rsidR="004862B6" w:rsidRPr="00531E51">
        <w:t xml:space="preserve">using </w:t>
      </w:r>
      <w:r w:rsidRPr="00531E51">
        <w:t xml:space="preserve">paper questionnaires, </w:t>
      </w:r>
      <w:r w:rsidR="004862B6" w:rsidRPr="00531E51">
        <w:t xml:space="preserve">thereby simplifying the process for </w:t>
      </w:r>
      <w:r w:rsidRPr="00531E51">
        <w:t xml:space="preserve">patients and staff. </w:t>
      </w:r>
      <w:r w:rsidR="004862B6" w:rsidRPr="00531E51">
        <w:t>At the time of writing the trial was still in progress and a</w:t>
      </w:r>
      <w:r w:rsidRPr="00531E51">
        <w:t xml:space="preserve">scertainment of QoS </w:t>
      </w:r>
      <w:r w:rsidR="004862B6" w:rsidRPr="00531E51">
        <w:t xml:space="preserve">at </w:t>
      </w:r>
      <w:r w:rsidR="003D2391">
        <w:t xml:space="preserve">post-surgical </w:t>
      </w:r>
      <w:r w:rsidR="004862B6" w:rsidRPr="00531E51">
        <w:t xml:space="preserve">baseline </w:t>
      </w:r>
      <w:r w:rsidRPr="00531E51">
        <w:t>was 184</w:t>
      </w:r>
      <w:r w:rsidR="004862B6" w:rsidRPr="00531E51">
        <w:t>/</w:t>
      </w:r>
      <w:r w:rsidRPr="00531E51">
        <w:t>255 (72%) of eligible participants</w:t>
      </w:r>
      <w:r w:rsidR="00B94FA7">
        <w:t>,</w:t>
      </w:r>
      <w:r w:rsidR="004862B6" w:rsidRPr="00531E51">
        <w:t xml:space="preserve"> and 74% and 79% at </w:t>
      </w:r>
      <w:proofErr w:type="gramStart"/>
      <w:r w:rsidR="004862B6" w:rsidRPr="00531E51">
        <w:t>2 and 5 years</w:t>
      </w:r>
      <w:proofErr w:type="gramEnd"/>
      <w:r w:rsidR="004862B6" w:rsidRPr="00531E51">
        <w:t xml:space="preserve"> follow-up</w:t>
      </w:r>
      <w:r w:rsidR="00F975EF">
        <w:t>,</w:t>
      </w:r>
      <w:r w:rsidR="004862B6" w:rsidRPr="00531E51">
        <w:t xml:space="preserve"> respectively. </w:t>
      </w:r>
      <w:r w:rsidRPr="00531E51">
        <w:t xml:space="preserve">More recently, this online method </w:t>
      </w:r>
      <w:r w:rsidR="00056D67" w:rsidRPr="00531E51">
        <w:t>w</w:t>
      </w:r>
      <w:r w:rsidRPr="00531E51">
        <w:t xml:space="preserve">as adopted in the SIOP-HRMB high-risk medulloblastoma trial using the KLIK-EU </w:t>
      </w:r>
      <w:r w:rsidR="00056D67" w:rsidRPr="00531E51">
        <w:t>PROM portal</w:t>
      </w:r>
      <w:r w:rsidR="00330295">
        <w:t xml:space="preserve"> (</w:t>
      </w:r>
      <w:r w:rsidR="00330295" w:rsidRPr="00330295">
        <w:t>https://hrmb.klik-eu.org/</w:t>
      </w:r>
      <w:r w:rsidR="00330295">
        <w:t>)</w:t>
      </w:r>
      <w:r w:rsidRPr="00531E51">
        <w:t xml:space="preserve">. </w:t>
      </w:r>
    </w:p>
    <w:p w14:paraId="02516582" w14:textId="77777777" w:rsidR="003C79DC" w:rsidRPr="000B7018" w:rsidRDefault="003C79DC" w:rsidP="003C79DC">
      <w:pPr>
        <w:spacing w:line="360" w:lineRule="auto"/>
        <w:jc w:val="both"/>
        <w:rPr>
          <w:color w:val="2F5496" w:themeColor="accent1" w:themeShade="BF"/>
        </w:rPr>
      </w:pPr>
    </w:p>
    <w:p w14:paraId="07AFEE8B" w14:textId="71CCC989" w:rsidR="003C79DC" w:rsidRPr="00531E51" w:rsidRDefault="003C79DC" w:rsidP="003C79DC">
      <w:pPr>
        <w:spacing w:line="360" w:lineRule="auto"/>
        <w:jc w:val="both"/>
        <w:rPr>
          <w:color w:val="2F5496" w:themeColor="accent1" w:themeShade="BF"/>
        </w:rPr>
      </w:pPr>
      <w:r w:rsidRPr="00531E51">
        <w:rPr>
          <w:color w:val="2F5496" w:themeColor="accent1" w:themeShade="BF"/>
        </w:rPr>
        <w:t>3.</w:t>
      </w:r>
      <w:r w:rsidR="00E5155C" w:rsidRPr="00531E51">
        <w:rPr>
          <w:color w:val="2F5496" w:themeColor="accent1" w:themeShade="BF"/>
        </w:rPr>
        <w:t>2</w:t>
      </w:r>
      <w:r w:rsidRPr="00531E51">
        <w:rPr>
          <w:color w:val="2F5496" w:themeColor="accent1" w:themeShade="BF"/>
        </w:rPr>
        <w:t xml:space="preserve"> SIOP-E </w:t>
      </w:r>
      <w:r w:rsidR="00265756">
        <w:rPr>
          <w:color w:val="2F5496" w:themeColor="accent1" w:themeShade="BF"/>
        </w:rPr>
        <w:t>Cognitive Test Battery</w:t>
      </w:r>
    </w:p>
    <w:p w14:paraId="446800A4" w14:textId="77777777" w:rsidR="00EE4689" w:rsidRPr="00531E51" w:rsidRDefault="00EE4689" w:rsidP="003C79DC">
      <w:pPr>
        <w:spacing w:line="360" w:lineRule="auto"/>
        <w:jc w:val="both"/>
        <w:rPr>
          <w:b/>
          <w:color w:val="2F5496" w:themeColor="accent1" w:themeShade="BF"/>
        </w:rPr>
      </w:pPr>
    </w:p>
    <w:p w14:paraId="035EF476" w14:textId="67323E19" w:rsidR="003C79DC" w:rsidRPr="00531E51" w:rsidRDefault="003C79DC" w:rsidP="003C79DC">
      <w:pPr>
        <w:spacing w:line="360" w:lineRule="auto"/>
        <w:jc w:val="both"/>
      </w:pPr>
      <w:r w:rsidRPr="00531E51">
        <w:t xml:space="preserve">The first prospective application of the ‘Core </w:t>
      </w:r>
      <w:proofErr w:type="spellStart"/>
      <w:r w:rsidRPr="00531E51">
        <w:t>Plus’</w:t>
      </w:r>
      <w:proofErr w:type="spellEnd"/>
      <w:r w:rsidRPr="00531E51">
        <w:t xml:space="preserve"> </w:t>
      </w:r>
      <w:r w:rsidR="007517E7">
        <w:t xml:space="preserve">cognitive test </w:t>
      </w:r>
      <w:r w:rsidR="00B3711D">
        <w:t>battery</w:t>
      </w:r>
      <w:r w:rsidR="00B3711D" w:rsidRPr="00B3711D">
        <w:rPr>
          <w:color w:val="0070C0"/>
          <w:vertAlign w:val="superscript"/>
        </w:rPr>
        <w:t>22</w:t>
      </w:r>
      <w:r w:rsidR="00B3711D" w:rsidRPr="00531E51">
        <w:t xml:space="preserve"> </w:t>
      </w:r>
      <w:r w:rsidR="00C2420B" w:rsidRPr="00C2420B">
        <w:t>w</w:t>
      </w:r>
      <w:r w:rsidR="00056D67" w:rsidRPr="00531E51">
        <w:t xml:space="preserve">as </w:t>
      </w:r>
      <w:r w:rsidR="00531E51">
        <w:t xml:space="preserve">within </w:t>
      </w:r>
      <w:r w:rsidRPr="00531E51">
        <w:t>the SIOP- Ependymoma II</w:t>
      </w:r>
      <w:r w:rsidR="00A73BC4">
        <w:t xml:space="preserve"> </w:t>
      </w:r>
      <w:r w:rsidRPr="00531E51">
        <w:t>trial</w:t>
      </w:r>
      <w:r w:rsidR="00061701">
        <w:t xml:space="preserve"> which remains </w:t>
      </w:r>
      <w:r w:rsidR="000B7018">
        <w:t>in progress</w:t>
      </w:r>
      <w:r w:rsidR="000852B6" w:rsidRPr="00531E51">
        <w:fldChar w:fldCharType="begin" w:fldLock="1"/>
      </w:r>
      <w:r w:rsidR="009D55A5" w:rsidRPr="00531E51">
        <w:instrText>ADDIN CSL_CITATION {"citationItems":[{"id":"ITEM-1","itemData":{"DOI":"10.1016/j.ejpn.2019.05.009","ISSN":"15322130","abstract":"It is increasingly accepted that survival alone is an inadequate measure of the success of childhood brain tumour treatments. Consequently, there is growing emphasis on capturing quality of survival. Ependymomas are the third most frequently occurring brain tumours in childhood and present significant clinical challenges. European Society of Paediatric Oncology Ependymoma II is a comprehensive international program aiming to evaluate outcomes under different treatment regimens and improve diagnostic accuracy. Importantly, there has been agreement to lower the age at which children with posterior fossa ependymoma undergo focal irradiation from three years to either eighteen months or one year of age. Hitherto radiotherapy in Europe had been reserved for children over three years due to concerns over adverse cognitive outcomes following irradiation of the developing brain. There is therefore a duty of care to include longitudinal cognitive follow-up and this has been agreed as an essential trial outcome. Discussions between representatives of 18 participating European countries over 10 years have yielded European consensus for an internationally accepted test battery for follow-up of childhood ependymoma survivors. The ‘Core-Plus’ model incorporates a two-tier approach to assessment by specifying core tests to establish a minimum dataset where resources are limited, whilst maintaining scope for comprehensive assessment where feasible. The challenges leading to the development of the Core-Plus model are presented alongside learning from the initial stages of the trial. We propose that this model could provide a solution for future international trials addressing both childhood brain tumours and other conditions associated with cognitive morbidity.","author":[{"dropping-particle":"","family":"Thomas","given":"S.","non-dropping-particle":"","parse-names":false,"suffix":""},{"dropping-particle":"","family":"Reynolds","given":"D.","non-dropping-particle":"","parse-names":false,"suffix":""},{"dropping-particle":"","family":"Morrall","given":"M. C.H.J.","non-dropping-particle":"","parse-names":false,"suffix":""},{"dropping-particle":"","family":"Limond","given":"J.","non-dropping-particle":"","parse-names":false,"suffix":""},{"dropping-particle":"","family":"Chevignard","given":"M.","non-dropping-particle":"","parse-names":false,"suffix":""},{"dropping-particle":"","family":"Calaminus","given":"G.","non-dropping-particle":"","parse-names":false,"suffix":""},{"dropping-particle":"","family":"Poggi","given":"G.","non-dropping-particle":"","parse-names":false,"suffix":""},{"dropping-particle":"","family":"Bennett","given":"E.","non-dropping-particle":"","parse-names":false,"suffix":""},{"dropping-particle":"","family":"Frappaz","given":"D.","non-dropping-particle":"","parse-names":false,"suffix":""},{"dropping-particle":"","family":"Slade","given":"D.","non-dropping-particle":"","parse-names":false,"suffix":""},{"dropping-particle":"","family":"Gautier","given":"J.","non-dropping-particle":"","parse-names":false,"suffix":""},{"dropping-particle":"","family":"McQuilton","given":"P.","non-dropping-particle":"","parse-names":false,"suffix":""},{"dropping-particle":"","family":"Massimino","given":"M.","non-dropping-particle":"","parse-names":false,"suffix":""},{"dropping-particle":"","family":"Grundy","given":"R.","non-dropping-particle":"","parse-names":false,"suffix":""}],"container-title":"European Journal of Paediatric Neurology","id":"ITEM-1","issue":"4","issued":{"date-parts":[["2019"]]},"title":"The European Society of Paediatric Oncology Ependymoma-II program Core-Plus model: Development and initial implementation of a cognitive test protocol for an international brain tumour trial","type":"article-journal","volume":"23"},"uris":["http://www.mendeley.com/documents/?uuid=18d739e3-cb92-3fbb-96a2-62f38d0ca771"]}],"mendeley":{"formattedCitation":"&lt;sup&gt;8&lt;/sup&gt;","plainTextFormattedCitation":"8","previouslyFormattedCitation":"&lt;sup&gt;8&lt;/sup&gt;"},"properties":{"noteIndex":0},"schema":"https://github.com/citation-style-language/schema/raw/master/csl-citation.json"}</w:instrText>
      </w:r>
      <w:r w:rsidR="000852B6" w:rsidRPr="00531E51">
        <w:fldChar w:fldCharType="separate"/>
      </w:r>
      <w:r w:rsidR="008034D5" w:rsidRPr="00531E51">
        <w:rPr>
          <w:noProof/>
          <w:vertAlign w:val="superscript"/>
        </w:rPr>
        <w:t>8</w:t>
      </w:r>
      <w:r w:rsidR="000852B6" w:rsidRPr="00531E51">
        <w:fldChar w:fldCharType="end"/>
      </w:r>
      <w:r w:rsidRPr="00531E51">
        <w:t xml:space="preserve">. </w:t>
      </w:r>
      <w:r w:rsidR="005E52A9" w:rsidRPr="00531E51">
        <w:t>The protocol mandate</w:t>
      </w:r>
      <w:r w:rsidR="00061701">
        <w:t>s</w:t>
      </w:r>
      <w:r w:rsidR="005E52A9" w:rsidRPr="00531E51">
        <w:t xml:space="preserve"> assessments </w:t>
      </w:r>
      <w:r w:rsidR="00531E51">
        <w:t>at post-surgical baseline,</w:t>
      </w:r>
      <w:r w:rsidR="005E52A9" w:rsidRPr="00531E51">
        <w:t xml:space="preserve"> 2 and 5 years from diagnosis and at age 18 years.</w:t>
      </w:r>
      <w:r w:rsidR="00577328">
        <w:t xml:space="preserve"> The Core Plus </w:t>
      </w:r>
      <w:r w:rsidRPr="00531E51">
        <w:t xml:space="preserve">two-tier approach to assessment </w:t>
      </w:r>
      <w:r w:rsidR="00577328">
        <w:t xml:space="preserve">addresses resource discrepancies by </w:t>
      </w:r>
      <w:r w:rsidRPr="00531E51">
        <w:t>prioritis</w:t>
      </w:r>
      <w:r w:rsidR="00577328">
        <w:t>ing</w:t>
      </w:r>
      <w:r w:rsidRPr="00531E51">
        <w:t xml:space="preserve"> a minimum </w:t>
      </w:r>
      <w:r w:rsidR="00CB1280">
        <w:t>‘</w:t>
      </w:r>
      <w:r w:rsidRPr="00531E51">
        <w:t>Core</w:t>
      </w:r>
      <w:r w:rsidR="00CB1280">
        <w:t>’</w:t>
      </w:r>
      <w:r w:rsidRPr="00531E51">
        <w:t xml:space="preserve"> </w:t>
      </w:r>
      <w:r w:rsidR="00CB1280" w:rsidRPr="003E697C">
        <w:t xml:space="preserve">battery of </w:t>
      </w:r>
      <w:r w:rsidR="00061701">
        <w:t>cognitive</w:t>
      </w:r>
      <w:r w:rsidR="00CB1280" w:rsidRPr="003E697C">
        <w:t xml:space="preserve"> tests </w:t>
      </w:r>
      <w:r w:rsidR="00CB1280">
        <w:t xml:space="preserve">in centres </w:t>
      </w:r>
      <w:r w:rsidR="00CB1280" w:rsidRPr="005A532D">
        <w:t>where resources are limited</w:t>
      </w:r>
      <w:r w:rsidR="00CB1280">
        <w:t>,</w:t>
      </w:r>
      <w:r w:rsidR="00CB1280" w:rsidRPr="005A532D">
        <w:t xml:space="preserve"> </w:t>
      </w:r>
      <w:r w:rsidR="005E52A9" w:rsidRPr="00531E51">
        <w:t>augmented</w:t>
      </w:r>
      <w:r w:rsidR="00531E51">
        <w:t xml:space="preserve"> </w:t>
      </w:r>
      <w:r w:rsidR="005E52A9" w:rsidRPr="00531E51">
        <w:t xml:space="preserve">by </w:t>
      </w:r>
      <w:r w:rsidRPr="00531E51">
        <w:t>more comprehensive assessment using the additional ‘Plus’ battery (</w:t>
      </w:r>
      <w:proofErr w:type="gramStart"/>
      <w:r w:rsidRPr="00531E51">
        <w:t>e.g.</w:t>
      </w:r>
      <w:proofErr w:type="gramEnd"/>
      <w:r w:rsidRPr="00531E51">
        <w:t xml:space="preserve"> measures of </w:t>
      </w:r>
      <w:r w:rsidR="002B437B">
        <w:t xml:space="preserve">attainment, </w:t>
      </w:r>
      <w:r w:rsidRPr="00531E51">
        <w:t>attention</w:t>
      </w:r>
      <w:r w:rsidR="002B437B">
        <w:t xml:space="preserve"> and executive function</w:t>
      </w:r>
      <w:r w:rsidRPr="00531E51">
        <w:t>)</w:t>
      </w:r>
      <w:r w:rsidR="00CB1280" w:rsidRPr="001E7B0C">
        <w:t xml:space="preserve"> where feasible in </w:t>
      </w:r>
      <w:r w:rsidR="00CB1280">
        <w:t xml:space="preserve">a </w:t>
      </w:r>
      <w:r w:rsidR="00CB1280" w:rsidRPr="001E7B0C">
        <w:t xml:space="preserve">participating centre </w:t>
      </w:r>
      <w:r w:rsidR="00CB1280">
        <w:t xml:space="preserve">or </w:t>
      </w:r>
      <w:r w:rsidR="00CB1280" w:rsidRPr="001E7B0C">
        <w:t xml:space="preserve">country </w:t>
      </w:r>
      <w:r w:rsidRPr="00531E51">
        <w:t xml:space="preserve">(Figure </w:t>
      </w:r>
      <w:r w:rsidR="0027480E">
        <w:t>1</w:t>
      </w:r>
      <w:r w:rsidRPr="00531E51">
        <w:t>).</w:t>
      </w:r>
    </w:p>
    <w:p w14:paraId="0700FE55" w14:textId="77777777" w:rsidR="003C79DC" w:rsidRPr="00CD7EF8" w:rsidRDefault="003C79DC" w:rsidP="003C79DC">
      <w:pPr>
        <w:spacing w:line="360" w:lineRule="auto"/>
        <w:jc w:val="both"/>
        <w:rPr>
          <w:color w:val="2F5496" w:themeColor="accent1" w:themeShade="BF"/>
        </w:rPr>
      </w:pPr>
    </w:p>
    <w:p w14:paraId="7784CFE2" w14:textId="1C6454C1" w:rsidR="003C79DC" w:rsidRPr="00AC2C21" w:rsidRDefault="003C79DC" w:rsidP="003C79DC">
      <w:pPr>
        <w:spacing w:line="360" w:lineRule="auto"/>
        <w:jc w:val="both"/>
        <w:rPr>
          <w:color w:val="000000" w:themeColor="text1"/>
        </w:rPr>
      </w:pPr>
      <w:r w:rsidRPr="00D51D43">
        <w:rPr>
          <w:color w:val="000000" w:themeColor="text1"/>
        </w:rPr>
        <w:t xml:space="preserve">Ascertainment for baseline and 2-year assessment was consistently at 70% of eligible participants </w:t>
      </w:r>
      <w:r w:rsidR="005E52A9" w:rsidRPr="00D51D43">
        <w:rPr>
          <w:color w:val="000000" w:themeColor="text1"/>
        </w:rPr>
        <w:t xml:space="preserve">prior to </w:t>
      </w:r>
      <w:r w:rsidR="00D83544">
        <w:rPr>
          <w:color w:val="000000" w:themeColor="text1"/>
        </w:rPr>
        <w:t>COVID</w:t>
      </w:r>
      <w:r w:rsidR="005E52A9" w:rsidRPr="00D51D43">
        <w:rPr>
          <w:color w:val="000000" w:themeColor="text1"/>
        </w:rPr>
        <w:t>-1</w:t>
      </w:r>
      <w:r w:rsidR="00D655A5">
        <w:rPr>
          <w:color w:val="000000" w:themeColor="text1"/>
        </w:rPr>
        <w:t>9</w:t>
      </w:r>
      <w:r w:rsidR="005E52A9" w:rsidRPr="00D51D43">
        <w:rPr>
          <w:color w:val="000000" w:themeColor="text1"/>
        </w:rPr>
        <w:t xml:space="preserve"> constraints in 2020</w:t>
      </w:r>
      <w:r w:rsidR="005E52A9">
        <w:rPr>
          <w:color w:val="000000" w:themeColor="text1"/>
        </w:rPr>
        <w:t>,</w:t>
      </w:r>
      <w:r w:rsidR="005E52A9" w:rsidRPr="00D51D43">
        <w:rPr>
          <w:color w:val="000000" w:themeColor="text1"/>
        </w:rPr>
        <w:t xml:space="preserve"> </w:t>
      </w:r>
      <w:r w:rsidRPr="00D51D43">
        <w:rPr>
          <w:color w:val="000000" w:themeColor="text1"/>
        </w:rPr>
        <w:t>decreas</w:t>
      </w:r>
      <w:r w:rsidR="00B94FA7">
        <w:rPr>
          <w:color w:val="000000" w:themeColor="text1"/>
        </w:rPr>
        <w:t>ed</w:t>
      </w:r>
      <w:r w:rsidRPr="00D51D43">
        <w:rPr>
          <w:color w:val="000000" w:themeColor="text1"/>
        </w:rPr>
        <w:t xml:space="preserve"> to around 60% </w:t>
      </w:r>
      <w:r w:rsidR="0003459D">
        <w:rPr>
          <w:color w:val="000000" w:themeColor="text1"/>
        </w:rPr>
        <w:t xml:space="preserve">across Europe </w:t>
      </w:r>
      <w:r w:rsidRPr="00D51D43">
        <w:rPr>
          <w:color w:val="000000" w:themeColor="text1"/>
        </w:rPr>
        <w:t>as centres paused face-to-face testing</w:t>
      </w:r>
      <w:r w:rsidR="0003459D">
        <w:rPr>
          <w:color w:val="000000" w:themeColor="text1"/>
        </w:rPr>
        <w:t xml:space="preserve">, and is increasing now outpatient appointments have recommenced </w:t>
      </w:r>
      <w:r w:rsidRPr="00D51D43">
        <w:rPr>
          <w:color w:val="000000" w:themeColor="text1"/>
        </w:rPr>
        <w:t xml:space="preserve">. </w:t>
      </w:r>
      <w:r w:rsidR="005E52A9">
        <w:rPr>
          <w:color w:val="000000" w:themeColor="text1"/>
        </w:rPr>
        <w:t>D</w:t>
      </w:r>
      <w:r w:rsidRPr="00D51D43">
        <w:rPr>
          <w:color w:val="000000" w:themeColor="text1"/>
        </w:rPr>
        <w:t xml:space="preserve">irect testing </w:t>
      </w:r>
      <w:r w:rsidR="00F60765">
        <w:rPr>
          <w:color w:val="000000" w:themeColor="text1"/>
        </w:rPr>
        <w:t>was</w:t>
      </w:r>
      <w:r w:rsidR="00F60765" w:rsidRPr="00D51D43">
        <w:rPr>
          <w:color w:val="000000" w:themeColor="text1"/>
        </w:rPr>
        <w:t xml:space="preserve"> </w:t>
      </w:r>
      <w:r w:rsidRPr="00D51D43">
        <w:rPr>
          <w:color w:val="000000" w:themeColor="text1"/>
        </w:rPr>
        <w:t xml:space="preserve">replaced </w:t>
      </w:r>
      <w:r w:rsidR="005E52A9">
        <w:rPr>
          <w:color w:val="000000" w:themeColor="text1"/>
        </w:rPr>
        <w:t xml:space="preserve">by </w:t>
      </w:r>
      <w:r w:rsidRPr="00D51D43">
        <w:rPr>
          <w:color w:val="000000" w:themeColor="text1"/>
        </w:rPr>
        <w:t>a developmental questionnaire for those under 3 years old in line with the</w:t>
      </w:r>
      <w:r w:rsidR="002B437B">
        <w:rPr>
          <w:color w:val="000000" w:themeColor="text1"/>
        </w:rPr>
        <w:t xml:space="preserve"> SIOP</w:t>
      </w:r>
      <w:r w:rsidR="00B94FA7">
        <w:rPr>
          <w:color w:val="000000" w:themeColor="text1"/>
        </w:rPr>
        <w:t>-</w:t>
      </w:r>
      <w:r w:rsidR="002B437B">
        <w:rPr>
          <w:color w:val="000000" w:themeColor="text1"/>
        </w:rPr>
        <w:t>E</w:t>
      </w:r>
      <w:r w:rsidRPr="00D51D43">
        <w:rPr>
          <w:color w:val="000000" w:themeColor="text1"/>
        </w:rPr>
        <w:t xml:space="preserve"> </w:t>
      </w:r>
      <w:r w:rsidR="0003459D">
        <w:rPr>
          <w:color w:val="000000" w:themeColor="text1"/>
        </w:rPr>
        <w:t>recommendations</w:t>
      </w:r>
      <w:r w:rsidR="00B3711D" w:rsidRPr="00B3711D">
        <w:rPr>
          <w:color w:val="0070C0"/>
          <w:vertAlign w:val="superscript"/>
        </w:rPr>
        <w:t>16</w:t>
      </w:r>
      <w:r w:rsidRPr="00D51D43">
        <w:rPr>
          <w:color w:val="000000" w:themeColor="text1"/>
        </w:rPr>
        <w:t xml:space="preserve">. </w:t>
      </w:r>
      <w:r w:rsidR="00867806">
        <w:rPr>
          <w:color w:val="000000" w:themeColor="text1"/>
        </w:rPr>
        <w:t>The cognitive battery is</w:t>
      </w:r>
      <w:r w:rsidR="00A113A9">
        <w:rPr>
          <w:color w:val="000000" w:themeColor="text1"/>
        </w:rPr>
        <w:t xml:space="preserve"> also </w:t>
      </w:r>
      <w:r w:rsidR="00867806">
        <w:rPr>
          <w:color w:val="000000" w:themeColor="text1"/>
        </w:rPr>
        <w:t xml:space="preserve">complemented </w:t>
      </w:r>
      <w:r w:rsidR="00A113A9">
        <w:rPr>
          <w:color w:val="000000" w:themeColor="text1"/>
        </w:rPr>
        <w:t>by PROMs</w:t>
      </w:r>
      <w:r w:rsidR="00D655A5">
        <w:rPr>
          <w:color w:val="000000" w:themeColor="text1"/>
        </w:rPr>
        <w:t xml:space="preserve"> described in 3.1 above. </w:t>
      </w:r>
      <w:r w:rsidRPr="00AC2C21">
        <w:rPr>
          <w:color w:val="000000" w:themeColor="text1"/>
        </w:rPr>
        <w:t xml:space="preserve">A further development to encourage a consistent minimum dataset, </w:t>
      </w:r>
      <w:r w:rsidR="00F60765">
        <w:rPr>
          <w:color w:val="000000" w:themeColor="text1"/>
        </w:rPr>
        <w:t>was</w:t>
      </w:r>
      <w:r w:rsidRPr="00AC2C21">
        <w:rPr>
          <w:color w:val="000000" w:themeColor="text1"/>
        </w:rPr>
        <w:t xml:space="preserve"> the implementation of a consensus for a</w:t>
      </w:r>
      <w:r w:rsidR="0003459D">
        <w:rPr>
          <w:color w:val="000000" w:themeColor="text1"/>
        </w:rPr>
        <w:t xml:space="preserve"> hierarchy of test </w:t>
      </w:r>
      <w:r w:rsidRPr="00AC2C21">
        <w:rPr>
          <w:color w:val="000000" w:themeColor="text1"/>
        </w:rPr>
        <w:t xml:space="preserve">administration (Fig </w:t>
      </w:r>
      <w:r w:rsidR="002B437B">
        <w:rPr>
          <w:color w:val="000000" w:themeColor="text1"/>
        </w:rPr>
        <w:t>2)</w:t>
      </w:r>
      <w:r w:rsidRPr="00AC2C21">
        <w:rPr>
          <w:color w:val="000000" w:themeColor="text1"/>
        </w:rPr>
        <w:t xml:space="preserve"> where those tests considered most crucial </w:t>
      </w:r>
      <w:r w:rsidR="00D01E7C">
        <w:rPr>
          <w:color w:val="000000" w:themeColor="text1"/>
        </w:rPr>
        <w:t>were</w:t>
      </w:r>
      <w:r w:rsidR="00D01E7C" w:rsidRPr="00AC2C21">
        <w:rPr>
          <w:color w:val="000000" w:themeColor="text1"/>
        </w:rPr>
        <w:t xml:space="preserve"> </w:t>
      </w:r>
      <w:r w:rsidRPr="00AC2C21">
        <w:rPr>
          <w:color w:val="000000" w:themeColor="text1"/>
        </w:rPr>
        <w:t>to be administered first</w:t>
      </w:r>
      <w:r w:rsidR="007F5612">
        <w:rPr>
          <w:color w:val="000000" w:themeColor="text1"/>
        </w:rPr>
        <w:t>.</w:t>
      </w:r>
      <w:r w:rsidRPr="00AC2C21">
        <w:rPr>
          <w:color w:val="000000" w:themeColor="text1"/>
        </w:rPr>
        <w:t xml:space="preserve"> </w:t>
      </w:r>
      <w:r w:rsidR="002B437B">
        <w:rPr>
          <w:color w:val="000000" w:themeColor="text1"/>
        </w:rPr>
        <w:t xml:space="preserve">The Core Plus test battery has more recently been developed to </w:t>
      </w:r>
      <w:proofErr w:type="gramStart"/>
      <w:r w:rsidR="002B437B">
        <w:rPr>
          <w:color w:val="000000" w:themeColor="text1"/>
        </w:rPr>
        <w:t>take into account</w:t>
      </w:r>
      <w:proofErr w:type="gramEnd"/>
      <w:r w:rsidR="002B437B">
        <w:rPr>
          <w:color w:val="000000" w:themeColor="text1"/>
        </w:rPr>
        <w:t xml:space="preserve"> updated test versions for the SIOP</w:t>
      </w:r>
      <w:r w:rsidR="00BD45E8">
        <w:rPr>
          <w:color w:val="000000" w:themeColor="text1"/>
        </w:rPr>
        <w:t>-</w:t>
      </w:r>
      <w:r w:rsidR="002B437B">
        <w:rPr>
          <w:color w:val="000000" w:themeColor="text1"/>
        </w:rPr>
        <w:t xml:space="preserve">E High Risk Medulloblastoma trial which opened in </w:t>
      </w:r>
      <w:r w:rsidR="0003459D">
        <w:rPr>
          <w:color w:val="000000" w:themeColor="text1"/>
        </w:rPr>
        <w:t>2021.</w:t>
      </w:r>
    </w:p>
    <w:p w14:paraId="3C2F35D2" w14:textId="77777777" w:rsidR="00277FF7" w:rsidRDefault="00277FF7" w:rsidP="00FC3DC9">
      <w:pPr>
        <w:spacing w:line="360" w:lineRule="auto"/>
        <w:jc w:val="both"/>
      </w:pPr>
    </w:p>
    <w:p w14:paraId="47D7BD09" w14:textId="2FF1113B" w:rsidR="00D57686" w:rsidRPr="003E11B5" w:rsidRDefault="0063282D" w:rsidP="001D7E48">
      <w:pPr>
        <w:spacing w:line="360" w:lineRule="auto"/>
        <w:rPr>
          <w:color w:val="2F5496" w:themeColor="accent1" w:themeShade="BF"/>
        </w:rPr>
      </w:pPr>
      <w:r>
        <w:rPr>
          <w:color w:val="2F5496" w:themeColor="accent1" w:themeShade="BF"/>
        </w:rPr>
        <w:t xml:space="preserve">4. </w:t>
      </w:r>
      <w:r w:rsidR="00CB7C8E" w:rsidRPr="001D7E48">
        <w:rPr>
          <w:color w:val="2F5496" w:themeColor="accent1" w:themeShade="BF"/>
        </w:rPr>
        <w:t>Discussion</w:t>
      </w:r>
      <w:r w:rsidR="00166AC7">
        <w:rPr>
          <w:color w:val="2F5496" w:themeColor="accent1" w:themeShade="BF"/>
        </w:rPr>
        <w:t>: Lessons Learned</w:t>
      </w:r>
    </w:p>
    <w:p w14:paraId="1D452C91" w14:textId="01CB74A5" w:rsidR="003006EC" w:rsidRDefault="003006EC" w:rsidP="00FC3DC9">
      <w:pPr>
        <w:spacing w:line="360" w:lineRule="auto"/>
        <w:rPr>
          <w:color w:val="767171" w:themeColor="background2" w:themeShade="80"/>
        </w:rPr>
      </w:pPr>
    </w:p>
    <w:p w14:paraId="6646D139" w14:textId="67064EC6" w:rsidR="00A62678" w:rsidRDefault="004C6A02" w:rsidP="00FC3DC9">
      <w:pPr>
        <w:spacing w:line="360" w:lineRule="auto"/>
        <w:jc w:val="both"/>
      </w:pPr>
      <w:r w:rsidRPr="004C6A02">
        <w:t xml:space="preserve">The above </w:t>
      </w:r>
      <w:r w:rsidR="00AF15ED">
        <w:t xml:space="preserve">COG and SIOP-E approaches </w:t>
      </w:r>
      <w:r w:rsidR="007F2CB7">
        <w:t>present</w:t>
      </w:r>
      <w:r w:rsidR="00746B32">
        <w:t xml:space="preserve"> </w:t>
      </w:r>
      <w:r>
        <w:t xml:space="preserve">a range of </w:t>
      </w:r>
      <w:r w:rsidR="00746B32">
        <w:t>strengths</w:t>
      </w:r>
      <w:r w:rsidR="00B34EAF">
        <w:t xml:space="preserve">, challenges and learning opportunities. </w:t>
      </w:r>
      <w:r w:rsidR="00120038">
        <w:t xml:space="preserve">Both </w:t>
      </w:r>
      <w:r w:rsidR="00AA72ED">
        <w:t xml:space="preserve">ALTE07C1 and the </w:t>
      </w:r>
      <w:r w:rsidR="0053731E" w:rsidRPr="004C6A02">
        <w:t xml:space="preserve">Core </w:t>
      </w:r>
      <w:r w:rsidR="00AF15ED">
        <w:t>P</w:t>
      </w:r>
      <w:r w:rsidR="0053731E" w:rsidRPr="004C6A02">
        <w:t>lus model</w:t>
      </w:r>
      <w:r w:rsidR="005E52A9">
        <w:t>s</w:t>
      </w:r>
      <w:r w:rsidR="0053731E" w:rsidRPr="004C6A02">
        <w:t xml:space="preserve"> </w:t>
      </w:r>
      <w:r w:rsidR="009D3366">
        <w:t xml:space="preserve">include </w:t>
      </w:r>
      <w:r w:rsidR="0053731E" w:rsidRPr="004C6A02">
        <w:t xml:space="preserve">organised delivery of traditional </w:t>
      </w:r>
      <w:r w:rsidR="00FB45D1">
        <w:t>well</w:t>
      </w:r>
      <w:r w:rsidR="00F975EF">
        <w:t>-</w:t>
      </w:r>
      <w:r w:rsidR="00FB45D1">
        <w:t>validated</w:t>
      </w:r>
      <w:r w:rsidR="00C33654">
        <w:t xml:space="preserve"> </w:t>
      </w:r>
      <w:r w:rsidR="00F724B9">
        <w:t>cognitive tests</w:t>
      </w:r>
      <w:r w:rsidR="00AA72ED">
        <w:t xml:space="preserve">, </w:t>
      </w:r>
      <w:r w:rsidR="0053731E" w:rsidRPr="004C6A02">
        <w:t xml:space="preserve">familiar to and </w:t>
      </w:r>
      <w:r w:rsidR="005E52A9">
        <w:t xml:space="preserve">used for clinical care </w:t>
      </w:r>
      <w:r w:rsidR="0053731E" w:rsidRPr="004C6A02">
        <w:t xml:space="preserve">by </w:t>
      </w:r>
      <w:r w:rsidR="00FB45D1">
        <w:t xml:space="preserve">local </w:t>
      </w:r>
      <w:r w:rsidR="0053731E" w:rsidRPr="004C6A02">
        <w:t>psychologists</w:t>
      </w:r>
      <w:r w:rsidR="009D3366">
        <w:t xml:space="preserve">, </w:t>
      </w:r>
      <w:r w:rsidR="00DD0086">
        <w:t xml:space="preserve">complemented by </w:t>
      </w:r>
      <w:r w:rsidR="009D3366">
        <w:t>PROMs</w:t>
      </w:r>
      <w:r w:rsidR="008F3EAC" w:rsidRPr="004C6A02">
        <w:t xml:space="preserve">. The </w:t>
      </w:r>
      <w:r w:rsidR="00C531EB" w:rsidRPr="004C6A02">
        <w:t>SIOP-E</w:t>
      </w:r>
      <w:r w:rsidR="00AA72ED">
        <w:t xml:space="preserve"> tests </w:t>
      </w:r>
      <w:r w:rsidR="00AE4E5A">
        <w:t xml:space="preserve">and PROMs </w:t>
      </w:r>
      <w:r w:rsidR="00AA72ED">
        <w:t xml:space="preserve">are </w:t>
      </w:r>
      <w:r w:rsidR="00FB45D1">
        <w:t>implementa</w:t>
      </w:r>
      <w:r w:rsidR="005E52A9">
        <w:t>ble</w:t>
      </w:r>
      <w:r w:rsidR="00FB45D1">
        <w:t xml:space="preserve"> in multiple </w:t>
      </w:r>
      <w:r w:rsidR="0046352A" w:rsidRPr="004C6A02">
        <w:t>European languages</w:t>
      </w:r>
      <w:r w:rsidR="00587C16">
        <w:t xml:space="preserve">, and </w:t>
      </w:r>
      <w:r w:rsidR="003D030D">
        <w:t>several of the measures overlap with those in the ALTE07C1 battery</w:t>
      </w:r>
      <w:r w:rsidR="008F3EAC" w:rsidRPr="004C6A02">
        <w:t xml:space="preserve">. </w:t>
      </w:r>
      <w:r w:rsidR="00F808C5" w:rsidRPr="00CE4A8A">
        <w:t xml:space="preserve">The </w:t>
      </w:r>
      <w:r w:rsidR="00BD45E8" w:rsidRPr="00CE4A8A">
        <w:t xml:space="preserve">more recent </w:t>
      </w:r>
      <w:r w:rsidR="00F808C5" w:rsidRPr="00CE4A8A">
        <w:t xml:space="preserve">modular approach </w:t>
      </w:r>
      <w:r w:rsidR="00BD45E8" w:rsidRPr="00CE4A8A">
        <w:t xml:space="preserve">of embedding the </w:t>
      </w:r>
      <w:r w:rsidR="00120038" w:rsidRPr="00CE4A8A">
        <w:t>ALTE07C1</w:t>
      </w:r>
      <w:r w:rsidR="00F808C5" w:rsidRPr="00CE4A8A">
        <w:t xml:space="preserve"> </w:t>
      </w:r>
      <w:r w:rsidR="00BD45E8" w:rsidRPr="00CE4A8A">
        <w:t xml:space="preserve">battery </w:t>
      </w:r>
      <w:r w:rsidR="00F808C5" w:rsidRPr="00CE4A8A">
        <w:t>increase</w:t>
      </w:r>
      <w:r w:rsidR="00BD45E8" w:rsidRPr="00CE4A8A">
        <w:t>s</w:t>
      </w:r>
      <w:r w:rsidR="00F808C5" w:rsidRPr="00CE4A8A">
        <w:t xml:space="preserve"> flexibility</w:t>
      </w:r>
      <w:r w:rsidR="00D83544" w:rsidRPr="00CE4A8A">
        <w:t>,</w:t>
      </w:r>
      <w:r w:rsidR="00BD45E8" w:rsidRPr="00CE4A8A">
        <w:t xml:space="preserve"> eliminates</w:t>
      </w:r>
      <w:r w:rsidR="00CE4A8A" w:rsidRPr="00CE4A8A">
        <w:t xml:space="preserve"> </w:t>
      </w:r>
      <w:r w:rsidR="00BD45E8" w:rsidRPr="00CE4A8A">
        <w:t xml:space="preserve">need for </w:t>
      </w:r>
      <w:r w:rsidR="00D83544" w:rsidRPr="00CE4A8A">
        <w:t xml:space="preserve">a </w:t>
      </w:r>
      <w:r w:rsidR="00BD45E8" w:rsidRPr="00CE4A8A">
        <w:t>separate consent</w:t>
      </w:r>
      <w:r w:rsidR="00D83544" w:rsidRPr="00CE4A8A">
        <w:t xml:space="preserve"> process</w:t>
      </w:r>
      <w:r w:rsidR="00BD45E8" w:rsidRPr="00CE4A8A">
        <w:t>,</w:t>
      </w:r>
      <w:r w:rsidR="00F808C5" w:rsidRPr="00CE4A8A">
        <w:t xml:space="preserve"> and facilitate</w:t>
      </w:r>
      <w:r w:rsidR="00BD45E8" w:rsidRPr="00CE4A8A">
        <w:t>s</w:t>
      </w:r>
      <w:r w:rsidR="00F808C5" w:rsidRPr="00CE4A8A">
        <w:t xml:space="preserve"> targeted assessment according to trial hypotheses</w:t>
      </w:r>
      <w:r w:rsidR="00F808C5" w:rsidRPr="004C6A02">
        <w:t>.</w:t>
      </w:r>
      <w:r w:rsidR="00B03CBC">
        <w:t xml:space="preserve"> </w:t>
      </w:r>
      <w:r w:rsidR="00D363AC" w:rsidRPr="004C6A02">
        <w:t>Cogstate</w:t>
      </w:r>
      <w:r w:rsidR="00F808C5" w:rsidRPr="004C6A02">
        <w:t xml:space="preserve"> provides </w:t>
      </w:r>
      <w:proofErr w:type="gramStart"/>
      <w:r w:rsidR="00F808C5" w:rsidRPr="004C6A02">
        <w:t xml:space="preserve">a </w:t>
      </w:r>
      <w:r w:rsidR="00943BBF">
        <w:t>an</w:t>
      </w:r>
      <w:proofErr w:type="gramEnd"/>
      <w:r w:rsidR="00943BBF">
        <w:t xml:space="preserve"> alternative </w:t>
      </w:r>
      <w:r w:rsidR="00D050FE" w:rsidRPr="004C6A02">
        <w:t>pragmatic</w:t>
      </w:r>
      <w:r w:rsidR="00943BBF">
        <w:t xml:space="preserve"> </w:t>
      </w:r>
      <w:r w:rsidR="00D050FE" w:rsidRPr="004C6A02">
        <w:t xml:space="preserve"> </w:t>
      </w:r>
      <w:r w:rsidR="00F808C5" w:rsidRPr="004C6A02">
        <w:t>solution</w:t>
      </w:r>
      <w:r w:rsidR="00943BBF">
        <w:t>. I</w:t>
      </w:r>
      <w:r w:rsidR="00943BBF" w:rsidRPr="004C6A02">
        <w:t xml:space="preserve">t </w:t>
      </w:r>
      <w:r w:rsidR="00943BBF">
        <w:t xml:space="preserve">is </w:t>
      </w:r>
      <w:r w:rsidR="005E52A9">
        <w:t xml:space="preserve">deliverable </w:t>
      </w:r>
      <w:r w:rsidR="00F808C5" w:rsidRPr="004C6A02">
        <w:t xml:space="preserve">by a range of </w:t>
      </w:r>
      <w:r w:rsidR="001720B2" w:rsidRPr="004C6A02">
        <w:t>clinic staff with minimal training</w:t>
      </w:r>
      <w:r w:rsidR="00943BBF">
        <w:t xml:space="preserve"> and </w:t>
      </w:r>
      <w:r w:rsidR="001B79DF">
        <w:t xml:space="preserve">whilst some local psychologists seemed initially </w:t>
      </w:r>
      <w:r w:rsidR="003B0760">
        <w:t>less comfortable with</w:t>
      </w:r>
      <w:r w:rsidR="001B79DF">
        <w:t xml:space="preserve"> this </w:t>
      </w:r>
      <w:r w:rsidR="003B0760">
        <w:t xml:space="preserve">unfamiliar </w:t>
      </w:r>
      <w:r w:rsidR="001B79DF">
        <w:t xml:space="preserve">measure </w:t>
      </w:r>
      <w:r w:rsidR="00BF4F96">
        <w:t xml:space="preserve">the benefits are </w:t>
      </w:r>
      <w:r w:rsidR="00943BBF">
        <w:t xml:space="preserve">becoming increasingly </w:t>
      </w:r>
      <w:r w:rsidR="00BF4F96">
        <w:t xml:space="preserve">understood and </w:t>
      </w:r>
      <w:r w:rsidR="00943BBF">
        <w:t>accepted</w:t>
      </w:r>
      <w:r w:rsidR="00AF431E">
        <w:t xml:space="preserve"> within the clinical community</w:t>
      </w:r>
      <w:r w:rsidR="00A040C1">
        <w:t>.</w:t>
      </w:r>
      <w:r w:rsidR="00277F9F">
        <w:t xml:space="preserve"> </w:t>
      </w:r>
      <w:r w:rsidR="00943BBF">
        <w:t xml:space="preserve">It </w:t>
      </w:r>
      <w:r w:rsidR="001720B2" w:rsidRPr="004C6A02">
        <w:t xml:space="preserve">can </w:t>
      </w:r>
      <w:r w:rsidR="00D050FE" w:rsidRPr="004C6A02">
        <w:t xml:space="preserve">be repeated frequently to measure acute changes </w:t>
      </w:r>
      <w:r w:rsidR="00277F9F">
        <w:t xml:space="preserve">and </w:t>
      </w:r>
      <w:r w:rsidR="00652F92">
        <w:t>may be implemented in multinational studies given its</w:t>
      </w:r>
      <w:r w:rsidR="007F2CB7">
        <w:t xml:space="preserve"> ease of application in </w:t>
      </w:r>
      <w:r w:rsidR="001524ED">
        <w:t>many</w:t>
      </w:r>
      <w:r w:rsidR="00652F92">
        <w:t xml:space="preserve"> languages.</w:t>
      </w:r>
      <w:r w:rsidR="00473227">
        <w:t xml:space="preserve"> As the functional significance of Cogstate is </w:t>
      </w:r>
      <w:r w:rsidR="00FB1D62">
        <w:t xml:space="preserve">not yet fully </w:t>
      </w:r>
      <w:r w:rsidR="00473227">
        <w:t xml:space="preserve">clear, </w:t>
      </w:r>
      <w:r w:rsidR="00473227" w:rsidRPr="00FB1D62">
        <w:t>i</w:t>
      </w:r>
      <w:r w:rsidR="00FB1D62">
        <w:t>n the future it</w:t>
      </w:r>
      <w:r w:rsidR="00473227" w:rsidRPr="00FB1D62">
        <w:t xml:space="preserve"> will be imperative to utilise the data being gathered</w:t>
      </w:r>
      <w:r w:rsidR="006737C6">
        <w:t xml:space="preserve"> in research trials</w:t>
      </w:r>
      <w:r w:rsidR="00473227" w:rsidRPr="00FB1D62">
        <w:t xml:space="preserve"> to characterise the relationship between Cogstate and traditional cognitive batteries within the paediatric oncology population.</w:t>
      </w:r>
      <w:r w:rsidR="00473227" w:rsidRPr="00473227">
        <w:t xml:space="preserve"> </w:t>
      </w:r>
      <w:r w:rsidR="00473227">
        <w:t xml:space="preserve">In the </w:t>
      </w:r>
      <w:proofErr w:type="gramStart"/>
      <w:r w:rsidR="00473227">
        <w:t>meantime</w:t>
      </w:r>
      <w:proofErr w:type="gramEnd"/>
      <w:r w:rsidR="00473227">
        <w:t xml:space="preserve"> computerized batteries such as Cogstate may be combined with approaches using traditional measures, such as ALTE07C1 and the Core Plus model</w:t>
      </w:r>
      <w:r w:rsidR="00FB1D62">
        <w:t>, and ha</w:t>
      </w:r>
      <w:r w:rsidR="006737C6">
        <w:t>ve</w:t>
      </w:r>
      <w:r w:rsidR="00FB1D62">
        <w:t xml:space="preserve"> potential as a screening mechanism to facilitate clinical referral for comprehensive assessment</w:t>
      </w:r>
      <w:r w:rsidR="006737C6">
        <w:t xml:space="preserve"> as described in the tiered model of Hardy et al 2017</w:t>
      </w:r>
      <w:r w:rsidR="00B3711D">
        <w:rPr>
          <w:vertAlign w:val="superscript"/>
        </w:rPr>
        <w:t>35</w:t>
      </w:r>
      <w:r w:rsidR="00473227">
        <w:t xml:space="preserve">. </w:t>
      </w:r>
      <w:r w:rsidR="00473227" w:rsidRPr="00473227">
        <w:t>Indeed, using both strategies may provide the ability to detect early signs of cognitive problems and describe acute neurotoxicities, whilst also determining the clinical and functional significance of those changes long after cancer treatment has ended.</w:t>
      </w:r>
      <w:r w:rsidR="00473227" w:rsidRPr="00FB1D62">
        <w:t xml:space="preserve"> </w:t>
      </w:r>
    </w:p>
    <w:p w14:paraId="611947FD" w14:textId="77777777" w:rsidR="006737C6" w:rsidRDefault="006737C6" w:rsidP="00FC3DC9">
      <w:pPr>
        <w:spacing w:line="360" w:lineRule="auto"/>
        <w:jc w:val="both"/>
        <w:rPr>
          <w:i/>
          <w:iCs/>
        </w:rPr>
      </w:pPr>
    </w:p>
    <w:p w14:paraId="15D6B1C3" w14:textId="686B5AAD" w:rsidR="004A35C6" w:rsidRDefault="007E4E20" w:rsidP="00FC3DC9">
      <w:pPr>
        <w:spacing w:line="360" w:lineRule="auto"/>
        <w:jc w:val="both"/>
      </w:pPr>
      <w:r w:rsidRPr="004C6A02">
        <w:t>PROM</w:t>
      </w:r>
      <w:r>
        <w:t>s</w:t>
      </w:r>
      <w:r w:rsidR="001D7E48">
        <w:t xml:space="preserve"> </w:t>
      </w:r>
      <w:r w:rsidR="00FB45D1">
        <w:t>can include a</w:t>
      </w:r>
      <w:r w:rsidR="007C7720" w:rsidRPr="004C6A02">
        <w:t xml:space="preserve">ssessment of </w:t>
      </w:r>
      <w:r w:rsidR="00D83544">
        <w:t xml:space="preserve">varied </w:t>
      </w:r>
      <w:r w:rsidR="009D3366">
        <w:t xml:space="preserve">domains </w:t>
      </w:r>
      <w:r w:rsidR="007C7720" w:rsidRPr="004C6A02">
        <w:t xml:space="preserve">such as endocrine </w:t>
      </w:r>
      <w:r w:rsidR="00B03CBC">
        <w:t>function</w:t>
      </w:r>
      <w:r w:rsidR="007C7720" w:rsidRPr="004C6A02">
        <w:t>, fatigue</w:t>
      </w:r>
      <w:r w:rsidR="0036457C">
        <w:t>,</w:t>
      </w:r>
      <w:r w:rsidR="007C7720" w:rsidRPr="004C6A02">
        <w:t xml:space="preserve"> and</w:t>
      </w:r>
      <w:r w:rsidR="00F8382D">
        <w:t xml:space="preserve"> behaviour. </w:t>
      </w:r>
      <w:r w:rsidR="004A35C6" w:rsidRPr="004C6A02">
        <w:t xml:space="preserve">Questionnaires </w:t>
      </w:r>
      <w:r w:rsidR="004A35C6">
        <w:t>may have good</w:t>
      </w:r>
      <w:r w:rsidR="004A35C6" w:rsidRPr="004C6A02">
        <w:t xml:space="preserve"> ecological validity</w:t>
      </w:r>
      <w:r w:rsidR="004A35C6">
        <w:t xml:space="preserve"> but do not necessarily</w:t>
      </w:r>
      <w:r w:rsidR="004A35C6" w:rsidRPr="004C6A02">
        <w:t xml:space="preserve"> correlat</w:t>
      </w:r>
      <w:r w:rsidR="004A35C6">
        <w:t>e</w:t>
      </w:r>
      <w:r w:rsidR="004A35C6" w:rsidRPr="004C6A02">
        <w:t xml:space="preserve"> with </w:t>
      </w:r>
      <w:r w:rsidR="004A35C6">
        <w:t>performance-based</w:t>
      </w:r>
      <w:r w:rsidR="004A35C6" w:rsidRPr="004C6A02">
        <w:t xml:space="preserve"> </w:t>
      </w:r>
      <w:r w:rsidR="004A33C3" w:rsidRPr="004C6A02">
        <w:t>measures</w:t>
      </w:r>
      <w:r w:rsidR="004A33C3" w:rsidRPr="004A33C3">
        <w:rPr>
          <w:color w:val="0070C0"/>
          <w:vertAlign w:val="superscript"/>
        </w:rPr>
        <w:t>36</w:t>
      </w:r>
      <w:r w:rsidR="004A33C3">
        <w:t xml:space="preserve"> </w:t>
      </w:r>
      <w:r w:rsidR="00120038">
        <w:t xml:space="preserve">and are therefore best </w:t>
      </w:r>
      <w:r w:rsidR="004A35C6" w:rsidRPr="004C6A02">
        <w:t xml:space="preserve">combined with direct </w:t>
      </w:r>
      <w:r w:rsidR="004A35C6">
        <w:t>assessments of cognition, as proposed in the ALTE7C1 modular battery and the SIOP-E position statements</w:t>
      </w:r>
      <w:r w:rsidR="004A35C6" w:rsidRPr="004C6A02">
        <w:t xml:space="preserve">. </w:t>
      </w:r>
      <w:r w:rsidR="007261F3">
        <w:t xml:space="preserve">Online </w:t>
      </w:r>
      <w:r w:rsidR="00CD1CD3" w:rsidRPr="004C6A02">
        <w:t>data collection</w:t>
      </w:r>
      <w:r w:rsidR="003A29EF" w:rsidRPr="003A29EF">
        <w:t xml:space="preserve"> </w:t>
      </w:r>
      <w:r w:rsidR="003A29EF">
        <w:t>avoids the problem of missing/partial data that preclude</w:t>
      </w:r>
      <w:r w:rsidR="00120038">
        <w:t>s</w:t>
      </w:r>
      <w:r w:rsidR="003A29EF">
        <w:t xml:space="preserve"> scoring. </w:t>
      </w:r>
      <w:r w:rsidR="003A29EF" w:rsidRPr="005112AC">
        <w:t xml:space="preserve">It </w:t>
      </w:r>
      <w:r w:rsidR="00CD1CD3" w:rsidRPr="005112AC">
        <w:t>can be centrally co-ordinated</w:t>
      </w:r>
      <w:r w:rsidR="00DD0086">
        <w:t xml:space="preserve"> and</w:t>
      </w:r>
      <w:r w:rsidR="00CD1CD3" w:rsidRPr="005112AC">
        <w:t xml:space="preserve"> combined with support to facilitate </w:t>
      </w:r>
      <w:r w:rsidR="00CD1CD3" w:rsidRPr="005112AC">
        <w:lastRenderedPageBreak/>
        <w:t>patient engagement</w:t>
      </w:r>
      <w:r w:rsidR="00DD0086">
        <w:t>.</w:t>
      </w:r>
      <w:r w:rsidR="00FB1D62">
        <w:t xml:space="preserve"> We will </w:t>
      </w:r>
      <w:r w:rsidR="002D172D">
        <w:t xml:space="preserve">eventually </w:t>
      </w:r>
      <w:r w:rsidR="00FB1D62">
        <w:t xml:space="preserve">have the opportunity to compare </w:t>
      </w:r>
      <w:proofErr w:type="gramStart"/>
      <w:r w:rsidR="00FB1D62">
        <w:t>PROMs</w:t>
      </w:r>
      <w:proofErr w:type="gramEnd"/>
      <w:r w:rsidR="00FB1D62">
        <w:t xml:space="preserve"> data across multiple studies within and between disease groups, and to further define their relationship with finding</w:t>
      </w:r>
      <w:r w:rsidR="00440458">
        <w:t>s</w:t>
      </w:r>
      <w:r w:rsidR="00FB1D62">
        <w:t xml:space="preserve"> from cognitive testing. </w:t>
      </w:r>
    </w:p>
    <w:p w14:paraId="03DDA600" w14:textId="6D495447" w:rsidR="003E11B5" w:rsidRDefault="003E11B5" w:rsidP="00FC3DC9">
      <w:pPr>
        <w:spacing w:line="360" w:lineRule="auto"/>
        <w:jc w:val="both"/>
      </w:pPr>
    </w:p>
    <w:p w14:paraId="0D533FA7" w14:textId="6C67CEAC" w:rsidR="00166AC7" w:rsidRDefault="001B79DF" w:rsidP="00FC3DC9">
      <w:pPr>
        <w:spacing w:line="360" w:lineRule="auto"/>
        <w:jc w:val="both"/>
        <w:rPr>
          <w:color w:val="000000" w:themeColor="text1"/>
        </w:rPr>
      </w:pPr>
      <w:r>
        <w:t xml:space="preserve">From an implementation perspective we have learned that a clearly defined infrastructure has been critical to successful test protocol adherence. For both ALTE07C1 and Core Plus battery implementation a comprehensive tracking system was developed for all eligible participants which provided a mechanism for enhancing recognition of open time windows for assessments, whilst tracking relevant patient information and institutional contacts. Within ALTE07C1 a group of approximately 20 psychologists volunteered to serve as site monitors for specific COG institutions and made monthly contact with assigned sites to monitor test administration and ensure timely data submission. Similarly, on the SIOPE Ependymoma II trial, co-ordinators for each country were established, with evident improvement in adherence within those countries where charitable funding was obtained for a dedicated co-ordinator. In the UK, ascertainment in this trial was increased from 54% in the first year </w:t>
      </w:r>
      <w:r w:rsidRPr="00592992">
        <w:t>to 87% in the second year once a dedicated co-ordinator was in</w:t>
      </w:r>
      <w:r>
        <w:t xml:space="preserve"> place to liaise with and support national centres</w:t>
      </w:r>
      <w:r w:rsidR="004A33C3">
        <w:rPr>
          <w:vertAlign w:val="superscript"/>
        </w:rPr>
        <w:t>22</w:t>
      </w:r>
      <w:r>
        <w:t>. Feedback from local clinical psychologists has indicated the guidance provided is helpful and valued</w:t>
      </w:r>
      <w:r>
        <w:rPr>
          <w:color w:val="000000" w:themeColor="text1"/>
        </w:rPr>
        <w:t>.</w:t>
      </w:r>
      <w:r w:rsidR="00166AC7">
        <w:rPr>
          <w:color w:val="000000" w:themeColor="text1"/>
        </w:rPr>
        <w:t xml:space="preserve"> </w:t>
      </w:r>
    </w:p>
    <w:p w14:paraId="729E91DF" w14:textId="77777777" w:rsidR="00166AC7" w:rsidRDefault="00166AC7" w:rsidP="00FC3DC9">
      <w:pPr>
        <w:spacing w:line="360" w:lineRule="auto"/>
        <w:jc w:val="both"/>
        <w:rPr>
          <w:color w:val="000000" w:themeColor="text1"/>
        </w:rPr>
      </w:pPr>
    </w:p>
    <w:p w14:paraId="63E47CF5" w14:textId="17C8BD53" w:rsidR="00166AC7" w:rsidRDefault="00166AC7" w:rsidP="00FC3DC9">
      <w:pPr>
        <w:spacing w:line="360" w:lineRule="auto"/>
        <w:jc w:val="both"/>
      </w:pPr>
      <w:r>
        <w:rPr>
          <w:color w:val="000000" w:themeColor="text1"/>
        </w:rPr>
        <w:t xml:space="preserve">There continue to be resource </w:t>
      </w:r>
      <w:proofErr w:type="spellStart"/>
      <w:r>
        <w:rPr>
          <w:color w:val="000000" w:themeColor="text1"/>
        </w:rPr>
        <w:t>discrepanices</w:t>
      </w:r>
      <w:proofErr w:type="spellEnd"/>
      <w:r>
        <w:rPr>
          <w:color w:val="000000" w:themeColor="text1"/>
        </w:rPr>
        <w:t xml:space="preserve"> </w:t>
      </w:r>
      <w:r w:rsidR="005C15A5">
        <w:rPr>
          <w:color w:val="000000" w:themeColor="text1"/>
        </w:rPr>
        <w:t xml:space="preserve">between individual centres and 25% of COG sites were not able to open the </w:t>
      </w:r>
      <w:r w:rsidR="005C15A5">
        <w:t>ALTE7C1 study many of which have limited psychological care. There are similar challenges in Europe</w:t>
      </w:r>
      <w:r w:rsidR="002D172D">
        <w:t xml:space="preserve">. However, as </w:t>
      </w:r>
      <w:r w:rsidR="005C15A5">
        <w:t>centres disclos</w:t>
      </w:r>
      <w:r w:rsidR="002D172D">
        <w:t>e</w:t>
      </w:r>
      <w:r w:rsidR="005C15A5">
        <w:t xml:space="preserve"> resource limitations</w:t>
      </w:r>
      <w:r w:rsidR="002D172D">
        <w:t xml:space="preserve"> prohibiting </w:t>
      </w:r>
      <w:proofErr w:type="spellStart"/>
      <w:r w:rsidR="00FB1D62">
        <w:t>asessmen</w:t>
      </w:r>
      <w:r w:rsidR="003E2C33">
        <w:t>t</w:t>
      </w:r>
      <w:proofErr w:type="spellEnd"/>
      <w:r w:rsidR="00FB1D62">
        <w:t xml:space="preserve"> of children on trials </w:t>
      </w:r>
      <w:r w:rsidR="002D01F7">
        <w:t>this</w:t>
      </w:r>
      <w:r w:rsidR="002D172D">
        <w:t xml:space="preserve"> is also </w:t>
      </w:r>
      <w:r w:rsidR="005C15A5">
        <w:t xml:space="preserve">highlighting gaps in clinical service provision and bringing this to the forefront for discussion. In some centres funding for trial assessments is allowing children who would not have been assessed for clinical purposes to undergo assessment which is also of clinical utility and would not otherwise have been undertaken. This highlights the dual benefit of traditional batteries </w:t>
      </w:r>
      <w:r w:rsidR="00577427">
        <w:t xml:space="preserve">which can be of both research and clinical benefit </w:t>
      </w:r>
      <w:r w:rsidR="005C15A5">
        <w:t xml:space="preserve">versus targeted computerised batteries such as Cogstate. </w:t>
      </w:r>
      <w:proofErr w:type="gramStart"/>
      <w:r w:rsidR="001B79DF">
        <w:t>Indeed</w:t>
      </w:r>
      <w:proofErr w:type="gramEnd"/>
      <w:r w:rsidR="001B79DF">
        <w:t xml:space="preserve"> informal feedback indicates that local psychologists are </w:t>
      </w:r>
      <w:r w:rsidR="00143605">
        <w:t xml:space="preserve">most </w:t>
      </w:r>
      <w:r w:rsidR="001B79DF">
        <w:t xml:space="preserve">comfortable using the traditional measures which fit with their existing clinical practice. </w:t>
      </w:r>
      <w:r w:rsidR="005C15A5">
        <w:t xml:space="preserve">However, in contrast Cogstate facilitates data collection in centres where </w:t>
      </w:r>
      <w:r w:rsidR="00F5475E">
        <w:t xml:space="preserve">resource constraints mean </w:t>
      </w:r>
      <w:r w:rsidR="005C15A5">
        <w:t xml:space="preserve">this would otherwise not have been possible as a qualified psychologist is not required for </w:t>
      </w:r>
      <w:r w:rsidR="005C15A5">
        <w:lastRenderedPageBreak/>
        <w:t>administration</w:t>
      </w:r>
      <w:r w:rsidR="00F5475E">
        <w:t xml:space="preserve">. This </w:t>
      </w:r>
      <w:r w:rsidR="00FB1D62">
        <w:t>has potential to</w:t>
      </w:r>
      <w:r w:rsidR="003E2C33">
        <w:t xml:space="preserve"> identify those most in need of </w:t>
      </w:r>
      <w:r w:rsidR="00440458">
        <w:t xml:space="preserve">referral for a </w:t>
      </w:r>
      <w:r w:rsidR="003E2C33">
        <w:t>clinical assessment</w:t>
      </w:r>
      <w:r w:rsidR="00C80E6C">
        <w:t xml:space="preserve"> and intervention to facilitate optimal outcomes for individual patients.</w:t>
      </w:r>
      <w:r w:rsidR="003E2C33">
        <w:t xml:space="preserve"> </w:t>
      </w:r>
      <w:proofErr w:type="gramStart"/>
      <w:r w:rsidR="005C15A5">
        <w:t>I</w:t>
      </w:r>
      <w:r w:rsidR="00577427">
        <w:t>n the near future</w:t>
      </w:r>
      <w:proofErr w:type="gramEnd"/>
      <w:r w:rsidR="00577427">
        <w:t xml:space="preserve"> it</w:t>
      </w:r>
      <w:r w:rsidR="005C15A5">
        <w:t xml:space="preserve"> will be important to </w:t>
      </w:r>
      <w:r w:rsidR="00577427">
        <w:t>consider the scientific success of these respective batteries in identifying impairment and the extent to which they consisten</w:t>
      </w:r>
      <w:r w:rsidR="003E2C33">
        <w:t>t</w:t>
      </w:r>
      <w:r w:rsidR="00577427">
        <w:t xml:space="preserve">ly identify impairments and predict </w:t>
      </w:r>
      <w:r w:rsidR="00FB1D62">
        <w:t xml:space="preserve">long term functioning. </w:t>
      </w:r>
    </w:p>
    <w:p w14:paraId="557855E9" w14:textId="77777777" w:rsidR="004A35C6" w:rsidRDefault="004A35C6" w:rsidP="00FC3DC9">
      <w:pPr>
        <w:spacing w:line="360" w:lineRule="auto"/>
        <w:jc w:val="both"/>
      </w:pPr>
    </w:p>
    <w:p w14:paraId="7A8D4549" w14:textId="384849FC" w:rsidR="00CB4507" w:rsidRPr="00DD0086" w:rsidRDefault="004A35C6" w:rsidP="00CB4507">
      <w:pPr>
        <w:spacing w:line="360" w:lineRule="auto"/>
        <w:jc w:val="both"/>
      </w:pPr>
      <w:r>
        <w:t xml:space="preserve">The challenges of </w:t>
      </w:r>
      <w:r w:rsidR="00D83544">
        <w:t>COVID</w:t>
      </w:r>
      <w:r>
        <w:t xml:space="preserve">-19 have </w:t>
      </w:r>
      <w:r w:rsidR="00A040C1">
        <w:t xml:space="preserve">accelerated </w:t>
      </w:r>
      <w:r w:rsidR="00587C16">
        <w:t xml:space="preserve">development and validation of </w:t>
      </w:r>
      <w:r>
        <w:t xml:space="preserve">remote administration of traditional cognitive tests. </w:t>
      </w:r>
      <w:r w:rsidR="00CD1CD3" w:rsidRPr="004C6A02">
        <w:t xml:space="preserve">Centralised </w:t>
      </w:r>
      <w:r w:rsidR="00DD0086">
        <w:t xml:space="preserve">questionnaire </w:t>
      </w:r>
      <w:r w:rsidR="00CD1CD3" w:rsidRPr="004C6A02">
        <w:t xml:space="preserve">data gathering via telephone </w:t>
      </w:r>
      <w:r w:rsidR="00DD0086">
        <w:t xml:space="preserve">and </w:t>
      </w:r>
      <w:r w:rsidR="00CD1CD3" w:rsidRPr="004C6A02">
        <w:t>online platforms</w:t>
      </w:r>
      <w:r>
        <w:t xml:space="preserve"> </w:t>
      </w:r>
      <w:r w:rsidR="007F2CB7">
        <w:t xml:space="preserve">also </w:t>
      </w:r>
      <w:r>
        <w:t xml:space="preserve">promise decreased </w:t>
      </w:r>
      <w:r w:rsidR="00A040C1">
        <w:t xml:space="preserve">disruption </w:t>
      </w:r>
      <w:r>
        <w:t>and increased convenience for families and local centres</w:t>
      </w:r>
      <w:r w:rsidR="00DD0086">
        <w:t xml:space="preserve">. Thus, we may be cautiously open to new possibilities for clinical trials that have the potential to maximise the collection of quality data whilst minimising patient </w:t>
      </w:r>
      <w:r w:rsidR="00F724B9">
        <w:t xml:space="preserve">and staff </w:t>
      </w:r>
      <w:r w:rsidR="00DD0086">
        <w:t xml:space="preserve">burden. </w:t>
      </w:r>
      <w:r w:rsidR="001100FA">
        <w:t>This may be timely, a</w:t>
      </w:r>
      <w:r w:rsidR="00EF1DF5" w:rsidRPr="00904452">
        <w:rPr>
          <w:rFonts w:ascii="Calibri" w:hAnsi="Calibri" w:cs="Times New Roman"/>
          <w:color w:val="000000"/>
          <w:lang w:eastAsia="en-GB"/>
        </w:rPr>
        <w:t xml:space="preserve">s we move towards further stratification utilising biological subtypes </w:t>
      </w:r>
      <w:r w:rsidR="001D7E48">
        <w:rPr>
          <w:rFonts w:ascii="Calibri" w:hAnsi="Calibri" w:cs="Times New Roman"/>
          <w:color w:val="000000"/>
          <w:lang w:eastAsia="en-GB"/>
        </w:rPr>
        <w:t xml:space="preserve">and imaging correlates </w:t>
      </w:r>
      <w:r w:rsidR="001100FA">
        <w:rPr>
          <w:rFonts w:ascii="Calibri" w:hAnsi="Calibri" w:cs="Times New Roman"/>
          <w:color w:val="000000"/>
          <w:lang w:eastAsia="en-GB"/>
        </w:rPr>
        <w:t xml:space="preserve">requiring </w:t>
      </w:r>
      <w:r w:rsidR="00CD1CD3" w:rsidRPr="00904452">
        <w:rPr>
          <w:rFonts w:ascii="Calibri" w:hAnsi="Calibri" w:cs="Times New Roman"/>
          <w:color w:val="000000"/>
          <w:lang w:eastAsia="en-GB"/>
        </w:rPr>
        <w:t>inter</w:t>
      </w:r>
      <w:r w:rsidR="00CD1CD3">
        <w:rPr>
          <w:rFonts w:ascii="Calibri" w:hAnsi="Calibri" w:cs="Times New Roman"/>
          <w:color w:val="000000"/>
          <w:lang w:eastAsia="en-GB"/>
        </w:rPr>
        <w:t xml:space="preserve">-continental </w:t>
      </w:r>
      <w:r w:rsidR="00CD1CD3" w:rsidRPr="00904452">
        <w:rPr>
          <w:rFonts w:ascii="Calibri" w:hAnsi="Calibri" w:cs="Times New Roman"/>
          <w:color w:val="000000"/>
          <w:lang w:eastAsia="en-GB"/>
        </w:rPr>
        <w:t>collaborations</w:t>
      </w:r>
      <w:r w:rsidR="00DD0086">
        <w:rPr>
          <w:rFonts w:ascii="Calibri" w:hAnsi="Calibri" w:cs="Times New Roman"/>
          <w:color w:val="000000"/>
          <w:lang w:eastAsia="en-GB"/>
        </w:rPr>
        <w:t xml:space="preserve">, </w:t>
      </w:r>
      <w:r w:rsidR="007F2CB7">
        <w:rPr>
          <w:rFonts w:ascii="Calibri" w:hAnsi="Calibri" w:cs="Times New Roman"/>
          <w:color w:val="000000"/>
          <w:lang w:eastAsia="en-GB"/>
        </w:rPr>
        <w:t xml:space="preserve">augmented by </w:t>
      </w:r>
      <w:r w:rsidR="00904130">
        <w:rPr>
          <w:rFonts w:ascii="Calibri" w:hAnsi="Calibri" w:cs="Times New Roman"/>
          <w:color w:val="000000"/>
          <w:lang w:eastAsia="en-GB"/>
        </w:rPr>
        <w:t>longer-term</w:t>
      </w:r>
      <w:r w:rsidR="00304954">
        <w:rPr>
          <w:rFonts w:ascii="Calibri" w:hAnsi="Calibri" w:cs="Times New Roman"/>
          <w:color w:val="000000"/>
          <w:lang w:eastAsia="en-GB"/>
        </w:rPr>
        <w:t xml:space="preserve"> </w:t>
      </w:r>
      <w:r w:rsidR="00304954" w:rsidRPr="00CB4507">
        <w:rPr>
          <w:rFonts w:ascii="Calibri" w:hAnsi="Calibri" w:cs="Times New Roman"/>
          <w:color w:val="000000" w:themeColor="text1"/>
          <w:lang w:eastAsia="en-GB"/>
        </w:rPr>
        <w:t>follow</w:t>
      </w:r>
      <w:r w:rsidR="00C22862" w:rsidRPr="00CB4507">
        <w:rPr>
          <w:rFonts w:ascii="Calibri" w:hAnsi="Calibri" w:cs="Times New Roman"/>
          <w:color w:val="000000" w:themeColor="text1"/>
          <w:lang w:eastAsia="en-GB"/>
        </w:rPr>
        <w:t>-</w:t>
      </w:r>
      <w:r w:rsidR="00304954" w:rsidRPr="00CB4507">
        <w:rPr>
          <w:rFonts w:ascii="Calibri" w:hAnsi="Calibri" w:cs="Times New Roman"/>
          <w:color w:val="000000" w:themeColor="text1"/>
          <w:lang w:eastAsia="en-GB"/>
        </w:rPr>
        <w:t xml:space="preserve">up to establish true downstream effects upon cognition </w:t>
      </w:r>
      <w:r w:rsidR="005B5FD7" w:rsidRPr="00CB4507">
        <w:rPr>
          <w:rFonts w:ascii="Calibri" w:hAnsi="Calibri" w:cs="Times New Roman"/>
          <w:color w:val="000000" w:themeColor="text1"/>
          <w:lang w:eastAsia="en-GB"/>
        </w:rPr>
        <w:t xml:space="preserve">and </w:t>
      </w:r>
      <w:r w:rsidR="002D172D">
        <w:rPr>
          <w:rFonts w:ascii="Calibri" w:hAnsi="Calibri" w:cs="Times New Roman"/>
          <w:color w:val="000000" w:themeColor="text1"/>
          <w:lang w:eastAsia="en-GB"/>
        </w:rPr>
        <w:t>QoS</w:t>
      </w:r>
      <w:r w:rsidR="000609AD">
        <w:rPr>
          <w:rFonts w:ascii="Calibri" w:hAnsi="Calibri" w:cs="Times New Roman"/>
          <w:color w:val="000000" w:themeColor="text1"/>
          <w:lang w:eastAsia="en-GB"/>
        </w:rPr>
        <w:t xml:space="preserve">. This </w:t>
      </w:r>
      <w:r w:rsidR="00DD0086">
        <w:rPr>
          <w:rFonts w:ascii="Calibri" w:hAnsi="Calibri" w:cs="Times New Roman"/>
          <w:color w:val="000000" w:themeColor="text1"/>
          <w:lang w:eastAsia="en-GB"/>
        </w:rPr>
        <w:t xml:space="preserve">has the potential to </w:t>
      </w:r>
      <w:r w:rsidR="000609AD">
        <w:rPr>
          <w:rFonts w:ascii="Calibri" w:hAnsi="Calibri" w:cs="Times New Roman"/>
          <w:color w:val="000000" w:themeColor="text1"/>
          <w:lang w:eastAsia="en-GB"/>
        </w:rPr>
        <w:t xml:space="preserve">not only </w:t>
      </w:r>
      <w:r w:rsidR="00CB4507">
        <w:rPr>
          <w:rFonts w:ascii="Calibri" w:hAnsi="Calibri" w:cs="Times New Roman"/>
          <w:color w:val="000000" w:themeColor="text1"/>
          <w:lang w:eastAsia="en-GB"/>
        </w:rPr>
        <w:t>inform treatment decisions</w:t>
      </w:r>
      <w:r w:rsidR="000609AD">
        <w:rPr>
          <w:rFonts w:ascii="Calibri" w:hAnsi="Calibri" w:cs="Times New Roman"/>
          <w:color w:val="000000" w:themeColor="text1"/>
          <w:lang w:eastAsia="en-GB"/>
        </w:rPr>
        <w:t xml:space="preserve"> but will facilitate further identification of risk factors to inform </w:t>
      </w:r>
      <w:r w:rsidR="00CB4507" w:rsidRPr="00CB4507">
        <w:rPr>
          <w:rFonts w:cs="Times New Roman"/>
          <w:color w:val="000000" w:themeColor="text1"/>
        </w:rPr>
        <w:t>recommended cognitive monitoring</w:t>
      </w:r>
      <w:r w:rsidR="00F724B9">
        <w:rPr>
          <w:rFonts w:cs="Times New Roman"/>
          <w:color w:val="000000" w:themeColor="text1"/>
        </w:rPr>
        <w:t xml:space="preserve"> </w:t>
      </w:r>
      <w:r w:rsidR="00CB4507" w:rsidRPr="00CB4507">
        <w:rPr>
          <w:rFonts w:cs="Times New Roman"/>
          <w:color w:val="000000" w:themeColor="text1"/>
        </w:rPr>
        <w:t>and intervention for childhood cancer patients</w:t>
      </w:r>
      <w:r w:rsidR="004A33C3" w:rsidRPr="004A33C3">
        <w:rPr>
          <w:rFonts w:cs="Times New Roman"/>
          <w:color w:val="000000" w:themeColor="text1"/>
          <w:vertAlign w:val="superscript"/>
        </w:rPr>
        <w:t>35,37</w:t>
      </w:r>
      <w:r w:rsidR="00CE4A8A">
        <w:rPr>
          <w:rFonts w:cs="Times New Roman"/>
          <w:color w:val="000000" w:themeColor="text1"/>
        </w:rPr>
        <w:t>.</w:t>
      </w:r>
      <w:r w:rsidR="00CB4507" w:rsidRPr="00CB4507">
        <w:rPr>
          <w:rFonts w:cs="Times New Roman"/>
          <w:color w:val="000000" w:themeColor="text1"/>
        </w:rPr>
        <w:t xml:space="preserve">  </w:t>
      </w:r>
    </w:p>
    <w:p w14:paraId="7422C381" w14:textId="5216516C" w:rsidR="001100FA" w:rsidRDefault="001100FA" w:rsidP="00FC3DC9">
      <w:pPr>
        <w:spacing w:line="360" w:lineRule="auto"/>
        <w:jc w:val="both"/>
        <w:rPr>
          <w:b/>
        </w:rPr>
      </w:pPr>
    </w:p>
    <w:p w14:paraId="3D3E6D02" w14:textId="77777777" w:rsidR="00AF431E" w:rsidRDefault="00AF431E" w:rsidP="00FC3DC9">
      <w:pPr>
        <w:spacing w:line="360" w:lineRule="auto"/>
        <w:jc w:val="both"/>
        <w:rPr>
          <w:b/>
        </w:rPr>
      </w:pPr>
    </w:p>
    <w:p w14:paraId="208B99A1" w14:textId="2509D09D" w:rsidR="00367642" w:rsidRPr="003C084E" w:rsidRDefault="00367642" w:rsidP="00FC3DC9">
      <w:pPr>
        <w:spacing w:line="360" w:lineRule="auto"/>
        <w:rPr>
          <w:b/>
          <w:color w:val="0070C0"/>
        </w:rPr>
      </w:pPr>
      <w:r w:rsidRPr="003C084E">
        <w:rPr>
          <w:b/>
          <w:color w:val="0070C0"/>
        </w:rPr>
        <w:t>Conclusion</w:t>
      </w:r>
    </w:p>
    <w:p w14:paraId="2BBA77A1" w14:textId="77777777" w:rsidR="008E088F" w:rsidRDefault="008E088F" w:rsidP="00FC3DC9">
      <w:pPr>
        <w:spacing w:line="360" w:lineRule="auto"/>
        <w:rPr>
          <w:b/>
        </w:rPr>
      </w:pPr>
    </w:p>
    <w:p w14:paraId="395553BF" w14:textId="7E2E3685" w:rsidR="00EF1DF5" w:rsidRDefault="00367642" w:rsidP="00FC3DC9">
      <w:pPr>
        <w:spacing w:line="360" w:lineRule="auto"/>
        <w:jc w:val="both"/>
      </w:pPr>
      <w:r>
        <w:t xml:space="preserve">Establishing </w:t>
      </w:r>
      <w:r w:rsidR="00DD0086">
        <w:t xml:space="preserve">trial </w:t>
      </w:r>
      <w:r>
        <w:t>protocols</w:t>
      </w:r>
      <w:r w:rsidR="00DD0086">
        <w:t xml:space="preserve"> to measure cognition and other aspects of </w:t>
      </w:r>
      <w:r w:rsidR="00C80E6C">
        <w:t xml:space="preserve">QoS </w:t>
      </w:r>
      <w:r>
        <w:t>requires patience, persistence</w:t>
      </w:r>
      <w:r w:rsidR="005B5FD7">
        <w:t>,</w:t>
      </w:r>
      <w:r>
        <w:t xml:space="preserve"> and often compromise</w:t>
      </w:r>
      <w:r w:rsidR="00AE7579">
        <w:t xml:space="preserve">, but </w:t>
      </w:r>
      <w:r w:rsidR="00C23F98">
        <w:t xml:space="preserve">recent </w:t>
      </w:r>
      <w:r w:rsidR="008E088F">
        <w:t xml:space="preserve">approaches </w:t>
      </w:r>
      <w:r w:rsidR="00120038">
        <w:t xml:space="preserve">have been </w:t>
      </w:r>
      <w:r w:rsidR="00AE7579">
        <w:t xml:space="preserve">successful in large cooperative trials. </w:t>
      </w:r>
      <w:r w:rsidR="00C23F98">
        <w:t xml:space="preserve">Monitoring of the </w:t>
      </w:r>
      <w:r w:rsidR="00EF1DF5">
        <w:t>benefits and challenges</w:t>
      </w:r>
      <w:r w:rsidR="00C23F98">
        <w:t xml:space="preserve"> of these approaches will enable us to </w:t>
      </w:r>
      <w:r w:rsidR="00EF1DF5">
        <w:t>develop and refine our protocols. Increasingly</w:t>
      </w:r>
      <w:r w:rsidR="00587C16">
        <w:t>,</w:t>
      </w:r>
      <w:r w:rsidR="00EF1DF5">
        <w:t xml:space="preserve"> it will be important to widen international collaboration</w:t>
      </w:r>
      <w:r w:rsidR="00F724B9">
        <w:t>, and t</w:t>
      </w:r>
      <w:r w:rsidR="00EF1DF5">
        <w:t>he pursuit of transatlantic protocol homogeneity</w:t>
      </w:r>
      <w:r w:rsidR="001100FA">
        <w:t xml:space="preserve">, </w:t>
      </w:r>
      <w:r w:rsidR="008E088F">
        <w:t xml:space="preserve">including </w:t>
      </w:r>
      <w:r w:rsidR="001100FA">
        <w:t>new possibilities for centralised</w:t>
      </w:r>
      <w:r w:rsidR="00DD0086">
        <w:t>,</w:t>
      </w:r>
      <w:r w:rsidR="001100FA">
        <w:t xml:space="preserve"> remote</w:t>
      </w:r>
      <w:r w:rsidR="00DD0086">
        <w:t xml:space="preserve"> </w:t>
      </w:r>
      <w:r w:rsidR="001100FA">
        <w:t>data collection,</w:t>
      </w:r>
      <w:r w:rsidR="00EF1DF5">
        <w:t xml:space="preserve"> presents exciting future opportunit</w:t>
      </w:r>
      <w:r w:rsidR="00F724B9">
        <w:t>ies</w:t>
      </w:r>
      <w:r w:rsidR="00EF1DF5">
        <w:t xml:space="preserve">.  </w:t>
      </w:r>
    </w:p>
    <w:p w14:paraId="1ADBF786" w14:textId="03B3840F" w:rsidR="00D552B9" w:rsidRDefault="00D552B9" w:rsidP="00FC3DC9">
      <w:pPr>
        <w:spacing w:line="360" w:lineRule="auto"/>
        <w:jc w:val="both"/>
      </w:pPr>
    </w:p>
    <w:p w14:paraId="18DDE5A7" w14:textId="48DAEADA" w:rsidR="00D552B9" w:rsidRPr="00D552B9" w:rsidRDefault="00D552B9" w:rsidP="00FC3DC9">
      <w:pPr>
        <w:spacing w:line="360" w:lineRule="auto"/>
        <w:jc w:val="both"/>
        <w:rPr>
          <w:b/>
          <w:bCs/>
        </w:rPr>
      </w:pPr>
      <w:r w:rsidRPr="00D552B9">
        <w:rPr>
          <w:b/>
          <w:bCs/>
        </w:rPr>
        <w:t>Conflict of Interest</w:t>
      </w:r>
    </w:p>
    <w:p w14:paraId="11709A72" w14:textId="643DDCC9" w:rsidR="00D552B9" w:rsidRDefault="00D552B9" w:rsidP="00FC3DC9">
      <w:pPr>
        <w:spacing w:line="360" w:lineRule="auto"/>
        <w:jc w:val="both"/>
      </w:pPr>
      <w:r>
        <w:t xml:space="preserve">No conflict of interest has been declared by the author(s) </w:t>
      </w:r>
    </w:p>
    <w:p w14:paraId="33D33667" w14:textId="77777777" w:rsidR="00D552B9" w:rsidRDefault="00D552B9" w:rsidP="00FC3DC9">
      <w:pPr>
        <w:spacing w:line="360" w:lineRule="auto"/>
        <w:jc w:val="both"/>
      </w:pPr>
    </w:p>
    <w:p w14:paraId="314DC191" w14:textId="77777777" w:rsidR="00D552B9" w:rsidRDefault="00D552B9" w:rsidP="00FC3DC9">
      <w:pPr>
        <w:spacing w:line="360" w:lineRule="auto"/>
        <w:jc w:val="both"/>
      </w:pPr>
    </w:p>
    <w:p w14:paraId="0C6BE50C" w14:textId="77777777" w:rsidR="002B7CF8" w:rsidRDefault="002B7CF8" w:rsidP="002B7CF8">
      <w:pPr>
        <w:spacing w:line="360" w:lineRule="auto"/>
        <w:jc w:val="both"/>
        <w:rPr>
          <w:b/>
          <w:bCs/>
        </w:rPr>
      </w:pPr>
    </w:p>
    <w:p w14:paraId="223EB748" w14:textId="77777777" w:rsidR="002B7CF8" w:rsidRDefault="002B7CF8" w:rsidP="002B7CF8">
      <w:pPr>
        <w:spacing w:line="360" w:lineRule="auto"/>
        <w:jc w:val="both"/>
        <w:rPr>
          <w:b/>
          <w:bCs/>
        </w:rPr>
      </w:pPr>
      <w:r w:rsidRPr="008C37FD">
        <w:rPr>
          <w:b/>
          <w:bCs/>
        </w:rPr>
        <w:t>References</w:t>
      </w:r>
    </w:p>
    <w:p w14:paraId="5B0A084A" w14:textId="77777777" w:rsidR="002B7CF8" w:rsidRPr="008C37FD" w:rsidRDefault="002B7CF8" w:rsidP="002B7CF8">
      <w:pPr>
        <w:spacing w:line="360" w:lineRule="auto"/>
        <w:jc w:val="both"/>
        <w:rPr>
          <w:b/>
          <w:bCs/>
        </w:rPr>
      </w:pPr>
    </w:p>
    <w:p w14:paraId="2AECF57F" w14:textId="77777777" w:rsidR="002B7CF8" w:rsidRPr="008C37FD"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8C37FD">
        <w:rPr>
          <w:rFonts w:cstheme="minorHAnsi"/>
        </w:rPr>
        <w:fldChar w:fldCharType="begin" w:fldLock="1"/>
      </w:r>
      <w:r w:rsidRPr="008C37FD">
        <w:rPr>
          <w:rFonts w:cstheme="minorHAnsi"/>
        </w:rPr>
        <w:instrText xml:space="preserve">ADDIN Mendeley Bibliography CSL_BIBLIOGRAPHY </w:instrText>
      </w:r>
      <w:r w:rsidRPr="008C37FD">
        <w:rPr>
          <w:rFonts w:cstheme="minorHAnsi"/>
        </w:rPr>
        <w:fldChar w:fldCharType="separate"/>
      </w:r>
      <w:r w:rsidRPr="008C37FD">
        <w:rPr>
          <w:rFonts w:cstheme="minorHAnsi"/>
          <w:noProof/>
        </w:rPr>
        <w:t xml:space="preserve">Treadgold B, Kennedy C, Spoudeas H, Sugden E, Walker D, Bull K. Paediatric neuro-oncology rehabilitation in the UK: Carer and provider perspectives. </w:t>
      </w:r>
      <w:r w:rsidRPr="008C37FD">
        <w:rPr>
          <w:rFonts w:cstheme="minorHAnsi"/>
          <w:i/>
          <w:iCs/>
          <w:noProof/>
        </w:rPr>
        <w:t>BMJ Paediatr Open</w:t>
      </w:r>
      <w:r w:rsidRPr="008C37FD">
        <w:rPr>
          <w:rFonts w:cstheme="minorHAnsi"/>
          <w:noProof/>
        </w:rPr>
        <w:t>. 2019;3(1).</w:t>
      </w:r>
    </w:p>
    <w:p w14:paraId="5F92D137" w14:textId="77777777" w:rsidR="002B7CF8" w:rsidRPr="008C37FD" w:rsidRDefault="002B7CF8" w:rsidP="002B7CF8">
      <w:pPr>
        <w:widowControl w:val="0"/>
        <w:autoSpaceDE w:val="0"/>
        <w:autoSpaceDN w:val="0"/>
        <w:adjustRightInd w:val="0"/>
        <w:spacing w:line="360" w:lineRule="auto"/>
        <w:ind w:left="426" w:hanging="426"/>
        <w:rPr>
          <w:rFonts w:cstheme="minorHAnsi"/>
          <w:noProof/>
        </w:rPr>
      </w:pPr>
    </w:p>
    <w:p w14:paraId="1E712125" w14:textId="77777777" w:rsidR="002B7CF8" w:rsidRPr="008C37FD"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8C37FD">
        <w:rPr>
          <w:rFonts w:cstheme="minorHAnsi"/>
          <w:noProof/>
        </w:rPr>
        <w:t xml:space="preserve">Hewitt CE, Kumaravel B, Dumville JC, Torgerson DJ; Trial attrition study group. Assessing the impact of attrition in randomized controlled trials. J Clin Epidemiol. 2010 Nov;63(11):1264-70. </w:t>
      </w:r>
    </w:p>
    <w:p w14:paraId="75114D13" w14:textId="77777777" w:rsidR="002B7CF8" w:rsidRPr="008C37FD" w:rsidRDefault="002B7CF8" w:rsidP="002B7CF8">
      <w:pPr>
        <w:pStyle w:val="ListParagraph"/>
        <w:ind w:left="426" w:hanging="426"/>
        <w:rPr>
          <w:rFonts w:cstheme="minorHAnsi"/>
          <w:noProof/>
        </w:rPr>
      </w:pPr>
    </w:p>
    <w:p w14:paraId="33C6BA6E" w14:textId="77777777" w:rsidR="002B7CF8" w:rsidRPr="008C37FD"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D9570E">
        <w:rPr>
          <w:rFonts w:cstheme="minorHAnsi"/>
          <w:noProof/>
          <w:lang w:val="fr-FR"/>
        </w:rPr>
        <w:t xml:space="preserve">Embry L, Annett RD, Kunin-Batson A, et al. </w:t>
      </w:r>
      <w:r w:rsidRPr="008C37FD">
        <w:rPr>
          <w:rFonts w:cstheme="minorHAnsi"/>
          <w:noProof/>
        </w:rPr>
        <w:t xml:space="preserve">Implementation of multi-site neurocognitive assessments within a pediatric cooperative group: Can it be done? </w:t>
      </w:r>
      <w:r w:rsidRPr="008C37FD">
        <w:rPr>
          <w:rFonts w:cstheme="minorHAnsi"/>
          <w:i/>
          <w:iCs/>
          <w:noProof/>
        </w:rPr>
        <w:t>Pediatr Blood Cancer</w:t>
      </w:r>
      <w:r w:rsidRPr="008C37FD">
        <w:rPr>
          <w:rFonts w:cstheme="minorHAnsi"/>
          <w:noProof/>
        </w:rPr>
        <w:t>. 2012;59(3).</w:t>
      </w:r>
    </w:p>
    <w:p w14:paraId="69EAD06C" w14:textId="77777777" w:rsidR="002B7CF8" w:rsidRPr="008C37FD" w:rsidRDefault="002B7CF8" w:rsidP="002B7CF8">
      <w:pPr>
        <w:pStyle w:val="ListParagraph"/>
        <w:ind w:left="426" w:hanging="426"/>
        <w:rPr>
          <w:rFonts w:cstheme="minorHAnsi"/>
          <w:noProof/>
        </w:rPr>
      </w:pPr>
    </w:p>
    <w:p w14:paraId="704A9D7E" w14:textId="605F9BE1" w:rsidR="002B7CF8" w:rsidRPr="008C37FD"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8C37FD">
        <w:rPr>
          <w:rFonts w:cstheme="minorHAnsi"/>
        </w:rPr>
        <w:t xml:space="preserve">Wechsler, </w:t>
      </w:r>
      <w:r w:rsidR="00424E87">
        <w:rPr>
          <w:rFonts w:cstheme="minorHAnsi"/>
        </w:rPr>
        <w:t>D</w:t>
      </w:r>
      <w:r w:rsidRPr="008C37FD">
        <w:rPr>
          <w:rFonts w:cstheme="minorHAnsi"/>
        </w:rPr>
        <w:t xml:space="preserve">. </w:t>
      </w:r>
      <w:r w:rsidRPr="008C37FD">
        <w:rPr>
          <w:rFonts w:cstheme="minorHAnsi"/>
          <w:i/>
        </w:rPr>
        <w:t>Wechsler Preschool and Primary Scale of Intelligence, Third Edition (WPPSI-III)</w:t>
      </w:r>
      <w:r w:rsidR="00424E87">
        <w:rPr>
          <w:rFonts w:cstheme="minorHAnsi"/>
        </w:rPr>
        <w:t xml:space="preserve">; 2002. </w:t>
      </w:r>
      <w:r w:rsidRPr="008C37FD">
        <w:rPr>
          <w:rFonts w:cstheme="minorHAnsi"/>
        </w:rPr>
        <w:t>San Antonio, TX: The Psychological Corporation.</w:t>
      </w:r>
    </w:p>
    <w:p w14:paraId="7988D7F1" w14:textId="77777777" w:rsidR="002B7CF8" w:rsidRPr="008C37FD" w:rsidRDefault="002B7CF8" w:rsidP="002B7CF8">
      <w:pPr>
        <w:pStyle w:val="ListParagraph"/>
        <w:ind w:left="426" w:hanging="426"/>
        <w:rPr>
          <w:rFonts w:cstheme="minorHAnsi"/>
          <w:noProof/>
        </w:rPr>
      </w:pPr>
    </w:p>
    <w:p w14:paraId="11D12B6B" w14:textId="6AFF818E" w:rsidR="002B7CF8" w:rsidRPr="008C37FD"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8C37FD">
        <w:rPr>
          <w:rFonts w:cstheme="minorHAnsi"/>
        </w:rPr>
        <w:t>Wechsler, D.</w:t>
      </w:r>
      <w:r w:rsidR="00424E87">
        <w:rPr>
          <w:rFonts w:cstheme="minorHAnsi"/>
        </w:rPr>
        <w:t xml:space="preserve"> </w:t>
      </w:r>
      <w:r w:rsidRPr="008C37FD">
        <w:rPr>
          <w:rFonts w:cstheme="minorHAnsi"/>
          <w:i/>
        </w:rPr>
        <w:t>Wechsler Intelligence Scale for Children - Fourth Edition (WISC-IV)</w:t>
      </w:r>
      <w:r w:rsidR="00424E87">
        <w:rPr>
          <w:rFonts w:cstheme="minorHAnsi"/>
          <w:iCs/>
        </w:rPr>
        <w:t xml:space="preserve">; </w:t>
      </w:r>
      <w:r w:rsidR="00424E87" w:rsidRPr="00424E87">
        <w:rPr>
          <w:rFonts w:cstheme="minorHAnsi"/>
          <w:iCs/>
        </w:rPr>
        <w:t>2003.</w:t>
      </w:r>
      <w:r w:rsidRPr="00424E87">
        <w:rPr>
          <w:rFonts w:cstheme="minorHAnsi"/>
          <w:iCs/>
        </w:rPr>
        <w:t xml:space="preserve"> </w:t>
      </w:r>
      <w:r w:rsidRPr="008C37FD">
        <w:rPr>
          <w:rFonts w:cstheme="minorHAnsi"/>
        </w:rPr>
        <w:t>San Antonio, TX: The Psychological Corporation.</w:t>
      </w:r>
    </w:p>
    <w:p w14:paraId="207B6CE2" w14:textId="77777777" w:rsidR="002B7CF8" w:rsidRPr="008C37FD" w:rsidRDefault="002B7CF8" w:rsidP="002B7CF8">
      <w:pPr>
        <w:pStyle w:val="ListParagraph"/>
        <w:ind w:left="426" w:hanging="426"/>
        <w:rPr>
          <w:rFonts w:cstheme="minorHAnsi"/>
          <w:noProof/>
        </w:rPr>
      </w:pPr>
    </w:p>
    <w:p w14:paraId="3A0CD8BE" w14:textId="2ADBB6E0" w:rsidR="002B7CF8" w:rsidRPr="008C37FD"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8C37FD">
        <w:rPr>
          <w:rFonts w:cstheme="minorHAnsi"/>
        </w:rPr>
        <w:t xml:space="preserve"> Wechsler, D. </w:t>
      </w:r>
      <w:r w:rsidRPr="008C37FD">
        <w:rPr>
          <w:rFonts w:cstheme="minorHAnsi"/>
          <w:i/>
        </w:rPr>
        <w:t>The Wechsler Adult Intelligence Scale (3</w:t>
      </w:r>
      <w:r w:rsidRPr="008C37FD">
        <w:rPr>
          <w:rFonts w:cstheme="minorHAnsi"/>
          <w:i/>
          <w:vertAlign w:val="superscript"/>
        </w:rPr>
        <w:t>rd</w:t>
      </w:r>
      <w:r w:rsidRPr="008C37FD">
        <w:rPr>
          <w:rFonts w:cstheme="minorHAnsi"/>
          <w:i/>
        </w:rPr>
        <w:t xml:space="preserve"> Edn)</w:t>
      </w:r>
      <w:r w:rsidR="00424E87">
        <w:rPr>
          <w:rFonts w:cstheme="minorHAnsi"/>
          <w:i/>
        </w:rPr>
        <w:t>.</w:t>
      </w:r>
      <w:r w:rsidRPr="00424E87">
        <w:rPr>
          <w:rFonts w:cstheme="minorHAnsi"/>
          <w:iCs/>
        </w:rPr>
        <w:t xml:space="preserve"> </w:t>
      </w:r>
      <w:r w:rsidRPr="008C37FD">
        <w:rPr>
          <w:rFonts w:cstheme="minorHAnsi"/>
        </w:rPr>
        <w:t>San Antonio, TX: The Psychological Corporation</w:t>
      </w:r>
      <w:r w:rsidR="00424E87">
        <w:rPr>
          <w:rFonts w:cstheme="minorHAnsi"/>
        </w:rPr>
        <w:t>; 1997.</w:t>
      </w:r>
    </w:p>
    <w:p w14:paraId="19E3C52C" w14:textId="77777777" w:rsidR="002B7CF8" w:rsidRPr="008C37FD" w:rsidRDefault="002B7CF8" w:rsidP="002B7CF8">
      <w:pPr>
        <w:pStyle w:val="ListParagraph"/>
        <w:ind w:left="426" w:hanging="426"/>
        <w:rPr>
          <w:rFonts w:cstheme="minorHAnsi"/>
          <w:noProof/>
        </w:rPr>
      </w:pPr>
    </w:p>
    <w:p w14:paraId="520FDBC9" w14:textId="7A7C2A0B" w:rsidR="002B7CF8" w:rsidRPr="008C37FD"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8C37FD">
        <w:rPr>
          <w:rFonts w:cstheme="minorHAnsi"/>
        </w:rPr>
        <w:t xml:space="preserve"> Cohen, M. J. </w:t>
      </w:r>
      <w:r w:rsidRPr="008C37FD">
        <w:rPr>
          <w:rFonts w:cstheme="minorHAnsi"/>
          <w:i/>
        </w:rPr>
        <w:t>Children’s Memory Scale</w:t>
      </w:r>
      <w:r w:rsidRPr="008C37FD">
        <w:rPr>
          <w:rFonts w:cstheme="minorHAnsi"/>
        </w:rPr>
        <w:t>.</w:t>
      </w:r>
      <w:r w:rsidR="00424E87">
        <w:rPr>
          <w:rFonts w:cstheme="minorHAnsi"/>
        </w:rPr>
        <w:t xml:space="preserve"> </w:t>
      </w:r>
      <w:r w:rsidRPr="008C37FD">
        <w:rPr>
          <w:rFonts w:cstheme="minorHAnsi"/>
        </w:rPr>
        <w:t>San Antonio, Texas: The Psychological Corporation</w:t>
      </w:r>
      <w:r w:rsidR="00424E87">
        <w:rPr>
          <w:rFonts w:cstheme="minorHAnsi"/>
        </w:rPr>
        <w:t>; 1997</w:t>
      </w:r>
    </w:p>
    <w:p w14:paraId="456F8DB4" w14:textId="77777777" w:rsidR="002B7CF8" w:rsidRPr="008C37FD" w:rsidRDefault="002B7CF8" w:rsidP="002B7CF8">
      <w:pPr>
        <w:pStyle w:val="ListParagraph"/>
        <w:ind w:left="426" w:hanging="426"/>
        <w:rPr>
          <w:rFonts w:cstheme="minorHAnsi"/>
          <w:noProof/>
        </w:rPr>
      </w:pPr>
    </w:p>
    <w:p w14:paraId="639C0A81" w14:textId="3C3FF920" w:rsidR="002B7CF8" w:rsidRPr="008C37FD"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8C37FD">
        <w:rPr>
          <w:rFonts w:cstheme="minorHAnsi"/>
        </w:rPr>
        <w:t xml:space="preserve"> </w:t>
      </w:r>
      <w:r w:rsidRPr="008C37FD">
        <w:rPr>
          <w:rFonts w:cstheme="minorHAnsi"/>
          <w:color w:val="2A2A2A"/>
        </w:rPr>
        <w:t>Delis D. C.,  Kramer, J.H., Kaplan, E., Ober, B.A.</w:t>
      </w:r>
      <w:r w:rsidR="00424E87">
        <w:rPr>
          <w:rFonts w:cstheme="minorHAnsi"/>
          <w:color w:val="2A2A2A"/>
        </w:rPr>
        <w:t xml:space="preserve"> </w:t>
      </w:r>
      <w:r w:rsidRPr="008C37FD">
        <w:rPr>
          <w:rFonts w:cstheme="minorHAnsi"/>
          <w:i/>
          <w:iCs/>
          <w:color w:val="2A2A2A"/>
        </w:rPr>
        <w:t>California Verbal Learning Test—children's version</w:t>
      </w:r>
      <w:r w:rsidRPr="008C37FD">
        <w:rPr>
          <w:rFonts w:cstheme="minorHAnsi"/>
          <w:color w:val="2A2A2A"/>
        </w:rPr>
        <w:t>. San Antonio, TX. Psychological Corporation</w:t>
      </w:r>
      <w:r w:rsidR="00424E87">
        <w:rPr>
          <w:rFonts w:cstheme="minorHAnsi"/>
          <w:color w:val="2A2A2A"/>
        </w:rPr>
        <w:t>; 1994.</w:t>
      </w:r>
    </w:p>
    <w:p w14:paraId="744BE814" w14:textId="77777777" w:rsidR="002B7CF8" w:rsidRPr="008C37FD" w:rsidRDefault="002B7CF8" w:rsidP="002B7CF8">
      <w:pPr>
        <w:pStyle w:val="ListParagraph"/>
        <w:ind w:left="426" w:hanging="426"/>
        <w:rPr>
          <w:rFonts w:cstheme="minorHAnsi"/>
        </w:rPr>
      </w:pPr>
    </w:p>
    <w:p w14:paraId="1F1332B7" w14:textId="172971AC" w:rsidR="002B7CF8" w:rsidRPr="008C37FD"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8C37FD">
        <w:rPr>
          <w:rFonts w:cstheme="minorHAnsi"/>
        </w:rPr>
        <w:t>D</w:t>
      </w:r>
      <w:r w:rsidRPr="008C37FD">
        <w:rPr>
          <w:rFonts w:cstheme="minorHAnsi"/>
          <w:color w:val="2A2A2A"/>
        </w:rPr>
        <w:t>elis D. C.,  Kramer, J.H., Kaplan, E., Ober, B.A</w:t>
      </w:r>
      <w:r w:rsidR="00424E87">
        <w:rPr>
          <w:rFonts w:cstheme="minorHAnsi"/>
          <w:color w:val="2A2A2A"/>
        </w:rPr>
        <w:t>.</w:t>
      </w:r>
      <w:r w:rsidRPr="008C37FD">
        <w:rPr>
          <w:rFonts w:cstheme="minorHAnsi"/>
          <w:color w:val="2A2A2A"/>
        </w:rPr>
        <w:t xml:space="preserve">  </w:t>
      </w:r>
      <w:r w:rsidRPr="008C37FD">
        <w:rPr>
          <w:rFonts w:cstheme="minorHAnsi"/>
          <w:i/>
          <w:iCs/>
          <w:color w:val="2A2A2A"/>
        </w:rPr>
        <w:t>California Verbal Learning Test—second Edition. Adult Version</w:t>
      </w:r>
      <w:r w:rsidR="00424E87">
        <w:rPr>
          <w:rFonts w:cstheme="minorHAnsi"/>
          <w:i/>
          <w:iCs/>
          <w:color w:val="2A2A2A"/>
        </w:rPr>
        <w:t>.</w:t>
      </w:r>
      <w:r w:rsidR="00424E87">
        <w:rPr>
          <w:rFonts w:cstheme="minorHAnsi"/>
          <w:color w:val="2A2A2A"/>
        </w:rPr>
        <w:t xml:space="preserve"> </w:t>
      </w:r>
      <w:r w:rsidRPr="008C37FD">
        <w:rPr>
          <w:rFonts w:cstheme="minorHAnsi"/>
          <w:color w:val="2A2A2A"/>
        </w:rPr>
        <w:t>San Antonio, TX. Psychological Corporation</w:t>
      </w:r>
      <w:r w:rsidR="00424E87">
        <w:rPr>
          <w:rFonts w:cstheme="minorHAnsi"/>
          <w:color w:val="2A2A2A"/>
        </w:rPr>
        <w:t>; 2000</w:t>
      </w:r>
    </w:p>
    <w:p w14:paraId="3E8D5C3D" w14:textId="77777777" w:rsidR="002B7CF8" w:rsidRPr="008C37FD" w:rsidRDefault="002B7CF8" w:rsidP="002B7CF8">
      <w:pPr>
        <w:pStyle w:val="ListParagraph"/>
        <w:ind w:left="426" w:hanging="426"/>
        <w:rPr>
          <w:rFonts w:cstheme="minorHAnsi"/>
          <w:noProof/>
        </w:rPr>
      </w:pPr>
    </w:p>
    <w:p w14:paraId="50186E1F" w14:textId="404270C6" w:rsidR="002B7CF8" w:rsidRPr="008C37FD"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8C37FD">
        <w:rPr>
          <w:rFonts w:cstheme="minorHAnsi"/>
          <w:color w:val="212121"/>
          <w:shd w:val="clear" w:color="auto" w:fill="FFFFFF"/>
        </w:rPr>
        <w:lastRenderedPageBreak/>
        <w:t>Wechsler D.  </w:t>
      </w:r>
      <w:r w:rsidRPr="008C37FD">
        <w:rPr>
          <w:rFonts w:cstheme="minorHAnsi"/>
          <w:i/>
          <w:iCs/>
          <w:color w:val="212121"/>
        </w:rPr>
        <w:t>Wechsler Memory Scale–Third Edition manual.</w:t>
      </w:r>
      <w:r w:rsidRPr="008C37FD">
        <w:rPr>
          <w:rFonts w:cstheme="minorHAnsi"/>
          <w:color w:val="212121"/>
          <w:shd w:val="clear" w:color="auto" w:fill="FFFFFF"/>
        </w:rPr>
        <w:t> San Antonio, TX: The Psychological Corporation.</w:t>
      </w:r>
      <w:r w:rsidR="00424E87">
        <w:rPr>
          <w:rFonts w:cstheme="minorHAnsi"/>
          <w:color w:val="212121"/>
          <w:shd w:val="clear" w:color="auto" w:fill="FFFFFF"/>
        </w:rPr>
        <w:t xml:space="preserve"> 1997.</w:t>
      </w:r>
    </w:p>
    <w:p w14:paraId="54456C8F" w14:textId="77777777" w:rsidR="002B7CF8" w:rsidRPr="008C37FD" w:rsidRDefault="002B7CF8" w:rsidP="002B7CF8">
      <w:pPr>
        <w:pStyle w:val="ListParagraph"/>
        <w:ind w:left="426" w:hanging="426"/>
        <w:rPr>
          <w:rFonts w:cstheme="minorHAnsi"/>
        </w:rPr>
      </w:pPr>
    </w:p>
    <w:p w14:paraId="066286DD" w14:textId="72070416" w:rsidR="002B7CF8" w:rsidRPr="008C37FD"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8C37FD">
        <w:rPr>
          <w:rFonts w:cstheme="minorHAnsi"/>
          <w:color w:val="333333"/>
          <w:shd w:val="clear" w:color="auto" w:fill="FCFCFC"/>
        </w:rPr>
        <w:t>Reynolds, C. R., &amp; Kamphaus, R. W.</w:t>
      </w:r>
      <w:r w:rsidRPr="008C37FD">
        <w:rPr>
          <w:rStyle w:val="apple-converted-space"/>
          <w:rFonts w:cstheme="minorHAnsi"/>
          <w:color w:val="333333"/>
          <w:shd w:val="clear" w:color="auto" w:fill="FCFCFC"/>
        </w:rPr>
        <w:t> </w:t>
      </w:r>
      <w:r w:rsidRPr="008C37FD">
        <w:rPr>
          <w:rFonts w:cstheme="minorHAnsi"/>
          <w:i/>
          <w:iCs/>
          <w:color w:val="333333"/>
        </w:rPr>
        <w:t>Behavior assessment system for children</w:t>
      </w:r>
      <w:r w:rsidRPr="008C37FD">
        <w:rPr>
          <w:rStyle w:val="apple-converted-space"/>
          <w:rFonts w:cstheme="minorHAnsi"/>
          <w:color w:val="333333"/>
          <w:shd w:val="clear" w:color="auto" w:fill="FCFCFC"/>
        </w:rPr>
        <w:t> </w:t>
      </w:r>
      <w:r w:rsidRPr="008C37FD">
        <w:rPr>
          <w:rFonts w:cstheme="minorHAnsi"/>
          <w:color w:val="333333"/>
          <w:shd w:val="clear" w:color="auto" w:fill="FCFCFC"/>
        </w:rPr>
        <w:t>(2nd ed.)</w:t>
      </w:r>
      <w:r w:rsidR="00424E87">
        <w:rPr>
          <w:rFonts w:cstheme="minorHAnsi"/>
          <w:color w:val="333333"/>
          <w:shd w:val="clear" w:color="auto" w:fill="FCFCFC"/>
        </w:rPr>
        <w:t xml:space="preserve"> </w:t>
      </w:r>
      <w:r w:rsidRPr="008C37FD">
        <w:rPr>
          <w:rFonts w:cstheme="minorHAnsi"/>
          <w:color w:val="333333"/>
          <w:shd w:val="clear" w:color="auto" w:fill="FCFCFC"/>
        </w:rPr>
        <w:t>Bloomington, MN: Pearson Assessments</w:t>
      </w:r>
      <w:r w:rsidR="00424E87">
        <w:rPr>
          <w:rFonts w:cstheme="minorHAnsi"/>
          <w:color w:val="333333"/>
          <w:shd w:val="clear" w:color="auto" w:fill="FCFCFC"/>
        </w:rPr>
        <w:t xml:space="preserve">; 2004. </w:t>
      </w:r>
    </w:p>
    <w:p w14:paraId="0CDC88C1" w14:textId="77777777" w:rsidR="002B7CF8" w:rsidRPr="008C37FD" w:rsidRDefault="002B7CF8" w:rsidP="002B7CF8">
      <w:pPr>
        <w:pStyle w:val="ListParagraph"/>
        <w:ind w:left="426" w:hanging="426"/>
        <w:rPr>
          <w:rFonts w:cstheme="minorHAnsi"/>
          <w:noProof/>
        </w:rPr>
      </w:pPr>
    </w:p>
    <w:p w14:paraId="03771DFF" w14:textId="77777777" w:rsidR="002B7CF8" w:rsidRPr="008C37FD"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D9570E">
        <w:rPr>
          <w:rFonts w:cstheme="minorHAnsi"/>
          <w:color w:val="212121"/>
          <w:shd w:val="clear" w:color="auto" w:fill="FFFFFF"/>
          <w:lang w:val="it-IT"/>
        </w:rPr>
        <w:t>Gioia G. A., Espy K. A., Isquith P. K.</w:t>
      </w:r>
      <w:r w:rsidRPr="00D9570E">
        <w:rPr>
          <w:rStyle w:val="apple-converted-space"/>
          <w:rFonts w:cstheme="minorHAnsi"/>
          <w:color w:val="212121"/>
          <w:shd w:val="clear" w:color="auto" w:fill="FFFFFF"/>
          <w:lang w:val="it-IT"/>
        </w:rPr>
        <w:t>  </w:t>
      </w:r>
      <w:proofErr w:type="spellStart"/>
      <w:r w:rsidRPr="008C37FD">
        <w:rPr>
          <w:rStyle w:val="Emphasis"/>
          <w:rFonts w:cstheme="minorHAnsi"/>
          <w:color w:val="212121"/>
        </w:rPr>
        <w:t>Behavior</w:t>
      </w:r>
      <w:proofErr w:type="spellEnd"/>
      <w:r w:rsidRPr="008C37FD">
        <w:rPr>
          <w:rStyle w:val="Emphasis"/>
          <w:rFonts w:cstheme="minorHAnsi"/>
          <w:color w:val="212121"/>
        </w:rPr>
        <w:t xml:space="preserve"> rating inventory of executive function, preschool version (BRIEF-P)</w:t>
      </w:r>
      <w:r w:rsidRPr="008C37FD">
        <w:rPr>
          <w:rStyle w:val="apple-converted-space"/>
          <w:rFonts w:cstheme="minorHAnsi"/>
          <w:color w:val="212121"/>
          <w:shd w:val="clear" w:color="auto" w:fill="FFFFFF"/>
        </w:rPr>
        <w:t> </w:t>
      </w:r>
      <w:r w:rsidRPr="008C37FD">
        <w:rPr>
          <w:rFonts w:cstheme="minorHAnsi"/>
          <w:color w:val="212121"/>
          <w:shd w:val="clear" w:color="auto" w:fill="FFFFFF"/>
        </w:rPr>
        <w:t>Odessa, FL: Psychological Assessment Resources; 2002.</w:t>
      </w:r>
    </w:p>
    <w:p w14:paraId="0BC676DD" w14:textId="77777777" w:rsidR="002B7CF8" w:rsidRPr="008C37FD" w:rsidRDefault="002B7CF8" w:rsidP="002B7CF8">
      <w:pPr>
        <w:pStyle w:val="ListParagraph"/>
        <w:ind w:left="426" w:hanging="426"/>
        <w:rPr>
          <w:rFonts w:cstheme="minorHAnsi"/>
          <w:noProof/>
        </w:rPr>
      </w:pPr>
    </w:p>
    <w:p w14:paraId="57CAAABD" w14:textId="77777777" w:rsidR="002B7CF8" w:rsidRPr="008C37FD"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8C37FD">
        <w:rPr>
          <w:rFonts w:cstheme="minorHAnsi"/>
          <w:color w:val="212121"/>
          <w:shd w:val="clear" w:color="auto" w:fill="FFFFFF"/>
        </w:rPr>
        <w:t>Gioia G. A., Isquith P. K., Guy S. C., Kenworthy L. Behavior rating inventory of executive function.</w:t>
      </w:r>
      <w:r w:rsidRPr="008C37FD">
        <w:rPr>
          <w:rStyle w:val="apple-converted-space"/>
          <w:rFonts w:cstheme="minorHAnsi"/>
          <w:color w:val="212121"/>
          <w:shd w:val="clear" w:color="auto" w:fill="FFFFFF"/>
        </w:rPr>
        <w:t> </w:t>
      </w:r>
      <w:r w:rsidRPr="008C37FD">
        <w:rPr>
          <w:rStyle w:val="Emphasis"/>
          <w:rFonts w:cstheme="minorHAnsi"/>
          <w:color w:val="212121"/>
        </w:rPr>
        <w:t>Child Neuropsychology</w:t>
      </w:r>
      <w:r w:rsidRPr="008C37FD">
        <w:rPr>
          <w:rStyle w:val="ref-journal"/>
          <w:rFonts w:cstheme="minorHAnsi"/>
          <w:i/>
          <w:iCs/>
          <w:color w:val="212121"/>
        </w:rPr>
        <w:t>.</w:t>
      </w:r>
      <w:r w:rsidRPr="008C37FD">
        <w:rPr>
          <w:rStyle w:val="apple-converted-space"/>
          <w:rFonts w:cstheme="minorHAnsi"/>
          <w:i/>
          <w:iCs/>
          <w:color w:val="212121"/>
        </w:rPr>
        <w:t> </w:t>
      </w:r>
      <w:r w:rsidRPr="008C37FD">
        <w:rPr>
          <w:rFonts w:cstheme="minorHAnsi"/>
          <w:color w:val="212121"/>
        </w:rPr>
        <w:t>2000;</w:t>
      </w:r>
      <w:r w:rsidRPr="008C37FD">
        <w:rPr>
          <w:rStyle w:val="ref-vol"/>
          <w:rFonts w:cstheme="minorHAnsi"/>
          <w:color w:val="212121"/>
        </w:rPr>
        <w:t>6</w:t>
      </w:r>
      <w:r w:rsidRPr="008C37FD">
        <w:rPr>
          <w:rFonts w:cstheme="minorHAnsi"/>
          <w:color w:val="212121"/>
        </w:rPr>
        <w:t>:235–238. doi: 10.1076/chin.6.3.235.3152</w:t>
      </w:r>
    </w:p>
    <w:p w14:paraId="1505062E" w14:textId="77777777" w:rsidR="002B7CF8" w:rsidRPr="008C37FD" w:rsidRDefault="002B7CF8" w:rsidP="002B7CF8">
      <w:pPr>
        <w:pStyle w:val="ListParagraph"/>
        <w:ind w:left="426" w:hanging="426"/>
        <w:rPr>
          <w:rFonts w:cstheme="minorHAnsi"/>
          <w:noProof/>
        </w:rPr>
      </w:pPr>
    </w:p>
    <w:p w14:paraId="7CCACD4D" w14:textId="19C5A460" w:rsidR="002B7CF8" w:rsidRPr="008C37FD"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8C37FD">
        <w:rPr>
          <w:rFonts w:cstheme="minorHAnsi"/>
          <w:color w:val="333333"/>
          <w:shd w:val="clear" w:color="auto" w:fill="FCFCFC"/>
        </w:rPr>
        <w:t>Harrison, P. &amp; Oakland, T.</w:t>
      </w:r>
      <w:r w:rsidRPr="008C37FD">
        <w:rPr>
          <w:rStyle w:val="apple-converted-space"/>
          <w:rFonts w:cstheme="minorHAnsi"/>
          <w:color w:val="333333"/>
          <w:shd w:val="clear" w:color="auto" w:fill="FCFCFC"/>
        </w:rPr>
        <w:t> </w:t>
      </w:r>
      <w:r w:rsidRPr="008C37FD">
        <w:rPr>
          <w:rFonts w:cstheme="minorHAnsi"/>
          <w:i/>
          <w:iCs/>
          <w:color w:val="333333"/>
        </w:rPr>
        <w:t>Adaptive behavior assessment system – second edition</w:t>
      </w:r>
      <w:r w:rsidRPr="008C37FD">
        <w:rPr>
          <w:rFonts w:cstheme="minorHAnsi"/>
          <w:color w:val="333333"/>
          <w:shd w:val="clear" w:color="auto" w:fill="FCFCFC"/>
        </w:rPr>
        <w:t>. San Antonio, TX: Harcourt Assessment</w:t>
      </w:r>
      <w:r w:rsidR="00424E87">
        <w:rPr>
          <w:rFonts w:cstheme="minorHAnsi"/>
          <w:color w:val="333333"/>
          <w:shd w:val="clear" w:color="auto" w:fill="FCFCFC"/>
        </w:rPr>
        <w:t>; 2003.</w:t>
      </w:r>
    </w:p>
    <w:p w14:paraId="0B3304D4" w14:textId="77777777" w:rsidR="002B7CF8" w:rsidRPr="008C37FD" w:rsidRDefault="002B7CF8" w:rsidP="002B7CF8">
      <w:pPr>
        <w:pStyle w:val="ListParagraph"/>
        <w:ind w:left="426" w:hanging="426"/>
        <w:rPr>
          <w:rFonts w:cstheme="minorHAnsi"/>
          <w:noProof/>
        </w:rPr>
      </w:pPr>
    </w:p>
    <w:p w14:paraId="3F4CE440" w14:textId="69E259AD" w:rsidR="002B7CF8" w:rsidRPr="008C37FD"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8C37FD">
        <w:rPr>
          <w:rFonts w:cstheme="minorHAnsi"/>
        </w:rPr>
        <w:t xml:space="preserve"> </w:t>
      </w:r>
      <w:r w:rsidRPr="008C37FD">
        <w:rPr>
          <w:rFonts w:cstheme="minorHAnsi"/>
          <w:color w:val="4F4F4F"/>
          <w:shd w:val="clear" w:color="auto" w:fill="D9EDF0"/>
        </w:rPr>
        <w:t>Varni, J.W., Seid, M. &amp; Kurtin, P.S. PedsQL 4.0: Reliability and Validity of the Pediatric Quality of Life Inventory Version 4.0 Generic Core Scales in Healthy and Patient Populations.</w:t>
      </w:r>
      <w:r w:rsidRPr="008C37FD">
        <w:rPr>
          <w:rStyle w:val="apple-converted-space"/>
          <w:rFonts w:cstheme="minorHAnsi"/>
          <w:color w:val="4F4F4F"/>
          <w:shd w:val="clear" w:color="auto" w:fill="D9EDF0"/>
        </w:rPr>
        <w:t> </w:t>
      </w:r>
      <w:r w:rsidRPr="008C37FD">
        <w:rPr>
          <w:rStyle w:val="Emphasis"/>
          <w:rFonts w:cstheme="minorHAnsi"/>
          <w:color w:val="4F4F4F"/>
        </w:rPr>
        <w:t>Medical Care</w:t>
      </w:r>
      <w:r w:rsidR="00424E87">
        <w:rPr>
          <w:rFonts w:cstheme="minorHAnsi"/>
          <w:color w:val="4F4F4F"/>
          <w:shd w:val="clear" w:color="auto" w:fill="D9EDF0"/>
        </w:rPr>
        <w:t xml:space="preserve">. 2001; </w:t>
      </w:r>
      <w:r w:rsidRPr="008C37FD">
        <w:rPr>
          <w:rFonts w:cstheme="minorHAnsi"/>
          <w:color w:val="4F4F4F"/>
          <w:shd w:val="clear" w:color="auto" w:fill="D9EDF0"/>
        </w:rPr>
        <w:t>39(8), 800-812.  </w:t>
      </w:r>
    </w:p>
    <w:p w14:paraId="03DD3DAD" w14:textId="77777777" w:rsidR="002B7CF8" w:rsidRPr="008C37FD" w:rsidRDefault="002B7CF8" w:rsidP="002B7CF8">
      <w:pPr>
        <w:pStyle w:val="ListParagraph"/>
        <w:ind w:left="426" w:hanging="426"/>
        <w:rPr>
          <w:rFonts w:cstheme="minorHAnsi"/>
          <w:noProof/>
        </w:rPr>
      </w:pPr>
    </w:p>
    <w:p w14:paraId="5993C1D4" w14:textId="77777777" w:rsidR="002B7CF8" w:rsidRPr="00084B00"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8C37FD">
        <w:rPr>
          <w:rFonts w:cstheme="minorHAnsi"/>
          <w:noProof/>
        </w:rPr>
        <w:t xml:space="preserve">Limond JA, Bull KS, Calaminus G, Kennedy CR, Spoudeas HA, Chevignard MP. Quality of survival assessment in European childhood brain tumour trials, for children aged 5 years and over. </w:t>
      </w:r>
      <w:r w:rsidRPr="008C37FD">
        <w:rPr>
          <w:rFonts w:cstheme="minorHAnsi"/>
          <w:i/>
          <w:iCs/>
          <w:noProof/>
        </w:rPr>
        <w:t>Eur J Paediatr Neurol</w:t>
      </w:r>
      <w:r w:rsidRPr="008C37FD">
        <w:rPr>
          <w:rFonts w:cstheme="minorHAnsi"/>
          <w:noProof/>
        </w:rPr>
        <w:t>. 2015;19(2).</w:t>
      </w:r>
    </w:p>
    <w:p w14:paraId="147FD3C2" w14:textId="77777777" w:rsidR="002B7CF8" w:rsidRPr="008C37FD" w:rsidRDefault="002B7CF8" w:rsidP="002B7CF8">
      <w:pPr>
        <w:pStyle w:val="ListParagraph"/>
        <w:ind w:left="426" w:hanging="426"/>
        <w:rPr>
          <w:rFonts w:cstheme="minorHAnsi"/>
          <w:noProof/>
        </w:rPr>
      </w:pPr>
    </w:p>
    <w:p w14:paraId="06EB88FB" w14:textId="77777777" w:rsidR="002B7CF8" w:rsidRPr="008C37FD"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8C37FD">
        <w:rPr>
          <w:rFonts w:cstheme="minorHAnsi"/>
          <w:noProof/>
        </w:rPr>
        <w:t xml:space="preserve">Limond J, Thomas S, Bull KS, et al. Quality of survival assessment in European childhood brain tumour trials, for children below the age of 5 years. </w:t>
      </w:r>
      <w:r w:rsidRPr="008C37FD">
        <w:rPr>
          <w:rFonts w:cstheme="minorHAnsi"/>
          <w:i/>
          <w:iCs/>
          <w:noProof/>
        </w:rPr>
        <w:t>Eur J Paediatr Neurol</w:t>
      </w:r>
      <w:r w:rsidRPr="008C37FD">
        <w:rPr>
          <w:rFonts w:cstheme="minorHAnsi"/>
          <w:noProof/>
        </w:rPr>
        <w:t>. 2020;25.</w:t>
      </w:r>
    </w:p>
    <w:p w14:paraId="14F2ADF3" w14:textId="77777777" w:rsidR="002B7CF8" w:rsidRPr="008C37FD" w:rsidRDefault="002B7CF8" w:rsidP="002B7CF8">
      <w:pPr>
        <w:pStyle w:val="ListParagraph"/>
        <w:ind w:left="426" w:hanging="426"/>
        <w:rPr>
          <w:rFonts w:cstheme="minorHAnsi"/>
          <w:noProof/>
        </w:rPr>
      </w:pPr>
    </w:p>
    <w:p w14:paraId="3D07EF8F" w14:textId="77777777" w:rsidR="002B7CF8" w:rsidRPr="008C37FD"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8C37FD">
        <w:rPr>
          <w:rFonts w:cstheme="minorHAnsi"/>
          <w:noProof/>
        </w:rPr>
        <w:t xml:space="preserve">Kennedy CR, Leyland K. Comparison of screening instruments for disability and emotional/behavioral disorders with a generic measure of health-related quality of life in survivors of childhood brain tumors. </w:t>
      </w:r>
      <w:r w:rsidRPr="008C37FD">
        <w:rPr>
          <w:rFonts w:cstheme="minorHAnsi"/>
          <w:i/>
          <w:iCs/>
          <w:noProof/>
        </w:rPr>
        <w:t>Int J Cancer</w:t>
      </w:r>
      <w:r w:rsidRPr="008C37FD">
        <w:rPr>
          <w:rFonts w:cstheme="minorHAnsi"/>
          <w:noProof/>
        </w:rPr>
        <w:t>. 1999;83(SUPPL. 12).</w:t>
      </w:r>
    </w:p>
    <w:p w14:paraId="747E2833" w14:textId="77777777" w:rsidR="002B7CF8" w:rsidRPr="008C37FD" w:rsidRDefault="002B7CF8" w:rsidP="002B7CF8">
      <w:pPr>
        <w:pStyle w:val="ListParagraph"/>
        <w:ind w:left="426" w:hanging="426"/>
        <w:rPr>
          <w:rFonts w:cstheme="minorHAnsi"/>
          <w:noProof/>
        </w:rPr>
      </w:pPr>
    </w:p>
    <w:p w14:paraId="26D911E8" w14:textId="77777777" w:rsidR="002B7CF8"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8C37FD">
        <w:rPr>
          <w:rFonts w:cstheme="minorHAnsi"/>
          <w:noProof/>
        </w:rPr>
        <w:t xml:space="preserve">Glaser A, Kennedy C, Punt J, Walker D. Standardized quantitative assessment of brain tumor survivors treated within clinical trials in childhood. </w:t>
      </w:r>
      <w:r w:rsidRPr="008C37FD">
        <w:rPr>
          <w:rFonts w:cstheme="minorHAnsi"/>
          <w:i/>
          <w:iCs/>
          <w:noProof/>
        </w:rPr>
        <w:t>Int J Cancer</w:t>
      </w:r>
      <w:r w:rsidRPr="008C37FD">
        <w:rPr>
          <w:rFonts w:cstheme="minorHAnsi"/>
          <w:noProof/>
        </w:rPr>
        <w:t>. 1999;83(SUPPL. 12).</w:t>
      </w:r>
    </w:p>
    <w:p w14:paraId="7090C1FA" w14:textId="77777777" w:rsidR="002B7CF8" w:rsidRPr="00084B00" w:rsidRDefault="002B7CF8" w:rsidP="002B7CF8">
      <w:pPr>
        <w:pStyle w:val="ListParagraph"/>
        <w:rPr>
          <w:rFonts w:cstheme="minorHAnsi"/>
          <w:noProof/>
        </w:rPr>
      </w:pPr>
    </w:p>
    <w:p w14:paraId="7C6E85B5" w14:textId="77777777" w:rsidR="002B7CF8"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084B00">
        <w:rPr>
          <w:rFonts w:cstheme="minorHAnsi"/>
          <w:noProof/>
        </w:rPr>
        <w:lastRenderedPageBreak/>
        <w:t xml:space="preserve">Bull KS, Spoudeas HA, Yadegarfar G, Kennedy CR. Reduction of health status 7 years after addition of chemotherapy to craniospinal irradiation for medulloblastoma: A follow-up study in PNET 3 trial survivors - On behalf of the CCLG (formerly UKCCSG). </w:t>
      </w:r>
      <w:r w:rsidRPr="00084B00">
        <w:rPr>
          <w:rFonts w:cstheme="minorHAnsi"/>
          <w:i/>
          <w:iCs/>
          <w:noProof/>
        </w:rPr>
        <w:t>J Clin Oncol</w:t>
      </w:r>
      <w:r w:rsidRPr="00084B00">
        <w:rPr>
          <w:rFonts w:cstheme="minorHAnsi"/>
          <w:noProof/>
        </w:rPr>
        <w:t>. 2007;25(27).</w:t>
      </w:r>
    </w:p>
    <w:p w14:paraId="370C748E" w14:textId="77777777" w:rsidR="002B7CF8" w:rsidRPr="00084B00" w:rsidRDefault="002B7CF8" w:rsidP="002B7CF8">
      <w:pPr>
        <w:pStyle w:val="ListParagraph"/>
        <w:rPr>
          <w:rFonts w:cstheme="minorHAnsi"/>
          <w:noProof/>
        </w:rPr>
      </w:pPr>
    </w:p>
    <w:p w14:paraId="73E0328A" w14:textId="77777777" w:rsidR="002B7CF8"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084B00">
        <w:rPr>
          <w:rFonts w:cstheme="minorHAnsi"/>
          <w:noProof/>
        </w:rPr>
        <w:t xml:space="preserve">Kennedy C, Bull K, Chevignard M, et al. Quality of survival and growth in children and young adults in the PNET4 European controlled trial of hyperfractionated versus conventional radiation therapy for standard-risk medulloblastoma. </w:t>
      </w:r>
      <w:r w:rsidRPr="00084B00">
        <w:rPr>
          <w:rFonts w:cstheme="minorHAnsi"/>
          <w:i/>
          <w:iCs/>
          <w:noProof/>
        </w:rPr>
        <w:t>Int J Radiat Oncol Biol Phys</w:t>
      </w:r>
      <w:r w:rsidRPr="00084B00">
        <w:rPr>
          <w:rFonts w:cstheme="minorHAnsi"/>
          <w:noProof/>
        </w:rPr>
        <w:t>. 2014;88(2).</w:t>
      </w:r>
    </w:p>
    <w:p w14:paraId="7AFFD8DB" w14:textId="77777777" w:rsidR="002B7CF8" w:rsidRPr="00084B00" w:rsidRDefault="002B7CF8" w:rsidP="002B7CF8">
      <w:pPr>
        <w:pStyle w:val="ListParagraph"/>
        <w:rPr>
          <w:rFonts w:cstheme="minorHAnsi"/>
          <w:noProof/>
        </w:rPr>
      </w:pPr>
    </w:p>
    <w:p w14:paraId="442F4C29" w14:textId="77777777" w:rsidR="002B7CF8"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084B00">
        <w:rPr>
          <w:rFonts w:cstheme="minorHAnsi"/>
          <w:noProof/>
        </w:rPr>
        <w:t xml:space="preserve">Thomas S, Reynolds D, Morrall MCHJ, et al. The European Society of Paediatric Oncology Ependymoma-II program Core-Plus model: Development and initial implementation of a cognitive test protocol for an international brain tumour trial. </w:t>
      </w:r>
      <w:r w:rsidRPr="00084B00">
        <w:rPr>
          <w:rFonts w:cstheme="minorHAnsi"/>
          <w:i/>
          <w:iCs/>
          <w:noProof/>
        </w:rPr>
        <w:t>Eur J Paediatr Neurol</w:t>
      </w:r>
      <w:r w:rsidRPr="00084B00">
        <w:rPr>
          <w:rFonts w:cstheme="minorHAnsi"/>
          <w:noProof/>
        </w:rPr>
        <w:t>. 2019;23(4).</w:t>
      </w:r>
    </w:p>
    <w:p w14:paraId="65898B72" w14:textId="77777777" w:rsidR="002B7CF8" w:rsidRPr="00084B00" w:rsidRDefault="002B7CF8" w:rsidP="002B7CF8">
      <w:pPr>
        <w:pStyle w:val="ListParagraph"/>
        <w:rPr>
          <w:rFonts w:cstheme="minorHAnsi"/>
          <w:noProof/>
        </w:rPr>
      </w:pPr>
    </w:p>
    <w:p w14:paraId="68B78A59" w14:textId="0D615325" w:rsidR="002B7CF8"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084B00">
        <w:rPr>
          <w:rFonts w:cstheme="minorHAnsi"/>
        </w:rPr>
        <w:t xml:space="preserve">Wechsler, D. </w:t>
      </w:r>
      <w:r w:rsidRPr="00084B00">
        <w:rPr>
          <w:rFonts w:cstheme="minorHAnsi"/>
          <w:i/>
        </w:rPr>
        <w:t>The Wechsler Preschool and Primary Scale of Intelligence (4rd ed.).</w:t>
      </w:r>
      <w:r w:rsidRPr="00084B00">
        <w:rPr>
          <w:rFonts w:cstheme="minorHAnsi"/>
        </w:rPr>
        <w:t xml:space="preserve"> San Antonio, TX: The Psychological Corporation</w:t>
      </w:r>
      <w:r w:rsidR="00424E87">
        <w:rPr>
          <w:rFonts w:cstheme="minorHAnsi"/>
        </w:rPr>
        <w:t>; 2012.</w:t>
      </w:r>
    </w:p>
    <w:p w14:paraId="644374C9" w14:textId="77777777" w:rsidR="002B7CF8" w:rsidRPr="00084B00" w:rsidRDefault="002B7CF8" w:rsidP="002B7CF8">
      <w:pPr>
        <w:pStyle w:val="ListParagraph"/>
        <w:rPr>
          <w:rFonts w:cstheme="minorHAnsi"/>
          <w:noProof/>
        </w:rPr>
      </w:pPr>
    </w:p>
    <w:p w14:paraId="0AE437E9" w14:textId="6DFDC251" w:rsidR="002B7CF8"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084B00">
        <w:rPr>
          <w:rFonts w:cstheme="minorHAnsi"/>
        </w:rPr>
        <w:t xml:space="preserve">Wechsler, D. </w:t>
      </w:r>
      <w:r w:rsidRPr="00084B00">
        <w:rPr>
          <w:rFonts w:cstheme="minorHAnsi"/>
          <w:i/>
        </w:rPr>
        <w:t>Wechsler Intelligence Scale for Children - Fifth Edition (WISC-V)</w:t>
      </w:r>
      <w:r w:rsidRPr="00084B00">
        <w:rPr>
          <w:rFonts w:cstheme="minorHAnsi"/>
        </w:rPr>
        <w:t xml:space="preserve"> San Antonio, TX: The Psychological Corporation</w:t>
      </w:r>
      <w:r w:rsidR="00424E87">
        <w:rPr>
          <w:rFonts w:cstheme="minorHAnsi"/>
        </w:rPr>
        <w:t>; 2014.</w:t>
      </w:r>
    </w:p>
    <w:p w14:paraId="7041A6E8" w14:textId="77777777" w:rsidR="002B7CF8" w:rsidRPr="00084B00" w:rsidRDefault="002B7CF8" w:rsidP="002B7CF8">
      <w:pPr>
        <w:pStyle w:val="ListParagraph"/>
        <w:rPr>
          <w:rFonts w:cstheme="minorHAnsi"/>
          <w:noProof/>
        </w:rPr>
      </w:pPr>
    </w:p>
    <w:p w14:paraId="21ACF424" w14:textId="1D942219" w:rsidR="002B7CF8"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084B00">
        <w:rPr>
          <w:rFonts w:cstheme="minorHAnsi"/>
        </w:rPr>
        <w:t xml:space="preserve">Wechsler, D. </w:t>
      </w:r>
      <w:r w:rsidRPr="00084B00">
        <w:rPr>
          <w:rFonts w:cstheme="minorHAnsi"/>
          <w:i/>
        </w:rPr>
        <w:t>Wechsler Individual Achievement Test 2</w:t>
      </w:r>
      <w:r w:rsidRPr="00084B00">
        <w:rPr>
          <w:rFonts w:cstheme="minorHAnsi"/>
          <w:i/>
          <w:vertAlign w:val="superscript"/>
        </w:rPr>
        <w:t>nd</w:t>
      </w:r>
      <w:r w:rsidRPr="00084B00">
        <w:rPr>
          <w:rFonts w:cstheme="minorHAnsi"/>
          <w:i/>
        </w:rPr>
        <w:t xml:space="preserve"> Edition (WIAT II)</w:t>
      </w:r>
      <w:r w:rsidRPr="00084B00">
        <w:rPr>
          <w:rFonts w:cstheme="minorHAnsi"/>
        </w:rPr>
        <w:t>. London: The Psychological Corporation</w:t>
      </w:r>
      <w:r w:rsidR="00424E87">
        <w:rPr>
          <w:rFonts w:cstheme="minorHAnsi"/>
        </w:rPr>
        <w:t>; 2005.</w:t>
      </w:r>
    </w:p>
    <w:p w14:paraId="031EC540" w14:textId="77777777" w:rsidR="002B7CF8" w:rsidRPr="00084B00" w:rsidRDefault="002B7CF8" w:rsidP="002B7CF8">
      <w:pPr>
        <w:pStyle w:val="ListParagraph"/>
        <w:rPr>
          <w:rFonts w:cstheme="minorHAnsi"/>
          <w:noProof/>
        </w:rPr>
      </w:pPr>
    </w:p>
    <w:p w14:paraId="4E81D641" w14:textId="3BA0ECD9" w:rsidR="002B7CF8"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084B00">
        <w:rPr>
          <w:rFonts w:cstheme="minorHAnsi"/>
        </w:rPr>
        <w:t xml:space="preserve">Wechsler, D. </w:t>
      </w:r>
      <w:r w:rsidRPr="00084B00">
        <w:rPr>
          <w:rFonts w:cstheme="minorHAnsi"/>
          <w:i/>
        </w:rPr>
        <w:t>Wechsler Individual Achievement Test 3</w:t>
      </w:r>
      <w:r w:rsidRPr="00084B00">
        <w:rPr>
          <w:rFonts w:cstheme="minorHAnsi"/>
          <w:i/>
          <w:vertAlign w:val="superscript"/>
        </w:rPr>
        <w:t>rd</w:t>
      </w:r>
      <w:r w:rsidRPr="00084B00">
        <w:rPr>
          <w:rFonts w:cstheme="minorHAnsi"/>
          <w:i/>
        </w:rPr>
        <w:t xml:space="preserve"> Edition (WIAT III).</w:t>
      </w:r>
      <w:r w:rsidRPr="00084B00">
        <w:rPr>
          <w:rFonts w:cstheme="minorHAnsi"/>
        </w:rPr>
        <w:t xml:space="preserve"> San Antonio, Texas: The Psychological Corporation</w:t>
      </w:r>
      <w:r w:rsidR="00424E87">
        <w:rPr>
          <w:rFonts w:cstheme="minorHAnsi"/>
        </w:rPr>
        <w:t>; 2009.</w:t>
      </w:r>
    </w:p>
    <w:p w14:paraId="660569AF" w14:textId="77777777" w:rsidR="002B7CF8" w:rsidRPr="00084B00" w:rsidRDefault="002B7CF8" w:rsidP="002B7CF8">
      <w:pPr>
        <w:pStyle w:val="ListParagraph"/>
        <w:rPr>
          <w:rFonts w:cstheme="minorHAnsi"/>
          <w:noProof/>
        </w:rPr>
      </w:pPr>
    </w:p>
    <w:p w14:paraId="78B448E5" w14:textId="699590E1" w:rsidR="002B7CF8"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084B00">
        <w:rPr>
          <w:rFonts w:cstheme="minorHAnsi"/>
        </w:rPr>
        <w:t xml:space="preserve">Adams, W., &amp; Sheslow, D. </w:t>
      </w:r>
      <w:r w:rsidRPr="00084B00">
        <w:rPr>
          <w:rFonts w:cstheme="minorHAnsi"/>
          <w:i/>
        </w:rPr>
        <w:t>Wide Range Assessment of Visual Motor Abilities Manual</w:t>
      </w:r>
      <w:r w:rsidRPr="00084B00">
        <w:rPr>
          <w:rFonts w:cstheme="minorHAnsi"/>
        </w:rPr>
        <w:t>. Torrance, CA: Western Psychological Services</w:t>
      </w:r>
      <w:r w:rsidR="00424E87">
        <w:rPr>
          <w:rFonts w:cstheme="minorHAnsi"/>
        </w:rPr>
        <w:t>; 1995.</w:t>
      </w:r>
    </w:p>
    <w:p w14:paraId="375D6FBB" w14:textId="77777777" w:rsidR="002B7CF8" w:rsidRPr="00084B00" w:rsidRDefault="002B7CF8" w:rsidP="002B7CF8">
      <w:pPr>
        <w:pStyle w:val="ListParagraph"/>
        <w:rPr>
          <w:rFonts w:cstheme="minorHAnsi"/>
          <w:noProof/>
        </w:rPr>
      </w:pPr>
    </w:p>
    <w:p w14:paraId="16941A33" w14:textId="4D9489EE" w:rsidR="002B7CF8"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084B00">
        <w:rPr>
          <w:rFonts w:cstheme="minorHAnsi"/>
        </w:rPr>
        <w:t xml:space="preserve">Beery K. E., Buktenica N. A., &amp; Beery N. A. </w:t>
      </w:r>
      <w:r w:rsidRPr="00084B00">
        <w:rPr>
          <w:rFonts w:cstheme="minorHAnsi"/>
          <w:i/>
        </w:rPr>
        <w:t>The Beery–Buktenica Developmental Test of Visual–Motor Integration: Administration, scoring, and teaching manual</w:t>
      </w:r>
      <w:r w:rsidRPr="00084B00">
        <w:rPr>
          <w:rFonts w:cstheme="minorHAnsi"/>
        </w:rPr>
        <w:t xml:space="preserve"> (6th ed.). Minneapolis, MN: Pearson</w:t>
      </w:r>
      <w:r w:rsidR="00424E87">
        <w:rPr>
          <w:rFonts w:cstheme="minorHAnsi"/>
        </w:rPr>
        <w:t>; 2010.</w:t>
      </w:r>
    </w:p>
    <w:p w14:paraId="4ABDD205" w14:textId="77777777" w:rsidR="002B7CF8" w:rsidRPr="00084B00" w:rsidRDefault="002B7CF8" w:rsidP="002B7CF8">
      <w:pPr>
        <w:pStyle w:val="ListParagraph"/>
        <w:rPr>
          <w:rFonts w:cstheme="minorHAnsi"/>
          <w:noProof/>
        </w:rPr>
      </w:pPr>
    </w:p>
    <w:p w14:paraId="6F2EEC32" w14:textId="1B128459" w:rsidR="002B7CF8"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084B00">
        <w:rPr>
          <w:rFonts w:cstheme="minorHAnsi"/>
        </w:rPr>
        <w:t xml:space="preserve">Delis, D. C., Kaplan, E., &amp; Kramer, J. H. </w:t>
      </w:r>
      <w:r w:rsidRPr="00084B00">
        <w:rPr>
          <w:rFonts w:cstheme="minorHAnsi"/>
          <w:i/>
        </w:rPr>
        <w:t xml:space="preserve">Delis-Kaplan Executive Function System (D-KEFS). </w:t>
      </w:r>
      <w:r w:rsidRPr="00084B00">
        <w:rPr>
          <w:rFonts w:cstheme="minorHAnsi"/>
        </w:rPr>
        <w:t xml:space="preserve"> </w:t>
      </w:r>
      <w:r w:rsidRPr="00084B00">
        <w:rPr>
          <w:rFonts w:cstheme="minorHAnsi"/>
        </w:rPr>
        <w:lastRenderedPageBreak/>
        <w:t>San Antonio, TX: The Psychological Corporation</w:t>
      </w:r>
      <w:r w:rsidR="00424E87">
        <w:rPr>
          <w:rFonts w:cstheme="minorHAnsi"/>
        </w:rPr>
        <w:t>; 2001.</w:t>
      </w:r>
    </w:p>
    <w:p w14:paraId="762826F5" w14:textId="77777777" w:rsidR="002B7CF8" w:rsidRPr="00084B00" w:rsidRDefault="002B7CF8" w:rsidP="002B7CF8">
      <w:pPr>
        <w:pStyle w:val="ListParagraph"/>
        <w:rPr>
          <w:rFonts w:cstheme="minorHAnsi"/>
          <w:noProof/>
        </w:rPr>
      </w:pPr>
    </w:p>
    <w:p w14:paraId="7D6B7B50" w14:textId="3C3F257D" w:rsidR="002B7CF8"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084B00">
        <w:rPr>
          <w:rFonts w:cstheme="minorHAnsi"/>
        </w:rPr>
        <w:t xml:space="preserve">Conners, C. K. </w:t>
      </w:r>
      <w:r w:rsidRPr="00084B00">
        <w:rPr>
          <w:rFonts w:cstheme="minorHAnsi"/>
          <w:i/>
        </w:rPr>
        <w:t>Conners’ Continuous Performance Test user’s manual.</w:t>
      </w:r>
      <w:r w:rsidRPr="00084B00">
        <w:rPr>
          <w:rFonts w:cstheme="minorHAnsi"/>
        </w:rPr>
        <w:t xml:space="preserve"> Toronto, Canada: Multi-Health Systems</w:t>
      </w:r>
      <w:r w:rsidR="00424E87">
        <w:rPr>
          <w:rFonts w:cstheme="minorHAnsi"/>
        </w:rPr>
        <w:t>; 2000.</w:t>
      </w:r>
    </w:p>
    <w:p w14:paraId="1F66A513" w14:textId="77777777" w:rsidR="002B7CF8" w:rsidRPr="00084B00" w:rsidRDefault="002B7CF8" w:rsidP="002B7CF8">
      <w:pPr>
        <w:pStyle w:val="ListParagraph"/>
        <w:rPr>
          <w:rFonts w:cstheme="minorHAnsi"/>
          <w:noProof/>
        </w:rPr>
      </w:pPr>
    </w:p>
    <w:p w14:paraId="3FD78ADE" w14:textId="2CFFD202" w:rsidR="002B7CF8"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084B00">
        <w:rPr>
          <w:rFonts w:cstheme="minorHAnsi"/>
        </w:rPr>
        <w:t xml:space="preserve">Manly, T., Robertson, I. H., Anderson, V., &amp; Nimmo-Smith, I. </w:t>
      </w:r>
      <w:r w:rsidRPr="00084B00">
        <w:rPr>
          <w:rFonts w:cstheme="minorHAnsi"/>
          <w:i/>
        </w:rPr>
        <w:t>TEA-Ch: The Test of Everyday Attention for Children Manual</w:t>
      </w:r>
      <w:r w:rsidRPr="00084B00">
        <w:rPr>
          <w:rFonts w:cstheme="minorHAnsi"/>
        </w:rPr>
        <w:t>. Bury St. Edmunds, UK: Thames Valley Test Company Limited</w:t>
      </w:r>
      <w:r w:rsidR="00424E87">
        <w:rPr>
          <w:rFonts w:cstheme="minorHAnsi"/>
        </w:rPr>
        <w:t>; 1999.</w:t>
      </w:r>
    </w:p>
    <w:p w14:paraId="4AF72CA2" w14:textId="77777777" w:rsidR="002B7CF8" w:rsidRPr="00084B00" w:rsidRDefault="002B7CF8" w:rsidP="002B7CF8">
      <w:pPr>
        <w:pStyle w:val="ListParagraph"/>
        <w:rPr>
          <w:rFonts w:cstheme="minorHAnsi"/>
          <w:noProof/>
        </w:rPr>
      </w:pPr>
    </w:p>
    <w:p w14:paraId="07780F5B" w14:textId="42E9428E" w:rsidR="002B7CF8" w:rsidRPr="00084B00" w:rsidRDefault="002B7CF8" w:rsidP="002B7CF8">
      <w:pPr>
        <w:pStyle w:val="ListParagraph"/>
        <w:widowControl w:val="0"/>
        <w:numPr>
          <w:ilvl w:val="0"/>
          <w:numId w:val="9"/>
        </w:numPr>
        <w:autoSpaceDE w:val="0"/>
        <w:autoSpaceDN w:val="0"/>
        <w:adjustRightInd w:val="0"/>
        <w:spacing w:line="360" w:lineRule="auto"/>
        <w:ind w:left="426" w:hanging="426"/>
        <w:rPr>
          <w:rFonts w:eastAsia="Times New Roman" w:cstheme="minorHAnsi"/>
          <w:noProof/>
        </w:rPr>
      </w:pPr>
      <w:r w:rsidRPr="00084B00">
        <w:rPr>
          <w:rFonts w:cstheme="minorHAnsi"/>
        </w:rPr>
        <w:t xml:space="preserve">Raven, J. </w:t>
      </w:r>
      <w:r w:rsidRPr="00084B00">
        <w:rPr>
          <w:rFonts w:cstheme="minorHAnsi"/>
          <w:i/>
        </w:rPr>
        <w:t xml:space="preserve">Raven's Coloured Progressive Matrices (CPM). </w:t>
      </w:r>
      <w:r w:rsidRPr="00084B00">
        <w:rPr>
          <w:rFonts w:eastAsia="Arial Unicode MS" w:cstheme="minorHAnsi"/>
          <w:color w:val="000000"/>
          <w:shd w:val="clear" w:color="auto" w:fill="FFFFFF"/>
        </w:rPr>
        <w:t>San Antonio, TX: Harcourt Assessment</w:t>
      </w:r>
      <w:r w:rsidR="00424E87">
        <w:rPr>
          <w:rFonts w:eastAsia="Arial Unicode MS" w:cstheme="minorHAnsi"/>
          <w:color w:val="000000"/>
          <w:shd w:val="clear" w:color="auto" w:fill="FFFFFF"/>
        </w:rPr>
        <w:t>; 1998.</w:t>
      </w:r>
    </w:p>
    <w:p w14:paraId="23F1DAFF" w14:textId="77777777" w:rsidR="002B7CF8" w:rsidRPr="00084B00" w:rsidRDefault="002B7CF8" w:rsidP="002B7CF8">
      <w:pPr>
        <w:pStyle w:val="ListParagraph"/>
        <w:rPr>
          <w:rFonts w:cstheme="minorHAnsi"/>
          <w:noProof/>
        </w:rPr>
      </w:pPr>
    </w:p>
    <w:p w14:paraId="106B2050" w14:textId="05226C72" w:rsidR="002B7CF8" w:rsidRPr="00084B00" w:rsidRDefault="002B7CF8" w:rsidP="002B7CF8">
      <w:pPr>
        <w:pStyle w:val="ListParagraph"/>
        <w:widowControl w:val="0"/>
        <w:numPr>
          <w:ilvl w:val="0"/>
          <w:numId w:val="9"/>
        </w:numPr>
        <w:autoSpaceDE w:val="0"/>
        <w:autoSpaceDN w:val="0"/>
        <w:adjustRightInd w:val="0"/>
        <w:spacing w:line="360" w:lineRule="auto"/>
        <w:ind w:left="426" w:hanging="426"/>
        <w:rPr>
          <w:rFonts w:eastAsia="Times New Roman" w:cstheme="minorHAnsi"/>
          <w:noProof/>
        </w:rPr>
      </w:pPr>
      <w:r w:rsidRPr="00084B00">
        <w:rPr>
          <w:rFonts w:eastAsia="Arial Unicode MS" w:cstheme="minorHAnsi"/>
          <w:color w:val="000000"/>
          <w:shd w:val="clear" w:color="auto" w:fill="FFFFFF"/>
        </w:rPr>
        <w:t xml:space="preserve">Sparrow, S., Cicchetti, D., &amp; Ball, D. </w:t>
      </w:r>
      <w:r w:rsidRPr="00084B00">
        <w:rPr>
          <w:rFonts w:eastAsia="Arial Unicode MS" w:cstheme="minorHAnsi"/>
          <w:i/>
          <w:color w:val="000000"/>
          <w:shd w:val="clear" w:color="auto" w:fill="FFFFFF"/>
        </w:rPr>
        <w:t>Vineland Adaptive Behaviour Scales, 2</w:t>
      </w:r>
      <w:r w:rsidRPr="00084B00">
        <w:rPr>
          <w:rFonts w:eastAsia="Arial Unicode MS" w:cstheme="minorHAnsi"/>
          <w:i/>
          <w:color w:val="000000"/>
          <w:shd w:val="clear" w:color="auto" w:fill="FFFFFF"/>
          <w:vertAlign w:val="superscript"/>
        </w:rPr>
        <w:t>nd</w:t>
      </w:r>
      <w:r w:rsidRPr="00084B00">
        <w:rPr>
          <w:rFonts w:eastAsia="Arial Unicode MS" w:cstheme="minorHAnsi"/>
          <w:i/>
          <w:color w:val="000000"/>
          <w:shd w:val="clear" w:color="auto" w:fill="FFFFFF"/>
        </w:rPr>
        <w:t xml:space="preserve"> Edition (Vineland-II). </w:t>
      </w:r>
      <w:r w:rsidRPr="00084B00">
        <w:rPr>
          <w:rFonts w:eastAsia="Arial Unicode MS" w:cstheme="minorHAnsi"/>
          <w:color w:val="000000"/>
          <w:shd w:val="clear" w:color="auto" w:fill="FFFFFF"/>
        </w:rPr>
        <w:t>Bloomington, MN: Pearson</w:t>
      </w:r>
      <w:r w:rsidR="00424E87">
        <w:rPr>
          <w:rFonts w:eastAsia="Arial Unicode MS" w:cstheme="minorHAnsi"/>
          <w:color w:val="000000"/>
          <w:shd w:val="clear" w:color="auto" w:fill="FFFFFF"/>
        </w:rPr>
        <w:t>; 2005.</w:t>
      </w:r>
    </w:p>
    <w:p w14:paraId="78C34EF6" w14:textId="77777777" w:rsidR="002B7CF8" w:rsidRPr="00084B00" w:rsidRDefault="002B7CF8" w:rsidP="002B7CF8">
      <w:pPr>
        <w:pStyle w:val="ListParagraph"/>
        <w:rPr>
          <w:rFonts w:cstheme="minorHAnsi"/>
          <w:noProof/>
        </w:rPr>
      </w:pPr>
    </w:p>
    <w:p w14:paraId="77B93284" w14:textId="6570BC23" w:rsidR="002B7CF8" w:rsidRPr="00084B00" w:rsidRDefault="002B7CF8" w:rsidP="002B7CF8">
      <w:pPr>
        <w:pStyle w:val="ListParagraph"/>
        <w:widowControl w:val="0"/>
        <w:numPr>
          <w:ilvl w:val="0"/>
          <w:numId w:val="9"/>
        </w:numPr>
        <w:autoSpaceDE w:val="0"/>
        <w:autoSpaceDN w:val="0"/>
        <w:adjustRightInd w:val="0"/>
        <w:spacing w:line="360" w:lineRule="auto"/>
        <w:ind w:left="426" w:hanging="426"/>
        <w:rPr>
          <w:rFonts w:eastAsia="Times New Roman" w:cstheme="minorHAnsi"/>
          <w:noProof/>
        </w:rPr>
      </w:pPr>
      <w:r w:rsidRPr="00084B00">
        <w:rPr>
          <w:rFonts w:eastAsia="Arial Unicode MS" w:cstheme="minorHAnsi"/>
          <w:color w:val="000000"/>
          <w:shd w:val="clear" w:color="auto" w:fill="FFFFFF"/>
        </w:rPr>
        <w:t xml:space="preserve">Tiffin, J. </w:t>
      </w:r>
      <w:r w:rsidRPr="00084B00">
        <w:rPr>
          <w:rFonts w:eastAsia="Arial Unicode MS" w:cstheme="minorHAnsi"/>
          <w:i/>
          <w:color w:val="000000"/>
          <w:shd w:val="clear" w:color="auto" w:fill="FFFFFF"/>
        </w:rPr>
        <w:t xml:space="preserve">Purdue Pegboard Test. </w:t>
      </w:r>
      <w:r w:rsidRPr="00084B00">
        <w:rPr>
          <w:rFonts w:eastAsia="Arial Unicode MS" w:cstheme="minorHAnsi"/>
          <w:color w:val="000000"/>
          <w:shd w:val="clear" w:color="auto" w:fill="FFFFFF"/>
        </w:rPr>
        <w:t>Chicago: Science Research Associates</w:t>
      </w:r>
      <w:r w:rsidR="00424E87">
        <w:rPr>
          <w:rFonts w:eastAsia="Arial Unicode MS" w:cstheme="minorHAnsi"/>
          <w:color w:val="000000"/>
          <w:shd w:val="clear" w:color="auto" w:fill="FFFFFF"/>
        </w:rPr>
        <w:t>; 1948.</w:t>
      </w:r>
    </w:p>
    <w:p w14:paraId="16D3FB99" w14:textId="77777777" w:rsidR="002B7CF8" w:rsidRPr="00084B00" w:rsidRDefault="002B7CF8" w:rsidP="002B7CF8">
      <w:pPr>
        <w:pStyle w:val="ListParagraph"/>
        <w:rPr>
          <w:rFonts w:cstheme="minorHAnsi"/>
          <w:noProof/>
        </w:rPr>
      </w:pPr>
    </w:p>
    <w:p w14:paraId="5D67E9FB" w14:textId="30EE7DBB" w:rsidR="002B7CF8"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084B00">
        <w:rPr>
          <w:rFonts w:cstheme="minorHAnsi"/>
          <w:noProof/>
        </w:rPr>
        <w:t>Hardy KK, Olson K, Cox SM, Kennedy T, Walsh KS</w:t>
      </w:r>
      <w:r>
        <w:rPr>
          <w:rFonts w:cstheme="minorHAnsi"/>
          <w:noProof/>
        </w:rPr>
        <w:t xml:space="preserve"> (2017)</w:t>
      </w:r>
      <w:r w:rsidRPr="00084B00">
        <w:rPr>
          <w:rFonts w:cstheme="minorHAnsi"/>
          <w:noProof/>
        </w:rPr>
        <w:t xml:space="preserve"> Systematic review: A prevention-based model of neuropsychological assessment for children with medical illness. </w:t>
      </w:r>
      <w:r w:rsidRPr="00084B00">
        <w:rPr>
          <w:rFonts w:cstheme="minorHAnsi"/>
          <w:i/>
          <w:iCs/>
          <w:noProof/>
        </w:rPr>
        <w:t>J Pediatr Psychol</w:t>
      </w:r>
      <w:r w:rsidR="002D01F7">
        <w:rPr>
          <w:rFonts w:cstheme="minorHAnsi"/>
          <w:noProof/>
        </w:rPr>
        <w:t>. 2017;</w:t>
      </w:r>
      <w:r w:rsidRPr="00084B00">
        <w:rPr>
          <w:rFonts w:cstheme="minorHAnsi"/>
          <w:noProof/>
        </w:rPr>
        <w:t>42(8).</w:t>
      </w:r>
    </w:p>
    <w:p w14:paraId="7688345F" w14:textId="77777777" w:rsidR="002B7CF8" w:rsidRPr="00084B00" w:rsidRDefault="002B7CF8" w:rsidP="002B7CF8">
      <w:pPr>
        <w:pStyle w:val="ListParagraph"/>
        <w:rPr>
          <w:rFonts w:cstheme="minorHAnsi"/>
          <w:noProof/>
        </w:rPr>
      </w:pPr>
    </w:p>
    <w:p w14:paraId="624E19D2" w14:textId="485A41CE" w:rsidR="002B7CF8"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084B00">
        <w:rPr>
          <w:rFonts w:cstheme="minorHAnsi"/>
          <w:noProof/>
        </w:rPr>
        <w:t xml:space="preserve">Câmara-Costa H, Bull KS, Kennedy C, et al. Quality of survival and cognitive performance in children treated for medulloblastoma in the PNET 4 randomized controlled trial. </w:t>
      </w:r>
      <w:r w:rsidR="002D01F7">
        <w:rPr>
          <w:rFonts w:cstheme="minorHAnsi"/>
          <w:noProof/>
        </w:rPr>
        <w:t xml:space="preserve">2017; </w:t>
      </w:r>
      <w:r w:rsidRPr="00084B00">
        <w:rPr>
          <w:rFonts w:cstheme="minorHAnsi"/>
          <w:i/>
          <w:iCs/>
          <w:noProof/>
        </w:rPr>
        <w:t>Neuro-Oncology Pract</w:t>
      </w:r>
      <w:r w:rsidRPr="00084B00">
        <w:rPr>
          <w:rFonts w:cstheme="minorHAnsi"/>
          <w:noProof/>
        </w:rPr>
        <w:t>. 4(3)</w:t>
      </w:r>
    </w:p>
    <w:p w14:paraId="69416A1F" w14:textId="77777777" w:rsidR="002B7CF8" w:rsidRPr="00084B00" w:rsidRDefault="002B7CF8" w:rsidP="002B7CF8">
      <w:pPr>
        <w:pStyle w:val="ListParagraph"/>
        <w:rPr>
          <w:rFonts w:cstheme="minorHAnsi"/>
          <w:noProof/>
        </w:rPr>
      </w:pPr>
    </w:p>
    <w:p w14:paraId="0D91297E" w14:textId="499B51A1" w:rsidR="002B7CF8" w:rsidRPr="00084B00" w:rsidRDefault="002B7CF8" w:rsidP="002B7CF8">
      <w:pPr>
        <w:pStyle w:val="ListParagraph"/>
        <w:widowControl w:val="0"/>
        <w:numPr>
          <w:ilvl w:val="0"/>
          <w:numId w:val="9"/>
        </w:numPr>
        <w:autoSpaceDE w:val="0"/>
        <w:autoSpaceDN w:val="0"/>
        <w:adjustRightInd w:val="0"/>
        <w:spacing w:line="360" w:lineRule="auto"/>
        <w:ind w:left="426" w:hanging="426"/>
        <w:rPr>
          <w:rFonts w:cstheme="minorHAnsi"/>
          <w:noProof/>
        </w:rPr>
      </w:pPr>
      <w:r w:rsidRPr="00084B00">
        <w:rPr>
          <w:rFonts w:cstheme="minorHAnsi"/>
          <w:noProof/>
        </w:rPr>
        <w:t xml:space="preserve">Jacola LM, Partanen M, Lemiere J, Hudson MM, Thomas S. Assessment and Monitoring of Neurocognitive Function in Pediatric Cancer. J Clin Oncol. </w:t>
      </w:r>
      <w:r w:rsidR="002D01F7">
        <w:rPr>
          <w:rFonts w:cstheme="minorHAnsi"/>
          <w:noProof/>
        </w:rPr>
        <w:t>2021;</w:t>
      </w:r>
      <w:r w:rsidRPr="00084B00">
        <w:rPr>
          <w:rFonts w:cstheme="minorHAnsi"/>
          <w:noProof/>
        </w:rPr>
        <w:t>1;39(16):1696-1704</w:t>
      </w:r>
    </w:p>
    <w:p w14:paraId="76A75619" w14:textId="186E96E7" w:rsidR="002B7CF8" w:rsidRDefault="002B7CF8">
      <w:pPr>
        <w:rPr>
          <w:rFonts w:cstheme="minorHAnsi"/>
          <w:noProof/>
        </w:rPr>
      </w:pPr>
      <w:r>
        <w:rPr>
          <w:rFonts w:cstheme="minorHAnsi"/>
          <w:noProof/>
        </w:rPr>
        <w:br w:type="page"/>
      </w:r>
    </w:p>
    <w:p w14:paraId="659FD636" w14:textId="77777777" w:rsidR="002B7CF8" w:rsidRPr="00084B00" w:rsidRDefault="002B7CF8" w:rsidP="002B7CF8">
      <w:pPr>
        <w:pStyle w:val="ListParagraph"/>
        <w:widowControl w:val="0"/>
        <w:autoSpaceDE w:val="0"/>
        <w:autoSpaceDN w:val="0"/>
        <w:adjustRightInd w:val="0"/>
        <w:spacing w:line="360" w:lineRule="auto"/>
        <w:ind w:left="426"/>
        <w:rPr>
          <w:rFonts w:cstheme="minorHAnsi"/>
          <w:noProof/>
        </w:rPr>
      </w:pPr>
    </w:p>
    <w:p w14:paraId="0D258F5C" w14:textId="51C8E2A5" w:rsidR="002B7CF8" w:rsidRPr="002B7CF8" w:rsidRDefault="002B7CF8" w:rsidP="002B7CF8">
      <w:pPr>
        <w:widowControl w:val="0"/>
        <w:autoSpaceDE w:val="0"/>
        <w:autoSpaceDN w:val="0"/>
        <w:adjustRightInd w:val="0"/>
        <w:spacing w:line="360" w:lineRule="auto"/>
        <w:rPr>
          <w:rFonts w:cstheme="minorHAnsi"/>
          <w:b/>
          <w:bCs/>
          <w:noProof/>
        </w:rPr>
      </w:pPr>
      <w:r w:rsidRPr="002B7CF8">
        <w:rPr>
          <w:rFonts w:cstheme="minorHAnsi"/>
          <w:b/>
          <w:bCs/>
          <w:noProof/>
        </w:rPr>
        <w:t>Legends</w:t>
      </w:r>
    </w:p>
    <w:p w14:paraId="74F96E65" w14:textId="4DC373DC" w:rsidR="002B7CF8" w:rsidRDefault="002B7CF8" w:rsidP="002B7CF8">
      <w:pPr>
        <w:widowControl w:val="0"/>
        <w:autoSpaceDE w:val="0"/>
        <w:autoSpaceDN w:val="0"/>
        <w:adjustRightInd w:val="0"/>
        <w:spacing w:line="360" w:lineRule="auto"/>
        <w:rPr>
          <w:rFonts w:cstheme="minorHAnsi"/>
        </w:rPr>
      </w:pPr>
      <w:r w:rsidRPr="008C37FD">
        <w:rPr>
          <w:rFonts w:cstheme="minorHAnsi"/>
        </w:rPr>
        <w:fldChar w:fldCharType="end"/>
      </w:r>
    </w:p>
    <w:p w14:paraId="33244099" w14:textId="7865E7EB" w:rsidR="002B7CF8" w:rsidRPr="002B7CF8" w:rsidRDefault="002B7CF8" w:rsidP="002B7CF8">
      <w:pPr>
        <w:rPr>
          <w:b/>
          <w:bCs/>
        </w:rPr>
      </w:pPr>
      <w:r w:rsidRPr="002B7CF8">
        <w:rPr>
          <w:b/>
          <w:bCs/>
        </w:rPr>
        <w:t>Table 1</w:t>
      </w:r>
    </w:p>
    <w:p w14:paraId="10CEF4B1" w14:textId="77777777" w:rsidR="002B7CF8" w:rsidRDefault="002B7CF8" w:rsidP="002B7CF8"/>
    <w:p w14:paraId="6E8DEC3C" w14:textId="77777777" w:rsidR="002B7CF8" w:rsidRPr="00872398" w:rsidRDefault="002B7CF8" w:rsidP="002B7CF8">
      <w:pPr>
        <w:rPr>
          <w:sz w:val="22"/>
          <w:szCs w:val="22"/>
        </w:rPr>
      </w:pPr>
      <w:r w:rsidRPr="00872398">
        <w:rPr>
          <w:sz w:val="22"/>
          <w:szCs w:val="22"/>
        </w:rPr>
        <w:t>*For patients &lt; 4:0: administer Receptive Vocabulary; for patients ≥ 4:0: administer Vocabulary; **Patients ≥ 18 years of age will complete a self-report form; † Abbreviations: WPPSI-III = Wechsler Preschool and Primary Scale of Intelligence – 3</w:t>
      </w:r>
      <w:r w:rsidRPr="00872398">
        <w:rPr>
          <w:sz w:val="22"/>
          <w:szCs w:val="22"/>
          <w:vertAlign w:val="superscript"/>
        </w:rPr>
        <w:t>rd</w:t>
      </w:r>
      <w:r w:rsidRPr="00872398">
        <w:rPr>
          <w:sz w:val="22"/>
          <w:szCs w:val="22"/>
        </w:rPr>
        <w:t xml:space="preserve"> Edition</w:t>
      </w:r>
      <w:r w:rsidRPr="00872398">
        <w:rPr>
          <w:sz w:val="22"/>
          <w:szCs w:val="22"/>
          <w:vertAlign w:val="superscript"/>
        </w:rPr>
        <w:t>4</w:t>
      </w:r>
      <w:r w:rsidRPr="00872398">
        <w:rPr>
          <w:sz w:val="22"/>
          <w:szCs w:val="22"/>
        </w:rPr>
        <w:t>; WISC-IV = Wechsler Intelligence Scales for Children – 4</w:t>
      </w:r>
      <w:r w:rsidRPr="00872398">
        <w:rPr>
          <w:sz w:val="22"/>
          <w:szCs w:val="22"/>
          <w:vertAlign w:val="superscript"/>
        </w:rPr>
        <w:t>th</w:t>
      </w:r>
      <w:r w:rsidRPr="00872398">
        <w:rPr>
          <w:sz w:val="22"/>
          <w:szCs w:val="22"/>
        </w:rPr>
        <w:t xml:space="preserve"> Edition</w:t>
      </w:r>
      <w:r w:rsidRPr="00872398">
        <w:rPr>
          <w:sz w:val="22"/>
          <w:szCs w:val="22"/>
          <w:vertAlign w:val="superscript"/>
        </w:rPr>
        <w:t>5</w:t>
      </w:r>
      <w:r w:rsidRPr="00872398">
        <w:rPr>
          <w:sz w:val="22"/>
          <w:szCs w:val="22"/>
        </w:rPr>
        <w:t>; WAIS-III = Wechsler Adult Intelligence Scales – 3</w:t>
      </w:r>
      <w:r w:rsidRPr="00872398">
        <w:rPr>
          <w:sz w:val="22"/>
          <w:szCs w:val="22"/>
          <w:vertAlign w:val="superscript"/>
        </w:rPr>
        <w:t>rd</w:t>
      </w:r>
      <w:r w:rsidRPr="00872398">
        <w:rPr>
          <w:sz w:val="22"/>
          <w:szCs w:val="22"/>
        </w:rPr>
        <w:t xml:space="preserve"> Edition</w:t>
      </w:r>
      <w:r w:rsidRPr="00872398">
        <w:rPr>
          <w:sz w:val="21"/>
          <w:vertAlign w:val="superscript"/>
        </w:rPr>
        <w:t>6</w:t>
      </w:r>
      <w:r w:rsidRPr="00872398">
        <w:rPr>
          <w:sz w:val="22"/>
          <w:szCs w:val="22"/>
        </w:rPr>
        <w:t>; CMS = Children’s Memory Scale</w:t>
      </w:r>
      <w:r w:rsidRPr="00872398">
        <w:rPr>
          <w:sz w:val="22"/>
          <w:szCs w:val="22"/>
          <w:vertAlign w:val="superscript"/>
        </w:rPr>
        <w:t>7</w:t>
      </w:r>
      <w:r w:rsidRPr="00872398">
        <w:rPr>
          <w:sz w:val="22"/>
          <w:szCs w:val="22"/>
        </w:rPr>
        <w:t>; CVLT-C = California Verbal Learning Test – Children’s Version</w:t>
      </w:r>
      <w:r w:rsidRPr="00872398">
        <w:rPr>
          <w:sz w:val="22"/>
          <w:szCs w:val="22"/>
          <w:vertAlign w:val="superscript"/>
        </w:rPr>
        <w:t>8</w:t>
      </w:r>
      <w:r w:rsidRPr="00872398">
        <w:rPr>
          <w:sz w:val="22"/>
          <w:szCs w:val="22"/>
        </w:rPr>
        <w:t>; CVLT-II = California Verbal Learning Test – 2</w:t>
      </w:r>
      <w:r w:rsidRPr="00872398">
        <w:rPr>
          <w:sz w:val="22"/>
          <w:szCs w:val="22"/>
          <w:vertAlign w:val="superscript"/>
        </w:rPr>
        <w:t>nd</w:t>
      </w:r>
      <w:r w:rsidRPr="00872398">
        <w:rPr>
          <w:sz w:val="22"/>
          <w:szCs w:val="22"/>
        </w:rPr>
        <w:t xml:space="preserve"> Edition</w:t>
      </w:r>
      <w:r w:rsidRPr="00872398">
        <w:rPr>
          <w:sz w:val="22"/>
          <w:szCs w:val="22"/>
          <w:vertAlign w:val="superscript"/>
        </w:rPr>
        <w:t>9</w:t>
      </w:r>
      <w:r w:rsidRPr="00872398">
        <w:rPr>
          <w:sz w:val="22"/>
          <w:szCs w:val="22"/>
        </w:rPr>
        <w:t>; WMS-III = Wechsler Memory Scale – 3</w:t>
      </w:r>
      <w:r w:rsidRPr="00872398">
        <w:rPr>
          <w:sz w:val="22"/>
          <w:szCs w:val="22"/>
          <w:vertAlign w:val="superscript"/>
        </w:rPr>
        <w:t>rd</w:t>
      </w:r>
      <w:r w:rsidRPr="00872398">
        <w:rPr>
          <w:sz w:val="22"/>
          <w:szCs w:val="22"/>
        </w:rPr>
        <w:t xml:space="preserve"> Edition</w:t>
      </w:r>
      <w:r w:rsidRPr="00872398">
        <w:rPr>
          <w:sz w:val="22"/>
          <w:szCs w:val="22"/>
          <w:vertAlign w:val="superscript"/>
        </w:rPr>
        <w:t>10</w:t>
      </w:r>
      <w:r w:rsidRPr="00872398">
        <w:rPr>
          <w:sz w:val="22"/>
          <w:szCs w:val="22"/>
        </w:rPr>
        <w:t xml:space="preserve">;  BASC-2 = </w:t>
      </w:r>
      <w:proofErr w:type="spellStart"/>
      <w:r w:rsidRPr="00872398">
        <w:rPr>
          <w:sz w:val="22"/>
          <w:szCs w:val="22"/>
        </w:rPr>
        <w:t>Behavior</w:t>
      </w:r>
      <w:proofErr w:type="spellEnd"/>
      <w:r w:rsidRPr="00872398">
        <w:rPr>
          <w:sz w:val="22"/>
          <w:szCs w:val="22"/>
        </w:rPr>
        <w:t xml:space="preserve"> Assessment System for Children – 2</w:t>
      </w:r>
      <w:r w:rsidRPr="00872398">
        <w:rPr>
          <w:sz w:val="22"/>
          <w:szCs w:val="22"/>
          <w:vertAlign w:val="superscript"/>
        </w:rPr>
        <w:t>nd</w:t>
      </w:r>
      <w:r w:rsidRPr="00872398">
        <w:rPr>
          <w:sz w:val="22"/>
          <w:szCs w:val="22"/>
        </w:rPr>
        <w:t xml:space="preserve"> Edition</w:t>
      </w:r>
      <w:r w:rsidRPr="00872398">
        <w:rPr>
          <w:sz w:val="22"/>
          <w:szCs w:val="22"/>
          <w:vertAlign w:val="superscript"/>
        </w:rPr>
        <w:t>11</w:t>
      </w:r>
      <w:r w:rsidRPr="00872398">
        <w:rPr>
          <w:sz w:val="22"/>
          <w:szCs w:val="22"/>
        </w:rPr>
        <w:t xml:space="preserve">; BRIEF-P = </w:t>
      </w:r>
      <w:proofErr w:type="spellStart"/>
      <w:r w:rsidRPr="00872398">
        <w:rPr>
          <w:sz w:val="22"/>
          <w:szCs w:val="22"/>
        </w:rPr>
        <w:t>Behavior</w:t>
      </w:r>
      <w:proofErr w:type="spellEnd"/>
      <w:r w:rsidRPr="00872398">
        <w:rPr>
          <w:sz w:val="22"/>
          <w:szCs w:val="22"/>
        </w:rPr>
        <w:t xml:space="preserve"> Rating Inventory of Executive Function – Preschool Version</w:t>
      </w:r>
      <w:r w:rsidRPr="00872398">
        <w:rPr>
          <w:sz w:val="22"/>
          <w:szCs w:val="22"/>
          <w:vertAlign w:val="superscript"/>
        </w:rPr>
        <w:t>12</w:t>
      </w:r>
      <w:r w:rsidRPr="00872398">
        <w:rPr>
          <w:sz w:val="22"/>
          <w:szCs w:val="22"/>
        </w:rPr>
        <w:t xml:space="preserve">; BRIEF = </w:t>
      </w:r>
      <w:proofErr w:type="spellStart"/>
      <w:r w:rsidRPr="00872398">
        <w:rPr>
          <w:sz w:val="22"/>
          <w:szCs w:val="22"/>
        </w:rPr>
        <w:t>Behavior</w:t>
      </w:r>
      <w:proofErr w:type="spellEnd"/>
      <w:r w:rsidRPr="00872398">
        <w:rPr>
          <w:sz w:val="22"/>
          <w:szCs w:val="22"/>
        </w:rPr>
        <w:t xml:space="preserve"> Rating Inventory of Executive Function</w:t>
      </w:r>
      <w:r w:rsidRPr="00872398">
        <w:rPr>
          <w:sz w:val="22"/>
          <w:szCs w:val="22"/>
          <w:vertAlign w:val="superscript"/>
        </w:rPr>
        <w:t>13</w:t>
      </w:r>
      <w:r w:rsidRPr="00872398">
        <w:rPr>
          <w:sz w:val="22"/>
          <w:szCs w:val="22"/>
        </w:rPr>
        <w:t xml:space="preserve">; ABAS-II = Adaptive </w:t>
      </w:r>
      <w:proofErr w:type="spellStart"/>
      <w:r w:rsidRPr="00872398">
        <w:rPr>
          <w:sz w:val="22"/>
          <w:szCs w:val="22"/>
        </w:rPr>
        <w:t>Behavior</w:t>
      </w:r>
      <w:proofErr w:type="spellEnd"/>
      <w:r w:rsidRPr="00872398">
        <w:rPr>
          <w:sz w:val="22"/>
          <w:szCs w:val="22"/>
        </w:rPr>
        <w:t xml:space="preserve"> Assessment System – 2</w:t>
      </w:r>
      <w:r w:rsidRPr="00872398">
        <w:rPr>
          <w:sz w:val="22"/>
          <w:szCs w:val="22"/>
          <w:vertAlign w:val="superscript"/>
        </w:rPr>
        <w:t>nd</w:t>
      </w:r>
      <w:r w:rsidRPr="00872398">
        <w:rPr>
          <w:sz w:val="22"/>
          <w:szCs w:val="22"/>
        </w:rPr>
        <w:t xml:space="preserve"> Edition</w:t>
      </w:r>
      <w:r w:rsidRPr="00872398">
        <w:rPr>
          <w:sz w:val="22"/>
          <w:szCs w:val="22"/>
          <w:vertAlign w:val="superscript"/>
        </w:rPr>
        <w:t>15</w:t>
      </w:r>
      <w:r w:rsidRPr="00872398">
        <w:rPr>
          <w:sz w:val="22"/>
          <w:szCs w:val="22"/>
        </w:rPr>
        <w:t>; PedsQL 4.0 = Pediatric Quality of Life Inventory Version 4.0 (Generic Version)</w:t>
      </w:r>
      <w:r w:rsidRPr="00872398">
        <w:rPr>
          <w:sz w:val="22"/>
          <w:szCs w:val="22"/>
          <w:vertAlign w:val="superscript"/>
        </w:rPr>
        <w:t>15</w:t>
      </w:r>
    </w:p>
    <w:p w14:paraId="55ACB401" w14:textId="77777777" w:rsidR="002B7CF8" w:rsidRDefault="002B7CF8" w:rsidP="002B7CF8"/>
    <w:p w14:paraId="5D826E17" w14:textId="77777777" w:rsidR="002B7CF8" w:rsidRDefault="002B7CF8" w:rsidP="002B7CF8"/>
    <w:p w14:paraId="6FC65F7D" w14:textId="0CEE2865" w:rsidR="002B7CF8" w:rsidRPr="002B7CF8" w:rsidRDefault="002B7CF8" w:rsidP="002B7CF8">
      <w:pPr>
        <w:rPr>
          <w:b/>
          <w:bCs/>
        </w:rPr>
      </w:pPr>
      <w:r w:rsidRPr="002B7CF8">
        <w:rPr>
          <w:b/>
          <w:bCs/>
        </w:rPr>
        <w:t>Figure 1</w:t>
      </w:r>
    </w:p>
    <w:p w14:paraId="284A3745" w14:textId="77777777" w:rsidR="002B7CF8" w:rsidRDefault="002B7CF8" w:rsidP="002B7CF8"/>
    <w:p w14:paraId="598AF5BA" w14:textId="09501DD4" w:rsidR="002B7CF8" w:rsidRDefault="002B7CF8" w:rsidP="002B7CF8">
      <w:r>
        <w:t>WPPSI-III</w:t>
      </w:r>
      <w:r>
        <w:rPr>
          <w:vertAlign w:val="superscript"/>
        </w:rPr>
        <w:t>4</w:t>
      </w:r>
      <w:r>
        <w:t xml:space="preserve"> </w:t>
      </w:r>
      <w:r w:rsidRPr="00483794">
        <w:t>or</w:t>
      </w:r>
      <w:r>
        <w:t xml:space="preserve"> IV</w:t>
      </w:r>
      <w:r w:rsidRPr="00E93A85">
        <w:rPr>
          <w:vertAlign w:val="superscript"/>
        </w:rPr>
        <w:t>23</w:t>
      </w:r>
      <w:r>
        <w:t>- The Wechsler Preschool and Primary Scale of Intelligence, 3</w:t>
      </w:r>
      <w:r w:rsidRPr="000F2A7A">
        <w:rPr>
          <w:vertAlign w:val="superscript"/>
        </w:rPr>
        <w:t>rd</w:t>
      </w:r>
      <w:r>
        <w:t xml:space="preserve"> Edition </w:t>
      </w:r>
      <w:r w:rsidRPr="000F2A7A">
        <w:rPr>
          <w:u w:val="single"/>
        </w:rPr>
        <w:t>or</w:t>
      </w:r>
      <w:r w:rsidRPr="007A682F">
        <w:t xml:space="preserve"> </w:t>
      </w:r>
      <w:r>
        <w:t>4</w:t>
      </w:r>
      <w:r w:rsidRPr="000F2A7A">
        <w:rPr>
          <w:vertAlign w:val="superscript"/>
        </w:rPr>
        <w:t>th</w:t>
      </w:r>
      <w:r>
        <w:t xml:space="preserve"> Edition;</w:t>
      </w:r>
      <w:r w:rsidR="002D01F7">
        <w:t xml:space="preserve"> </w:t>
      </w:r>
      <w:r>
        <w:t>WISC-IV</w:t>
      </w:r>
      <w:r>
        <w:rPr>
          <w:vertAlign w:val="superscript"/>
        </w:rPr>
        <w:t>5</w:t>
      </w:r>
      <w:r>
        <w:t xml:space="preserve"> </w:t>
      </w:r>
      <w:r w:rsidRPr="00483794">
        <w:t>or</w:t>
      </w:r>
      <w:r>
        <w:t xml:space="preserve"> V</w:t>
      </w:r>
      <w:r w:rsidRPr="00E93A85">
        <w:rPr>
          <w:vertAlign w:val="superscript"/>
        </w:rPr>
        <w:t>2</w:t>
      </w:r>
      <w:r>
        <w:rPr>
          <w:vertAlign w:val="superscript"/>
        </w:rPr>
        <w:t>4</w:t>
      </w:r>
      <w:r>
        <w:t>- Wechsler Intelligence Scale Children’s 4</w:t>
      </w:r>
      <w:r w:rsidRPr="000F2A7A">
        <w:rPr>
          <w:vertAlign w:val="superscript"/>
        </w:rPr>
        <w:t>th</w:t>
      </w:r>
      <w:r>
        <w:t xml:space="preserve"> Edition </w:t>
      </w:r>
      <w:r w:rsidRPr="000F2A7A">
        <w:rPr>
          <w:u w:val="single"/>
        </w:rPr>
        <w:t>or</w:t>
      </w:r>
      <w:r>
        <w:t xml:space="preserve"> 5</w:t>
      </w:r>
      <w:r w:rsidRPr="000F2A7A">
        <w:rPr>
          <w:vertAlign w:val="superscript"/>
        </w:rPr>
        <w:t>th</w:t>
      </w:r>
      <w:r>
        <w:t xml:space="preserve"> Edition; CMS</w:t>
      </w:r>
      <w:r>
        <w:rPr>
          <w:vertAlign w:val="superscript"/>
        </w:rPr>
        <w:t>7</w:t>
      </w:r>
      <w:r>
        <w:t>- Children’s Memory Scale; WIAT-II</w:t>
      </w:r>
      <w:r w:rsidRPr="00E93A85">
        <w:rPr>
          <w:vertAlign w:val="superscript"/>
        </w:rPr>
        <w:t>2</w:t>
      </w:r>
      <w:r>
        <w:rPr>
          <w:vertAlign w:val="superscript"/>
        </w:rPr>
        <w:t>5</w:t>
      </w:r>
      <w:r>
        <w:t xml:space="preserve"> </w:t>
      </w:r>
      <w:r w:rsidRPr="00483794">
        <w:t>or</w:t>
      </w:r>
      <w:r>
        <w:t xml:space="preserve"> III</w:t>
      </w:r>
      <w:r w:rsidRPr="00E93A85">
        <w:rPr>
          <w:vertAlign w:val="superscript"/>
        </w:rPr>
        <w:t>2</w:t>
      </w:r>
      <w:r>
        <w:rPr>
          <w:vertAlign w:val="superscript"/>
        </w:rPr>
        <w:t>6</w:t>
      </w:r>
      <w:r>
        <w:t>- Wechsler Individual Achievement Test 2</w:t>
      </w:r>
      <w:r w:rsidRPr="000F2A7A">
        <w:rPr>
          <w:vertAlign w:val="superscript"/>
        </w:rPr>
        <w:t>nd</w:t>
      </w:r>
      <w:r>
        <w:t xml:space="preserve"> Edition </w:t>
      </w:r>
      <w:r w:rsidRPr="000F2A7A">
        <w:rPr>
          <w:u w:val="single"/>
        </w:rPr>
        <w:t>or</w:t>
      </w:r>
      <w:r>
        <w:t xml:space="preserve"> 3</w:t>
      </w:r>
      <w:r w:rsidRPr="000F2A7A">
        <w:rPr>
          <w:vertAlign w:val="superscript"/>
        </w:rPr>
        <w:t>rd</w:t>
      </w:r>
      <w:r>
        <w:t xml:space="preserve"> Edition; WRAVMA</w:t>
      </w:r>
      <w:r w:rsidRPr="00E93A85">
        <w:rPr>
          <w:vertAlign w:val="superscript"/>
        </w:rPr>
        <w:t>2</w:t>
      </w:r>
      <w:r>
        <w:rPr>
          <w:vertAlign w:val="superscript"/>
        </w:rPr>
        <w:t>7</w:t>
      </w:r>
      <w:r>
        <w:t>- Wide Range Assessment of Visual Motor Abilities; Beery VMI</w:t>
      </w:r>
      <w:r w:rsidRPr="00E93A85">
        <w:rPr>
          <w:vertAlign w:val="superscript"/>
        </w:rPr>
        <w:t>2</w:t>
      </w:r>
      <w:r>
        <w:rPr>
          <w:vertAlign w:val="superscript"/>
        </w:rPr>
        <w:t>8</w:t>
      </w:r>
      <w:r>
        <w:t>- Beery-Buktenica Development Test of Visual-Motor Integration; D-KEFS</w:t>
      </w:r>
      <w:r>
        <w:rPr>
          <w:vertAlign w:val="superscript"/>
        </w:rPr>
        <w:t>29</w:t>
      </w:r>
      <w:r>
        <w:t>- Delis-Kaplan Executive Function System; CPT</w:t>
      </w:r>
      <w:r w:rsidRPr="00E93A85">
        <w:rPr>
          <w:vertAlign w:val="superscript"/>
        </w:rPr>
        <w:t>3</w:t>
      </w:r>
      <w:r>
        <w:rPr>
          <w:vertAlign w:val="superscript"/>
        </w:rPr>
        <w:t>0</w:t>
      </w:r>
      <w:r>
        <w:t>- Conners’ Continuous Performance Test; TEA-Ch</w:t>
      </w:r>
      <w:r w:rsidRPr="00E93A85">
        <w:rPr>
          <w:vertAlign w:val="superscript"/>
        </w:rPr>
        <w:t>3</w:t>
      </w:r>
      <w:r>
        <w:rPr>
          <w:vertAlign w:val="superscript"/>
        </w:rPr>
        <w:t>1</w:t>
      </w:r>
      <w:r>
        <w:t>- Test of Everyday Attention for Children; CPM</w:t>
      </w:r>
      <w:r w:rsidRPr="00E93A85">
        <w:rPr>
          <w:vertAlign w:val="superscript"/>
        </w:rPr>
        <w:t>3</w:t>
      </w:r>
      <w:r>
        <w:rPr>
          <w:vertAlign w:val="superscript"/>
        </w:rPr>
        <w:t>2</w:t>
      </w:r>
      <w:r>
        <w:t>- Raven’s Coloured Progressive Matrices (CPM); Vineland II</w:t>
      </w:r>
      <w:r w:rsidRPr="00E93A85">
        <w:rPr>
          <w:vertAlign w:val="superscript"/>
        </w:rPr>
        <w:t>3</w:t>
      </w:r>
      <w:r>
        <w:rPr>
          <w:vertAlign w:val="superscript"/>
        </w:rPr>
        <w:t>3</w:t>
      </w:r>
      <w:r>
        <w:t>- Vineland Adaptive Behaviour Scales, 2</w:t>
      </w:r>
      <w:r w:rsidRPr="000F2A7A">
        <w:rPr>
          <w:vertAlign w:val="superscript"/>
        </w:rPr>
        <w:t>nd</w:t>
      </w:r>
      <w:r>
        <w:t xml:space="preserve"> Edition; Purdue Pegboard- Purdue Pegboard Test</w:t>
      </w:r>
      <w:r w:rsidRPr="00B64951">
        <w:rPr>
          <w:vertAlign w:val="superscript"/>
        </w:rPr>
        <w:t>34</w:t>
      </w:r>
    </w:p>
    <w:p w14:paraId="4301D2B0" w14:textId="77777777" w:rsidR="002B7CF8" w:rsidRDefault="002B7CF8" w:rsidP="002B7CF8"/>
    <w:p w14:paraId="37FC75EA" w14:textId="77777777" w:rsidR="002B7CF8" w:rsidRDefault="002B7CF8" w:rsidP="002B7CF8"/>
    <w:p w14:paraId="5E40AAF8" w14:textId="77777777" w:rsidR="002B7CF8" w:rsidRPr="008C37FD" w:rsidRDefault="002B7CF8" w:rsidP="002B7CF8">
      <w:pPr>
        <w:widowControl w:val="0"/>
        <w:autoSpaceDE w:val="0"/>
        <w:autoSpaceDN w:val="0"/>
        <w:adjustRightInd w:val="0"/>
        <w:spacing w:line="360" w:lineRule="auto"/>
        <w:rPr>
          <w:rFonts w:cstheme="minorHAnsi"/>
          <w:noProof/>
        </w:rPr>
      </w:pPr>
    </w:p>
    <w:p w14:paraId="200D1ED1" w14:textId="77777777" w:rsidR="002B7CF8" w:rsidRPr="008C37FD" w:rsidRDefault="002B7CF8" w:rsidP="002B7CF8">
      <w:pPr>
        <w:ind w:left="426" w:hanging="426"/>
        <w:rPr>
          <w:rFonts w:cstheme="minorHAnsi"/>
        </w:rPr>
      </w:pPr>
    </w:p>
    <w:p w14:paraId="7B837986" w14:textId="7DD9FC04" w:rsidR="002B7CF8" w:rsidRDefault="002B7CF8" w:rsidP="00FC3DC9">
      <w:pPr>
        <w:spacing w:line="360" w:lineRule="auto"/>
        <w:jc w:val="both"/>
      </w:pPr>
    </w:p>
    <w:p w14:paraId="2EA62CDA" w14:textId="77777777" w:rsidR="002B7CF8" w:rsidRPr="00367642" w:rsidRDefault="002B7CF8" w:rsidP="00FC3DC9">
      <w:pPr>
        <w:spacing w:line="360" w:lineRule="auto"/>
        <w:jc w:val="both"/>
      </w:pPr>
    </w:p>
    <w:sectPr w:rsidR="002B7CF8" w:rsidRPr="00367642" w:rsidSect="008615F8">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75854" w14:textId="77777777" w:rsidR="003C70F7" w:rsidRDefault="003C70F7" w:rsidP="006C1DB5">
      <w:r>
        <w:separator/>
      </w:r>
    </w:p>
  </w:endnote>
  <w:endnote w:type="continuationSeparator" w:id="0">
    <w:p w14:paraId="33BF3FD6" w14:textId="77777777" w:rsidR="003C70F7" w:rsidRDefault="003C70F7" w:rsidP="006C1DB5">
      <w:r>
        <w:continuationSeparator/>
      </w:r>
    </w:p>
  </w:endnote>
  <w:endnote w:type="continuationNotice" w:id="1">
    <w:p w14:paraId="76899840" w14:textId="77777777" w:rsidR="003C70F7" w:rsidRDefault="003C7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714620"/>
      <w:docPartObj>
        <w:docPartGallery w:val="Page Numbers (Bottom of Page)"/>
        <w:docPartUnique/>
      </w:docPartObj>
    </w:sdtPr>
    <w:sdtEndPr>
      <w:rPr>
        <w:noProof/>
      </w:rPr>
    </w:sdtEndPr>
    <w:sdtContent>
      <w:p w14:paraId="3065F129" w14:textId="540E882A" w:rsidR="005275ED" w:rsidRDefault="005275ED">
        <w:pPr>
          <w:pStyle w:val="Footer"/>
          <w:jc w:val="right"/>
        </w:pPr>
        <w:r>
          <w:fldChar w:fldCharType="begin"/>
        </w:r>
        <w:r>
          <w:instrText xml:space="preserve"> PAGE   \* MERGEFORMAT </w:instrText>
        </w:r>
        <w:r>
          <w:fldChar w:fldCharType="separate"/>
        </w:r>
        <w:r w:rsidR="00440458">
          <w:rPr>
            <w:noProof/>
          </w:rPr>
          <w:t>10</w:t>
        </w:r>
        <w:r>
          <w:rPr>
            <w:noProof/>
          </w:rPr>
          <w:fldChar w:fldCharType="end"/>
        </w:r>
      </w:p>
    </w:sdtContent>
  </w:sdt>
  <w:p w14:paraId="192DC921" w14:textId="77777777" w:rsidR="005275ED" w:rsidRDefault="00527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1204" w14:textId="77777777" w:rsidR="003C70F7" w:rsidRDefault="003C70F7" w:rsidP="006C1DB5">
      <w:r>
        <w:separator/>
      </w:r>
    </w:p>
  </w:footnote>
  <w:footnote w:type="continuationSeparator" w:id="0">
    <w:p w14:paraId="3678906C" w14:textId="77777777" w:rsidR="003C70F7" w:rsidRDefault="003C70F7" w:rsidP="006C1DB5">
      <w:r>
        <w:continuationSeparator/>
      </w:r>
    </w:p>
  </w:footnote>
  <w:footnote w:type="continuationNotice" w:id="1">
    <w:p w14:paraId="76E30E00" w14:textId="77777777" w:rsidR="003C70F7" w:rsidRDefault="003C70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7644"/>
    <w:multiLevelType w:val="hybridMultilevel"/>
    <w:tmpl w:val="C186B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46A49"/>
    <w:multiLevelType w:val="hybridMultilevel"/>
    <w:tmpl w:val="648824D2"/>
    <w:lvl w:ilvl="0" w:tplc="85A827AC">
      <w:start w:val="4"/>
      <w:numFmt w:val="bullet"/>
      <w:lvlText w:val=""/>
      <w:lvlJc w:val="left"/>
      <w:pPr>
        <w:ind w:left="5620" w:hanging="52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A749F"/>
    <w:multiLevelType w:val="singleLevel"/>
    <w:tmpl w:val="BC42DB4C"/>
    <w:lvl w:ilvl="0">
      <w:start w:val="1"/>
      <w:numFmt w:val="decimal"/>
      <w:lvlText w:val="%1."/>
      <w:lvlJc w:val="left"/>
      <w:pPr>
        <w:tabs>
          <w:tab w:val="num" w:pos="360"/>
        </w:tabs>
        <w:ind w:left="360" w:hanging="360"/>
      </w:pPr>
      <w:rPr>
        <w:rFonts w:ascii="Times New Roman" w:hAnsi="Times New Roman" w:cs="Times New Roman" w:hint="default"/>
        <w:b w:val="0"/>
      </w:rPr>
    </w:lvl>
  </w:abstractNum>
  <w:abstractNum w:abstractNumId="3" w15:restartNumberingAfterBreak="0">
    <w:nsid w:val="19BD2B44"/>
    <w:multiLevelType w:val="hybridMultilevel"/>
    <w:tmpl w:val="1392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6483F"/>
    <w:multiLevelType w:val="multilevel"/>
    <w:tmpl w:val="CDB2B71E"/>
    <w:lvl w:ilvl="0">
      <w:start w:val="3"/>
      <w:numFmt w:val="decimal"/>
      <w:lvlText w:val="%1"/>
      <w:lvlJc w:val="left"/>
      <w:pPr>
        <w:ind w:left="360" w:hanging="360"/>
      </w:pPr>
      <w:rPr>
        <w:rFonts w:hint="default"/>
        <w:i w:val="0"/>
        <w:color w:val="2F5496" w:themeColor="accent1" w:themeShade="BF"/>
        <w:sz w:val="24"/>
      </w:rPr>
    </w:lvl>
    <w:lvl w:ilvl="1">
      <w:start w:val="2"/>
      <w:numFmt w:val="decimal"/>
      <w:lvlText w:val="%1.%2"/>
      <w:lvlJc w:val="left"/>
      <w:pPr>
        <w:ind w:left="360" w:hanging="360"/>
      </w:pPr>
      <w:rPr>
        <w:rFonts w:hint="default"/>
        <w:i w:val="0"/>
        <w:color w:val="2F5496" w:themeColor="accent1" w:themeShade="BF"/>
        <w:sz w:val="24"/>
      </w:rPr>
    </w:lvl>
    <w:lvl w:ilvl="2">
      <w:start w:val="1"/>
      <w:numFmt w:val="decimal"/>
      <w:lvlText w:val="%1.%2.%3"/>
      <w:lvlJc w:val="left"/>
      <w:pPr>
        <w:ind w:left="720" w:hanging="720"/>
      </w:pPr>
      <w:rPr>
        <w:rFonts w:hint="default"/>
        <w:i w:val="0"/>
        <w:color w:val="2F5496" w:themeColor="accent1" w:themeShade="BF"/>
        <w:sz w:val="24"/>
      </w:rPr>
    </w:lvl>
    <w:lvl w:ilvl="3">
      <w:start w:val="1"/>
      <w:numFmt w:val="decimal"/>
      <w:lvlText w:val="%1.%2.%3.%4"/>
      <w:lvlJc w:val="left"/>
      <w:pPr>
        <w:ind w:left="720" w:hanging="720"/>
      </w:pPr>
      <w:rPr>
        <w:rFonts w:hint="default"/>
        <w:i w:val="0"/>
        <w:color w:val="2F5496" w:themeColor="accent1" w:themeShade="BF"/>
        <w:sz w:val="24"/>
      </w:rPr>
    </w:lvl>
    <w:lvl w:ilvl="4">
      <w:start w:val="1"/>
      <w:numFmt w:val="decimal"/>
      <w:lvlText w:val="%1.%2.%3.%4.%5"/>
      <w:lvlJc w:val="left"/>
      <w:pPr>
        <w:ind w:left="1080" w:hanging="1080"/>
      </w:pPr>
      <w:rPr>
        <w:rFonts w:hint="default"/>
        <w:i w:val="0"/>
        <w:color w:val="2F5496" w:themeColor="accent1" w:themeShade="BF"/>
        <w:sz w:val="24"/>
      </w:rPr>
    </w:lvl>
    <w:lvl w:ilvl="5">
      <w:start w:val="1"/>
      <w:numFmt w:val="decimal"/>
      <w:lvlText w:val="%1.%2.%3.%4.%5.%6"/>
      <w:lvlJc w:val="left"/>
      <w:pPr>
        <w:ind w:left="1080" w:hanging="1080"/>
      </w:pPr>
      <w:rPr>
        <w:rFonts w:hint="default"/>
        <w:i w:val="0"/>
        <w:color w:val="2F5496" w:themeColor="accent1" w:themeShade="BF"/>
        <w:sz w:val="24"/>
      </w:rPr>
    </w:lvl>
    <w:lvl w:ilvl="6">
      <w:start w:val="1"/>
      <w:numFmt w:val="decimal"/>
      <w:lvlText w:val="%1.%2.%3.%4.%5.%6.%7"/>
      <w:lvlJc w:val="left"/>
      <w:pPr>
        <w:ind w:left="1440" w:hanging="1440"/>
      </w:pPr>
      <w:rPr>
        <w:rFonts w:hint="default"/>
        <w:i w:val="0"/>
        <w:color w:val="2F5496" w:themeColor="accent1" w:themeShade="BF"/>
        <w:sz w:val="24"/>
      </w:rPr>
    </w:lvl>
    <w:lvl w:ilvl="7">
      <w:start w:val="1"/>
      <w:numFmt w:val="decimal"/>
      <w:lvlText w:val="%1.%2.%3.%4.%5.%6.%7.%8"/>
      <w:lvlJc w:val="left"/>
      <w:pPr>
        <w:ind w:left="1440" w:hanging="1440"/>
      </w:pPr>
      <w:rPr>
        <w:rFonts w:hint="default"/>
        <w:i w:val="0"/>
        <w:color w:val="2F5496" w:themeColor="accent1" w:themeShade="BF"/>
        <w:sz w:val="24"/>
      </w:rPr>
    </w:lvl>
    <w:lvl w:ilvl="8">
      <w:start w:val="1"/>
      <w:numFmt w:val="decimal"/>
      <w:lvlText w:val="%1.%2.%3.%4.%5.%6.%7.%8.%9"/>
      <w:lvlJc w:val="left"/>
      <w:pPr>
        <w:ind w:left="1800" w:hanging="1800"/>
      </w:pPr>
      <w:rPr>
        <w:rFonts w:hint="default"/>
        <w:i w:val="0"/>
        <w:color w:val="2F5496" w:themeColor="accent1" w:themeShade="BF"/>
        <w:sz w:val="24"/>
      </w:rPr>
    </w:lvl>
  </w:abstractNum>
  <w:abstractNum w:abstractNumId="5" w15:restartNumberingAfterBreak="0">
    <w:nsid w:val="2D803FA7"/>
    <w:multiLevelType w:val="hybridMultilevel"/>
    <w:tmpl w:val="73842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0E7917"/>
    <w:multiLevelType w:val="hybridMultilevel"/>
    <w:tmpl w:val="19D8B854"/>
    <w:lvl w:ilvl="0" w:tplc="0809000F">
      <w:start w:val="1"/>
      <w:numFmt w:val="decimal"/>
      <w:lvlText w:val="%1."/>
      <w:lvlJc w:val="left"/>
      <w:pPr>
        <w:ind w:left="1778" w:hanging="360"/>
      </w:pPr>
      <w:rPr>
        <w:rFonts w:hint="default"/>
      </w:rPr>
    </w:lvl>
    <w:lvl w:ilvl="1" w:tplc="0809001B">
      <w:start w:val="1"/>
      <w:numFmt w:val="lowerRoman"/>
      <w:lvlText w:val="%2."/>
      <w:lvlJc w:val="righ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64D745E6"/>
    <w:multiLevelType w:val="hybridMultilevel"/>
    <w:tmpl w:val="989280E2"/>
    <w:lvl w:ilvl="0" w:tplc="0FE2C3E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3D6B57"/>
    <w:multiLevelType w:val="hybridMultilevel"/>
    <w:tmpl w:val="19D8B854"/>
    <w:lvl w:ilvl="0" w:tplc="0809000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3"/>
  </w:num>
  <w:num w:numId="5">
    <w:abstractNumId w:val="2"/>
  </w:num>
  <w:num w:numId="6">
    <w:abstractNumId w:val="7"/>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ctiveWritingStyle w:appName="MSWord" w:lang="fr-FR" w:vendorID="64" w:dllVersion="6" w:nlCheck="1" w:checkStyle="0"/>
  <w:activeWritingStyle w:appName="MSWord" w:lang="en-GB"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686"/>
    <w:rsid w:val="0001185F"/>
    <w:rsid w:val="000132AC"/>
    <w:rsid w:val="00014F14"/>
    <w:rsid w:val="00015031"/>
    <w:rsid w:val="00020175"/>
    <w:rsid w:val="00021387"/>
    <w:rsid w:val="000311F2"/>
    <w:rsid w:val="00033E56"/>
    <w:rsid w:val="00033FB4"/>
    <w:rsid w:val="0003459D"/>
    <w:rsid w:val="000373EB"/>
    <w:rsid w:val="000506AE"/>
    <w:rsid w:val="00050DE9"/>
    <w:rsid w:val="00051481"/>
    <w:rsid w:val="000525F9"/>
    <w:rsid w:val="00056D67"/>
    <w:rsid w:val="000609AD"/>
    <w:rsid w:val="00061701"/>
    <w:rsid w:val="00075A00"/>
    <w:rsid w:val="0008114F"/>
    <w:rsid w:val="000852B6"/>
    <w:rsid w:val="00093D44"/>
    <w:rsid w:val="00097A60"/>
    <w:rsid w:val="000A53E6"/>
    <w:rsid w:val="000A5AF4"/>
    <w:rsid w:val="000A655F"/>
    <w:rsid w:val="000B214C"/>
    <w:rsid w:val="000B3325"/>
    <w:rsid w:val="000B7018"/>
    <w:rsid w:val="000B71A6"/>
    <w:rsid w:val="000C0644"/>
    <w:rsid w:val="000C23F3"/>
    <w:rsid w:val="000C60A4"/>
    <w:rsid w:val="000D2412"/>
    <w:rsid w:val="000D4E71"/>
    <w:rsid w:val="000D59B6"/>
    <w:rsid w:val="000E236D"/>
    <w:rsid w:val="000E29F7"/>
    <w:rsid w:val="00101B95"/>
    <w:rsid w:val="00101F8C"/>
    <w:rsid w:val="001100FA"/>
    <w:rsid w:val="00112F62"/>
    <w:rsid w:val="00120038"/>
    <w:rsid w:val="0012310E"/>
    <w:rsid w:val="0012657F"/>
    <w:rsid w:val="00130817"/>
    <w:rsid w:val="00134D8F"/>
    <w:rsid w:val="00143605"/>
    <w:rsid w:val="00144E63"/>
    <w:rsid w:val="00150CD2"/>
    <w:rsid w:val="00152040"/>
    <w:rsid w:val="001524ED"/>
    <w:rsid w:val="00157AB6"/>
    <w:rsid w:val="00166AC7"/>
    <w:rsid w:val="001677C4"/>
    <w:rsid w:val="001720B2"/>
    <w:rsid w:val="00186692"/>
    <w:rsid w:val="00187E9C"/>
    <w:rsid w:val="00194BB1"/>
    <w:rsid w:val="001B0536"/>
    <w:rsid w:val="001B79DF"/>
    <w:rsid w:val="001C2499"/>
    <w:rsid w:val="001D1981"/>
    <w:rsid w:val="001D4C95"/>
    <w:rsid w:val="001D6149"/>
    <w:rsid w:val="001D7E48"/>
    <w:rsid w:val="001E1642"/>
    <w:rsid w:val="00204A7C"/>
    <w:rsid w:val="00206C80"/>
    <w:rsid w:val="00207A92"/>
    <w:rsid w:val="00207FD2"/>
    <w:rsid w:val="00213C93"/>
    <w:rsid w:val="00215A6B"/>
    <w:rsid w:val="00217DF6"/>
    <w:rsid w:val="00222B62"/>
    <w:rsid w:val="00227B6B"/>
    <w:rsid w:val="0023074B"/>
    <w:rsid w:val="00231E01"/>
    <w:rsid w:val="0023767A"/>
    <w:rsid w:val="00237C04"/>
    <w:rsid w:val="00241BC5"/>
    <w:rsid w:val="0026129A"/>
    <w:rsid w:val="00263B47"/>
    <w:rsid w:val="00265756"/>
    <w:rsid w:val="00270AAF"/>
    <w:rsid w:val="002711D3"/>
    <w:rsid w:val="002717DC"/>
    <w:rsid w:val="0027480E"/>
    <w:rsid w:val="00277F9F"/>
    <w:rsid w:val="00277FF7"/>
    <w:rsid w:val="002848CB"/>
    <w:rsid w:val="002863F3"/>
    <w:rsid w:val="002910F9"/>
    <w:rsid w:val="00293AB9"/>
    <w:rsid w:val="002A20E5"/>
    <w:rsid w:val="002A2302"/>
    <w:rsid w:val="002A7946"/>
    <w:rsid w:val="002B05F8"/>
    <w:rsid w:val="002B4102"/>
    <w:rsid w:val="002B437B"/>
    <w:rsid w:val="002B7CF8"/>
    <w:rsid w:val="002D01F7"/>
    <w:rsid w:val="002D172D"/>
    <w:rsid w:val="002D2641"/>
    <w:rsid w:val="002E1845"/>
    <w:rsid w:val="002E2B03"/>
    <w:rsid w:val="002E40A0"/>
    <w:rsid w:val="002F5949"/>
    <w:rsid w:val="002F63C0"/>
    <w:rsid w:val="002F7BDE"/>
    <w:rsid w:val="003006EC"/>
    <w:rsid w:val="00301124"/>
    <w:rsid w:val="00301E4E"/>
    <w:rsid w:val="00303A27"/>
    <w:rsid w:val="0030420A"/>
    <w:rsid w:val="003046C2"/>
    <w:rsid w:val="00304954"/>
    <w:rsid w:val="00305B50"/>
    <w:rsid w:val="0032099C"/>
    <w:rsid w:val="003215B4"/>
    <w:rsid w:val="003227EF"/>
    <w:rsid w:val="00330295"/>
    <w:rsid w:val="00332135"/>
    <w:rsid w:val="003358CE"/>
    <w:rsid w:val="00341984"/>
    <w:rsid w:val="003452D5"/>
    <w:rsid w:val="00347C41"/>
    <w:rsid w:val="00351A66"/>
    <w:rsid w:val="00353991"/>
    <w:rsid w:val="003643DB"/>
    <w:rsid w:val="0036457C"/>
    <w:rsid w:val="0036462B"/>
    <w:rsid w:val="00367642"/>
    <w:rsid w:val="003752C3"/>
    <w:rsid w:val="00385384"/>
    <w:rsid w:val="003A18C5"/>
    <w:rsid w:val="003A29BB"/>
    <w:rsid w:val="003A29EF"/>
    <w:rsid w:val="003A3743"/>
    <w:rsid w:val="003A4484"/>
    <w:rsid w:val="003A655C"/>
    <w:rsid w:val="003B0760"/>
    <w:rsid w:val="003B2611"/>
    <w:rsid w:val="003B45CA"/>
    <w:rsid w:val="003B645B"/>
    <w:rsid w:val="003C065E"/>
    <w:rsid w:val="003C084E"/>
    <w:rsid w:val="003C2371"/>
    <w:rsid w:val="003C70F7"/>
    <w:rsid w:val="003C79DC"/>
    <w:rsid w:val="003D001D"/>
    <w:rsid w:val="003D030D"/>
    <w:rsid w:val="003D0EF5"/>
    <w:rsid w:val="003D14CF"/>
    <w:rsid w:val="003D1833"/>
    <w:rsid w:val="003D20AD"/>
    <w:rsid w:val="003D2391"/>
    <w:rsid w:val="003D4AF0"/>
    <w:rsid w:val="003D5D3E"/>
    <w:rsid w:val="003E0E1A"/>
    <w:rsid w:val="003E1144"/>
    <w:rsid w:val="003E11B5"/>
    <w:rsid w:val="003E2C33"/>
    <w:rsid w:val="003E52D1"/>
    <w:rsid w:val="003F2117"/>
    <w:rsid w:val="003F4BBC"/>
    <w:rsid w:val="00401317"/>
    <w:rsid w:val="004038D0"/>
    <w:rsid w:val="0040463C"/>
    <w:rsid w:val="00404B61"/>
    <w:rsid w:val="0040575C"/>
    <w:rsid w:val="004073EB"/>
    <w:rsid w:val="004156D6"/>
    <w:rsid w:val="0041778F"/>
    <w:rsid w:val="00424E87"/>
    <w:rsid w:val="0043136D"/>
    <w:rsid w:val="00440458"/>
    <w:rsid w:val="00454624"/>
    <w:rsid w:val="00456235"/>
    <w:rsid w:val="00456642"/>
    <w:rsid w:val="0046352A"/>
    <w:rsid w:val="00465674"/>
    <w:rsid w:val="00473227"/>
    <w:rsid w:val="004733C6"/>
    <w:rsid w:val="00482267"/>
    <w:rsid w:val="004862B6"/>
    <w:rsid w:val="00486851"/>
    <w:rsid w:val="004908F7"/>
    <w:rsid w:val="00490B9A"/>
    <w:rsid w:val="00492C8C"/>
    <w:rsid w:val="004A2DD2"/>
    <w:rsid w:val="004A33C3"/>
    <w:rsid w:val="004A34B6"/>
    <w:rsid w:val="004A35C6"/>
    <w:rsid w:val="004B2EBD"/>
    <w:rsid w:val="004B44CE"/>
    <w:rsid w:val="004B7A51"/>
    <w:rsid w:val="004C0AFB"/>
    <w:rsid w:val="004C2DB5"/>
    <w:rsid w:val="004C6A02"/>
    <w:rsid w:val="004D7BC2"/>
    <w:rsid w:val="004E131F"/>
    <w:rsid w:val="004F4508"/>
    <w:rsid w:val="00502E9A"/>
    <w:rsid w:val="00507324"/>
    <w:rsid w:val="005112AC"/>
    <w:rsid w:val="00522D49"/>
    <w:rsid w:val="005272E2"/>
    <w:rsid w:val="005275ED"/>
    <w:rsid w:val="00531E51"/>
    <w:rsid w:val="00533510"/>
    <w:rsid w:val="00536658"/>
    <w:rsid w:val="0053731E"/>
    <w:rsid w:val="005417E6"/>
    <w:rsid w:val="00543689"/>
    <w:rsid w:val="005515DB"/>
    <w:rsid w:val="005543C4"/>
    <w:rsid w:val="00556F55"/>
    <w:rsid w:val="005679E5"/>
    <w:rsid w:val="005742A2"/>
    <w:rsid w:val="00577328"/>
    <w:rsid w:val="00577427"/>
    <w:rsid w:val="0058311D"/>
    <w:rsid w:val="00583A82"/>
    <w:rsid w:val="00585FA1"/>
    <w:rsid w:val="00587C16"/>
    <w:rsid w:val="0059112C"/>
    <w:rsid w:val="00596064"/>
    <w:rsid w:val="005A2846"/>
    <w:rsid w:val="005A37B7"/>
    <w:rsid w:val="005B3763"/>
    <w:rsid w:val="005B5FD7"/>
    <w:rsid w:val="005C15A5"/>
    <w:rsid w:val="005C1CDC"/>
    <w:rsid w:val="005D343D"/>
    <w:rsid w:val="005D58DB"/>
    <w:rsid w:val="005D5BBC"/>
    <w:rsid w:val="005E0812"/>
    <w:rsid w:val="005E2C73"/>
    <w:rsid w:val="005E52A9"/>
    <w:rsid w:val="005F58F2"/>
    <w:rsid w:val="005F69A1"/>
    <w:rsid w:val="005F7147"/>
    <w:rsid w:val="005F7702"/>
    <w:rsid w:val="006001C3"/>
    <w:rsid w:val="006062AE"/>
    <w:rsid w:val="00606F5A"/>
    <w:rsid w:val="006208F6"/>
    <w:rsid w:val="0062559E"/>
    <w:rsid w:val="0063028E"/>
    <w:rsid w:val="0063282D"/>
    <w:rsid w:val="00636CAB"/>
    <w:rsid w:val="006460A8"/>
    <w:rsid w:val="00650DD2"/>
    <w:rsid w:val="0065186E"/>
    <w:rsid w:val="00652F92"/>
    <w:rsid w:val="00655E26"/>
    <w:rsid w:val="006600FA"/>
    <w:rsid w:val="006710E8"/>
    <w:rsid w:val="00672C3C"/>
    <w:rsid w:val="00673458"/>
    <w:rsid w:val="006737C6"/>
    <w:rsid w:val="0067556F"/>
    <w:rsid w:val="00675FC0"/>
    <w:rsid w:val="00677492"/>
    <w:rsid w:val="00684465"/>
    <w:rsid w:val="00685B8F"/>
    <w:rsid w:val="0069182E"/>
    <w:rsid w:val="006948EF"/>
    <w:rsid w:val="006A347C"/>
    <w:rsid w:val="006A7B7E"/>
    <w:rsid w:val="006B197F"/>
    <w:rsid w:val="006B586B"/>
    <w:rsid w:val="006B6341"/>
    <w:rsid w:val="006C1DB5"/>
    <w:rsid w:val="006C2508"/>
    <w:rsid w:val="006C3116"/>
    <w:rsid w:val="006C363D"/>
    <w:rsid w:val="006C4A1C"/>
    <w:rsid w:val="006C786C"/>
    <w:rsid w:val="006D0722"/>
    <w:rsid w:val="006D351A"/>
    <w:rsid w:val="006D52A0"/>
    <w:rsid w:val="006D6235"/>
    <w:rsid w:val="006E1F67"/>
    <w:rsid w:val="006E402A"/>
    <w:rsid w:val="006E45B2"/>
    <w:rsid w:val="006E4632"/>
    <w:rsid w:val="006E58B9"/>
    <w:rsid w:val="006E7109"/>
    <w:rsid w:val="006E71A0"/>
    <w:rsid w:val="006F037B"/>
    <w:rsid w:val="006F4C6F"/>
    <w:rsid w:val="00703FC1"/>
    <w:rsid w:val="00705D1C"/>
    <w:rsid w:val="00707A50"/>
    <w:rsid w:val="007100A1"/>
    <w:rsid w:val="007103CF"/>
    <w:rsid w:val="00715DEB"/>
    <w:rsid w:val="00721E2C"/>
    <w:rsid w:val="00723637"/>
    <w:rsid w:val="00725074"/>
    <w:rsid w:val="007261F3"/>
    <w:rsid w:val="007357F3"/>
    <w:rsid w:val="00740D6F"/>
    <w:rsid w:val="00741026"/>
    <w:rsid w:val="00746B32"/>
    <w:rsid w:val="007517E7"/>
    <w:rsid w:val="00754112"/>
    <w:rsid w:val="00760A14"/>
    <w:rsid w:val="00766E7C"/>
    <w:rsid w:val="00773A50"/>
    <w:rsid w:val="00775A7E"/>
    <w:rsid w:val="0078146A"/>
    <w:rsid w:val="00797023"/>
    <w:rsid w:val="007A7326"/>
    <w:rsid w:val="007B0CB2"/>
    <w:rsid w:val="007C5039"/>
    <w:rsid w:val="007C7720"/>
    <w:rsid w:val="007D0ED2"/>
    <w:rsid w:val="007E1B54"/>
    <w:rsid w:val="007E2B87"/>
    <w:rsid w:val="007E483D"/>
    <w:rsid w:val="007E4E20"/>
    <w:rsid w:val="007F2730"/>
    <w:rsid w:val="007F2CB7"/>
    <w:rsid w:val="007F5612"/>
    <w:rsid w:val="007F590F"/>
    <w:rsid w:val="00801230"/>
    <w:rsid w:val="008034D5"/>
    <w:rsid w:val="008049E6"/>
    <w:rsid w:val="00810023"/>
    <w:rsid w:val="008116DA"/>
    <w:rsid w:val="00811F88"/>
    <w:rsid w:val="00812AF7"/>
    <w:rsid w:val="0081637F"/>
    <w:rsid w:val="008208DF"/>
    <w:rsid w:val="00827E08"/>
    <w:rsid w:val="008309FD"/>
    <w:rsid w:val="008311A9"/>
    <w:rsid w:val="00831D2B"/>
    <w:rsid w:val="00847102"/>
    <w:rsid w:val="0085114D"/>
    <w:rsid w:val="00853581"/>
    <w:rsid w:val="008615F8"/>
    <w:rsid w:val="00863011"/>
    <w:rsid w:val="00864242"/>
    <w:rsid w:val="00867806"/>
    <w:rsid w:val="00873416"/>
    <w:rsid w:val="00880E93"/>
    <w:rsid w:val="00883EA3"/>
    <w:rsid w:val="00884EB0"/>
    <w:rsid w:val="008930C2"/>
    <w:rsid w:val="008A1DCD"/>
    <w:rsid w:val="008A5DEF"/>
    <w:rsid w:val="008C00D9"/>
    <w:rsid w:val="008C183E"/>
    <w:rsid w:val="008C5842"/>
    <w:rsid w:val="008D07BE"/>
    <w:rsid w:val="008D2D81"/>
    <w:rsid w:val="008E0616"/>
    <w:rsid w:val="008E088F"/>
    <w:rsid w:val="008E5A96"/>
    <w:rsid w:val="008F1DF2"/>
    <w:rsid w:val="008F1EDB"/>
    <w:rsid w:val="008F359B"/>
    <w:rsid w:val="008F3EAC"/>
    <w:rsid w:val="008F76A0"/>
    <w:rsid w:val="008F7E34"/>
    <w:rsid w:val="00904130"/>
    <w:rsid w:val="00904452"/>
    <w:rsid w:val="0090615F"/>
    <w:rsid w:val="00915291"/>
    <w:rsid w:val="009154F4"/>
    <w:rsid w:val="00916599"/>
    <w:rsid w:val="009274B9"/>
    <w:rsid w:val="00936C51"/>
    <w:rsid w:val="00943BBF"/>
    <w:rsid w:val="0094457A"/>
    <w:rsid w:val="00946A01"/>
    <w:rsid w:val="00951AE3"/>
    <w:rsid w:val="009525B0"/>
    <w:rsid w:val="00961536"/>
    <w:rsid w:val="00964745"/>
    <w:rsid w:val="00964B8D"/>
    <w:rsid w:val="00970131"/>
    <w:rsid w:val="00972898"/>
    <w:rsid w:val="0097391D"/>
    <w:rsid w:val="00974477"/>
    <w:rsid w:val="00975F86"/>
    <w:rsid w:val="00977663"/>
    <w:rsid w:val="009811C2"/>
    <w:rsid w:val="00981F29"/>
    <w:rsid w:val="009853C3"/>
    <w:rsid w:val="009920A2"/>
    <w:rsid w:val="00994253"/>
    <w:rsid w:val="00994D95"/>
    <w:rsid w:val="00997429"/>
    <w:rsid w:val="009B43C1"/>
    <w:rsid w:val="009C1DC7"/>
    <w:rsid w:val="009C4EA2"/>
    <w:rsid w:val="009D1B52"/>
    <w:rsid w:val="009D3366"/>
    <w:rsid w:val="009D47FF"/>
    <w:rsid w:val="009D55A5"/>
    <w:rsid w:val="00A02B75"/>
    <w:rsid w:val="00A040C1"/>
    <w:rsid w:val="00A04BCD"/>
    <w:rsid w:val="00A10A81"/>
    <w:rsid w:val="00A11033"/>
    <w:rsid w:val="00A113A9"/>
    <w:rsid w:val="00A11F4C"/>
    <w:rsid w:val="00A17671"/>
    <w:rsid w:val="00A20B42"/>
    <w:rsid w:val="00A2188F"/>
    <w:rsid w:val="00A30CA9"/>
    <w:rsid w:val="00A32E7A"/>
    <w:rsid w:val="00A409ED"/>
    <w:rsid w:val="00A40DDF"/>
    <w:rsid w:val="00A450F2"/>
    <w:rsid w:val="00A4605A"/>
    <w:rsid w:val="00A4752B"/>
    <w:rsid w:val="00A54546"/>
    <w:rsid w:val="00A5690F"/>
    <w:rsid w:val="00A6051A"/>
    <w:rsid w:val="00A61093"/>
    <w:rsid w:val="00A62678"/>
    <w:rsid w:val="00A650B1"/>
    <w:rsid w:val="00A73BC4"/>
    <w:rsid w:val="00A91346"/>
    <w:rsid w:val="00A91A8B"/>
    <w:rsid w:val="00A92E8C"/>
    <w:rsid w:val="00A94645"/>
    <w:rsid w:val="00A96617"/>
    <w:rsid w:val="00AA3301"/>
    <w:rsid w:val="00AA62FD"/>
    <w:rsid w:val="00AA72ED"/>
    <w:rsid w:val="00AC2C21"/>
    <w:rsid w:val="00AC2CF7"/>
    <w:rsid w:val="00AC53C8"/>
    <w:rsid w:val="00AC7F6E"/>
    <w:rsid w:val="00AD2384"/>
    <w:rsid w:val="00AD7A46"/>
    <w:rsid w:val="00AE4E5A"/>
    <w:rsid w:val="00AE683D"/>
    <w:rsid w:val="00AE7579"/>
    <w:rsid w:val="00AF15ED"/>
    <w:rsid w:val="00AF431E"/>
    <w:rsid w:val="00AF4E16"/>
    <w:rsid w:val="00B03CBC"/>
    <w:rsid w:val="00B06DD0"/>
    <w:rsid w:val="00B20AA0"/>
    <w:rsid w:val="00B26A47"/>
    <w:rsid w:val="00B317FE"/>
    <w:rsid w:val="00B3297C"/>
    <w:rsid w:val="00B34EAF"/>
    <w:rsid w:val="00B3711D"/>
    <w:rsid w:val="00B37F01"/>
    <w:rsid w:val="00B54426"/>
    <w:rsid w:val="00B67699"/>
    <w:rsid w:val="00B77BD8"/>
    <w:rsid w:val="00B90351"/>
    <w:rsid w:val="00B91A62"/>
    <w:rsid w:val="00B93E68"/>
    <w:rsid w:val="00B94FA7"/>
    <w:rsid w:val="00B9632A"/>
    <w:rsid w:val="00BA172F"/>
    <w:rsid w:val="00BA29BE"/>
    <w:rsid w:val="00BB00DA"/>
    <w:rsid w:val="00BB1672"/>
    <w:rsid w:val="00BB2090"/>
    <w:rsid w:val="00BC4A94"/>
    <w:rsid w:val="00BC50DB"/>
    <w:rsid w:val="00BC5EB4"/>
    <w:rsid w:val="00BD123A"/>
    <w:rsid w:val="00BD45E8"/>
    <w:rsid w:val="00BD4DB5"/>
    <w:rsid w:val="00BD6125"/>
    <w:rsid w:val="00BF4F96"/>
    <w:rsid w:val="00BF5D2C"/>
    <w:rsid w:val="00BF6397"/>
    <w:rsid w:val="00BF6985"/>
    <w:rsid w:val="00C012EA"/>
    <w:rsid w:val="00C01B08"/>
    <w:rsid w:val="00C16072"/>
    <w:rsid w:val="00C204E3"/>
    <w:rsid w:val="00C20688"/>
    <w:rsid w:val="00C21A3F"/>
    <w:rsid w:val="00C22862"/>
    <w:rsid w:val="00C23F98"/>
    <w:rsid w:val="00C2420B"/>
    <w:rsid w:val="00C30BE9"/>
    <w:rsid w:val="00C31911"/>
    <w:rsid w:val="00C33654"/>
    <w:rsid w:val="00C34475"/>
    <w:rsid w:val="00C413E8"/>
    <w:rsid w:val="00C42003"/>
    <w:rsid w:val="00C453F1"/>
    <w:rsid w:val="00C47723"/>
    <w:rsid w:val="00C47CF1"/>
    <w:rsid w:val="00C51AB5"/>
    <w:rsid w:val="00C531EB"/>
    <w:rsid w:val="00C55FC1"/>
    <w:rsid w:val="00C65280"/>
    <w:rsid w:val="00C7091A"/>
    <w:rsid w:val="00C71E7B"/>
    <w:rsid w:val="00C74F4B"/>
    <w:rsid w:val="00C75F9E"/>
    <w:rsid w:val="00C80E6C"/>
    <w:rsid w:val="00C97118"/>
    <w:rsid w:val="00CA1C37"/>
    <w:rsid w:val="00CA3495"/>
    <w:rsid w:val="00CB1280"/>
    <w:rsid w:val="00CB31FA"/>
    <w:rsid w:val="00CB4507"/>
    <w:rsid w:val="00CB4DD4"/>
    <w:rsid w:val="00CB709F"/>
    <w:rsid w:val="00CB7C8E"/>
    <w:rsid w:val="00CC750F"/>
    <w:rsid w:val="00CD1CD3"/>
    <w:rsid w:val="00CD3E16"/>
    <w:rsid w:val="00CD7A6A"/>
    <w:rsid w:val="00CD7EF8"/>
    <w:rsid w:val="00CE4A8A"/>
    <w:rsid w:val="00CE6995"/>
    <w:rsid w:val="00CF1D02"/>
    <w:rsid w:val="00CF39F1"/>
    <w:rsid w:val="00CF4DD2"/>
    <w:rsid w:val="00D01E7C"/>
    <w:rsid w:val="00D050FE"/>
    <w:rsid w:val="00D14B2A"/>
    <w:rsid w:val="00D2167E"/>
    <w:rsid w:val="00D246E6"/>
    <w:rsid w:val="00D2525D"/>
    <w:rsid w:val="00D363AC"/>
    <w:rsid w:val="00D36961"/>
    <w:rsid w:val="00D370AC"/>
    <w:rsid w:val="00D46DE8"/>
    <w:rsid w:val="00D47E03"/>
    <w:rsid w:val="00D5075B"/>
    <w:rsid w:val="00D51D43"/>
    <w:rsid w:val="00D552B9"/>
    <w:rsid w:val="00D55632"/>
    <w:rsid w:val="00D57303"/>
    <w:rsid w:val="00D57686"/>
    <w:rsid w:val="00D5780B"/>
    <w:rsid w:val="00D60265"/>
    <w:rsid w:val="00D6148F"/>
    <w:rsid w:val="00D647FE"/>
    <w:rsid w:val="00D64AB5"/>
    <w:rsid w:val="00D655A5"/>
    <w:rsid w:val="00D67F2B"/>
    <w:rsid w:val="00D7037D"/>
    <w:rsid w:val="00D728B8"/>
    <w:rsid w:val="00D83544"/>
    <w:rsid w:val="00D9570E"/>
    <w:rsid w:val="00DA0870"/>
    <w:rsid w:val="00DA284B"/>
    <w:rsid w:val="00DB216C"/>
    <w:rsid w:val="00DB5E92"/>
    <w:rsid w:val="00DC28C2"/>
    <w:rsid w:val="00DC61BC"/>
    <w:rsid w:val="00DD0086"/>
    <w:rsid w:val="00DD2CDB"/>
    <w:rsid w:val="00DE545C"/>
    <w:rsid w:val="00DF1318"/>
    <w:rsid w:val="00DF2724"/>
    <w:rsid w:val="00DF7538"/>
    <w:rsid w:val="00E0246C"/>
    <w:rsid w:val="00E06FB1"/>
    <w:rsid w:val="00E236AD"/>
    <w:rsid w:val="00E237A0"/>
    <w:rsid w:val="00E27C08"/>
    <w:rsid w:val="00E344A0"/>
    <w:rsid w:val="00E35F20"/>
    <w:rsid w:val="00E407F9"/>
    <w:rsid w:val="00E420EB"/>
    <w:rsid w:val="00E44262"/>
    <w:rsid w:val="00E445C9"/>
    <w:rsid w:val="00E5155C"/>
    <w:rsid w:val="00E65134"/>
    <w:rsid w:val="00E65815"/>
    <w:rsid w:val="00E70E1F"/>
    <w:rsid w:val="00E7768A"/>
    <w:rsid w:val="00E8546A"/>
    <w:rsid w:val="00E9301A"/>
    <w:rsid w:val="00E9506D"/>
    <w:rsid w:val="00EA186F"/>
    <w:rsid w:val="00EA1FD3"/>
    <w:rsid w:val="00EB2B32"/>
    <w:rsid w:val="00EC040E"/>
    <w:rsid w:val="00EC0461"/>
    <w:rsid w:val="00EC0A8F"/>
    <w:rsid w:val="00EC3DE1"/>
    <w:rsid w:val="00EC72B9"/>
    <w:rsid w:val="00ED1D7E"/>
    <w:rsid w:val="00ED3EBE"/>
    <w:rsid w:val="00EE4689"/>
    <w:rsid w:val="00EF1DF5"/>
    <w:rsid w:val="00EF3E59"/>
    <w:rsid w:val="00F00027"/>
    <w:rsid w:val="00F14733"/>
    <w:rsid w:val="00F14CCD"/>
    <w:rsid w:val="00F16967"/>
    <w:rsid w:val="00F204CE"/>
    <w:rsid w:val="00F23161"/>
    <w:rsid w:val="00F325DB"/>
    <w:rsid w:val="00F358B6"/>
    <w:rsid w:val="00F377EC"/>
    <w:rsid w:val="00F50CA2"/>
    <w:rsid w:val="00F5162A"/>
    <w:rsid w:val="00F54362"/>
    <w:rsid w:val="00F54541"/>
    <w:rsid w:val="00F5475E"/>
    <w:rsid w:val="00F56108"/>
    <w:rsid w:val="00F60765"/>
    <w:rsid w:val="00F7113B"/>
    <w:rsid w:val="00F719D3"/>
    <w:rsid w:val="00F724B9"/>
    <w:rsid w:val="00F731CD"/>
    <w:rsid w:val="00F77492"/>
    <w:rsid w:val="00F808C5"/>
    <w:rsid w:val="00F81FE9"/>
    <w:rsid w:val="00F8382D"/>
    <w:rsid w:val="00F975EF"/>
    <w:rsid w:val="00FB1D62"/>
    <w:rsid w:val="00FB31B2"/>
    <w:rsid w:val="00FB45D1"/>
    <w:rsid w:val="00FB48F5"/>
    <w:rsid w:val="00FB5446"/>
    <w:rsid w:val="00FB623C"/>
    <w:rsid w:val="00FC0307"/>
    <w:rsid w:val="00FC3DC9"/>
    <w:rsid w:val="00FC7555"/>
    <w:rsid w:val="00FD26F8"/>
    <w:rsid w:val="00FD2AD7"/>
    <w:rsid w:val="00FE537E"/>
    <w:rsid w:val="00FE6A77"/>
    <w:rsid w:val="00FF0B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436D2"/>
  <w14:defaultImageDpi w14:val="32767"/>
  <w15:chartTrackingRefBased/>
  <w15:docId w15:val="{000B6E3D-06F9-404A-8BA0-DD00E7A3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6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686"/>
    <w:pPr>
      <w:ind w:left="720"/>
      <w:contextualSpacing/>
    </w:pPr>
  </w:style>
  <w:style w:type="character" w:styleId="Hyperlink">
    <w:name w:val="Hyperlink"/>
    <w:basedOn w:val="DefaultParagraphFont"/>
    <w:uiPriority w:val="99"/>
    <w:unhideWhenUsed/>
    <w:rsid w:val="00277FF7"/>
    <w:rPr>
      <w:color w:val="0563C1" w:themeColor="hyperlink"/>
      <w:u w:val="single"/>
    </w:rPr>
  </w:style>
  <w:style w:type="character" w:styleId="CommentReference">
    <w:name w:val="annotation reference"/>
    <w:basedOn w:val="DefaultParagraphFont"/>
    <w:uiPriority w:val="99"/>
    <w:semiHidden/>
    <w:unhideWhenUsed/>
    <w:rsid w:val="0069182E"/>
    <w:rPr>
      <w:sz w:val="16"/>
      <w:szCs w:val="16"/>
    </w:rPr>
  </w:style>
  <w:style w:type="paragraph" w:styleId="CommentText">
    <w:name w:val="annotation text"/>
    <w:basedOn w:val="Normal"/>
    <w:link w:val="CommentTextChar"/>
    <w:uiPriority w:val="99"/>
    <w:unhideWhenUsed/>
    <w:rsid w:val="0069182E"/>
    <w:rPr>
      <w:sz w:val="20"/>
      <w:szCs w:val="20"/>
    </w:rPr>
  </w:style>
  <w:style w:type="character" w:customStyle="1" w:styleId="CommentTextChar">
    <w:name w:val="Comment Text Char"/>
    <w:basedOn w:val="DefaultParagraphFont"/>
    <w:link w:val="CommentText"/>
    <w:uiPriority w:val="99"/>
    <w:rsid w:val="0069182E"/>
    <w:rPr>
      <w:sz w:val="20"/>
      <w:szCs w:val="20"/>
    </w:rPr>
  </w:style>
  <w:style w:type="paragraph" w:styleId="CommentSubject">
    <w:name w:val="annotation subject"/>
    <w:basedOn w:val="CommentText"/>
    <w:next w:val="CommentText"/>
    <w:link w:val="CommentSubjectChar"/>
    <w:uiPriority w:val="99"/>
    <w:semiHidden/>
    <w:unhideWhenUsed/>
    <w:rsid w:val="0069182E"/>
    <w:rPr>
      <w:b/>
      <w:bCs/>
    </w:rPr>
  </w:style>
  <w:style w:type="character" w:customStyle="1" w:styleId="CommentSubjectChar">
    <w:name w:val="Comment Subject Char"/>
    <w:basedOn w:val="CommentTextChar"/>
    <w:link w:val="CommentSubject"/>
    <w:uiPriority w:val="99"/>
    <w:semiHidden/>
    <w:rsid w:val="0069182E"/>
    <w:rPr>
      <w:b/>
      <w:bCs/>
      <w:sz w:val="20"/>
      <w:szCs w:val="20"/>
    </w:rPr>
  </w:style>
  <w:style w:type="paragraph" w:styleId="BalloonText">
    <w:name w:val="Balloon Text"/>
    <w:basedOn w:val="Normal"/>
    <w:link w:val="BalloonTextChar"/>
    <w:uiPriority w:val="99"/>
    <w:semiHidden/>
    <w:unhideWhenUsed/>
    <w:rsid w:val="006918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82E"/>
    <w:rPr>
      <w:rFonts w:ascii="Segoe UI" w:hAnsi="Segoe UI" w:cs="Segoe UI"/>
      <w:sz w:val="18"/>
      <w:szCs w:val="18"/>
    </w:rPr>
  </w:style>
  <w:style w:type="character" w:customStyle="1" w:styleId="apple-converted-space">
    <w:name w:val="apple-converted-space"/>
    <w:basedOn w:val="DefaultParagraphFont"/>
    <w:rsid w:val="00187E9C"/>
  </w:style>
  <w:style w:type="character" w:styleId="Emphasis">
    <w:name w:val="Emphasis"/>
    <w:basedOn w:val="DefaultParagraphFont"/>
    <w:uiPriority w:val="20"/>
    <w:qFormat/>
    <w:rsid w:val="00187E9C"/>
    <w:rPr>
      <w:i/>
      <w:iCs/>
    </w:rPr>
  </w:style>
  <w:style w:type="paragraph" w:styleId="Header">
    <w:name w:val="header"/>
    <w:basedOn w:val="Normal"/>
    <w:link w:val="HeaderChar"/>
    <w:uiPriority w:val="99"/>
    <w:unhideWhenUsed/>
    <w:rsid w:val="006C1DB5"/>
    <w:pPr>
      <w:tabs>
        <w:tab w:val="center" w:pos="4513"/>
        <w:tab w:val="right" w:pos="9026"/>
      </w:tabs>
    </w:pPr>
  </w:style>
  <w:style w:type="character" w:customStyle="1" w:styleId="HeaderChar">
    <w:name w:val="Header Char"/>
    <w:basedOn w:val="DefaultParagraphFont"/>
    <w:link w:val="Header"/>
    <w:uiPriority w:val="99"/>
    <w:rsid w:val="006C1DB5"/>
  </w:style>
  <w:style w:type="paragraph" w:styleId="Footer">
    <w:name w:val="footer"/>
    <w:basedOn w:val="Normal"/>
    <w:link w:val="FooterChar"/>
    <w:uiPriority w:val="99"/>
    <w:unhideWhenUsed/>
    <w:rsid w:val="006C1DB5"/>
    <w:pPr>
      <w:tabs>
        <w:tab w:val="center" w:pos="4513"/>
        <w:tab w:val="right" w:pos="9026"/>
      </w:tabs>
    </w:pPr>
  </w:style>
  <w:style w:type="character" w:customStyle="1" w:styleId="FooterChar">
    <w:name w:val="Footer Char"/>
    <w:basedOn w:val="DefaultParagraphFont"/>
    <w:link w:val="Footer"/>
    <w:uiPriority w:val="99"/>
    <w:rsid w:val="006C1DB5"/>
  </w:style>
  <w:style w:type="paragraph" w:styleId="Revision">
    <w:name w:val="Revision"/>
    <w:hidden/>
    <w:uiPriority w:val="99"/>
    <w:semiHidden/>
    <w:rsid w:val="00970131"/>
  </w:style>
  <w:style w:type="table" w:styleId="TableGrid">
    <w:name w:val="Table Grid"/>
    <w:basedOn w:val="TableNormal"/>
    <w:uiPriority w:val="39"/>
    <w:rsid w:val="002B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journal">
    <w:name w:val="ref-journal"/>
    <w:basedOn w:val="DefaultParagraphFont"/>
    <w:rsid w:val="002B7CF8"/>
  </w:style>
  <w:style w:type="character" w:customStyle="1" w:styleId="ref-vol">
    <w:name w:val="ref-vol"/>
    <w:basedOn w:val="DefaultParagraphFont"/>
    <w:rsid w:val="002B7CF8"/>
  </w:style>
  <w:style w:type="character" w:styleId="UnresolvedMention">
    <w:name w:val="Unresolved Mention"/>
    <w:basedOn w:val="DefaultParagraphFont"/>
    <w:uiPriority w:val="99"/>
    <w:semiHidden/>
    <w:unhideWhenUsed/>
    <w:rsid w:val="00936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08035">
      <w:bodyDiv w:val="1"/>
      <w:marLeft w:val="0"/>
      <w:marRight w:val="0"/>
      <w:marTop w:val="0"/>
      <w:marBottom w:val="0"/>
      <w:divBdr>
        <w:top w:val="none" w:sz="0" w:space="0" w:color="auto"/>
        <w:left w:val="none" w:sz="0" w:space="0" w:color="auto"/>
        <w:bottom w:val="none" w:sz="0" w:space="0" w:color="auto"/>
        <w:right w:val="none" w:sz="0" w:space="0" w:color="auto"/>
      </w:divBdr>
    </w:div>
    <w:div w:id="1982422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FA97F-18DA-4009-A81F-69AA86EB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5440</Words>
  <Characters>31009</Characters>
  <Application>Microsoft Office Word</Application>
  <DocSecurity>0</DocSecurity>
  <Lines>258</Lines>
  <Paragraphs>72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Thomas</dc:creator>
  <cp:keywords/>
  <dc:description/>
  <cp:lastModifiedBy>Kim Bull</cp:lastModifiedBy>
  <cp:revision>2</cp:revision>
  <dcterms:created xsi:type="dcterms:W3CDTF">2022-12-15T12:22:00Z</dcterms:created>
  <dcterms:modified xsi:type="dcterms:W3CDTF">2022-12-15T12:22:00Z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http://csl.mendeley.com/styles/9771361/american-medical-association</vt:lpwstr>
  </property>
  <property fmtid="{D5CDD505-2E9C-101B-9397-08002B2CF9AE}" pid="5" name="Mendeley Recent Style Name 1_1">
    <vt:lpwstr>American Medical Association 11th edition - Sophie Thomas</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c093d496-b750-373e-948e-29b38f60cca2</vt:lpwstr>
  </property>
  <property fmtid="{D5CDD505-2E9C-101B-9397-08002B2CF9AE}" pid="24" name="Mendeley Citation Style_1">
    <vt:lpwstr>http://csl.mendeley.com/styles/9771361/american-medical-association</vt:lpwstr>
  </property>
</Properties>
</file>