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5D154" w14:textId="591501A4" w:rsidR="00D508D8" w:rsidRPr="005927F3" w:rsidRDefault="00941841" w:rsidP="005927F3">
      <w:pPr>
        <w:pStyle w:val="ListParagraph"/>
        <w:spacing w:after="0" w:line="240" w:lineRule="auto"/>
        <w:ind w:left="0"/>
        <w:jc w:val="both"/>
      </w:pPr>
      <w:r w:rsidRPr="005927F3">
        <w:rPr>
          <w:rFonts w:cstheme="minorHAnsi"/>
          <w:b/>
          <w:sz w:val="32"/>
          <w:szCs w:val="32"/>
        </w:rPr>
        <w:t xml:space="preserve">Data Protection Law </w:t>
      </w:r>
      <w:r w:rsidR="00933964" w:rsidRPr="005927F3">
        <w:rPr>
          <w:rFonts w:cstheme="minorHAnsi"/>
          <w:b/>
          <w:sz w:val="32"/>
          <w:szCs w:val="32"/>
        </w:rPr>
        <w:t>Revealed</w:t>
      </w:r>
      <w:r w:rsidR="005F1779" w:rsidRPr="005927F3">
        <w:rPr>
          <w:rFonts w:cstheme="minorHAnsi"/>
          <w:b/>
          <w:sz w:val="32"/>
          <w:szCs w:val="32"/>
        </w:rPr>
        <w:t>:</w:t>
      </w:r>
      <w:r w:rsidRPr="005927F3">
        <w:rPr>
          <w:rFonts w:cstheme="minorHAnsi"/>
          <w:b/>
          <w:sz w:val="32"/>
          <w:szCs w:val="32"/>
        </w:rPr>
        <w:t xml:space="preserve"> </w:t>
      </w:r>
      <w:r w:rsidR="00EA0533" w:rsidRPr="005927F3">
        <w:rPr>
          <w:rFonts w:cstheme="minorHAnsi"/>
          <w:b/>
          <w:sz w:val="32"/>
          <w:szCs w:val="32"/>
        </w:rPr>
        <w:t>The</w:t>
      </w:r>
      <w:r w:rsidRPr="005927F3">
        <w:rPr>
          <w:rFonts w:cstheme="minorHAnsi"/>
          <w:b/>
          <w:sz w:val="32"/>
          <w:szCs w:val="32"/>
        </w:rPr>
        <w:t xml:space="preserve"> Right to be Forgotten </w:t>
      </w:r>
      <w:r w:rsidR="00904277" w:rsidRPr="005927F3">
        <w:rPr>
          <w:rFonts w:cstheme="minorHAnsi"/>
          <w:b/>
          <w:sz w:val="32"/>
          <w:szCs w:val="32"/>
        </w:rPr>
        <w:t>and</w:t>
      </w:r>
      <w:r w:rsidR="005F1779" w:rsidRPr="005927F3">
        <w:rPr>
          <w:rFonts w:cstheme="minorHAnsi"/>
          <w:b/>
          <w:sz w:val="32"/>
          <w:szCs w:val="32"/>
        </w:rPr>
        <w:t xml:space="preserve"> </w:t>
      </w:r>
      <w:r w:rsidR="00EA0533">
        <w:rPr>
          <w:rFonts w:cstheme="minorHAnsi"/>
          <w:b/>
          <w:sz w:val="32"/>
          <w:szCs w:val="32"/>
        </w:rPr>
        <w:t>T</w:t>
      </w:r>
      <w:r w:rsidRPr="005927F3">
        <w:rPr>
          <w:rFonts w:cstheme="minorHAnsi"/>
          <w:b/>
          <w:sz w:val="32"/>
          <w:szCs w:val="32"/>
        </w:rPr>
        <w:t>wo Western</w:t>
      </w:r>
      <w:r w:rsidR="002069D7" w:rsidRPr="005927F3">
        <w:rPr>
          <w:rFonts w:cstheme="minorHAnsi"/>
          <w:b/>
          <w:sz w:val="32"/>
          <w:szCs w:val="32"/>
        </w:rPr>
        <w:t xml:space="preserve"> Cultures of</w:t>
      </w:r>
      <w:r w:rsidRPr="005927F3">
        <w:rPr>
          <w:rFonts w:cstheme="minorHAnsi"/>
          <w:b/>
          <w:sz w:val="32"/>
          <w:szCs w:val="32"/>
        </w:rPr>
        <w:t xml:space="preserve"> </w:t>
      </w:r>
      <w:r w:rsidR="000C2B4A" w:rsidRPr="005927F3">
        <w:rPr>
          <w:rFonts w:cstheme="minorHAnsi"/>
          <w:b/>
          <w:sz w:val="32"/>
          <w:szCs w:val="32"/>
        </w:rPr>
        <w:t>P</w:t>
      </w:r>
      <w:r w:rsidR="000E2E30" w:rsidRPr="005927F3">
        <w:rPr>
          <w:rFonts w:cstheme="minorHAnsi"/>
          <w:b/>
          <w:sz w:val="32"/>
          <w:szCs w:val="32"/>
        </w:rPr>
        <w:t>rivacy</w:t>
      </w:r>
      <w:r w:rsidR="00413BF2" w:rsidRPr="005927F3">
        <w:rPr>
          <w:rFonts w:cstheme="minorHAnsi"/>
          <w:b/>
          <w:sz w:val="32"/>
          <w:szCs w:val="32"/>
        </w:rPr>
        <w:t xml:space="preserve"> </w:t>
      </w:r>
    </w:p>
    <w:p w14:paraId="584DA285" w14:textId="77777777" w:rsidR="007443DD" w:rsidRPr="005927F3" w:rsidRDefault="007443DD" w:rsidP="008B308D">
      <w:pPr>
        <w:spacing w:after="0" w:line="240" w:lineRule="auto"/>
        <w:rPr>
          <w:rFonts w:cstheme="minorHAnsi"/>
          <w:sz w:val="24"/>
          <w:szCs w:val="24"/>
        </w:rPr>
      </w:pPr>
    </w:p>
    <w:p w14:paraId="1FBDA4C8" w14:textId="199F1CB4" w:rsidR="00412B39" w:rsidRPr="005927F3" w:rsidRDefault="00AF5513" w:rsidP="008E1AD5">
      <w:pPr>
        <w:spacing w:after="0" w:line="240" w:lineRule="auto"/>
        <w:rPr>
          <w:rFonts w:cstheme="minorHAnsi"/>
          <w:b/>
          <w:sz w:val="24"/>
          <w:szCs w:val="24"/>
          <w:u w:val="single"/>
        </w:rPr>
      </w:pPr>
      <w:r w:rsidRPr="005927F3">
        <w:rPr>
          <w:rFonts w:cstheme="minorHAnsi"/>
          <w:b/>
          <w:sz w:val="24"/>
          <w:szCs w:val="24"/>
          <w:u w:val="single"/>
        </w:rPr>
        <w:t>Abstract</w:t>
      </w:r>
    </w:p>
    <w:p w14:paraId="081CEA1B" w14:textId="77777777" w:rsidR="00DA2D96" w:rsidRPr="005927F3" w:rsidRDefault="00DA2D96" w:rsidP="008E1AD5">
      <w:pPr>
        <w:spacing w:after="0" w:line="240" w:lineRule="auto"/>
        <w:rPr>
          <w:rFonts w:cstheme="minorHAnsi"/>
          <w:sz w:val="24"/>
          <w:szCs w:val="24"/>
        </w:rPr>
      </w:pPr>
    </w:p>
    <w:p w14:paraId="3D69BE3F" w14:textId="0CE817D2" w:rsidR="001B030B" w:rsidRPr="005927F3" w:rsidRDefault="00DA2D96" w:rsidP="005927F3">
      <w:pPr>
        <w:spacing w:after="0" w:line="240" w:lineRule="auto"/>
        <w:jc w:val="both"/>
        <w:rPr>
          <w:rFonts w:cstheme="minorHAnsi"/>
          <w:sz w:val="24"/>
          <w:szCs w:val="24"/>
        </w:rPr>
      </w:pPr>
      <w:r w:rsidRPr="005927F3">
        <w:rPr>
          <w:rFonts w:cstheme="minorHAnsi"/>
          <w:sz w:val="24"/>
          <w:szCs w:val="24"/>
        </w:rPr>
        <w:t xml:space="preserve">Data protection law has emerged as an important bulwark against online privacy intrusions, and yet its status within privacy law, or more narrowly information privacy, remains awkward. </w:t>
      </w:r>
      <w:r w:rsidR="00BD3A7A" w:rsidRPr="005927F3">
        <w:rPr>
          <w:rFonts w:cstheme="minorHAnsi"/>
          <w:sz w:val="24"/>
          <w:szCs w:val="24"/>
        </w:rPr>
        <w:t>Its starting point of protecting</w:t>
      </w:r>
      <w:r w:rsidRPr="005927F3">
        <w:rPr>
          <w:rFonts w:cstheme="minorHAnsi"/>
          <w:sz w:val="24"/>
          <w:szCs w:val="24"/>
        </w:rPr>
        <w:t xml:space="preserve"> ‘personal’ information rather than ‘private’ information</w:t>
      </w:r>
      <w:r w:rsidR="00BD3A7A" w:rsidRPr="005927F3">
        <w:rPr>
          <w:rFonts w:cstheme="minorHAnsi"/>
          <w:sz w:val="24"/>
          <w:szCs w:val="24"/>
        </w:rPr>
        <w:t xml:space="preserve"> puts it at odds with privacy more generally</w:t>
      </w:r>
      <w:r w:rsidRPr="005927F3">
        <w:rPr>
          <w:rFonts w:cstheme="minorHAnsi"/>
          <w:sz w:val="24"/>
          <w:szCs w:val="24"/>
        </w:rPr>
        <w:t xml:space="preserve">. </w:t>
      </w:r>
      <w:proofErr w:type="gramStart"/>
      <w:r w:rsidR="00BD3A7A" w:rsidRPr="005927F3">
        <w:rPr>
          <w:rFonts w:cstheme="minorHAnsi"/>
          <w:sz w:val="24"/>
          <w:szCs w:val="24"/>
        </w:rPr>
        <w:t>I</w:t>
      </w:r>
      <w:r w:rsidRPr="005927F3">
        <w:rPr>
          <w:rFonts w:cstheme="minorHAnsi"/>
          <w:sz w:val="24"/>
          <w:szCs w:val="24"/>
        </w:rPr>
        <w:t>ndeed</w:t>
      </w:r>
      <w:proofErr w:type="gramEnd"/>
      <w:r w:rsidRPr="005927F3">
        <w:rPr>
          <w:rFonts w:cstheme="minorHAnsi"/>
          <w:sz w:val="24"/>
          <w:szCs w:val="24"/>
        </w:rPr>
        <w:t xml:space="preserve"> i</w:t>
      </w:r>
      <w:r w:rsidR="00BD3A7A" w:rsidRPr="005927F3">
        <w:rPr>
          <w:rFonts w:cstheme="minorHAnsi"/>
          <w:sz w:val="24"/>
          <w:szCs w:val="24"/>
        </w:rPr>
        <w:t xml:space="preserve">n its very </w:t>
      </w:r>
      <w:r w:rsidRPr="005927F3">
        <w:rPr>
          <w:rFonts w:cstheme="minorHAnsi"/>
          <w:sz w:val="24"/>
          <w:szCs w:val="24"/>
        </w:rPr>
        <w:t>design</w:t>
      </w:r>
      <w:r w:rsidR="00BD3A7A" w:rsidRPr="005927F3">
        <w:rPr>
          <w:rFonts w:cstheme="minorHAnsi"/>
          <w:sz w:val="24"/>
          <w:szCs w:val="24"/>
        </w:rPr>
        <w:t xml:space="preserve"> </w:t>
      </w:r>
      <w:r w:rsidR="000321A3" w:rsidRPr="005927F3">
        <w:rPr>
          <w:rFonts w:cstheme="minorHAnsi"/>
          <w:sz w:val="24"/>
          <w:szCs w:val="24"/>
        </w:rPr>
        <w:t>it</w:t>
      </w:r>
      <w:r w:rsidRPr="005927F3">
        <w:rPr>
          <w:rFonts w:cstheme="minorHAnsi"/>
          <w:sz w:val="24"/>
          <w:szCs w:val="24"/>
        </w:rPr>
        <w:t xml:space="preserve"> </w:t>
      </w:r>
      <w:r w:rsidR="00BD3A7A" w:rsidRPr="005927F3">
        <w:rPr>
          <w:rFonts w:cstheme="minorHAnsi"/>
          <w:sz w:val="24"/>
          <w:szCs w:val="24"/>
        </w:rPr>
        <w:t>cater</w:t>
      </w:r>
      <w:r w:rsidR="000321A3" w:rsidRPr="005927F3">
        <w:rPr>
          <w:rFonts w:cstheme="minorHAnsi"/>
          <w:sz w:val="24"/>
          <w:szCs w:val="24"/>
        </w:rPr>
        <w:t>s</w:t>
      </w:r>
      <w:r w:rsidR="00BD3A7A" w:rsidRPr="005927F3">
        <w:rPr>
          <w:rFonts w:cstheme="minorHAnsi"/>
          <w:sz w:val="24"/>
          <w:szCs w:val="24"/>
        </w:rPr>
        <w:t xml:space="preserve"> for</w:t>
      </w:r>
      <w:r w:rsidRPr="005927F3">
        <w:rPr>
          <w:rFonts w:cstheme="minorHAnsi"/>
          <w:sz w:val="24"/>
          <w:szCs w:val="24"/>
        </w:rPr>
        <w:t xml:space="preserve"> public personal information, or personal information which has attained </w:t>
      </w:r>
      <w:r w:rsidRPr="005927F3">
        <w:rPr>
          <w:rFonts w:cstheme="minorHAnsi"/>
          <w:i/>
          <w:iCs/>
          <w:sz w:val="24"/>
          <w:szCs w:val="24"/>
        </w:rPr>
        <w:t xml:space="preserve">some </w:t>
      </w:r>
      <w:r w:rsidRPr="005927F3">
        <w:rPr>
          <w:rFonts w:cstheme="minorHAnsi"/>
          <w:sz w:val="24"/>
          <w:szCs w:val="24"/>
        </w:rPr>
        <w:t xml:space="preserve">publicness through </w:t>
      </w:r>
      <w:r w:rsidR="00BD3A7A" w:rsidRPr="005927F3">
        <w:rPr>
          <w:rFonts w:cstheme="minorHAnsi"/>
          <w:i/>
          <w:iCs/>
          <w:sz w:val="24"/>
          <w:szCs w:val="24"/>
        </w:rPr>
        <w:t>some</w:t>
      </w:r>
      <w:r w:rsidRPr="005927F3">
        <w:rPr>
          <w:rFonts w:cstheme="minorHAnsi"/>
          <w:sz w:val="24"/>
          <w:szCs w:val="24"/>
        </w:rPr>
        <w:t xml:space="preserve"> disclosure. This paper argues that data protection law is not the odd bedfellow of traditional privacy law properly so called but</w:t>
      </w:r>
      <w:r w:rsidR="00BD3A7A" w:rsidRPr="005927F3">
        <w:rPr>
          <w:rFonts w:cstheme="minorHAnsi"/>
          <w:sz w:val="24"/>
          <w:szCs w:val="24"/>
        </w:rPr>
        <w:t xml:space="preserve"> may be understood as a</w:t>
      </w:r>
      <w:r w:rsidR="00EF15E7" w:rsidRPr="005927F3">
        <w:rPr>
          <w:rFonts w:cstheme="minorHAnsi"/>
          <w:sz w:val="24"/>
          <w:szCs w:val="24"/>
        </w:rPr>
        <w:t xml:space="preserve"> </w:t>
      </w:r>
      <w:r w:rsidR="00BD3A7A" w:rsidRPr="005927F3">
        <w:rPr>
          <w:rFonts w:cstheme="minorHAnsi"/>
          <w:sz w:val="24"/>
          <w:szCs w:val="24"/>
        </w:rPr>
        <w:t xml:space="preserve">manifestation of </w:t>
      </w:r>
      <w:r w:rsidRPr="005927F3">
        <w:rPr>
          <w:rFonts w:cstheme="minorHAnsi"/>
          <w:sz w:val="24"/>
          <w:szCs w:val="24"/>
        </w:rPr>
        <w:t xml:space="preserve">Continental European </w:t>
      </w:r>
      <w:r w:rsidR="00663F05" w:rsidRPr="005927F3">
        <w:rPr>
          <w:rFonts w:cstheme="minorHAnsi"/>
          <w:sz w:val="24"/>
          <w:szCs w:val="24"/>
        </w:rPr>
        <w:t>culture</w:t>
      </w:r>
      <w:r w:rsidRPr="005927F3">
        <w:rPr>
          <w:rFonts w:cstheme="minorHAnsi"/>
          <w:sz w:val="24"/>
          <w:szCs w:val="24"/>
        </w:rPr>
        <w:t xml:space="preserve"> of privacy. Its distinctiveness does not lie in its apparent technicality but in its</w:t>
      </w:r>
      <w:r w:rsidR="00BD3A7A" w:rsidRPr="005927F3">
        <w:rPr>
          <w:rFonts w:cstheme="minorHAnsi"/>
          <w:sz w:val="24"/>
          <w:szCs w:val="24"/>
        </w:rPr>
        <w:t xml:space="preserve"> robust</w:t>
      </w:r>
      <w:r w:rsidRPr="005927F3">
        <w:rPr>
          <w:rFonts w:cstheme="minorHAnsi"/>
          <w:sz w:val="24"/>
          <w:szCs w:val="24"/>
        </w:rPr>
        <w:t xml:space="preserve"> openness to privacy-in-public</w:t>
      </w:r>
      <w:r w:rsidR="000051C7" w:rsidRPr="005927F3">
        <w:rPr>
          <w:rFonts w:cstheme="minorHAnsi"/>
          <w:sz w:val="24"/>
          <w:szCs w:val="24"/>
        </w:rPr>
        <w:t xml:space="preserve">, which puts it on a collision course with </w:t>
      </w:r>
      <w:r w:rsidR="007C6747" w:rsidRPr="005927F3">
        <w:rPr>
          <w:rFonts w:cstheme="minorHAnsi"/>
          <w:sz w:val="24"/>
          <w:szCs w:val="24"/>
        </w:rPr>
        <w:t xml:space="preserve">the </w:t>
      </w:r>
      <w:r w:rsidR="00904277" w:rsidRPr="005927F3">
        <w:rPr>
          <w:rFonts w:cstheme="minorHAnsi"/>
          <w:sz w:val="24"/>
          <w:szCs w:val="24"/>
        </w:rPr>
        <w:t>Anglo-American culture of privacy.</w:t>
      </w:r>
      <w:r w:rsidRPr="005927F3">
        <w:rPr>
          <w:rFonts w:cstheme="minorHAnsi"/>
          <w:sz w:val="24"/>
          <w:szCs w:val="24"/>
        </w:rPr>
        <w:t xml:space="preserve"> The discussion builds, </w:t>
      </w:r>
      <w:r w:rsidR="001B030B" w:rsidRPr="005927F3">
        <w:rPr>
          <w:rFonts w:cstheme="minorHAnsi"/>
          <w:sz w:val="24"/>
          <w:szCs w:val="24"/>
        </w:rPr>
        <w:t xml:space="preserve">with some </w:t>
      </w:r>
      <w:r w:rsidRPr="005927F3">
        <w:rPr>
          <w:rFonts w:cstheme="minorHAnsi"/>
          <w:sz w:val="24"/>
          <w:szCs w:val="24"/>
        </w:rPr>
        <w:t xml:space="preserve">critical interjection, on James Whitman’s comparative privacy study, which situates American privacy culture in the </w:t>
      </w:r>
      <w:r w:rsidRPr="005927F3">
        <w:rPr>
          <w:rFonts w:cstheme="minorHAnsi"/>
          <w:i/>
          <w:iCs/>
          <w:sz w:val="24"/>
          <w:szCs w:val="24"/>
        </w:rPr>
        <w:t>literal ‘inner space’ of the home</w:t>
      </w:r>
      <w:r w:rsidRPr="005927F3">
        <w:rPr>
          <w:rFonts w:cstheme="minorHAnsi"/>
          <w:sz w:val="24"/>
          <w:szCs w:val="24"/>
        </w:rPr>
        <w:t xml:space="preserve"> (building on English common law roots) and Continental European privacy culture in a </w:t>
      </w:r>
      <w:r w:rsidRPr="005927F3">
        <w:rPr>
          <w:rFonts w:cstheme="minorHAnsi"/>
          <w:i/>
          <w:iCs/>
          <w:sz w:val="24"/>
          <w:szCs w:val="24"/>
        </w:rPr>
        <w:t>metaphorical ‘inner space’ in public</w:t>
      </w:r>
      <w:r w:rsidRPr="005927F3">
        <w:rPr>
          <w:rFonts w:cstheme="minorHAnsi"/>
          <w:sz w:val="24"/>
          <w:szCs w:val="24"/>
        </w:rPr>
        <w:t xml:space="preserve">. The latter, but not the former, culture recognises privacy-in-public. Whilst these </w:t>
      </w:r>
      <w:r w:rsidR="00663F05" w:rsidRPr="005927F3">
        <w:rPr>
          <w:rFonts w:cstheme="minorHAnsi"/>
          <w:sz w:val="24"/>
          <w:szCs w:val="24"/>
        </w:rPr>
        <w:t>cultures</w:t>
      </w:r>
      <w:r w:rsidRPr="005927F3">
        <w:rPr>
          <w:rFonts w:cstheme="minorHAnsi"/>
          <w:sz w:val="24"/>
          <w:szCs w:val="24"/>
        </w:rPr>
        <w:t xml:space="preserve"> have long ‘met’ in different jurisdiction</w:t>
      </w:r>
      <w:r w:rsidR="001B030B" w:rsidRPr="005927F3">
        <w:rPr>
          <w:rFonts w:cstheme="minorHAnsi"/>
          <w:sz w:val="24"/>
          <w:szCs w:val="24"/>
        </w:rPr>
        <w:t>s</w:t>
      </w:r>
      <w:r w:rsidRPr="005927F3">
        <w:rPr>
          <w:rFonts w:cstheme="minorHAnsi"/>
          <w:sz w:val="24"/>
          <w:szCs w:val="24"/>
        </w:rPr>
        <w:t xml:space="preserve">, this paper locates their enduring influence </w:t>
      </w:r>
      <w:r w:rsidRPr="005927F3">
        <w:rPr>
          <w:rFonts w:cstheme="minorHAnsi"/>
          <w:i/>
          <w:iCs/>
          <w:sz w:val="24"/>
          <w:szCs w:val="24"/>
        </w:rPr>
        <w:t>and</w:t>
      </w:r>
      <w:r w:rsidRPr="005927F3">
        <w:rPr>
          <w:rFonts w:cstheme="minorHAnsi"/>
          <w:sz w:val="24"/>
          <w:szCs w:val="24"/>
        </w:rPr>
        <w:t xml:space="preserve"> antagonism within three contemporary privacy regimes. </w:t>
      </w:r>
      <w:r w:rsidR="004D7911" w:rsidRPr="005927F3">
        <w:rPr>
          <w:rFonts w:cstheme="minorHAnsi"/>
          <w:sz w:val="24"/>
          <w:szCs w:val="24"/>
        </w:rPr>
        <w:t xml:space="preserve">More specifically, by taking the right to be forgotten </w:t>
      </w:r>
      <w:r w:rsidR="00EF15E7" w:rsidRPr="005927F3">
        <w:rPr>
          <w:rFonts w:cstheme="minorHAnsi"/>
          <w:sz w:val="24"/>
          <w:szCs w:val="24"/>
        </w:rPr>
        <w:t xml:space="preserve">- </w:t>
      </w:r>
      <w:r w:rsidR="004D7911" w:rsidRPr="005927F3">
        <w:rPr>
          <w:rFonts w:cstheme="minorHAnsi"/>
          <w:sz w:val="24"/>
          <w:szCs w:val="24"/>
        </w:rPr>
        <w:t>as a</w:t>
      </w:r>
      <w:r w:rsidR="00A9062E" w:rsidRPr="005927F3">
        <w:rPr>
          <w:rFonts w:cstheme="minorHAnsi"/>
          <w:sz w:val="24"/>
          <w:szCs w:val="24"/>
        </w:rPr>
        <w:t xml:space="preserve">n </w:t>
      </w:r>
      <w:r w:rsidR="004D7911" w:rsidRPr="005927F3">
        <w:rPr>
          <w:rFonts w:cstheme="minorHAnsi"/>
          <w:sz w:val="24"/>
          <w:szCs w:val="24"/>
        </w:rPr>
        <w:t>archetypal</w:t>
      </w:r>
      <w:r w:rsidR="00EF15E7" w:rsidRPr="005927F3">
        <w:rPr>
          <w:rFonts w:cstheme="minorHAnsi"/>
          <w:sz w:val="24"/>
          <w:szCs w:val="24"/>
        </w:rPr>
        <w:t xml:space="preserve"> </w:t>
      </w:r>
      <w:r w:rsidR="004D7911" w:rsidRPr="005927F3">
        <w:rPr>
          <w:rFonts w:cstheme="minorHAnsi"/>
          <w:sz w:val="24"/>
          <w:szCs w:val="24"/>
        </w:rPr>
        <w:t>right of privacy</w:t>
      </w:r>
      <w:r w:rsidR="00663F05" w:rsidRPr="005927F3">
        <w:rPr>
          <w:rFonts w:cstheme="minorHAnsi"/>
          <w:sz w:val="24"/>
          <w:szCs w:val="24"/>
        </w:rPr>
        <w:t>-in-</w:t>
      </w:r>
      <w:r w:rsidR="004D7911" w:rsidRPr="005927F3">
        <w:rPr>
          <w:rFonts w:cstheme="minorHAnsi"/>
          <w:sz w:val="24"/>
          <w:szCs w:val="24"/>
        </w:rPr>
        <w:t>public in the challenging context of spent convictions</w:t>
      </w:r>
      <w:r w:rsidR="00EF15E7" w:rsidRPr="005927F3">
        <w:rPr>
          <w:rFonts w:cstheme="minorHAnsi"/>
          <w:sz w:val="24"/>
          <w:szCs w:val="24"/>
        </w:rPr>
        <w:t xml:space="preserve"> -</w:t>
      </w:r>
      <w:r w:rsidR="004D7911" w:rsidRPr="005927F3">
        <w:rPr>
          <w:rFonts w:cstheme="minorHAnsi"/>
          <w:sz w:val="24"/>
          <w:szCs w:val="24"/>
        </w:rPr>
        <w:t xml:space="preserve"> the article gauges the comparative openness to such claims: </w:t>
      </w:r>
      <w:r w:rsidRPr="005927F3">
        <w:rPr>
          <w:rFonts w:cstheme="minorHAnsi"/>
          <w:sz w:val="24"/>
          <w:szCs w:val="24"/>
        </w:rPr>
        <w:t xml:space="preserve">(1) by the CJEU as the authoritative voice on GDPR normativity, (2) by the US judiciary as committed to the First and Fourth Amendment, and (3) by the Strasbourg Court on Art 8 of the ECHR and its fused Anglo-American and Continental European privacy jurisprudence. It is the latter jurisprudence </w:t>
      </w:r>
      <w:proofErr w:type="gramStart"/>
      <w:r w:rsidRPr="005927F3">
        <w:rPr>
          <w:rFonts w:cstheme="minorHAnsi"/>
          <w:sz w:val="24"/>
          <w:szCs w:val="24"/>
        </w:rPr>
        <w:t>in particular that</w:t>
      </w:r>
      <w:proofErr w:type="gramEnd"/>
      <w:r w:rsidRPr="005927F3">
        <w:rPr>
          <w:rFonts w:cstheme="minorHAnsi"/>
          <w:sz w:val="24"/>
          <w:szCs w:val="24"/>
        </w:rPr>
        <w:t xml:space="preserve"> highlights the tensions arising from trying to marry the two privacy traditions, </w:t>
      </w:r>
      <w:r w:rsidR="005F1779" w:rsidRPr="005927F3">
        <w:rPr>
          <w:rFonts w:cstheme="minorHAnsi"/>
          <w:sz w:val="24"/>
          <w:szCs w:val="24"/>
        </w:rPr>
        <w:t>or</w:t>
      </w:r>
      <w:r w:rsidR="001B030B" w:rsidRPr="005927F3">
        <w:rPr>
          <w:rFonts w:cstheme="minorHAnsi"/>
          <w:sz w:val="24"/>
          <w:szCs w:val="24"/>
        </w:rPr>
        <w:t xml:space="preserve"> </w:t>
      </w:r>
      <w:r w:rsidRPr="005927F3">
        <w:rPr>
          <w:rFonts w:cstheme="minorHAnsi"/>
          <w:sz w:val="24"/>
          <w:szCs w:val="24"/>
        </w:rPr>
        <w:t>merg</w:t>
      </w:r>
      <w:r w:rsidR="001B030B" w:rsidRPr="005927F3">
        <w:rPr>
          <w:rFonts w:cstheme="minorHAnsi"/>
          <w:sz w:val="24"/>
          <w:szCs w:val="24"/>
        </w:rPr>
        <w:t>e</w:t>
      </w:r>
      <w:r w:rsidRPr="005927F3">
        <w:rPr>
          <w:rFonts w:cstheme="minorHAnsi"/>
          <w:sz w:val="24"/>
          <w:szCs w:val="24"/>
        </w:rPr>
        <w:t xml:space="preserve"> data protection and ‘privacy’ law. Yet those very tensions also offer</w:t>
      </w:r>
      <w:r w:rsidR="00883803" w:rsidRPr="005927F3">
        <w:rPr>
          <w:rFonts w:cstheme="minorHAnsi"/>
          <w:sz w:val="24"/>
          <w:szCs w:val="24"/>
        </w:rPr>
        <w:t>,</w:t>
      </w:r>
      <w:r w:rsidRPr="005927F3">
        <w:rPr>
          <w:rFonts w:cstheme="minorHAnsi"/>
          <w:sz w:val="24"/>
          <w:szCs w:val="24"/>
        </w:rPr>
        <w:t xml:space="preserve"> as encounters with the ‘Other’</w:t>
      </w:r>
      <w:r w:rsidR="00883803" w:rsidRPr="005927F3">
        <w:rPr>
          <w:rFonts w:cstheme="minorHAnsi"/>
          <w:sz w:val="24"/>
          <w:szCs w:val="24"/>
        </w:rPr>
        <w:t>,</w:t>
      </w:r>
      <w:r w:rsidRPr="005927F3">
        <w:rPr>
          <w:rFonts w:cstheme="minorHAnsi"/>
          <w:sz w:val="24"/>
          <w:szCs w:val="24"/>
        </w:rPr>
        <w:t xml:space="preserve"> insights and opportunities.  </w:t>
      </w:r>
    </w:p>
    <w:p w14:paraId="35DF2B40" w14:textId="77777777" w:rsidR="00B77D72" w:rsidRPr="005927F3" w:rsidRDefault="00B77D72" w:rsidP="008B308D">
      <w:pPr>
        <w:spacing w:after="0" w:line="240" w:lineRule="auto"/>
        <w:jc w:val="both"/>
        <w:rPr>
          <w:rFonts w:cstheme="minorHAnsi"/>
          <w:sz w:val="24"/>
          <w:szCs w:val="24"/>
        </w:rPr>
      </w:pPr>
    </w:p>
    <w:p w14:paraId="4D8AFA36" w14:textId="77777777" w:rsidR="006615C5" w:rsidRPr="005927F3" w:rsidRDefault="00AF5513" w:rsidP="008B308D">
      <w:pPr>
        <w:spacing w:after="0" w:line="240" w:lineRule="auto"/>
        <w:rPr>
          <w:rFonts w:cstheme="minorHAnsi"/>
          <w:b/>
          <w:u w:val="single"/>
        </w:rPr>
      </w:pPr>
      <w:r w:rsidRPr="005927F3">
        <w:rPr>
          <w:rFonts w:cstheme="minorHAnsi"/>
          <w:b/>
          <w:u w:val="single"/>
        </w:rPr>
        <w:t>Table of Contents</w:t>
      </w:r>
    </w:p>
    <w:p w14:paraId="31541BCF" w14:textId="2660C91E" w:rsidR="00343C1C" w:rsidRPr="005927F3" w:rsidRDefault="00AF5513">
      <w:pPr>
        <w:pStyle w:val="TOC1"/>
        <w:tabs>
          <w:tab w:val="left" w:pos="440"/>
          <w:tab w:val="right" w:leader="dot" w:pos="9016"/>
        </w:tabs>
        <w:rPr>
          <w:rFonts w:eastAsiaTheme="minorEastAsia" w:cstheme="minorBidi"/>
          <w:b w:val="0"/>
          <w:bCs w:val="0"/>
          <w:caps w:val="0"/>
          <w:noProof/>
          <w:sz w:val="22"/>
          <w:szCs w:val="22"/>
          <w:lang w:eastAsia="en-GB"/>
        </w:rPr>
      </w:pPr>
      <w:r w:rsidRPr="005927F3">
        <w:rPr>
          <w:b w:val="0"/>
          <w:sz w:val="22"/>
          <w:szCs w:val="22"/>
        </w:rPr>
        <w:fldChar w:fldCharType="begin"/>
      </w:r>
      <w:r w:rsidRPr="005927F3">
        <w:rPr>
          <w:b w:val="0"/>
          <w:sz w:val="22"/>
          <w:szCs w:val="22"/>
        </w:rPr>
        <w:instrText xml:space="preserve"> TOC \o "1-3" \h \z \u </w:instrText>
      </w:r>
      <w:r w:rsidRPr="005927F3">
        <w:rPr>
          <w:b w:val="0"/>
          <w:sz w:val="22"/>
          <w:szCs w:val="22"/>
        </w:rPr>
        <w:fldChar w:fldCharType="separate"/>
      </w:r>
      <w:hyperlink w:anchor="_Toc116306475" w:history="1">
        <w:r w:rsidR="00343C1C" w:rsidRPr="005927F3">
          <w:rPr>
            <w:rStyle w:val="Hyperlink"/>
            <w:noProof/>
            <w:sz w:val="22"/>
            <w:szCs w:val="22"/>
          </w:rPr>
          <w:t>1.</w:t>
        </w:r>
        <w:r w:rsidR="00343C1C" w:rsidRPr="005927F3">
          <w:rPr>
            <w:rFonts w:eastAsiaTheme="minorEastAsia" w:cstheme="minorBidi"/>
            <w:b w:val="0"/>
            <w:bCs w:val="0"/>
            <w:caps w:val="0"/>
            <w:noProof/>
            <w:sz w:val="22"/>
            <w:szCs w:val="22"/>
            <w:lang w:eastAsia="en-GB"/>
          </w:rPr>
          <w:tab/>
        </w:r>
        <w:r w:rsidR="00343C1C" w:rsidRPr="005927F3">
          <w:rPr>
            <w:rStyle w:val="Hyperlink"/>
            <w:noProof/>
            <w:sz w:val="22"/>
            <w:szCs w:val="22"/>
          </w:rPr>
          <w:t>Introduction</w:t>
        </w:r>
        <w:r w:rsidR="00343C1C" w:rsidRPr="005927F3">
          <w:rPr>
            <w:noProof/>
            <w:webHidden/>
            <w:sz w:val="22"/>
            <w:szCs w:val="22"/>
          </w:rPr>
          <w:tab/>
        </w:r>
        <w:r w:rsidR="00343C1C" w:rsidRPr="005927F3">
          <w:rPr>
            <w:noProof/>
            <w:webHidden/>
            <w:sz w:val="22"/>
            <w:szCs w:val="22"/>
          </w:rPr>
          <w:fldChar w:fldCharType="begin"/>
        </w:r>
        <w:r w:rsidR="00343C1C" w:rsidRPr="005927F3">
          <w:rPr>
            <w:noProof/>
            <w:webHidden/>
            <w:sz w:val="22"/>
            <w:szCs w:val="22"/>
          </w:rPr>
          <w:instrText xml:space="preserve"> PAGEREF _Toc116306475 \h </w:instrText>
        </w:r>
        <w:r w:rsidR="00343C1C" w:rsidRPr="005927F3">
          <w:rPr>
            <w:noProof/>
            <w:webHidden/>
            <w:sz w:val="22"/>
            <w:szCs w:val="22"/>
          </w:rPr>
        </w:r>
        <w:r w:rsidR="00343C1C" w:rsidRPr="005927F3">
          <w:rPr>
            <w:noProof/>
            <w:webHidden/>
            <w:sz w:val="22"/>
            <w:szCs w:val="22"/>
          </w:rPr>
          <w:fldChar w:fldCharType="separate"/>
        </w:r>
        <w:r w:rsidR="008243AA" w:rsidRPr="005927F3">
          <w:rPr>
            <w:noProof/>
            <w:webHidden/>
            <w:sz w:val="22"/>
            <w:szCs w:val="22"/>
          </w:rPr>
          <w:t>2</w:t>
        </w:r>
        <w:r w:rsidR="00343C1C" w:rsidRPr="005927F3">
          <w:rPr>
            <w:noProof/>
            <w:webHidden/>
            <w:sz w:val="22"/>
            <w:szCs w:val="22"/>
          </w:rPr>
          <w:fldChar w:fldCharType="end"/>
        </w:r>
      </w:hyperlink>
    </w:p>
    <w:p w14:paraId="02BB916B" w14:textId="4C03B4A2" w:rsidR="00343C1C" w:rsidRPr="005927F3" w:rsidRDefault="00445C5E">
      <w:pPr>
        <w:pStyle w:val="TOC1"/>
        <w:tabs>
          <w:tab w:val="left" w:pos="440"/>
          <w:tab w:val="right" w:leader="dot" w:pos="9016"/>
        </w:tabs>
        <w:rPr>
          <w:rFonts w:eastAsiaTheme="minorEastAsia" w:cstheme="minorBidi"/>
          <w:b w:val="0"/>
          <w:bCs w:val="0"/>
          <w:caps w:val="0"/>
          <w:noProof/>
          <w:sz w:val="22"/>
          <w:szCs w:val="22"/>
          <w:lang w:eastAsia="en-GB"/>
        </w:rPr>
      </w:pPr>
      <w:hyperlink w:anchor="_Toc116306476" w:history="1">
        <w:r w:rsidR="00343C1C" w:rsidRPr="005927F3">
          <w:rPr>
            <w:rStyle w:val="Hyperlink"/>
            <w:noProof/>
            <w:sz w:val="22"/>
            <w:szCs w:val="22"/>
          </w:rPr>
          <w:t>2.</w:t>
        </w:r>
        <w:r w:rsidR="00343C1C" w:rsidRPr="005927F3">
          <w:rPr>
            <w:rFonts w:eastAsiaTheme="minorEastAsia" w:cstheme="minorBidi"/>
            <w:b w:val="0"/>
            <w:bCs w:val="0"/>
            <w:caps w:val="0"/>
            <w:noProof/>
            <w:sz w:val="22"/>
            <w:szCs w:val="22"/>
            <w:lang w:eastAsia="en-GB"/>
          </w:rPr>
          <w:tab/>
        </w:r>
        <w:r w:rsidR="00343C1C" w:rsidRPr="005927F3">
          <w:rPr>
            <w:rStyle w:val="Hyperlink"/>
            <w:noProof/>
            <w:sz w:val="22"/>
            <w:szCs w:val="22"/>
          </w:rPr>
          <w:t>Two privacy cultures and one’s ‘inner space’</w:t>
        </w:r>
        <w:r w:rsidR="00343C1C" w:rsidRPr="005927F3">
          <w:rPr>
            <w:noProof/>
            <w:webHidden/>
            <w:sz w:val="22"/>
            <w:szCs w:val="22"/>
          </w:rPr>
          <w:tab/>
        </w:r>
        <w:r w:rsidR="00343C1C" w:rsidRPr="005927F3">
          <w:rPr>
            <w:noProof/>
            <w:webHidden/>
            <w:sz w:val="22"/>
            <w:szCs w:val="22"/>
          </w:rPr>
          <w:fldChar w:fldCharType="begin"/>
        </w:r>
        <w:r w:rsidR="00343C1C" w:rsidRPr="005927F3">
          <w:rPr>
            <w:noProof/>
            <w:webHidden/>
            <w:sz w:val="22"/>
            <w:szCs w:val="22"/>
          </w:rPr>
          <w:instrText xml:space="preserve"> PAGEREF _Toc116306476 \h </w:instrText>
        </w:r>
        <w:r w:rsidR="00343C1C" w:rsidRPr="005927F3">
          <w:rPr>
            <w:noProof/>
            <w:webHidden/>
            <w:sz w:val="22"/>
            <w:szCs w:val="22"/>
          </w:rPr>
        </w:r>
        <w:r w:rsidR="00343C1C" w:rsidRPr="005927F3">
          <w:rPr>
            <w:noProof/>
            <w:webHidden/>
            <w:sz w:val="22"/>
            <w:szCs w:val="22"/>
          </w:rPr>
          <w:fldChar w:fldCharType="separate"/>
        </w:r>
        <w:r w:rsidR="008243AA" w:rsidRPr="005927F3">
          <w:rPr>
            <w:noProof/>
            <w:webHidden/>
            <w:sz w:val="22"/>
            <w:szCs w:val="22"/>
          </w:rPr>
          <w:t>5</w:t>
        </w:r>
        <w:r w:rsidR="00343C1C" w:rsidRPr="005927F3">
          <w:rPr>
            <w:noProof/>
            <w:webHidden/>
            <w:sz w:val="22"/>
            <w:szCs w:val="22"/>
          </w:rPr>
          <w:fldChar w:fldCharType="end"/>
        </w:r>
      </w:hyperlink>
    </w:p>
    <w:p w14:paraId="70C678B4" w14:textId="304A5652" w:rsidR="00343C1C" w:rsidRPr="005927F3" w:rsidRDefault="00445C5E">
      <w:pPr>
        <w:pStyle w:val="TOC2"/>
        <w:tabs>
          <w:tab w:val="left" w:pos="880"/>
          <w:tab w:val="right" w:leader="dot" w:pos="9016"/>
        </w:tabs>
        <w:rPr>
          <w:rFonts w:eastAsiaTheme="minorEastAsia" w:cstheme="minorBidi"/>
          <w:smallCaps w:val="0"/>
          <w:noProof/>
          <w:sz w:val="22"/>
          <w:szCs w:val="22"/>
          <w:lang w:eastAsia="en-GB"/>
        </w:rPr>
      </w:pPr>
      <w:hyperlink w:anchor="_Toc116306477" w:history="1">
        <w:r w:rsidR="00343C1C" w:rsidRPr="005927F3">
          <w:rPr>
            <w:rStyle w:val="Hyperlink"/>
            <w:noProof/>
            <w:sz w:val="22"/>
            <w:szCs w:val="22"/>
          </w:rPr>
          <w:t>2.1.</w:t>
        </w:r>
        <w:r w:rsidR="00343C1C" w:rsidRPr="005927F3">
          <w:rPr>
            <w:rFonts w:eastAsiaTheme="minorEastAsia" w:cstheme="minorBidi"/>
            <w:smallCaps w:val="0"/>
            <w:noProof/>
            <w:sz w:val="22"/>
            <w:szCs w:val="22"/>
            <w:lang w:eastAsia="en-GB"/>
          </w:rPr>
          <w:tab/>
        </w:r>
        <w:r w:rsidR="00343C1C" w:rsidRPr="005927F3">
          <w:rPr>
            <w:rStyle w:val="Hyperlink"/>
            <w:noProof/>
            <w:sz w:val="22"/>
            <w:szCs w:val="22"/>
          </w:rPr>
          <w:t>The Anglo-American literal ‘inner space’</w:t>
        </w:r>
        <w:r w:rsidR="00343C1C" w:rsidRPr="005927F3">
          <w:rPr>
            <w:noProof/>
            <w:webHidden/>
            <w:sz w:val="22"/>
            <w:szCs w:val="22"/>
          </w:rPr>
          <w:tab/>
        </w:r>
        <w:r w:rsidR="00343C1C" w:rsidRPr="005927F3">
          <w:rPr>
            <w:noProof/>
            <w:webHidden/>
            <w:sz w:val="22"/>
            <w:szCs w:val="22"/>
          </w:rPr>
          <w:fldChar w:fldCharType="begin"/>
        </w:r>
        <w:r w:rsidR="00343C1C" w:rsidRPr="005927F3">
          <w:rPr>
            <w:noProof/>
            <w:webHidden/>
            <w:sz w:val="22"/>
            <w:szCs w:val="22"/>
          </w:rPr>
          <w:instrText xml:space="preserve"> PAGEREF _Toc116306477 \h </w:instrText>
        </w:r>
        <w:r w:rsidR="00343C1C" w:rsidRPr="005927F3">
          <w:rPr>
            <w:noProof/>
            <w:webHidden/>
            <w:sz w:val="22"/>
            <w:szCs w:val="22"/>
          </w:rPr>
        </w:r>
        <w:r w:rsidR="00343C1C" w:rsidRPr="005927F3">
          <w:rPr>
            <w:noProof/>
            <w:webHidden/>
            <w:sz w:val="22"/>
            <w:szCs w:val="22"/>
          </w:rPr>
          <w:fldChar w:fldCharType="separate"/>
        </w:r>
        <w:r w:rsidR="008243AA" w:rsidRPr="005927F3">
          <w:rPr>
            <w:noProof/>
            <w:webHidden/>
            <w:sz w:val="22"/>
            <w:szCs w:val="22"/>
          </w:rPr>
          <w:t>5</w:t>
        </w:r>
        <w:r w:rsidR="00343C1C" w:rsidRPr="005927F3">
          <w:rPr>
            <w:noProof/>
            <w:webHidden/>
            <w:sz w:val="22"/>
            <w:szCs w:val="22"/>
          </w:rPr>
          <w:fldChar w:fldCharType="end"/>
        </w:r>
      </w:hyperlink>
    </w:p>
    <w:p w14:paraId="09119280" w14:textId="21ED0AD7" w:rsidR="00343C1C" w:rsidRPr="005927F3" w:rsidRDefault="00445C5E">
      <w:pPr>
        <w:pStyle w:val="TOC2"/>
        <w:tabs>
          <w:tab w:val="left" w:pos="880"/>
          <w:tab w:val="right" w:leader="dot" w:pos="9016"/>
        </w:tabs>
        <w:rPr>
          <w:rFonts w:eastAsiaTheme="minorEastAsia" w:cstheme="minorBidi"/>
          <w:smallCaps w:val="0"/>
          <w:noProof/>
          <w:sz w:val="22"/>
          <w:szCs w:val="22"/>
          <w:lang w:eastAsia="en-GB"/>
        </w:rPr>
      </w:pPr>
      <w:hyperlink w:anchor="_Toc116306478" w:history="1">
        <w:r w:rsidR="00343C1C" w:rsidRPr="005927F3">
          <w:rPr>
            <w:rStyle w:val="Hyperlink"/>
            <w:noProof/>
            <w:sz w:val="22"/>
            <w:szCs w:val="22"/>
          </w:rPr>
          <w:t>2.2.</w:t>
        </w:r>
        <w:r w:rsidR="00343C1C" w:rsidRPr="005927F3">
          <w:rPr>
            <w:rFonts w:eastAsiaTheme="minorEastAsia" w:cstheme="minorBidi"/>
            <w:smallCaps w:val="0"/>
            <w:noProof/>
            <w:sz w:val="22"/>
            <w:szCs w:val="22"/>
            <w:lang w:eastAsia="en-GB"/>
          </w:rPr>
          <w:tab/>
        </w:r>
        <w:r w:rsidR="00343C1C" w:rsidRPr="005927F3">
          <w:rPr>
            <w:rStyle w:val="Hyperlink"/>
            <w:noProof/>
            <w:sz w:val="22"/>
            <w:szCs w:val="22"/>
          </w:rPr>
          <w:t>The Continental European metaphorical ‘inner space’</w:t>
        </w:r>
        <w:r w:rsidR="00343C1C" w:rsidRPr="005927F3">
          <w:rPr>
            <w:noProof/>
            <w:webHidden/>
            <w:sz w:val="22"/>
            <w:szCs w:val="22"/>
          </w:rPr>
          <w:tab/>
        </w:r>
        <w:r w:rsidR="00343C1C" w:rsidRPr="005927F3">
          <w:rPr>
            <w:noProof/>
            <w:webHidden/>
            <w:sz w:val="22"/>
            <w:szCs w:val="22"/>
          </w:rPr>
          <w:fldChar w:fldCharType="begin"/>
        </w:r>
        <w:r w:rsidR="00343C1C" w:rsidRPr="005927F3">
          <w:rPr>
            <w:noProof/>
            <w:webHidden/>
            <w:sz w:val="22"/>
            <w:szCs w:val="22"/>
          </w:rPr>
          <w:instrText xml:space="preserve"> PAGEREF _Toc116306478 \h </w:instrText>
        </w:r>
        <w:r w:rsidR="00343C1C" w:rsidRPr="005927F3">
          <w:rPr>
            <w:noProof/>
            <w:webHidden/>
            <w:sz w:val="22"/>
            <w:szCs w:val="22"/>
          </w:rPr>
        </w:r>
        <w:r w:rsidR="00343C1C" w:rsidRPr="005927F3">
          <w:rPr>
            <w:noProof/>
            <w:webHidden/>
            <w:sz w:val="22"/>
            <w:szCs w:val="22"/>
          </w:rPr>
          <w:fldChar w:fldCharType="separate"/>
        </w:r>
        <w:r w:rsidR="008243AA" w:rsidRPr="005927F3">
          <w:rPr>
            <w:noProof/>
            <w:webHidden/>
            <w:sz w:val="22"/>
            <w:szCs w:val="22"/>
          </w:rPr>
          <w:t>7</w:t>
        </w:r>
        <w:r w:rsidR="00343C1C" w:rsidRPr="005927F3">
          <w:rPr>
            <w:noProof/>
            <w:webHidden/>
            <w:sz w:val="22"/>
            <w:szCs w:val="22"/>
          </w:rPr>
          <w:fldChar w:fldCharType="end"/>
        </w:r>
      </w:hyperlink>
    </w:p>
    <w:p w14:paraId="022DDB59" w14:textId="3EB2E05A" w:rsidR="00343C1C" w:rsidRPr="005927F3" w:rsidRDefault="00445C5E">
      <w:pPr>
        <w:pStyle w:val="TOC1"/>
        <w:tabs>
          <w:tab w:val="left" w:pos="440"/>
          <w:tab w:val="right" w:leader="dot" w:pos="9016"/>
        </w:tabs>
        <w:rPr>
          <w:rFonts w:eastAsiaTheme="minorEastAsia" w:cstheme="minorBidi"/>
          <w:b w:val="0"/>
          <w:bCs w:val="0"/>
          <w:caps w:val="0"/>
          <w:noProof/>
          <w:sz w:val="22"/>
          <w:szCs w:val="22"/>
          <w:lang w:eastAsia="en-GB"/>
        </w:rPr>
      </w:pPr>
      <w:hyperlink w:anchor="_Toc116306479" w:history="1">
        <w:r w:rsidR="00343C1C" w:rsidRPr="005927F3">
          <w:rPr>
            <w:rStyle w:val="Hyperlink"/>
            <w:noProof/>
            <w:sz w:val="22"/>
            <w:szCs w:val="22"/>
          </w:rPr>
          <w:t>3.</w:t>
        </w:r>
        <w:r w:rsidR="00343C1C" w:rsidRPr="005927F3">
          <w:rPr>
            <w:rFonts w:eastAsiaTheme="minorEastAsia" w:cstheme="minorBidi"/>
            <w:b w:val="0"/>
            <w:bCs w:val="0"/>
            <w:caps w:val="0"/>
            <w:noProof/>
            <w:sz w:val="22"/>
            <w:szCs w:val="22"/>
            <w:lang w:eastAsia="en-GB"/>
          </w:rPr>
          <w:tab/>
        </w:r>
        <w:r w:rsidR="00343C1C" w:rsidRPr="005927F3">
          <w:rPr>
            <w:rStyle w:val="Hyperlink"/>
            <w:noProof/>
            <w:sz w:val="22"/>
            <w:szCs w:val="22"/>
          </w:rPr>
          <w:t>Contemporary privacy regimes and the right to be forgotten</w:t>
        </w:r>
        <w:r w:rsidR="00343C1C" w:rsidRPr="005927F3">
          <w:rPr>
            <w:noProof/>
            <w:webHidden/>
            <w:sz w:val="22"/>
            <w:szCs w:val="22"/>
          </w:rPr>
          <w:tab/>
        </w:r>
        <w:r w:rsidR="00343C1C" w:rsidRPr="005927F3">
          <w:rPr>
            <w:noProof/>
            <w:webHidden/>
            <w:sz w:val="22"/>
            <w:szCs w:val="22"/>
          </w:rPr>
          <w:fldChar w:fldCharType="begin"/>
        </w:r>
        <w:r w:rsidR="00343C1C" w:rsidRPr="005927F3">
          <w:rPr>
            <w:noProof/>
            <w:webHidden/>
            <w:sz w:val="22"/>
            <w:szCs w:val="22"/>
          </w:rPr>
          <w:instrText xml:space="preserve"> PAGEREF _Toc116306479 \h </w:instrText>
        </w:r>
        <w:r w:rsidR="00343C1C" w:rsidRPr="005927F3">
          <w:rPr>
            <w:noProof/>
            <w:webHidden/>
            <w:sz w:val="22"/>
            <w:szCs w:val="22"/>
          </w:rPr>
        </w:r>
        <w:r w:rsidR="00343C1C" w:rsidRPr="005927F3">
          <w:rPr>
            <w:noProof/>
            <w:webHidden/>
            <w:sz w:val="22"/>
            <w:szCs w:val="22"/>
          </w:rPr>
          <w:fldChar w:fldCharType="separate"/>
        </w:r>
        <w:r w:rsidR="008243AA" w:rsidRPr="005927F3">
          <w:rPr>
            <w:noProof/>
            <w:webHidden/>
            <w:sz w:val="22"/>
            <w:szCs w:val="22"/>
          </w:rPr>
          <w:t>11</w:t>
        </w:r>
        <w:r w:rsidR="00343C1C" w:rsidRPr="005927F3">
          <w:rPr>
            <w:noProof/>
            <w:webHidden/>
            <w:sz w:val="22"/>
            <w:szCs w:val="22"/>
          </w:rPr>
          <w:fldChar w:fldCharType="end"/>
        </w:r>
      </w:hyperlink>
    </w:p>
    <w:p w14:paraId="34448434" w14:textId="47E0A514" w:rsidR="00343C1C" w:rsidRPr="005927F3" w:rsidRDefault="00445C5E">
      <w:pPr>
        <w:pStyle w:val="TOC2"/>
        <w:tabs>
          <w:tab w:val="right" w:leader="dot" w:pos="9016"/>
        </w:tabs>
        <w:rPr>
          <w:rFonts w:eastAsiaTheme="minorEastAsia" w:cstheme="minorBidi"/>
          <w:smallCaps w:val="0"/>
          <w:noProof/>
          <w:sz w:val="22"/>
          <w:szCs w:val="22"/>
          <w:lang w:eastAsia="en-GB"/>
        </w:rPr>
      </w:pPr>
      <w:hyperlink w:anchor="_Toc116306480" w:history="1">
        <w:r w:rsidR="00343C1C" w:rsidRPr="005927F3">
          <w:rPr>
            <w:rStyle w:val="Hyperlink"/>
            <w:noProof/>
            <w:sz w:val="22"/>
            <w:szCs w:val="22"/>
          </w:rPr>
          <w:t>3.1.         The CJEU on the right to be forgotten within the GDPR</w:t>
        </w:r>
        <w:r w:rsidR="00343C1C" w:rsidRPr="005927F3">
          <w:rPr>
            <w:noProof/>
            <w:webHidden/>
            <w:sz w:val="22"/>
            <w:szCs w:val="22"/>
          </w:rPr>
          <w:tab/>
        </w:r>
        <w:r w:rsidR="00343C1C" w:rsidRPr="005927F3">
          <w:rPr>
            <w:noProof/>
            <w:webHidden/>
            <w:sz w:val="22"/>
            <w:szCs w:val="22"/>
          </w:rPr>
          <w:fldChar w:fldCharType="begin"/>
        </w:r>
        <w:r w:rsidR="00343C1C" w:rsidRPr="005927F3">
          <w:rPr>
            <w:noProof/>
            <w:webHidden/>
            <w:sz w:val="22"/>
            <w:szCs w:val="22"/>
          </w:rPr>
          <w:instrText xml:space="preserve"> PAGEREF _Toc116306480 \h </w:instrText>
        </w:r>
        <w:r w:rsidR="00343C1C" w:rsidRPr="005927F3">
          <w:rPr>
            <w:noProof/>
            <w:webHidden/>
            <w:sz w:val="22"/>
            <w:szCs w:val="22"/>
          </w:rPr>
        </w:r>
        <w:r w:rsidR="00343C1C" w:rsidRPr="005927F3">
          <w:rPr>
            <w:noProof/>
            <w:webHidden/>
            <w:sz w:val="22"/>
            <w:szCs w:val="22"/>
          </w:rPr>
          <w:fldChar w:fldCharType="separate"/>
        </w:r>
        <w:r w:rsidR="008243AA" w:rsidRPr="005927F3">
          <w:rPr>
            <w:noProof/>
            <w:webHidden/>
            <w:sz w:val="22"/>
            <w:szCs w:val="22"/>
          </w:rPr>
          <w:t>13</w:t>
        </w:r>
        <w:r w:rsidR="00343C1C" w:rsidRPr="005927F3">
          <w:rPr>
            <w:noProof/>
            <w:webHidden/>
            <w:sz w:val="22"/>
            <w:szCs w:val="22"/>
          </w:rPr>
          <w:fldChar w:fldCharType="end"/>
        </w:r>
      </w:hyperlink>
    </w:p>
    <w:p w14:paraId="43909270" w14:textId="2CB45112" w:rsidR="00343C1C" w:rsidRPr="005927F3" w:rsidRDefault="00445C5E">
      <w:pPr>
        <w:pStyle w:val="TOC2"/>
        <w:tabs>
          <w:tab w:val="left" w:pos="880"/>
          <w:tab w:val="right" w:leader="dot" w:pos="9016"/>
        </w:tabs>
        <w:rPr>
          <w:rFonts w:eastAsiaTheme="minorEastAsia" w:cstheme="minorBidi"/>
          <w:smallCaps w:val="0"/>
          <w:noProof/>
          <w:sz w:val="22"/>
          <w:szCs w:val="22"/>
          <w:lang w:eastAsia="en-GB"/>
        </w:rPr>
      </w:pPr>
      <w:hyperlink w:anchor="_Toc116306481" w:history="1">
        <w:r w:rsidR="00343C1C" w:rsidRPr="005927F3">
          <w:rPr>
            <w:rStyle w:val="Hyperlink"/>
            <w:noProof/>
            <w:sz w:val="22"/>
            <w:szCs w:val="22"/>
          </w:rPr>
          <w:t>3.2.</w:t>
        </w:r>
        <w:r w:rsidR="00343C1C" w:rsidRPr="005927F3">
          <w:rPr>
            <w:rFonts w:eastAsiaTheme="minorEastAsia" w:cstheme="minorBidi"/>
            <w:smallCaps w:val="0"/>
            <w:noProof/>
            <w:sz w:val="22"/>
            <w:szCs w:val="22"/>
            <w:lang w:eastAsia="en-GB"/>
          </w:rPr>
          <w:tab/>
        </w:r>
        <w:r w:rsidR="00343C1C" w:rsidRPr="005927F3">
          <w:rPr>
            <w:rStyle w:val="Hyperlink"/>
            <w:noProof/>
            <w:sz w:val="22"/>
            <w:szCs w:val="22"/>
          </w:rPr>
          <w:t>US courts on the right to be forgotten</w:t>
        </w:r>
        <w:r w:rsidR="00343C1C" w:rsidRPr="005927F3">
          <w:rPr>
            <w:noProof/>
            <w:webHidden/>
            <w:sz w:val="22"/>
            <w:szCs w:val="22"/>
          </w:rPr>
          <w:tab/>
        </w:r>
        <w:r w:rsidR="00343C1C" w:rsidRPr="005927F3">
          <w:rPr>
            <w:noProof/>
            <w:webHidden/>
            <w:sz w:val="22"/>
            <w:szCs w:val="22"/>
          </w:rPr>
          <w:fldChar w:fldCharType="begin"/>
        </w:r>
        <w:r w:rsidR="00343C1C" w:rsidRPr="005927F3">
          <w:rPr>
            <w:noProof/>
            <w:webHidden/>
            <w:sz w:val="22"/>
            <w:szCs w:val="22"/>
          </w:rPr>
          <w:instrText xml:space="preserve"> PAGEREF _Toc116306481 \h </w:instrText>
        </w:r>
        <w:r w:rsidR="00343C1C" w:rsidRPr="005927F3">
          <w:rPr>
            <w:noProof/>
            <w:webHidden/>
            <w:sz w:val="22"/>
            <w:szCs w:val="22"/>
          </w:rPr>
        </w:r>
        <w:r w:rsidR="00343C1C" w:rsidRPr="005927F3">
          <w:rPr>
            <w:noProof/>
            <w:webHidden/>
            <w:sz w:val="22"/>
            <w:szCs w:val="22"/>
          </w:rPr>
          <w:fldChar w:fldCharType="separate"/>
        </w:r>
        <w:r w:rsidR="008243AA" w:rsidRPr="005927F3">
          <w:rPr>
            <w:noProof/>
            <w:webHidden/>
            <w:sz w:val="22"/>
            <w:szCs w:val="22"/>
          </w:rPr>
          <w:t>16</w:t>
        </w:r>
        <w:r w:rsidR="00343C1C" w:rsidRPr="005927F3">
          <w:rPr>
            <w:noProof/>
            <w:webHidden/>
            <w:sz w:val="22"/>
            <w:szCs w:val="22"/>
          </w:rPr>
          <w:fldChar w:fldCharType="end"/>
        </w:r>
      </w:hyperlink>
    </w:p>
    <w:p w14:paraId="1C4EB179" w14:textId="6499AA8D" w:rsidR="00343C1C" w:rsidRPr="005927F3" w:rsidRDefault="00445C5E">
      <w:pPr>
        <w:pStyle w:val="TOC2"/>
        <w:tabs>
          <w:tab w:val="left" w:pos="880"/>
          <w:tab w:val="right" w:leader="dot" w:pos="9016"/>
        </w:tabs>
        <w:rPr>
          <w:rFonts w:eastAsiaTheme="minorEastAsia" w:cstheme="minorBidi"/>
          <w:smallCaps w:val="0"/>
          <w:noProof/>
          <w:sz w:val="22"/>
          <w:szCs w:val="22"/>
          <w:lang w:eastAsia="en-GB"/>
        </w:rPr>
      </w:pPr>
      <w:hyperlink w:anchor="_Toc116306482" w:history="1">
        <w:r w:rsidR="00343C1C" w:rsidRPr="005927F3">
          <w:rPr>
            <w:rStyle w:val="Hyperlink"/>
            <w:noProof/>
            <w:sz w:val="22"/>
            <w:szCs w:val="22"/>
          </w:rPr>
          <w:t>3.3.</w:t>
        </w:r>
        <w:r w:rsidR="00343C1C" w:rsidRPr="005927F3">
          <w:rPr>
            <w:rFonts w:eastAsiaTheme="minorEastAsia" w:cstheme="minorBidi"/>
            <w:smallCaps w:val="0"/>
            <w:noProof/>
            <w:sz w:val="22"/>
            <w:szCs w:val="22"/>
            <w:lang w:eastAsia="en-GB"/>
          </w:rPr>
          <w:tab/>
        </w:r>
        <w:r w:rsidR="00343C1C" w:rsidRPr="005927F3">
          <w:rPr>
            <w:rStyle w:val="Hyperlink"/>
            <w:noProof/>
            <w:sz w:val="22"/>
            <w:szCs w:val="22"/>
          </w:rPr>
          <w:t>The ECtHR on the right to be forgotten within Art 8</w:t>
        </w:r>
        <w:r w:rsidR="00343C1C" w:rsidRPr="005927F3">
          <w:rPr>
            <w:noProof/>
            <w:webHidden/>
            <w:sz w:val="22"/>
            <w:szCs w:val="22"/>
          </w:rPr>
          <w:tab/>
        </w:r>
        <w:r w:rsidR="00343C1C" w:rsidRPr="005927F3">
          <w:rPr>
            <w:noProof/>
            <w:webHidden/>
            <w:sz w:val="22"/>
            <w:szCs w:val="22"/>
          </w:rPr>
          <w:fldChar w:fldCharType="begin"/>
        </w:r>
        <w:r w:rsidR="00343C1C" w:rsidRPr="005927F3">
          <w:rPr>
            <w:noProof/>
            <w:webHidden/>
            <w:sz w:val="22"/>
            <w:szCs w:val="22"/>
          </w:rPr>
          <w:instrText xml:space="preserve"> PAGEREF _Toc116306482 \h </w:instrText>
        </w:r>
        <w:r w:rsidR="00343C1C" w:rsidRPr="005927F3">
          <w:rPr>
            <w:noProof/>
            <w:webHidden/>
            <w:sz w:val="22"/>
            <w:szCs w:val="22"/>
          </w:rPr>
        </w:r>
        <w:r w:rsidR="00343C1C" w:rsidRPr="005927F3">
          <w:rPr>
            <w:noProof/>
            <w:webHidden/>
            <w:sz w:val="22"/>
            <w:szCs w:val="22"/>
          </w:rPr>
          <w:fldChar w:fldCharType="separate"/>
        </w:r>
        <w:r w:rsidR="008243AA" w:rsidRPr="005927F3">
          <w:rPr>
            <w:noProof/>
            <w:webHidden/>
            <w:sz w:val="22"/>
            <w:szCs w:val="22"/>
          </w:rPr>
          <w:t>19</w:t>
        </w:r>
        <w:r w:rsidR="00343C1C" w:rsidRPr="005927F3">
          <w:rPr>
            <w:noProof/>
            <w:webHidden/>
            <w:sz w:val="22"/>
            <w:szCs w:val="22"/>
          </w:rPr>
          <w:fldChar w:fldCharType="end"/>
        </w:r>
      </w:hyperlink>
    </w:p>
    <w:p w14:paraId="11FB402F" w14:textId="477E58BA" w:rsidR="00343C1C" w:rsidRPr="005927F3" w:rsidRDefault="00445C5E">
      <w:pPr>
        <w:pStyle w:val="TOC1"/>
        <w:tabs>
          <w:tab w:val="left" w:pos="440"/>
          <w:tab w:val="right" w:leader="dot" w:pos="9016"/>
        </w:tabs>
        <w:rPr>
          <w:rFonts w:eastAsiaTheme="minorEastAsia" w:cstheme="minorBidi"/>
          <w:b w:val="0"/>
          <w:bCs w:val="0"/>
          <w:caps w:val="0"/>
          <w:noProof/>
          <w:sz w:val="22"/>
          <w:szCs w:val="22"/>
          <w:lang w:eastAsia="en-GB"/>
        </w:rPr>
      </w:pPr>
      <w:hyperlink w:anchor="_Toc116306483" w:history="1">
        <w:r w:rsidR="00343C1C" w:rsidRPr="005927F3">
          <w:rPr>
            <w:rStyle w:val="Hyperlink"/>
            <w:noProof/>
            <w:sz w:val="22"/>
            <w:szCs w:val="22"/>
          </w:rPr>
          <w:t>4.</w:t>
        </w:r>
        <w:r w:rsidR="00343C1C" w:rsidRPr="005927F3">
          <w:rPr>
            <w:rFonts w:eastAsiaTheme="minorEastAsia" w:cstheme="minorBidi"/>
            <w:b w:val="0"/>
            <w:bCs w:val="0"/>
            <w:caps w:val="0"/>
            <w:noProof/>
            <w:sz w:val="22"/>
            <w:szCs w:val="22"/>
            <w:lang w:eastAsia="en-GB"/>
          </w:rPr>
          <w:tab/>
        </w:r>
        <w:r w:rsidR="00343C1C" w:rsidRPr="005927F3">
          <w:rPr>
            <w:rStyle w:val="Hyperlink"/>
            <w:noProof/>
            <w:sz w:val="22"/>
            <w:szCs w:val="22"/>
          </w:rPr>
          <w:t>Conclusion</w:t>
        </w:r>
        <w:r w:rsidR="00343C1C" w:rsidRPr="005927F3">
          <w:rPr>
            <w:noProof/>
            <w:webHidden/>
            <w:sz w:val="22"/>
            <w:szCs w:val="22"/>
          </w:rPr>
          <w:tab/>
        </w:r>
        <w:r w:rsidR="00343C1C" w:rsidRPr="005927F3">
          <w:rPr>
            <w:noProof/>
            <w:webHidden/>
            <w:sz w:val="22"/>
            <w:szCs w:val="22"/>
          </w:rPr>
          <w:fldChar w:fldCharType="begin"/>
        </w:r>
        <w:r w:rsidR="00343C1C" w:rsidRPr="005927F3">
          <w:rPr>
            <w:noProof/>
            <w:webHidden/>
            <w:sz w:val="22"/>
            <w:szCs w:val="22"/>
          </w:rPr>
          <w:instrText xml:space="preserve"> PAGEREF _Toc116306483 \h </w:instrText>
        </w:r>
        <w:r w:rsidR="00343C1C" w:rsidRPr="005927F3">
          <w:rPr>
            <w:noProof/>
            <w:webHidden/>
            <w:sz w:val="22"/>
            <w:szCs w:val="22"/>
          </w:rPr>
        </w:r>
        <w:r w:rsidR="00343C1C" w:rsidRPr="005927F3">
          <w:rPr>
            <w:noProof/>
            <w:webHidden/>
            <w:sz w:val="22"/>
            <w:szCs w:val="22"/>
          </w:rPr>
          <w:fldChar w:fldCharType="separate"/>
        </w:r>
        <w:r w:rsidR="008243AA" w:rsidRPr="005927F3">
          <w:rPr>
            <w:noProof/>
            <w:webHidden/>
            <w:sz w:val="22"/>
            <w:szCs w:val="22"/>
          </w:rPr>
          <w:t>28</w:t>
        </w:r>
        <w:r w:rsidR="00343C1C" w:rsidRPr="005927F3">
          <w:rPr>
            <w:noProof/>
            <w:webHidden/>
            <w:sz w:val="22"/>
            <w:szCs w:val="22"/>
          </w:rPr>
          <w:fldChar w:fldCharType="end"/>
        </w:r>
      </w:hyperlink>
    </w:p>
    <w:p w14:paraId="49A98267" w14:textId="0C77657E" w:rsidR="00743155" w:rsidRPr="005927F3" w:rsidRDefault="00AF5513" w:rsidP="008B308D">
      <w:pPr>
        <w:spacing w:after="0" w:line="240" w:lineRule="auto"/>
        <w:rPr>
          <w:rFonts w:cstheme="minorHAnsi"/>
        </w:rPr>
      </w:pPr>
      <w:r w:rsidRPr="005927F3">
        <w:rPr>
          <w:rFonts w:cstheme="minorHAnsi"/>
        </w:rPr>
        <w:fldChar w:fldCharType="end"/>
      </w:r>
      <w:bookmarkStart w:id="0" w:name="_Toc61449444"/>
    </w:p>
    <w:p w14:paraId="06FC7B52" w14:textId="47C0B505" w:rsidR="00C37447" w:rsidRPr="005927F3" w:rsidRDefault="00743155" w:rsidP="005927F3">
      <w:pPr>
        <w:pStyle w:val="Heading1"/>
        <w:numPr>
          <w:ilvl w:val="0"/>
          <w:numId w:val="35"/>
        </w:numPr>
      </w:pPr>
      <w:r w:rsidRPr="005927F3">
        <w:br w:type="page"/>
      </w:r>
      <w:bookmarkStart w:id="1" w:name="_Toc116151502"/>
      <w:bookmarkStart w:id="2" w:name="_Toc116164596"/>
      <w:bookmarkStart w:id="3" w:name="_Toc116306474"/>
      <w:bookmarkStart w:id="4" w:name="_Toc116306475"/>
      <w:bookmarkEnd w:id="0"/>
      <w:bookmarkEnd w:id="1"/>
      <w:bookmarkEnd w:id="2"/>
      <w:bookmarkEnd w:id="3"/>
      <w:r w:rsidR="001476D7" w:rsidRPr="005927F3">
        <w:lastRenderedPageBreak/>
        <w:t>Introduction</w:t>
      </w:r>
      <w:bookmarkEnd w:id="4"/>
      <w:r w:rsidR="001476D7" w:rsidRPr="005927F3">
        <w:t xml:space="preserve"> </w:t>
      </w:r>
    </w:p>
    <w:p w14:paraId="1F139A5C" w14:textId="77777777" w:rsidR="00551EBC" w:rsidRPr="005927F3" w:rsidRDefault="00551EBC" w:rsidP="008B308D">
      <w:pPr>
        <w:spacing w:after="0" w:line="240" w:lineRule="auto"/>
        <w:jc w:val="both"/>
        <w:rPr>
          <w:rFonts w:cstheme="minorHAnsi"/>
          <w:sz w:val="24"/>
          <w:szCs w:val="24"/>
        </w:rPr>
      </w:pPr>
    </w:p>
    <w:p w14:paraId="3A2F03BF" w14:textId="38141599" w:rsidR="00B30605" w:rsidRPr="005927F3" w:rsidRDefault="00EA15BC" w:rsidP="008B308D">
      <w:pPr>
        <w:spacing w:after="0" w:line="240" w:lineRule="auto"/>
        <w:jc w:val="both"/>
        <w:rPr>
          <w:rFonts w:cstheme="minorHAnsi"/>
          <w:sz w:val="24"/>
          <w:szCs w:val="24"/>
        </w:rPr>
      </w:pPr>
      <w:bookmarkStart w:id="5" w:name="_Hlk116062474"/>
      <w:r>
        <w:rPr>
          <w:rFonts w:cstheme="minorHAnsi"/>
          <w:sz w:val="24"/>
          <w:szCs w:val="24"/>
        </w:rPr>
        <w:t>Despite the rising prominence of d</w:t>
      </w:r>
      <w:r w:rsidR="00904277" w:rsidRPr="00EA15BC">
        <w:rPr>
          <w:rFonts w:cstheme="minorHAnsi"/>
          <w:sz w:val="24"/>
          <w:szCs w:val="24"/>
        </w:rPr>
        <w:t xml:space="preserve">ata protection law </w:t>
      </w:r>
      <w:r>
        <w:rPr>
          <w:rFonts w:cstheme="minorHAnsi"/>
          <w:sz w:val="24"/>
          <w:szCs w:val="24"/>
        </w:rPr>
        <w:t xml:space="preserve">in contemporary network society and </w:t>
      </w:r>
      <w:proofErr w:type="gramStart"/>
      <w:r w:rsidR="00C6622D">
        <w:rPr>
          <w:rFonts w:cstheme="minorHAnsi"/>
          <w:sz w:val="24"/>
          <w:szCs w:val="24"/>
        </w:rPr>
        <w:t>all</w:t>
      </w:r>
      <w:r>
        <w:rPr>
          <w:rFonts w:cstheme="minorHAnsi"/>
          <w:sz w:val="24"/>
          <w:szCs w:val="24"/>
        </w:rPr>
        <w:t xml:space="preserve"> pervasive</w:t>
      </w:r>
      <w:proofErr w:type="gramEnd"/>
      <w:r>
        <w:rPr>
          <w:rFonts w:cstheme="minorHAnsi"/>
          <w:sz w:val="24"/>
          <w:szCs w:val="24"/>
        </w:rPr>
        <w:t xml:space="preserve"> data practices, </w:t>
      </w:r>
      <w:r w:rsidR="00904277" w:rsidRPr="00EA15BC">
        <w:rPr>
          <w:rFonts w:cstheme="minorHAnsi"/>
          <w:sz w:val="24"/>
          <w:szCs w:val="24"/>
        </w:rPr>
        <w:t xml:space="preserve">its status </w:t>
      </w:r>
      <w:r w:rsidR="00181485">
        <w:rPr>
          <w:rFonts w:cstheme="minorHAnsi"/>
          <w:sz w:val="24"/>
          <w:szCs w:val="24"/>
        </w:rPr>
        <w:t>in or outside</w:t>
      </w:r>
      <w:r w:rsidR="00181485" w:rsidRPr="00EA15BC">
        <w:rPr>
          <w:rFonts w:cstheme="minorHAnsi"/>
          <w:sz w:val="24"/>
          <w:szCs w:val="24"/>
        </w:rPr>
        <w:t xml:space="preserve"> </w:t>
      </w:r>
      <w:r w:rsidR="00904277" w:rsidRPr="00EA15BC">
        <w:rPr>
          <w:rFonts w:cstheme="minorHAnsi"/>
          <w:sz w:val="24"/>
          <w:szCs w:val="24"/>
        </w:rPr>
        <w:t>privacy law</w:t>
      </w:r>
      <w:r w:rsidR="00263906">
        <w:rPr>
          <w:rFonts w:cstheme="minorHAnsi"/>
          <w:sz w:val="24"/>
          <w:szCs w:val="24"/>
        </w:rPr>
        <w:t xml:space="preserve">, </w:t>
      </w:r>
      <w:r>
        <w:rPr>
          <w:rFonts w:cstheme="minorHAnsi"/>
          <w:sz w:val="24"/>
          <w:szCs w:val="24"/>
        </w:rPr>
        <w:t>or information privacy law</w:t>
      </w:r>
      <w:r w:rsidR="00263906">
        <w:rPr>
          <w:rFonts w:cstheme="minorHAnsi"/>
          <w:sz w:val="24"/>
          <w:szCs w:val="24"/>
        </w:rPr>
        <w:t>,</w:t>
      </w:r>
      <w:r>
        <w:rPr>
          <w:rFonts w:cstheme="minorHAnsi"/>
          <w:sz w:val="24"/>
          <w:szCs w:val="24"/>
        </w:rPr>
        <w:t xml:space="preserve"> </w:t>
      </w:r>
      <w:r w:rsidR="00904277" w:rsidRPr="00EA15BC">
        <w:rPr>
          <w:rFonts w:cstheme="minorHAnsi"/>
          <w:sz w:val="24"/>
          <w:szCs w:val="24"/>
        </w:rPr>
        <w:t xml:space="preserve">remains </w:t>
      </w:r>
      <w:r w:rsidR="006C6030">
        <w:rPr>
          <w:rFonts w:cstheme="minorHAnsi"/>
          <w:sz w:val="24"/>
          <w:szCs w:val="24"/>
        </w:rPr>
        <w:t>contested</w:t>
      </w:r>
      <w:r>
        <w:rPr>
          <w:rFonts w:cstheme="minorHAnsi"/>
          <w:sz w:val="24"/>
          <w:szCs w:val="24"/>
        </w:rPr>
        <w:t xml:space="preserve">. </w:t>
      </w:r>
      <w:r w:rsidR="00181485">
        <w:rPr>
          <w:rFonts w:cstheme="minorHAnsi"/>
          <w:sz w:val="24"/>
          <w:szCs w:val="24"/>
        </w:rPr>
        <w:t>Most significantly</w:t>
      </w:r>
      <w:r>
        <w:rPr>
          <w:rFonts w:cstheme="minorHAnsi"/>
          <w:sz w:val="24"/>
          <w:szCs w:val="24"/>
        </w:rPr>
        <w:t>, data protection law protects</w:t>
      </w:r>
      <w:r w:rsidR="00904277" w:rsidRPr="00EA15BC">
        <w:rPr>
          <w:rFonts w:cstheme="minorHAnsi"/>
          <w:sz w:val="24"/>
          <w:szCs w:val="24"/>
        </w:rPr>
        <w:t xml:space="preserve"> ‘personal’</w:t>
      </w:r>
      <w:r>
        <w:rPr>
          <w:rFonts w:cstheme="minorHAnsi"/>
          <w:sz w:val="24"/>
          <w:szCs w:val="24"/>
        </w:rPr>
        <w:t xml:space="preserve"> </w:t>
      </w:r>
      <w:r w:rsidR="00904277" w:rsidRPr="00EA15BC">
        <w:rPr>
          <w:rFonts w:cstheme="minorHAnsi"/>
          <w:sz w:val="24"/>
          <w:szCs w:val="24"/>
        </w:rPr>
        <w:t>rather than ‘private’ information</w:t>
      </w:r>
      <w:r>
        <w:rPr>
          <w:rFonts w:cstheme="minorHAnsi"/>
          <w:sz w:val="24"/>
          <w:szCs w:val="24"/>
        </w:rPr>
        <w:t>, and so is</w:t>
      </w:r>
      <w:r w:rsidR="00C6622D">
        <w:rPr>
          <w:rFonts w:cstheme="minorHAnsi"/>
          <w:sz w:val="24"/>
          <w:szCs w:val="24"/>
        </w:rPr>
        <w:t>, from the outset,</w:t>
      </w:r>
      <w:r>
        <w:rPr>
          <w:rFonts w:cstheme="minorHAnsi"/>
          <w:sz w:val="24"/>
          <w:szCs w:val="24"/>
        </w:rPr>
        <w:t xml:space="preserve"> directed at</w:t>
      </w:r>
      <w:r w:rsidR="00904277" w:rsidRPr="00EA15BC">
        <w:rPr>
          <w:rFonts w:cstheme="minorHAnsi"/>
          <w:sz w:val="24"/>
          <w:szCs w:val="24"/>
        </w:rPr>
        <w:t xml:space="preserve"> public personal information, or personal information which has attained </w:t>
      </w:r>
      <w:r w:rsidR="00904277" w:rsidRPr="00EA15BC">
        <w:rPr>
          <w:rFonts w:cstheme="minorHAnsi"/>
          <w:i/>
          <w:iCs/>
          <w:sz w:val="24"/>
          <w:szCs w:val="24"/>
        </w:rPr>
        <w:t xml:space="preserve">some </w:t>
      </w:r>
      <w:r w:rsidR="00904277" w:rsidRPr="00EA15BC">
        <w:rPr>
          <w:rFonts w:cstheme="minorHAnsi"/>
          <w:sz w:val="24"/>
          <w:szCs w:val="24"/>
        </w:rPr>
        <w:t xml:space="preserve">publicness through </w:t>
      </w:r>
      <w:r w:rsidR="00904277" w:rsidRPr="00EA15BC">
        <w:rPr>
          <w:rFonts w:cstheme="minorHAnsi"/>
          <w:i/>
          <w:iCs/>
          <w:sz w:val="24"/>
          <w:szCs w:val="24"/>
        </w:rPr>
        <w:t>some</w:t>
      </w:r>
      <w:r w:rsidR="00904277" w:rsidRPr="00EA15BC">
        <w:rPr>
          <w:rFonts w:cstheme="minorHAnsi"/>
          <w:sz w:val="24"/>
          <w:szCs w:val="24"/>
        </w:rPr>
        <w:t xml:space="preserve"> disclosure. </w:t>
      </w:r>
      <w:r>
        <w:rPr>
          <w:rFonts w:cstheme="minorHAnsi"/>
          <w:sz w:val="24"/>
          <w:szCs w:val="24"/>
        </w:rPr>
        <w:t>The argument made in this paper is</w:t>
      </w:r>
      <w:r w:rsidR="00904277" w:rsidRPr="00EA15BC">
        <w:rPr>
          <w:rFonts w:cstheme="minorHAnsi"/>
          <w:sz w:val="24"/>
          <w:szCs w:val="24"/>
        </w:rPr>
        <w:t xml:space="preserve"> that data protection law is not </w:t>
      </w:r>
      <w:r w:rsidR="006C6030">
        <w:rPr>
          <w:rFonts w:cstheme="minorHAnsi"/>
          <w:sz w:val="24"/>
          <w:szCs w:val="24"/>
        </w:rPr>
        <w:t xml:space="preserve">an awkward off-shoot </w:t>
      </w:r>
      <w:r w:rsidR="00904277" w:rsidRPr="00EA15BC">
        <w:rPr>
          <w:rFonts w:cstheme="minorHAnsi"/>
          <w:sz w:val="24"/>
          <w:szCs w:val="24"/>
        </w:rPr>
        <w:t xml:space="preserve">of traditional privacy law properly so </w:t>
      </w:r>
      <w:proofErr w:type="gramStart"/>
      <w:r w:rsidR="00904277" w:rsidRPr="00EA15BC">
        <w:rPr>
          <w:rFonts w:cstheme="minorHAnsi"/>
          <w:sz w:val="24"/>
          <w:szCs w:val="24"/>
        </w:rPr>
        <w:t>called</w:t>
      </w:r>
      <w:r w:rsidR="00C6622D">
        <w:rPr>
          <w:rFonts w:cstheme="minorHAnsi"/>
          <w:sz w:val="24"/>
          <w:szCs w:val="24"/>
        </w:rPr>
        <w:t>,</w:t>
      </w:r>
      <w:r w:rsidR="00904277" w:rsidRPr="00EA15BC">
        <w:rPr>
          <w:rFonts w:cstheme="minorHAnsi"/>
          <w:sz w:val="24"/>
          <w:szCs w:val="24"/>
        </w:rPr>
        <w:t xml:space="preserve"> but</w:t>
      </w:r>
      <w:proofErr w:type="gramEnd"/>
      <w:r w:rsidR="00904277" w:rsidRPr="00EA15BC">
        <w:rPr>
          <w:rFonts w:cstheme="minorHAnsi"/>
          <w:sz w:val="24"/>
          <w:szCs w:val="24"/>
        </w:rPr>
        <w:t xml:space="preserve"> </w:t>
      </w:r>
      <w:r w:rsidR="00C6622D">
        <w:rPr>
          <w:rFonts w:cstheme="minorHAnsi"/>
          <w:sz w:val="24"/>
          <w:szCs w:val="24"/>
        </w:rPr>
        <w:t>is a manifestation of</w:t>
      </w:r>
      <w:r w:rsidR="006C6030">
        <w:rPr>
          <w:rFonts w:cstheme="minorHAnsi"/>
          <w:sz w:val="24"/>
          <w:szCs w:val="24"/>
        </w:rPr>
        <w:t xml:space="preserve"> </w:t>
      </w:r>
      <w:r w:rsidR="00C6622D">
        <w:rPr>
          <w:rFonts w:cstheme="minorHAnsi"/>
          <w:sz w:val="24"/>
          <w:szCs w:val="24"/>
        </w:rPr>
        <w:t xml:space="preserve">the </w:t>
      </w:r>
      <w:r w:rsidR="00904277" w:rsidRPr="00EA15BC">
        <w:rPr>
          <w:rFonts w:cstheme="minorHAnsi"/>
          <w:sz w:val="24"/>
          <w:szCs w:val="24"/>
        </w:rPr>
        <w:t>Continental European culture of privacy</w:t>
      </w:r>
      <w:r w:rsidR="006C6030">
        <w:rPr>
          <w:rFonts w:cstheme="minorHAnsi"/>
          <w:sz w:val="24"/>
          <w:szCs w:val="24"/>
        </w:rPr>
        <w:t xml:space="preserve"> and its </w:t>
      </w:r>
      <w:r w:rsidR="00904277" w:rsidRPr="00EA15BC">
        <w:rPr>
          <w:rFonts w:cstheme="minorHAnsi"/>
          <w:sz w:val="24"/>
          <w:szCs w:val="24"/>
        </w:rPr>
        <w:t>robust openness to privacy-in-public</w:t>
      </w:r>
      <w:r w:rsidR="000A5BC2" w:rsidRPr="00EA15BC">
        <w:rPr>
          <w:rFonts w:cstheme="minorHAnsi"/>
          <w:sz w:val="24"/>
          <w:szCs w:val="24"/>
        </w:rPr>
        <w:t xml:space="preserve">. </w:t>
      </w:r>
      <w:r>
        <w:rPr>
          <w:rFonts w:cstheme="minorHAnsi"/>
          <w:sz w:val="24"/>
          <w:szCs w:val="24"/>
        </w:rPr>
        <w:t>The discussion</w:t>
      </w:r>
      <w:r w:rsidR="006C6030">
        <w:rPr>
          <w:rFonts w:cstheme="minorHAnsi"/>
          <w:sz w:val="24"/>
          <w:szCs w:val="24"/>
        </w:rPr>
        <w:t xml:space="preserve"> takes</w:t>
      </w:r>
      <w:r w:rsidR="00C6622D">
        <w:rPr>
          <w:rFonts w:cstheme="minorHAnsi"/>
          <w:sz w:val="24"/>
          <w:szCs w:val="24"/>
        </w:rPr>
        <w:t>,</w:t>
      </w:r>
      <w:r w:rsidR="006C6030">
        <w:rPr>
          <w:rFonts w:cstheme="minorHAnsi"/>
          <w:sz w:val="24"/>
          <w:szCs w:val="24"/>
        </w:rPr>
        <w:t xml:space="preserve"> as its starting point</w:t>
      </w:r>
      <w:r w:rsidR="00C6622D">
        <w:rPr>
          <w:rFonts w:cstheme="minorHAnsi"/>
          <w:sz w:val="24"/>
          <w:szCs w:val="24"/>
        </w:rPr>
        <w:t>,</w:t>
      </w:r>
      <w:r w:rsidR="006C6030">
        <w:rPr>
          <w:rFonts w:cstheme="minorHAnsi"/>
          <w:sz w:val="24"/>
          <w:szCs w:val="24"/>
        </w:rPr>
        <w:t xml:space="preserve"> </w:t>
      </w:r>
      <w:r w:rsidR="0073647B" w:rsidRPr="00EA15BC">
        <w:rPr>
          <w:rFonts w:cstheme="minorHAnsi"/>
          <w:sz w:val="24"/>
          <w:szCs w:val="24"/>
        </w:rPr>
        <w:t>James Whitman’s comparative privacy study</w:t>
      </w:r>
      <w:r w:rsidR="004672E4" w:rsidRPr="00EA15BC">
        <w:rPr>
          <w:rStyle w:val="FootnoteReference"/>
          <w:rFonts w:cstheme="minorHAnsi"/>
          <w:sz w:val="24"/>
          <w:szCs w:val="24"/>
        </w:rPr>
        <w:footnoteReference w:id="1"/>
      </w:r>
      <w:r w:rsidR="004672E4" w:rsidRPr="00EA15BC">
        <w:rPr>
          <w:rFonts w:cstheme="minorHAnsi"/>
          <w:sz w:val="24"/>
          <w:szCs w:val="24"/>
        </w:rPr>
        <w:t xml:space="preserve"> </w:t>
      </w:r>
      <w:r w:rsidR="0073647B" w:rsidRPr="00EA15BC">
        <w:rPr>
          <w:rFonts w:cstheme="minorHAnsi"/>
          <w:sz w:val="24"/>
          <w:szCs w:val="24"/>
        </w:rPr>
        <w:t>which</w:t>
      </w:r>
      <w:r w:rsidR="00DA2D96" w:rsidRPr="00EA15BC">
        <w:rPr>
          <w:rFonts w:cstheme="minorHAnsi"/>
          <w:sz w:val="24"/>
          <w:szCs w:val="24"/>
        </w:rPr>
        <w:t xml:space="preserve"> situates </w:t>
      </w:r>
      <w:r w:rsidR="00263906">
        <w:rPr>
          <w:rFonts w:cstheme="minorHAnsi"/>
          <w:sz w:val="24"/>
          <w:szCs w:val="24"/>
        </w:rPr>
        <w:t xml:space="preserve">the heart of </w:t>
      </w:r>
      <w:r w:rsidR="0073647B" w:rsidRPr="00EA15BC">
        <w:rPr>
          <w:rFonts w:cstheme="minorHAnsi"/>
          <w:sz w:val="24"/>
          <w:szCs w:val="24"/>
        </w:rPr>
        <w:t>American privacy</w:t>
      </w:r>
      <w:r w:rsidR="00B10A2C" w:rsidRPr="00EA15BC">
        <w:rPr>
          <w:rFonts w:cstheme="minorHAnsi"/>
          <w:sz w:val="24"/>
          <w:szCs w:val="24"/>
        </w:rPr>
        <w:t xml:space="preserve"> culture</w:t>
      </w:r>
      <w:r w:rsidR="0073647B" w:rsidRPr="00EA15BC">
        <w:rPr>
          <w:rFonts w:cstheme="minorHAnsi"/>
          <w:sz w:val="24"/>
          <w:szCs w:val="24"/>
        </w:rPr>
        <w:t xml:space="preserve"> in the </w:t>
      </w:r>
      <w:r w:rsidR="0073647B" w:rsidRPr="00EA15BC">
        <w:rPr>
          <w:rFonts w:cstheme="minorHAnsi"/>
          <w:i/>
          <w:iCs/>
          <w:sz w:val="24"/>
          <w:szCs w:val="24"/>
        </w:rPr>
        <w:t>literal ‘inner space’ of the home</w:t>
      </w:r>
      <w:r w:rsidR="0073647B" w:rsidRPr="00EA15BC">
        <w:rPr>
          <w:rFonts w:cstheme="minorHAnsi"/>
          <w:sz w:val="24"/>
          <w:szCs w:val="24"/>
        </w:rPr>
        <w:t xml:space="preserve"> (building on English common law roots) and </w:t>
      </w:r>
      <w:r w:rsidR="00263906">
        <w:rPr>
          <w:rFonts w:cstheme="minorHAnsi"/>
          <w:sz w:val="24"/>
          <w:szCs w:val="24"/>
        </w:rPr>
        <w:t xml:space="preserve">the </w:t>
      </w:r>
      <w:r w:rsidR="00C6622D">
        <w:rPr>
          <w:rFonts w:cstheme="minorHAnsi"/>
          <w:sz w:val="24"/>
          <w:szCs w:val="24"/>
        </w:rPr>
        <w:t xml:space="preserve">heart </w:t>
      </w:r>
      <w:r w:rsidR="00263906">
        <w:rPr>
          <w:rFonts w:cstheme="minorHAnsi"/>
          <w:sz w:val="24"/>
          <w:szCs w:val="24"/>
        </w:rPr>
        <w:t xml:space="preserve">of </w:t>
      </w:r>
      <w:r w:rsidR="0073647B" w:rsidRPr="00EA15BC">
        <w:rPr>
          <w:rFonts w:cstheme="minorHAnsi"/>
          <w:sz w:val="24"/>
          <w:szCs w:val="24"/>
        </w:rPr>
        <w:t xml:space="preserve">Continental European privacy </w:t>
      </w:r>
      <w:r w:rsidR="000A5BC2" w:rsidRPr="00EA15BC">
        <w:rPr>
          <w:rFonts w:cstheme="minorHAnsi"/>
          <w:sz w:val="24"/>
          <w:szCs w:val="24"/>
        </w:rPr>
        <w:t xml:space="preserve">culture </w:t>
      </w:r>
      <w:r w:rsidR="0073647B" w:rsidRPr="00EA15BC">
        <w:rPr>
          <w:rFonts w:cstheme="minorHAnsi"/>
          <w:sz w:val="24"/>
          <w:szCs w:val="24"/>
        </w:rPr>
        <w:t xml:space="preserve">in a </w:t>
      </w:r>
      <w:r w:rsidR="0073647B" w:rsidRPr="00EA15BC">
        <w:rPr>
          <w:rFonts w:cstheme="minorHAnsi"/>
          <w:i/>
          <w:iCs/>
          <w:sz w:val="24"/>
          <w:szCs w:val="24"/>
        </w:rPr>
        <w:t>metaphorical ‘inner space’ in public</w:t>
      </w:r>
      <w:r>
        <w:rPr>
          <w:rFonts w:cstheme="minorHAnsi"/>
          <w:i/>
          <w:iCs/>
          <w:sz w:val="24"/>
          <w:szCs w:val="24"/>
        </w:rPr>
        <w:t>.</w:t>
      </w:r>
      <w:r w:rsidR="004672E4" w:rsidRPr="00EA15BC">
        <w:rPr>
          <w:rStyle w:val="FootnoteReference"/>
          <w:rFonts w:cstheme="minorHAnsi"/>
          <w:sz w:val="24"/>
          <w:szCs w:val="24"/>
        </w:rPr>
        <w:footnoteReference w:id="2"/>
      </w:r>
      <w:r w:rsidR="0073647B" w:rsidRPr="00EA15BC">
        <w:rPr>
          <w:rFonts w:cstheme="minorHAnsi"/>
          <w:sz w:val="24"/>
          <w:szCs w:val="24"/>
        </w:rPr>
        <w:t xml:space="preserve"> The latter, but not the former, </w:t>
      </w:r>
      <w:r w:rsidR="00811C91" w:rsidRPr="00EA15BC">
        <w:rPr>
          <w:rFonts w:cstheme="minorHAnsi"/>
          <w:sz w:val="24"/>
          <w:szCs w:val="24"/>
        </w:rPr>
        <w:t>culture</w:t>
      </w:r>
      <w:r w:rsidR="0073647B" w:rsidRPr="00EA15BC">
        <w:rPr>
          <w:rFonts w:cstheme="minorHAnsi"/>
          <w:sz w:val="24"/>
          <w:szCs w:val="24"/>
        </w:rPr>
        <w:t xml:space="preserve"> recognises privacy</w:t>
      </w:r>
      <w:r w:rsidR="00811C91" w:rsidRPr="00EA15BC">
        <w:rPr>
          <w:rFonts w:cstheme="minorHAnsi"/>
          <w:sz w:val="24"/>
          <w:szCs w:val="24"/>
        </w:rPr>
        <w:t>-in-</w:t>
      </w:r>
      <w:r w:rsidR="0073647B" w:rsidRPr="00EA15BC">
        <w:rPr>
          <w:rFonts w:cstheme="minorHAnsi"/>
          <w:sz w:val="24"/>
          <w:szCs w:val="24"/>
        </w:rPr>
        <w:t xml:space="preserve">public. </w:t>
      </w:r>
      <w:r w:rsidR="00FA3C61">
        <w:rPr>
          <w:rFonts w:cstheme="minorHAnsi"/>
          <w:sz w:val="24"/>
          <w:szCs w:val="24"/>
        </w:rPr>
        <w:t>Although</w:t>
      </w:r>
      <w:r w:rsidR="00FA3C61" w:rsidRPr="00EA15BC">
        <w:rPr>
          <w:rFonts w:cstheme="minorHAnsi"/>
          <w:sz w:val="24"/>
          <w:szCs w:val="24"/>
        </w:rPr>
        <w:t xml:space="preserve"> </w:t>
      </w:r>
      <w:r w:rsidR="0073647B" w:rsidRPr="00EA15BC">
        <w:rPr>
          <w:rFonts w:cstheme="minorHAnsi"/>
          <w:sz w:val="24"/>
          <w:szCs w:val="24"/>
        </w:rPr>
        <w:t xml:space="preserve">these </w:t>
      </w:r>
      <w:r w:rsidR="00663F05" w:rsidRPr="00EA15BC">
        <w:rPr>
          <w:rFonts w:cstheme="minorHAnsi"/>
          <w:sz w:val="24"/>
          <w:szCs w:val="24"/>
        </w:rPr>
        <w:t>cultures</w:t>
      </w:r>
      <w:r w:rsidR="003E6B8D">
        <w:rPr>
          <w:rFonts w:cstheme="minorHAnsi"/>
          <w:sz w:val="24"/>
          <w:szCs w:val="24"/>
        </w:rPr>
        <w:t xml:space="preserve"> also share much common ground and</w:t>
      </w:r>
      <w:r w:rsidR="00663F05" w:rsidRPr="00EA15BC">
        <w:rPr>
          <w:rFonts w:cstheme="minorHAnsi"/>
          <w:sz w:val="24"/>
          <w:szCs w:val="24"/>
        </w:rPr>
        <w:t xml:space="preserve"> </w:t>
      </w:r>
      <w:r w:rsidR="0073647B" w:rsidRPr="00EA15BC">
        <w:rPr>
          <w:rFonts w:cstheme="minorHAnsi"/>
          <w:sz w:val="24"/>
          <w:szCs w:val="24"/>
        </w:rPr>
        <w:t xml:space="preserve">have long </w:t>
      </w:r>
      <w:r w:rsidR="00FA3C61">
        <w:rPr>
          <w:rFonts w:cstheme="minorHAnsi"/>
          <w:sz w:val="24"/>
          <w:szCs w:val="24"/>
        </w:rPr>
        <w:t>intermingled</w:t>
      </w:r>
      <w:r w:rsidR="00DA2D96" w:rsidRPr="00EA15BC">
        <w:rPr>
          <w:rFonts w:cstheme="minorHAnsi"/>
          <w:sz w:val="24"/>
          <w:szCs w:val="24"/>
        </w:rPr>
        <w:t xml:space="preserve"> in different jurisdiction</w:t>
      </w:r>
      <w:r w:rsidR="001B030B" w:rsidRPr="00EA15BC">
        <w:rPr>
          <w:rFonts w:cstheme="minorHAnsi"/>
          <w:sz w:val="24"/>
          <w:szCs w:val="24"/>
        </w:rPr>
        <w:t>s</w:t>
      </w:r>
      <w:r w:rsidR="003E6B8D">
        <w:rPr>
          <w:rFonts w:cstheme="minorHAnsi"/>
          <w:sz w:val="24"/>
          <w:szCs w:val="24"/>
        </w:rPr>
        <w:t>,</w:t>
      </w:r>
      <w:r w:rsidR="0073647B" w:rsidRPr="00EA15BC">
        <w:rPr>
          <w:rFonts w:cstheme="minorHAnsi"/>
          <w:sz w:val="24"/>
          <w:szCs w:val="24"/>
        </w:rPr>
        <w:t xml:space="preserve"> </w:t>
      </w:r>
      <w:r w:rsidR="00FA3C61">
        <w:rPr>
          <w:rFonts w:cstheme="minorHAnsi"/>
          <w:sz w:val="24"/>
          <w:szCs w:val="24"/>
        </w:rPr>
        <w:t xml:space="preserve">the discussion shows </w:t>
      </w:r>
      <w:r w:rsidR="0073647B" w:rsidRPr="00EA15BC">
        <w:rPr>
          <w:rFonts w:cstheme="minorHAnsi"/>
          <w:sz w:val="24"/>
          <w:szCs w:val="24"/>
        </w:rPr>
        <w:t xml:space="preserve">their enduring influence </w:t>
      </w:r>
      <w:r w:rsidR="00FA3C61">
        <w:rPr>
          <w:rFonts w:cstheme="minorHAnsi"/>
          <w:sz w:val="24"/>
          <w:szCs w:val="24"/>
        </w:rPr>
        <w:t>in</w:t>
      </w:r>
      <w:r w:rsidR="0073647B" w:rsidRPr="00EA15BC">
        <w:rPr>
          <w:rFonts w:cstheme="minorHAnsi"/>
          <w:sz w:val="24"/>
          <w:szCs w:val="24"/>
        </w:rPr>
        <w:t xml:space="preserve"> three contemporary privacy regimes. </w:t>
      </w:r>
      <w:r w:rsidR="00C6622D">
        <w:rPr>
          <w:rFonts w:cstheme="minorHAnsi"/>
          <w:sz w:val="24"/>
          <w:szCs w:val="24"/>
        </w:rPr>
        <w:t>Using</w:t>
      </w:r>
      <w:r w:rsidR="00DA2D96" w:rsidRPr="00EA15BC">
        <w:rPr>
          <w:rFonts w:cstheme="minorHAnsi"/>
          <w:sz w:val="24"/>
          <w:szCs w:val="24"/>
        </w:rPr>
        <w:t xml:space="preserve"> the right to be forgotten</w:t>
      </w:r>
      <w:r w:rsidR="004D7911" w:rsidRPr="00EA15BC">
        <w:rPr>
          <w:rFonts w:cstheme="minorHAnsi"/>
          <w:sz w:val="24"/>
          <w:szCs w:val="24"/>
        </w:rPr>
        <w:t xml:space="preserve"> </w:t>
      </w:r>
      <w:r w:rsidR="00DA2D96" w:rsidRPr="00EA15BC">
        <w:rPr>
          <w:rFonts w:cstheme="minorHAnsi"/>
          <w:sz w:val="24"/>
          <w:szCs w:val="24"/>
        </w:rPr>
        <w:t>as a</w:t>
      </w:r>
      <w:r w:rsidR="005F1779" w:rsidRPr="00EA15BC">
        <w:rPr>
          <w:rFonts w:cstheme="minorHAnsi"/>
          <w:sz w:val="24"/>
          <w:szCs w:val="24"/>
        </w:rPr>
        <w:t xml:space="preserve"> new but</w:t>
      </w:r>
      <w:r w:rsidR="00DA2D96" w:rsidRPr="00EA15BC">
        <w:rPr>
          <w:rFonts w:cstheme="minorHAnsi"/>
          <w:sz w:val="24"/>
          <w:szCs w:val="24"/>
        </w:rPr>
        <w:t xml:space="preserve"> </w:t>
      </w:r>
      <w:r w:rsidR="009511F8" w:rsidRPr="00641E7B">
        <w:rPr>
          <w:rFonts w:cstheme="minorHAnsi"/>
          <w:sz w:val="24"/>
          <w:szCs w:val="24"/>
        </w:rPr>
        <w:t>quintessential</w:t>
      </w:r>
      <w:r w:rsidR="00C6622D">
        <w:rPr>
          <w:rFonts w:cstheme="minorHAnsi"/>
          <w:sz w:val="24"/>
          <w:szCs w:val="24"/>
        </w:rPr>
        <w:t xml:space="preserve"> example of</w:t>
      </w:r>
      <w:r w:rsidR="009511F8" w:rsidRPr="00C6622D">
        <w:rPr>
          <w:rFonts w:cstheme="minorHAnsi"/>
          <w:sz w:val="24"/>
          <w:szCs w:val="24"/>
        </w:rPr>
        <w:t xml:space="preserve"> </w:t>
      </w:r>
      <w:r w:rsidR="00904277" w:rsidRPr="003E6B8D">
        <w:rPr>
          <w:rFonts w:cstheme="minorHAnsi"/>
          <w:sz w:val="24"/>
          <w:szCs w:val="24"/>
        </w:rPr>
        <w:t>data protection</w:t>
      </w:r>
      <w:r w:rsidR="00C6622D">
        <w:rPr>
          <w:rFonts w:cstheme="minorHAnsi"/>
          <w:sz w:val="24"/>
          <w:szCs w:val="24"/>
        </w:rPr>
        <w:t xml:space="preserve"> </w:t>
      </w:r>
      <w:r w:rsidR="003E6B8D">
        <w:rPr>
          <w:rFonts w:cstheme="minorHAnsi"/>
          <w:sz w:val="24"/>
          <w:szCs w:val="24"/>
        </w:rPr>
        <w:t xml:space="preserve">law’s stance </w:t>
      </w:r>
      <w:r w:rsidR="00C6622D">
        <w:rPr>
          <w:rFonts w:cstheme="minorHAnsi"/>
          <w:sz w:val="24"/>
          <w:szCs w:val="24"/>
        </w:rPr>
        <w:t>to</w:t>
      </w:r>
      <w:r w:rsidR="00DA2D96" w:rsidRPr="00C6622D">
        <w:rPr>
          <w:rFonts w:cstheme="minorHAnsi"/>
          <w:sz w:val="24"/>
          <w:szCs w:val="24"/>
        </w:rPr>
        <w:t xml:space="preserve"> privacy</w:t>
      </w:r>
      <w:r w:rsidR="00663F05" w:rsidRPr="003E6B8D">
        <w:rPr>
          <w:rFonts w:cstheme="minorHAnsi"/>
          <w:sz w:val="24"/>
          <w:szCs w:val="24"/>
        </w:rPr>
        <w:t>-in-</w:t>
      </w:r>
      <w:r w:rsidR="00DA2D96" w:rsidRPr="003E6B8D">
        <w:rPr>
          <w:rFonts w:cstheme="minorHAnsi"/>
          <w:sz w:val="24"/>
          <w:szCs w:val="24"/>
        </w:rPr>
        <w:t>public</w:t>
      </w:r>
      <w:r w:rsidR="004D7911" w:rsidRPr="00EA15BC">
        <w:rPr>
          <w:rFonts w:cstheme="minorHAnsi"/>
          <w:sz w:val="24"/>
          <w:szCs w:val="24"/>
        </w:rPr>
        <w:t xml:space="preserve">, </w:t>
      </w:r>
      <w:r w:rsidR="00DA2D96" w:rsidRPr="00EA15BC">
        <w:rPr>
          <w:rFonts w:cstheme="minorHAnsi"/>
          <w:sz w:val="24"/>
          <w:szCs w:val="24"/>
        </w:rPr>
        <w:t>the</w:t>
      </w:r>
      <w:r w:rsidR="00883803" w:rsidRPr="00EA15BC">
        <w:rPr>
          <w:rFonts w:cstheme="minorHAnsi"/>
          <w:sz w:val="24"/>
          <w:szCs w:val="24"/>
        </w:rPr>
        <w:t xml:space="preserve"> article </w:t>
      </w:r>
      <w:r w:rsidR="009511F8" w:rsidRPr="00641E7B">
        <w:rPr>
          <w:rFonts w:cstheme="minorHAnsi"/>
          <w:sz w:val="24"/>
          <w:szCs w:val="24"/>
        </w:rPr>
        <w:t>assesses</w:t>
      </w:r>
      <w:r w:rsidR="00DA2D96" w:rsidRPr="00EA15BC">
        <w:rPr>
          <w:rFonts w:cstheme="minorHAnsi"/>
          <w:sz w:val="24"/>
          <w:szCs w:val="24"/>
        </w:rPr>
        <w:t xml:space="preserve"> the </w:t>
      </w:r>
      <w:r w:rsidR="004D7911" w:rsidRPr="003E6B8D">
        <w:rPr>
          <w:rFonts w:cstheme="minorHAnsi"/>
          <w:sz w:val="24"/>
          <w:szCs w:val="24"/>
        </w:rPr>
        <w:t>comparative</w:t>
      </w:r>
      <w:r w:rsidR="00DA2D96" w:rsidRPr="00EA15BC">
        <w:rPr>
          <w:rFonts w:cstheme="minorHAnsi"/>
          <w:sz w:val="24"/>
          <w:szCs w:val="24"/>
        </w:rPr>
        <w:t xml:space="preserve"> openness to such claims </w:t>
      </w:r>
      <w:r w:rsidR="0073647B" w:rsidRPr="00EA15BC">
        <w:rPr>
          <w:rFonts w:cstheme="minorHAnsi"/>
          <w:sz w:val="24"/>
          <w:szCs w:val="24"/>
        </w:rPr>
        <w:t xml:space="preserve">(1) by the CJEU as the authoritative voice on GDPR normativity, (2) by the US judiciary as committed to the First and Fourth Amendment, and (3) by the Strasbourg Court on Art 8 of the ECHR and its fused Anglo-American and Continental European privacy jurisprudence. </w:t>
      </w:r>
      <w:r w:rsidR="00C6622D">
        <w:rPr>
          <w:rFonts w:cstheme="minorHAnsi"/>
          <w:sz w:val="24"/>
          <w:szCs w:val="24"/>
        </w:rPr>
        <w:t>The</w:t>
      </w:r>
      <w:r w:rsidR="0073647B" w:rsidRPr="00EA15BC">
        <w:rPr>
          <w:rFonts w:cstheme="minorHAnsi"/>
          <w:sz w:val="24"/>
          <w:szCs w:val="24"/>
        </w:rPr>
        <w:t xml:space="preserve"> </w:t>
      </w:r>
      <w:r w:rsidR="00C6622D">
        <w:rPr>
          <w:rFonts w:cstheme="minorHAnsi"/>
          <w:sz w:val="24"/>
          <w:szCs w:val="24"/>
        </w:rPr>
        <w:t xml:space="preserve">Strasbourg </w:t>
      </w:r>
      <w:r w:rsidR="0073647B" w:rsidRPr="00EA15BC">
        <w:rPr>
          <w:rFonts w:cstheme="minorHAnsi"/>
          <w:sz w:val="24"/>
          <w:szCs w:val="24"/>
        </w:rPr>
        <w:t>jurisprudence in particular</w:t>
      </w:r>
      <w:r w:rsidR="00C6622D">
        <w:rPr>
          <w:rFonts w:cstheme="minorHAnsi"/>
          <w:sz w:val="24"/>
          <w:szCs w:val="24"/>
        </w:rPr>
        <w:t xml:space="preserve"> </w:t>
      </w:r>
      <w:r w:rsidR="0073647B" w:rsidRPr="00EA15BC">
        <w:rPr>
          <w:rFonts w:cstheme="minorHAnsi"/>
          <w:sz w:val="24"/>
          <w:szCs w:val="24"/>
        </w:rPr>
        <w:t>highlights the tensions arising from trying to marry the two</w:t>
      </w:r>
      <w:r w:rsidR="00DA2D96" w:rsidRPr="00EA15BC">
        <w:rPr>
          <w:rFonts w:cstheme="minorHAnsi"/>
          <w:sz w:val="24"/>
          <w:szCs w:val="24"/>
        </w:rPr>
        <w:t xml:space="preserve"> privacy</w:t>
      </w:r>
      <w:r w:rsidR="0073647B" w:rsidRPr="00EA15BC">
        <w:rPr>
          <w:rFonts w:cstheme="minorHAnsi"/>
          <w:sz w:val="24"/>
          <w:szCs w:val="24"/>
        </w:rPr>
        <w:t xml:space="preserve"> traditions,</w:t>
      </w:r>
      <w:r w:rsidR="005F1779" w:rsidRPr="00EA15BC">
        <w:rPr>
          <w:rFonts w:cstheme="minorHAnsi"/>
          <w:sz w:val="24"/>
          <w:szCs w:val="24"/>
        </w:rPr>
        <w:t xml:space="preserve"> or</w:t>
      </w:r>
      <w:r w:rsidR="0073647B" w:rsidRPr="00EA15BC">
        <w:rPr>
          <w:rFonts w:cstheme="minorHAnsi"/>
          <w:sz w:val="24"/>
          <w:szCs w:val="24"/>
        </w:rPr>
        <w:t xml:space="preserve"> merg</w:t>
      </w:r>
      <w:r w:rsidR="001B030B" w:rsidRPr="00EA15BC">
        <w:rPr>
          <w:rFonts w:cstheme="minorHAnsi"/>
          <w:sz w:val="24"/>
          <w:szCs w:val="24"/>
        </w:rPr>
        <w:t>e</w:t>
      </w:r>
      <w:r w:rsidR="0073647B" w:rsidRPr="00EA15BC">
        <w:rPr>
          <w:rFonts w:cstheme="minorHAnsi"/>
          <w:sz w:val="24"/>
          <w:szCs w:val="24"/>
        </w:rPr>
        <w:t xml:space="preserve"> data protection and ‘privacy’ law</w:t>
      </w:r>
      <w:r w:rsidR="003E6B8D">
        <w:rPr>
          <w:rFonts w:cstheme="minorHAnsi"/>
          <w:sz w:val="24"/>
          <w:szCs w:val="24"/>
        </w:rPr>
        <w:t xml:space="preserve">, and yet, </w:t>
      </w:r>
      <w:r w:rsidR="000A5BC2" w:rsidRPr="00EA15BC">
        <w:rPr>
          <w:rFonts w:cstheme="minorHAnsi"/>
          <w:sz w:val="24"/>
          <w:szCs w:val="24"/>
        </w:rPr>
        <w:t>t</w:t>
      </w:r>
      <w:r w:rsidR="00C6622D">
        <w:rPr>
          <w:rFonts w:cstheme="minorHAnsi"/>
          <w:sz w:val="24"/>
          <w:szCs w:val="24"/>
        </w:rPr>
        <w:t>hese</w:t>
      </w:r>
      <w:r w:rsidR="000A5BC2" w:rsidRPr="00EA15BC">
        <w:rPr>
          <w:rFonts w:cstheme="minorHAnsi"/>
          <w:sz w:val="24"/>
          <w:szCs w:val="24"/>
        </w:rPr>
        <w:t xml:space="preserve"> tensions </w:t>
      </w:r>
      <w:r w:rsidR="00C6622D">
        <w:rPr>
          <w:rFonts w:cstheme="minorHAnsi"/>
          <w:sz w:val="24"/>
          <w:szCs w:val="24"/>
        </w:rPr>
        <w:t xml:space="preserve">also </w:t>
      </w:r>
      <w:r w:rsidR="000A5BC2" w:rsidRPr="00EA15BC">
        <w:rPr>
          <w:rFonts w:cstheme="minorHAnsi"/>
          <w:sz w:val="24"/>
          <w:szCs w:val="24"/>
        </w:rPr>
        <w:t>offer</w:t>
      </w:r>
      <w:r w:rsidR="00883803" w:rsidRPr="00EA15BC">
        <w:rPr>
          <w:rFonts w:cstheme="minorHAnsi"/>
          <w:sz w:val="24"/>
          <w:szCs w:val="24"/>
        </w:rPr>
        <w:t xml:space="preserve">, </w:t>
      </w:r>
      <w:r w:rsidR="000A5BC2" w:rsidRPr="00EA15BC">
        <w:rPr>
          <w:rFonts w:cstheme="minorHAnsi"/>
          <w:sz w:val="24"/>
          <w:szCs w:val="24"/>
        </w:rPr>
        <w:t xml:space="preserve">as encounters with the </w:t>
      </w:r>
      <w:r w:rsidR="00DA2D96" w:rsidRPr="00EA15BC">
        <w:rPr>
          <w:rFonts w:cstheme="minorHAnsi"/>
          <w:sz w:val="24"/>
          <w:szCs w:val="24"/>
        </w:rPr>
        <w:t>‘</w:t>
      </w:r>
      <w:r w:rsidR="000A5BC2" w:rsidRPr="00EA15BC">
        <w:rPr>
          <w:rFonts w:cstheme="minorHAnsi"/>
          <w:sz w:val="24"/>
          <w:szCs w:val="24"/>
        </w:rPr>
        <w:t>Other</w:t>
      </w:r>
      <w:r w:rsidR="00DA2D96" w:rsidRPr="00EA15BC">
        <w:rPr>
          <w:rFonts w:cstheme="minorHAnsi"/>
          <w:sz w:val="24"/>
          <w:szCs w:val="24"/>
        </w:rPr>
        <w:t>’</w:t>
      </w:r>
      <w:r w:rsidR="00883803" w:rsidRPr="00EA15BC">
        <w:rPr>
          <w:rFonts w:cstheme="minorHAnsi"/>
          <w:sz w:val="24"/>
          <w:szCs w:val="24"/>
        </w:rPr>
        <w:t>,</w:t>
      </w:r>
      <w:r w:rsidR="000A5BC2" w:rsidRPr="00EA15BC">
        <w:rPr>
          <w:rFonts w:cstheme="minorHAnsi"/>
          <w:sz w:val="24"/>
          <w:szCs w:val="24"/>
        </w:rPr>
        <w:t xml:space="preserve"> </w:t>
      </w:r>
      <w:r w:rsidR="00DA2D96" w:rsidRPr="00EA15BC">
        <w:rPr>
          <w:rFonts w:cstheme="minorHAnsi"/>
          <w:sz w:val="24"/>
          <w:szCs w:val="24"/>
        </w:rPr>
        <w:t>insights and opportunities.</w:t>
      </w:r>
      <w:r w:rsidR="000A5BC2" w:rsidRPr="005927F3">
        <w:rPr>
          <w:rFonts w:cstheme="minorHAnsi"/>
          <w:sz w:val="24"/>
          <w:szCs w:val="24"/>
        </w:rPr>
        <w:t xml:space="preserve">  </w:t>
      </w:r>
    </w:p>
    <w:p w14:paraId="3F995122" w14:textId="77CA681B" w:rsidR="00B30605" w:rsidRPr="005927F3" w:rsidRDefault="00B30605" w:rsidP="008B308D">
      <w:pPr>
        <w:spacing w:after="0" w:line="240" w:lineRule="auto"/>
        <w:jc w:val="both"/>
        <w:rPr>
          <w:rFonts w:cstheme="minorHAnsi"/>
          <w:sz w:val="24"/>
          <w:szCs w:val="24"/>
        </w:rPr>
      </w:pPr>
    </w:p>
    <w:p w14:paraId="4E157D49" w14:textId="76BB58EF" w:rsidR="005A5E4E" w:rsidRPr="005927F3" w:rsidRDefault="00AF39D4" w:rsidP="008B308D">
      <w:pPr>
        <w:spacing w:after="0" w:line="240" w:lineRule="auto"/>
        <w:jc w:val="both"/>
        <w:rPr>
          <w:rFonts w:cstheme="minorHAnsi"/>
          <w:sz w:val="24"/>
          <w:szCs w:val="24"/>
        </w:rPr>
      </w:pPr>
      <w:r w:rsidRPr="005927F3">
        <w:rPr>
          <w:rFonts w:cstheme="minorHAnsi"/>
          <w:sz w:val="24"/>
          <w:szCs w:val="24"/>
        </w:rPr>
        <w:t>The</w:t>
      </w:r>
      <w:r w:rsidR="00B30605" w:rsidRPr="005927F3">
        <w:rPr>
          <w:rFonts w:cstheme="minorHAnsi"/>
          <w:sz w:val="24"/>
          <w:szCs w:val="24"/>
        </w:rPr>
        <w:t xml:space="preserve"> wider </w:t>
      </w:r>
      <w:bookmarkEnd w:id="5"/>
      <w:r w:rsidR="00B30605" w:rsidRPr="005927F3">
        <w:rPr>
          <w:rFonts w:cstheme="minorHAnsi"/>
          <w:sz w:val="24"/>
          <w:szCs w:val="24"/>
        </w:rPr>
        <w:t>background that</w:t>
      </w:r>
      <w:r w:rsidR="00FE09CE" w:rsidRPr="005927F3">
        <w:rPr>
          <w:rFonts w:cstheme="minorHAnsi"/>
          <w:sz w:val="24"/>
          <w:szCs w:val="24"/>
        </w:rPr>
        <w:t xml:space="preserve"> provides the</w:t>
      </w:r>
      <w:r w:rsidR="00B30605" w:rsidRPr="005927F3">
        <w:rPr>
          <w:rFonts w:cstheme="minorHAnsi"/>
          <w:sz w:val="24"/>
          <w:szCs w:val="24"/>
        </w:rPr>
        <w:t xml:space="preserve"> </w:t>
      </w:r>
      <w:r w:rsidR="000A5BC2" w:rsidRPr="005927F3">
        <w:rPr>
          <w:rFonts w:cstheme="minorHAnsi"/>
          <w:sz w:val="24"/>
          <w:szCs w:val="24"/>
        </w:rPr>
        <w:t>context</w:t>
      </w:r>
      <w:r w:rsidR="00FE09CE" w:rsidRPr="005927F3">
        <w:rPr>
          <w:rFonts w:cstheme="minorHAnsi"/>
          <w:sz w:val="24"/>
          <w:szCs w:val="24"/>
        </w:rPr>
        <w:t xml:space="preserve"> for</w:t>
      </w:r>
      <w:r w:rsidR="00B30605" w:rsidRPr="005927F3">
        <w:rPr>
          <w:rFonts w:cstheme="minorHAnsi"/>
          <w:sz w:val="24"/>
          <w:szCs w:val="24"/>
        </w:rPr>
        <w:t xml:space="preserve"> the </w:t>
      </w:r>
      <w:r w:rsidR="00CE0C59" w:rsidRPr="005927F3">
        <w:rPr>
          <w:rFonts w:cstheme="minorHAnsi"/>
          <w:sz w:val="24"/>
          <w:szCs w:val="24"/>
        </w:rPr>
        <w:t>discussion</w:t>
      </w:r>
      <w:r w:rsidRPr="005927F3">
        <w:rPr>
          <w:rFonts w:cstheme="minorHAnsi"/>
          <w:sz w:val="24"/>
          <w:szCs w:val="24"/>
        </w:rPr>
        <w:t xml:space="preserve"> are 21</w:t>
      </w:r>
      <w:r w:rsidRPr="005927F3">
        <w:rPr>
          <w:rFonts w:cstheme="minorHAnsi"/>
          <w:sz w:val="24"/>
          <w:szCs w:val="24"/>
          <w:vertAlign w:val="superscript"/>
        </w:rPr>
        <w:t>st</w:t>
      </w:r>
      <w:r w:rsidRPr="005927F3">
        <w:rPr>
          <w:rFonts w:cstheme="minorHAnsi"/>
          <w:sz w:val="24"/>
          <w:szCs w:val="24"/>
        </w:rPr>
        <w:t xml:space="preserve"> century</w:t>
      </w:r>
      <w:r w:rsidR="00B30605" w:rsidRPr="005927F3">
        <w:rPr>
          <w:rFonts w:cstheme="minorHAnsi"/>
          <w:sz w:val="24"/>
          <w:szCs w:val="24"/>
        </w:rPr>
        <w:t xml:space="preserve"> socio-technological developments with enormous privacy-intrusive potentials</w:t>
      </w:r>
      <w:r w:rsidRPr="005927F3">
        <w:rPr>
          <w:rFonts w:cstheme="minorHAnsi"/>
          <w:sz w:val="24"/>
          <w:szCs w:val="24"/>
        </w:rPr>
        <w:t xml:space="preserve"> and </w:t>
      </w:r>
      <w:r w:rsidR="00CE0C59" w:rsidRPr="005927F3">
        <w:rPr>
          <w:rFonts w:cstheme="minorHAnsi"/>
          <w:sz w:val="24"/>
          <w:szCs w:val="24"/>
        </w:rPr>
        <w:t xml:space="preserve">which </w:t>
      </w:r>
      <w:r w:rsidR="002069D7" w:rsidRPr="005927F3">
        <w:rPr>
          <w:rFonts w:cstheme="minorHAnsi"/>
          <w:sz w:val="24"/>
          <w:szCs w:val="24"/>
        </w:rPr>
        <w:t xml:space="preserve">may be categorised </w:t>
      </w:r>
      <w:r w:rsidR="00DA2D96" w:rsidRPr="005927F3">
        <w:rPr>
          <w:rFonts w:cstheme="minorHAnsi"/>
          <w:sz w:val="24"/>
          <w:szCs w:val="24"/>
        </w:rPr>
        <w:t>as</w:t>
      </w:r>
      <w:r w:rsidR="00B30605" w:rsidRPr="005927F3">
        <w:rPr>
          <w:rFonts w:cstheme="minorHAnsi"/>
          <w:sz w:val="24"/>
          <w:szCs w:val="24"/>
        </w:rPr>
        <w:t xml:space="preserve"> </w:t>
      </w:r>
      <w:r w:rsidR="00E43A9A" w:rsidRPr="005927F3">
        <w:rPr>
          <w:rFonts w:cstheme="minorHAnsi"/>
          <w:sz w:val="24"/>
          <w:szCs w:val="24"/>
        </w:rPr>
        <w:t xml:space="preserve">overt </w:t>
      </w:r>
      <w:r w:rsidRPr="005927F3">
        <w:rPr>
          <w:rFonts w:cstheme="minorHAnsi"/>
          <w:sz w:val="24"/>
          <w:szCs w:val="24"/>
        </w:rPr>
        <w:t xml:space="preserve">and </w:t>
      </w:r>
      <w:r w:rsidR="00B30605" w:rsidRPr="005927F3">
        <w:rPr>
          <w:rFonts w:cstheme="minorHAnsi"/>
          <w:sz w:val="24"/>
          <w:szCs w:val="24"/>
        </w:rPr>
        <w:t xml:space="preserve">covert </w:t>
      </w:r>
      <w:r w:rsidR="00E43A9A" w:rsidRPr="005927F3">
        <w:rPr>
          <w:rFonts w:cstheme="minorHAnsi"/>
          <w:sz w:val="24"/>
          <w:szCs w:val="24"/>
        </w:rPr>
        <w:t>information practices</w:t>
      </w:r>
      <w:r w:rsidRPr="005927F3">
        <w:rPr>
          <w:rFonts w:cstheme="minorHAnsi"/>
          <w:sz w:val="24"/>
          <w:szCs w:val="24"/>
        </w:rPr>
        <w:t>.</w:t>
      </w:r>
      <w:r w:rsidR="00206C5E" w:rsidRPr="005927F3">
        <w:rPr>
          <w:rFonts w:cstheme="minorHAnsi"/>
          <w:sz w:val="24"/>
          <w:szCs w:val="24"/>
        </w:rPr>
        <w:t xml:space="preserve"> </w:t>
      </w:r>
      <w:r w:rsidR="00206C5E" w:rsidRPr="005927F3">
        <w:rPr>
          <w:rFonts w:cstheme="minorHAnsi"/>
          <w:i/>
          <w:iCs/>
          <w:sz w:val="24"/>
          <w:szCs w:val="24"/>
        </w:rPr>
        <w:t>Overt</w:t>
      </w:r>
      <w:r w:rsidR="00206C5E" w:rsidRPr="005927F3">
        <w:rPr>
          <w:rFonts w:cstheme="minorHAnsi"/>
          <w:sz w:val="24"/>
          <w:szCs w:val="24"/>
        </w:rPr>
        <w:t xml:space="preserve"> </w:t>
      </w:r>
      <w:r w:rsidR="00CE0C59" w:rsidRPr="005927F3">
        <w:rPr>
          <w:rFonts w:cstheme="minorHAnsi"/>
          <w:sz w:val="24"/>
          <w:szCs w:val="24"/>
        </w:rPr>
        <w:t xml:space="preserve">information or data </w:t>
      </w:r>
      <w:r w:rsidR="00206C5E" w:rsidRPr="005927F3">
        <w:rPr>
          <w:rFonts w:cstheme="minorHAnsi"/>
          <w:sz w:val="24"/>
          <w:szCs w:val="24"/>
        </w:rPr>
        <w:t>practic</w:t>
      </w:r>
      <w:r w:rsidR="00283C0C" w:rsidRPr="005927F3">
        <w:rPr>
          <w:rFonts w:cstheme="minorHAnsi"/>
          <w:sz w:val="24"/>
          <w:szCs w:val="24"/>
        </w:rPr>
        <w:t>es</w:t>
      </w:r>
      <w:r w:rsidR="00B30605" w:rsidRPr="005927F3">
        <w:rPr>
          <w:rFonts w:cstheme="minorHAnsi"/>
          <w:sz w:val="24"/>
          <w:szCs w:val="24"/>
        </w:rPr>
        <w:t xml:space="preserve"> </w:t>
      </w:r>
      <w:r w:rsidR="002069D7" w:rsidRPr="005927F3">
        <w:rPr>
          <w:rFonts w:cstheme="minorHAnsi"/>
          <w:sz w:val="24"/>
          <w:szCs w:val="24"/>
        </w:rPr>
        <w:t xml:space="preserve">refer to </w:t>
      </w:r>
      <w:r w:rsidR="00283C0C" w:rsidRPr="005927F3">
        <w:rPr>
          <w:rFonts w:cstheme="minorHAnsi"/>
          <w:sz w:val="24"/>
          <w:szCs w:val="24"/>
        </w:rPr>
        <w:t xml:space="preserve">digital disseminations and disclosures, such as revelations on social media or search </w:t>
      </w:r>
      <w:r w:rsidR="00283C0C" w:rsidRPr="005927F3">
        <w:rPr>
          <w:rFonts w:cstheme="minorHAnsi"/>
          <w:sz w:val="24"/>
          <w:szCs w:val="24"/>
        </w:rPr>
        <w:lastRenderedPageBreak/>
        <w:t>results</w:t>
      </w:r>
      <w:r w:rsidR="002069D7" w:rsidRPr="005927F3">
        <w:rPr>
          <w:rFonts w:cstheme="minorHAnsi"/>
          <w:sz w:val="24"/>
          <w:szCs w:val="24"/>
        </w:rPr>
        <w:t xml:space="preserve">, </w:t>
      </w:r>
      <w:r w:rsidR="00CE0C59" w:rsidRPr="005927F3">
        <w:rPr>
          <w:rFonts w:cstheme="minorHAnsi"/>
          <w:sz w:val="24"/>
          <w:szCs w:val="24"/>
        </w:rPr>
        <w:t xml:space="preserve">that </w:t>
      </w:r>
      <w:r w:rsidR="000A5BC2" w:rsidRPr="005927F3">
        <w:rPr>
          <w:rFonts w:cstheme="minorHAnsi"/>
          <w:sz w:val="24"/>
          <w:szCs w:val="24"/>
        </w:rPr>
        <w:t>can</w:t>
      </w:r>
      <w:r w:rsidR="00CE0C59" w:rsidRPr="005927F3">
        <w:rPr>
          <w:rFonts w:cstheme="minorHAnsi"/>
          <w:sz w:val="24"/>
          <w:szCs w:val="24"/>
        </w:rPr>
        <w:t xml:space="preserve"> have significant consequences for</w:t>
      </w:r>
      <w:r w:rsidR="002069D7" w:rsidRPr="005927F3">
        <w:rPr>
          <w:rFonts w:cstheme="minorHAnsi"/>
          <w:sz w:val="24"/>
          <w:szCs w:val="24"/>
        </w:rPr>
        <w:t xml:space="preserve"> individual flourishing.</w:t>
      </w:r>
      <w:r w:rsidR="00D662BE" w:rsidRPr="005927F3">
        <w:rPr>
          <w:rStyle w:val="FootnoteReference"/>
          <w:rFonts w:cstheme="minorHAnsi"/>
          <w:sz w:val="24"/>
          <w:szCs w:val="24"/>
        </w:rPr>
        <w:footnoteReference w:id="3"/>
      </w:r>
      <w:r w:rsidR="00D662BE" w:rsidRPr="005927F3">
        <w:rPr>
          <w:rFonts w:cstheme="minorHAnsi"/>
          <w:sz w:val="24"/>
          <w:szCs w:val="24"/>
        </w:rPr>
        <w:t xml:space="preserve"> </w:t>
      </w:r>
      <w:r w:rsidR="000A63B5" w:rsidRPr="005927F3">
        <w:rPr>
          <w:rFonts w:cstheme="minorHAnsi"/>
          <w:sz w:val="24"/>
          <w:szCs w:val="24"/>
        </w:rPr>
        <w:t xml:space="preserve">JD </w:t>
      </w:r>
      <w:proofErr w:type="spellStart"/>
      <w:r w:rsidR="000A63B5" w:rsidRPr="005927F3">
        <w:rPr>
          <w:rFonts w:cstheme="minorHAnsi"/>
          <w:sz w:val="24"/>
          <w:szCs w:val="24"/>
        </w:rPr>
        <w:t>Lasica</w:t>
      </w:r>
      <w:proofErr w:type="spellEnd"/>
      <w:r w:rsidR="000A63B5" w:rsidRPr="005927F3">
        <w:rPr>
          <w:rFonts w:cstheme="minorHAnsi"/>
          <w:sz w:val="24"/>
          <w:szCs w:val="24"/>
        </w:rPr>
        <w:t xml:space="preserve"> reflected as early as 1998 </w:t>
      </w:r>
      <w:r w:rsidR="00B13C4C" w:rsidRPr="005927F3">
        <w:rPr>
          <w:rFonts w:cstheme="minorHAnsi"/>
          <w:sz w:val="24"/>
          <w:szCs w:val="24"/>
        </w:rPr>
        <w:t xml:space="preserve">on the </w:t>
      </w:r>
      <w:r w:rsidR="00CE0C59" w:rsidRPr="005927F3">
        <w:rPr>
          <w:rFonts w:cstheme="minorHAnsi"/>
          <w:sz w:val="24"/>
          <w:szCs w:val="24"/>
        </w:rPr>
        <w:t>repercussions of the online</w:t>
      </w:r>
      <w:r w:rsidR="00B13C4C" w:rsidRPr="005927F3">
        <w:rPr>
          <w:rFonts w:cstheme="minorHAnsi"/>
          <w:sz w:val="24"/>
          <w:szCs w:val="24"/>
        </w:rPr>
        <w:t xml:space="preserve"> accessibility of personal information across time and space</w:t>
      </w:r>
      <w:r w:rsidR="000E634C" w:rsidRPr="005927F3">
        <w:rPr>
          <w:rFonts w:cstheme="minorHAnsi"/>
          <w:sz w:val="24"/>
          <w:szCs w:val="24"/>
        </w:rPr>
        <w:t>: ‘Our past now follows us as never before. For centuries, refugees sailed the Atlantic to start new lives; Easterners pulled up stakes and moved west. Today, reinvention and second chances come less easily: You may leave town, but your electronic shadow stays behind.’</w:t>
      </w:r>
      <w:r w:rsidR="000E634C" w:rsidRPr="005927F3">
        <w:rPr>
          <w:rStyle w:val="FootnoteReference"/>
          <w:rFonts w:cstheme="minorHAnsi"/>
          <w:sz w:val="24"/>
          <w:szCs w:val="24"/>
        </w:rPr>
        <w:footnoteReference w:id="4"/>
      </w:r>
      <w:r w:rsidR="0094457B" w:rsidRPr="005927F3">
        <w:rPr>
          <w:rFonts w:cstheme="minorHAnsi"/>
          <w:sz w:val="24"/>
          <w:szCs w:val="24"/>
        </w:rPr>
        <w:t xml:space="preserve"> </w:t>
      </w:r>
      <w:r w:rsidR="008E3C60" w:rsidRPr="005927F3">
        <w:rPr>
          <w:rFonts w:cstheme="minorHAnsi"/>
          <w:sz w:val="24"/>
          <w:szCs w:val="24"/>
        </w:rPr>
        <w:t>For</w:t>
      </w:r>
      <w:r w:rsidR="00576509" w:rsidRPr="005927F3">
        <w:rPr>
          <w:rFonts w:cstheme="minorHAnsi"/>
          <w:sz w:val="24"/>
          <w:szCs w:val="24"/>
        </w:rPr>
        <w:t xml:space="preserve"> Jeffrey Rosen the web’s memory is ‘threatening, at an existential level, our ability to control our identities’ and </w:t>
      </w:r>
      <w:r w:rsidR="008E3C60" w:rsidRPr="005927F3">
        <w:rPr>
          <w:rFonts w:cstheme="minorHAnsi"/>
          <w:sz w:val="24"/>
          <w:szCs w:val="24"/>
        </w:rPr>
        <w:t>is profoundly</w:t>
      </w:r>
      <w:r w:rsidR="00576509" w:rsidRPr="005927F3">
        <w:rPr>
          <w:rFonts w:cstheme="minorHAnsi"/>
          <w:sz w:val="24"/>
          <w:szCs w:val="24"/>
        </w:rPr>
        <w:t xml:space="preserve"> at odds with the individualism </w:t>
      </w:r>
      <w:r w:rsidR="008E3C60" w:rsidRPr="005927F3">
        <w:rPr>
          <w:rFonts w:cstheme="minorHAnsi"/>
          <w:sz w:val="24"/>
          <w:szCs w:val="24"/>
        </w:rPr>
        <w:t>that</w:t>
      </w:r>
      <w:r w:rsidR="00576509" w:rsidRPr="005927F3">
        <w:rPr>
          <w:rFonts w:cstheme="minorHAnsi"/>
          <w:sz w:val="24"/>
          <w:szCs w:val="24"/>
        </w:rPr>
        <w:t xml:space="preserve"> emerged in the Renaissance and with it the ‘new conception of malleable and fluid identity’ as expressed ‘in the American ideal of the self-made man.’</w:t>
      </w:r>
      <w:r w:rsidR="00576509" w:rsidRPr="005927F3">
        <w:rPr>
          <w:rStyle w:val="FootnoteReference"/>
          <w:rFonts w:cstheme="minorHAnsi"/>
          <w:sz w:val="24"/>
          <w:szCs w:val="24"/>
        </w:rPr>
        <w:footnoteReference w:id="5"/>
      </w:r>
      <w:r w:rsidR="00576509" w:rsidRPr="005927F3">
        <w:rPr>
          <w:rFonts w:cstheme="minorHAnsi"/>
          <w:sz w:val="24"/>
          <w:szCs w:val="24"/>
        </w:rPr>
        <w:t xml:space="preserve"> </w:t>
      </w:r>
      <w:r w:rsidR="008E3C60" w:rsidRPr="005927F3">
        <w:rPr>
          <w:rFonts w:cstheme="minorHAnsi"/>
          <w:sz w:val="24"/>
          <w:szCs w:val="24"/>
        </w:rPr>
        <w:t>Since then the</w:t>
      </w:r>
      <w:r w:rsidR="00576509" w:rsidRPr="005927F3">
        <w:rPr>
          <w:rFonts w:cstheme="minorHAnsi"/>
          <w:sz w:val="24"/>
          <w:szCs w:val="24"/>
        </w:rPr>
        <w:t xml:space="preserve"> argument in favour of </w:t>
      </w:r>
      <w:r w:rsidR="00B13C4C" w:rsidRPr="005927F3">
        <w:rPr>
          <w:rFonts w:cstheme="minorHAnsi"/>
          <w:sz w:val="24"/>
          <w:szCs w:val="24"/>
        </w:rPr>
        <w:t xml:space="preserve">a </w:t>
      </w:r>
      <w:r w:rsidR="008E3C60" w:rsidRPr="005927F3">
        <w:rPr>
          <w:rFonts w:cstheme="minorHAnsi"/>
          <w:sz w:val="24"/>
          <w:szCs w:val="24"/>
        </w:rPr>
        <w:t xml:space="preserve">right </w:t>
      </w:r>
      <w:r w:rsidR="00D41301" w:rsidRPr="005927F3">
        <w:rPr>
          <w:rFonts w:cstheme="minorHAnsi"/>
          <w:sz w:val="24"/>
          <w:szCs w:val="24"/>
        </w:rPr>
        <w:t>of information bankruptcy</w:t>
      </w:r>
      <w:r w:rsidR="008E3C60" w:rsidRPr="005927F3">
        <w:rPr>
          <w:rFonts w:cstheme="minorHAnsi"/>
          <w:sz w:val="24"/>
          <w:szCs w:val="24"/>
        </w:rPr>
        <w:t>,</w:t>
      </w:r>
      <w:r w:rsidR="00B13C4C" w:rsidRPr="005927F3">
        <w:rPr>
          <w:rStyle w:val="FootnoteReference"/>
          <w:rFonts w:cstheme="minorHAnsi"/>
          <w:sz w:val="24"/>
          <w:szCs w:val="24"/>
        </w:rPr>
        <w:footnoteReference w:id="6"/>
      </w:r>
      <w:r w:rsidR="00B13C4C" w:rsidRPr="005927F3">
        <w:rPr>
          <w:rFonts w:cstheme="minorHAnsi"/>
          <w:sz w:val="24"/>
          <w:szCs w:val="24"/>
        </w:rPr>
        <w:t xml:space="preserve"> </w:t>
      </w:r>
      <w:r w:rsidR="008E3C60" w:rsidRPr="005927F3">
        <w:rPr>
          <w:rFonts w:cstheme="minorHAnsi"/>
          <w:sz w:val="24"/>
          <w:szCs w:val="24"/>
        </w:rPr>
        <w:t>or</w:t>
      </w:r>
      <w:r w:rsidR="00576509" w:rsidRPr="005927F3">
        <w:rPr>
          <w:rFonts w:cstheme="minorHAnsi"/>
          <w:sz w:val="24"/>
          <w:szCs w:val="24"/>
        </w:rPr>
        <w:t xml:space="preserve"> giving </w:t>
      </w:r>
      <w:r w:rsidR="00684D9A" w:rsidRPr="005927F3">
        <w:rPr>
          <w:rFonts w:cstheme="minorHAnsi"/>
          <w:sz w:val="24"/>
          <w:szCs w:val="24"/>
        </w:rPr>
        <w:t>individuals a second chance</w:t>
      </w:r>
      <w:r w:rsidR="008E3C60" w:rsidRPr="005927F3">
        <w:rPr>
          <w:rFonts w:cstheme="minorHAnsi"/>
          <w:sz w:val="24"/>
          <w:szCs w:val="24"/>
        </w:rPr>
        <w:t>,</w:t>
      </w:r>
      <w:r w:rsidR="00684D9A" w:rsidRPr="005927F3">
        <w:rPr>
          <w:rFonts w:cstheme="minorHAnsi"/>
          <w:sz w:val="24"/>
          <w:szCs w:val="24"/>
        </w:rPr>
        <w:t xml:space="preserve"> ha</w:t>
      </w:r>
      <w:r w:rsidR="00576509" w:rsidRPr="005927F3">
        <w:rPr>
          <w:rFonts w:cstheme="minorHAnsi"/>
          <w:sz w:val="24"/>
          <w:szCs w:val="24"/>
        </w:rPr>
        <w:t>s</w:t>
      </w:r>
      <w:r w:rsidR="00684D9A" w:rsidRPr="005927F3">
        <w:rPr>
          <w:rFonts w:cstheme="minorHAnsi"/>
          <w:sz w:val="24"/>
          <w:szCs w:val="24"/>
        </w:rPr>
        <w:t xml:space="preserve"> b</w:t>
      </w:r>
      <w:r w:rsidR="00E3503E" w:rsidRPr="005927F3">
        <w:rPr>
          <w:rFonts w:cstheme="minorHAnsi"/>
          <w:sz w:val="24"/>
          <w:szCs w:val="24"/>
        </w:rPr>
        <w:t>een answered in</w:t>
      </w:r>
      <w:r w:rsidR="009F0753" w:rsidRPr="005927F3">
        <w:rPr>
          <w:rFonts w:cstheme="minorHAnsi"/>
          <w:sz w:val="24"/>
          <w:szCs w:val="24"/>
        </w:rPr>
        <w:t xml:space="preserve"> the</w:t>
      </w:r>
      <w:r w:rsidR="00E3503E" w:rsidRPr="005927F3">
        <w:rPr>
          <w:rFonts w:cstheme="minorHAnsi"/>
          <w:sz w:val="24"/>
          <w:szCs w:val="24"/>
        </w:rPr>
        <w:t xml:space="preserve"> E</w:t>
      </w:r>
      <w:r w:rsidR="009123F8" w:rsidRPr="005927F3">
        <w:rPr>
          <w:rFonts w:cstheme="minorHAnsi"/>
          <w:sz w:val="24"/>
          <w:szCs w:val="24"/>
        </w:rPr>
        <w:t>U</w:t>
      </w:r>
      <w:r w:rsidR="00684D9A" w:rsidRPr="005927F3">
        <w:rPr>
          <w:rFonts w:cstheme="minorHAnsi"/>
          <w:sz w:val="24"/>
          <w:szCs w:val="24"/>
        </w:rPr>
        <w:t xml:space="preserve"> by the right</w:t>
      </w:r>
      <w:r w:rsidR="001E7BB8" w:rsidRPr="005927F3">
        <w:rPr>
          <w:rFonts w:cstheme="minorHAnsi"/>
          <w:sz w:val="24"/>
          <w:szCs w:val="24"/>
        </w:rPr>
        <w:t xml:space="preserve"> to be forgotten</w:t>
      </w:r>
      <w:r w:rsidR="00684D9A" w:rsidRPr="005927F3">
        <w:rPr>
          <w:rFonts w:cstheme="minorHAnsi"/>
          <w:sz w:val="24"/>
          <w:szCs w:val="24"/>
        </w:rPr>
        <w:t>,</w:t>
      </w:r>
      <w:r w:rsidR="00D5343F" w:rsidRPr="005927F3">
        <w:rPr>
          <w:rStyle w:val="FootnoteReference"/>
          <w:rFonts w:cstheme="minorHAnsi"/>
          <w:sz w:val="24"/>
          <w:szCs w:val="24"/>
        </w:rPr>
        <w:t xml:space="preserve"> </w:t>
      </w:r>
      <w:r w:rsidR="00684D9A" w:rsidRPr="005927F3">
        <w:rPr>
          <w:rFonts w:cstheme="minorHAnsi"/>
          <w:sz w:val="24"/>
          <w:szCs w:val="24"/>
        </w:rPr>
        <w:t xml:space="preserve">first, in the judgment of the </w:t>
      </w:r>
      <w:r w:rsidR="00736FC8" w:rsidRPr="005927F3">
        <w:rPr>
          <w:rFonts w:cstheme="minorHAnsi"/>
          <w:sz w:val="24"/>
          <w:szCs w:val="24"/>
        </w:rPr>
        <w:t>Court of Justice of the European Union [</w:t>
      </w:r>
      <w:r w:rsidR="00684D9A" w:rsidRPr="005927F3">
        <w:rPr>
          <w:rFonts w:cstheme="minorHAnsi"/>
          <w:sz w:val="24"/>
          <w:szCs w:val="24"/>
        </w:rPr>
        <w:t>CJEU</w:t>
      </w:r>
      <w:r w:rsidR="00736FC8" w:rsidRPr="005927F3">
        <w:rPr>
          <w:rFonts w:cstheme="minorHAnsi"/>
          <w:sz w:val="24"/>
          <w:szCs w:val="24"/>
        </w:rPr>
        <w:t>]</w:t>
      </w:r>
      <w:r w:rsidR="00684D9A" w:rsidRPr="005927F3">
        <w:rPr>
          <w:rFonts w:cstheme="minorHAnsi"/>
          <w:sz w:val="24"/>
          <w:szCs w:val="24"/>
        </w:rPr>
        <w:t xml:space="preserve"> in </w:t>
      </w:r>
      <w:r w:rsidR="00684D9A" w:rsidRPr="005927F3">
        <w:rPr>
          <w:rFonts w:cstheme="minorHAnsi"/>
          <w:i/>
          <w:sz w:val="24"/>
          <w:szCs w:val="24"/>
        </w:rPr>
        <w:t>Google Spain</w:t>
      </w:r>
      <w:r w:rsidR="00684D9A" w:rsidRPr="005927F3">
        <w:rPr>
          <w:rFonts w:cstheme="minorHAnsi"/>
          <w:sz w:val="24"/>
          <w:szCs w:val="24"/>
        </w:rPr>
        <w:t xml:space="preserve"> (2014)</w:t>
      </w:r>
      <w:r w:rsidR="00334A31" w:rsidRPr="005927F3">
        <w:rPr>
          <w:rStyle w:val="FootnoteReference"/>
          <w:rFonts w:cstheme="minorHAnsi"/>
          <w:sz w:val="24"/>
          <w:szCs w:val="24"/>
        </w:rPr>
        <w:footnoteReference w:id="7"/>
      </w:r>
      <w:r w:rsidR="00E236D8" w:rsidRPr="005927F3">
        <w:rPr>
          <w:rFonts w:cstheme="minorHAnsi"/>
          <w:sz w:val="24"/>
          <w:szCs w:val="24"/>
        </w:rPr>
        <w:t xml:space="preserve"> and then, explicitly</w:t>
      </w:r>
      <w:r w:rsidR="00736FC8" w:rsidRPr="005927F3">
        <w:rPr>
          <w:rFonts w:cstheme="minorHAnsi"/>
          <w:sz w:val="24"/>
          <w:szCs w:val="24"/>
        </w:rPr>
        <w:t xml:space="preserve"> in the right to erasure, or the right to be forgotten,</w:t>
      </w:r>
      <w:r w:rsidR="005A5E4E" w:rsidRPr="005927F3">
        <w:rPr>
          <w:rFonts w:cstheme="minorHAnsi"/>
          <w:sz w:val="24"/>
          <w:szCs w:val="24"/>
        </w:rPr>
        <w:t xml:space="preserve"> in</w:t>
      </w:r>
      <w:r w:rsidR="00736FC8" w:rsidRPr="005927F3">
        <w:rPr>
          <w:rFonts w:cstheme="minorHAnsi"/>
          <w:sz w:val="24"/>
          <w:szCs w:val="24"/>
        </w:rPr>
        <w:t xml:space="preserve"> the General Data Protection Regulation</w:t>
      </w:r>
      <w:r w:rsidR="00B13C4C" w:rsidRPr="005927F3">
        <w:rPr>
          <w:rFonts w:cstheme="minorHAnsi"/>
          <w:sz w:val="24"/>
          <w:szCs w:val="24"/>
        </w:rPr>
        <w:t xml:space="preserve"> [GDPR]</w:t>
      </w:r>
      <w:r w:rsidR="009E0F23" w:rsidRPr="005927F3">
        <w:rPr>
          <w:rFonts w:cstheme="minorHAnsi"/>
          <w:sz w:val="24"/>
          <w:szCs w:val="24"/>
        </w:rPr>
        <w:t>.</w:t>
      </w:r>
      <w:r w:rsidR="00684D9A" w:rsidRPr="005927F3">
        <w:rPr>
          <w:rStyle w:val="FootnoteReference"/>
          <w:rFonts w:cstheme="minorHAnsi"/>
          <w:sz w:val="24"/>
          <w:szCs w:val="24"/>
        </w:rPr>
        <w:footnoteReference w:id="8"/>
      </w:r>
      <w:r w:rsidR="002455BE" w:rsidRPr="005927F3">
        <w:rPr>
          <w:rFonts w:cstheme="minorHAnsi"/>
          <w:sz w:val="24"/>
          <w:szCs w:val="24"/>
        </w:rPr>
        <w:t xml:space="preserve"> This</w:t>
      </w:r>
      <w:r w:rsidR="00E236D8" w:rsidRPr="005927F3">
        <w:rPr>
          <w:rFonts w:cstheme="minorHAnsi"/>
          <w:sz w:val="24"/>
          <w:szCs w:val="24"/>
        </w:rPr>
        <w:t xml:space="preserve"> right</w:t>
      </w:r>
      <w:r w:rsidR="00684D9A" w:rsidRPr="005927F3">
        <w:rPr>
          <w:rFonts w:cstheme="minorHAnsi"/>
          <w:sz w:val="24"/>
          <w:szCs w:val="24"/>
        </w:rPr>
        <w:t xml:space="preserve"> </w:t>
      </w:r>
      <w:r w:rsidR="006773A1" w:rsidRPr="005927F3">
        <w:rPr>
          <w:rFonts w:cstheme="minorHAnsi"/>
          <w:sz w:val="24"/>
          <w:szCs w:val="24"/>
        </w:rPr>
        <w:t>allows</w:t>
      </w:r>
      <w:r w:rsidR="009F1244" w:rsidRPr="005927F3">
        <w:rPr>
          <w:rFonts w:cstheme="minorHAnsi"/>
          <w:sz w:val="24"/>
          <w:szCs w:val="24"/>
        </w:rPr>
        <w:t xml:space="preserve"> individuals </w:t>
      </w:r>
      <w:r w:rsidR="00AE48BD" w:rsidRPr="005927F3">
        <w:rPr>
          <w:rFonts w:cstheme="minorHAnsi"/>
          <w:sz w:val="24"/>
          <w:szCs w:val="24"/>
        </w:rPr>
        <w:t xml:space="preserve">to </w:t>
      </w:r>
      <w:r w:rsidR="009F0753" w:rsidRPr="005927F3">
        <w:rPr>
          <w:rFonts w:cstheme="minorHAnsi"/>
          <w:sz w:val="24"/>
          <w:szCs w:val="24"/>
        </w:rPr>
        <w:t xml:space="preserve">‘edit’ </w:t>
      </w:r>
      <w:r w:rsidR="00736FC8" w:rsidRPr="005927F3">
        <w:rPr>
          <w:rFonts w:cstheme="minorHAnsi"/>
          <w:sz w:val="24"/>
          <w:szCs w:val="24"/>
        </w:rPr>
        <w:t>their online profile</w:t>
      </w:r>
      <w:r w:rsidR="009F0753" w:rsidRPr="005927F3">
        <w:rPr>
          <w:rFonts w:cstheme="minorHAnsi"/>
          <w:sz w:val="24"/>
          <w:szCs w:val="24"/>
        </w:rPr>
        <w:t xml:space="preserve"> </w:t>
      </w:r>
      <w:r w:rsidR="006773A1" w:rsidRPr="005927F3">
        <w:rPr>
          <w:rFonts w:cstheme="minorHAnsi"/>
          <w:sz w:val="24"/>
          <w:szCs w:val="24"/>
        </w:rPr>
        <w:t xml:space="preserve">when the internet has not forgotten that which </w:t>
      </w:r>
      <w:r w:rsidR="00C230EA" w:rsidRPr="005927F3">
        <w:rPr>
          <w:rFonts w:cstheme="minorHAnsi"/>
          <w:i/>
          <w:sz w:val="24"/>
          <w:szCs w:val="24"/>
        </w:rPr>
        <w:t xml:space="preserve">ought </w:t>
      </w:r>
      <w:r w:rsidR="00C230EA" w:rsidRPr="005927F3">
        <w:rPr>
          <w:rFonts w:cstheme="minorHAnsi"/>
          <w:sz w:val="24"/>
          <w:szCs w:val="24"/>
        </w:rPr>
        <w:t xml:space="preserve">to </w:t>
      </w:r>
      <w:r w:rsidR="00221023" w:rsidRPr="005927F3">
        <w:rPr>
          <w:rFonts w:cstheme="minorHAnsi"/>
          <w:sz w:val="24"/>
          <w:szCs w:val="24"/>
        </w:rPr>
        <w:t xml:space="preserve">have </w:t>
      </w:r>
      <w:r w:rsidR="00B86A46" w:rsidRPr="005927F3">
        <w:rPr>
          <w:rFonts w:cstheme="minorHAnsi"/>
          <w:sz w:val="24"/>
          <w:szCs w:val="24"/>
        </w:rPr>
        <w:t>be</w:t>
      </w:r>
      <w:r w:rsidR="00221023" w:rsidRPr="005927F3">
        <w:rPr>
          <w:rFonts w:cstheme="minorHAnsi"/>
          <w:sz w:val="24"/>
          <w:szCs w:val="24"/>
        </w:rPr>
        <w:t>en</w:t>
      </w:r>
      <w:r w:rsidR="00C230EA" w:rsidRPr="005927F3">
        <w:rPr>
          <w:rFonts w:cstheme="minorHAnsi"/>
          <w:sz w:val="24"/>
          <w:szCs w:val="24"/>
        </w:rPr>
        <w:t xml:space="preserve"> </w:t>
      </w:r>
      <w:r w:rsidR="009E0F23" w:rsidRPr="005927F3">
        <w:rPr>
          <w:rFonts w:cstheme="minorHAnsi"/>
          <w:sz w:val="24"/>
          <w:szCs w:val="24"/>
        </w:rPr>
        <w:t xml:space="preserve">forgotten. Like a spent conviction, </w:t>
      </w:r>
      <w:r w:rsidR="004667FA" w:rsidRPr="005927F3">
        <w:rPr>
          <w:rFonts w:cstheme="minorHAnsi"/>
          <w:sz w:val="24"/>
          <w:szCs w:val="24"/>
        </w:rPr>
        <w:t>data is to be considered ‘spent’ if it</w:t>
      </w:r>
      <w:r w:rsidR="00221023" w:rsidRPr="005927F3">
        <w:rPr>
          <w:rFonts w:cstheme="minorHAnsi"/>
          <w:sz w:val="24"/>
          <w:szCs w:val="24"/>
        </w:rPr>
        <w:t xml:space="preserve"> </w:t>
      </w:r>
      <w:r w:rsidR="00311835" w:rsidRPr="005927F3">
        <w:rPr>
          <w:rFonts w:cstheme="minorHAnsi"/>
          <w:sz w:val="24"/>
          <w:szCs w:val="24"/>
        </w:rPr>
        <w:t xml:space="preserve">is </w:t>
      </w:r>
      <w:r w:rsidR="009E0F23" w:rsidRPr="005927F3">
        <w:rPr>
          <w:rFonts w:cstheme="minorHAnsi"/>
          <w:sz w:val="24"/>
          <w:szCs w:val="24"/>
        </w:rPr>
        <w:t>‘inadequate, irrelevant or no longer relevant, or excessive in relation to those purposes and in the light of the time that has elapsed.’</w:t>
      </w:r>
      <w:r w:rsidR="009E0F23" w:rsidRPr="005927F3">
        <w:rPr>
          <w:rStyle w:val="FootnoteReference"/>
          <w:rFonts w:cstheme="minorHAnsi"/>
          <w:sz w:val="24"/>
          <w:szCs w:val="24"/>
        </w:rPr>
        <w:footnoteReference w:id="9"/>
      </w:r>
      <w:r w:rsidR="006773A1" w:rsidRPr="005927F3">
        <w:rPr>
          <w:rFonts w:cstheme="minorHAnsi"/>
          <w:sz w:val="24"/>
          <w:szCs w:val="24"/>
        </w:rPr>
        <w:t xml:space="preserve"> </w:t>
      </w:r>
      <w:r w:rsidR="008E3C60" w:rsidRPr="005927F3">
        <w:rPr>
          <w:rFonts w:cstheme="minorHAnsi"/>
          <w:sz w:val="24"/>
          <w:szCs w:val="24"/>
        </w:rPr>
        <w:t xml:space="preserve">In the US, however, </w:t>
      </w:r>
      <w:r w:rsidR="00FA7BFC" w:rsidRPr="005927F3">
        <w:rPr>
          <w:rFonts w:cstheme="minorHAnsi"/>
          <w:sz w:val="24"/>
          <w:szCs w:val="24"/>
        </w:rPr>
        <w:t>th</w:t>
      </w:r>
      <w:r w:rsidR="00CE0C59" w:rsidRPr="005927F3">
        <w:rPr>
          <w:rFonts w:cstheme="minorHAnsi"/>
          <w:sz w:val="24"/>
          <w:szCs w:val="24"/>
        </w:rPr>
        <w:t xml:space="preserve">is </w:t>
      </w:r>
      <w:r w:rsidR="003D413B" w:rsidRPr="005927F3">
        <w:rPr>
          <w:rFonts w:cstheme="minorHAnsi"/>
          <w:sz w:val="24"/>
          <w:szCs w:val="24"/>
        </w:rPr>
        <w:t>right</w:t>
      </w:r>
      <w:r w:rsidR="00FA7BFC" w:rsidRPr="005927F3">
        <w:rPr>
          <w:rFonts w:cstheme="minorHAnsi"/>
          <w:sz w:val="24"/>
          <w:szCs w:val="24"/>
        </w:rPr>
        <w:t xml:space="preserve"> </w:t>
      </w:r>
      <w:r w:rsidR="008E3C60" w:rsidRPr="005927F3">
        <w:rPr>
          <w:rFonts w:cstheme="minorHAnsi"/>
          <w:sz w:val="24"/>
          <w:szCs w:val="24"/>
        </w:rPr>
        <w:t xml:space="preserve">has not </w:t>
      </w:r>
      <w:r w:rsidR="00C06708" w:rsidRPr="005927F3">
        <w:rPr>
          <w:rFonts w:cstheme="minorHAnsi"/>
          <w:sz w:val="24"/>
          <w:szCs w:val="24"/>
        </w:rPr>
        <w:t xml:space="preserve">been </w:t>
      </w:r>
      <w:r w:rsidRPr="005927F3">
        <w:rPr>
          <w:rFonts w:cstheme="minorHAnsi"/>
          <w:sz w:val="24"/>
          <w:szCs w:val="24"/>
        </w:rPr>
        <w:t xml:space="preserve">legally </w:t>
      </w:r>
      <w:r w:rsidR="008E3C60" w:rsidRPr="005927F3">
        <w:rPr>
          <w:rFonts w:cstheme="minorHAnsi"/>
          <w:sz w:val="24"/>
          <w:szCs w:val="24"/>
        </w:rPr>
        <w:t>recognised</w:t>
      </w:r>
      <w:r w:rsidR="003D413B" w:rsidRPr="005927F3">
        <w:rPr>
          <w:rFonts w:cstheme="minorHAnsi"/>
          <w:sz w:val="24"/>
          <w:szCs w:val="24"/>
        </w:rPr>
        <w:t xml:space="preserve">, even </w:t>
      </w:r>
      <w:r w:rsidR="00FA7BFC" w:rsidRPr="005927F3">
        <w:rPr>
          <w:rFonts w:cstheme="minorHAnsi"/>
          <w:sz w:val="24"/>
          <w:szCs w:val="24"/>
        </w:rPr>
        <w:t xml:space="preserve">though </w:t>
      </w:r>
      <w:r w:rsidR="006A5924" w:rsidRPr="005927F3">
        <w:rPr>
          <w:rFonts w:cstheme="minorHAnsi"/>
          <w:sz w:val="24"/>
          <w:szCs w:val="24"/>
        </w:rPr>
        <w:t xml:space="preserve">the American ideal of the </w:t>
      </w:r>
      <w:r w:rsidR="00541728" w:rsidRPr="005927F3">
        <w:rPr>
          <w:rFonts w:cstheme="minorHAnsi"/>
          <w:sz w:val="24"/>
          <w:szCs w:val="24"/>
        </w:rPr>
        <w:t>‘</w:t>
      </w:r>
      <w:r w:rsidR="006A5924" w:rsidRPr="005927F3">
        <w:rPr>
          <w:rFonts w:cstheme="minorHAnsi"/>
          <w:sz w:val="24"/>
          <w:szCs w:val="24"/>
        </w:rPr>
        <w:t>s</w:t>
      </w:r>
      <w:r w:rsidR="003D413B" w:rsidRPr="005927F3">
        <w:rPr>
          <w:rFonts w:cstheme="minorHAnsi"/>
          <w:sz w:val="24"/>
          <w:szCs w:val="24"/>
        </w:rPr>
        <w:t xml:space="preserve">elf-made </w:t>
      </w:r>
      <w:r w:rsidR="00541728" w:rsidRPr="005927F3">
        <w:rPr>
          <w:rFonts w:cstheme="minorHAnsi"/>
          <w:sz w:val="24"/>
          <w:szCs w:val="24"/>
        </w:rPr>
        <w:t>man’</w:t>
      </w:r>
      <w:r w:rsidR="003D413B" w:rsidRPr="005927F3">
        <w:rPr>
          <w:rFonts w:cstheme="minorHAnsi"/>
          <w:sz w:val="24"/>
          <w:szCs w:val="24"/>
        </w:rPr>
        <w:t xml:space="preserve"> </w:t>
      </w:r>
      <w:r w:rsidR="00541728" w:rsidRPr="005927F3">
        <w:rPr>
          <w:rFonts w:cstheme="minorHAnsi"/>
          <w:sz w:val="24"/>
          <w:szCs w:val="24"/>
        </w:rPr>
        <w:t xml:space="preserve">and </w:t>
      </w:r>
      <w:r w:rsidR="006A5924" w:rsidRPr="005927F3">
        <w:rPr>
          <w:rFonts w:cstheme="minorHAnsi"/>
          <w:sz w:val="24"/>
          <w:szCs w:val="24"/>
        </w:rPr>
        <w:t xml:space="preserve">the Atlantic crossing </w:t>
      </w:r>
      <w:r w:rsidR="002C3982" w:rsidRPr="005927F3">
        <w:rPr>
          <w:rFonts w:cstheme="minorHAnsi"/>
          <w:sz w:val="24"/>
          <w:szCs w:val="24"/>
        </w:rPr>
        <w:t>served as</w:t>
      </w:r>
      <w:r w:rsidR="00A057B9" w:rsidRPr="005927F3">
        <w:rPr>
          <w:rFonts w:cstheme="minorHAnsi"/>
          <w:sz w:val="24"/>
          <w:szCs w:val="24"/>
        </w:rPr>
        <w:t xml:space="preserve"> the</w:t>
      </w:r>
      <w:r w:rsidR="002C3982" w:rsidRPr="005927F3">
        <w:rPr>
          <w:rFonts w:cstheme="minorHAnsi"/>
          <w:sz w:val="24"/>
          <w:szCs w:val="24"/>
        </w:rPr>
        <w:t xml:space="preserve"> </w:t>
      </w:r>
      <w:r w:rsidR="006A5924" w:rsidRPr="005927F3">
        <w:rPr>
          <w:rFonts w:cstheme="minorHAnsi"/>
          <w:sz w:val="24"/>
          <w:szCs w:val="24"/>
        </w:rPr>
        <w:t>metaphor</w:t>
      </w:r>
      <w:r w:rsidR="003D413B" w:rsidRPr="005927F3">
        <w:rPr>
          <w:rFonts w:cstheme="minorHAnsi"/>
          <w:sz w:val="24"/>
          <w:szCs w:val="24"/>
        </w:rPr>
        <w:t xml:space="preserve"> for personal reinvention</w:t>
      </w:r>
      <w:r w:rsidR="00236F8B" w:rsidRPr="005927F3">
        <w:rPr>
          <w:rFonts w:cstheme="minorHAnsi"/>
          <w:sz w:val="24"/>
          <w:szCs w:val="24"/>
        </w:rPr>
        <w:t xml:space="preserve"> </w:t>
      </w:r>
      <w:r w:rsidR="002C3982" w:rsidRPr="005927F3">
        <w:rPr>
          <w:rFonts w:cstheme="minorHAnsi"/>
          <w:sz w:val="24"/>
          <w:szCs w:val="24"/>
        </w:rPr>
        <w:t>in the above accounts</w:t>
      </w:r>
      <w:r w:rsidR="003D413B" w:rsidRPr="005927F3">
        <w:rPr>
          <w:rFonts w:cstheme="minorHAnsi"/>
          <w:sz w:val="24"/>
          <w:szCs w:val="24"/>
        </w:rPr>
        <w:t>.</w:t>
      </w:r>
      <w:r w:rsidR="00541728" w:rsidRPr="005927F3">
        <w:rPr>
          <w:rFonts w:cstheme="minorHAnsi"/>
          <w:sz w:val="24"/>
          <w:szCs w:val="24"/>
        </w:rPr>
        <w:t xml:space="preserve"> Still,</w:t>
      </w:r>
      <w:r w:rsidR="0092130A" w:rsidRPr="005927F3">
        <w:rPr>
          <w:rFonts w:cstheme="minorHAnsi"/>
          <w:sz w:val="24"/>
          <w:szCs w:val="24"/>
        </w:rPr>
        <w:t xml:space="preserve"> from a</w:t>
      </w:r>
      <w:r w:rsidR="0058343D" w:rsidRPr="005927F3">
        <w:rPr>
          <w:rFonts w:cstheme="minorHAnsi"/>
          <w:sz w:val="24"/>
          <w:szCs w:val="24"/>
        </w:rPr>
        <w:t xml:space="preserve"> US </w:t>
      </w:r>
      <w:r w:rsidR="0092130A" w:rsidRPr="005927F3">
        <w:rPr>
          <w:rFonts w:cstheme="minorHAnsi"/>
          <w:sz w:val="24"/>
          <w:szCs w:val="24"/>
        </w:rPr>
        <w:t>perspective</w:t>
      </w:r>
      <w:r w:rsidR="00541728" w:rsidRPr="005927F3">
        <w:rPr>
          <w:rFonts w:cstheme="minorHAnsi"/>
          <w:sz w:val="24"/>
          <w:szCs w:val="24"/>
        </w:rPr>
        <w:t xml:space="preserve"> it is not for the State </w:t>
      </w:r>
      <w:r w:rsidR="00FA7BFC" w:rsidRPr="005927F3">
        <w:rPr>
          <w:rFonts w:cstheme="minorHAnsi"/>
          <w:sz w:val="24"/>
          <w:szCs w:val="24"/>
        </w:rPr>
        <w:t>to facilitate such reinvention</w:t>
      </w:r>
      <w:r w:rsidR="0058343D" w:rsidRPr="005927F3">
        <w:rPr>
          <w:rFonts w:cstheme="minorHAnsi"/>
          <w:sz w:val="24"/>
          <w:szCs w:val="24"/>
        </w:rPr>
        <w:t xml:space="preserve">. </w:t>
      </w:r>
      <w:r w:rsidR="009A1715" w:rsidRPr="005927F3">
        <w:rPr>
          <w:rFonts w:cstheme="minorHAnsi"/>
          <w:sz w:val="24"/>
          <w:szCs w:val="24"/>
        </w:rPr>
        <w:t xml:space="preserve"> </w:t>
      </w:r>
    </w:p>
    <w:p w14:paraId="29742666" w14:textId="77777777" w:rsidR="005A5E4E" w:rsidRPr="005927F3" w:rsidRDefault="005A5E4E" w:rsidP="008B308D">
      <w:pPr>
        <w:spacing w:after="0" w:line="240" w:lineRule="auto"/>
        <w:jc w:val="both"/>
        <w:rPr>
          <w:rFonts w:cstheme="minorHAnsi"/>
          <w:sz w:val="24"/>
          <w:szCs w:val="24"/>
        </w:rPr>
      </w:pPr>
    </w:p>
    <w:p w14:paraId="67F1D877" w14:textId="353CEC40" w:rsidR="00E645FD" w:rsidRPr="005927F3" w:rsidRDefault="00AF39D4" w:rsidP="008B308D">
      <w:pPr>
        <w:spacing w:after="0" w:line="240" w:lineRule="auto"/>
        <w:jc w:val="both"/>
        <w:rPr>
          <w:rFonts w:cstheme="minorHAnsi"/>
          <w:sz w:val="24"/>
          <w:szCs w:val="24"/>
        </w:rPr>
      </w:pPr>
      <w:r w:rsidRPr="005927F3">
        <w:rPr>
          <w:rFonts w:cstheme="minorHAnsi"/>
          <w:sz w:val="24"/>
          <w:szCs w:val="24"/>
        </w:rPr>
        <w:t xml:space="preserve">These </w:t>
      </w:r>
      <w:r w:rsidR="00E40C4C" w:rsidRPr="005927F3">
        <w:rPr>
          <w:rFonts w:cstheme="minorHAnsi"/>
          <w:sz w:val="24"/>
          <w:szCs w:val="24"/>
        </w:rPr>
        <w:t>attitudes are</w:t>
      </w:r>
      <w:r w:rsidR="007602E3" w:rsidRPr="005927F3">
        <w:rPr>
          <w:rFonts w:cstheme="minorHAnsi"/>
          <w:sz w:val="24"/>
          <w:szCs w:val="24"/>
        </w:rPr>
        <w:t xml:space="preserve"> </w:t>
      </w:r>
      <w:r w:rsidR="00E40C4C" w:rsidRPr="005927F3">
        <w:rPr>
          <w:rFonts w:cstheme="minorHAnsi"/>
          <w:sz w:val="24"/>
          <w:szCs w:val="24"/>
        </w:rPr>
        <w:t>reversed when it comes to</w:t>
      </w:r>
      <w:r w:rsidR="00E43A9A" w:rsidRPr="005927F3">
        <w:rPr>
          <w:rFonts w:cstheme="minorHAnsi"/>
          <w:i/>
          <w:iCs/>
          <w:sz w:val="24"/>
          <w:szCs w:val="24"/>
        </w:rPr>
        <w:t xml:space="preserve"> covert </w:t>
      </w:r>
      <w:r w:rsidR="00E43A9A" w:rsidRPr="005927F3">
        <w:rPr>
          <w:rFonts w:cstheme="minorHAnsi"/>
          <w:sz w:val="24"/>
          <w:szCs w:val="24"/>
        </w:rPr>
        <w:t>information practices</w:t>
      </w:r>
      <w:r w:rsidR="00BF6460" w:rsidRPr="005927F3">
        <w:rPr>
          <w:rFonts w:cstheme="minorHAnsi"/>
          <w:sz w:val="24"/>
          <w:szCs w:val="24"/>
        </w:rPr>
        <w:t xml:space="preserve">, </w:t>
      </w:r>
      <w:r w:rsidR="00192920" w:rsidRPr="005927F3">
        <w:rPr>
          <w:rFonts w:cstheme="minorHAnsi"/>
          <w:sz w:val="24"/>
          <w:szCs w:val="24"/>
        </w:rPr>
        <w:t xml:space="preserve">or the </w:t>
      </w:r>
      <w:r w:rsidR="00D662BE" w:rsidRPr="005927F3">
        <w:rPr>
          <w:rFonts w:cstheme="minorHAnsi"/>
          <w:sz w:val="24"/>
          <w:szCs w:val="24"/>
        </w:rPr>
        <w:t xml:space="preserve">ubiquitous and </w:t>
      </w:r>
      <w:r w:rsidR="00D662BE" w:rsidRPr="005927F3">
        <w:rPr>
          <w:rFonts w:eastAsia="Times New Roman" w:cstheme="minorHAnsi"/>
          <w:sz w:val="24"/>
          <w:szCs w:val="24"/>
          <w:lang w:eastAsia="en-GB"/>
        </w:rPr>
        <w:t xml:space="preserve">surreptitious </w:t>
      </w:r>
      <w:r w:rsidR="00D662BE" w:rsidRPr="005927F3">
        <w:rPr>
          <w:rFonts w:cstheme="minorHAnsi"/>
          <w:sz w:val="24"/>
          <w:szCs w:val="24"/>
        </w:rPr>
        <w:t xml:space="preserve">collection, </w:t>
      </w:r>
      <w:proofErr w:type="gramStart"/>
      <w:r w:rsidR="00D662BE" w:rsidRPr="005927F3">
        <w:rPr>
          <w:rFonts w:cstheme="minorHAnsi"/>
          <w:sz w:val="24"/>
          <w:szCs w:val="24"/>
        </w:rPr>
        <w:t>aggregation</w:t>
      </w:r>
      <w:proofErr w:type="gramEnd"/>
      <w:r w:rsidR="00D662BE" w:rsidRPr="005927F3">
        <w:rPr>
          <w:rFonts w:cstheme="minorHAnsi"/>
          <w:sz w:val="24"/>
          <w:szCs w:val="24"/>
        </w:rPr>
        <w:t xml:space="preserve"> and analysis of personal data</w:t>
      </w:r>
      <w:r w:rsidR="00BF6460" w:rsidRPr="005927F3">
        <w:rPr>
          <w:rFonts w:cstheme="minorHAnsi"/>
          <w:sz w:val="24"/>
          <w:szCs w:val="24"/>
        </w:rPr>
        <w:t>,</w:t>
      </w:r>
      <w:r w:rsidR="00D662BE" w:rsidRPr="005927F3">
        <w:rPr>
          <w:rFonts w:cstheme="minorHAnsi"/>
          <w:sz w:val="24"/>
          <w:szCs w:val="24"/>
        </w:rPr>
        <w:t xml:space="preserve"> </w:t>
      </w:r>
      <w:r w:rsidR="00A11070" w:rsidRPr="005927F3">
        <w:rPr>
          <w:rFonts w:cstheme="minorHAnsi"/>
          <w:sz w:val="24"/>
          <w:szCs w:val="24"/>
        </w:rPr>
        <w:t>and</w:t>
      </w:r>
      <w:r w:rsidR="00E43A9A" w:rsidRPr="005927F3">
        <w:rPr>
          <w:rFonts w:cstheme="minorHAnsi"/>
          <w:sz w:val="24"/>
          <w:szCs w:val="24"/>
        </w:rPr>
        <w:t xml:space="preserve"> in</w:t>
      </w:r>
      <w:r w:rsidR="00192920" w:rsidRPr="005927F3">
        <w:rPr>
          <w:rFonts w:cstheme="minorHAnsi"/>
          <w:sz w:val="24"/>
          <w:szCs w:val="24"/>
        </w:rPr>
        <w:t xml:space="preserve">cluding </w:t>
      </w:r>
      <w:r w:rsidR="00E40C4C" w:rsidRPr="005927F3">
        <w:rPr>
          <w:rFonts w:cstheme="minorHAnsi"/>
          <w:sz w:val="24"/>
          <w:szCs w:val="24"/>
        </w:rPr>
        <w:t>governmental surveillance</w:t>
      </w:r>
      <w:r w:rsidR="00D662BE" w:rsidRPr="005927F3">
        <w:rPr>
          <w:rFonts w:cstheme="minorHAnsi"/>
          <w:sz w:val="24"/>
          <w:szCs w:val="24"/>
        </w:rPr>
        <w:t>.</w:t>
      </w:r>
      <w:r w:rsidR="00E43A9A" w:rsidRPr="005927F3">
        <w:rPr>
          <w:rFonts w:cstheme="minorHAnsi"/>
          <w:sz w:val="24"/>
          <w:szCs w:val="24"/>
        </w:rPr>
        <w:t xml:space="preserve"> </w:t>
      </w:r>
      <w:r w:rsidR="00F94DAD" w:rsidRPr="005927F3">
        <w:rPr>
          <w:rFonts w:cstheme="minorHAnsi"/>
          <w:sz w:val="24"/>
          <w:szCs w:val="24"/>
        </w:rPr>
        <w:t xml:space="preserve">Here it is the </w:t>
      </w:r>
      <w:r w:rsidR="00640F7B" w:rsidRPr="005927F3">
        <w:rPr>
          <w:rFonts w:cstheme="minorHAnsi"/>
          <w:sz w:val="24"/>
          <w:szCs w:val="24"/>
        </w:rPr>
        <w:t>EU</w:t>
      </w:r>
      <w:r w:rsidR="00F94DAD" w:rsidRPr="005927F3">
        <w:rPr>
          <w:rFonts w:cstheme="minorHAnsi"/>
          <w:sz w:val="24"/>
          <w:szCs w:val="24"/>
        </w:rPr>
        <w:t xml:space="preserve"> that</w:t>
      </w:r>
      <w:r w:rsidR="00640F7B" w:rsidRPr="005927F3">
        <w:rPr>
          <w:rFonts w:cstheme="minorHAnsi"/>
          <w:sz w:val="24"/>
          <w:szCs w:val="24"/>
        </w:rPr>
        <w:t xml:space="preserve"> </w:t>
      </w:r>
      <w:r w:rsidR="0058343D" w:rsidRPr="005927F3">
        <w:rPr>
          <w:rFonts w:cstheme="minorHAnsi"/>
          <w:sz w:val="24"/>
          <w:szCs w:val="24"/>
        </w:rPr>
        <w:t>is</w:t>
      </w:r>
      <w:r w:rsidR="00640F7B" w:rsidRPr="005927F3">
        <w:rPr>
          <w:rFonts w:cstheme="minorHAnsi"/>
          <w:sz w:val="24"/>
          <w:szCs w:val="24"/>
        </w:rPr>
        <w:t xml:space="preserve"> </w:t>
      </w:r>
      <w:r w:rsidR="003D413B" w:rsidRPr="005927F3">
        <w:rPr>
          <w:rFonts w:cstheme="minorHAnsi"/>
          <w:sz w:val="24"/>
          <w:szCs w:val="24"/>
        </w:rPr>
        <w:t>moving towards</w:t>
      </w:r>
      <w:r w:rsidR="00A2585A" w:rsidRPr="005927F3">
        <w:rPr>
          <w:rFonts w:cstheme="minorHAnsi"/>
          <w:sz w:val="24"/>
          <w:szCs w:val="24"/>
        </w:rPr>
        <w:t xml:space="preserve"> creating</w:t>
      </w:r>
      <w:r w:rsidR="0001028A" w:rsidRPr="005927F3">
        <w:rPr>
          <w:rFonts w:cstheme="minorHAnsi"/>
          <w:sz w:val="24"/>
          <w:szCs w:val="24"/>
        </w:rPr>
        <w:t xml:space="preserve"> </w:t>
      </w:r>
      <w:r w:rsidR="0092130A" w:rsidRPr="005927F3">
        <w:rPr>
          <w:rFonts w:cstheme="minorHAnsi"/>
          <w:sz w:val="24"/>
          <w:szCs w:val="24"/>
        </w:rPr>
        <w:t xml:space="preserve">governmental </w:t>
      </w:r>
      <w:r w:rsidR="00541728" w:rsidRPr="005927F3">
        <w:rPr>
          <w:rFonts w:cstheme="minorHAnsi"/>
          <w:sz w:val="24"/>
          <w:szCs w:val="24"/>
        </w:rPr>
        <w:t>backdoors into encrypted data</w:t>
      </w:r>
      <w:r w:rsidR="002C3982" w:rsidRPr="005927F3">
        <w:rPr>
          <w:rFonts w:cstheme="minorHAnsi"/>
          <w:sz w:val="24"/>
          <w:szCs w:val="24"/>
        </w:rPr>
        <w:t>,</w:t>
      </w:r>
      <w:r w:rsidR="003D413B" w:rsidRPr="005927F3">
        <w:rPr>
          <w:rStyle w:val="FootnoteReference"/>
          <w:rFonts w:cstheme="minorHAnsi"/>
          <w:sz w:val="24"/>
          <w:szCs w:val="24"/>
        </w:rPr>
        <w:footnoteReference w:id="10"/>
      </w:r>
      <w:r w:rsidR="00A2585A" w:rsidRPr="005927F3">
        <w:rPr>
          <w:rFonts w:cstheme="minorHAnsi"/>
          <w:sz w:val="24"/>
          <w:szCs w:val="24"/>
        </w:rPr>
        <w:t xml:space="preserve"> </w:t>
      </w:r>
      <w:r w:rsidR="00C06708" w:rsidRPr="005927F3">
        <w:rPr>
          <w:rFonts w:cstheme="minorHAnsi"/>
          <w:sz w:val="24"/>
          <w:szCs w:val="24"/>
        </w:rPr>
        <w:t>as consistent with</w:t>
      </w:r>
      <w:r w:rsidR="0092130A" w:rsidRPr="005927F3">
        <w:rPr>
          <w:rFonts w:cstheme="minorHAnsi"/>
          <w:sz w:val="24"/>
          <w:szCs w:val="24"/>
        </w:rPr>
        <w:t xml:space="preserve"> </w:t>
      </w:r>
      <w:r w:rsidR="00C06708" w:rsidRPr="005927F3">
        <w:rPr>
          <w:rFonts w:cstheme="minorHAnsi"/>
          <w:sz w:val="24"/>
          <w:szCs w:val="24"/>
        </w:rPr>
        <w:t xml:space="preserve">its </w:t>
      </w:r>
      <w:r w:rsidR="00910CFF" w:rsidRPr="005927F3">
        <w:rPr>
          <w:rFonts w:cstheme="minorHAnsi"/>
          <w:sz w:val="24"/>
          <w:szCs w:val="24"/>
        </w:rPr>
        <w:t>relatively</w:t>
      </w:r>
      <w:r w:rsidR="002C3982" w:rsidRPr="005927F3">
        <w:rPr>
          <w:rFonts w:cstheme="minorHAnsi"/>
          <w:sz w:val="24"/>
          <w:szCs w:val="24"/>
        </w:rPr>
        <w:t xml:space="preserve"> </w:t>
      </w:r>
      <w:r w:rsidR="009123F8" w:rsidRPr="005927F3">
        <w:rPr>
          <w:rFonts w:cstheme="minorHAnsi"/>
          <w:sz w:val="24"/>
          <w:szCs w:val="24"/>
        </w:rPr>
        <w:t>permissive stance</w:t>
      </w:r>
      <w:r w:rsidR="006A327A" w:rsidRPr="005927F3">
        <w:rPr>
          <w:rFonts w:cstheme="minorHAnsi"/>
          <w:sz w:val="24"/>
          <w:szCs w:val="24"/>
        </w:rPr>
        <w:t xml:space="preserve"> </w:t>
      </w:r>
      <w:r w:rsidR="009123F8" w:rsidRPr="005927F3">
        <w:rPr>
          <w:rFonts w:cstheme="minorHAnsi"/>
          <w:sz w:val="24"/>
          <w:szCs w:val="24"/>
        </w:rPr>
        <w:t>to</w:t>
      </w:r>
      <w:r w:rsidR="00735121" w:rsidRPr="005927F3">
        <w:rPr>
          <w:rFonts w:cstheme="minorHAnsi"/>
          <w:sz w:val="24"/>
          <w:szCs w:val="24"/>
        </w:rPr>
        <w:t>wards</w:t>
      </w:r>
      <w:r w:rsidR="009123F8" w:rsidRPr="005927F3">
        <w:rPr>
          <w:rFonts w:cstheme="minorHAnsi"/>
          <w:sz w:val="24"/>
          <w:szCs w:val="24"/>
        </w:rPr>
        <w:t xml:space="preserve"> </w:t>
      </w:r>
      <w:r w:rsidR="00E3503E" w:rsidRPr="005927F3">
        <w:rPr>
          <w:rFonts w:cstheme="minorHAnsi"/>
          <w:sz w:val="24"/>
          <w:szCs w:val="24"/>
        </w:rPr>
        <w:t>b</w:t>
      </w:r>
      <w:r w:rsidR="00541728" w:rsidRPr="005927F3">
        <w:rPr>
          <w:rFonts w:cstheme="minorHAnsi"/>
          <w:sz w:val="24"/>
          <w:szCs w:val="24"/>
        </w:rPr>
        <w:t>ulk surveillance</w:t>
      </w:r>
      <w:r w:rsidR="006A327A" w:rsidRPr="005927F3">
        <w:rPr>
          <w:rFonts w:cstheme="minorHAnsi"/>
          <w:sz w:val="24"/>
          <w:szCs w:val="24"/>
        </w:rPr>
        <w:t xml:space="preserve">. </w:t>
      </w:r>
      <w:r w:rsidR="00EE6782" w:rsidRPr="005927F3">
        <w:rPr>
          <w:rFonts w:cstheme="minorHAnsi"/>
          <w:sz w:val="24"/>
          <w:szCs w:val="24"/>
        </w:rPr>
        <w:t xml:space="preserve">In </w:t>
      </w:r>
      <w:r w:rsidR="00003E09" w:rsidRPr="005927F3">
        <w:rPr>
          <w:rFonts w:cstheme="minorHAnsi"/>
          <w:i/>
          <w:sz w:val="24"/>
          <w:szCs w:val="24"/>
        </w:rPr>
        <w:t>Big Brother Watch v UK</w:t>
      </w:r>
      <w:r w:rsidR="00003E09" w:rsidRPr="005927F3">
        <w:rPr>
          <w:rFonts w:cstheme="minorHAnsi"/>
          <w:sz w:val="24"/>
          <w:szCs w:val="24"/>
        </w:rPr>
        <w:t xml:space="preserve"> (2021)</w:t>
      </w:r>
      <w:r w:rsidR="00736FC8" w:rsidRPr="005927F3">
        <w:rPr>
          <w:rStyle w:val="FootnoteReference"/>
          <w:rFonts w:cstheme="minorHAnsi"/>
          <w:sz w:val="24"/>
          <w:szCs w:val="24"/>
        </w:rPr>
        <w:footnoteReference w:id="11"/>
      </w:r>
      <w:r w:rsidR="00003E09" w:rsidRPr="005927F3">
        <w:rPr>
          <w:rFonts w:cstheme="minorHAnsi"/>
          <w:sz w:val="24"/>
          <w:szCs w:val="24"/>
        </w:rPr>
        <w:t xml:space="preserve"> </w:t>
      </w:r>
      <w:r w:rsidR="002B66E3" w:rsidRPr="005927F3">
        <w:rPr>
          <w:rFonts w:cstheme="minorHAnsi"/>
          <w:sz w:val="24"/>
          <w:szCs w:val="24"/>
        </w:rPr>
        <w:t>which concerned the</w:t>
      </w:r>
      <w:r w:rsidR="003B2DA9" w:rsidRPr="005927F3">
        <w:rPr>
          <w:rFonts w:cstheme="minorHAnsi"/>
          <w:sz w:val="24"/>
          <w:szCs w:val="24"/>
        </w:rPr>
        <w:t xml:space="preserve"> legality of the</w:t>
      </w:r>
      <w:r w:rsidR="002B66E3" w:rsidRPr="005927F3">
        <w:rPr>
          <w:rFonts w:cstheme="minorHAnsi"/>
          <w:sz w:val="24"/>
          <w:szCs w:val="24"/>
        </w:rPr>
        <w:t xml:space="preserve"> NSA and GCHQ surveillance programmes </w:t>
      </w:r>
      <w:r w:rsidR="003B2DA9" w:rsidRPr="005927F3">
        <w:rPr>
          <w:rFonts w:cstheme="minorHAnsi"/>
          <w:sz w:val="24"/>
          <w:szCs w:val="24"/>
        </w:rPr>
        <w:t xml:space="preserve">as </w:t>
      </w:r>
      <w:r w:rsidR="002B66E3" w:rsidRPr="005927F3">
        <w:rPr>
          <w:rFonts w:cstheme="minorHAnsi"/>
          <w:sz w:val="24"/>
          <w:szCs w:val="24"/>
        </w:rPr>
        <w:t xml:space="preserve">revealed by Edward Snowden, </w:t>
      </w:r>
      <w:r w:rsidR="00003E09" w:rsidRPr="005927F3">
        <w:rPr>
          <w:rFonts w:cstheme="minorHAnsi"/>
          <w:sz w:val="24"/>
          <w:szCs w:val="24"/>
        </w:rPr>
        <w:t>t</w:t>
      </w:r>
      <w:r w:rsidR="006A327A" w:rsidRPr="005927F3">
        <w:rPr>
          <w:rFonts w:cstheme="minorHAnsi"/>
          <w:sz w:val="24"/>
          <w:szCs w:val="24"/>
        </w:rPr>
        <w:t>he European Court of Human Rights</w:t>
      </w:r>
      <w:r w:rsidR="00736FC8" w:rsidRPr="005927F3">
        <w:rPr>
          <w:rFonts w:cstheme="minorHAnsi"/>
          <w:sz w:val="24"/>
          <w:szCs w:val="24"/>
        </w:rPr>
        <w:t xml:space="preserve"> [ECtHR]</w:t>
      </w:r>
      <w:r w:rsidR="00C52F82" w:rsidRPr="005927F3">
        <w:rPr>
          <w:rFonts w:cstheme="minorHAnsi"/>
          <w:sz w:val="24"/>
          <w:szCs w:val="24"/>
        </w:rPr>
        <w:t xml:space="preserve"> held</w:t>
      </w:r>
      <w:r w:rsidR="00EF59AA" w:rsidRPr="005927F3">
        <w:rPr>
          <w:rFonts w:cstheme="minorHAnsi"/>
          <w:sz w:val="24"/>
          <w:szCs w:val="24"/>
        </w:rPr>
        <w:t xml:space="preserve"> </w:t>
      </w:r>
      <w:r w:rsidR="006A327A" w:rsidRPr="005927F3">
        <w:rPr>
          <w:rFonts w:cstheme="minorHAnsi"/>
          <w:sz w:val="24"/>
          <w:szCs w:val="24"/>
        </w:rPr>
        <w:t>that</w:t>
      </w:r>
      <w:r w:rsidR="002F5255" w:rsidRPr="005927F3">
        <w:rPr>
          <w:rFonts w:cstheme="minorHAnsi"/>
          <w:sz w:val="24"/>
          <w:szCs w:val="24"/>
        </w:rPr>
        <w:t xml:space="preserve"> </w:t>
      </w:r>
      <w:r w:rsidR="006A327A" w:rsidRPr="005927F3">
        <w:rPr>
          <w:rFonts w:cstheme="minorHAnsi"/>
          <w:sz w:val="24"/>
          <w:szCs w:val="24"/>
        </w:rPr>
        <w:t>bulk</w:t>
      </w:r>
      <w:r w:rsidR="0092130A" w:rsidRPr="005927F3">
        <w:rPr>
          <w:rFonts w:cstheme="minorHAnsi"/>
          <w:sz w:val="24"/>
          <w:szCs w:val="24"/>
        </w:rPr>
        <w:t xml:space="preserve"> </w:t>
      </w:r>
      <w:r w:rsidR="00483BA5" w:rsidRPr="005927F3">
        <w:rPr>
          <w:rFonts w:cstheme="minorHAnsi"/>
          <w:sz w:val="24"/>
          <w:szCs w:val="24"/>
        </w:rPr>
        <w:t xml:space="preserve">interception </w:t>
      </w:r>
      <w:r w:rsidR="002C3982" w:rsidRPr="005927F3">
        <w:rPr>
          <w:rFonts w:cstheme="minorHAnsi"/>
          <w:sz w:val="24"/>
          <w:szCs w:val="24"/>
        </w:rPr>
        <w:t xml:space="preserve">is not </w:t>
      </w:r>
      <w:r w:rsidR="002C3982" w:rsidRPr="005927F3">
        <w:rPr>
          <w:rFonts w:cstheme="minorHAnsi"/>
          <w:i/>
          <w:sz w:val="24"/>
          <w:szCs w:val="24"/>
        </w:rPr>
        <w:t>per se</w:t>
      </w:r>
      <w:r w:rsidR="002C3982" w:rsidRPr="005927F3">
        <w:rPr>
          <w:rFonts w:cstheme="minorHAnsi"/>
          <w:sz w:val="24"/>
          <w:szCs w:val="24"/>
        </w:rPr>
        <w:t xml:space="preserve"> illegal</w:t>
      </w:r>
      <w:r w:rsidR="002B66E3" w:rsidRPr="005927F3">
        <w:rPr>
          <w:rFonts w:cstheme="minorHAnsi"/>
          <w:sz w:val="24"/>
          <w:szCs w:val="24"/>
        </w:rPr>
        <w:t xml:space="preserve"> </w:t>
      </w:r>
      <w:r w:rsidR="005F2702" w:rsidRPr="005927F3">
        <w:rPr>
          <w:rFonts w:cstheme="minorHAnsi"/>
          <w:sz w:val="24"/>
          <w:szCs w:val="24"/>
        </w:rPr>
        <w:t>–</w:t>
      </w:r>
      <w:r w:rsidR="002B66E3" w:rsidRPr="005927F3">
        <w:rPr>
          <w:rFonts w:cstheme="minorHAnsi"/>
          <w:sz w:val="24"/>
          <w:szCs w:val="24"/>
        </w:rPr>
        <w:t xml:space="preserve"> thus</w:t>
      </w:r>
      <w:r w:rsidR="0039006E" w:rsidRPr="005927F3">
        <w:rPr>
          <w:rFonts w:cstheme="minorHAnsi"/>
          <w:sz w:val="24"/>
          <w:szCs w:val="24"/>
        </w:rPr>
        <w:t xml:space="preserve"> dispensing with the requirement </w:t>
      </w:r>
      <w:r w:rsidR="002B66E3" w:rsidRPr="005927F3">
        <w:rPr>
          <w:rFonts w:cstheme="minorHAnsi"/>
          <w:sz w:val="24"/>
          <w:szCs w:val="24"/>
        </w:rPr>
        <w:t>of ‘reasonable suspicion’ for</w:t>
      </w:r>
      <w:r w:rsidR="001A4073" w:rsidRPr="005927F3">
        <w:rPr>
          <w:rFonts w:cstheme="minorHAnsi"/>
          <w:sz w:val="24"/>
          <w:szCs w:val="24"/>
        </w:rPr>
        <w:t xml:space="preserve"> targeted interception</w:t>
      </w:r>
      <w:r w:rsidR="002B66E3" w:rsidRPr="005927F3">
        <w:rPr>
          <w:rFonts w:cstheme="minorHAnsi"/>
          <w:sz w:val="24"/>
          <w:szCs w:val="24"/>
        </w:rPr>
        <w:t xml:space="preserve"> </w:t>
      </w:r>
      <w:r w:rsidR="005F2702" w:rsidRPr="005927F3">
        <w:rPr>
          <w:rFonts w:cstheme="minorHAnsi"/>
          <w:sz w:val="24"/>
          <w:szCs w:val="24"/>
        </w:rPr>
        <w:t>–</w:t>
      </w:r>
      <w:r w:rsidR="001A4073" w:rsidRPr="005927F3">
        <w:rPr>
          <w:rFonts w:cstheme="minorHAnsi"/>
          <w:sz w:val="24"/>
          <w:szCs w:val="24"/>
        </w:rPr>
        <w:t xml:space="preserve"> as long as it is </w:t>
      </w:r>
      <w:r w:rsidR="00003E09" w:rsidRPr="005927F3">
        <w:rPr>
          <w:rFonts w:cstheme="minorHAnsi"/>
          <w:sz w:val="24"/>
          <w:szCs w:val="24"/>
        </w:rPr>
        <w:t xml:space="preserve">justified </w:t>
      </w:r>
      <w:r w:rsidR="00003E09" w:rsidRPr="005927F3">
        <w:rPr>
          <w:rFonts w:cstheme="minorHAnsi"/>
          <w:sz w:val="24"/>
          <w:szCs w:val="24"/>
        </w:rPr>
        <w:lastRenderedPageBreak/>
        <w:t>by the need to protect against</w:t>
      </w:r>
      <w:r w:rsidR="006A327A" w:rsidRPr="005927F3">
        <w:rPr>
          <w:rFonts w:cstheme="minorHAnsi"/>
          <w:sz w:val="24"/>
          <w:szCs w:val="24"/>
        </w:rPr>
        <w:t xml:space="preserve"> </w:t>
      </w:r>
      <w:r w:rsidR="00A2585A" w:rsidRPr="005927F3">
        <w:rPr>
          <w:rFonts w:cstheme="minorHAnsi"/>
          <w:sz w:val="24"/>
          <w:szCs w:val="24"/>
        </w:rPr>
        <w:t>security threats</w:t>
      </w:r>
      <w:r w:rsidR="00A057B9" w:rsidRPr="005927F3">
        <w:rPr>
          <w:rFonts w:cstheme="minorHAnsi"/>
          <w:sz w:val="24"/>
          <w:szCs w:val="24"/>
        </w:rPr>
        <w:t xml:space="preserve"> </w:t>
      </w:r>
      <w:r w:rsidR="001A4073" w:rsidRPr="005927F3">
        <w:rPr>
          <w:rFonts w:cstheme="minorHAnsi"/>
          <w:sz w:val="24"/>
          <w:szCs w:val="24"/>
        </w:rPr>
        <w:t>and</w:t>
      </w:r>
      <w:r w:rsidR="00236F8B" w:rsidRPr="005927F3">
        <w:rPr>
          <w:rFonts w:cstheme="minorHAnsi"/>
          <w:sz w:val="24"/>
          <w:szCs w:val="24"/>
        </w:rPr>
        <w:t xml:space="preserve"> </w:t>
      </w:r>
      <w:r w:rsidR="00EF59AA" w:rsidRPr="005927F3">
        <w:rPr>
          <w:rFonts w:cstheme="minorHAnsi"/>
          <w:sz w:val="24"/>
          <w:szCs w:val="24"/>
        </w:rPr>
        <w:t>accompanied by</w:t>
      </w:r>
      <w:r w:rsidR="00003E09" w:rsidRPr="005927F3">
        <w:rPr>
          <w:rFonts w:cstheme="minorHAnsi"/>
          <w:sz w:val="24"/>
          <w:szCs w:val="24"/>
        </w:rPr>
        <w:t xml:space="preserve"> end-to-end</w:t>
      </w:r>
      <w:r w:rsidR="00EF59AA" w:rsidRPr="005927F3">
        <w:rPr>
          <w:rFonts w:cstheme="minorHAnsi"/>
          <w:sz w:val="24"/>
          <w:szCs w:val="24"/>
        </w:rPr>
        <w:t xml:space="preserve"> safeguards against abuses of power</w:t>
      </w:r>
      <w:r w:rsidR="00541728" w:rsidRPr="005927F3">
        <w:rPr>
          <w:rFonts w:cstheme="minorHAnsi"/>
          <w:sz w:val="24"/>
          <w:szCs w:val="24"/>
        </w:rPr>
        <w:t>.</w:t>
      </w:r>
      <w:r w:rsidR="00541728" w:rsidRPr="005927F3">
        <w:rPr>
          <w:rStyle w:val="FootnoteReference"/>
          <w:rFonts w:cstheme="minorHAnsi"/>
          <w:sz w:val="24"/>
          <w:szCs w:val="24"/>
        </w:rPr>
        <w:footnoteReference w:id="12"/>
      </w:r>
      <w:r w:rsidR="002F5255" w:rsidRPr="005927F3">
        <w:rPr>
          <w:rFonts w:cstheme="minorHAnsi"/>
          <w:sz w:val="24"/>
          <w:szCs w:val="24"/>
        </w:rPr>
        <w:t xml:space="preserve"> It took a dissenting judge to make the point that the shift ‘from targeting a suspect who can be identified to treating everyone as a potential suspect, whose data must be stored, analysed and profiled… is more akin to a police state than to a democratic society.’</w:t>
      </w:r>
      <w:r w:rsidR="002F5255" w:rsidRPr="005927F3">
        <w:rPr>
          <w:rStyle w:val="FootnoteReference"/>
          <w:rFonts w:cstheme="minorHAnsi"/>
          <w:sz w:val="24"/>
          <w:szCs w:val="24"/>
        </w:rPr>
        <w:footnoteReference w:id="13"/>
      </w:r>
      <w:r w:rsidR="00A54249" w:rsidRPr="005927F3">
        <w:rPr>
          <w:rFonts w:cstheme="minorHAnsi"/>
          <w:sz w:val="24"/>
          <w:szCs w:val="24"/>
        </w:rPr>
        <w:t xml:space="preserve"> </w:t>
      </w:r>
      <w:r w:rsidR="00397A53" w:rsidRPr="005927F3">
        <w:rPr>
          <w:rFonts w:cstheme="minorHAnsi"/>
          <w:sz w:val="24"/>
          <w:szCs w:val="24"/>
        </w:rPr>
        <w:t xml:space="preserve">Similarly, </w:t>
      </w:r>
      <w:r w:rsidR="00EE6782" w:rsidRPr="005927F3">
        <w:rPr>
          <w:rFonts w:cstheme="minorHAnsi"/>
          <w:sz w:val="24"/>
          <w:szCs w:val="24"/>
        </w:rPr>
        <w:t xml:space="preserve">in </w:t>
      </w:r>
      <w:r w:rsidR="002C574D" w:rsidRPr="005927F3">
        <w:rPr>
          <w:rStyle w:val="Emphasis"/>
          <w:sz w:val="24"/>
          <w:szCs w:val="24"/>
        </w:rPr>
        <w:t xml:space="preserve">La Quadrature du Net and Other </w:t>
      </w:r>
      <w:r w:rsidR="002C574D" w:rsidRPr="005927F3">
        <w:rPr>
          <w:rStyle w:val="Emphasis"/>
          <w:i w:val="0"/>
          <w:sz w:val="24"/>
          <w:szCs w:val="24"/>
        </w:rPr>
        <w:t>(2020)</w:t>
      </w:r>
      <w:r w:rsidR="002C574D" w:rsidRPr="005927F3">
        <w:rPr>
          <w:rStyle w:val="FootnoteReference"/>
          <w:iCs/>
          <w:sz w:val="24"/>
          <w:szCs w:val="24"/>
        </w:rPr>
        <w:footnoteReference w:id="14"/>
      </w:r>
      <w:r w:rsidR="002C574D" w:rsidRPr="005927F3">
        <w:rPr>
          <w:rStyle w:val="Emphasis"/>
          <w:i w:val="0"/>
          <w:sz w:val="24"/>
          <w:szCs w:val="24"/>
        </w:rPr>
        <w:t xml:space="preserve"> and </w:t>
      </w:r>
      <w:r w:rsidR="00EE6782" w:rsidRPr="005927F3">
        <w:rPr>
          <w:rFonts w:cstheme="minorHAnsi"/>
          <w:i/>
          <w:sz w:val="24"/>
          <w:szCs w:val="24"/>
        </w:rPr>
        <w:t xml:space="preserve">Privacy International </w:t>
      </w:r>
      <w:r w:rsidR="00EE6782" w:rsidRPr="005927F3">
        <w:rPr>
          <w:rFonts w:cstheme="minorHAnsi"/>
          <w:sz w:val="24"/>
          <w:szCs w:val="24"/>
        </w:rPr>
        <w:t>(2020)</w:t>
      </w:r>
      <w:r w:rsidR="00EE6782" w:rsidRPr="005927F3">
        <w:rPr>
          <w:rStyle w:val="FootnoteReference"/>
          <w:rFonts w:cstheme="minorHAnsi"/>
          <w:sz w:val="24"/>
          <w:szCs w:val="24"/>
        </w:rPr>
        <w:footnoteReference w:id="15"/>
      </w:r>
      <w:r w:rsidR="00EE6782" w:rsidRPr="005927F3">
        <w:rPr>
          <w:rFonts w:cstheme="minorHAnsi"/>
          <w:sz w:val="24"/>
          <w:szCs w:val="24"/>
        </w:rPr>
        <w:t xml:space="preserve"> </w:t>
      </w:r>
      <w:r w:rsidR="00E547AB" w:rsidRPr="005927F3">
        <w:rPr>
          <w:rFonts w:cstheme="minorHAnsi"/>
          <w:sz w:val="24"/>
          <w:szCs w:val="24"/>
        </w:rPr>
        <w:t xml:space="preserve">the CJEU held </w:t>
      </w:r>
      <w:r w:rsidR="00EE6782" w:rsidRPr="005927F3">
        <w:rPr>
          <w:rStyle w:val="Emphasis"/>
          <w:i w:val="0"/>
          <w:sz w:val="24"/>
          <w:szCs w:val="24"/>
        </w:rPr>
        <w:t xml:space="preserve">that </w:t>
      </w:r>
      <w:r w:rsidR="00E547AB" w:rsidRPr="005927F3">
        <w:rPr>
          <w:rFonts w:cstheme="minorHAnsi"/>
          <w:sz w:val="24"/>
          <w:szCs w:val="24"/>
        </w:rPr>
        <w:t>although</w:t>
      </w:r>
      <w:r w:rsidR="00E547AB" w:rsidRPr="005927F3">
        <w:rPr>
          <w:rStyle w:val="Emphasis"/>
          <w:i w:val="0"/>
          <w:sz w:val="24"/>
          <w:szCs w:val="24"/>
        </w:rPr>
        <w:t xml:space="preserve"> </w:t>
      </w:r>
      <w:r w:rsidR="00EE6782" w:rsidRPr="005927F3">
        <w:rPr>
          <w:rStyle w:val="Emphasis"/>
          <w:i w:val="0"/>
          <w:sz w:val="24"/>
          <w:szCs w:val="24"/>
        </w:rPr>
        <w:t xml:space="preserve">‘general and indiscriminate’ </w:t>
      </w:r>
      <w:r w:rsidR="005F2702" w:rsidRPr="005927F3">
        <w:rPr>
          <w:rStyle w:val="Emphasis"/>
          <w:i w:val="0"/>
          <w:sz w:val="24"/>
          <w:szCs w:val="24"/>
        </w:rPr>
        <w:t>–</w:t>
      </w:r>
      <w:r w:rsidR="00DF65D4" w:rsidRPr="005927F3">
        <w:rPr>
          <w:rStyle w:val="Emphasis"/>
          <w:i w:val="0"/>
          <w:sz w:val="24"/>
          <w:szCs w:val="24"/>
        </w:rPr>
        <w:t xml:space="preserve"> or bulk </w:t>
      </w:r>
      <w:r w:rsidR="005F2702" w:rsidRPr="005927F3">
        <w:rPr>
          <w:rStyle w:val="Emphasis"/>
          <w:i w:val="0"/>
          <w:sz w:val="24"/>
          <w:szCs w:val="24"/>
        </w:rPr>
        <w:t>–</w:t>
      </w:r>
      <w:r w:rsidR="00DF65D4" w:rsidRPr="005927F3">
        <w:rPr>
          <w:rStyle w:val="Emphasis"/>
          <w:i w:val="0"/>
          <w:sz w:val="24"/>
          <w:szCs w:val="24"/>
        </w:rPr>
        <w:t xml:space="preserve"> </w:t>
      </w:r>
      <w:r w:rsidR="002C574D" w:rsidRPr="005927F3">
        <w:rPr>
          <w:rStyle w:val="Emphasis"/>
          <w:i w:val="0"/>
          <w:sz w:val="24"/>
          <w:szCs w:val="24"/>
        </w:rPr>
        <w:t xml:space="preserve">retention or </w:t>
      </w:r>
      <w:r w:rsidR="00EE6782" w:rsidRPr="005927F3">
        <w:rPr>
          <w:rStyle w:val="Emphasis"/>
          <w:i w:val="0"/>
          <w:sz w:val="24"/>
          <w:szCs w:val="24"/>
        </w:rPr>
        <w:t>transmission</w:t>
      </w:r>
      <w:r w:rsidR="002C574D" w:rsidRPr="005927F3">
        <w:rPr>
          <w:rStyle w:val="Emphasis"/>
          <w:i w:val="0"/>
          <w:sz w:val="24"/>
          <w:szCs w:val="24"/>
        </w:rPr>
        <w:t xml:space="preserve"> </w:t>
      </w:r>
      <w:r w:rsidR="00EE6782" w:rsidRPr="005927F3">
        <w:rPr>
          <w:rStyle w:val="Emphasis"/>
          <w:i w:val="0"/>
          <w:sz w:val="24"/>
          <w:szCs w:val="24"/>
        </w:rPr>
        <w:t>of personal data is unlawful under the EU Charter of Fundamental Rights</w:t>
      </w:r>
      <w:r w:rsidR="00DF65D4" w:rsidRPr="005927F3">
        <w:rPr>
          <w:rStyle w:val="Emphasis"/>
          <w:i w:val="0"/>
          <w:sz w:val="24"/>
          <w:szCs w:val="24"/>
        </w:rPr>
        <w:t>,</w:t>
      </w:r>
      <w:r w:rsidR="00EE6782" w:rsidRPr="005927F3">
        <w:rPr>
          <w:rStyle w:val="FootnoteReference"/>
          <w:iCs/>
          <w:sz w:val="24"/>
          <w:szCs w:val="24"/>
        </w:rPr>
        <w:footnoteReference w:id="16"/>
      </w:r>
      <w:r w:rsidR="00DF65D4" w:rsidRPr="005927F3">
        <w:rPr>
          <w:rStyle w:val="Emphasis"/>
          <w:i w:val="0"/>
          <w:sz w:val="24"/>
          <w:szCs w:val="24"/>
        </w:rPr>
        <w:t xml:space="preserve"> </w:t>
      </w:r>
      <w:r w:rsidR="00DF65D4" w:rsidRPr="005927F3">
        <w:rPr>
          <w:rFonts w:cstheme="minorHAnsi"/>
          <w:sz w:val="24"/>
          <w:szCs w:val="24"/>
        </w:rPr>
        <w:t xml:space="preserve">bulk </w:t>
      </w:r>
      <w:r w:rsidR="002C574D" w:rsidRPr="005927F3">
        <w:rPr>
          <w:rFonts w:cstheme="minorHAnsi"/>
          <w:sz w:val="24"/>
          <w:szCs w:val="24"/>
        </w:rPr>
        <w:t xml:space="preserve">data </w:t>
      </w:r>
      <w:r w:rsidR="00DF65D4" w:rsidRPr="005927F3">
        <w:rPr>
          <w:rFonts w:cstheme="minorHAnsi"/>
          <w:sz w:val="24"/>
          <w:szCs w:val="24"/>
        </w:rPr>
        <w:t>retention may be justified to prevent ‘</w:t>
      </w:r>
      <w:r w:rsidR="00DF65D4" w:rsidRPr="005927F3">
        <w:rPr>
          <w:sz w:val="24"/>
          <w:szCs w:val="24"/>
        </w:rPr>
        <w:t>activities capable of seriously destabilising the fundamental constitutional, political, economic or social structures of a country and, in particular, of directly threatening society, the population or the State itself, such as terrorist activities</w:t>
      </w:r>
      <w:r w:rsidR="00397A53" w:rsidRPr="005927F3">
        <w:rPr>
          <w:sz w:val="24"/>
          <w:szCs w:val="24"/>
        </w:rPr>
        <w:t>.’</w:t>
      </w:r>
      <w:r w:rsidR="00397A53" w:rsidRPr="005927F3">
        <w:rPr>
          <w:rStyle w:val="FootnoteReference"/>
          <w:sz w:val="24"/>
          <w:szCs w:val="24"/>
        </w:rPr>
        <w:footnoteReference w:id="17"/>
      </w:r>
      <w:r w:rsidR="00397A53" w:rsidRPr="005927F3">
        <w:rPr>
          <w:sz w:val="24"/>
          <w:szCs w:val="24"/>
        </w:rPr>
        <w:t xml:space="preserve"> T</w:t>
      </w:r>
      <w:r w:rsidR="002C574D" w:rsidRPr="005927F3">
        <w:rPr>
          <w:sz w:val="24"/>
          <w:szCs w:val="24"/>
        </w:rPr>
        <w:t>hese are cases</w:t>
      </w:r>
      <w:r w:rsidR="003B2DA9" w:rsidRPr="005927F3">
        <w:rPr>
          <w:sz w:val="24"/>
          <w:szCs w:val="24"/>
        </w:rPr>
        <w:t xml:space="preserve"> that</w:t>
      </w:r>
      <w:r w:rsidR="002C574D" w:rsidRPr="005927F3">
        <w:rPr>
          <w:sz w:val="24"/>
          <w:szCs w:val="24"/>
        </w:rPr>
        <w:t xml:space="preserve"> </w:t>
      </w:r>
      <w:r w:rsidR="00397A53" w:rsidRPr="005927F3">
        <w:rPr>
          <w:sz w:val="24"/>
          <w:szCs w:val="24"/>
        </w:rPr>
        <w:t xml:space="preserve">appear to close the door to indiscriminate </w:t>
      </w:r>
      <w:r w:rsidR="002C574D" w:rsidRPr="005927F3">
        <w:rPr>
          <w:sz w:val="24"/>
          <w:szCs w:val="24"/>
        </w:rPr>
        <w:t>State</w:t>
      </w:r>
      <w:r w:rsidR="00397A53" w:rsidRPr="005927F3">
        <w:rPr>
          <w:sz w:val="24"/>
          <w:szCs w:val="24"/>
        </w:rPr>
        <w:t xml:space="preserve"> surveillance</w:t>
      </w:r>
      <w:r w:rsidR="002C574D" w:rsidRPr="005927F3">
        <w:rPr>
          <w:sz w:val="24"/>
          <w:szCs w:val="24"/>
        </w:rPr>
        <w:t>,</w:t>
      </w:r>
      <w:r w:rsidR="00397A53" w:rsidRPr="005927F3">
        <w:rPr>
          <w:sz w:val="24"/>
          <w:szCs w:val="24"/>
        </w:rPr>
        <w:t xml:space="preserve"> </w:t>
      </w:r>
      <w:r w:rsidR="009F0753" w:rsidRPr="005927F3">
        <w:rPr>
          <w:sz w:val="24"/>
          <w:szCs w:val="24"/>
        </w:rPr>
        <w:t>yet</w:t>
      </w:r>
      <w:r w:rsidR="00CB3D73" w:rsidRPr="005927F3">
        <w:rPr>
          <w:sz w:val="24"/>
          <w:szCs w:val="24"/>
        </w:rPr>
        <w:t xml:space="preserve"> </w:t>
      </w:r>
      <w:r w:rsidR="009041AA" w:rsidRPr="005927F3">
        <w:rPr>
          <w:sz w:val="24"/>
          <w:szCs w:val="24"/>
        </w:rPr>
        <w:t xml:space="preserve">in fact </w:t>
      </w:r>
      <w:r w:rsidR="003B2DA9" w:rsidRPr="005927F3">
        <w:rPr>
          <w:sz w:val="24"/>
          <w:szCs w:val="24"/>
        </w:rPr>
        <w:t xml:space="preserve">leave </w:t>
      </w:r>
      <w:r w:rsidR="00E547AB" w:rsidRPr="005927F3">
        <w:rPr>
          <w:sz w:val="24"/>
          <w:szCs w:val="24"/>
        </w:rPr>
        <w:t>it</w:t>
      </w:r>
      <w:r w:rsidR="00BD2BA7" w:rsidRPr="005927F3">
        <w:rPr>
          <w:sz w:val="24"/>
          <w:szCs w:val="24"/>
        </w:rPr>
        <w:t xml:space="preserve"> </w:t>
      </w:r>
      <w:r w:rsidR="003B2DA9" w:rsidRPr="005927F3">
        <w:rPr>
          <w:sz w:val="24"/>
          <w:szCs w:val="24"/>
        </w:rPr>
        <w:t>slightly ajar</w:t>
      </w:r>
      <w:r w:rsidR="00397A53" w:rsidRPr="005927F3">
        <w:rPr>
          <w:sz w:val="24"/>
          <w:szCs w:val="24"/>
        </w:rPr>
        <w:t>.</w:t>
      </w:r>
      <w:r w:rsidR="00362FD4" w:rsidRPr="005927F3">
        <w:rPr>
          <w:sz w:val="24"/>
          <w:szCs w:val="24"/>
        </w:rPr>
        <w:t xml:space="preserve"> </w:t>
      </w:r>
      <w:r w:rsidR="00E547AB" w:rsidRPr="005927F3">
        <w:rPr>
          <w:sz w:val="24"/>
          <w:szCs w:val="24"/>
        </w:rPr>
        <w:t>Meanwhile</w:t>
      </w:r>
      <w:r w:rsidR="00BD2BA7" w:rsidRPr="005927F3">
        <w:rPr>
          <w:sz w:val="24"/>
          <w:szCs w:val="24"/>
        </w:rPr>
        <w:t xml:space="preserve">, the US responded to the Snowden revelations with the </w:t>
      </w:r>
      <w:r w:rsidR="00E547AB" w:rsidRPr="005927F3">
        <w:rPr>
          <w:sz w:val="24"/>
          <w:szCs w:val="24"/>
        </w:rPr>
        <w:t xml:space="preserve">rather more </w:t>
      </w:r>
      <w:r w:rsidR="00BD2BA7" w:rsidRPr="005927F3">
        <w:rPr>
          <w:sz w:val="24"/>
          <w:szCs w:val="24"/>
        </w:rPr>
        <w:t xml:space="preserve">pro-active and decisive step of the </w:t>
      </w:r>
      <w:r w:rsidR="00236F8B" w:rsidRPr="005927F3">
        <w:rPr>
          <w:rFonts w:cstheme="minorHAnsi"/>
          <w:sz w:val="24"/>
          <w:szCs w:val="24"/>
        </w:rPr>
        <w:t>USA Freedom Act 2015</w:t>
      </w:r>
      <w:r w:rsidR="00236F8B" w:rsidRPr="005927F3">
        <w:rPr>
          <w:rStyle w:val="FootnoteReference"/>
          <w:rFonts w:cstheme="minorHAnsi"/>
          <w:sz w:val="24"/>
          <w:szCs w:val="24"/>
        </w:rPr>
        <w:footnoteReference w:id="18"/>
      </w:r>
      <w:r w:rsidR="00A2585A" w:rsidRPr="005927F3">
        <w:rPr>
          <w:rFonts w:cstheme="minorHAnsi"/>
          <w:sz w:val="24"/>
          <w:szCs w:val="24"/>
        </w:rPr>
        <w:t xml:space="preserve"> </w:t>
      </w:r>
      <w:r w:rsidR="008E3C60" w:rsidRPr="005927F3">
        <w:rPr>
          <w:rFonts w:cstheme="minorHAnsi"/>
          <w:sz w:val="24"/>
          <w:szCs w:val="24"/>
        </w:rPr>
        <w:t>that</w:t>
      </w:r>
      <w:r w:rsidR="00A54249" w:rsidRPr="005927F3">
        <w:rPr>
          <w:rFonts w:cstheme="minorHAnsi"/>
          <w:sz w:val="24"/>
          <w:szCs w:val="24"/>
        </w:rPr>
        <w:t xml:space="preserve"> </w:t>
      </w:r>
      <w:r w:rsidR="005A0188" w:rsidRPr="005927F3">
        <w:rPr>
          <w:rFonts w:cstheme="minorHAnsi"/>
          <w:sz w:val="24"/>
          <w:szCs w:val="24"/>
        </w:rPr>
        <w:t>ended the</w:t>
      </w:r>
      <w:r w:rsidR="00236F8B" w:rsidRPr="005927F3">
        <w:rPr>
          <w:rFonts w:cstheme="minorHAnsi"/>
          <w:sz w:val="24"/>
          <w:szCs w:val="24"/>
        </w:rPr>
        <w:t xml:space="preserve"> </w:t>
      </w:r>
      <w:r w:rsidR="00E93356" w:rsidRPr="005927F3">
        <w:rPr>
          <w:rFonts w:cstheme="minorHAnsi"/>
          <w:sz w:val="24"/>
          <w:szCs w:val="24"/>
        </w:rPr>
        <w:t>governmental</w:t>
      </w:r>
      <w:r w:rsidR="00C01E3C" w:rsidRPr="005927F3">
        <w:rPr>
          <w:rFonts w:cstheme="minorHAnsi"/>
          <w:sz w:val="24"/>
          <w:szCs w:val="24"/>
        </w:rPr>
        <w:t xml:space="preserve"> </w:t>
      </w:r>
      <w:r w:rsidR="00910CFF" w:rsidRPr="005927F3">
        <w:rPr>
          <w:rFonts w:cstheme="minorHAnsi"/>
          <w:sz w:val="24"/>
          <w:szCs w:val="24"/>
        </w:rPr>
        <w:t xml:space="preserve">surveillance </w:t>
      </w:r>
      <w:r w:rsidR="00A54249" w:rsidRPr="005927F3">
        <w:rPr>
          <w:rFonts w:cstheme="minorHAnsi"/>
          <w:sz w:val="24"/>
          <w:szCs w:val="24"/>
        </w:rPr>
        <w:t xml:space="preserve">programme </w:t>
      </w:r>
      <w:r w:rsidR="00311DE8" w:rsidRPr="005927F3">
        <w:rPr>
          <w:rFonts w:cstheme="minorHAnsi"/>
          <w:sz w:val="24"/>
          <w:szCs w:val="24"/>
        </w:rPr>
        <w:t xml:space="preserve">of domestic telecommunications </w:t>
      </w:r>
      <w:r w:rsidR="00BD2BA7" w:rsidRPr="005927F3">
        <w:rPr>
          <w:rFonts w:cstheme="minorHAnsi"/>
          <w:sz w:val="24"/>
          <w:szCs w:val="24"/>
        </w:rPr>
        <w:t>meta</w:t>
      </w:r>
      <w:r w:rsidR="00910CFF" w:rsidRPr="005927F3">
        <w:rPr>
          <w:rFonts w:cstheme="minorHAnsi"/>
          <w:sz w:val="24"/>
          <w:szCs w:val="24"/>
        </w:rPr>
        <w:t xml:space="preserve"> </w:t>
      </w:r>
      <w:r w:rsidR="00E93356" w:rsidRPr="005927F3">
        <w:rPr>
          <w:rFonts w:cstheme="minorHAnsi"/>
          <w:sz w:val="24"/>
          <w:szCs w:val="24"/>
        </w:rPr>
        <w:t>data</w:t>
      </w:r>
      <w:r w:rsidR="00BD2BA7" w:rsidRPr="005927F3">
        <w:rPr>
          <w:rFonts w:cstheme="minorHAnsi"/>
          <w:sz w:val="24"/>
          <w:szCs w:val="24"/>
        </w:rPr>
        <w:t xml:space="preserve">. </w:t>
      </w:r>
      <w:r w:rsidR="007E3703" w:rsidRPr="005927F3">
        <w:rPr>
          <w:rFonts w:cstheme="minorHAnsi"/>
          <w:sz w:val="24"/>
          <w:szCs w:val="24"/>
        </w:rPr>
        <w:t xml:space="preserve">Paradoxically, </w:t>
      </w:r>
      <w:r w:rsidR="00362FD4" w:rsidRPr="005927F3">
        <w:rPr>
          <w:rFonts w:cstheme="minorHAnsi"/>
          <w:sz w:val="24"/>
          <w:szCs w:val="24"/>
        </w:rPr>
        <w:t>Snowden</w:t>
      </w:r>
      <w:r w:rsidR="008E3C60" w:rsidRPr="005927F3">
        <w:rPr>
          <w:rFonts w:cstheme="minorHAnsi"/>
          <w:sz w:val="24"/>
          <w:szCs w:val="24"/>
        </w:rPr>
        <w:t>’s</w:t>
      </w:r>
      <w:r w:rsidR="00BD2BA7" w:rsidRPr="005927F3">
        <w:rPr>
          <w:rFonts w:cstheme="minorHAnsi"/>
          <w:sz w:val="24"/>
          <w:szCs w:val="24"/>
        </w:rPr>
        <w:t xml:space="preserve"> </w:t>
      </w:r>
      <w:r w:rsidR="00362FD4" w:rsidRPr="005927F3">
        <w:rPr>
          <w:rFonts w:cstheme="minorHAnsi"/>
          <w:sz w:val="24"/>
          <w:szCs w:val="24"/>
        </w:rPr>
        <w:t>exposure</w:t>
      </w:r>
      <w:r w:rsidR="003B2DA9" w:rsidRPr="005927F3">
        <w:rPr>
          <w:rFonts w:cstheme="minorHAnsi"/>
          <w:sz w:val="24"/>
          <w:szCs w:val="24"/>
        </w:rPr>
        <w:t xml:space="preserve"> attested to the level of secrecy the US government deemed necessary to engage in bulk </w:t>
      </w:r>
      <w:r w:rsidR="00BD2BA7" w:rsidRPr="005927F3">
        <w:rPr>
          <w:rFonts w:cstheme="minorHAnsi"/>
          <w:sz w:val="24"/>
          <w:szCs w:val="24"/>
        </w:rPr>
        <w:t>surveillance,</w:t>
      </w:r>
      <w:r w:rsidR="007E3703" w:rsidRPr="005927F3">
        <w:rPr>
          <w:rFonts w:cstheme="minorHAnsi"/>
          <w:sz w:val="24"/>
          <w:szCs w:val="24"/>
        </w:rPr>
        <w:t xml:space="preserve"> and</w:t>
      </w:r>
      <w:r w:rsidR="00BD2BA7" w:rsidRPr="005927F3">
        <w:rPr>
          <w:rFonts w:cstheme="minorHAnsi"/>
          <w:sz w:val="24"/>
          <w:szCs w:val="24"/>
        </w:rPr>
        <w:t xml:space="preserve"> the </w:t>
      </w:r>
      <w:r w:rsidR="00BD2BA7" w:rsidRPr="005927F3">
        <w:rPr>
          <w:rFonts w:cstheme="minorHAnsi"/>
          <w:i/>
          <w:sz w:val="24"/>
          <w:szCs w:val="24"/>
        </w:rPr>
        <w:t xml:space="preserve">Freedom </w:t>
      </w:r>
      <w:r w:rsidR="00BD2BA7" w:rsidRPr="005927F3">
        <w:rPr>
          <w:rFonts w:cstheme="minorHAnsi"/>
          <w:sz w:val="24"/>
          <w:szCs w:val="24"/>
        </w:rPr>
        <w:t xml:space="preserve">Act </w:t>
      </w:r>
      <w:r w:rsidR="00CB3D73" w:rsidRPr="005927F3">
        <w:rPr>
          <w:rFonts w:cstheme="minorHAnsi"/>
          <w:sz w:val="24"/>
          <w:szCs w:val="24"/>
        </w:rPr>
        <w:t>in turn showed</w:t>
      </w:r>
      <w:r w:rsidR="00BD2BA7" w:rsidRPr="005927F3">
        <w:rPr>
          <w:rFonts w:cstheme="minorHAnsi"/>
          <w:sz w:val="24"/>
          <w:szCs w:val="24"/>
        </w:rPr>
        <w:t xml:space="preserve"> quite how profoundly State surveillance jars with the </w:t>
      </w:r>
      <w:r w:rsidR="003B2DA9" w:rsidRPr="005927F3">
        <w:rPr>
          <w:rFonts w:cstheme="minorHAnsi"/>
          <w:sz w:val="24"/>
          <w:szCs w:val="24"/>
        </w:rPr>
        <w:t>America</w:t>
      </w:r>
      <w:r w:rsidR="00BD2BA7" w:rsidRPr="005927F3">
        <w:rPr>
          <w:rFonts w:cstheme="minorHAnsi"/>
          <w:sz w:val="24"/>
          <w:szCs w:val="24"/>
        </w:rPr>
        <w:t>n ideal</w:t>
      </w:r>
      <w:r w:rsidR="00CB3D73" w:rsidRPr="005927F3">
        <w:rPr>
          <w:rFonts w:cstheme="minorHAnsi"/>
          <w:sz w:val="24"/>
          <w:szCs w:val="24"/>
        </w:rPr>
        <w:t xml:space="preserve"> of individual liberty – a privacy sensitivity of a different kind. </w:t>
      </w:r>
      <w:r w:rsidR="008E3C60" w:rsidRPr="005927F3">
        <w:rPr>
          <w:rFonts w:cstheme="minorHAnsi"/>
          <w:sz w:val="24"/>
          <w:szCs w:val="24"/>
        </w:rPr>
        <w:t>Here p</w:t>
      </w:r>
      <w:r w:rsidR="005A0188" w:rsidRPr="005927F3">
        <w:rPr>
          <w:rFonts w:cstheme="minorHAnsi"/>
          <w:sz w:val="24"/>
          <w:szCs w:val="24"/>
        </w:rPr>
        <w:t xml:space="preserve">rivacy </w:t>
      </w:r>
      <w:r w:rsidR="00910CFF" w:rsidRPr="005927F3">
        <w:rPr>
          <w:rFonts w:cstheme="minorHAnsi"/>
          <w:sz w:val="24"/>
          <w:szCs w:val="24"/>
        </w:rPr>
        <w:t>is not about personal reinvention,</w:t>
      </w:r>
      <w:r w:rsidR="005A0188" w:rsidRPr="005927F3">
        <w:rPr>
          <w:rFonts w:cstheme="minorHAnsi"/>
          <w:sz w:val="24"/>
          <w:szCs w:val="24"/>
        </w:rPr>
        <w:t xml:space="preserve"> but </w:t>
      </w:r>
      <w:r w:rsidR="009F0753" w:rsidRPr="005927F3">
        <w:rPr>
          <w:rFonts w:cstheme="minorHAnsi"/>
          <w:sz w:val="24"/>
          <w:szCs w:val="24"/>
        </w:rPr>
        <w:t>still</w:t>
      </w:r>
      <w:r w:rsidR="005A0188" w:rsidRPr="005927F3">
        <w:rPr>
          <w:rFonts w:cstheme="minorHAnsi"/>
          <w:sz w:val="24"/>
          <w:szCs w:val="24"/>
        </w:rPr>
        <w:t xml:space="preserve"> </w:t>
      </w:r>
      <w:r w:rsidR="00910CFF" w:rsidRPr="005927F3">
        <w:rPr>
          <w:rFonts w:cstheme="minorHAnsi"/>
          <w:sz w:val="24"/>
          <w:szCs w:val="24"/>
        </w:rPr>
        <w:t xml:space="preserve">goes towards guarding </w:t>
      </w:r>
      <w:r w:rsidR="004667FA" w:rsidRPr="005927F3">
        <w:rPr>
          <w:rFonts w:cstheme="minorHAnsi"/>
          <w:sz w:val="24"/>
          <w:szCs w:val="24"/>
        </w:rPr>
        <w:t xml:space="preserve">individual </w:t>
      </w:r>
      <w:r w:rsidR="009959A7" w:rsidRPr="005927F3">
        <w:rPr>
          <w:rFonts w:cstheme="minorHAnsi"/>
          <w:sz w:val="24"/>
          <w:szCs w:val="24"/>
        </w:rPr>
        <w:t>flourishing</w:t>
      </w:r>
      <w:r w:rsidR="00CB3D73" w:rsidRPr="005927F3">
        <w:rPr>
          <w:rFonts w:cstheme="minorHAnsi"/>
          <w:sz w:val="24"/>
          <w:szCs w:val="24"/>
        </w:rPr>
        <w:t xml:space="preserve"> </w:t>
      </w:r>
      <w:r w:rsidR="007E3703" w:rsidRPr="005927F3">
        <w:rPr>
          <w:rFonts w:cstheme="minorHAnsi"/>
          <w:sz w:val="24"/>
          <w:szCs w:val="24"/>
        </w:rPr>
        <w:t>uninhibited by a sense of being watched</w:t>
      </w:r>
      <w:r w:rsidR="00CB3D73" w:rsidRPr="005927F3">
        <w:rPr>
          <w:rFonts w:cstheme="minorHAnsi"/>
          <w:sz w:val="24"/>
          <w:szCs w:val="24"/>
        </w:rPr>
        <w:t>.</w:t>
      </w:r>
      <w:r w:rsidR="004667FA" w:rsidRPr="005927F3">
        <w:rPr>
          <w:rStyle w:val="FootnoteReference"/>
          <w:rFonts w:cstheme="minorHAnsi"/>
          <w:sz w:val="24"/>
          <w:szCs w:val="24"/>
        </w:rPr>
        <w:footnoteReference w:id="19"/>
      </w:r>
      <w:r w:rsidR="0076672B" w:rsidRPr="005927F3">
        <w:rPr>
          <w:rFonts w:cstheme="minorHAnsi"/>
          <w:sz w:val="24"/>
          <w:szCs w:val="24"/>
        </w:rPr>
        <w:t xml:space="preserve"> </w:t>
      </w:r>
      <w:r w:rsidR="00E547AB" w:rsidRPr="005927F3">
        <w:rPr>
          <w:rFonts w:cstheme="minorHAnsi"/>
          <w:sz w:val="24"/>
          <w:szCs w:val="24"/>
        </w:rPr>
        <w:t xml:space="preserve">Harm </w:t>
      </w:r>
      <w:r w:rsidR="00E645FD" w:rsidRPr="005927F3">
        <w:rPr>
          <w:rFonts w:cstheme="minorHAnsi"/>
          <w:sz w:val="24"/>
          <w:szCs w:val="24"/>
        </w:rPr>
        <w:t xml:space="preserve">suffered </w:t>
      </w:r>
      <w:r w:rsidR="005F2702" w:rsidRPr="005927F3">
        <w:rPr>
          <w:rFonts w:cstheme="minorHAnsi"/>
          <w:sz w:val="24"/>
          <w:szCs w:val="24"/>
        </w:rPr>
        <w:t xml:space="preserve">through </w:t>
      </w:r>
      <w:r w:rsidR="00A2585A" w:rsidRPr="005927F3">
        <w:rPr>
          <w:rFonts w:cstheme="minorHAnsi"/>
          <w:sz w:val="24"/>
          <w:szCs w:val="24"/>
        </w:rPr>
        <w:t>bulk</w:t>
      </w:r>
      <w:r w:rsidR="00E645FD" w:rsidRPr="005927F3">
        <w:rPr>
          <w:rFonts w:cstheme="minorHAnsi"/>
          <w:sz w:val="24"/>
          <w:szCs w:val="24"/>
        </w:rPr>
        <w:t xml:space="preserve"> surveillance </w:t>
      </w:r>
      <w:r w:rsidR="00910CFF" w:rsidRPr="005927F3">
        <w:rPr>
          <w:rFonts w:cstheme="minorHAnsi"/>
          <w:sz w:val="24"/>
          <w:szCs w:val="24"/>
        </w:rPr>
        <w:t>may</w:t>
      </w:r>
      <w:r w:rsidR="00735121" w:rsidRPr="005927F3">
        <w:rPr>
          <w:rFonts w:cstheme="minorHAnsi"/>
          <w:sz w:val="24"/>
          <w:szCs w:val="24"/>
        </w:rPr>
        <w:t xml:space="preserve"> </w:t>
      </w:r>
      <w:r w:rsidR="00E547AB" w:rsidRPr="005927F3">
        <w:rPr>
          <w:rFonts w:cstheme="minorHAnsi"/>
          <w:sz w:val="24"/>
          <w:szCs w:val="24"/>
        </w:rPr>
        <w:t>thus also be understood as</w:t>
      </w:r>
      <w:r w:rsidR="00285728" w:rsidRPr="005927F3">
        <w:rPr>
          <w:rFonts w:cstheme="minorHAnsi"/>
          <w:sz w:val="24"/>
          <w:szCs w:val="24"/>
        </w:rPr>
        <w:t xml:space="preserve"> inroads into</w:t>
      </w:r>
      <w:r w:rsidR="00E3503E" w:rsidRPr="005927F3">
        <w:rPr>
          <w:rFonts w:cstheme="minorHAnsi"/>
          <w:sz w:val="24"/>
          <w:szCs w:val="24"/>
        </w:rPr>
        <w:t xml:space="preserve"> </w:t>
      </w:r>
      <w:r w:rsidR="00910CFF" w:rsidRPr="005927F3">
        <w:rPr>
          <w:rFonts w:cstheme="minorHAnsi"/>
          <w:sz w:val="24"/>
          <w:szCs w:val="24"/>
        </w:rPr>
        <w:t>self-de</w:t>
      </w:r>
      <w:r w:rsidR="00A2585A" w:rsidRPr="005927F3">
        <w:rPr>
          <w:rFonts w:cstheme="minorHAnsi"/>
          <w:sz w:val="24"/>
          <w:szCs w:val="24"/>
        </w:rPr>
        <w:t>t</w:t>
      </w:r>
      <w:r w:rsidR="00AA3F90" w:rsidRPr="005927F3">
        <w:rPr>
          <w:rFonts w:cstheme="minorHAnsi"/>
          <w:sz w:val="24"/>
          <w:szCs w:val="24"/>
        </w:rPr>
        <w:t>ermination or self-realisation,</w:t>
      </w:r>
      <w:r w:rsidR="00910CFF" w:rsidRPr="005927F3">
        <w:rPr>
          <w:rFonts w:cstheme="minorHAnsi"/>
          <w:sz w:val="24"/>
          <w:szCs w:val="24"/>
        </w:rPr>
        <w:t xml:space="preserve"> albeit with </w:t>
      </w:r>
      <w:r w:rsidR="00E645FD" w:rsidRPr="005927F3">
        <w:rPr>
          <w:rFonts w:cstheme="minorHAnsi"/>
          <w:sz w:val="24"/>
          <w:szCs w:val="24"/>
        </w:rPr>
        <w:t xml:space="preserve">accents </w:t>
      </w:r>
      <w:r w:rsidR="00311DE8" w:rsidRPr="005927F3">
        <w:rPr>
          <w:rFonts w:cstheme="minorHAnsi"/>
          <w:sz w:val="24"/>
          <w:szCs w:val="24"/>
        </w:rPr>
        <w:t>different from</w:t>
      </w:r>
      <w:r w:rsidR="001E7BB8" w:rsidRPr="005927F3">
        <w:rPr>
          <w:rFonts w:cstheme="minorHAnsi"/>
          <w:sz w:val="24"/>
          <w:szCs w:val="24"/>
        </w:rPr>
        <w:t xml:space="preserve"> </w:t>
      </w:r>
      <w:r w:rsidR="00E547AB" w:rsidRPr="005927F3">
        <w:rPr>
          <w:rFonts w:cstheme="minorHAnsi"/>
          <w:sz w:val="24"/>
          <w:szCs w:val="24"/>
        </w:rPr>
        <w:t xml:space="preserve">those behind </w:t>
      </w:r>
      <w:r w:rsidR="00311DE8" w:rsidRPr="005927F3">
        <w:rPr>
          <w:rFonts w:cstheme="minorHAnsi"/>
          <w:sz w:val="24"/>
          <w:szCs w:val="24"/>
        </w:rPr>
        <w:t xml:space="preserve">the </w:t>
      </w:r>
      <w:r w:rsidR="00CE0C59" w:rsidRPr="005927F3">
        <w:rPr>
          <w:rFonts w:cstheme="minorHAnsi"/>
          <w:sz w:val="24"/>
          <w:szCs w:val="24"/>
        </w:rPr>
        <w:t xml:space="preserve">EU-fashioned </w:t>
      </w:r>
      <w:r w:rsidR="00CB3D73" w:rsidRPr="005927F3">
        <w:rPr>
          <w:rFonts w:cstheme="minorHAnsi"/>
          <w:sz w:val="24"/>
          <w:szCs w:val="24"/>
        </w:rPr>
        <w:t>right to be forgotten</w:t>
      </w:r>
      <w:r w:rsidR="00E53B3A" w:rsidRPr="005927F3">
        <w:rPr>
          <w:rFonts w:cstheme="minorHAnsi"/>
          <w:sz w:val="24"/>
          <w:szCs w:val="24"/>
        </w:rPr>
        <w:t>.</w:t>
      </w:r>
      <w:r w:rsidR="00BD2BA7" w:rsidRPr="005927F3">
        <w:rPr>
          <w:rFonts w:cstheme="minorHAnsi"/>
          <w:sz w:val="24"/>
          <w:szCs w:val="24"/>
        </w:rPr>
        <w:t xml:space="preserve"> </w:t>
      </w:r>
    </w:p>
    <w:p w14:paraId="6956664B" w14:textId="329F4395" w:rsidR="004672E4" w:rsidRPr="005927F3" w:rsidRDefault="004672E4" w:rsidP="008B308D">
      <w:pPr>
        <w:spacing w:after="0" w:line="240" w:lineRule="auto"/>
        <w:jc w:val="both"/>
        <w:rPr>
          <w:rFonts w:cstheme="minorHAnsi"/>
          <w:sz w:val="24"/>
          <w:szCs w:val="24"/>
        </w:rPr>
      </w:pPr>
    </w:p>
    <w:p w14:paraId="400618D6" w14:textId="7FF71B0D" w:rsidR="004672E4" w:rsidRPr="005927F3" w:rsidRDefault="004672E4" w:rsidP="008B308D">
      <w:pPr>
        <w:spacing w:after="0" w:line="240" w:lineRule="auto"/>
        <w:jc w:val="both"/>
        <w:rPr>
          <w:rFonts w:cstheme="minorHAnsi"/>
          <w:sz w:val="24"/>
          <w:szCs w:val="24"/>
        </w:rPr>
      </w:pPr>
      <w:r w:rsidRPr="005927F3">
        <w:rPr>
          <w:rFonts w:cstheme="minorHAnsi"/>
          <w:sz w:val="24"/>
          <w:szCs w:val="24"/>
        </w:rPr>
        <w:t>The distinction between overt and covert information practices</w:t>
      </w:r>
      <w:r w:rsidR="001006D7" w:rsidRPr="005927F3">
        <w:rPr>
          <w:rFonts w:cstheme="minorHAnsi"/>
          <w:sz w:val="24"/>
          <w:szCs w:val="24"/>
        </w:rPr>
        <w:t xml:space="preserve"> and</w:t>
      </w:r>
      <w:r w:rsidR="00DA2D96" w:rsidRPr="005927F3">
        <w:rPr>
          <w:rFonts w:cstheme="minorHAnsi"/>
          <w:sz w:val="24"/>
          <w:szCs w:val="24"/>
        </w:rPr>
        <w:t xml:space="preserve"> resultant</w:t>
      </w:r>
      <w:r w:rsidR="001006D7" w:rsidRPr="005927F3">
        <w:rPr>
          <w:rFonts w:cstheme="minorHAnsi"/>
          <w:sz w:val="24"/>
          <w:szCs w:val="24"/>
        </w:rPr>
        <w:t xml:space="preserve"> privacy threats,</w:t>
      </w:r>
      <w:r w:rsidR="00061717" w:rsidRPr="005927F3">
        <w:rPr>
          <w:rFonts w:cstheme="minorHAnsi"/>
          <w:sz w:val="24"/>
          <w:szCs w:val="24"/>
        </w:rPr>
        <w:t xml:space="preserve"> and the </w:t>
      </w:r>
      <w:r w:rsidR="001006D7" w:rsidRPr="005927F3">
        <w:rPr>
          <w:rFonts w:cstheme="minorHAnsi"/>
          <w:sz w:val="24"/>
          <w:szCs w:val="24"/>
        </w:rPr>
        <w:t>discrepancy in</w:t>
      </w:r>
      <w:r w:rsidR="00F44ACE" w:rsidRPr="005927F3">
        <w:rPr>
          <w:rFonts w:cstheme="minorHAnsi"/>
          <w:sz w:val="24"/>
          <w:szCs w:val="24"/>
        </w:rPr>
        <w:t xml:space="preserve"> the EU and US</w:t>
      </w:r>
      <w:r w:rsidR="001006D7" w:rsidRPr="005927F3">
        <w:rPr>
          <w:rFonts w:cstheme="minorHAnsi"/>
          <w:sz w:val="24"/>
          <w:szCs w:val="24"/>
        </w:rPr>
        <w:t xml:space="preserve"> </w:t>
      </w:r>
      <w:r w:rsidR="00061717" w:rsidRPr="005927F3">
        <w:rPr>
          <w:rFonts w:cstheme="minorHAnsi"/>
          <w:sz w:val="24"/>
          <w:szCs w:val="24"/>
        </w:rPr>
        <w:t>responses to them</w:t>
      </w:r>
      <w:r w:rsidR="003660CB" w:rsidRPr="005927F3">
        <w:rPr>
          <w:rFonts w:cstheme="minorHAnsi"/>
          <w:sz w:val="24"/>
          <w:szCs w:val="24"/>
        </w:rPr>
        <w:t xml:space="preserve"> roughly</w:t>
      </w:r>
      <w:r w:rsidRPr="005927F3">
        <w:rPr>
          <w:rFonts w:cstheme="minorHAnsi"/>
          <w:sz w:val="24"/>
          <w:szCs w:val="24"/>
        </w:rPr>
        <w:t xml:space="preserve"> map onto the two Western cultures of privacy</w:t>
      </w:r>
      <w:r w:rsidR="001006D7" w:rsidRPr="005927F3">
        <w:rPr>
          <w:rFonts w:cstheme="minorHAnsi"/>
          <w:sz w:val="24"/>
          <w:szCs w:val="24"/>
        </w:rPr>
        <w:t xml:space="preserve"> as per</w:t>
      </w:r>
      <w:r w:rsidRPr="005927F3">
        <w:rPr>
          <w:rFonts w:cstheme="minorHAnsi"/>
          <w:sz w:val="24"/>
          <w:szCs w:val="24"/>
        </w:rPr>
        <w:t xml:space="preserve"> </w:t>
      </w:r>
      <w:r w:rsidR="001006D7" w:rsidRPr="005927F3">
        <w:rPr>
          <w:rFonts w:cstheme="minorHAnsi"/>
          <w:sz w:val="24"/>
          <w:szCs w:val="24"/>
        </w:rPr>
        <w:t xml:space="preserve">Whitman’s comparative study. </w:t>
      </w:r>
      <w:r w:rsidR="00D62AD9" w:rsidRPr="005927F3">
        <w:rPr>
          <w:rFonts w:cstheme="minorHAnsi"/>
          <w:sz w:val="24"/>
          <w:szCs w:val="24"/>
        </w:rPr>
        <w:t>Yet</w:t>
      </w:r>
      <w:r w:rsidR="0053785B" w:rsidRPr="005927F3">
        <w:rPr>
          <w:rFonts w:cstheme="minorHAnsi"/>
          <w:sz w:val="24"/>
          <w:szCs w:val="24"/>
        </w:rPr>
        <w:t>,</w:t>
      </w:r>
      <w:r w:rsidR="00D62AD9" w:rsidRPr="005927F3">
        <w:rPr>
          <w:rFonts w:cstheme="minorHAnsi"/>
          <w:sz w:val="24"/>
          <w:szCs w:val="24"/>
        </w:rPr>
        <w:t xml:space="preserve"> much as </w:t>
      </w:r>
      <w:r w:rsidR="00F44ACE" w:rsidRPr="005927F3">
        <w:rPr>
          <w:rFonts w:cstheme="minorHAnsi"/>
          <w:sz w:val="24"/>
          <w:szCs w:val="24"/>
        </w:rPr>
        <w:t>the</w:t>
      </w:r>
      <w:r w:rsidR="001006D7" w:rsidRPr="005927F3">
        <w:rPr>
          <w:rFonts w:cstheme="minorHAnsi"/>
          <w:sz w:val="24"/>
          <w:szCs w:val="24"/>
        </w:rPr>
        <w:t xml:space="preserve"> EU and US</w:t>
      </w:r>
      <w:r w:rsidR="00061717" w:rsidRPr="005927F3">
        <w:rPr>
          <w:rFonts w:cstheme="minorHAnsi"/>
          <w:sz w:val="24"/>
          <w:szCs w:val="24"/>
        </w:rPr>
        <w:t xml:space="preserve"> responses</w:t>
      </w:r>
      <w:r w:rsidR="00D62AD9" w:rsidRPr="005927F3">
        <w:rPr>
          <w:rFonts w:cstheme="minorHAnsi"/>
          <w:sz w:val="24"/>
          <w:szCs w:val="24"/>
        </w:rPr>
        <w:t xml:space="preserve"> affirm the </w:t>
      </w:r>
      <w:r w:rsidR="00F44ACE" w:rsidRPr="005927F3">
        <w:rPr>
          <w:rFonts w:cstheme="minorHAnsi"/>
          <w:sz w:val="24"/>
          <w:szCs w:val="24"/>
        </w:rPr>
        <w:t>continued</w:t>
      </w:r>
      <w:r w:rsidR="00D62AD9" w:rsidRPr="005927F3">
        <w:rPr>
          <w:rFonts w:cstheme="minorHAnsi"/>
          <w:sz w:val="24"/>
          <w:szCs w:val="24"/>
        </w:rPr>
        <w:t xml:space="preserve"> presence of the</w:t>
      </w:r>
      <w:r w:rsidR="0053785B" w:rsidRPr="005927F3">
        <w:rPr>
          <w:rFonts w:cstheme="minorHAnsi"/>
          <w:sz w:val="24"/>
          <w:szCs w:val="24"/>
        </w:rPr>
        <w:t>se</w:t>
      </w:r>
      <w:r w:rsidR="00DA2D96" w:rsidRPr="005927F3">
        <w:rPr>
          <w:rFonts w:cstheme="minorHAnsi"/>
          <w:sz w:val="24"/>
          <w:szCs w:val="24"/>
        </w:rPr>
        <w:t xml:space="preserve"> </w:t>
      </w:r>
      <w:r w:rsidR="00D62AD9" w:rsidRPr="005927F3">
        <w:rPr>
          <w:rFonts w:cstheme="minorHAnsi"/>
          <w:sz w:val="24"/>
          <w:szCs w:val="24"/>
        </w:rPr>
        <w:t>cultures, they</w:t>
      </w:r>
      <w:r w:rsidR="00061717" w:rsidRPr="005927F3">
        <w:rPr>
          <w:rFonts w:cstheme="minorHAnsi"/>
          <w:sz w:val="24"/>
          <w:szCs w:val="24"/>
        </w:rPr>
        <w:t xml:space="preserve"> also contain within themselves</w:t>
      </w:r>
      <w:r w:rsidR="001006D7" w:rsidRPr="005927F3">
        <w:rPr>
          <w:rFonts w:cstheme="minorHAnsi"/>
          <w:sz w:val="24"/>
          <w:szCs w:val="24"/>
        </w:rPr>
        <w:t xml:space="preserve"> the seeds for</w:t>
      </w:r>
      <w:r w:rsidR="00061717" w:rsidRPr="005927F3">
        <w:rPr>
          <w:rFonts w:cstheme="minorHAnsi"/>
          <w:sz w:val="24"/>
          <w:szCs w:val="24"/>
        </w:rPr>
        <w:t xml:space="preserve"> question</w:t>
      </w:r>
      <w:r w:rsidR="001006D7" w:rsidRPr="005927F3">
        <w:rPr>
          <w:rFonts w:cstheme="minorHAnsi"/>
          <w:sz w:val="24"/>
          <w:szCs w:val="24"/>
        </w:rPr>
        <w:t xml:space="preserve">ing </w:t>
      </w:r>
      <w:r w:rsidR="00D62AD9" w:rsidRPr="005927F3">
        <w:rPr>
          <w:rFonts w:cstheme="minorHAnsi"/>
          <w:sz w:val="24"/>
          <w:szCs w:val="24"/>
        </w:rPr>
        <w:t xml:space="preserve">their </w:t>
      </w:r>
      <w:r w:rsidR="003660CB" w:rsidRPr="005927F3">
        <w:rPr>
          <w:rFonts w:cstheme="minorHAnsi"/>
          <w:sz w:val="24"/>
          <w:szCs w:val="24"/>
        </w:rPr>
        <w:t xml:space="preserve">standing </w:t>
      </w:r>
      <w:r w:rsidR="00061717" w:rsidRPr="005927F3">
        <w:rPr>
          <w:rFonts w:cstheme="minorHAnsi"/>
          <w:sz w:val="24"/>
          <w:szCs w:val="24"/>
        </w:rPr>
        <w:t>as</w:t>
      </w:r>
      <w:r w:rsidR="00D62AD9" w:rsidRPr="005927F3">
        <w:rPr>
          <w:rFonts w:cstheme="minorHAnsi"/>
          <w:sz w:val="24"/>
          <w:szCs w:val="24"/>
        </w:rPr>
        <w:t xml:space="preserve"> insular answers to threats of</w:t>
      </w:r>
      <w:r w:rsidR="00F21827" w:rsidRPr="005927F3">
        <w:rPr>
          <w:rFonts w:cstheme="minorHAnsi"/>
          <w:sz w:val="24"/>
          <w:szCs w:val="24"/>
        </w:rPr>
        <w:t xml:space="preserve"> </w:t>
      </w:r>
      <w:r w:rsidR="001006D7" w:rsidRPr="005927F3">
        <w:rPr>
          <w:rFonts w:cstheme="minorHAnsi"/>
          <w:sz w:val="24"/>
          <w:szCs w:val="24"/>
        </w:rPr>
        <w:t>transnational dimension</w:t>
      </w:r>
      <w:r w:rsidR="00D62AD9" w:rsidRPr="005927F3">
        <w:rPr>
          <w:rFonts w:cstheme="minorHAnsi"/>
          <w:sz w:val="24"/>
          <w:szCs w:val="24"/>
        </w:rPr>
        <w:t xml:space="preserve">. </w:t>
      </w:r>
      <w:r w:rsidR="00061717" w:rsidRPr="005927F3">
        <w:rPr>
          <w:rFonts w:cstheme="minorHAnsi"/>
          <w:sz w:val="24"/>
          <w:szCs w:val="24"/>
        </w:rPr>
        <w:t>As the online</w:t>
      </w:r>
      <w:r w:rsidR="001006D7" w:rsidRPr="005927F3">
        <w:rPr>
          <w:rFonts w:cstheme="minorHAnsi"/>
          <w:sz w:val="24"/>
          <w:szCs w:val="24"/>
        </w:rPr>
        <w:t xml:space="preserve"> </w:t>
      </w:r>
      <w:r w:rsidR="00061717" w:rsidRPr="005927F3">
        <w:rPr>
          <w:rFonts w:cstheme="minorHAnsi"/>
          <w:sz w:val="24"/>
          <w:szCs w:val="24"/>
        </w:rPr>
        <w:t>environment provokes a sustained encounter with the</w:t>
      </w:r>
      <w:r w:rsidR="007602E3" w:rsidRPr="005927F3">
        <w:rPr>
          <w:rFonts w:cstheme="minorHAnsi"/>
          <w:sz w:val="24"/>
          <w:szCs w:val="24"/>
        </w:rPr>
        <w:t xml:space="preserve"> </w:t>
      </w:r>
      <w:r w:rsidR="00061717" w:rsidRPr="005927F3">
        <w:rPr>
          <w:rFonts w:cstheme="minorHAnsi"/>
          <w:sz w:val="24"/>
          <w:szCs w:val="24"/>
        </w:rPr>
        <w:t>Other</w:t>
      </w:r>
      <w:r w:rsidR="0035135E" w:rsidRPr="005927F3">
        <w:rPr>
          <w:rFonts w:cstheme="minorHAnsi"/>
          <w:sz w:val="24"/>
          <w:szCs w:val="24"/>
        </w:rPr>
        <w:t>,</w:t>
      </w:r>
      <w:r w:rsidR="00061717" w:rsidRPr="005927F3">
        <w:rPr>
          <w:rFonts w:cstheme="minorHAnsi"/>
          <w:sz w:val="24"/>
          <w:szCs w:val="24"/>
        </w:rPr>
        <w:t xml:space="preserve"> </w:t>
      </w:r>
      <w:r w:rsidR="00EE7569" w:rsidRPr="005927F3">
        <w:rPr>
          <w:rFonts w:cstheme="minorHAnsi"/>
          <w:sz w:val="24"/>
          <w:szCs w:val="24"/>
        </w:rPr>
        <w:t xml:space="preserve">it raises normative questions about the </w:t>
      </w:r>
      <w:r w:rsidR="007602E3" w:rsidRPr="005927F3">
        <w:rPr>
          <w:rFonts w:cstheme="minorHAnsi"/>
          <w:sz w:val="24"/>
          <w:szCs w:val="24"/>
        </w:rPr>
        <w:t>viability of</w:t>
      </w:r>
      <w:r w:rsidR="00EE7569" w:rsidRPr="005927F3">
        <w:rPr>
          <w:rFonts w:cstheme="minorHAnsi"/>
          <w:sz w:val="24"/>
          <w:szCs w:val="24"/>
        </w:rPr>
        <w:t xml:space="preserve"> </w:t>
      </w:r>
      <w:r w:rsidR="001006D7" w:rsidRPr="005927F3">
        <w:rPr>
          <w:rFonts w:cstheme="minorHAnsi"/>
          <w:sz w:val="24"/>
          <w:szCs w:val="24"/>
        </w:rPr>
        <w:t>each legal</w:t>
      </w:r>
      <w:r w:rsidR="007602E3" w:rsidRPr="005927F3">
        <w:rPr>
          <w:rFonts w:cstheme="minorHAnsi"/>
          <w:sz w:val="24"/>
          <w:szCs w:val="24"/>
        </w:rPr>
        <w:t xml:space="preserve"> regimes and their underlying</w:t>
      </w:r>
      <w:r w:rsidR="001006D7" w:rsidRPr="005927F3">
        <w:rPr>
          <w:rFonts w:cstheme="minorHAnsi"/>
          <w:sz w:val="24"/>
          <w:szCs w:val="24"/>
        </w:rPr>
        <w:t xml:space="preserve"> </w:t>
      </w:r>
      <w:r w:rsidR="007602E3" w:rsidRPr="005927F3">
        <w:rPr>
          <w:rFonts w:cstheme="minorHAnsi"/>
          <w:sz w:val="24"/>
          <w:szCs w:val="24"/>
        </w:rPr>
        <w:t>assumptions</w:t>
      </w:r>
      <w:r w:rsidR="001006D7" w:rsidRPr="005927F3">
        <w:rPr>
          <w:rFonts w:cstheme="minorHAnsi"/>
          <w:sz w:val="24"/>
          <w:szCs w:val="24"/>
        </w:rPr>
        <w:t xml:space="preserve">. </w:t>
      </w:r>
      <w:r w:rsidR="005F1779" w:rsidRPr="005927F3">
        <w:rPr>
          <w:rFonts w:cstheme="minorHAnsi"/>
          <w:sz w:val="24"/>
          <w:szCs w:val="24"/>
        </w:rPr>
        <w:t>T</w:t>
      </w:r>
      <w:r w:rsidR="00192920" w:rsidRPr="005927F3">
        <w:rPr>
          <w:rFonts w:cstheme="minorHAnsi"/>
          <w:sz w:val="24"/>
          <w:szCs w:val="24"/>
        </w:rPr>
        <w:t>he</w:t>
      </w:r>
      <w:r w:rsidR="001006D7" w:rsidRPr="005927F3">
        <w:rPr>
          <w:rFonts w:cstheme="minorHAnsi"/>
          <w:sz w:val="24"/>
          <w:szCs w:val="24"/>
        </w:rPr>
        <w:t xml:space="preserve"> discussion in </w:t>
      </w:r>
      <w:r w:rsidR="00414246" w:rsidRPr="005927F3">
        <w:rPr>
          <w:rFonts w:cstheme="minorHAnsi"/>
          <w:sz w:val="24"/>
          <w:szCs w:val="24"/>
        </w:rPr>
        <w:t xml:space="preserve">the </w:t>
      </w:r>
      <w:r w:rsidR="001006D7" w:rsidRPr="005927F3">
        <w:rPr>
          <w:rFonts w:cstheme="minorHAnsi"/>
          <w:sz w:val="24"/>
          <w:szCs w:val="24"/>
        </w:rPr>
        <w:t>second half of the paper on the right to be forgotten shows</w:t>
      </w:r>
      <w:r w:rsidR="007602E3" w:rsidRPr="005927F3">
        <w:rPr>
          <w:rFonts w:cstheme="minorHAnsi"/>
          <w:sz w:val="24"/>
          <w:szCs w:val="24"/>
        </w:rPr>
        <w:t xml:space="preserve"> that for quite some time, </w:t>
      </w:r>
      <w:r w:rsidR="00DA2D96" w:rsidRPr="005927F3">
        <w:rPr>
          <w:rFonts w:cstheme="minorHAnsi"/>
          <w:sz w:val="24"/>
          <w:szCs w:val="24"/>
        </w:rPr>
        <w:t xml:space="preserve">the </w:t>
      </w:r>
      <w:r w:rsidR="007602E3" w:rsidRPr="005927F3">
        <w:rPr>
          <w:rFonts w:cstheme="minorHAnsi"/>
          <w:sz w:val="24"/>
          <w:szCs w:val="24"/>
        </w:rPr>
        <w:t xml:space="preserve">traditional legal cultures have been challenged, </w:t>
      </w:r>
      <w:proofErr w:type="gramStart"/>
      <w:r w:rsidR="007602E3" w:rsidRPr="005927F3">
        <w:rPr>
          <w:rFonts w:cstheme="minorHAnsi"/>
          <w:sz w:val="24"/>
          <w:szCs w:val="24"/>
        </w:rPr>
        <w:t>reconfigured</w:t>
      </w:r>
      <w:proofErr w:type="gramEnd"/>
      <w:r w:rsidR="007602E3" w:rsidRPr="005927F3">
        <w:rPr>
          <w:rFonts w:cstheme="minorHAnsi"/>
          <w:sz w:val="24"/>
          <w:szCs w:val="24"/>
        </w:rPr>
        <w:t xml:space="preserve"> and even</w:t>
      </w:r>
      <w:r w:rsidR="00DA2D96" w:rsidRPr="005927F3">
        <w:rPr>
          <w:rFonts w:cstheme="minorHAnsi"/>
          <w:sz w:val="24"/>
          <w:szCs w:val="24"/>
        </w:rPr>
        <w:t xml:space="preserve"> been</w:t>
      </w:r>
      <w:r w:rsidR="007602E3" w:rsidRPr="005927F3">
        <w:rPr>
          <w:rFonts w:cstheme="minorHAnsi"/>
          <w:sz w:val="24"/>
          <w:szCs w:val="24"/>
        </w:rPr>
        <w:t xml:space="preserve"> displaced in response to changing </w:t>
      </w:r>
      <w:r w:rsidR="00B0205B" w:rsidRPr="005927F3">
        <w:rPr>
          <w:rFonts w:cstheme="minorHAnsi"/>
          <w:sz w:val="24"/>
          <w:szCs w:val="24"/>
        </w:rPr>
        <w:t>information</w:t>
      </w:r>
      <w:r w:rsidR="00F44ACE" w:rsidRPr="005927F3">
        <w:rPr>
          <w:rFonts w:cstheme="minorHAnsi"/>
          <w:sz w:val="24"/>
          <w:szCs w:val="24"/>
        </w:rPr>
        <w:t xml:space="preserve">al </w:t>
      </w:r>
      <w:r w:rsidR="007602E3" w:rsidRPr="005927F3">
        <w:rPr>
          <w:rFonts w:cstheme="minorHAnsi"/>
          <w:sz w:val="24"/>
          <w:szCs w:val="24"/>
        </w:rPr>
        <w:t>demand</w:t>
      </w:r>
      <w:r w:rsidR="00811C91" w:rsidRPr="005927F3">
        <w:rPr>
          <w:rFonts w:cstheme="minorHAnsi"/>
          <w:sz w:val="24"/>
          <w:szCs w:val="24"/>
        </w:rPr>
        <w:t>s</w:t>
      </w:r>
      <w:r w:rsidR="00663F05" w:rsidRPr="005927F3">
        <w:rPr>
          <w:rFonts w:cstheme="minorHAnsi"/>
          <w:sz w:val="24"/>
          <w:szCs w:val="24"/>
        </w:rPr>
        <w:t xml:space="preserve"> or economic ordering</w:t>
      </w:r>
      <w:r w:rsidR="00F44ACE" w:rsidRPr="005927F3">
        <w:rPr>
          <w:rFonts w:cstheme="minorHAnsi"/>
          <w:sz w:val="24"/>
          <w:szCs w:val="24"/>
        </w:rPr>
        <w:t>. This is nowhere more pronounced than in the law of England and Wales which, on the one hand, looks back to</w:t>
      </w:r>
      <w:r w:rsidR="007602E3" w:rsidRPr="005927F3">
        <w:rPr>
          <w:rFonts w:cstheme="minorHAnsi"/>
          <w:sz w:val="24"/>
          <w:szCs w:val="24"/>
        </w:rPr>
        <w:t xml:space="preserve"> long-standing</w:t>
      </w:r>
      <w:r w:rsidR="00F44ACE" w:rsidRPr="005927F3">
        <w:rPr>
          <w:rFonts w:cstheme="minorHAnsi"/>
          <w:sz w:val="24"/>
          <w:szCs w:val="24"/>
        </w:rPr>
        <w:t xml:space="preserve"> common law privacy roots</w:t>
      </w:r>
      <w:r w:rsidR="00343C1C" w:rsidRPr="005927F3">
        <w:rPr>
          <w:rFonts w:cstheme="minorHAnsi"/>
          <w:sz w:val="24"/>
          <w:szCs w:val="24"/>
        </w:rPr>
        <w:t xml:space="preserve"> </w:t>
      </w:r>
      <w:r w:rsidR="007602E3" w:rsidRPr="005927F3">
        <w:rPr>
          <w:rFonts w:cstheme="minorHAnsi"/>
          <w:sz w:val="24"/>
          <w:szCs w:val="24"/>
        </w:rPr>
        <w:t>which are</w:t>
      </w:r>
      <w:r w:rsidR="00F21827" w:rsidRPr="005927F3">
        <w:rPr>
          <w:rFonts w:cstheme="minorHAnsi"/>
          <w:sz w:val="24"/>
          <w:szCs w:val="24"/>
        </w:rPr>
        <w:t xml:space="preserve"> now</w:t>
      </w:r>
      <w:r w:rsidR="005F1779" w:rsidRPr="005927F3">
        <w:rPr>
          <w:rFonts w:cstheme="minorHAnsi"/>
          <w:sz w:val="24"/>
          <w:szCs w:val="24"/>
        </w:rPr>
        <w:t xml:space="preserve"> most </w:t>
      </w:r>
      <w:r w:rsidR="00F21827" w:rsidRPr="005927F3">
        <w:rPr>
          <w:rFonts w:cstheme="minorHAnsi"/>
          <w:sz w:val="24"/>
          <w:szCs w:val="24"/>
        </w:rPr>
        <w:t>prominently present</w:t>
      </w:r>
      <w:r w:rsidR="00F44ACE" w:rsidRPr="005927F3">
        <w:rPr>
          <w:rFonts w:cstheme="minorHAnsi"/>
          <w:sz w:val="24"/>
          <w:szCs w:val="24"/>
        </w:rPr>
        <w:t xml:space="preserve"> </w:t>
      </w:r>
      <w:r w:rsidR="00F21827" w:rsidRPr="005927F3">
        <w:rPr>
          <w:rFonts w:cstheme="minorHAnsi"/>
          <w:sz w:val="24"/>
          <w:szCs w:val="24"/>
        </w:rPr>
        <w:t>in</w:t>
      </w:r>
      <w:r w:rsidR="00F44ACE" w:rsidRPr="005927F3">
        <w:rPr>
          <w:rFonts w:cstheme="minorHAnsi"/>
          <w:sz w:val="24"/>
          <w:szCs w:val="24"/>
        </w:rPr>
        <w:t xml:space="preserve"> US law</w:t>
      </w:r>
      <w:r w:rsidR="00343C1C" w:rsidRPr="005927F3">
        <w:rPr>
          <w:rFonts w:cstheme="minorHAnsi"/>
          <w:sz w:val="24"/>
          <w:szCs w:val="24"/>
        </w:rPr>
        <w:t>. O</w:t>
      </w:r>
      <w:r w:rsidR="00F44ACE" w:rsidRPr="005927F3">
        <w:rPr>
          <w:rFonts w:cstheme="minorHAnsi"/>
          <w:sz w:val="24"/>
          <w:szCs w:val="24"/>
        </w:rPr>
        <w:t>n the other hand,</w:t>
      </w:r>
      <w:r w:rsidR="00343C1C" w:rsidRPr="005927F3">
        <w:rPr>
          <w:rFonts w:cstheme="minorHAnsi"/>
          <w:sz w:val="24"/>
          <w:szCs w:val="24"/>
        </w:rPr>
        <w:t xml:space="preserve"> </w:t>
      </w:r>
      <w:r w:rsidR="001B030B" w:rsidRPr="005927F3">
        <w:rPr>
          <w:rFonts w:cstheme="minorHAnsi"/>
          <w:sz w:val="24"/>
          <w:szCs w:val="24"/>
        </w:rPr>
        <w:t xml:space="preserve">the </w:t>
      </w:r>
      <w:r w:rsidR="00343C1C" w:rsidRPr="005927F3">
        <w:rPr>
          <w:rFonts w:cstheme="minorHAnsi"/>
          <w:sz w:val="24"/>
          <w:szCs w:val="24"/>
        </w:rPr>
        <w:t>law of England and Wales</w:t>
      </w:r>
      <w:r w:rsidR="00414246" w:rsidRPr="005927F3">
        <w:rPr>
          <w:rFonts w:cstheme="minorHAnsi"/>
          <w:sz w:val="24"/>
          <w:szCs w:val="24"/>
        </w:rPr>
        <w:t xml:space="preserve"> </w:t>
      </w:r>
      <w:r w:rsidR="001B030B" w:rsidRPr="005927F3">
        <w:rPr>
          <w:rFonts w:cstheme="minorHAnsi"/>
          <w:sz w:val="24"/>
          <w:szCs w:val="24"/>
        </w:rPr>
        <w:lastRenderedPageBreak/>
        <w:t>has been</w:t>
      </w:r>
      <w:r w:rsidR="00F44ACE" w:rsidRPr="005927F3">
        <w:rPr>
          <w:rFonts w:cstheme="minorHAnsi"/>
          <w:sz w:val="24"/>
          <w:szCs w:val="24"/>
        </w:rPr>
        <w:t xml:space="preserve"> strongly influenced</w:t>
      </w:r>
      <w:r w:rsidR="00414246" w:rsidRPr="005927F3">
        <w:rPr>
          <w:rFonts w:cstheme="minorHAnsi"/>
          <w:sz w:val="24"/>
          <w:szCs w:val="24"/>
        </w:rPr>
        <w:t xml:space="preserve"> by European privacy norms</w:t>
      </w:r>
      <w:r w:rsidR="00F44ACE" w:rsidRPr="005927F3">
        <w:rPr>
          <w:rFonts w:cstheme="minorHAnsi"/>
          <w:sz w:val="24"/>
          <w:szCs w:val="24"/>
        </w:rPr>
        <w:t xml:space="preserve"> through </w:t>
      </w:r>
      <w:r w:rsidR="00414246" w:rsidRPr="005927F3">
        <w:rPr>
          <w:rFonts w:cstheme="minorHAnsi"/>
          <w:sz w:val="24"/>
          <w:szCs w:val="24"/>
        </w:rPr>
        <w:t>the UK’s</w:t>
      </w:r>
      <w:r w:rsidR="00F44ACE" w:rsidRPr="005927F3">
        <w:rPr>
          <w:rFonts w:cstheme="minorHAnsi"/>
          <w:sz w:val="24"/>
          <w:szCs w:val="24"/>
        </w:rPr>
        <w:t xml:space="preserve"> </w:t>
      </w:r>
      <w:r w:rsidR="007F2030" w:rsidRPr="005927F3">
        <w:rPr>
          <w:rFonts w:cstheme="minorHAnsi"/>
          <w:sz w:val="24"/>
          <w:szCs w:val="24"/>
        </w:rPr>
        <w:t xml:space="preserve">former </w:t>
      </w:r>
      <w:r w:rsidR="00F44ACE" w:rsidRPr="005927F3">
        <w:rPr>
          <w:rFonts w:cstheme="minorHAnsi"/>
          <w:sz w:val="24"/>
          <w:szCs w:val="24"/>
        </w:rPr>
        <w:t>membership in the EU (and</w:t>
      </w:r>
      <w:r w:rsidR="007F2030" w:rsidRPr="005927F3">
        <w:rPr>
          <w:rFonts w:cstheme="minorHAnsi"/>
          <w:sz w:val="24"/>
          <w:szCs w:val="24"/>
        </w:rPr>
        <w:t xml:space="preserve"> </w:t>
      </w:r>
      <w:r w:rsidR="00343C1C" w:rsidRPr="005927F3">
        <w:rPr>
          <w:rFonts w:cstheme="minorHAnsi"/>
          <w:sz w:val="24"/>
          <w:szCs w:val="24"/>
        </w:rPr>
        <w:t xml:space="preserve">its </w:t>
      </w:r>
      <w:r w:rsidR="007F2030" w:rsidRPr="005927F3">
        <w:rPr>
          <w:rFonts w:cstheme="minorHAnsi"/>
          <w:sz w:val="24"/>
          <w:szCs w:val="24"/>
        </w:rPr>
        <w:t xml:space="preserve">continued adherence to </w:t>
      </w:r>
      <w:r w:rsidR="00343C1C" w:rsidRPr="005927F3">
        <w:rPr>
          <w:rFonts w:cstheme="minorHAnsi"/>
          <w:sz w:val="24"/>
          <w:szCs w:val="24"/>
        </w:rPr>
        <w:t xml:space="preserve">EU </w:t>
      </w:r>
      <w:r w:rsidR="00F44ACE" w:rsidRPr="005927F3">
        <w:rPr>
          <w:rFonts w:cstheme="minorHAnsi"/>
          <w:sz w:val="24"/>
          <w:szCs w:val="24"/>
        </w:rPr>
        <w:t xml:space="preserve">data protection </w:t>
      </w:r>
      <w:r w:rsidR="00343C1C" w:rsidRPr="005927F3">
        <w:rPr>
          <w:rFonts w:cstheme="minorHAnsi"/>
          <w:sz w:val="24"/>
          <w:szCs w:val="24"/>
        </w:rPr>
        <w:t>law</w:t>
      </w:r>
      <w:r w:rsidR="00F44ACE" w:rsidRPr="005927F3">
        <w:rPr>
          <w:rFonts w:cstheme="minorHAnsi"/>
          <w:sz w:val="24"/>
          <w:szCs w:val="24"/>
        </w:rPr>
        <w:t>) and</w:t>
      </w:r>
      <w:r w:rsidR="00343C1C" w:rsidRPr="005927F3">
        <w:rPr>
          <w:rFonts w:cstheme="minorHAnsi"/>
          <w:sz w:val="24"/>
          <w:szCs w:val="24"/>
        </w:rPr>
        <w:t xml:space="preserve"> through its</w:t>
      </w:r>
      <w:r w:rsidR="00811C91" w:rsidRPr="005927F3">
        <w:rPr>
          <w:rFonts w:cstheme="minorHAnsi"/>
          <w:sz w:val="24"/>
          <w:szCs w:val="24"/>
        </w:rPr>
        <w:t xml:space="preserve"> </w:t>
      </w:r>
      <w:r w:rsidR="001B030B" w:rsidRPr="005927F3">
        <w:rPr>
          <w:rFonts w:cstheme="minorHAnsi"/>
          <w:sz w:val="24"/>
          <w:szCs w:val="24"/>
        </w:rPr>
        <w:t>ratification of</w:t>
      </w:r>
      <w:r w:rsidR="00811C91" w:rsidRPr="005927F3">
        <w:rPr>
          <w:rFonts w:cstheme="minorHAnsi"/>
          <w:sz w:val="24"/>
          <w:szCs w:val="24"/>
        </w:rPr>
        <w:t xml:space="preserve"> </w:t>
      </w:r>
      <w:r w:rsidR="00F44ACE" w:rsidRPr="005927F3">
        <w:rPr>
          <w:rFonts w:cstheme="minorHAnsi"/>
          <w:sz w:val="24"/>
          <w:szCs w:val="24"/>
        </w:rPr>
        <w:t xml:space="preserve">the European Convention of Human Right </w:t>
      </w:r>
      <w:r w:rsidR="001B030B" w:rsidRPr="005927F3">
        <w:rPr>
          <w:rFonts w:cstheme="minorHAnsi"/>
          <w:sz w:val="24"/>
          <w:szCs w:val="24"/>
        </w:rPr>
        <w:t>(</w:t>
      </w:r>
      <w:r w:rsidR="00811C91" w:rsidRPr="005927F3">
        <w:rPr>
          <w:rFonts w:cstheme="minorHAnsi"/>
          <w:sz w:val="24"/>
          <w:szCs w:val="24"/>
        </w:rPr>
        <w:t xml:space="preserve">and </w:t>
      </w:r>
      <w:r w:rsidR="001B030B" w:rsidRPr="005927F3">
        <w:rPr>
          <w:rFonts w:cstheme="minorHAnsi"/>
          <w:sz w:val="24"/>
          <w:szCs w:val="24"/>
        </w:rPr>
        <w:t xml:space="preserve">attendant exposure </w:t>
      </w:r>
      <w:r w:rsidR="00811C91" w:rsidRPr="005927F3">
        <w:rPr>
          <w:rFonts w:cstheme="minorHAnsi"/>
          <w:sz w:val="24"/>
          <w:szCs w:val="24"/>
        </w:rPr>
        <w:t>to</w:t>
      </w:r>
      <w:r w:rsidR="00414246" w:rsidRPr="005927F3">
        <w:rPr>
          <w:rFonts w:cstheme="minorHAnsi"/>
          <w:sz w:val="24"/>
          <w:szCs w:val="24"/>
        </w:rPr>
        <w:t xml:space="preserve"> Art 8 jurisprudence</w:t>
      </w:r>
      <w:r w:rsidR="001B030B" w:rsidRPr="005927F3">
        <w:rPr>
          <w:rFonts w:cstheme="minorHAnsi"/>
          <w:sz w:val="24"/>
          <w:szCs w:val="24"/>
        </w:rPr>
        <w:t>)</w:t>
      </w:r>
      <w:r w:rsidR="00414246" w:rsidRPr="005927F3">
        <w:rPr>
          <w:rFonts w:cstheme="minorHAnsi"/>
          <w:sz w:val="24"/>
          <w:szCs w:val="24"/>
        </w:rPr>
        <w:t xml:space="preserve">. </w:t>
      </w:r>
      <w:proofErr w:type="gramStart"/>
      <w:r w:rsidR="00343C1C" w:rsidRPr="005927F3">
        <w:rPr>
          <w:rFonts w:cstheme="minorHAnsi"/>
          <w:sz w:val="24"/>
          <w:szCs w:val="24"/>
        </w:rPr>
        <w:t>So</w:t>
      </w:r>
      <w:proofErr w:type="gramEnd"/>
      <w:r w:rsidR="00343C1C" w:rsidRPr="005927F3">
        <w:rPr>
          <w:rFonts w:cstheme="minorHAnsi"/>
          <w:sz w:val="24"/>
          <w:szCs w:val="24"/>
        </w:rPr>
        <w:t xml:space="preserve"> although</w:t>
      </w:r>
      <w:r w:rsidR="00414246" w:rsidRPr="005927F3">
        <w:rPr>
          <w:rFonts w:cstheme="minorHAnsi"/>
          <w:sz w:val="24"/>
          <w:szCs w:val="24"/>
        </w:rPr>
        <w:t xml:space="preserve"> England and Wales does not feature as a </w:t>
      </w:r>
      <w:r w:rsidR="007F2030" w:rsidRPr="005927F3">
        <w:rPr>
          <w:rFonts w:cstheme="minorHAnsi"/>
          <w:sz w:val="24"/>
          <w:szCs w:val="24"/>
        </w:rPr>
        <w:t>separate</w:t>
      </w:r>
      <w:r w:rsidR="00414246" w:rsidRPr="005927F3">
        <w:rPr>
          <w:rFonts w:cstheme="minorHAnsi"/>
          <w:sz w:val="24"/>
          <w:szCs w:val="24"/>
        </w:rPr>
        <w:t xml:space="preserve"> privacy</w:t>
      </w:r>
      <w:r w:rsidR="00811C91" w:rsidRPr="005927F3">
        <w:rPr>
          <w:rFonts w:cstheme="minorHAnsi"/>
          <w:sz w:val="24"/>
          <w:szCs w:val="24"/>
        </w:rPr>
        <w:t xml:space="preserve"> jurisdiction</w:t>
      </w:r>
      <w:r w:rsidR="00414246" w:rsidRPr="005927F3">
        <w:rPr>
          <w:rFonts w:cstheme="minorHAnsi"/>
          <w:sz w:val="24"/>
          <w:szCs w:val="24"/>
        </w:rPr>
        <w:t xml:space="preserve"> in </w:t>
      </w:r>
      <w:r w:rsidR="001B030B" w:rsidRPr="005927F3">
        <w:rPr>
          <w:rFonts w:cstheme="minorHAnsi"/>
          <w:sz w:val="24"/>
          <w:szCs w:val="24"/>
        </w:rPr>
        <w:t>this paper</w:t>
      </w:r>
      <w:r w:rsidR="00811C91" w:rsidRPr="005927F3">
        <w:rPr>
          <w:rFonts w:cstheme="minorHAnsi"/>
          <w:sz w:val="24"/>
          <w:szCs w:val="24"/>
        </w:rPr>
        <w:t xml:space="preserve">, </w:t>
      </w:r>
      <w:r w:rsidR="00414246" w:rsidRPr="005927F3">
        <w:rPr>
          <w:rFonts w:cstheme="minorHAnsi"/>
          <w:sz w:val="24"/>
          <w:szCs w:val="24"/>
        </w:rPr>
        <w:t xml:space="preserve">it is implicitly </w:t>
      </w:r>
      <w:r w:rsidR="00072914" w:rsidRPr="005927F3">
        <w:rPr>
          <w:rFonts w:cstheme="minorHAnsi"/>
          <w:sz w:val="24"/>
          <w:szCs w:val="24"/>
        </w:rPr>
        <w:t>or</w:t>
      </w:r>
      <w:r w:rsidR="00414246" w:rsidRPr="005927F3">
        <w:rPr>
          <w:rFonts w:cstheme="minorHAnsi"/>
          <w:sz w:val="24"/>
          <w:szCs w:val="24"/>
        </w:rPr>
        <w:t xml:space="preserve"> explicitly </w:t>
      </w:r>
      <w:r w:rsidR="00811C91" w:rsidRPr="005927F3">
        <w:rPr>
          <w:rFonts w:cstheme="minorHAnsi"/>
          <w:sz w:val="24"/>
          <w:szCs w:val="24"/>
        </w:rPr>
        <w:t xml:space="preserve">present </w:t>
      </w:r>
      <w:r w:rsidR="00414246" w:rsidRPr="005927F3">
        <w:rPr>
          <w:rFonts w:cstheme="minorHAnsi"/>
          <w:sz w:val="24"/>
          <w:szCs w:val="24"/>
        </w:rPr>
        <w:t>in</w:t>
      </w:r>
      <w:r w:rsidR="00811C91" w:rsidRPr="005927F3">
        <w:rPr>
          <w:rFonts w:cstheme="minorHAnsi"/>
          <w:sz w:val="24"/>
          <w:szCs w:val="24"/>
        </w:rPr>
        <w:t xml:space="preserve"> </w:t>
      </w:r>
      <w:r w:rsidR="00663F05" w:rsidRPr="005927F3">
        <w:rPr>
          <w:rFonts w:cstheme="minorHAnsi"/>
          <w:sz w:val="24"/>
          <w:szCs w:val="24"/>
        </w:rPr>
        <w:t xml:space="preserve">all </w:t>
      </w:r>
      <w:r w:rsidR="00811C91" w:rsidRPr="005927F3">
        <w:rPr>
          <w:rFonts w:cstheme="minorHAnsi"/>
          <w:sz w:val="24"/>
          <w:szCs w:val="24"/>
        </w:rPr>
        <w:t>the</w:t>
      </w:r>
      <w:r w:rsidR="00414246" w:rsidRPr="005927F3">
        <w:rPr>
          <w:rFonts w:cstheme="minorHAnsi"/>
          <w:sz w:val="24"/>
          <w:szCs w:val="24"/>
        </w:rPr>
        <w:t xml:space="preserve"> three</w:t>
      </w:r>
      <w:r w:rsidR="007F2030" w:rsidRPr="005927F3">
        <w:rPr>
          <w:rFonts w:cstheme="minorHAnsi"/>
          <w:sz w:val="24"/>
          <w:szCs w:val="24"/>
        </w:rPr>
        <w:t xml:space="preserve"> </w:t>
      </w:r>
      <w:r w:rsidR="00811C91" w:rsidRPr="005927F3">
        <w:rPr>
          <w:rFonts w:cstheme="minorHAnsi"/>
          <w:sz w:val="24"/>
          <w:szCs w:val="24"/>
        </w:rPr>
        <w:t xml:space="preserve">regimes discussed. </w:t>
      </w:r>
    </w:p>
    <w:p w14:paraId="77AAB5F8" w14:textId="77777777" w:rsidR="008B308D" w:rsidRPr="005927F3" w:rsidRDefault="008B308D" w:rsidP="008B308D">
      <w:pPr>
        <w:spacing w:after="0" w:line="240" w:lineRule="auto"/>
        <w:jc w:val="both"/>
        <w:rPr>
          <w:rFonts w:cstheme="minorHAnsi"/>
          <w:sz w:val="24"/>
          <w:szCs w:val="24"/>
        </w:rPr>
      </w:pPr>
    </w:p>
    <w:p w14:paraId="6B13DA5C" w14:textId="2D97A6E7" w:rsidR="00B51F3B" w:rsidRPr="005927F3" w:rsidRDefault="001476D7" w:rsidP="005927F3">
      <w:pPr>
        <w:pStyle w:val="Heading1"/>
        <w:numPr>
          <w:ilvl w:val="0"/>
          <w:numId w:val="35"/>
        </w:numPr>
        <w:spacing w:before="0" w:line="240" w:lineRule="auto"/>
        <w:rPr>
          <w:rFonts w:asciiTheme="minorHAnsi" w:hAnsiTheme="minorHAnsi" w:cstheme="minorHAnsi"/>
        </w:rPr>
      </w:pPr>
      <w:bookmarkStart w:id="6" w:name="_Toc116306476"/>
      <w:bookmarkStart w:id="7" w:name="_Toc61449446"/>
      <w:bookmarkStart w:id="8" w:name="_Toc61449445"/>
      <w:r w:rsidRPr="005927F3">
        <w:rPr>
          <w:rFonts w:asciiTheme="minorHAnsi" w:hAnsiTheme="minorHAnsi" w:cstheme="minorHAnsi"/>
        </w:rPr>
        <w:t>T</w:t>
      </w:r>
      <w:r w:rsidR="001E7BB8" w:rsidRPr="005927F3">
        <w:rPr>
          <w:rFonts w:asciiTheme="minorHAnsi" w:hAnsiTheme="minorHAnsi" w:cstheme="minorHAnsi"/>
        </w:rPr>
        <w:t>wo privacy</w:t>
      </w:r>
      <w:r w:rsidRPr="005927F3">
        <w:rPr>
          <w:rFonts w:asciiTheme="minorHAnsi" w:hAnsiTheme="minorHAnsi" w:cstheme="minorHAnsi"/>
        </w:rPr>
        <w:t xml:space="preserve"> </w:t>
      </w:r>
      <w:r w:rsidR="00414246" w:rsidRPr="005927F3">
        <w:rPr>
          <w:rFonts w:asciiTheme="minorHAnsi" w:hAnsiTheme="minorHAnsi" w:cstheme="minorHAnsi"/>
        </w:rPr>
        <w:t xml:space="preserve">cultures </w:t>
      </w:r>
      <w:r w:rsidR="001E7BB8" w:rsidRPr="005927F3">
        <w:rPr>
          <w:rFonts w:asciiTheme="minorHAnsi" w:hAnsiTheme="minorHAnsi" w:cstheme="minorHAnsi"/>
        </w:rPr>
        <w:t xml:space="preserve">and one’s </w:t>
      </w:r>
      <w:r w:rsidR="0001717D" w:rsidRPr="005927F3">
        <w:rPr>
          <w:rFonts w:asciiTheme="minorHAnsi" w:hAnsiTheme="minorHAnsi" w:cstheme="minorHAnsi"/>
        </w:rPr>
        <w:t>‘</w:t>
      </w:r>
      <w:r w:rsidR="001E7BB8" w:rsidRPr="005927F3">
        <w:rPr>
          <w:rFonts w:asciiTheme="minorHAnsi" w:hAnsiTheme="minorHAnsi" w:cstheme="minorHAnsi"/>
        </w:rPr>
        <w:t>inner space</w:t>
      </w:r>
      <w:r w:rsidR="0001717D" w:rsidRPr="005927F3">
        <w:rPr>
          <w:rFonts w:asciiTheme="minorHAnsi" w:hAnsiTheme="minorHAnsi" w:cstheme="minorHAnsi"/>
        </w:rPr>
        <w:t>’</w:t>
      </w:r>
      <w:bookmarkEnd w:id="6"/>
    </w:p>
    <w:p w14:paraId="73ACF195" w14:textId="77777777" w:rsidR="00F24C37" w:rsidRPr="005927F3" w:rsidRDefault="00F24C37" w:rsidP="008B308D">
      <w:pPr>
        <w:autoSpaceDE w:val="0"/>
        <w:autoSpaceDN w:val="0"/>
        <w:adjustRightInd w:val="0"/>
        <w:spacing w:after="0" w:line="240" w:lineRule="auto"/>
        <w:jc w:val="both"/>
        <w:rPr>
          <w:rFonts w:cstheme="minorHAnsi"/>
          <w:sz w:val="24"/>
          <w:szCs w:val="24"/>
        </w:rPr>
      </w:pPr>
    </w:p>
    <w:p w14:paraId="4CBCCC33" w14:textId="6390DFBA" w:rsidR="00A45312" w:rsidRPr="005927F3" w:rsidRDefault="00C42A98" w:rsidP="008B308D">
      <w:pPr>
        <w:autoSpaceDE w:val="0"/>
        <w:autoSpaceDN w:val="0"/>
        <w:adjustRightInd w:val="0"/>
        <w:spacing w:after="0" w:line="240" w:lineRule="auto"/>
        <w:jc w:val="both"/>
        <w:rPr>
          <w:rFonts w:cstheme="minorHAnsi"/>
          <w:sz w:val="24"/>
          <w:szCs w:val="24"/>
        </w:rPr>
      </w:pPr>
      <w:r w:rsidRPr="005927F3">
        <w:rPr>
          <w:rFonts w:cstheme="minorHAnsi"/>
          <w:sz w:val="24"/>
          <w:szCs w:val="24"/>
        </w:rPr>
        <w:t xml:space="preserve">The concept of privacy </w:t>
      </w:r>
      <w:r w:rsidR="00440971" w:rsidRPr="005927F3">
        <w:rPr>
          <w:rFonts w:cstheme="minorHAnsi"/>
          <w:sz w:val="24"/>
          <w:szCs w:val="24"/>
        </w:rPr>
        <w:t>has been</w:t>
      </w:r>
      <w:r w:rsidR="00301CF9" w:rsidRPr="005927F3">
        <w:rPr>
          <w:rFonts w:cstheme="minorHAnsi"/>
          <w:sz w:val="24"/>
          <w:szCs w:val="24"/>
        </w:rPr>
        <w:t xml:space="preserve"> entangled in</w:t>
      </w:r>
      <w:r w:rsidR="00903E66" w:rsidRPr="005927F3">
        <w:rPr>
          <w:rFonts w:cstheme="minorHAnsi"/>
          <w:sz w:val="24"/>
          <w:szCs w:val="24"/>
        </w:rPr>
        <w:t xml:space="preserve"> </w:t>
      </w:r>
      <w:r w:rsidR="00BF0E80" w:rsidRPr="005927F3">
        <w:rPr>
          <w:rFonts w:cstheme="minorHAnsi"/>
          <w:sz w:val="24"/>
          <w:szCs w:val="24"/>
        </w:rPr>
        <w:t>a r</w:t>
      </w:r>
      <w:r w:rsidR="004E316C" w:rsidRPr="005927F3">
        <w:rPr>
          <w:rFonts w:cstheme="minorHAnsi"/>
          <w:sz w:val="24"/>
          <w:szCs w:val="24"/>
        </w:rPr>
        <w:t>ich</w:t>
      </w:r>
      <w:r w:rsidR="0039363A" w:rsidRPr="005927F3">
        <w:rPr>
          <w:rFonts w:cstheme="minorHAnsi"/>
          <w:sz w:val="24"/>
          <w:szCs w:val="24"/>
        </w:rPr>
        <w:t xml:space="preserve"> and complex</w:t>
      </w:r>
      <w:r w:rsidR="00301CF9" w:rsidRPr="005927F3">
        <w:rPr>
          <w:rFonts w:cstheme="minorHAnsi"/>
          <w:sz w:val="24"/>
          <w:szCs w:val="24"/>
        </w:rPr>
        <w:t xml:space="preserve"> jurisprudence </w:t>
      </w:r>
      <w:r w:rsidR="0039363A" w:rsidRPr="005927F3">
        <w:rPr>
          <w:rFonts w:cstheme="minorHAnsi"/>
          <w:sz w:val="24"/>
          <w:szCs w:val="24"/>
        </w:rPr>
        <w:t>and</w:t>
      </w:r>
      <w:r w:rsidR="00A45312" w:rsidRPr="005927F3">
        <w:rPr>
          <w:rFonts w:cstheme="minorHAnsi"/>
          <w:sz w:val="24"/>
          <w:szCs w:val="24"/>
        </w:rPr>
        <w:t xml:space="preserve"> </w:t>
      </w:r>
      <w:r w:rsidRPr="005927F3">
        <w:rPr>
          <w:rFonts w:cstheme="minorHAnsi"/>
          <w:sz w:val="24"/>
          <w:szCs w:val="24"/>
        </w:rPr>
        <w:t>grapple</w:t>
      </w:r>
      <w:r w:rsidR="0002018E" w:rsidRPr="005927F3">
        <w:rPr>
          <w:rFonts w:cstheme="minorHAnsi"/>
          <w:sz w:val="24"/>
          <w:szCs w:val="24"/>
        </w:rPr>
        <w:t>d</w:t>
      </w:r>
      <w:r w:rsidR="001D1924" w:rsidRPr="005927F3">
        <w:rPr>
          <w:rFonts w:cstheme="minorHAnsi"/>
          <w:sz w:val="24"/>
          <w:szCs w:val="24"/>
        </w:rPr>
        <w:t xml:space="preserve"> </w:t>
      </w:r>
      <w:r w:rsidRPr="005927F3">
        <w:rPr>
          <w:rFonts w:cstheme="minorHAnsi"/>
          <w:sz w:val="24"/>
          <w:szCs w:val="24"/>
        </w:rPr>
        <w:t>both with</w:t>
      </w:r>
      <w:r w:rsidR="00301CF9" w:rsidRPr="005927F3">
        <w:rPr>
          <w:rFonts w:cstheme="minorHAnsi"/>
          <w:sz w:val="24"/>
          <w:szCs w:val="24"/>
        </w:rPr>
        <w:t xml:space="preserve"> the </w:t>
      </w:r>
      <w:r w:rsidR="00C52F82" w:rsidRPr="005927F3">
        <w:rPr>
          <w:rFonts w:cstheme="minorHAnsi"/>
          <w:sz w:val="24"/>
          <w:szCs w:val="24"/>
        </w:rPr>
        <w:t>in</w:t>
      </w:r>
      <w:r w:rsidR="00301CF9" w:rsidRPr="005927F3">
        <w:rPr>
          <w:rFonts w:cstheme="minorHAnsi"/>
          <w:sz w:val="24"/>
          <w:szCs w:val="24"/>
        </w:rPr>
        <w:t>coherence</w:t>
      </w:r>
      <w:r w:rsidR="00A45312" w:rsidRPr="005927F3">
        <w:rPr>
          <w:rFonts w:cstheme="minorHAnsi"/>
          <w:sz w:val="24"/>
          <w:szCs w:val="24"/>
        </w:rPr>
        <w:t xml:space="preserve"> </w:t>
      </w:r>
      <w:r w:rsidR="00301CF9" w:rsidRPr="005927F3">
        <w:rPr>
          <w:rFonts w:cstheme="minorHAnsi"/>
          <w:sz w:val="24"/>
          <w:szCs w:val="24"/>
        </w:rPr>
        <w:t>of</w:t>
      </w:r>
      <w:r w:rsidRPr="005927F3">
        <w:rPr>
          <w:rFonts w:cstheme="minorHAnsi"/>
          <w:sz w:val="24"/>
          <w:szCs w:val="24"/>
        </w:rPr>
        <w:t xml:space="preserve"> </w:t>
      </w:r>
      <w:r w:rsidR="001D1924" w:rsidRPr="005927F3">
        <w:rPr>
          <w:rFonts w:cstheme="minorHAnsi"/>
          <w:sz w:val="24"/>
          <w:szCs w:val="24"/>
        </w:rPr>
        <w:t xml:space="preserve">a </w:t>
      </w:r>
      <w:r w:rsidR="008305A4" w:rsidRPr="005927F3">
        <w:rPr>
          <w:rFonts w:cstheme="minorHAnsi"/>
          <w:sz w:val="24"/>
          <w:szCs w:val="24"/>
        </w:rPr>
        <w:t xml:space="preserve">great </w:t>
      </w:r>
      <w:r w:rsidRPr="005927F3">
        <w:rPr>
          <w:rFonts w:cstheme="minorHAnsi"/>
          <w:sz w:val="24"/>
          <w:szCs w:val="24"/>
        </w:rPr>
        <w:t xml:space="preserve">variety of </w:t>
      </w:r>
      <w:r w:rsidR="00A45312" w:rsidRPr="005927F3">
        <w:rPr>
          <w:rFonts w:cstheme="minorHAnsi"/>
          <w:sz w:val="24"/>
          <w:szCs w:val="24"/>
        </w:rPr>
        <w:t xml:space="preserve">privacy </w:t>
      </w:r>
      <w:r w:rsidR="00BF0E80" w:rsidRPr="005927F3">
        <w:rPr>
          <w:rFonts w:cstheme="minorHAnsi"/>
          <w:sz w:val="24"/>
          <w:szCs w:val="24"/>
        </w:rPr>
        <w:t xml:space="preserve">interests and </w:t>
      </w:r>
      <w:r w:rsidR="0039363A" w:rsidRPr="005927F3">
        <w:rPr>
          <w:rFonts w:cstheme="minorHAnsi"/>
          <w:sz w:val="24"/>
          <w:szCs w:val="24"/>
        </w:rPr>
        <w:t xml:space="preserve">claims </w:t>
      </w:r>
      <w:r w:rsidR="008305A4" w:rsidRPr="005927F3">
        <w:rPr>
          <w:rFonts w:cstheme="minorHAnsi"/>
          <w:sz w:val="24"/>
          <w:szCs w:val="24"/>
        </w:rPr>
        <w:t>(</w:t>
      </w:r>
      <w:r w:rsidR="00A45312" w:rsidRPr="005927F3">
        <w:rPr>
          <w:rFonts w:cstheme="minorHAnsi"/>
          <w:sz w:val="24"/>
          <w:szCs w:val="24"/>
        </w:rPr>
        <w:t xml:space="preserve">reproductive decisions, </w:t>
      </w:r>
      <w:r w:rsidRPr="005927F3">
        <w:rPr>
          <w:rFonts w:cstheme="minorHAnsi"/>
          <w:sz w:val="24"/>
          <w:szCs w:val="24"/>
        </w:rPr>
        <w:t>sexual orientation, surveillance, pollution, gun ownership, data protection, corporal punish</w:t>
      </w:r>
      <w:r w:rsidR="003502C3" w:rsidRPr="005927F3">
        <w:rPr>
          <w:rFonts w:cstheme="minorHAnsi"/>
          <w:sz w:val="24"/>
          <w:szCs w:val="24"/>
        </w:rPr>
        <w:t>ment,</w:t>
      </w:r>
      <w:r w:rsidRPr="005927F3">
        <w:rPr>
          <w:rFonts w:cstheme="minorHAnsi"/>
          <w:sz w:val="24"/>
          <w:szCs w:val="24"/>
        </w:rPr>
        <w:t xml:space="preserve"> search and seizure</w:t>
      </w:r>
      <w:r w:rsidR="00BF0E80" w:rsidRPr="005927F3">
        <w:rPr>
          <w:rFonts w:cstheme="minorHAnsi"/>
          <w:sz w:val="24"/>
          <w:szCs w:val="24"/>
        </w:rPr>
        <w:t>, just to mention a few</w:t>
      </w:r>
      <w:r w:rsidR="000028AD" w:rsidRPr="005927F3">
        <w:rPr>
          <w:rStyle w:val="FootnoteReference"/>
          <w:rFonts w:cstheme="minorHAnsi"/>
          <w:sz w:val="24"/>
          <w:szCs w:val="24"/>
        </w:rPr>
        <w:footnoteReference w:id="20"/>
      </w:r>
      <w:r w:rsidRPr="005927F3">
        <w:rPr>
          <w:rFonts w:cstheme="minorHAnsi"/>
          <w:sz w:val="24"/>
          <w:szCs w:val="24"/>
        </w:rPr>
        <w:t>) and</w:t>
      </w:r>
      <w:r w:rsidR="00301CF9" w:rsidRPr="005927F3">
        <w:rPr>
          <w:rFonts w:cstheme="minorHAnsi"/>
          <w:sz w:val="24"/>
          <w:szCs w:val="24"/>
        </w:rPr>
        <w:t xml:space="preserve"> </w:t>
      </w:r>
      <w:r w:rsidRPr="005927F3">
        <w:rPr>
          <w:rFonts w:cstheme="minorHAnsi"/>
          <w:sz w:val="24"/>
          <w:szCs w:val="24"/>
        </w:rPr>
        <w:t xml:space="preserve">stark </w:t>
      </w:r>
      <w:r w:rsidR="00A45312" w:rsidRPr="005927F3">
        <w:rPr>
          <w:rFonts w:cstheme="minorHAnsi"/>
          <w:sz w:val="24"/>
          <w:szCs w:val="24"/>
        </w:rPr>
        <w:t xml:space="preserve">differences in </w:t>
      </w:r>
      <w:r w:rsidR="001D1924" w:rsidRPr="005927F3">
        <w:rPr>
          <w:rFonts w:cstheme="minorHAnsi"/>
          <w:sz w:val="24"/>
          <w:szCs w:val="24"/>
        </w:rPr>
        <w:t xml:space="preserve">cultural </w:t>
      </w:r>
      <w:r w:rsidR="00440971" w:rsidRPr="005927F3">
        <w:rPr>
          <w:rFonts w:cstheme="minorHAnsi"/>
          <w:sz w:val="24"/>
          <w:szCs w:val="24"/>
        </w:rPr>
        <w:t>sensitivities about what is or is not ‘private’</w:t>
      </w:r>
      <w:r w:rsidR="0098684A" w:rsidRPr="005927F3">
        <w:rPr>
          <w:rFonts w:cstheme="minorHAnsi"/>
          <w:sz w:val="24"/>
          <w:szCs w:val="24"/>
        </w:rPr>
        <w:t xml:space="preserve"> and thus what ought to be</w:t>
      </w:r>
      <w:r w:rsidR="00405C01" w:rsidRPr="005927F3">
        <w:rPr>
          <w:rFonts w:cstheme="minorHAnsi"/>
          <w:sz w:val="24"/>
          <w:szCs w:val="24"/>
        </w:rPr>
        <w:t xml:space="preserve"> ring-fenced from</w:t>
      </w:r>
      <w:r w:rsidR="003502C3" w:rsidRPr="005927F3">
        <w:rPr>
          <w:rFonts w:cstheme="minorHAnsi"/>
          <w:sz w:val="24"/>
          <w:szCs w:val="24"/>
        </w:rPr>
        <w:t>,</w:t>
      </w:r>
      <w:r w:rsidR="00AC7130" w:rsidRPr="005927F3">
        <w:rPr>
          <w:rFonts w:cstheme="minorHAnsi"/>
          <w:sz w:val="24"/>
          <w:szCs w:val="24"/>
        </w:rPr>
        <w:t xml:space="preserve"> or for</w:t>
      </w:r>
      <w:r w:rsidR="003502C3" w:rsidRPr="005927F3">
        <w:rPr>
          <w:rFonts w:cstheme="minorHAnsi"/>
          <w:sz w:val="24"/>
          <w:szCs w:val="24"/>
        </w:rPr>
        <w:t xml:space="preserve">, </w:t>
      </w:r>
      <w:r w:rsidR="00405C01" w:rsidRPr="005927F3">
        <w:rPr>
          <w:rFonts w:cstheme="minorHAnsi"/>
          <w:sz w:val="24"/>
          <w:szCs w:val="24"/>
        </w:rPr>
        <w:t>interference</w:t>
      </w:r>
      <w:r w:rsidR="0098684A" w:rsidRPr="005927F3">
        <w:rPr>
          <w:rFonts w:cstheme="minorHAnsi"/>
          <w:sz w:val="24"/>
          <w:szCs w:val="24"/>
        </w:rPr>
        <w:t>.</w:t>
      </w:r>
      <w:r w:rsidR="00440971" w:rsidRPr="005927F3">
        <w:rPr>
          <w:rStyle w:val="FootnoteReference"/>
          <w:rFonts w:cstheme="minorHAnsi"/>
          <w:sz w:val="24"/>
          <w:szCs w:val="24"/>
        </w:rPr>
        <w:footnoteReference w:id="21"/>
      </w:r>
      <w:r w:rsidR="00DA4739" w:rsidRPr="005927F3">
        <w:rPr>
          <w:rFonts w:cstheme="minorHAnsi"/>
          <w:sz w:val="24"/>
          <w:szCs w:val="24"/>
        </w:rPr>
        <w:t xml:space="preserve"> </w:t>
      </w:r>
      <w:r w:rsidR="0098684A" w:rsidRPr="005927F3">
        <w:rPr>
          <w:rFonts w:cstheme="minorHAnsi"/>
          <w:sz w:val="24"/>
          <w:szCs w:val="24"/>
        </w:rPr>
        <w:t xml:space="preserve">The </w:t>
      </w:r>
      <w:r w:rsidR="00A45312" w:rsidRPr="005927F3">
        <w:rPr>
          <w:rFonts w:cstheme="minorHAnsi"/>
          <w:sz w:val="24"/>
          <w:szCs w:val="24"/>
        </w:rPr>
        <w:t>discussion</w:t>
      </w:r>
      <w:r w:rsidR="0098684A" w:rsidRPr="005927F3">
        <w:rPr>
          <w:rFonts w:cstheme="minorHAnsi"/>
          <w:sz w:val="24"/>
          <w:szCs w:val="24"/>
        </w:rPr>
        <w:t xml:space="preserve"> here</w:t>
      </w:r>
      <w:r w:rsidR="00EB728E" w:rsidRPr="005927F3">
        <w:rPr>
          <w:rFonts w:cstheme="minorHAnsi"/>
          <w:i/>
          <w:iCs/>
          <w:sz w:val="24"/>
          <w:szCs w:val="24"/>
        </w:rPr>
        <w:t xml:space="preserve"> </w:t>
      </w:r>
      <w:r w:rsidR="008739B8" w:rsidRPr="005927F3">
        <w:rPr>
          <w:rFonts w:cstheme="minorHAnsi"/>
          <w:sz w:val="24"/>
          <w:szCs w:val="24"/>
        </w:rPr>
        <w:t xml:space="preserve">builds on </w:t>
      </w:r>
      <w:r w:rsidR="00A45312" w:rsidRPr="005927F3">
        <w:rPr>
          <w:rFonts w:cstheme="minorHAnsi"/>
          <w:sz w:val="24"/>
          <w:szCs w:val="24"/>
        </w:rPr>
        <w:t xml:space="preserve">James Whitman’s framing </w:t>
      </w:r>
      <w:r w:rsidR="005A3FB6" w:rsidRPr="005927F3">
        <w:rPr>
          <w:rFonts w:cstheme="minorHAnsi"/>
          <w:sz w:val="24"/>
          <w:szCs w:val="24"/>
        </w:rPr>
        <w:t xml:space="preserve">of privacy </w:t>
      </w:r>
      <w:r w:rsidR="00A45312" w:rsidRPr="005927F3">
        <w:rPr>
          <w:rFonts w:cstheme="minorHAnsi"/>
          <w:sz w:val="24"/>
          <w:szCs w:val="24"/>
        </w:rPr>
        <w:t>along the</w:t>
      </w:r>
      <w:r w:rsidR="00FE19FA" w:rsidRPr="005927F3">
        <w:rPr>
          <w:rFonts w:cstheme="minorHAnsi"/>
          <w:sz w:val="24"/>
          <w:szCs w:val="24"/>
        </w:rPr>
        <w:t xml:space="preserve"> </w:t>
      </w:r>
      <w:r w:rsidR="00A034F4" w:rsidRPr="005927F3">
        <w:rPr>
          <w:rFonts w:cstheme="minorHAnsi"/>
          <w:sz w:val="24"/>
          <w:szCs w:val="24"/>
        </w:rPr>
        <w:t xml:space="preserve">two </w:t>
      </w:r>
      <w:r w:rsidR="00FC1E91" w:rsidRPr="005927F3">
        <w:rPr>
          <w:rFonts w:cstheme="minorHAnsi"/>
          <w:sz w:val="24"/>
          <w:szCs w:val="24"/>
        </w:rPr>
        <w:t xml:space="preserve">dominant </w:t>
      </w:r>
      <w:r w:rsidR="009511F8" w:rsidRPr="005927F3">
        <w:rPr>
          <w:rFonts w:cstheme="minorHAnsi"/>
          <w:sz w:val="24"/>
          <w:szCs w:val="24"/>
        </w:rPr>
        <w:t xml:space="preserve">cultures </w:t>
      </w:r>
      <w:r w:rsidR="009444FA" w:rsidRPr="005927F3">
        <w:rPr>
          <w:rFonts w:cstheme="minorHAnsi"/>
          <w:sz w:val="24"/>
          <w:szCs w:val="24"/>
        </w:rPr>
        <w:t xml:space="preserve">which </w:t>
      </w:r>
      <w:r w:rsidR="00B2299D" w:rsidRPr="005927F3">
        <w:rPr>
          <w:rFonts w:cstheme="minorHAnsi"/>
          <w:sz w:val="24"/>
          <w:szCs w:val="24"/>
        </w:rPr>
        <w:t>have emerged from</w:t>
      </w:r>
      <w:r w:rsidR="00B900A7" w:rsidRPr="005927F3">
        <w:rPr>
          <w:rFonts w:cstheme="minorHAnsi"/>
          <w:sz w:val="24"/>
          <w:szCs w:val="24"/>
        </w:rPr>
        <w:t xml:space="preserve"> </w:t>
      </w:r>
      <w:r w:rsidR="00301CF9" w:rsidRPr="005927F3">
        <w:rPr>
          <w:rFonts w:cstheme="minorHAnsi"/>
          <w:sz w:val="24"/>
          <w:szCs w:val="24"/>
        </w:rPr>
        <w:t xml:space="preserve">divergent </w:t>
      </w:r>
      <w:r w:rsidR="002B35A9" w:rsidRPr="005927F3">
        <w:rPr>
          <w:rFonts w:cstheme="minorHAnsi"/>
          <w:sz w:val="24"/>
          <w:szCs w:val="24"/>
        </w:rPr>
        <w:t>preoccupations</w:t>
      </w:r>
      <w:r w:rsidR="00FE19FA" w:rsidRPr="005927F3">
        <w:rPr>
          <w:rFonts w:cstheme="minorHAnsi"/>
          <w:sz w:val="24"/>
          <w:szCs w:val="24"/>
        </w:rPr>
        <w:t xml:space="preserve"> </w:t>
      </w:r>
      <w:r w:rsidR="00903E66" w:rsidRPr="005927F3">
        <w:rPr>
          <w:rFonts w:cstheme="minorHAnsi"/>
          <w:sz w:val="24"/>
          <w:szCs w:val="24"/>
        </w:rPr>
        <w:t>in Western</w:t>
      </w:r>
      <w:r w:rsidR="002B35A9" w:rsidRPr="005927F3">
        <w:rPr>
          <w:rFonts w:cstheme="minorHAnsi"/>
          <w:sz w:val="24"/>
          <w:szCs w:val="24"/>
        </w:rPr>
        <w:t xml:space="preserve"> </w:t>
      </w:r>
      <w:r w:rsidR="006D5811" w:rsidRPr="005927F3">
        <w:rPr>
          <w:rFonts w:cstheme="minorHAnsi"/>
          <w:sz w:val="24"/>
          <w:szCs w:val="24"/>
        </w:rPr>
        <w:t xml:space="preserve">legal </w:t>
      </w:r>
      <w:r w:rsidR="00903E66" w:rsidRPr="005927F3">
        <w:rPr>
          <w:rFonts w:cstheme="minorHAnsi"/>
          <w:sz w:val="24"/>
          <w:szCs w:val="24"/>
        </w:rPr>
        <w:t>thought</w:t>
      </w:r>
      <w:r w:rsidR="000028AD" w:rsidRPr="005927F3">
        <w:rPr>
          <w:rFonts w:cstheme="minorHAnsi"/>
          <w:sz w:val="24"/>
          <w:szCs w:val="24"/>
        </w:rPr>
        <w:t xml:space="preserve"> and </w:t>
      </w:r>
      <w:r w:rsidR="009444FA" w:rsidRPr="005927F3">
        <w:rPr>
          <w:rFonts w:cstheme="minorHAnsi"/>
          <w:sz w:val="24"/>
          <w:szCs w:val="24"/>
        </w:rPr>
        <w:t xml:space="preserve">which </w:t>
      </w:r>
      <w:r w:rsidR="000028AD" w:rsidRPr="005927F3">
        <w:rPr>
          <w:rFonts w:cstheme="minorHAnsi"/>
          <w:sz w:val="24"/>
          <w:szCs w:val="24"/>
        </w:rPr>
        <w:t>are located</w:t>
      </w:r>
      <w:r w:rsidR="00BF0E80" w:rsidRPr="005927F3">
        <w:rPr>
          <w:rFonts w:cstheme="minorHAnsi"/>
          <w:sz w:val="24"/>
          <w:szCs w:val="24"/>
        </w:rPr>
        <w:t xml:space="preserve"> </w:t>
      </w:r>
      <w:r w:rsidR="0002018E" w:rsidRPr="005927F3">
        <w:rPr>
          <w:rFonts w:cstheme="minorHAnsi"/>
          <w:sz w:val="24"/>
          <w:szCs w:val="24"/>
        </w:rPr>
        <w:t xml:space="preserve">within </w:t>
      </w:r>
      <w:r w:rsidR="00A45312" w:rsidRPr="005927F3">
        <w:rPr>
          <w:rFonts w:cstheme="minorHAnsi"/>
          <w:sz w:val="24"/>
          <w:szCs w:val="24"/>
        </w:rPr>
        <w:t>‘much larger and much older differences in social and political traditions</w:t>
      </w:r>
      <w:r w:rsidR="00F16A50" w:rsidRPr="005927F3">
        <w:rPr>
          <w:rFonts w:cstheme="minorHAnsi"/>
          <w:sz w:val="24"/>
          <w:szCs w:val="24"/>
        </w:rPr>
        <w:t>’</w:t>
      </w:r>
      <w:r w:rsidR="00933A6B">
        <w:rPr>
          <w:rFonts w:cstheme="minorHAnsi"/>
          <w:sz w:val="24"/>
          <w:szCs w:val="24"/>
        </w:rPr>
        <w:t>:</w:t>
      </w:r>
      <w:r w:rsidR="00933A6B" w:rsidRPr="00933A6B">
        <w:rPr>
          <w:rFonts w:cstheme="minorHAnsi"/>
          <w:sz w:val="24"/>
          <w:szCs w:val="24"/>
        </w:rPr>
        <w:t xml:space="preserve"> </w:t>
      </w:r>
      <w:r w:rsidR="00933A6B" w:rsidRPr="005927F3">
        <w:rPr>
          <w:rFonts w:cstheme="minorHAnsi"/>
          <w:sz w:val="24"/>
          <w:szCs w:val="24"/>
        </w:rPr>
        <w:t xml:space="preserve">one centres around </w:t>
      </w:r>
      <w:r w:rsidR="00933A6B" w:rsidRPr="005927F3">
        <w:rPr>
          <w:rFonts w:cstheme="minorHAnsi"/>
          <w:i/>
          <w:sz w:val="24"/>
          <w:szCs w:val="24"/>
        </w:rPr>
        <w:t xml:space="preserve">liberty </w:t>
      </w:r>
      <w:r w:rsidR="00933A6B" w:rsidRPr="005927F3">
        <w:rPr>
          <w:rFonts w:cstheme="minorHAnsi"/>
          <w:sz w:val="24"/>
          <w:szCs w:val="24"/>
        </w:rPr>
        <w:t xml:space="preserve">and the other around </w:t>
      </w:r>
      <w:r w:rsidR="00933A6B" w:rsidRPr="005927F3">
        <w:rPr>
          <w:rFonts w:cstheme="minorHAnsi"/>
          <w:i/>
          <w:sz w:val="24"/>
          <w:szCs w:val="24"/>
        </w:rPr>
        <w:t>dignity</w:t>
      </w:r>
      <w:r w:rsidR="00933A6B">
        <w:rPr>
          <w:rFonts w:cstheme="minorHAnsi"/>
          <w:i/>
          <w:sz w:val="24"/>
          <w:szCs w:val="24"/>
        </w:rPr>
        <w:t>.</w:t>
      </w:r>
      <w:r w:rsidR="00A45312" w:rsidRPr="005927F3">
        <w:rPr>
          <w:rStyle w:val="FootnoteReference"/>
          <w:rFonts w:cstheme="minorHAnsi"/>
          <w:sz w:val="24"/>
          <w:szCs w:val="24"/>
        </w:rPr>
        <w:footnoteReference w:id="22"/>
      </w:r>
      <w:r w:rsidR="00955A37" w:rsidRPr="005927F3">
        <w:rPr>
          <w:rFonts w:cstheme="minorHAnsi"/>
          <w:sz w:val="24"/>
          <w:szCs w:val="24"/>
        </w:rPr>
        <w:t xml:space="preserve"> </w:t>
      </w:r>
      <w:r w:rsidR="00933A6B" w:rsidRPr="005927F3">
        <w:rPr>
          <w:rFonts w:cstheme="minorHAnsi"/>
          <w:sz w:val="24"/>
          <w:szCs w:val="24"/>
        </w:rPr>
        <w:t xml:space="preserve">The value of liberty is key to understanding American privacy roots, whilst dignity underwrites the Continental European tradition. These two values help to explain their </w:t>
      </w:r>
      <w:r w:rsidR="00933A6B" w:rsidRPr="005927F3">
        <w:rPr>
          <w:rFonts w:cstheme="minorHAnsi"/>
          <w:iCs/>
          <w:sz w:val="24"/>
          <w:szCs w:val="24"/>
        </w:rPr>
        <w:t xml:space="preserve">comparative differences, alongside strong </w:t>
      </w:r>
      <w:proofErr w:type="gramStart"/>
      <w:r w:rsidR="00933A6B" w:rsidRPr="005927F3">
        <w:rPr>
          <w:rFonts w:cstheme="minorHAnsi"/>
          <w:iCs/>
          <w:sz w:val="24"/>
          <w:szCs w:val="24"/>
        </w:rPr>
        <w:t>congruencies</w:t>
      </w:r>
      <w:proofErr w:type="gramEnd"/>
      <w:r w:rsidR="00933A6B" w:rsidRPr="005927F3">
        <w:rPr>
          <w:rFonts w:cstheme="minorHAnsi"/>
          <w:iCs/>
          <w:sz w:val="24"/>
          <w:szCs w:val="24"/>
        </w:rPr>
        <w:t xml:space="preserve"> and significant overlaps between the two privacy traditions.</w:t>
      </w:r>
      <w:r w:rsidR="00A45312" w:rsidRPr="005927F3">
        <w:rPr>
          <w:rStyle w:val="FootnoteReference"/>
          <w:rFonts w:cstheme="minorHAnsi"/>
          <w:sz w:val="24"/>
          <w:szCs w:val="24"/>
        </w:rPr>
        <w:footnoteReference w:id="23"/>
      </w:r>
      <w:r w:rsidR="006D5811" w:rsidRPr="005927F3">
        <w:rPr>
          <w:rFonts w:cstheme="minorHAnsi"/>
          <w:sz w:val="24"/>
          <w:szCs w:val="24"/>
        </w:rPr>
        <w:t xml:space="preserve"> </w:t>
      </w:r>
      <w:r w:rsidR="00D1612E" w:rsidRPr="005927F3">
        <w:rPr>
          <w:rFonts w:cstheme="minorHAnsi"/>
          <w:sz w:val="24"/>
          <w:szCs w:val="24"/>
        </w:rPr>
        <w:t>And e</w:t>
      </w:r>
      <w:r w:rsidR="00C71BB3" w:rsidRPr="005927F3">
        <w:rPr>
          <w:rFonts w:cstheme="minorHAnsi"/>
          <w:sz w:val="24"/>
          <w:szCs w:val="24"/>
        </w:rPr>
        <w:t xml:space="preserve">ven in their differences, </w:t>
      </w:r>
      <w:r w:rsidR="000673F2" w:rsidRPr="005927F3">
        <w:rPr>
          <w:rFonts w:cstheme="minorHAnsi"/>
          <w:sz w:val="24"/>
          <w:szCs w:val="24"/>
        </w:rPr>
        <w:t xml:space="preserve">both </w:t>
      </w:r>
      <w:r w:rsidR="0002018E" w:rsidRPr="005927F3">
        <w:rPr>
          <w:rFonts w:cstheme="minorHAnsi"/>
          <w:sz w:val="24"/>
          <w:szCs w:val="24"/>
        </w:rPr>
        <w:t>tradition</w:t>
      </w:r>
      <w:r w:rsidR="009444FA" w:rsidRPr="005927F3">
        <w:rPr>
          <w:rFonts w:cstheme="minorHAnsi"/>
          <w:sz w:val="24"/>
          <w:szCs w:val="24"/>
        </w:rPr>
        <w:t>s</w:t>
      </w:r>
      <w:r w:rsidR="00405C01" w:rsidRPr="005927F3">
        <w:rPr>
          <w:rFonts w:cstheme="minorHAnsi"/>
          <w:sz w:val="24"/>
          <w:szCs w:val="24"/>
        </w:rPr>
        <w:t xml:space="preserve"> s</w:t>
      </w:r>
      <w:r w:rsidR="003A28CA" w:rsidRPr="005927F3">
        <w:rPr>
          <w:rFonts w:cstheme="minorHAnsi"/>
          <w:sz w:val="24"/>
          <w:szCs w:val="24"/>
        </w:rPr>
        <w:t>eek</w:t>
      </w:r>
      <w:r w:rsidR="00405C01" w:rsidRPr="005927F3">
        <w:rPr>
          <w:rFonts w:cstheme="minorHAnsi"/>
          <w:sz w:val="24"/>
          <w:szCs w:val="24"/>
        </w:rPr>
        <w:t xml:space="preserve"> to establish a</w:t>
      </w:r>
      <w:r w:rsidR="006C07FB" w:rsidRPr="005927F3">
        <w:rPr>
          <w:rFonts w:cstheme="minorHAnsi"/>
          <w:sz w:val="24"/>
          <w:szCs w:val="24"/>
        </w:rPr>
        <w:t xml:space="preserve"> literal or metaphorical</w:t>
      </w:r>
      <w:r w:rsidR="00854A69" w:rsidRPr="005927F3">
        <w:rPr>
          <w:rFonts w:cstheme="minorHAnsi"/>
          <w:sz w:val="24"/>
          <w:szCs w:val="24"/>
        </w:rPr>
        <w:t xml:space="preserve"> inner</w:t>
      </w:r>
      <w:r w:rsidR="00405C01" w:rsidRPr="005927F3">
        <w:rPr>
          <w:rFonts w:cstheme="minorHAnsi"/>
          <w:sz w:val="24"/>
          <w:szCs w:val="24"/>
        </w:rPr>
        <w:t xml:space="preserve"> space </w:t>
      </w:r>
      <w:r w:rsidR="006C07FB" w:rsidRPr="005927F3">
        <w:rPr>
          <w:rFonts w:cstheme="minorHAnsi"/>
          <w:sz w:val="24"/>
          <w:szCs w:val="24"/>
        </w:rPr>
        <w:t xml:space="preserve">for </w:t>
      </w:r>
      <w:r w:rsidR="00462A8A" w:rsidRPr="005927F3">
        <w:rPr>
          <w:rFonts w:cstheme="minorHAnsi"/>
          <w:sz w:val="24"/>
          <w:szCs w:val="24"/>
        </w:rPr>
        <w:t xml:space="preserve">self-authorship or </w:t>
      </w:r>
      <w:r w:rsidR="006C07FB" w:rsidRPr="005927F3">
        <w:rPr>
          <w:rFonts w:cstheme="minorHAnsi"/>
          <w:sz w:val="24"/>
          <w:szCs w:val="24"/>
        </w:rPr>
        <w:t>self-sovereignty</w:t>
      </w:r>
      <w:r w:rsidR="0002018E" w:rsidRPr="005927F3">
        <w:rPr>
          <w:rFonts w:cstheme="minorHAnsi"/>
          <w:sz w:val="24"/>
          <w:szCs w:val="24"/>
        </w:rPr>
        <w:t xml:space="preserve">. </w:t>
      </w:r>
    </w:p>
    <w:p w14:paraId="01F2B01A" w14:textId="77777777" w:rsidR="0038099B" w:rsidRPr="005927F3" w:rsidRDefault="0038099B" w:rsidP="008B308D">
      <w:pPr>
        <w:autoSpaceDE w:val="0"/>
        <w:autoSpaceDN w:val="0"/>
        <w:adjustRightInd w:val="0"/>
        <w:spacing w:after="0" w:line="240" w:lineRule="auto"/>
        <w:jc w:val="both"/>
        <w:rPr>
          <w:rFonts w:cstheme="minorHAnsi"/>
          <w:sz w:val="24"/>
          <w:szCs w:val="24"/>
        </w:rPr>
      </w:pPr>
    </w:p>
    <w:p w14:paraId="565A7451" w14:textId="6A15AF31" w:rsidR="0038099B" w:rsidRPr="005927F3" w:rsidRDefault="00241A9B" w:rsidP="005927F3">
      <w:pPr>
        <w:pStyle w:val="Heading2"/>
        <w:numPr>
          <w:ilvl w:val="1"/>
          <w:numId w:val="36"/>
        </w:numPr>
        <w:spacing w:before="0" w:line="240" w:lineRule="auto"/>
        <w:rPr>
          <w:rFonts w:asciiTheme="minorHAnsi" w:hAnsiTheme="minorHAnsi" w:cstheme="minorHAnsi"/>
        </w:rPr>
      </w:pPr>
      <w:bookmarkStart w:id="9" w:name="_Toc116306477"/>
      <w:r w:rsidRPr="005927F3">
        <w:rPr>
          <w:rFonts w:asciiTheme="minorHAnsi" w:hAnsiTheme="minorHAnsi" w:cstheme="minorHAnsi"/>
        </w:rPr>
        <w:t xml:space="preserve">The Anglo-American literal </w:t>
      </w:r>
      <w:r w:rsidR="00B02F55" w:rsidRPr="005927F3">
        <w:rPr>
          <w:rFonts w:asciiTheme="minorHAnsi" w:hAnsiTheme="minorHAnsi" w:cstheme="minorHAnsi"/>
        </w:rPr>
        <w:t>‘</w:t>
      </w:r>
      <w:r w:rsidR="0038099B" w:rsidRPr="005927F3">
        <w:rPr>
          <w:rFonts w:asciiTheme="minorHAnsi" w:hAnsiTheme="minorHAnsi" w:cstheme="minorHAnsi"/>
        </w:rPr>
        <w:t>inner space</w:t>
      </w:r>
      <w:r w:rsidR="00B02F55" w:rsidRPr="005927F3">
        <w:rPr>
          <w:rFonts w:asciiTheme="minorHAnsi" w:hAnsiTheme="minorHAnsi" w:cstheme="minorHAnsi"/>
        </w:rPr>
        <w:t>’</w:t>
      </w:r>
      <w:bookmarkEnd w:id="9"/>
    </w:p>
    <w:p w14:paraId="672D1AF9" w14:textId="77777777" w:rsidR="00CB1644" w:rsidRPr="005927F3" w:rsidRDefault="00CB1644" w:rsidP="008B308D">
      <w:pPr>
        <w:autoSpaceDE w:val="0"/>
        <w:autoSpaceDN w:val="0"/>
        <w:adjustRightInd w:val="0"/>
        <w:spacing w:after="0" w:line="240" w:lineRule="auto"/>
        <w:jc w:val="both"/>
        <w:rPr>
          <w:rFonts w:cstheme="minorHAnsi"/>
          <w:sz w:val="24"/>
          <w:szCs w:val="24"/>
        </w:rPr>
      </w:pPr>
    </w:p>
    <w:p w14:paraId="26B1FED1" w14:textId="28F4DFDE" w:rsidR="00AB4180" w:rsidRPr="005927F3" w:rsidDel="007F2030" w:rsidRDefault="007F2030" w:rsidP="008B308D">
      <w:pPr>
        <w:autoSpaceDE w:val="0"/>
        <w:autoSpaceDN w:val="0"/>
        <w:adjustRightInd w:val="0"/>
        <w:spacing w:after="0" w:line="240" w:lineRule="auto"/>
        <w:jc w:val="both"/>
        <w:rPr>
          <w:rFonts w:cstheme="minorHAnsi"/>
          <w:sz w:val="24"/>
          <w:szCs w:val="24"/>
        </w:rPr>
      </w:pPr>
      <w:r w:rsidRPr="005927F3">
        <w:rPr>
          <w:rFonts w:cstheme="minorHAnsi"/>
          <w:sz w:val="24"/>
          <w:szCs w:val="24"/>
        </w:rPr>
        <w:t xml:space="preserve">Whitman speaks of an </w:t>
      </w:r>
      <w:r w:rsidRPr="005927F3">
        <w:rPr>
          <w:rFonts w:cstheme="minorHAnsi"/>
          <w:i/>
          <w:iCs/>
          <w:sz w:val="24"/>
          <w:szCs w:val="24"/>
        </w:rPr>
        <w:t xml:space="preserve">American </w:t>
      </w:r>
      <w:r w:rsidR="00811C91" w:rsidRPr="005927F3">
        <w:rPr>
          <w:rFonts w:cstheme="minorHAnsi"/>
          <w:sz w:val="24"/>
          <w:szCs w:val="24"/>
        </w:rPr>
        <w:t xml:space="preserve">culture of </w:t>
      </w:r>
      <w:r w:rsidRPr="005927F3">
        <w:rPr>
          <w:rFonts w:cstheme="minorHAnsi"/>
          <w:sz w:val="24"/>
          <w:szCs w:val="24"/>
        </w:rPr>
        <w:t xml:space="preserve">privacy </w:t>
      </w:r>
      <w:r w:rsidR="00B10A2C" w:rsidRPr="005927F3">
        <w:rPr>
          <w:rFonts w:cstheme="minorHAnsi"/>
          <w:sz w:val="24"/>
          <w:szCs w:val="24"/>
        </w:rPr>
        <w:t>as</w:t>
      </w:r>
      <w:r w:rsidRPr="005927F3">
        <w:rPr>
          <w:rFonts w:cstheme="minorHAnsi"/>
          <w:sz w:val="24"/>
          <w:szCs w:val="24"/>
        </w:rPr>
        <w:t xml:space="preserve"> </w:t>
      </w:r>
      <w:r w:rsidR="00811C91" w:rsidRPr="005927F3">
        <w:rPr>
          <w:rFonts w:cstheme="minorHAnsi"/>
          <w:sz w:val="24"/>
          <w:szCs w:val="24"/>
        </w:rPr>
        <w:t xml:space="preserve">being </w:t>
      </w:r>
      <w:r w:rsidRPr="005927F3">
        <w:rPr>
          <w:rFonts w:cstheme="minorHAnsi"/>
          <w:sz w:val="24"/>
          <w:szCs w:val="24"/>
        </w:rPr>
        <w:t xml:space="preserve">preoccupied with the home as </w:t>
      </w:r>
      <w:r w:rsidR="004D7911" w:rsidRPr="005927F3">
        <w:rPr>
          <w:rFonts w:cstheme="minorHAnsi"/>
          <w:sz w:val="24"/>
          <w:szCs w:val="24"/>
        </w:rPr>
        <w:t>the</w:t>
      </w:r>
      <w:r w:rsidRPr="005927F3">
        <w:rPr>
          <w:rFonts w:cstheme="minorHAnsi"/>
          <w:sz w:val="24"/>
          <w:szCs w:val="24"/>
        </w:rPr>
        <w:t xml:space="preserve"> </w:t>
      </w:r>
      <w:r w:rsidR="00AB4180" w:rsidRPr="005927F3">
        <w:rPr>
          <w:rFonts w:cstheme="minorHAnsi"/>
          <w:sz w:val="24"/>
          <w:szCs w:val="24"/>
        </w:rPr>
        <w:t>key</w:t>
      </w:r>
      <w:r w:rsidR="0035135E" w:rsidRPr="005927F3">
        <w:rPr>
          <w:rFonts w:cstheme="minorHAnsi"/>
          <w:sz w:val="24"/>
          <w:szCs w:val="24"/>
        </w:rPr>
        <w:t xml:space="preserve"> site of</w:t>
      </w:r>
      <w:r w:rsidR="00AB4180" w:rsidRPr="005927F3">
        <w:rPr>
          <w:rFonts w:cstheme="minorHAnsi"/>
          <w:sz w:val="24"/>
          <w:szCs w:val="24"/>
        </w:rPr>
        <w:t xml:space="preserve"> </w:t>
      </w:r>
      <w:r w:rsidR="00B10A2C" w:rsidRPr="005927F3">
        <w:rPr>
          <w:rFonts w:cstheme="minorHAnsi"/>
          <w:sz w:val="24"/>
          <w:szCs w:val="24"/>
        </w:rPr>
        <w:t>protecti</w:t>
      </w:r>
      <w:r w:rsidR="0035135E" w:rsidRPr="005927F3">
        <w:rPr>
          <w:rFonts w:cstheme="minorHAnsi"/>
          <w:sz w:val="24"/>
          <w:szCs w:val="24"/>
        </w:rPr>
        <w:t>on</w:t>
      </w:r>
      <w:r w:rsidR="00315107" w:rsidRPr="005927F3">
        <w:rPr>
          <w:rFonts w:cstheme="minorHAnsi"/>
          <w:sz w:val="24"/>
          <w:szCs w:val="24"/>
        </w:rPr>
        <w:t>.</w:t>
      </w:r>
      <w:r w:rsidR="00867322" w:rsidRPr="005927F3">
        <w:rPr>
          <w:rFonts w:cstheme="minorHAnsi"/>
          <w:sz w:val="24"/>
          <w:szCs w:val="24"/>
        </w:rPr>
        <w:t xml:space="preserve"> </w:t>
      </w:r>
      <w:r w:rsidR="00072914" w:rsidRPr="005927F3">
        <w:rPr>
          <w:rFonts w:cstheme="minorHAnsi"/>
          <w:sz w:val="24"/>
          <w:szCs w:val="24"/>
        </w:rPr>
        <w:t>Yet</w:t>
      </w:r>
      <w:r w:rsidR="0035135E" w:rsidRPr="005927F3">
        <w:rPr>
          <w:rFonts w:cstheme="minorHAnsi"/>
          <w:sz w:val="24"/>
          <w:szCs w:val="24"/>
        </w:rPr>
        <w:t xml:space="preserve">, </w:t>
      </w:r>
      <w:r w:rsidR="00072914" w:rsidRPr="005927F3">
        <w:rPr>
          <w:rFonts w:cstheme="minorHAnsi"/>
          <w:sz w:val="24"/>
          <w:szCs w:val="24"/>
        </w:rPr>
        <w:t xml:space="preserve">as </w:t>
      </w:r>
      <w:r w:rsidR="0035135E" w:rsidRPr="005927F3">
        <w:rPr>
          <w:rFonts w:cstheme="minorHAnsi"/>
          <w:sz w:val="24"/>
          <w:szCs w:val="24"/>
        </w:rPr>
        <w:t>t</w:t>
      </w:r>
      <w:r w:rsidR="00B10A2C" w:rsidRPr="005927F3">
        <w:rPr>
          <w:rFonts w:cstheme="minorHAnsi"/>
          <w:sz w:val="24"/>
          <w:szCs w:val="24"/>
        </w:rPr>
        <w:t xml:space="preserve">he inviolability of the home as a </w:t>
      </w:r>
      <w:r w:rsidR="004D7911" w:rsidRPr="005927F3">
        <w:rPr>
          <w:rFonts w:cstheme="minorHAnsi"/>
          <w:sz w:val="24"/>
          <w:szCs w:val="24"/>
        </w:rPr>
        <w:t>place</w:t>
      </w:r>
      <w:r w:rsidR="00B10A2C" w:rsidRPr="005927F3">
        <w:rPr>
          <w:rFonts w:cstheme="minorHAnsi"/>
          <w:sz w:val="24"/>
          <w:szCs w:val="24"/>
        </w:rPr>
        <w:t xml:space="preserve"> of security and liberty ha</w:t>
      </w:r>
      <w:r w:rsidR="0035135E" w:rsidRPr="005927F3">
        <w:rPr>
          <w:rFonts w:cstheme="minorHAnsi"/>
          <w:sz w:val="24"/>
          <w:szCs w:val="24"/>
        </w:rPr>
        <w:t>s</w:t>
      </w:r>
      <w:r w:rsidR="00B10A2C" w:rsidRPr="005927F3">
        <w:rPr>
          <w:rFonts w:cstheme="minorHAnsi"/>
          <w:sz w:val="24"/>
          <w:szCs w:val="24"/>
        </w:rPr>
        <w:t xml:space="preserve"> </w:t>
      </w:r>
      <w:r w:rsidR="00AB4180" w:rsidRPr="005927F3">
        <w:rPr>
          <w:rFonts w:cstheme="minorHAnsi"/>
          <w:sz w:val="24"/>
          <w:szCs w:val="24"/>
        </w:rPr>
        <w:t xml:space="preserve">a far longer common law history in England – a sentiment which </w:t>
      </w:r>
      <w:r w:rsidR="002B15B4" w:rsidRPr="005927F3">
        <w:rPr>
          <w:rFonts w:cstheme="minorHAnsi"/>
          <w:sz w:val="24"/>
          <w:szCs w:val="24"/>
        </w:rPr>
        <w:t>would have</w:t>
      </w:r>
      <w:r w:rsidR="00B10A2C" w:rsidRPr="005927F3">
        <w:rPr>
          <w:rFonts w:cstheme="minorHAnsi"/>
          <w:sz w:val="24"/>
          <w:szCs w:val="24"/>
        </w:rPr>
        <w:t xml:space="preserve"> chimed with </w:t>
      </w:r>
      <w:r w:rsidRPr="005927F3">
        <w:rPr>
          <w:rFonts w:cstheme="minorHAnsi"/>
          <w:sz w:val="24"/>
          <w:szCs w:val="24"/>
        </w:rPr>
        <w:t xml:space="preserve">American </w:t>
      </w:r>
      <w:r w:rsidR="002B15B4" w:rsidRPr="005927F3">
        <w:rPr>
          <w:rFonts w:cstheme="minorHAnsi"/>
          <w:sz w:val="24"/>
          <w:szCs w:val="24"/>
        </w:rPr>
        <w:t xml:space="preserve">settler </w:t>
      </w:r>
      <w:r w:rsidRPr="005927F3">
        <w:rPr>
          <w:rFonts w:cstheme="minorHAnsi"/>
          <w:sz w:val="24"/>
          <w:szCs w:val="24"/>
        </w:rPr>
        <w:t>sensitivities</w:t>
      </w:r>
      <w:r w:rsidR="00072914" w:rsidRPr="005927F3">
        <w:rPr>
          <w:rFonts w:cstheme="minorHAnsi"/>
          <w:sz w:val="24"/>
          <w:szCs w:val="24"/>
        </w:rPr>
        <w:t xml:space="preserve"> </w:t>
      </w:r>
      <w:proofErr w:type="gramStart"/>
      <w:r w:rsidR="00072914" w:rsidRPr="005927F3">
        <w:rPr>
          <w:rFonts w:cstheme="minorHAnsi"/>
          <w:sz w:val="24"/>
          <w:szCs w:val="24"/>
        </w:rPr>
        <w:t xml:space="preserve">- </w:t>
      </w:r>
      <w:r w:rsidR="00AB4180" w:rsidRPr="005927F3">
        <w:rPr>
          <w:rFonts w:cstheme="minorHAnsi"/>
          <w:sz w:val="24"/>
          <w:szCs w:val="24"/>
        </w:rPr>
        <w:t>,</w:t>
      </w:r>
      <w:proofErr w:type="gramEnd"/>
      <w:r w:rsidR="00AB4180" w:rsidRPr="005927F3">
        <w:rPr>
          <w:rFonts w:cstheme="minorHAnsi"/>
          <w:sz w:val="24"/>
          <w:szCs w:val="24"/>
        </w:rPr>
        <w:t xml:space="preserve"> th</w:t>
      </w:r>
      <w:r w:rsidR="0035135E" w:rsidRPr="005927F3">
        <w:rPr>
          <w:rFonts w:cstheme="minorHAnsi"/>
          <w:sz w:val="24"/>
          <w:szCs w:val="24"/>
        </w:rPr>
        <w:t>e</w:t>
      </w:r>
      <w:r w:rsidR="00AB4180" w:rsidRPr="005927F3">
        <w:rPr>
          <w:rFonts w:cstheme="minorHAnsi"/>
          <w:sz w:val="24"/>
          <w:szCs w:val="24"/>
        </w:rPr>
        <w:t xml:space="preserve"> discussion </w:t>
      </w:r>
      <w:r w:rsidR="0035135E" w:rsidRPr="005927F3">
        <w:rPr>
          <w:rFonts w:cstheme="minorHAnsi"/>
          <w:sz w:val="24"/>
          <w:szCs w:val="24"/>
        </w:rPr>
        <w:t xml:space="preserve">here </w:t>
      </w:r>
      <w:r w:rsidR="00AB4180" w:rsidRPr="005927F3">
        <w:rPr>
          <w:rFonts w:cstheme="minorHAnsi"/>
          <w:sz w:val="24"/>
          <w:szCs w:val="24"/>
        </w:rPr>
        <w:t xml:space="preserve">references the </w:t>
      </w:r>
      <w:r w:rsidR="00AB4180" w:rsidRPr="005927F3">
        <w:rPr>
          <w:rFonts w:cstheme="minorHAnsi"/>
          <w:i/>
          <w:iCs/>
          <w:sz w:val="24"/>
          <w:szCs w:val="24"/>
        </w:rPr>
        <w:t xml:space="preserve">Anglo-American </w:t>
      </w:r>
      <w:r w:rsidR="00AB4180" w:rsidRPr="005927F3">
        <w:rPr>
          <w:rFonts w:cstheme="minorHAnsi"/>
          <w:sz w:val="24"/>
          <w:szCs w:val="24"/>
        </w:rPr>
        <w:t xml:space="preserve">culture of privacy. </w:t>
      </w:r>
      <w:r w:rsidR="00B10A2C" w:rsidRPr="005927F3">
        <w:rPr>
          <w:rFonts w:cstheme="minorHAnsi"/>
          <w:sz w:val="24"/>
          <w:szCs w:val="24"/>
        </w:rPr>
        <w:t>Going</w:t>
      </w:r>
      <w:r w:rsidR="00AB4180" w:rsidRPr="005927F3">
        <w:rPr>
          <w:rFonts w:cstheme="minorHAnsi"/>
          <w:sz w:val="24"/>
          <w:szCs w:val="24"/>
        </w:rPr>
        <w:t xml:space="preserve"> as far</w:t>
      </w:r>
      <w:r w:rsidR="00B10A2C" w:rsidRPr="005927F3">
        <w:rPr>
          <w:rFonts w:cstheme="minorHAnsi"/>
          <w:sz w:val="24"/>
          <w:szCs w:val="24"/>
        </w:rPr>
        <w:t xml:space="preserve"> back </w:t>
      </w:r>
      <w:r w:rsidR="00AB4180" w:rsidRPr="005927F3">
        <w:rPr>
          <w:rFonts w:cstheme="minorHAnsi"/>
          <w:sz w:val="24"/>
          <w:szCs w:val="24"/>
        </w:rPr>
        <w:t xml:space="preserve">as </w:t>
      </w:r>
      <w:r w:rsidR="00B10A2C" w:rsidRPr="005927F3">
        <w:rPr>
          <w:rFonts w:cstheme="minorHAnsi"/>
          <w:sz w:val="24"/>
          <w:szCs w:val="24"/>
        </w:rPr>
        <w:t xml:space="preserve">the </w:t>
      </w:r>
      <w:proofErr w:type="spellStart"/>
      <w:r w:rsidRPr="005927F3">
        <w:rPr>
          <w:rFonts w:cstheme="minorHAnsi"/>
          <w:i/>
          <w:sz w:val="24"/>
          <w:szCs w:val="24"/>
        </w:rPr>
        <w:t>Semayne’s</w:t>
      </w:r>
      <w:proofErr w:type="spellEnd"/>
      <w:r w:rsidRPr="005927F3">
        <w:rPr>
          <w:rFonts w:cstheme="minorHAnsi"/>
          <w:i/>
          <w:sz w:val="24"/>
          <w:szCs w:val="24"/>
        </w:rPr>
        <w:t xml:space="preserve"> Case</w:t>
      </w:r>
      <w:r w:rsidRPr="005927F3">
        <w:rPr>
          <w:rFonts w:cstheme="minorHAnsi"/>
          <w:sz w:val="24"/>
          <w:szCs w:val="24"/>
        </w:rPr>
        <w:t xml:space="preserve"> (1604)</w:t>
      </w:r>
      <w:r w:rsidRPr="005927F3">
        <w:rPr>
          <w:rStyle w:val="FootnoteReference"/>
          <w:rFonts w:cstheme="minorHAnsi"/>
          <w:sz w:val="24"/>
          <w:szCs w:val="24"/>
        </w:rPr>
        <w:footnoteReference w:id="24"/>
      </w:r>
      <w:r w:rsidRPr="005927F3">
        <w:rPr>
          <w:rFonts w:cstheme="minorHAnsi"/>
          <w:sz w:val="24"/>
          <w:szCs w:val="24"/>
        </w:rPr>
        <w:t xml:space="preserve"> which dealt with the limits of the Sheriff </w:t>
      </w:r>
      <w:r w:rsidR="00811C91" w:rsidRPr="005927F3">
        <w:rPr>
          <w:rFonts w:cstheme="minorHAnsi"/>
          <w:sz w:val="24"/>
          <w:szCs w:val="24"/>
        </w:rPr>
        <w:t>for</w:t>
      </w:r>
      <w:r w:rsidRPr="005927F3">
        <w:rPr>
          <w:rFonts w:cstheme="minorHAnsi"/>
          <w:sz w:val="24"/>
          <w:szCs w:val="24"/>
        </w:rPr>
        <w:t xml:space="preserve"> entering a house at the suit of a common person, and purported to rely on</w:t>
      </w:r>
      <w:r w:rsidR="00811C91" w:rsidRPr="005927F3">
        <w:rPr>
          <w:rFonts w:cstheme="minorHAnsi"/>
          <w:sz w:val="24"/>
          <w:szCs w:val="24"/>
        </w:rPr>
        <w:t xml:space="preserve"> even</w:t>
      </w:r>
      <w:r w:rsidRPr="005927F3">
        <w:rPr>
          <w:rFonts w:cstheme="minorHAnsi"/>
          <w:sz w:val="24"/>
          <w:szCs w:val="24"/>
        </w:rPr>
        <w:t xml:space="preserve"> older authority</w:t>
      </w:r>
      <w:r w:rsidR="00B10A2C" w:rsidRPr="005927F3">
        <w:rPr>
          <w:rFonts w:cstheme="minorHAnsi"/>
          <w:sz w:val="24"/>
          <w:szCs w:val="24"/>
        </w:rPr>
        <w:t>,</w:t>
      </w:r>
      <w:r w:rsidRPr="005927F3">
        <w:rPr>
          <w:rStyle w:val="FootnoteReference"/>
          <w:rFonts w:cstheme="minorHAnsi"/>
          <w:sz w:val="24"/>
          <w:szCs w:val="24"/>
        </w:rPr>
        <w:footnoteReference w:id="25"/>
      </w:r>
      <w:r w:rsidRPr="005927F3">
        <w:rPr>
          <w:rFonts w:cstheme="minorHAnsi"/>
          <w:sz w:val="24"/>
          <w:szCs w:val="24"/>
        </w:rPr>
        <w:t xml:space="preserve"> </w:t>
      </w:r>
      <w:r w:rsidR="00B10A2C" w:rsidRPr="005927F3">
        <w:rPr>
          <w:rFonts w:cstheme="minorHAnsi"/>
          <w:sz w:val="24"/>
          <w:szCs w:val="24"/>
        </w:rPr>
        <w:t>Edward Coke captured the idea of the inviolate home</w:t>
      </w:r>
      <w:r w:rsidR="00811C91" w:rsidRPr="005927F3">
        <w:rPr>
          <w:rFonts w:cstheme="minorHAnsi"/>
          <w:sz w:val="24"/>
          <w:szCs w:val="24"/>
        </w:rPr>
        <w:t xml:space="preserve"> as follows</w:t>
      </w:r>
      <w:r w:rsidR="00B10A2C" w:rsidRPr="005927F3">
        <w:rPr>
          <w:rFonts w:cstheme="minorHAnsi"/>
          <w:sz w:val="24"/>
          <w:szCs w:val="24"/>
        </w:rPr>
        <w:t>:</w:t>
      </w:r>
    </w:p>
    <w:p w14:paraId="647DA44B" w14:textId="77777777" w:rsidR="004B061E" w:rsidRPr="005927F3" w:rsidRDefault="004B061E" w:rsidP="008B308D">
      <w:pPr>
        <w:autoSpaceDE w:val="0"/>
        <w:autoSpaceDN w:val="0"/>
        <w:adjustRightInd w:val="0"/>
        <w:spacing w:after="0" w:line="240" w:lineRule="auto"/>
        <w:jc w:val="both"/>
        <w:rPr>
          <w:rFonts w:cstheme="minorHAnsi"/>
          <w:sz w:val="24"/>
          <w:szCs w:val="24"/>
        </w:rPr>
      </w:pPr>
    </w:p>
    <w:p w14:paraId="6FD34B92" w14:textId="553D2083" w:rsidR="00811C91" w:rsidRPr="005927F3" w:rsidRDefault="00C86E24" w:rsidP="0044441A">
      <w:pPr>
        <w:autoSpaceDE w:val="0"/>
        <w:autoSpaceDN w:val="0"/>
        <w:adjustRightInd w:val="0"/>
        <w:spacing w:after="0" w:line="240" w:lineRule="auto"/>
        <w:ind w:left="720"/>
        <w:jc w:val="both"/>
        <w:rPr>
          <w:rFonts w:cstheme="minorHAnsi"/>
          <w:sz w:val="24"/>
          <w:szCs w:val="24"/>
        </w:rPr>
      </w:pPr>
      <w:r w:rsidRPr="005927F3">
        <w:rPr>
          <w:rFonts w:cstheme="minorHAnsi"/>
          <w:sz w:val="24"/>
          <w:szCs w:val="24"/>
        </w:rPr>
        <w:t xml:space="preserve"> </w:t>
      </w:r>
      <w:r w:rsidR="00B64230" w:rsidRPr="005927F3">
        <w:rPr>
          <w:rFonts w:cstheme="minorHAnsi"/>
          <w:sz w:val="24"/>
          <w:szCs w:val="24"/>
        </w:rPr>
        <w:t>‘That the house of every one is to him</w:t>
      </w:r>
      <w:r w:rsidR="00B91DAF" w:rsidRPr="005927F3">
        <w:rPr>
          <w:rFonts w:cstheme="minorHAnsi"/>
          <w:sz w:val="24"/>
          <w:szCs w:val="24"/>
        </w:rPr>
        <w:t xml:space="preserve"> (a) as his castle and f</w:t>
      </w:r>
      <w:r w:rsidR="00B64230" w:rsidRPr="005927F3">
        <w:rPr>
          <w:rFonts w:cstheme="minorHAnsi"/>
          <w:sz w:val="24"/>
          <w:szCs w:val="24"/>
        </w:rPr>
        <w:t xml:space="preserve">ortress as well for </w:t>
      </w:r>
      <w:r w:rsidR="00BD040B" w:rsidRPr="005927F3">
        <w:rPr>
          <w:rFonts w:cstheme="minorHAnsi"/>
          <w:sz w:val="24"/>
          <w:szCs w:val="24"/>
        </w:rPr>
        <w:t xml:space="preserve">his </w:t>
      </w:r>
      <w:r w:rsidR="00B64230" w:rsidRPr="005927F3">
        <w:rPr>
          <w:rFonts w:cstheme="minorHAnsi"/>
          <w:sz w:val="24"/>
          <w:szCs w:val="24"/>
        </w:rPr>
        <w:t xml:space="preserve">defence against injury </w:t>
      </w:r>
      <w:r w:rsidRPr="005927F3">
        <w:rPr>
          <w:rFonts w:cstheme="minorHAnsi"/>
          <w:sz w:val="24"/>
          <w:szCs w:val="24"/>
        </w:rPr>
        <w:t>and violence, as for his repose…</w:t>
      </w:r>
      <w:r w:rsidR="00A46F0C" w:rsidRPr="005927F3">
        <w:rPr>
          <w:rFonts w:cstheme="minorHAnsi"/>
          <w:sz w:val="24"/>
          <w:szCs w:val="24"/>
        </w:rPr>
        <w:t xml:space="preserve"> </w:t>
      </w:r>
      <w:r w:rsidR="0044441A" w:rsidRPr="005927F3">
        <w:rPr>
          <w:rFonts w:cstheme="minorHAnsi"/>
          <w:sz w:val="24"/>
          <w:szCs w:val="24"/>
        </w:rPr>
        <w:t xml:space="preserve">[E]very one may assemble his friends and neighbours (d) to defend his house against violence: but he cannot assemble them to go with him to the market, (e) or elsewhere for his safeguard against </w:t>
      </w:r>
      <w:r w:rsidR="0044441A" w:rsidRPr="005927F3">
        <w:rPr>
          <w:rFonts w:cstheme="minorHAnsi"/>
          <w:sz w:val="24"/>
          <w:szCs w:val="24"/>
        </w:rPr>
        <w:lastRenderedPageBreak/>
        <w:t xml:space="preserve">violence: </w:t>
      </w:r>
      <w:r w:rsidR="00B91DAF" w:rsidRPr="005927F3">
        <w:rPr>
          <w:rFonts w:cstheme="minorHAnsi"/>
          <w:sz w:val="24"/>
          <w:szCs w:val="24"/>
        </w:rPr>
        <w:t>a</w:t>
      </w:r>
      <w:r w:rsidRPr="005927F3">
        <w:rPr>
          <w:rFonts w:cstheme="minorHAnsi"/>
          <w:sz w:val="24"/>
          <w:szCs w:val="24"/>
        </w:rPr>
        <w:t xml:space="preserve">nd the reason of all </w:t>
      </w:r>
      <w:r w:rsidR="00B91DAF" w:rsidRPr="005927F3">
        <w:rPr>
          <w:rFonts w:cstheme="minorHAnsi"/>
          <w:sz w:val="24"/>
          <w:szCs w:val="24"/>
        </w:rPr>
        <w:t xml:space="preserve">this is, </w:t>
      </w:r>
      <w:r w:rsidRPr="005927F3">
        <w:rPr>
          <w:rFonts w:cstheme="minorHAnsi"/>
          <w:sz w:val="24"/>
          <w:szCs w:val="24"/>
        </w:rPr>
        <w:t xml:space="preserve">because </w:t>
      </w:r>
      <w:r w:rsidRPr="005927F3">
        <w:rPr>
          <w:rFonts w:cstheme="minorHAnsi"/>
          <w:i/>
          <w:iCs/>
          <w:sz w:val="24"/>
          <w:szCs w:val="24"/>
        </w:rPr>
        <w:t xml:space="preserve">domus </w:t>
      </w:r>
      <w:proofErr w:type="spellStart"/>
      <w:r w:rsidRPr="005927F3">
        <w:rPr>
          <w:rFonts w:cstheme="minorHAnsi"/>
          <w:i/>
          <w:iCs/>
          <w:sz w:val="24"/>
          <w:szCs w:val="24"/>
        </w:rPr>
        <w:t>sua</w:t>
      </w:r>
      <w:proofErr w:type="spellEnd"/>
      <w:r w:rsidRPr="005927F3">
        <w:rPr>
          <w:rFonts w:cstheme="minorHAnsi"/>
          <w:i/>
          <w:iCs/>
          <w:sz w:val="24"/>
          <w:szCs w:val="24"/>
        </w:rPr>
        <w:t xml:space="preserve"> </w:t>
      </w:r>
      <w:proofErr w:type="spellStart"/>
      <w:r w:rsidRPr="005927F3">
        <w:rPr>
          <w:rFonts w:cstheme="minorHAnsi"/>
          <w:i/>
          <w:iCs/>
          <w:sz w:val="24"/>
          <w:szCs w:val="24"/>
        </w:rPr>
        <w:t>cuique</w:t>
      </w:r>
      <w:proofErr w:type="spellEnd"/>
      <w:r w:rsidRPr="005927F3">
        <w:rPr>
          <w:rFonts w:cstheme="minorHAnsi"/>
          <w:i/>
          <w:iCs/>
          <w:sz w:val="24"/>
          <w:szCs w:val="24"/>
        </w:rPr>
        <w:t xml:space="preserve"> </w:t>
      </w:r>
      <w:proofErr w:type="spellStart"/>
      <w:r w:rsidRPr="005927F3">
        <w:rPr>
          <w:rFonts w:cstheme="minorHAnsi"/>
          <w:i/>
          <w:iCs/>
          <w:sz w:val="24"/>
          <w:szCs w:val="24"/>
        </w:rPr>
        <w:t>est</w:t>
      </w:r>
      <w:proofErr w:type="spellEnd"/>
      <w:r w:rsidRPr="005927F3">
        <w:rPr>
          <w:rFonts w:cstheme="minorHAnsi"/>
          <w:i/>
          <w:iCs/>
          <w:sz w:val="24"/>
          <w:szCs w:val="24"/>
        </w:rPr>
        <w:t xml:space="preserve"> </w:t>
      </w:r>
      <w:proofErr w:type="spellStart"/>
      <w:r w:rsidRPr="005927F3">
        <w:rPr>
          <w:rFonts w:cstheme="minorHAnsi"/>
          <w:i/>
          <w:iCs/>
          <w:sz w:val="24"/>
          <w:szCs w:val="24"/>
        </w:rPr>
        <w:t>tutissimum</w:t>
      </w:r>
      <w:proofErr w:type="spellEnd"/>
      <w:r w:rsidRPr="005927F3">
        <w:rPr>
          <w:rFonts w:cstheme="minorHAnsi"/>
          <w:i/>
          <w:iCs/>
          <w:sz w:val="24"/>
          <w:szCs w:val="24"/>
        </w:rPr>
        <w:t xml:space="preserve"> refugium</w:t>
      </w:r>
      <w:r w:rsidRPr="005927F3">
        <w:rPr>
          <w:rFonts w:cstheme="minorHAnsi"/>
          <w:sz w:val="24"/>
          <w:szCs w:val="24"/>
        </w:rPr>
        <w:t xml:space="preserve"> [everyone’s house is his safest refuge].’</w:t>
      </w:r>
      <w:r w:rsidRPr="005927F3">
        <w:rPr>
          <w:rStyle w:val="FootnoteReference"/>
          <w:rFonts w:cstheme="minorHAnsi"/>
          <w:sz w:val="24"/>
          <w:szCs w:val="24"/>
        </w:rPr>
        <w:footnoteReference w:id="26"/>
      </w:r>
      <w:r w:rsidRPr="005927F3">
        <w:rPr>
          <w:rFonts w:cstheme="minorHAnsi"/>
          <w:sz w:val="24"/>
          <w:szCs w:val="24"/>
        </w:rPr>
        <w:t xml:space="preserve"> </w:t>
      </w:r>
    </w:p>
    <w:p w14:paraId="5DC69488" w14:textId="77777777" w:rsidR="0044441A" w:rsidRPr="005927F3" w:rsidRDefault="0044441A" w:rsidP="00AB2486">
      <w:pPr>
        <w:autoSpaceDE w:val="0"/>
        <w:autoSpaceDN w:val="0"/>
        <w:adjustRightInd w:val="0"/>
        <w:spacing w:after="0" w:line="240" w:lineRule="auto"/>
        <w:ind w:left="720"/>
        <w:jc w:val="both"/>
        <w:rPr>
          <w:rFonts w:cstheme="minorHAnsi"/>
          <w:sz w:val="24"/>
          <w:szCs w:val="24"/>
        </w:rPr>
      </w:pPr>
    </w:p>
    <w:p w14:paraId="4870A13E" w14:textId="010DFFDF" w:rsidR="00215E8A" w:rsidRPr="005927F3" w:rsidRDefault="00642D58" w:rsidP="008B308D">
      <w:pPr>
        <w:autoSpaceDE w:val="0"/>
        <w:autoSpaceDN w:val="0"/>
        <w:adjustRightInd w:val="0"/>
        <w:spacing w:after="0" w:line="240" w:lineRule="auto"/>
        <w:jc w:val="both"/>
        <w:rPr>
          <w:rFonts w:cstheme="minorHAnsi"/>
          <w:sz w:val="24"/>
          <w:szCs w:val="24"/>
        </w:rPr>
      </w:pPr>
      <w:r w:rsidRPr="005927F3">
        <w:rPr>
          <w:rFonts w:cstheme="minorHAnsi"/>
          <w:sz w:val="24"/>
          <w:szCs w:val="24"/>
        </w:rPr>
        <w:t>‘</w:t>
      </w:r>
      <w:r w:rsidR="00BB69CC" w:rsidRPr="005927F3">
        <w:rPr>
          <w:rFonts w:cstheme="minorHAnsi"/>
          <w:sz w:val="24"/>
          <w:szCs w:val="24"/>
        </w:rPr>
        <w:t>M</w:t>
      </w:r>
      <w:r w:rsidR="00105E6C" w:rsidRPr="005927F3">
        <w:rPr>
          <w:rFonts w:cstheme="minorHAnsi"/>
          <w:sz w:val="24"/>
          <w:szCs w:val="24"/>
        </w:rPr>
        <w:t>y home is my castle</w:t>
      </w:r>
      <w:r w:rsidRPr="005927F3">
        <w:rPr>
          <w:rFonts w:cstheme="minorHAnsi"/>
          <w:sz w:val="24"/>
          <w:szCs w:val="24"/>
        </w:rPr>
        <w:t xml:space="preserve">’ </w:t>
      </w:r>
      <w:r w:rsidR="00C86E24" w:rsidRPr="005927F3">
        <w:rPr>
          <w:rFonts w:cstheme="minorHAnsi"/>
          <w:sz w:val="24"/>
          <w:szCs w:val="24"/>
        </w:rPr>
        <w:t xml:space="preserve">encapsulates the </w:t>
      </w:r>
      <w:r w:rsidR="004D428A" w:rsidRPr="005927F3">
        <w:rPr>
          <w:rFonts w:cstheme="minorHAnsi"/>
          <w:sz w:val="24"/>
          <w:szCs w:val="24"/>
        </w:rPr>
        <w:t>traditional</w:t>
      </w:r>
      <w:r w:rsidRPr="005927F3">
        <w:rPr>
          <w:rFonts w:cstheme="minorHAnsi"/>
          <w:sz w:val="24"/>
          <w:szCs w:val="24"/>
        </w:rPr>
        <w:t xml:space="preserve"> </w:t>
      </w:r>
      <w:r w:rsidR="00C8702E" w:rsidRPr="005927F3">
        <w:rPr>
          <w:rFonts w:cstheme="minorHAnsi"/>
          <w:sz w:val="24"/>
          <w:szCs w:val="24"/>
        </w:rPr>
        <w:t xml:space="preserve">common law </w:t>
      </w:r>
      <w:r w:rsidR="00B6075C" w:rsidRPr="005927F3">
        <w:rPr>
          <w:rFonts w:cstheme="minorHAnsi"/>
          <w:sz w:val="24"/>
          <w:szCs w:val="24"/>
        </w:rPr>
        <w:t>understanding of privacy, even if not under that label.</w:t>
      </w:r>
      <w:r w:rsidR="00361C0E" w:rsidRPr="005927F3">
        <w:rPr>
          <w:rStyle w:val="FootnoteReference"/>
          <w:rFonts w:cstheme="minorHAnsi"/>
          <w:sz w:val="24"/>
          <w:szCs w:val="24"/>
        </w:rPr>
        <w:footnoteReference w:id="27"/>
      </w:r>
      <w:r w:rsidR="00955A37" w:rsidRPr="005927F3">
        <w:rPr>
          <w:rFonts w:cstheme="minorHAnsi"/>
          <w:sz w:val="24"/>
          <w:szCs w:val="24"/>
        </w:rPr>
        <w:t xml:space="preserve"> I</w:t>
      </w:r>
      <w:r w:rsidRPr="005927F3">
        <w:rPr>
          <w:rFonts w:cstheme="minorHAnsi"/>
          <w:sz w:val="24"/>
          <w:szCs w:val="24"/>
        </w:rPr>
        <w:t>n t</w:t>
      </w:r>
      <w:r w:rsidR="00B64230" w:rsidRPr="005927F3">
        <w:rPr>
          <w:rFonts w:cstheme="minorHAnsi"/>
          <w:sz w:val="24"/>
          <w:szCs w:val="24"/>
        </w:rPr>
        <w:t>he home one has a right to be free</w:t>
      </w:r>
      <w:r w:rsidR="00B6075C" w:rsidRPr="005927F3">
        <w:rPr>
          <w:rFonts w:cstheme="minorHAnsi"/>
          <w:sz w:val="24"/>
          <w:szCs w:val="24"/>
        </w:rPr>
        <w:t xml:space="preserve"> from outside interferences</w:t>
      </w:r>
      <w:r w:rsidR="0044441A" w:rsidRPr="005927F3">
        <w:rPr>
          <w:rFonts w:cstheme="minorHAnsi"/>
          <w:sz w:val="24"/>
          <w:szCs w:val="24"/>
        </w:rPr>
        <w:t>,</w:t>
      </w:r>
      <w:r w:rsidR="00BD040B" w:rsidRPr="005927F3">
        <w:rPr>
          <w:rFonts w:cstheme="minorHAnsi"/>
          <w:sz w:val="24"/>
          <w:szCs w:val="24"/>
        </w:rPr>
        <w:t xml:space="preserve"> as</w:t>
      </w:r>
      <w:r w:rsidR="00C86E24" w:rsidRPr="005927F3">
        <w:rPr>
          <w:rFonts w:cstheme="minorHAnsi"/>
          <w:sz w:val="24"/>
          <w:szCs w:val="24"/>
        </w:rPr>
        <w:t xml:space="preserve"> </w:t>
      </w:r>
      <w:r w:rsidR="00E012FE" w:rsidRPr="005927F3">
        <w:rPr>
          <w:rFonts w:cstheme="minorHAnsi"/>
          <w:sz w:val="24"/>
          <w:szCs w:val="24"/>
        </w:rPr>
        <w:t xml:space="preserve">clearly </w:t>
      </w:r>
      <w:r w:rsidR="00C86E24" w:rsidRPr="005927F3">
        <w:rPr>
          <w:rFonts w:cstheme="minorHAnsi"/>
          <w:sz w:val="24"/>
          <w:szCs w:val="24"/>
        </w:rPr>
        <w:t xml:space="preserve">articulated in </w:t>
      </w:r>
      <w:r w:rsidR="00BD040B" w:rsidRPr="005927F3">
        <w:rPr>
          <w:rFonts w:cstheme="minorHAnsi"/>
          <w:sz w:val="24"/>
          <w:szCs w:val="24"/>
        </w:rPr>
        <w:t xml:space="preserve">privacy terms in </w:t>
      </w:r>
      <w:r w:rsidR="00C86E24" w:rsidRPr="005927F3">
        <w:rPr>
          <w:rFonts w:cstheme="minorHAnsi"/>
          <w:sz w:val="24"/>
          <w:szCs w:val="24"/>
        </w:rPr>
        <w:t xml:space="preserve">the US case of </w:t>
      </w:r>
      <w:r w:rsidR="00C86E24" w:rsidRPr="005927F3">
        <w:rPr>
          <w:rFonts w:eastAsia="Times New Roman" w:cstheme="minorHAnsi"/>
          <w:i/>
          <w:sz w:val="24"/>
          <w:szCs w:val="24"/>
          <w:lang w:eastAsia="en-GB"/>
        </w:rPr>
        <w:t xml:space="preserve">Katz v </w:t>
      </w:r>
      <w:r w:rsidR="00E012FE" w:rsidRPr="005927F3">
        <w:rPr>
          <w:rFonts w:eastAsia="Times New Roman" w:cstheme="minorHAnsi"/>
          <w:i/>
          <w:sz w:val="24"/>
          <w:szCs w:val="24"/>
          <w:lang w:eastAsia="en-GB"/>
        </w:rPr>
        <w:t>US</w:t>
      </w:r>
      <w:r w:rsidR="00C86E24" w:rsidRPr="005927F3">
        <w:rPr>
          <w:rFonts w:eastAsia="Times New Roman" w:cstheme="minorHAnsi"/>
          <w:i/>
          <w:sz w:val="24"/>
          <w:szCs w:val="24"/>
          <w:lang w:eastAsia="en-GB"/>
        </w:rPr>
        <w:t xml:space="preserve"> </w:t>
      </w:r>
      <w:r w:rsidR="00C86E24" w:rsidRPr="005927F3">
        <w:rPr>
          <w:rFonts w:eastAsia="Times New Roman" w:cstheme="minorHAnsi"/>
          <w:sz w:val="24"/>
          <w:szCs w:val="24"/>
          <w:lang w:eastAsia="en-GB"/>
        </w:rPr>
        <w:t>(1967)</w:t>
      </w:r>
      <w:r w:rsidR="00B6075C" w:rsidRPr="005927F3">
        <w:rPr>
          <w:rFonts w:cstheme="minorHAnsi"/>
          <w:sz w:val="24"/>
          <w:szCs w:val="24"/>
        </w:rPr>
        <w:t>: ‘</w:t>
      </w:r>
      <w:r w:rsidR="005B1959" w:rsidRPr="005927F3">
        <w:rPr>
          <w:rFonts w:cstheme="minorHAnsi"/>
          <w:sz w:val="24"/>
          <w:szCs w:val="24"/>
        </w:rPr>
        <w:t>a man's home is, for most purposes, a place where he expects privacy, but objects, activities, or statements that he exposes to the "plain view" of outsiders are not "protected" because no intention to keep them to himself has been exhibited.’</w:t>
      </w:r>
      <w:r w:rsidR="005B1959" w:rsidRPr="005927F3">
        <w:rPr>
          <w:rStyle w:val="FootnoteReference"/>
          <w:rFonts w:cstheme="minorHAnsi"/>
          <w:sz w:val="24"/>
          <w:szCs w:val="24"/>
        </w:rPr>
        <w:footnoteReference w:id="28"/>
      </w:r>
      <w:r w:rsidR="00C8702E" w:rsidRPr="005927F3">
        <w:rPr>
          <w:rFonts w:cstheme="minorHAnsi"/>
          <w:sz w:val="24"/>
          <w:szCs w:val="24"/>
        </w:rPr>
        <w:t xml:space="preserve"> </w:t>
      </w:r>
      <w:r w:rsidRPr="005927F3">
        <w:rPr>
          <w:rFonts w:cstheme="minorHAnsi"/>
          <w:sz w:val="24"/>
          <w:szCs w:val="24"/>
        </w:rPr>
        <w:t>The home may be understood</w:t>
      </w:r>
      <w:r w:rsidR="00651DB2" w:rsidRPr="005927F3">
        <w:rPr>
          <w:rFonts w:cstheme="minorHAnsi"/>
          <w:sz w:val="24"/>
          <w:szCs w:val="24"/>
        </w:rPr>
        <w:t xml:space="preserve"> as an extension</w:t>
      </w:r>
      <w:r w:rsidRPr="005927F3">
        <w:rPr>
          <w:rFonts w:cstheme="minorHAnsi"/>
          <w:sz w:val="24"/>
          <w:szCs w:val="24"/>
        </w:rPr>
        <w:t xml:space="preserve"> of the body</w:t>
      </w:r>
      <w:r w:rsidR="00C8702E" w:rsidRPr="005927F3">
        <w:rPr>
          <w:rFonts w:cstheme="minorHAnsi"/>
          <w:sz w:val="24"/>
          <w:szCs w:val="24"/>
        </w:rPr>
        <w:t>,</w:t>
      </w:r>
      <w:r w:rsidR="009D4640" w:rsidRPr="005927F3">
        <w:rPr>
          <w:rFonts w:cstheme="minorHAnsi"/>
          <w:sz w:val="24"/>
          <w:szCs w:val="24"/>
        </w:rPr>
        <w:t xml:space="preserve"> </w:t>
      </w:r>
      <w:r w:rsidRPr="005927F3">
        <w:rPr>
          <w:rFonts w:cstheme="minorHAnsi"/>
          <w:sz w:val="24"/>
          <w:szCs w:val="24"/>
        </w:rPr>
        <w:t xml:space="preserve">its </w:t>
      </w:r>
      <w:r w:rsidR="009D4640" w:rsidRPr="005927F3">
        <w:rPr>
          <w:rFonts w:cstheme="minorHAnsi"/>
          <w:sz w:val="24"/>
          <w:szCs w:val="24"/>
        </w:rPr>
        <w:t>armour</w:t>
      </w:r>
      <w:r w:rsidRPr="005927F3">
        <w:rPr>
          <w:rFonts w:cstheme="minorHAnsi"/>
          <w:sz w:val="24"/>
          <w:szCs w:val="24"/>
        </w:rPr>
        <w:t xml:space="preserve"> or protective shell</w:t>
      </w:r>
      <w:r w:rsidR="00C8702E" w:rsidRPr="005927F3">
        <w:rPr>
          <w:rFonts w:cstheme="minorHAnsi"/>
          <w:sz w:val="24"/>
          <w:szCs w:val="24"/>
        </w:rPr>
        <w:t xml:space="preserve">, </w:t>
      </w:r>
      <w:r w:rsidR="00E012FE" w:rsidRPr="005927F3">
        <w:rPr>
          <w:rFonts w:cstheme="minorHAnsi"/>
          <w:sz w:val="24"/>
          <w:szCs w:val="24"/>
        </w:rPr>
        <w:t xml:space="preserve">which </w:t>
      </w:r>
      <w:r w:rsidR="00B6075C" w:rsidRPr="005927F3">
        <w:rPr>
          <w:rFonts w:cstheme="minorHAnsi"/>
          <w:sz w:val="24"/>
          <w:szCs w:val="24"/>
        </w:rPr>
        <w:t>has</w:t>
      </w:r>
      <w:r w:rsidR="00C8702E" w:rsidRPr="005927F3">
        <w:rPr>
          <w:rFonts w:cstheme="minorHAnsi"/>
          <w:sz w:val="24"/>
          <w:szCs w:val="24"/>
        </w:rPr>
        <w:t xml:space="preserve"> </w:t>
      </w:r>
      <w:r w:rsidR="00B6075C" w:rsidRPr="005927F3">
        <w:rPr>
          <w:rFonts w:cstheme="minorHAnsi"/>
          <w:sz w:val="24"/>
          <w:szCs w:val="24"/>
        </w:rPr>
        <w:t>constituted</w:t>
      </w:r>
      <w:r w:rsidR="009D4640" w:rsidRPr="005927F3">
        <w:rPr>
          <w:rFonts w:cstheme="minorHAnsi"/>
          <w:sz w:val="24"/>
          <w:szCs w:val="24"/>
        </w:rPr>
        <w:t xml:space="preserve"> another </w:t>
      </w:r>
      <w:r w:rsidRPr="005927F3">
        <w:rPr>
          <w:rFonts w:cstheme="minorHAnsi"/>
          <w:sz w:val="24"/>
          <w:szCs w:val="24"/>
        </w:rPr>
        <w:t xml:space="preserve">core personal </w:t>
      </w:r>
      <w:r w:rsidR="009D4640" w:rsidRPr="005927F3">
        <w:rPr>
          <w:rFonts w:cstheme="minorHAnsi"/>
          <w:sz w:val="24"/>
          <w:szCs w:val="24"/>
        </w:rPr>
        <w:t>sphere of inviolability</w:t>
      </w:r>
      <w:r w:rsidR="00B6075C" w:rsidRPr="005927F3">
        <w:rPr>
          <w:rFonts w:cstheme="minorHAnsi"/>
          <w:sz w:val="24"/>
          <w:szCs w:val="24"/>
        </w:rPr>
        <w:t>.</w:t>
      </w:r>
      <w:r w:rsidR="009444FA" w:rsidRPr="005927F3">
        <w:rPr>
          <w:rStyle w:val="FootnoteReference"/>
          <w:rFonts w:cstheme="minorHAnsi"/>
          <w:sz w:val="24"/>
          <w:szCs w:val="24"/>
        </w:rPr>
        <w:footnoteReference w:id="29"/>
      </w:r>
      <w:r w:rsidR="009D4640" w:rsidRPr="005927F3">
        <w:rPr>
          <w:rFonts w:cstheme="minorHAnsi"/>
          <w:sz w:val="24"/>
          <w:szCs w:val="24"/>
        </w:rPr>
        <w:t xml:space="preserve"> These </w:t>
      </w:r>
      <w:r w:rsidR="00D76FF4" w:rsidRPr="005927F3">
        <w:rPr>
          <w:rFonts w:cstheme="minorHAnsi"/>
          <w:sz w:val="24"/>
          <w:szCs w:val="24"/>
        </w:rPr>
        <w:t xml:space="preserve">intermeshed </w:t>
      </w:r>
      <w:r w:rsidR="009D4640" w:rsidRPr="005927F3">
        <w:rPr>
          <w:rFonts w:cstheme="minorHAnsi"/>
          <w:sz w:val="24"/>
          <w:szCs w:val="24"/>
        </w:rPr>
        <w:t xml:space="preserve">spheres of inviolability </w:t>
      </w:r>
      <w:r w:rsidRPr="005927F3">
        <w:rPr>
          <w:rFonts w:cstheme="minorHAnsi"/>
          <w:sz w:val="24"/>
          <w:szCs w:val="24"/>
        </w:rPr>
        <w:t xml:space="preserve">or </w:t>
      </w:r>
      <w:r w:rsidR="009D4640" w:rsidRPr="005927F3">
        <w:rPr>
          <w:rFonts w:cstheme="minorHAnsi"/>
          <w:sz w:val="24"/>
          <w:szCs w:val="24"/>
        </w:rPr>
        <w:t xml:space="preserve">non-interference have </w:t>
      </w:r>
      <w:r w:rsidR="00B6075C" w:rsidRPr="005927F3">
        <w:rPr>
          <w:rFonts w:cstheme="minorHAnsi"/>
          <w:sz w:val="24"/>
          <w:szCs w:val="24"/>
        </w:rPr>
        <w:t xml:space="preserve">long </w:t>
      </w:r>
      <w:r w:rsidR="009D4640" w:rsidRPr="005927F3">
        <w:rPr>
          <w:rFonts w:cstheme="minorHAnsi"/>
          <w:sz w:val="24"/>
          <w:szCs w:val="24"/>
        </w:rPr>
        <w:t xml:space="preserve">been recognised and protected through </w:t>
      </w:r>
      <w:r w:rsidR="005A31DD" w:rsidRPr="005927F3">
        <w:rPr>
          <w:rFonts w:cstheme="minorHAnsi"/>
          <w:sz w:val="24"/>
          <w:szCs w:val="24"/>
        </w:rPr>
        <w:t>civil</w:t>
      </w:r>
      <w:r w:rsidR="002B4C10" w:rsidRPr="005927F3">
        <w:rPr>
          <w:rFonts w:cstheme="minorHAnsi"/>
          <w:sz w:val="24"/>
          <w:szCs w:val="24"/>
        </w:rPr>
        <w:t xml:space="preserve"> </w:t>
      </w:r>
      <w:r w:rsidR="005A31DD" w:rsidRPr="005927F3">
        <w:rPr>
          <w:rFonts w:cstheme="minorHAnsi"/>
          <w:sz w:val="24"/>
          <w:szCs w:val="24"/>
        </w:rPr>
        <w:t xml:space="preserve">causes of actions, such as trespass to land </w:t>
      </w:r>
      <w:r w:rsidR="00390084" w:rsidRPr="005927F3">
        <w:rPr>
          <w:rFonts w:cstheme="minorHAnsi"/>
          <w:sz w:val="24"/>
          <w:szCs w:val="24"/>
        </w:rPr>
        <w:t>and</w:t>
      </w:r>
      <w:r w:rsidR="002B4C10" w:rsidRPr="005927F3">
        <w:rPr>
          <w:rFonts w:cstheme="minorHAnsi"/>
          <w:sz w:val="24"/>
          <w:szCs w:val="24"/>
        </w:rPr>
        <w:t xml:space="preserve"> trespass to the person</w:t>
      </w:r>
      <w:r w:rsidR="00B6075C" w:rsidRPr="005927F3">
        <w:rPr>
          <w:rFonts w:cstheme="minorHAnsi"/>
          <w:sz w:val="24"/>
          <w:szCs w:val="24"/>
        </w:rPr>
        <w:t xml:space="preserve">, </w:t>
      </w:r>
      <w:r w:rsidR="00E012FE" w:rsidRPr="005927F3">
        <w:rPr>
          <w:rFonts w:cstheme="minorHAnsi"/>
          <w:sz w:val="24"/>
          <w:szCs w:val="24"/>
        </w:rPr>
        <w:t>and have</w:t>
      </w:r>
      <w:r w:rsidR="00E42143" w:rsidRPr="005927F3">
        <w:rPr>
          <w:rFonts w:cstheme="minorHAnsi"/>
          <w:sz w:val="24"/>
          <w:szCs w:val="24"/>
        </w:rPr>
        <w:t xml:space="preserve"> </w:t>
      </w:r>
      <w:r w:rsidR="00E3593A" w:rsidRPr="005927F3">
        <w:rPr>
          <w:rFonts w:cstheme="minorHAnsi"/>
          <w:sz w:val="24"/>
          <w:szCs w:val="24"/>
        </w:rPr>
        <w:t xml:space="preserve">being </w:t>
      </w:r>
      <w:r w:rsidR="00E42143" w:rsidRPr="005927F3">
        <w:rPr>
          <w:rFonts w:cstheme="minorHAnsi"/>
          <w:sz w:val="24"/>
          <w:szCs w:val="24"/>
        </w:rPr>
        <w:t xml:space="preserve">actionable </w:t>
      </w:r>
      <w:r w:rsidR="00E42143" w:rsidRPr="005927F3">
        <w:rPr>
          <w:rFonts w:cstheme="minorHAnsi"/>
          <w:i/>
          <w:iCs/>
          <w:sz w:val="24"/>
          <w:szCs w:val="24"/>
        </w:rPr>
        <w:t>per se</w:t>
      </w:r>
      <w:r w:rsidR="00E3593A" w:rsidRPr="005927F3">
        <w:rPr>
          <w:rFonts w:cstheme="minorHAnsi"/>
          <w:sz w:val="24"/>
          <w:szCs w:val="24"/>
        </w:rPr>
        <w:t xml:space="preserve">, </w:t>
      </w:r>
      <w:r w:rsidR="00E012FE" w:rsidRPr="005927F3">
        <w:rPr>
          <w:rFonts w:cstheme="minorHAnsi"/>
          <w:sz w:val="24"/>
          <w:szCs w:val="24"/>
        </w:rPr>
        <w:t xml:space="preserve">as </w:t>
      </w:r>
      <w:r w:rsidR="00E3593A" w:rsidRPr="005927F3">
        <w:rPr>
          <w:rFonts w:cstheme="minorHAnsi"/>
          <w:sz w:val="24"/>
          <w:szCs w:val="24"/>
        </w:rPr>
        <w:t>the interference itself is the injury</w:t>
      </w:r>
      <w:r w:rsidR="00B6075C" w:rsidRPr="005927F3">
        <w:rPr>
          <w:rFonts w:cstheme="minorHAnsi"/>
          <w:sz w:val="24"/>
          <w:szCs w:val="24"/>
        </w:rPr>
        <w:t>.</w:t>
      </w:r>
      <w:r w:rsidR="009444FA" w:rsidRPr="005927F3">
        <w:rPr>
          <w:rFonts w:cstheme="minorHAnsi"/>
          <w:sz w:val="24"/>
          <w:szCs w:val="24"/>
        </w:rPr>
        <w:t xml:space="preserve"> </w:t>
      </w:r>
      <w:r w:rsidR="001F37CD" w:rsidRPr="005927F3">
        <w:rPr>
          <w:rFonts w:cstheme="minorHAnsi"/>
          <w:sz w:val="24"/>
          <w:szCs w:val="24"/>
        </w:rPr>
        <w:t>In addition, t</w:t>
      </w:r>
      <w:r w:rsidR="007455C3" w:rsidRPr="005927F3">
        <w:rPr>
          <w:rFonts w:cstheme="minorHAnsi"/>
          <w:sz w:val="24"/>
          <w:szCs w:val="24"/>
        </w:rPr>
        <w:t>raditional</w:t>
      </w:r>
      <w:r w:rsidR="001C1CC5" w:rsidRPr="005927F3">
        <w:rPr>
          <w:rFonts w:cstheme="minorHAnsi"/>
          <w:sz w:val="24"/>
          <w:szCs w:val="24"/>
        </w:rPr>
        <w:t xml:space="preserve"> </w:t>
      </w:r>
      <w:r w:rsidR="00B55865" w:rsidRPr="005927F3">
        <w:rPr>
          <w:rFonts w:cstheme="minorHAnsi"/>
          <w:sz w:val="24"/>
          <w:szCs w:val="24"/>
        </w:rPr>
        <w:t>common law</w:t>
      </w:r>
      <w:r w:rsidR="00151C36" w:rsidRPr="005927F3">
        <w:rPr>
          <w:rFonts w:cstheme="minorHAnsi"/>
          <w:sz w:val="24"/>
          <w:szCs w:val="24"/>
        </w:rPr>
        <w:t xml:space="preserve"> has</w:t>
      </w:r>
      <w:r w:rsidR="00390084" w:rsidRPr="005927F3">
        <w:rPr>
          <w:rFonts w:cstheme="minorHAnsi"/>
          <w:sz w:val="24"/>
          <w:szCs w:val="24"/>
        </w:rPr>
        <w:t xml:space="preserve"> also</w:t>
      </w:r>
      <w:r w:rsidR="00151C36" w:rsidRPr="005927F3">
        <w:rPr>
          <w:rFonts w:cstheme="minorHAnsi"/>
          <w:sz w:val="24"/>
          <w:szCs w:val="24"/>
        </w:rPr>
        <w:t xml:space="preserve"> long</w:t>
      </w:r>
      <w:r w:rsidR="00B55865" w:rsidRPr="005927F3">
        <w:rPr>
          <w:rFonts w:cstheme="minorHAnsi"/>
          <w:sz w:val="24"/>
          <w:szCs w:val="24"/>
        </w:rPr>
        <w:t xml:space="preserve"> </w:t>
      </w:r>
      <w:r w:rsidR="00151C36" w:rsidRPr="005927F3">
        <w:rPr>
          <w:rFonts w:cstheme="minorHAnsi"/>
          <w:sz w:val="24"/>
          <w:szCs w:val="24"/>
        </w:rPr>
        <w:t>guarded</w:t>
      </w:r>
      <w:r w:rsidR="00553724" w:rsidRPr="005927F3">
        <w:rPr>
          <w:rFonts w:cstheme="minorHAnsi"/>
          <w:sz w:val="24"/>
          <w:szCs w:val="24"/>
        </w:rPr>
        <w:t xml:space="preserve"> secrets through</w:t>
      </w:r>
      <w:r w:rsidR="007455C3" w:rsidRPr="005927F3">
        <w:rPr>
          <w:rFonts w:cstheme="minorHAnsi"/>
          <w:sz w:val="24"/>
          <w:szCs w:val="24"/>
        </w:rPr>
        <w:t xml:space="preserve"> </w:t>
      </w:r>
      <w:r w:rsidR="001C1CC5" w:rsidRPr="005927F3">
        <w:rPr>
          <w:rFonts w:cstheme="minorHAnsi"/>
          <w:sz w:val="24"/>
          <w:szCs w:val="24"/>
        </w:rPr>
        <w:t>breach of confidence</w:t>
      </w:r>
      <w:r w:rsidR="00E3593A" w:rsidRPr="005927F3">
        <w:rPr>
          <w:rFonts w:cstheme="minorHAnsi"/>
          <w:sz w:val="24"/>
          <w:szCs w:val="24"/>
        </w:rPr>
        <w:t xml:space="preserve"> action</w:t>
      </w:r>
      <w:r w:rsidR="001F37CD" w:rsidRPr="005927F3">
        <w:rPr>
          <w:rFonts w:cstheme="minorHAnsi"/>
          <w:sz w:val="24"/>
          <w:szCs w:val="24"/>
        </w:rPr>
        <w:t>s</w:t>
      </w:r>
      <w:r w:rsidR="00E3593A" w:rsidRPr="005927F3">
        <w:rPr>
          <w:rFonts w:cstheme="minorHAnsi"/>
          <w:sz w:val="24"/>
          <w:szCs w:val="24"/>
        </w:rPr>
        <w:t>,</w:t>
      </w:r>
      <w:r w:rsidR="001C1CC5" w:rsidRPr="005927F3">
        <w:rPr>
          <w:rFonts w:cstheme="minorHAnsi"/>
          <w:sz w:val="24"/>
          <w:szCs w:val="24"/>
        </w:rPr>
        <w:t xml:space="preserve"> </w:t>
      </w:r>
      <w:r w:rsidR="007455C3" w:rsidRPr="005927F3">
        <w:rPr>
          <w:rFonts w:cstheme="minorHAnsi"/>
          <w:sz w:val="24"/>
          <w:szCs w:val="24"/>
        </w:rPr>
        <w:t xml:space="preserve">but </w:t>
      </w:r>
      <w:r w:rsidR="002B3405" w:rsidRPr="005927F3">
        <w:rPr>
          <w:rFonts w:cstheme="minorHAnsi"/>
          <w:sz w:val="24"/>
          <w:szCs w:val="24"/>
        </w:rPr>
        <w:t xml:space="preserve">these need not </w:t>
      </w:r>
      <w:r w:rsidR="00E3593A" w:rsidRPr="005927F3">
        <w:rPr>
          <w:rFonts w:cstheme="minorHAnsi"/>
          <w:sz w:val="24"/>
          <w:szCs w:val="24"/>
        </w:rPr>
        <w:t>involve</w:t>
      </w:r>
      <w:r w:rsidR="007455C3" w:rsidRPr="005927F3">
        <w:rPr>
          <w:rFonts w:cstheme="minorHAnsi"/>
          <w:i/>
          <w:sz w:val="24"/>
          <w:szCs w:val="24"/>
        </w:rPr>
        <w:t xml:space="preserve"> personal</w:t>
      </w:r>
      <w:r w:rsidR="00553724" w:rsidRPr="005927F3">
        <w:rPr>
          <w:rFonts w:cstheme="minorHAnsi"/>
          <w:sz w:val="24"/>
          <w:szCs w:val="24"/>
        </w:rPr>
        <w:t xml:space="preserve"> secrets</w:t>
      </w:r>
      <w:r w:rsidR="00E6281A" w:rsidRPr="005927F3">
        <w:rPr>
          <w:rFonts w:cstheme="minorHAnsi"/>
          <w:sz w:val="24"/>
          <w:szCs w:val="24"/>
        </w:rPr>
        <w:t xml:space="preserve"> as opposed to </w:t>
      </w:r>
      <w:r w:rsidR="00553724" w:rsidRPr="005927F3">
        <w:rPr>
          <w:rFonts w:cstheme="minorHAnsi"/>
          <w:sz w:val="24"/>
          <w:szCs w:val="24"/>
        </w:rPr>
        <w:t>trade</w:t>
      </w:r>
      <w:r w:rsidR="009E3414" w:rsidRPr="005927F3">
        <w:rPr>
          <w:rFonts w:cstheme="minorHAnsi"/>
          <w:sz w:val="24"/>
          <w:szCs w:val="24"/>
        </w:rPr>
        <w:t xml:space="preserve"> secrets</w:t>
      </w:r>
      <w:r w:rsidR="00B6075C" w:rsidRPr="005927F3">
        <w:rPr>
          <w:rFonts w:cstheme="minorHAnsi"/>
          <w:sz w:val="24"/>
          <w:szCs w:val="24"/>
        </w:rPr>
        <w:t xml:space="preserve">. </w:t>
      </w:r>
      <w:r w:rsidR="0037699E" w:rsidRPr="005927F3">
        <w:rPr>
          <w:rFonts w:cstheme="minorHAnsi"/>
          <w:sz w:val="24"/>
          <w:szCs w:val="24"/>
        </w:rPr>
        <w:t>W</w:t>
      </w:r>
      <w:r w:rsidR="00E6281A" w:rsidRPr="005927F3">
        <w:rPr>
          <w:rFonts w:cstheme="minorHAnsi"/>
          <w:sz w:val="24"/>
          <w:szCs w:val="24"/>
        </w:rPr>
        <w:t>here such claims have concerned personal secrets,</w:t>
      </w:r>
      <w:r w:rsidR="00E42143" w:rsidRPr="005927F3">
        <w:rPr>
          <w:rFonts w:cstheme="minorHAnsi"/>
          <w:sz w:val="24"/>
          <w:szCs w:val="24"/>
        </w:rPr>
        <w:t xml:space="preserve"> </w:t>
      </w:r>
      <w:r w:rsidR="00E6281A" w:rsidRPr="005927F3">
        <w:rPr>
          <w:rFonts w:cstheme="minorHAnsi"/>
          <w:sz w:val="24"/>
          <w:szCs w:val="24"/>
        </w:rPr>
        <w:t>they</w:t>
      </w:r>
      <w:r w:rsidR="00553724" w:rsidRPr="005927F3">
        <w:rPr>
          <w:rFonts w:cstheme="minorHAnsi"/>
          <w:sz w:val="24"/>
          <w:szCs w:val="24"/>
        </w:rPr>
        <w:t xml:space="preserve"> again </w:t>
      </w:r>
      <w:r w:rsidR="00E012FE" w:rsidRPr="005927F3">
        <w:rPr>
          <w:rFonts w:cstheme="minorHAnsi"/>
          <w:sz w:val="24"/>
          <w:szCs w:val="24"/>
        </w:rPr>
        <w:t xml:space="preserve">have </w:t>
      </w:r>
      <w:r w:rsidR="00553724" w:rsidRPr="005927F3">
        <w:rPr>
          <w:rFonts w:cstheme="minorHAnsi"/>
          <w:sz w:val="24"/>
          <w:szCs w:val="24"/>
        </w:rPr>
        <w:t>generally concerned</w:t>
      </w:r>
      <w:r w:rsidR="009E3414" w:rsidRPr="005927F3">
        <w:rPr>
          <w:rFonts w:cstheme="minorHAnsi"/>
          <w:sz w:val="24"/>
          <w:szCs w:val="24"/>
        </w:rPr>
        <w:t xml:space="preserve"> home</w:t>
      </w:r>
      <w:r w:rsidR="00F43D3F" w:rsidRPr="005927F3">
        <w:rPr>
          <w:rFonts w:cstheme="minorHAnsi"/>
          <w:sz w:val="24"/>
          <w:szCs w:val="24"/>
        </w:rPr>
        <w:t xml:space="preserve"> or</w:t>
      </w:r>
      <w:r w:rsidR="009E3414" w:rsidRPr="005927F3">
        <w:rPr>
          <w:rFonts w:cstheme="minorHAnsi"/>
          <w:sz w:val="24"/>
          <w:szCs w:val="24"/>
        </w:rPr>
        <w:t xml:space="preserve"> body.</w:t>
      </w:r>
      <w:r w:rsidR="009E3414" w:rsidRPr="005927F3">
        <w:rPr>
          <w:rStyle w:val="FootnoteReference"/>
          <w:rFonts w:cstheme="minorHAnsi"/>
          <w:sz w:val="24"/>
          <w:szCs w:val="24"/>
        </w:rPr>
        <w:footnoteReference w:id="30"/>
      </w:r>
      <w:r w:rsidR="009E3414" w:rsidRPr="005927F3">
        <w:rPr>
          <w:rFonts w:cstheme="minorHAnsi"/>
          <w:sz w:val="24"/>
          <w:szCs w:val="24"/>
        </w:rPr>
        <w:t xml:space="preserve"> </w:t>
      </w:r>
      <w:r w:rsidR="00553724" w:rsidRPr="005927F3">
        <w:rPr>
          <w:rFonts w:cstheme="minorHAnsi"/>
          <w:sz w:val="24"/>
          <w:szCs w:val="24"/>
        </w:rPr>
        <w:t xml:space="preserve">Furthermore, </w:t>
      </w:r>
      <w:r w:rsidR="00E42143" w:rsidRPr="005927F3">
        <w:rPr>
          <w:rFonts w:cstheme="minorHAnsi"/>
          <w:sz w:val="24"/>
          <w:szCs w:val="24"/>
        </w:rPr>
        <w:t>the</w:t>
      </w:r>
      <w:r w:rsidR="00D76FF4" w:rsidRPr="005927F3">
        <w:rPr>
          <w:rFonts w:cstheme="minorHAnsi"/>
          <w:sz w:val="24"/>
          <w:szCs w:val="24"/>
        </w:rPr>
        <w:t xml:space="preserve"> </w:t>
      </w:r>
      <w:r w:rsidR="00B900A7" w:rsidRPr="005927F3">
        <w:rPr>
          <w:rFonts w:cstheme="minorHAnsi"/>
          <w:sz w:val="24"/>
          <w:szCs w:val="24"/>
        </w:rPr>
        <w:t xml:space="preserve">possibility of </w:t>
      </w:r>
      <w:r w:rsidR="002B3405" w:rsidRPr="005927F3">
        <w:rPr>
          <w:rFonts w:cstheme="minorHAnsi"/>
          <w:sz w:val="24"/>
          <w:szCs w:val="24"/>
        </w:rPr>
        <w:t xml:space="preserve">a person’s </w:t>
      </w:r>
      <w:r w:rsidR="000028AD" w:rsidRPr="005927F3">
        <w:rPr>
          <w:rFonts w:cstheme="minorHAnsi"/>
          <w:sz w:val="24"/>
          <w:szCs w:val="24"/>
        </w:rPr>
        <w:t xml:space="preserve">physical </w:t>
      </w:r>
      <w:r w:rsidR="00B900A7" w:rsidRPr="005927F3">
        <w:rPr>
          <w:rFonts w:cstheme="minorHAnsi"/>
          <w:sz w:val="24"/>
          <w:szCs w:val="24"/>
        </w:rPr>
        <w:t xml:space="preserve">seclusion from </w:t>
      </w:r>
      <w:r w:rsidR="00A32027" w:rsidRPr="005927F3">
        <w:rPr>
          <w:rFonts w:cstheme="minorHAnsi"/>
          <w:sz w:val="24"/>
          <w:szCs w:val="24"/>
        </w:rPr>
        <w:t>society</w:t>
      </w:r>
      <w:r w:rsidR="003B055D" w:rsidRPr="005927F3">
        <w:rPr>
          <w:rFonts w:cstheme="minorHAnsi"/>
          <w:sz w:val="24"/>
          <w:szCs w:val="24"/>
        </w:rPr>
        <w:t xml:space="preserve"> </w:t>
      </w:r>
      <w:r w:rsidR="00C71BB3" w:rsidRPr="005927F3">
        <w:rPr>
          <w:rFonts w:cstheme="minorHAnsi"/>
          <w:sz w:val="24"/>
          <w:szCs w:val="24"/>
        </w:rPr>
        <w:t xml:space="preserve">within the home </w:t>
      </w:r>
      <w:r w:rsidR="001C1CC5" w:rsidRPr="005927F3">
        <w:rPr>
          <w:rFonts w:cstheme="minorHAnsi"/>
          <w:sz w:val="24"/>
          <w:szCs w:val="24"/>
        </w:rPr>
        <w:t>lies at the heart of</w:t>
      </w:r>
      <w:r w:rsidR="00B6075C" w:rsidRPr="005927F3">
        <w:rPr>
          <w:rFonts w:cstheme="minorHAnsi"/>
          <w:sz w:val="24"/>
          <w:szCs w:val="24"/>
        </w:rPr>
        <w:t xml:space="preserve"> </w:t>
      </w:r>
      <w:r w:rsidR="00E6281A" w:rsidRPr="005927F3">
        <w:rPr>
          <w:rFonts w:cstheme="minorHAnsi"/>
          <w:sz w:val="24"/>
          <w:szCs w:val="24"/>
        </w:rPr>
        <w:t>various</w:t>
      </w:r>
      <w:r w:rsidR="009E3414" w:rsidRPr="005927F3">
        <w:rPr>
          <w:rFonts w:cstheme="minorHAnsi"/>
          <w:sz w:val="24"/>
          <w:szCs w:val="24"/>
        </w:rPr>
        <w:t xml:space="preserve"> </w:t>
      </w:r>
      <w:r w:rsidR="00D76FF4" w:rsidRPr="005927F3">
        <w:rPr>
          <w:rFonts w:cstheme="minorHAnsi"/>
          <w:sz w:val="24"/>
          <w:szCs w:val="24"/>
        </w:rPr>
        <w:t xml:space="preserve">theories that </w:t>
      </w:r>
      <w:r w:rsidR="00B6075C" w:rsidRPr="005927F3">
        <w:rPr>
          <w:rFonts w:cstheme="minorHAnsi"/>
          <w:sz w:val="24"/>
          <w:szCs w:val="24"/>
        </w:rPr>
        <w:t xml:space="preserve">have </w:t>
      </w:r>
      <w:r w:rsidR="009F0753" w:rsidRPr="005927F3">
        <w:rPr>
          <w:rFonts w:cstheme="minorHAnsi"/>
          <w:sz w:val="24"/>
          <w:szCs w:val="24"/>
        </w:rPr>
        <w:t>sought to explain</w:t>
      </w:r>
      <w:r w:rsidR="00D76FF4" w:rsidRPr="005927F3">
        <w:rPr>
          <w:rFonts w:cstheme="minorHAnsi"/>
          <w:sz w:val="24"/>
          <w:szCs w:val="24"/>
        </w:rPr>
        <w:t xml:space="preserve"> privacy</w:t>
      </w:r>
      <w:r w:rsidR="00E6281A" w:rsidRPr="005927F3">
        <w:rPr>
          <w:rFonts w:cstheme="minorHAnsi"/>
          <w:sz w:val="24"/>
          <w:szCs w:val="24"/>
        </w:rPr>
        <w:t>, such as those centred on</w:t>
      </w:r>
      <w:r w:rsidR="00D76FF4" w:rsidRPr="005927F3">
        <w:rPr>
          <w:rFonts w:cstheme="minorHAnsi"/>
          <w:sz w:val="24"/>
          <w:szCs w:val="24"/>
        </w:rPr>
        <w:t xml:space="preserve"> the ‘intimate sphere’</w:t>
      </w:r>
      <w:r w:rsidR="00D76FF4" w:rsidRPr="005927F3">
        <w:rPr>
          <w:rStyle w:val="FootnoteReference"/>
          <w:rFonts w:cstheme="minorHAnsi"/>
          <w:sz w:val="24"/>
          <w:szCs w:val="24"/>
        </w:rPr>
        <w:footnoteReference w:id="31"/>
      </w:r>
      <w:r w:rsidR="00D76FF4" w:rsidRPr="005927F3">
        <w:rPr>
          <w:rFonts w:cstheme="minorHAnsi"/>
          <w:sz w:val="24"/>
          <w:szCs w:val="24"/>
        </w:rPr>
        <w:t xml:space="preserve"> or the right to be left alone.</w:t>
      </w:r>
      <w:r w:rsidR="00D76FF4" w:rsidRPr="005927F3">
        <w:rPr>
          <w:rStyle w:val="FootnoteReference"/>
          <w:rFonts w:cstheme="minorHAnsi"/>
          <w:sz w:val="24"/>
          <w:szCs w:val="24"/>
        </w:rPr>
        <w:footnoteReference w:id="32"/>
      </w:r>
      <w:r w:rsidR="00D76FF4" w:rsidRPr="005927F3">
        <w:rPr>
          <w:rFonts w:cstheme="minorHAnsi"/>
          <w:sz w:val="24"/>
          <w:szCs w:val="24"/>
        </w:rPr>
        <w:t xml:space="preserve"> </w:t>
      </w:r>
      <w:r w:rsidR="00E42143" w:rsidRPr="005927F3">
        <w:rPr>
          <w:rFonts w:cstheme="minorHAnsi"/>
          <w:sz w:val="24"/>
          <w:szCs w:val="24"/>
        </w:rPr>
        <w:t xml:space="preserve">By extension, </w:t>
      </w:r>
      <w:r w:rsidR="006C07FB" w:rsidRPr="005927F3">
        <w:rPr>
          <w:rFonts w:cstheme="minorHAnsi"/>
          <w:sz w:val="24"/>
          <w:szCs w:val="24"/>
        </w:rPr>
        <w:t xml:space="preserve">privacy claims in </w:t>
      </w:r>
      <w:r w:rsidR="00BF0E80" w:rsidRPr="005927F3">
        <w:rPr>
          <w:rFonts w:cstheme="minorHAnsi"/>
          <w:sz w:val="24"/>
          <w:szCs w:val="24"/>
        </w:rPr>
        <w:t xml:space="preserve">public </w:t>
      </w:r>
      <w:r w:rsidR="00D503DB" w:rsidRPr="005927F3">
        <w:rPr>
          <w:rFonts w:cstheme="minorHAnsi"/>
          <w:sz w:val="24"/>
          <w:szCs w:val="24"/>
        </w:rPr>
        <w:t xml:space="preserve">places, </w:t>
      </w:r>
      <w:r w:rsidR="00BF0E80" w:rsidRPr="005927F3">
        <w:rPr>
          <w:rFonts w:cstheme="minorHAnsi"/>
          <w:sz w:val="24"/>
          <w:szCs w:val="24"/>
        </w:rPr>
        <w:t>s</w:t>
      </w:r>
      <w:r w:rsidR="00642D90" w:rsidRPr="005927F3">
        <w:rPr>
          <w:rFonts w:cstheme="minorHAnsi"/>
          <w:sz w:val="24"/>
          <w:szCs w:val="24"/>
        </w:rPr>
        <w:t>uch as having one’s photo taken i</w:t>
      </w:r>
      <w:r w:rsidR="00BF0E80" w:rsidRPr="005927F3">
        <w:rPr>
          <w:rFonts w:cstheme="minorHAnsi"/>
          <w:sz w:val="24"/>
          <w:szCs w:val="24"/>
        </w:rPr>
        <w:t>n a public street</w:t>
      </w:r>
      <w:r w:rsidR="00D503DB" w:rsidRPr="005927F3">
        <w:rPr>
          <w:rFonts w:cstheme="minorHAnsi"/>
          <w:sz w:val="24"/>
          <w:szCs w:val="24"/>
        </w:rPr>
        <w:t>,</w:t>
      </w:r>
      <w:r w:rsidR="00BF0E80" w:rsidRPr="005927F3">
        <w:rPr>
          <w:rFonts w:cstheme="minorHAnsi"/>
          <w:sz w:val="24"/>
          <w:szCs w:val="24"/>
        </w:rPr>
        <w:t xml:space="preserve"> </w:t>
      </w:r>
      <w:r w:rsidR="00FB2603" w:rsidRPr="005927F3">
        <w:rPr>
          <w:rFonts w:cstheme="minorHAnsi"/>
          <w:sz w:val="24"/>
          <w:szCs w:val="24"/>
        </w:rPr>
        <w:t xml:space="preserve">are </w:t>
      </w:r>
      <w:r w:rsidR="00903318" w:rsidRPr="005927F3">
        <w:rPr>
          <w:rFonts w:cstheme="minorHAnsi"/>
          <w:sz w:val="24"/>
          <w:szCs w:val="24"/>
        </w:rPr>
        <w:t xml:space="preserve">self-contradictory </w:t>
      </w:r>
      <w:r w:rsidR="00FB2603" w:rsidRPr="005927F3">
        <w:rPr>
          <w:rFonts w:cstheme="minorHAnsi"/>
          <w:sz w:val="24"/>
          <w:szCs w:val="24"/>
        </w:rPr>
        <w:t>and anomalous</w:t>
      </w:r>
      <w:r w:rsidR="00215E8A" w:rsidRPr="005927F3">
        <w:rPr>
          <w:rFonts w:cstheme="minorHAnsi"/>
          <w:sz w:val="24"/>
          <w:szCs w:val="24"/>
        </w:rPr>
        <w:t>,</w:t>
      </w:r>
      <w:r w:rsidR="009A72F6" w:rsidRPr="005927F3">
        <w:rPr>
          <w:rFonts w:cstheme="minorHAnsi"/>
          <w:sz w:val="24"/>
          <w:szCs w:val="24"/>
        </w:rPr>
        <w:t xml:space="preserve"> </w:t>
      </w:r>
      <w:r w:rsidR="00215E8A" w:rsidRPr="005927F3">
        <w:rPr>
          <w:rFonts w:cstheme="minorHAnsi"/>
          <w:sz w:val="24"/>
          <w:szCs w:val="24"/>
        </w:rPr>
        <w:t>and no</w:t>
      </w:r>
      <w:r w:rsidR="001C1CC5" w:rsidRPr="005927F3">
        <w:rPr>
          <w:rFonts w:cstheme="minorHAnsi"/>
          <w:sz w:val="24"/>
          <w:szCs w:val="24"/>
        </w:rPr>
        <w:t>t</w:t>
      </w:r>
      <w:r w:rsidR="00F43D3F" w:rsidRPr="005927F3">
        <w:rPr>
          <w:rFonts w:cstheme="minorHAnsi"/>
          <w:sz w:val="24"/>
          <w:szCs w:val="24"/>
        </w:rPr>
        <w:t xml:space="preserve"> easily accommodated within this</w:t>
      </w:r>
      <w:r w:rsidR="00E6281A" w:rsidRPr="005927F3">
        <w:rPr>
          <w:rFonts w:cstheme="minorHAnsi"/>
          <w:sz w:val="24"/>
          <w:szCs w:val="24"/>
        </w:rPr>
        <w:t xml:space="preserve"> common law</w:t>
      </w:r>
      <w:r w:rsidR="00F43D3F" w:rsidRPr="005927F3">
        <w:rPr>
          <w:rFonts w:cstheme="minorHAnsi"/>
          <w:sz w:val="24"/>
          <w:szCs w:val="24"/>
        </w:rPr>
        <w:t xml:space="preserve"> view of privacy.</w:t>
      </w:r>
      <w:r w:rsidR="004D428A" w:rsidRPr="005927F3">
        <w:rPr>
          <w:rStyle w:val="FootnoteReference"/>
          <w:rFonts w:cstheme="minorHAnsi"/>
          <w:sz w:val="24"/>
          <w:szCs w:val="24"/>
        </w:rPr>
        <w:footnoteReference w:id="33"/>
      </w:r>
      <w:r w:rsidR="00F43D3F" w:rsidRPr="005927F3">
        <w:rPr>
          <w:rFonts w:cstheme="minorHAnsi"/>
          <w:sz w:val="24"/>
          <w:szCs w:val="24"/>
        </w:rPr>
        <w:t xml:space="preserve"> </w:t>
      </w:r>
      <w:r w:rsidR="00A00E52" w:rsidRPr="005927F3">
        <w:rPr>
          <w:rFonts w:cstheme="minorHAnsi"/>
          <w:sz w:val="24"/>
          <w:szCs w:val="24"/>
        </w:rPr>
        <w:t xml:space="preserve">Comparing one’s </w:t>
      </w:r>
      <w:r w:rsidR="00A00E52" w:rsidRPr="005927F3">
        <w:rPr>
          <w:rFonts w:cstheme="minorHAnsi"/>
          <w:i/>
          <w:sz w:val="24"/>
          <w:szCs w:val="24"/>
        </w:rPr>
        <w:t xml:space="preserve">personal </w:t>
      </w:r>
      <w:r w:rsidR="003814A6" w:rsidRPr="005927F3">
        <w:rPr>
          <w:rFonts w:cstheme="minorHAnsi"/>
          <w:i/>
          <w:sz w:val="24"/>
          <w:szCs w:val="24"/>
        </w:rPr>
        <w:t>space</w:t>
      </w:r>
      <w:r w:rsidR="003814A6" w:rsidRPr="005927F3">
        <w:rPr>
          <w:rFonts w:cstheme="minorHAnsi"/>
          <w:sz w:val="24"/>
          <w:szCs w:val="24"/>
        </w:rPr>
        <w:t xml:space="preserve"> </w:t>
      </w:r>
      <w:r w:rsidR="00A00E52" w:rsidRPr="005927F3">
        <w:rPr>
          <w:rFonts w:cstheme="minorHAnsi"/>
          <w:sz w:val="24"/>
          <w:szCs w:val="24"/>
        </w:rPr>
        <w:t>with a territory of a State</w:t>
      </w:r>
      <w:r w:rsidR="00F172BE" w:rsidRPr="005927F3">
        <w:rPr>
          <w:rFonts w:cstheme="minorHAnsi"/>
          <w:sz w:val="24"/>
          <w:szCs w:val="24"/>
        </w:rPr>
        <w:t xml:space="preserve">, </w:t>
      </w:r>
      <w:r w:rsidR="0037699E" w:rsidRPr="005927F3">
        <w:rPr>
          <w:rFonts w:cstheme="minorHAnsi"/>
          <w:sz w:val="24"/>
          <w:szCs w:val="24"/>
        </w:rPr>
        <w:t xml:space="preserve"> Joel </w:t>
      </w:r>
      <w:r w:rsidR="00A00E52" w:rsidRPr="005927F3">
        <w:rPr>
          <w:rFonts w:cstheme="minorHAnsi"/>
          <w:sz w:val="24"/>
          <w:szCs w:val="24"/>
        </w:rPr>
        <w:t>Feinberg wrote in 1983</w:t>
      </w:r>
      <w:r w:rsidR="009A72F6" w:rsidRPr="005927F3">
        <w:rPr>
          <w:rFonts w:cstheme="minorHAnsi"/>
          <w:sz w:val="24"/>
          <w:szCs w:val="24"/>
        </w:rPr>
        <w:t>: ‘My personal space, however, diminishes to the vanishing point when I enter the public world. I cannot complain that my rights are violated by the hurly burly, noise, and confusion of the busy public streets; I can always retrace my steps if the tumultuous crowds are too much for me.’</w:t>
      </w:r>
      <w:r w:rsidR="009A72F6" w:rsidRPr="005927F3">
        <w:rPr>
          <w:rStyle w:val="FootnoteReference"/>
          <w:rFonts w:cstheme="minorHAnsi"/>
          <w:sz w:val="24"/>
          <w:szCs w:val="24"/>
        </w:rPr>
        <w:t xml:space="preserve"> </w:t>
      </w:r>
      <w:r w:rsidR="009A72F6" w:rsidRPr="005927F3">
        <w:rPr>
          <w:rStyle w:val="FootnoteReference"/>
          <w:rFonts w:cstheme="minorHAnsi"/>
          <w:sz w:val="24"/>
          <w:szCs w:val="24"/>
        </w:rPr>
        <w:footnoteReference w:id="34"/>
      </w:r>
      <w:r w:rsidR="005A31DD" w:rsidRPr="005927F3">
        <w:rPr>
          <w:rFonts w:cstheme="minorHAnsi"/>
          <w:sz w:val="24"/>
          <w:szCs w:val="24"/>
        </w:rPr>
        <w:t xml:space="preserve"> </w:t>
      </w:r>
      <w:r w:rsidR="009A72F6" w:rsidRPr="005927F3">
        <w:rPr>
          <w:rFonts w:cstheme="minorHAnsi"/>
          <w:sz w:val="24"/>
          <w:szCs w:val="24"/>
        </w:rPr>
        <w:t xml:space="preserve">Retreat, of course, </w:t>
      </w:r>
      <w:r w:rsidR="00A00E52" w:rsidRPr="005927F3">
        <w:rPr>
          <w:rFonts w:cstheme="minorHAnsi"/>
          <w:sz w:val="24"/>
          <w:szCs w:val="24"/>
        </w:rPr>
        <w:t>is</w:t>
      </w:r>
      <w:r w:rsidR="009A72F6" w:rsidRPr="005927F3">
        <w:rPr>
          <w:rFonts w:cstheme="minorHAnsi"/>
          <w:sz w:val="24"/>
          <w:szCs w:val="24"/>
        </w:rPr>
        <w:t xml:space="preserve"> to the home.</w:t>
      </w:r>
      <w:r w:rsidR="00105E6C" w:rsidRPr="005927F3">
        <w:rPr>
          <w:rFonts w:cstheme="minorHAnsi"/>
          <w:sz w:val="24"/>
          <w:szCs w:val="24"/>
        </w:rPr>
        <w:t xml:space="preserve"> </w:t>
      </w:r>
    </w:p>
    <w:p w14:paraId="23E698BF" w14:textId="77777777" w:rsidR="003F6FD8" w:rsidRPr="005927F3" w:rsidRDefault="003F6FD8" w:rsidP="008B308D">
      <w:pPr>
        <w:autoSpaceDE w:val="0"/>
        <w:autoSpaceDN w:val="0"/>
        <w:adjustRightInd w:val="0"/>
        <w:spacing w:after="0" w:line="240" w:lineRule="auto"/>
        <w:jc w:val="both"/>
        <w:rPr>
          <w:rFonts w:cstheme="minorHAnsi"/>
          <w:sz w:val="24"/>
          <w:szCs w:val="24"/>
        </w:rPr>
      </w:pPr>
    </w:p>
    <w:p w14:paraId="00B41DFF" w14:textId="25152BC4" w:rsidR="00811C91" w:rsidRPr="005927F3" w:rsidRDefault="0044441A" w:rsidP="008B308D">
      <w:pPr>
        <w:autoSpaceDE w:val="0"/>
        <w:autoSpaceDN w:val="0"/>
        <w:adjustRightInd w:val="0"/>
        <w:spacing w:after="0" w:line="240" w:lineRule="auto"/>
        <w:jc w:val="both"/>
        <w:rPr>
          <w:rFonts w:cstheme="minorHAnsi"/>
          <w:sz w:val="24"/>
          <w:szCs w:val="24"/>
        </w:rPr>
      </w:pPr>
      <w:r w:rsidRPr="005927F3">
        <w:rPr>
          <w:rFonts w:cstheme="minorHAnsi"/>
          <w:sz w:val="24"/>
          <w:szCs w:val="24"/>
        </w:rPr>
        <w:t xml:space="preserve">Whilst </w:t>
      </w:r>
      <w:r w:rsidR="00796474" w:rsidRPr="005927F3">
        <w:rPr>
          <w:rFonts w:cstheme="minorHAnsi"/>
          <w:sz w:val="24"/>
          <w:szCs w:val="24"/>
        </w:rPr>
        <w:t>pursuant</w:t>
      </w:r>
      <w:r w:rsidR="00D74F7F" w:rsidRPr="005927F3">
        <w:rPr>
          <w:rFonts w:cstheme="minorHAnsi"/>
          <w:sz w:val="24"/>
          <w:szCs w:val="24"/>
        </w:rPr>
        <w:t xml:space="preserve"> </w:t>
      </w:r>
      <w:r w:rsidR="006E2B90" w:rsidRPr="005927F3">
        <w:rPr>
          <w:rFonts w:cstheme="minorHAnsi"/>
          <w:sz w:val="24"/>
          <w:szCs w:val="24"/>
        </w:rPr>
        <w:t xml:space="preserve">to </w:t>
      </w:r>
      <w:proofErr w:type="spellStart"/>
      <w:r w:rsidR="00D74F7F" w:rsidRPr="005927F3">
        <w:rPr>
          <w:rFonts w:cstheme="minorHAnsi"/>
          <w:i/>
          <w:sz w:val="24"/>
          <w:szCs w:val="24"/>
        </w:rPr>
        <w:t>Semayne’s</w:t>
      </w:r>
      <w:proofErr w:type="spellEnd"/>
      <w:r w:rsidR="00D74F7F" w:rsidRPr="005927F3">
        <w:rPr>
          <w:rFonts w:cstheme="minorHAnsi"/>
          <w:i/>
          <w:sz w:val="24"/>
          <w:szCs w:val="24"/>
        </w:rPr>
        <w:t xml:space="preserve"> Case</w:t>
      </w:r>
      <w:r w:rsidRPr="005927F3">
        <w:rPr>
          <w:rFonts w:cstheme="minorHAnsi"/>
          <w:sz w:val="24"/>
          <w:szCs w:val="24"/>
        </w:rPr>
        <w:t xml:space="preserve"> ‘the liberty or privilege of a house doth not hold against the King</w:t>
      </w:r>
      <w:r w:rsidR="00E22F72" w:rsidRPr="005927F3">
        <w:rPr>
          <w:rFonts w:cstheme="minorHAnsi"/>
          <w:sz w:val="24"/>
          <w:szCs w:val="24"/>
        </w:rPr>
        <w:t>,</w:t>
      </w:r>
      <w:r w:rsidRPr="005927F3">
        <w:rPr>
          <w:rFonts w:cstheme="minorHAnsi"/>
          <w:sz w:val="24"/>
          <w:szCs w:val="24"/>
        </w:rPr>
        <w:t>’</w:t>
      </w:r>
      <w:r w:rsidRPr="005927F3">
        <w:rPr>
          <w:rStyle w:val="FootnoteReference"/>
          <w:rFonts w:cstheme="minorHAnsi"/>
          <w:sz w:val="24"/>
          <w:szCs w:val="24"/>
        </w:rPr>
        <w:footnoteReference w:id="35"/>
      </w:r>
      <w:r w:rsidR="00796474" w:rsidRPr="005927F3">
        <w:rPr>
          <w:rFonts w:cstheme="minorHAnsi"/>
          <w:sz w:val="24"/>
          <w:szCs w:val="24"/>
        </w:rPr>
        <w:t xml:space="preserve"> William Pitt, Earl of Chatham</w:t>
      </w:r>
      <w:r w:rsidR="006E2B90" w:rsidRPr="005927F3">
        <w:rPr>
          <w:rFonts w:cstheme="minorHAnsi"/>
          <w:sz w:val="24"/>
          <w:szCs w:val="24"/>
        </w:rPr>
        <w:t>, famously expressed the</w:t>
      </w:r>
      <w:r w:rsidR="00796474" w:rsidRPr="005927F3">
        <w:rPr>
          <w:rFonts w:cstheme="minorHAnsi"/>
          <w:sz w:val="24"/>
          <w:szCs w:val="24"/>
        </w:rPr>
        <w:t xml:space="preserve"> maxim in a parliamentary speech in 1763</w:t>
      </w:r>
      <w:r w:rsidR="0037699E" w:rsidRPr="005927F3">
        <w:rPr>
          <w:rFonts w:cstheme="minorHAnsi"/>
          <w:sz w:val="24"/>
          <w:szCs w:val="24"/>
        </w:rPr>
        <w:t xml:space="preserve"> with a </w:t>
      </w:r>
      <w:r w:rsidR="007E5306" w:rsidRPr="005927F3">
        <w:rPr>
          <w:rFonts w:cstheme="minorHAnsi"/>
          <w:sz w:val="24"/>
          <w:szCs w:val="24"/>
        </w:rPr>
        <w:t xml:space="preserve">different </w:t>
      </w:r>
      <w:r w:rsidR="0037699E" w:rsidRPr="005927F3">
        <w:rPr>
          <w:rFonts w:cstheme="minorHAnsi"/>
          <w:sz w:val="24"/>
          <w:szCs w:val="24"/>
        </w:rPr>
        <w:t>take</w:t>
      </w:r>
      <w:r w:rsidR="00796474" w:rsidRPr="005927F3">
        <w:rPr>
          <w:rFonts w:cstheme="minorHAnsi"/>
          <w:sz w:val="24"/>
          <w:szCs w:val="24"/>
        </w:rPr>
        <w:t xml:space="preserve">: ‘The poorest man may in his cottage bid defiance to all the forces of the Crown. It may be frail – its roof may shake – the wind may blow through it – the storm may enter – the rain may enter – but the King of England cannot enter – all his force dares </w:t>
      </w:r>
      <w:proofErr w:type="gramStart"/>
      <w:r w:rsidR="00796474" w:rsidRPr="005927F3">
        <w:rPr>
          <w:rFonts w:cstheme="minorHAnsi"/>
          <w:sz w:val="24"/>
          <w:szCs w:val="24"/>
        </w:rPr>
        <w:t>not</w:t>
      </w:r>
      <w:r w:rsidR="00F90CDE" w:rsidRPr="005927F3">
        <w:rPr>
          <w:rFonts w:cstheme="minorHAnsi"/>
          <w:sz w:val="24"/>
          <w:szCs w:val="24"/>
        </w:rPr>
        <w:t xml:space="preserve"> </w:t>
      </w:r>
      <w:r w:rsidR="00796474" w:rsidRPr="005927F3">
        <w:rPr>
          <w:rFonts w:cstheme="minorHAnsi"/>
          <w:sz w:val="24"/>
          <w:szCs w:val="24"/>
        </w:rPr>
        <w:t>cross</w:t>
      </w:r>
      <w:proofErr w:type="gramEnd"/>
      <w:r w:rsidR="00796474" w:rsidRPr="005927F3">
        <w:rPr>
          <w:rFonts w:cstheme="minorHAnsi"/>
          <w:sz w:val="24"/>
          <w:szCs w:val="24"/>
        </w:rPr>
        <w:t xml:space="preserve"> the threshold of the ruined tenement.’</w:t>
      </w:r>
      <w:r w:rsidR="00796474" w:rsidRPr="005927F3">
        <w:rPr>
          <w:rStyle w:val="FootnoteReference"/>
          <w:rFonts w:cstheme="minorHAnsi"/>
          <w:sz w:val="24"/>
          <w:szCs w:val="24"/>
        </w:rPr>
        <w:footnoteReference w:id="36"/>
      </w:r>
      <w:r w:rsidR="00796474" w:rsidRPr="005927F3">
        <w:rPr>
          <w:rFonts w:cstheme="minorHAnsi"/>
          <w:sz w:val="24"/>
          <w:szCs w:val="24"/>
        </w:rPr>
        <w:t xml:space="preserve"> </w:t>
      </w:r>
    </w:p>
    <w:p w14:paraId="377E75EC" w14:textId="77777777" w:rsidR="00811C91" w:rsidRPr="005927F3" w:rsidRDefault="00811C91" w:rsidP="008B308D">
      <w:pPr>
        <w:autoSpaceDE w:val="0"/>
        <w:autoSpaceDN w:val="0"/>
        <w:adjustRightInd w:val="0"/>
        <w:spacing w:after="0" w:line="240" w:lineRule="auto"/>
        <w:jc w:val="both"/>
        <w:rPr>
          <w:rFonts w:cstheme="minorHAnsi"/>
          <w:sz w:val="24"/>
          <w:szCs w:val="24"/>
        </w:rPr>
      </w:pPr>
    </w:p>
    <w:p w14:paraId="607EAD54" w14:textId="34D59C65" w:rsidR="00955A37" w:rsidRPr="005927F3" w:rsidRDefault="00796474" w:rsidP="008B308D">
      <w:pPr>
        <w:autoSpaceDE w:val="0"/>
        <w:autoSpaceDN w:val="0"/>
        <w:adjustRightInd w:val="0"/>
        <w:spacing w:after="0" w:line="240" w:lineRule="auto"/>
        <w:jc w:val="both"/>
        <w:rPr>
          <w:rFonts w:cstheme="minorHAnsi"/>
          <w:sz w:val="24"/>
          <w:szCs w:val="24"/>
        </w:rPr>
      </w:pPr>
      <w:r w:rsidRPr="005927F3">
        <w:rPr>
          <w:rFonts w:cstheme="minorHAnsi"/>
          <w:sz w:val="24"/>
          <w:szCs w:val="24"/>
        </w:rPr>
        <w:t xml:space="preserve">This variation, according to which </w:t>
      </w:r>
      <w:r w:rsidR="00215E8A" w:rsidRPr="005927F3">
        <w:rPr>
          <w:rFonts w:cstheme="minorHAnsi"/>
          <w:sz w:val="24"/>
          <w:szCs w:val="24"/>
        </w:rPr>
        <w:t>t</w:t>
      </w:r>
      <w:r w:rsidR="006578B8" w:rsidRPr="005927F3">
        <w:rPr>
          <w:rFonts w:cstheme="minorHAnsi"/>
          <w:sz w:val="24"/>
          <w:szCs w:val="24"/>
        </w:rPr>
        <w:t>he</w:t>
      </w:r>
      <w:r w:rsidR="00903318" w:rsidRPr="005927F3">
        <w:rPr>
          <w:rFonts w:cstheme="minorHAnsi"/>
          <w:sz w:val="24"/>
          <w:szCs w:val="24"/>
        </w:rPr>
        <w:t xml:space="preserve"> </w:t>
      </w:r>
      <w:r w:rsidR="006578B8" w:rsidRPr="005927F3">
        <w:rPr>
          <w:rFonts w:cstheme="minorHAnsi"/>
          <w:sz w:val="24"/>
          <w:szCs w:val="24"/>
        </w:rPr>
        <w:t>main</w:t>
      </w:r>
      <w:r w:rsidR="00215E8A" w:rsidRPr="005927F3">
        <w:rPr>
          <w:rFonts w:cstheme="minorHAnsi"/>
          <w:sz w:val="24"/>
          <w:szCs w:val="24"/>
        </w:rPr>
        <w:t xml:space="preserve"> threat</w:t>
      </w:r>
      <w:r w:rsidR="00D503DB" w:rsidRPr="005927F3">
        <w:rPr>
          <w:rFonts w:cstheme="minorHAnsi"/>
          <w:sz w:val="24"/>
          <w:szCs w:val="24"/>
        </w:rPr>
        <w:t xml:space="preserve"> </w:t>
      </w:r>
      <w:r w:rsidR="00E6281A" w:rsidRPr="005927F3">
        <w:rPr>
          <w:rFonts w:cstheme="minorHAnsi"/>
          <w:sz w:val="24"/>
          <w:szCs w:val="24"/>
        </w:rPr>
        <w:t xml:space="preserve">to </w:t>
      </w:r>
      <w:r w:rsidR="00A46F0C" w:rsidRPr="005927F3">
        <w:rPr>
          <w:rFonts w:cstheme="minorHAnsi"/>
          <w:sz w:val="24"/>
          <w:szCs w:val="24"/>
        </w:rPr>
        <w:t>one’s home comes</w:t>
      </w:r>
      <w:r w:rsidR="006C6FF8" w:rsidRPr="005927F3">
        <w:rPr>
          <w:rFonts w:cstheme="minorHAnsi"/>
          <w:sz w:val="24"/>
          <w:szCs w:val="24"/>
        </w:rPr>
        <w:t xml:space="preserve"> from the State</w:t>
      </w:r>
      <w:r w:rsidR="00B570A7" w:rsidRPr="005927F3">
        <w:rPr>
          <w:rFonts w:cstheme="minorHAnsi"/>
          <w:sz w:val="24"/>
          <w:szCs w:val="24"/>
        </w:rPr>
        <w:t xml:space="preserve"> </w:t>
      </w:r>
      <w:r w:rsidR="00903318" w:rsidRPr="005927F3">
        <w:rPr>
          <w:rFonts w:cstheme="minorHAnsi"/>
          <w:sz w:val="24"/>
          <w:szCs w:val="24"/>
        </w:rPr>
        <w:t xml:space="preserve">whose </w:t>
      </w:r>
      <w:r w:rsidR="000929BE" w:rsidRPr="005927F3">
        <w:rPr>
          <w:rFonts w:cstheme="minorHAnsi"/>
          <w:sz w:val="24"/>
          <w:szCs w:val="24"/>
        </w:rPr>
        <w:t xml:space="preserve">legitimate </w:t>
      </w:r>
      <w:r w:rsidRPr="005927F3">
        <w:rPr>
          <w:rFonts w:cstheme="minorHAnsi"/>
          <w:sz w:val="24"/>
          <w:szCs w:val="24"/>
        </w:rPr>
        <w:t>interventions</w:t>
      </w:r>
      <w:r w:rsidR="006E2B90" w:rsidRPr="005927F3">
        <w:rPr>
          <w:rFonts w:cstheme="minorHAnsi"/>
          <w:sz w:val="24"/>
          <w:szCs w:val="24"/>
        </w:rPr>
        <w:t xml:space="preserve"> are</w:t>
      </w:r>
      <w:r w:rsidRPr="005927F3">
        <w:rPr>
          <w:rFonts w:cstheme="minorHAnsi"/>
          <w:sz w:val="24"/>
          <w:szCs w:val="24"/>
        </w:rPr>
        <w:t xml:space="preserve"> presumptively restricted to the realm</w:t>
      </w:r>
      <w:r w:rsidR="00AD78CC" w:rsidRPr="005927F3">
        <w:rPr>
          <w:rFonts w:cstheme="minorHAnsi"/>
          <w:sz w:val="24"/>
          <w:szCs w:val="24"/>
        </w:rPr>
        <w:t xml:space="preserve"> outside the home</w:t>
      </w:r>
      <w:r w:rsidRPr="005927F3">
        <w:rPr>
          <w:rFonts w:cstheme="minorHAnsi"/>
          <w:sz w:val="24"/>
          <w:szCs w:val="24"/>
        </w:rPr>
        <w:t>, has found</w:t>
      </w:r>
      <w:r w:rsidR="00390084" w:rsidRPr="005927F3">
        <w:rPr>
          <w:rFonts w:cstheme="minorHAnsi"/>
          <w:sz w:val="24"/>
          <w:szCs w:val="24"/>
        </w:rPr>
        <w:t xml:space="preserve"> strong</w:t>
      </w:r>
      <w:r w:rsidRPr="005927F3">
        <w:rPr>
          <w:rFonts w:cstheme="minorHAnsi"/>
          <w:sz w:val="24"/>
          <w:szCs w:val="24"/>
        </w:rPr>
        <w:t xml:space="preserve"> resonance in America.</w:t>
      </w:r>
      <w:r w:rsidR="00B23D5A" w:rsidRPr="005927F3">
        <w:rPr>
          <w:rStyle w:val="FootnoteReference"/>
          <w:rFonts w:cstheme="minorHAnsi"/>
          <w:sz w:val="24"/>
          <w:szCs w:val="24"/>
        </w:rPr>
        <w:footnoteReference w:id="37"/>
      </w:r>
      <w:r w:rsidR="00143D33" w:rsidRPr="005927F3">
        <w:rPr>
          <w:rFonts w:cstheme="minorHAnsi"/>
          <w:sz w:val="24"/>
          <w:szCs w:val="24"/>
        </w:rPr>
        <w:t xml:space="preserve"> </w:t>
      </w:r>
      <w:r w:rsidR="00A46F0C" w:rsidRPr="005927F3">
        <w:rPr>
          <w:rFonts w:cstheme="minorHAnsi"/>
          <w:sz w:val="24"/>
          <w:szCs w:val="24"/>
        </w:rPr>
        <w:t xml:space="preserve">Although privacy </w:t>
      </w:r>
      <w:r w:rsidR="006E2B90" w:rsidRPr="005927F3">
        <w:rPr>
          <w:rFonts w:cstheme="minorHAnsi"/>
          <w:sz w:val="24"/>
          <w:szCs w:val="24"/>
        </w:rPr>
        <w:t xml:space="preserve">as such </w:t>
      </w:r>
      <w:r w:rsidR="00A46F0C" w:rsidRPr="005927F3">
        <w:rPr>
          <w:rFonts w:cstheme="minorHAnsi"/>
          <w:sz w:val="24"/>
          <w:szCs w:val="24"/>
        </w:rPr>
        <w:t>is</w:t>
      </w:r>
      <w:r w:rsidR="007E5306" w:rsidRPr="005927F3">
        <w:rPr>
          <w:rFonts w:cstheme="minorHAnsi"/>
          <w:sz w:val="24"/>
          <w:szCs w:val="24"/>
        </w:rPr>
        <w:t xml:space="preserve"> not </w:t>
      </w:r>
      <w:r w:rsidR="009511F8">
        <w:rPr>
          <w:rFonts w:cstheme="minorHAnsi"/>
          <w:sz w:val="24"/>
          <w:szCs w:val="24"/>
        </w:rPr>
        <w:t xml:space="preserve">explicitly </w:t>
      </w:r>
      <w:r w:rsidR="0098684A" w:rsidRPr="005927F3">
        <w:rPr>
          <w:rFonts w:cstheme="minorHAnsi"/>
          <w:sz w:val="24"/>
          <w:szCs w:val="24"/>
        </w:rPr>
        <w:t>recognised in the</w:t>
      </w:r>
      <w:r w:rsidR="006A35E6" w:rsidRPr="005927F3">
        <w:rPr>
          <w:rFonts w:cstheme="minorHAnsi"/>
          <w:sz w:val="24"/>
          <w:szCs w:val="24"/>
        </w:rPr>
        <w:t xml:space="preserve"> American Bill of R</w:t>
      </w:r>
      <w:r w:rsidR="0098684A" w:rsidRPr="005927F3">
        <w:rPr>
          <w:rFonts w:cstheme="minorHAnsi"/>
          <w:sz w:val="24"/>
          <w:szCs w:val="24"/>
        </w:rPr>
        <w:t>ights</w:t>
      </w:r>
      <w:r w:rsidR="0062684F" w:rsidRPr="005927F3">
        <w:rPr>
          <w:rFonts w:cstheme="minorHAnsi"/>
          <w:sz w:val="24"/>
          <w:szCs w:val="24"/>
        </w:rPr>
        <w:t>,</w:t>
      </w:r>
      <w:r w:rsidR="0098684A" w:rsidRPr="005927F3">
        <w:rPr>
          <w:rFonts w:cstheme="minorHAnsi"/>
          <w:sz w:val="24"/>
          <w:szCs w:val="24"/>
        </w:rPr>
        <w:t xml:space="preserve"> </w:t>
      </w:r>
      <w:r w:rsidR="00A46F0C" w:rsidRPr="005927F3">
        <w:rPr>
          <w:rFonts w:cstheme="minorHAnsi"/>
          <w:sz w:val="24"/>
          <w:szCs w:val="24"/>
        </w:rPr>
        <w:t xml:space="preserve">it </w:t>
      </w:r>
      <w:r w:rsidR="0098684A" w:rsidRPr="005927F3">
        <w:rPr>
          <w:rFonts w:cstheme="minorHAnsi"/>
          <w:sz w:val="24"/>
          <w:szCs w:val="24"/>
        </w:rPr>
        <w:t xml:space="preserve">emerged from an array of </w:t>
      </w:r>
      <w:r w:rsidR="00BC0D44" w:rsidRPr="005927F3">
        <w:rPr>
          <w:rFonts w:cstheme="minorHAnsi"/>
          <w:sz w:val="24"/>
          <w:szCs w:val="24"/>
        </w:rPr>
        <w:t>constitutional guarantees</w:t>
      </w:r>
      <w:r w:rsidR="00A46F0C" w:rsidRPr="005927F3">
        <w:rPr>
          <w:rFonts w:cstheme="minorHAnsi"/>
          <w:sz w:val="24"/>
          <w:szCs w:val="24"/>
        </w:rPr>
        <w:t xml:space="preserve">, </w:t>
      </w:r>
      <w:r w:rsidR="004D7911" w:rsidRPr="005927F3">
        <w:rPr>
          <w:rFonts w:cstheme="minorHAnsi"/>
          <w:sz w:val="24"/>
          <w:szCs w:val="24"/>
        </w:rPr>
        <w:t xml:space="preserve">all </w:t>
      </w:r>
      <w:r w:rsidR="00C01A1F" w:rsidRPr="005927F3">
        <w:rPr>
          <w:rFonts w:cstheme="minorHAnsi"/>
          <w:sz w:val="24"/>
          <w:szCs w:val="24"/>
        </w:rPr>
        <w:t>directed against State exercises of power</w:t>
      </w:r>
      <w:r w:rsidR="00BC0D44" w:rsidRPr="005927F3">
        <w:rPr>
          <w:rFonts w:cstheme="minorHAnsi"/>
          <w:sz w:val="24"/>
          <w:szCs w:val="24"/>
        </w:rPr>
        <w:t>,</w:t>
      </w:r>
      <w:r w:rsidR="00137C05" w:rsidRPr="005927F3">
        <w:rPr>
          <w:rFonts w:cstheme="minorHAnsi"/>
          <w:sz w:val="24"/>
          <w:szCs w:val="24"/>
        </w:rPr>
        <w:t xml:space="preserve"> but</w:t>
      </w:r>
      <w:r w:rsidR="00BC0D44" w:rsidRPr="005927F3">
        <w:rPr>
          <w:rFonts w:cstheme="minorHAnsi"/>
          <w:sz w:val="24"/>
          <w:szCs w:val="24"/>
        </w:rPr>
        <w:t xml:space="preserve"> </w:t>
      </w:r>
      <w:r w:rsidR="00BA7AC2" w:rsidRPr="005927F3">
        <w:rPr>
          <w:rFonts w:cstheme="minorHAnsi"/>
          <w:sz w:val="24"/>
          <w:szCs w:val="24"/>
        </w:rPr>
        <w:t>most importantly,</w:t>
      </w:r>
      <w:r w:rsidR="00BA2943" w:rsidRPr="005927F3">
        <w:rPr>
          <w:rFonts w:cstheme="minorHAnsi"/>
          <w:sz w:val="24"/>
          <w:szCs w:val="24"/>
        </w:rPr>
        <w:t xml:space="preserve"> the</w:t>
      </w:r>
      <w:r w:rsidR="00BC0D44" w:rsidRPr="005927F3">
        <w:rPr>
          <w:rFonts w:cstheme="minorHAnsi"/>
          <w:sz w:val="24"/>
          <w:szCs w:val="24"/>
        </w:rPr>
        <w:t xml:space="preserve"> </w:t>
      </w:r>
      <w:r w:rsidR="00FA554E" w:rsidRPr="005927F3">
        <w:rPr>
          <w:rFonts w:cstheme="minorHAnsi"/>
          <w:sz w:val="24"/>
          <w:szCs w:val="24"/>
        </w:rPr>
        <w:t>freedom from unlawful</w:t>
      </w:r>
      <w:r w:rsidR="0098684A" w:rsidRPr="005927F3">
        <w:rPr>
          <w:rFonts w:cstheme="minorHAnsi"/>
          <w:sz w:val="24"/>
          <w:szCs w:val="24"/>
        </w:rPr>
        <w:t xml:space="preserve"> search</w:t>
      </w:r>
      <w:r w:rsidR="00FA554E" w:rsidRPr="005927F3">
        <w:rPr>
          <w:rFonts w:cstheme="minorHAnsi"/>
          <w:sz w:val="24"/>
          <w:szCs w:val="24"/>
        </w:rPr>
        <w:t>es</w:t>
      </w:r>
      <w:r w:rsidR="0098684A" w:rsidRPr="005927F3">
        <w:rPr>
          <w:rFonts w:cstheme="minorHAnsi"/>
          <w:sz w:val="24"/>
          <w:szCs w:val="24"/>
        </w:rPr>
        <w:t xml:space="preserve"> and seizure</w:t>
      </w:r>
      <w:r w:rsidR="00FA554E" w:rsidRPr="005927F3">
        <w:rPr>
          <w:rFonts w:cstheme="minorHAnsi"/>
          <w:sz w:val="24"/>
          <w:szCs w:val="24"/>
        </w:rPr>
        <w:t>s</w:t>
      </w:r>
      <w:r w:rsidR="00137C05" w:rsidRPr="005927F3">
        <w:rPr>
          <w:rFonts w:cstheme="minorHAnsi"/>
          <w:sz w:val="24"/>
          <w:szCs w:val="24"/>
        </w:rPr>
        <w:t xml:space="preserve"> in the Fourth Amendment</w:t>
      </w:r>
      <w:r w:rsidR="004D685C" w:rsidRPr="005927F3">
        <w:rPr>
          <w:rFonts w:cstheme="minorHAnsi"/>
          <w:sz w:val="24"/>
          <w:szCs w:val="24"/>
        </w:rPr>
        <w:t>: ‘</w:t>
      </w:r>
      <w:r w:rsidR="004D685C" w:rsidRPr="005927F3">
        <w:rPr>
          <w:rStyle w:val="hgkelc"/>
          <w:sz w:val="24"/>
          <w:szCs w:val="24"/>
          <w:lang w:val="en"/>
        </w:rPr>
        <w:t>The right of the people to be secure in their persons, houses, papers, and effects, against unreasonable searches and seizures, shall not be violated…’</w:t>
      </w:r>
      <w:r w:rsidR="004D685C" w:rsidRPr="005927F3">
        <w:rPr>
          <w:rFonts w:cstheme="minorHAnsi"/>
          <w:sz w:val="24"/>
          <w:szCs w:val="24"/>
        </w:rPr>
        <w:t xml:space="preserve"> </w:t>
      </w:r>
      <w:r w:rsidR="00F96DA5" w:rsidRPr="005927F3">
        <w:rPr>
          <w:rFonts w:cstheme="minorHAnsi"/>
          <w:sz w:val="24"/>
          <w:szCs w:val="24"/>
        </w:rPr>
        <w:t>Whitman</w:t>
      </w:r>
      <w:r w:rsidR="00BA2943" w:rsidRPr="005927F3">
        <w:rPr>
          <w:rFonts w:cstheme="minorHAnsi"/>
          <w:sz w:val="24"/>
          <w:szCs w:val="24"/>
        </w:rPr>
        <w:t xml:space="preserve"> </w:t>
      </w:r>
      <w:r w:rsidR="0018108E" w:rsidRPr="005927F3">
        <w:rPr>
          <w:rFonts w:cstheme="minorHAnsi"/>
          <w:sz w:val="24"/>
          <w:szCs w:val="24"/>
        </w:rPr>
        <w:t>argued</w:t>
      </w:r>
      <w:r w:rsidR="00F96DA5" w:rsidRPr="005927F3">
        <w:rPr>
          <w:rFonts w:cstheme="minorHAnsi"/>
          <w:sz w:val="24"/>
          <w:szCs w:val="24"/>
        </w:rPr>
        <w:t xml:space="preserve"> that</w:t>
      </w:r>
      <w:r w:rsidR="0098684A" w:rsidRPr="005927F3">
        <w:rPr>
          <w:rFonts w:cstheme="minorHAnsi"/>
          <w:sz w:val="24"/>
          <w:szCs w:val="24"/>
        </w:rPr>
        <w:t xml:space="preserve"> </w:t>
      </w:r>
      <w:r w:rsidR="00F96DA5" w:rsidRPr="005927F3">
        <w:rPr>
          <w:rFonts w:cstheme="minorHAnsi"/>
          <w:sz w:val="24"/>
          <w:szCs w:val="24"/>
        </w:rPr>
        <w:t xml:space="preserve">‘in forbidding the government to seize the documents of a merchant in a customs case, the Supreme Court [in </w:t>
      </w:r>
      <w:r w:rsidR="00F96DA5" w:rsidRPr="005927F3">
        <w:rPr>
          <w:rFonts w:cstheme="minorHAnsi"/>
          <w:i/>
          <w:sz w:val="24"/>
          <w:szCs w:val="24"/>
        </w:rPr>
        <w:t>Boyd v US</w:t>
      </w:r>
      <w:r w:rsidR="00F96DA5" w:rsidRPr="005927F3">
        <w:rPr>
          <w:rFonts w:cstheme="minorHAnsi"/>
          <w:sz w:val="24"/>
          <w:szCs w:val="24"/>
        </w:rPr>
        <w:t xml:space="preserve"> (1886)</w:t>
      </w:r>
      <w:r w:rsidR="00F96DA5" w:rsidRPr="005927F3">
        <w:rPr>
          <w:rStyle w:val="FootnoteReference"/>
          <w:rFonts w:cstheme="minorHAnsi"/>
          <w:sz w:val="24"/>
          <w:szCs w:val="24"/>
        </w:rPr>
        <w:footnoteReference w:id="38"/>
      </w:r>
      <w:r w:rsidR="00F96DA5" w:rsidRPr="005927F3">
        <w:rPr>
          <w:rFonts w:cstheme="minorHAnsi"/>
          <w:sz w:val="24"/>
          <w:szCs w:val="24"/>
        </w:rPr>
        <w:t>]… issued an aggressive declaration of the “sanctity” of an American home</w:t>
      </w:r>
      <w:r w:rsidR="00B146C6" w:rsidRPr="005927F3">
        <w:rPr>
          <w:rFonts w:cstheme="minorHAnsi"/>
          <w:sz w:val="24"/>
          <w:szCs w:val="24"/>
        </w:rPr>
        <w:t>.</w:t>
      </w:r>
      <w:r w:rsidR="00F96DA5" w:rsidRPr="005927F3">
        <w:rPr>
          <w:rFonts w:cstheme="minorHAnsi"/>
          <w:sz w:val="24"/>
          <w:szCs w:val="24"/>
        </w:rPr>
        <w:t>’</w:t>
      </w:r>
      <w:r w:rsidR="0002018E" w:rsidRPr="005927F3">
        <w:rPr>
          <w:rStyle w:val="FootnoteReference"/>
          <w:rFonts w:cstheme="minorHAnsi"/>
          <w:sz w:val="24"/>
          <w:szCs w:val="24"/>
        </w:rPr>
        <w:footnoteReference w:id="39"/>
      </w:r>
      <w:r w:rsidR="00B146C6" w:rsidRPr="005927F3">
        <w:rPr>
          <w:rFonts w:cstheme="minorHAnsi"/>
          <w:sz w:val="24"/>
          <w:szCs w:val="24"/>
        </w:rPr>
        <w:t xml:space="preserve"> H</w:t>
      </w:r>
      <w:r w:rsidR="00D41A18" w:rsidRPr="005927F3">
        <w:rPr>
          <w:rFonts w:cstheme="minorHAnsi"/>
          <w:sz w:val="24"/>
          <w:szCs w:val="24"/>
        </w:rPr>
        <w:t>e</w:t>
      </w:r>
      <w:r w:rsidR="00BA2943" w:rsidRPr="005927F3">
        <w:rPr>
          <w:rFonts w:cstheme="minorHAnsi"/>
          <w:sz w:val="24"/>
          <w:szCs w:val="24"/>
        </w:rPr>
        <w:t xml:space="preserve"> continue</w:t>
      </w:r>
      <w:r w:rsidR="00390084" w:rsidRPr="005927F3">
        <w:rPr>
          <w:rFonts w:cstheme="minorHAnsi"/>
          <w:sz w:val="24"/>
          <w:szCs w:val="24"/>
        </w:rPr>
        <w:t>s</w:t>
      </w:r>
      <w:r w:rsidR="00BA2943" w:rsidRPr="005927F3">
        <w:rPr>
          <w:rFonts w:cstheme="minorHAnsi"/>
          <w:sz w:val="24"/>
          <w:szCs w:val="24"/>
        </w:rPr>
        <w:t xml:space="preserve"> that</w:t>
      </w:r>
      <w:r w:rsidR="00F96DA5" w:rsidRPr="005927F3">
        <w:rPr>
          <w:rFonts w:cstheme="minorHAnsi"/>
          <w:sz w:val="24"/>
          <w:szCs w:val="24"/>
        </w:rPr>
        <w:t xml:space="preserve"> ‘the standard history of modern American privacy rights should really begin, not wit</w:t>
      </w:r>
      <w:r w:rsidR="009041AA" w:rsidRPr="005927F3">
        <w:rPr>
          <w:rFonts w:cstheme="minorHAnsi"/>
          <w:sz w:val="24"/>
          <w:szCs w:val="24"/>
        </w:rPr>
        <w:t>h Warren and Brandeis’s distant</w:t>
      </w:r>
      <w:r w:rsidR="00F96DA5" w:rsidRPr="005927F3">
        <w:rPr>
          <w:rFonts w:cstheme="minorHAnsi"/>
          <w:sz w:val="24"/>
          <w:szCs w:val="24"/>
        </w:rPr>
        <w:t xml:space="preserve"> and dim echo of </w:t>
      </w:r>
      <w:r w:rsidR="00642D58" w:rsidRPr="005927F3">
        <w:rPr>
          <w:rFonts w:cstheme="minorHAnsi"/>
          <w:sz w:val="24"/>
          <w:szCs w:val="24"/>
        </w:rPr>
        <w:t>Continental</w:t>
      </w:r>
      <w:r w:rsidR="00F96DA5" w:rsidRPr="005927F3">
        <w:rPr>
          <w:rFonts w:cstheme="minorHAnsi"/>
          <w:sz w:val="24"/>
          <w:szCs w:val="24"/>
        </w:rPr>
        <w:t xml:space="preserve"> ideas, but with </w:t>
      </w:r>
      <w:r w:rsidR="00F96DA5" w:rsidRPr="005927F3">
        <w:rPr>
          <w:rFonts w:cstheme="minorHAnsi"/>
          <w:i/>
          <w:sz w:val="24"/>
          <w:szCs w:val="24"/>
        </w:rPr>
        <w:t>Boyd v. United States</w:t>
      </w:r>
      <w:r w:rsidR="00F96DA5" w:rsidRPr="005927F3">
        <w:rPr>
          <w:rFonts w:cstheme="minorHAnsi"/>
          <w:sz w:val="24"/>
          <w:szCs w:val="24"/>
        </w:rPr>
        <w:t>, four years earlier.’</w:t>
      </w:r>
      <w:r w:rsidR="00F96DA5" w:rsidRPr="005927F3">
        <w:rPr>
          <w:rStyle w:val="FootnoteReference"/>
          <w:rFonts w:cstheme="minorHAnsi"/>
          <w:sz w:val="24"/>
          <w:szCs w:val="24"/>
        </w:rPr>
        <w:footnoteReference w:id="40"/>
      </w:r>
      <w:r w:rsidR="00D503DB" w:rsidRPr="005927F3">
        <w:rPr>
          <w:rFonts w:cstheme="minorHAnsi"/>
          <w:sz w:val="24"/>
          <w:szCs w:val="24"/>
        </w:rPr>
        <w:t xml:space="preserve"> Th</w:t>
      </w:r>
      <w:r w:rsidR="007E5306" w:rsidRPr="005927F3">
        <w:rPr>
          <w:rFonts w:cstheme="minorHAnsi"/>
          <w:sz w:val="24"/>
          <w:szCs w:val="24"/>
        </w:rPr>
        <w:t>e</w:t>
      </w:r>
      <w:r w:rsidR="0062684F" w:rsidRPr="005927F3">
        <w:rPr>
          <w:rFonts w:cstheme="minorHAnsi"/>
          <w:sz w:val="24"/>
          <w:szCs w:val="24"/>
        </w:rPr>
        <w:t xml:space="preserve"> </w:t>
      </w:r>
      <w:r w:rsidR="00676A3F" w:rsidRPr="005927F3">
        <w:rPr>
          <w:rFonts w:cstheme="minorHAnsi"/>
          <w:sz w:val="24"/>
          <w:szCs w:val="24"/>
        </w:rPr>
        <w:t xml:space="preserve">American </w:t>
      </w:r>
      <w:r w:rsidR="005A31DD" w:rsidRPr="005927F3">
        <w:rPr>
          <w:rFonts w:cstheme="minorHAnsi"/>
          <w:sz w:val="24"/>
          <w:szCs w:val="24"/>
        </w:rPr>
        <w:t>ant</w:t>
      </w:r>
      <w:r w:rsidR="00215E8A" w:rsidRPr="005927F3">
        <w:rPr>
          <w:rFonts w:cstheme="minorHAnsi"/>
          <w:sz w:val="24"/>
          <w:szCs w:val="24"/>
        </w:rPr>
        <w:t>i</w:t>
      </w:r>
      <w:r w:rsidR="005A31DD" w:rsidRPr="005927F3">
        <w:rPr>
          <w:rFonts w:cstheme="minorHAnsi"/>
          <w:sz w:val="24"/>
          <w:szCs w:val="24"/>
        </w:rPr>
        <w:t xml:space="preserve">-State </w:t>
      </w:r>
      <w:r w:rsidR="00D41A18" w:rsidRPr="005927F3">
        <w:rPr>
          <w:rFonts w:cstheme="minorHAnsi"/>
          <w:sz w:val="24"/>
          <w:szCs w:val="24"/>
        </w:rPr>
        <w:t>perspective on privacy is</w:t>
      </w:r>
      <w:r w:rsidR="00B146C6" w:rsidRPr="005927F3">
        <w:rPr>
          <w:rFonts w:cstheme="minorHAnsi"/>
          <w:sz w:val="24"/>
          <w:szCs w:val="24"/>
        </w:rPr>
        <w:t xml:space="preserve"> </w:t>
      </w:r>
      <w:r w:rsidR="00331B56" w:rsidRPr="005927F3">
        <w:rPr>
          <w:rFonts w:cstheme="minorHAnsi"/>
          <w:sz w:val="24"/>
          <w:szCs w:val="24"/>
        </w:rPr>
        <w:t xml:space="preserve">deeply inscribed with </w:t>
      </w:r>
      <w:r w:rsidR="00B146C6" w:rsidRPr="005927F3">
        <w:rPr>
          <w:rFonts w:cstheme="minorHAnsi"/>
          <w:sz w:val="24"/>
          <w:szCs w:val="24"/>
        </w:rPr>
        <w:t xml:space="preserve">settler mentality, </w:t>
      </w:r>
      <w:r w:rsidR="000028AD" w:rsidRPr="005927F3">
        <w:rPr>
          <w:rFonts w:cstheme="minorHAnsi"/>
          <w:sz w:val="24"/>
          <w:szCs w:val="24"/>
        </w:rPr>
        <w:t>or</w:t>
      </w:r>
      <w:r w:rsidR="0062684F" w:rsidRPr="005927F3">
        <w:rPr>
          <w:rFonts w:cstheme="minorHAnsi"/>
          <w:sz w:val="24"/>
          <w:szCs w:val="24"/>
        </w:rPr>
        <w:t xml:space="preserve"> a mentality of</w:t>
      </w:r>
      <w:r w:rsidR="00D41A18" w:rsidRPr="005927F3">
        <w:rPr>
          <w:rFonts w:cstheme="minorHAnsi"/>
          <w:sz w:val="24"/>
          <w:szCs w:val="24"/>
        </w:rPr>
        <w:t xml:space="preserve"> self-reliance</w:t>
      </w:r>
      <w:r w:rsidR="006A00BA" w:rsidRPr="005927F3">
        <w:rPr>
          <w:rFonts w:cstheme="minorHAnsi"/>
          <w:sz w:val="24"/>
          <w:szCs w:val="24"/>
        </w:rPr>
        <w:t xml:space="preserve"> and self-rule, and </w:t>
      </w:r>
      <w:r w:rsidR="00D41A18" w:rsidRPr="005927F3">
        <w:rPr>
          <w:rFonts w:cstheme="minorHAnsi"/>
          <w:sz w:val="24"/>
          <w:szCs w:val="24"/>
        </w:rPr>
        <w:t>distrust of government</w:t>
      </w:r>
      <w:r w:rsidR="00642D90" w:rsidRPr="005927F3">
        <w:rPr>
          <w:rFonts w:cstheme="minorHAnsi"/>
          <w:sz w:val="24"/>
          <w:szCs w:val="24"/>
        </w:rPr>
        <w:t xml:space="preserve"> -</w:t>
      </w:r>
      <w:r w:rsidR="00BA7AC2" w:rsidRPr="005927F3">
        <w:rPr>
          <w:rFonts w:cstheme="minorHAnsi"/>
          <w:sz w:val="24"/>
          <w:szCs w:val="24"/>
        </w:rPr>
        <w:t xml:space="preserve"> </w:t>
      </w:r>
      <w:r w:rsidR="00331B56" w:rsidRPr="005927F3">
        <w:rPr>
          <w:rFonts w:cstheme="minorHAnsi"/>
          <w:sz w:val="24"/>
          <w:szCs w:val="24"/>
        </w:rPr>
        <w:t xml:space="preserve">whether </w:t>
      </w:r>
      <w:r w:rsidR="00ED63B8" w:rsidRPr="005927F3">
        <w:rPr>
          <w:rFonts w:cstheme="minorHAnsi"/>
          <w:sz w:val="24"/>
          <w:szCs w:val="24"/>
        </w:rPr>
        <w:t xml:space="preserve">the </w:t>
      </w:r>
      <w:r w:rsidR="00C71BB3" w:rsidRPr="005927F3">
        <w:rPr>
          <w:rFonts w:cstheme="minorHAnsi"/>
          <w:sz w:val="24"/>
          <w:szCs w:val="24"/>
        </w:rPr>
        <w:t>old-</w:t>
      </w:r>
      <w:r w:rsidR="004C3F71" w:rsidRPr="005927F3">
        <w:rPr>
          <w:rFonts w:cstheme="minorHAnsi"/>
          <w:sz w:val="24"/>
          <w:szCs w:val="24"/>
        </w:rPr>
        <w:t xml:space="preserve">world </w:t>
      </w:r>
      <w:r w:rsidR="00331B56" w:rsidRPr="005927F3">
        <w:rPr>
          <w:rFonts w:cstheme="minorHAnsi"/>
          <w:sz w:val="24"/>
          <w:szCs w:val="24"/>
        </w:rPr>
        <w:t>governments left behind</w:t>
      </w:r>
      <w:r w:rsidR="00B77D72" w:rsidRPr="005927F3">
        <w:rPr>
          <w:rFonts w:cstheme="minorHAnsi"/>
          <w:sz w:val="24"/>
          <w:szCs w:val="24"/>
        </w:rPr>
        <w:t>,</w:t>
      </w:r>
      <w:r w:rsidR="00331B56" w:rsidRPr="005927F3">
        <w:rPr>
          <w:rFonts w:cstheme="minorHAnsi"/>
          <w:sz w:val="24"/>
          <w:szCs w:val="24"/>
        </w:rPr>
        <w:t xml:space="preserve"> or</w:t>
      </w:r>
      <w:r w:rsidR="00ED63B8" w:rsidRPr="005927F3">
        <w:rPr>
          <w:rFonts w:cstheme="minorHAnsi"/>
          <w:sz w:val="24"/>
          <w:szCs w:val="24"/>
        </w:rPr>
        <w:t xml:space="preserve"> the</w:t>
      </w:r>
      <w:r w:rsidR="00331B56" w:rsidRPr="005927F3">
        <w:rPr>
          <w:rFonts w:cstheme="minorHAnsi"/>
          <w:sz w:val="24"/>
          <w:szCs w:val="24"/>
        </w:rPr>
        <w:t xml:space="preserve"> colonial administration</w:t>
      </w:r>
      <w:r w:rsidR="00ED63B8" w:rsidRPr="005927F3">
        <w:rPr>
          <w:rFonts w:cstheme="minorHAnsi"/>
          <w:sz w:val="24"/>
          <w:szCs w:val="24"/>
        </w:rPr>
        <w:t>s</w:t>
      </w:r>
      <w:r w:rsidR="00331B56" w:rsidRPr="005927F3">
        <w:rPr>
          <w:rFonts w:cstheme="minorHAnsi"/>
          <w:sz w:val="24"/>
          <w:szCs w:val="24"/>
        </w:rPr>
        <w:t xml:space="preserve"> </w:t>
      </w:r>
      <w:r w:rsidR="000028AD" w:rsidRPr="005927F3">
        <w:rPr>
          <w:rFonts w:cstheme="minorHAnsi"/>
          <w:sz w:val="24"/>
          <w:szCs w:val="24"/>
        </w:rPr>
        <w:t xml:space="preserve">belatedly </w:t>
      </w:r>
      <w:r w:rsidR="00BA7AC2" w:rsidRPr="005927F3">
        <w:rPr>
          <w:rFonts w:cstheme="minorHAnsi"/>
          <w:sz w:val="24"/>
          <w:szCs w:val="24"/>
        </w:rPr>
        <w:t xml:space="preserve">encountered </w:t>
      </w:r>
      <w:r w:rsidR="00331B56" w:rsidRPr="005927F3">
        <w:rPr>
          <w:rFonts w:cstheme="minorHAnsi"/>
          <w:sz w:val="24"/>
          <w:szCs w:val="24"/>
        </w:rPr>
        <w:t>in the new</w:t>
      </w:r>
      <w:r w:rsidR="004C3F71" w:rsidRPr="005927F3">
        <w:rPr>
          <w:rFonts w:cstheme="minorHAnsi"/>
          <w:sz w:val="24"/>
          <w:szCs w:val="24"/>
        </w:rPr>
        <w:t xml:space="preserve"> world</w:t>
      </w:r>
      <w:r w:rsidR="00331B56" w:rsidRPr="005927F3">
        <w:rPr>
          <w:rFonts w:cstheme="minorHAnsi"/>
          <w:sz w:val="24"/>
          <w:szCs w:val="24"/>
        </w:rPr>
        <w:t xml:space="preserve">. </w:t>
      </w:r>
      <w:r w:rsidR="0062684F" w:rsidRPr="005927F3">
        <w:rPr>
          <w:rFonts w:cstheme="minorHAnsi"/>
          <w:sz w:val="24"/>
          <w:szCs w:val="24"/>
        </w:rPr>
        <w:t>The binary</w:t>
      </w:r>
      <w:r w:rsidR="00117E6F" w:rsidRPr="005927F3">
        <w:rPr>
          <w:rFonts w:cstheme="minorHAnsi"/>
          <w:sz w:val="24"/>
          <w:szCs w:val="24"/>
        </w:rPr>
        <w:t>,</w:t>
      </w:r>
      <w:r w:rsidR="0062684F" w:rsidRPr="005927F3">
        <w:rPr>
          <w:rFonts w:cstheme="minorHAnsi"/>
          <w:sz w:val="24"/>
          <w:szCs w:val="24"/>
        </w:rPr>
        <w:t xml:space="preserve"> </w:t>
      </w:r>
      <w:r w:rsidR="00FA4E24" w:rsidRPr="005927F3">
        <w:rPr>
          <w:rFonts w:cstheme="minorHAnsi"/>
          <w:sz w:val="24"/>
          <w:szCs w:val="24"/>
        </w:rPr>
        <w:t>or conflict</w:t>
      </w:r>
      <w:r w:rsidR="00117E6F" w:rsidRPr="005927F3">
        <w:rPr>
          <w:rFonts w:cstheme="minorHAnsi"/>
          <w:sz w:val="24"/>
          <w:szCs w:val="24"/>
        </w:rPr>
        <w:t>,</w:t>
      </w:r>
      <w:r w:rsidR="006578B8" w:rsidRPr="005927F3">
        <w:rPr>
          <w:rFonts w:cstheme="minorHAnsi"/>
          <w:sz w:val="24"/>
          <w:szCs w:val="24"/>
        </w:rPr>
        <w:t xml:space="preserve"> </w:t>
      </w:r>
      <w:r w:rsidR="00CB1644" w:rsidRPr="005927F3">
        <w:rPr>
          <w:rFonts w:cstheme="minorHAnsi"/>
          <w:sz w:val="24"/>
          <w:szCs w:val="24"/>
        </w:rPr>
        <w:t>to</w:t>
      </w:r>
      <w:r w:rsidR="0062684F" w:rsidRPr="005927F3">
        <w:rPr>
          <w:rFonts w:cstheme="minorHAnsi"/>
          <w:sz w:val="24"/>
          <w:szCs w:val="24"/>
        </w:rPr>
        <w:t xml:space="preserve"> which </w:t>
      </w:r>
      <w:r w:rsidR="00B146C6" w:rsidRPr="005927F3">
        <w:rPr>
          <w:rFonts w:cstheme="minorHAnsi"/>
          <w:sz w:val="24"/>
          <w:szCs w:val="24"/>
        </w:rPr>
        <w:t xml:space="preserve">this conception of </w:t>
      </w:r>
      <w:r w:rsidR="000028AD" w:rsidRPr="005927F3">
        <w:rPr>
          <w:rFonts w:cstheme="minorHAnsi"/>
          <w:sz w:val="24"/>
          <w:szCs w:val="24"/>
        </w:rPr>
        <w:t>privacy</w:t>
      </w:r>
      <w:r w:rsidR="00117E6F" w:rsidRPr="005927F3">
        <w:rPr>
          <w:rFonts w:cstheme="minorHAnsi"/>
          <w:sz w:val="24"/>
          <w:szCs w:val="24"/>
        </w:rPr>
        <w:t xml:space="preserve"> </w:t>
      </w:r>
      <w:r w:rsidR="00CB1644" w:rsidRPr="005927F3">
        <w:rPr>
          <w:rFonts w:cstheme="minorHAnsi"/>
          <w:sz w:val="24"/>
          <w:szCs w:val="24"/>
        </w:rPr>
        <w:t>speaks</w:t>
      </w:r>
      <w:r w:rsidR="00FA4E24" w:rsidRPr="005927F3">
        <w:rPr>
          <w:rFonts w:cstheme="minorHAnsi"/>
          <w:sz w:val="24"/>
          <w:szCs w:val="24"/>
        </w:rPr>
        <w:t xml:space="preserve"> </w:t>
      </w:r>
      <w:r w:rsidR="006578B8" w:rsidRPr="005927F3">
        <w:rPr>
          <w:rFonts w:cstheme="minorHAnsi"/>
          <w:sz w:val="24"/>
          <w:szCs w:val="24"/>
        </w:rPr>
        <w:t>is citizens</w:t>
      </w:r>
      <w:r w:rsidR="00BA7AC2" w:rsidRPr="005927F3">
        <w:rPr>
          <w:rFonts w:cstheme="minorHAnsi"/>
          <w:sz w:val="24"/>
          <w:szCs w:val="24"/>
        </w:rPr>
        <w:t>-versus-</w:t>
      </w:r>
      <w:r w:rsidR="005A31DD" w:rsidRPr="005927F3">
        <w:rPr>
          <w:rFonts w:cstheme="minorHAnsi"/>
          <w:sz w:val="24"/>
          <w:szCs w:val="24"/>
        </w:rPr>
        <w:t>government.</w:t>
      </w:r>
      <w:r w:rsidR="006578B8" w:rsidRPr="005927F3">
        <w:rPr>
          <w:rFonts w:cstheme="minorHAnsi"/>
          <w:sz w:val="24"/>
          <w:szCs w:val="24"/>
        </w:rPr>
        <w:t xml:space="preserve"> </w:t>
      </w:r>
      <w:r w:rsidR="005A31DD" w:rsidRPr="005927F3">
        <w:rPr>
          <w:rFonts w:cstheme="minorHAnsi"/>
          <w:sz w:val="24"/>
          <w:szCs w:val="24"/>
        </w:rPr>
        <w:t>G</w:t>
      </w:r>
      <w:r w:rsidR="00EA7E85" w:rsidRPr="005927F3">
        <w:rPr>
          <w:rFonts w:cstheme="minorHAnsi"/>
          <w:sz w:val="24"/>
          <w:szCs w:val="24"/>
        </w:rPr>
        <w:t xml:space="preserve">overnment </w:t>
      </w:r>
      <w:r w:rsidR="006578B8" w:rsidRPr="005927F3">
        <w:rPr>
          <w:rFonts w:cstheme="minorHAnsi"/>
          <w:sz w:val="24"/>
          <w:szCs w:val="24"/>
        </w:rPr>
        <w:t>cannot be trusted to</w:t>
      </w:r>
      <w:r w:rsidR="00FA4E24" w:rsidRPr="005927F3">
        <w:rPr>
          <w:rFonts w:cstheme="minorHAnsi"/>
          <w:sz w:val="24"/>
          <w:szCs w:val="24"/>
        </w:rPr>
        <w:t xml:space="preserve"> </w:t>
      </w:r>
      <w:r w:rsidR="006578B8" w:rsidRPr="005927F3">
        <w:rPr>
          <w:rFonts w:cstheme="minorHAnsi"/>
          <w:sz w:val="24"/>
          <w:szCs w:val="24"/>
        </w:rPr>
        <w:t>not</w:t>
      </w:r>
      <w:r w:rsidR="00EA7E85" w:rsidRPr="005927F3">
        <w:rPr>
          <w:rFonts w:cstheme="minorHAnsi"/>
          <w:sz w:val="24"/>
          <w:szCs w:val="24"/>
        </w:rPr>
        <w:t xml:space="preserve"> unduly</w:t>
      </w:r>
      <w:r w:rsidR="00FA4E24" w:rsidRPr="005927F3">
        <w:rPr>
          <w:rFonts w:cstheme="minorHAnsi"/>
          <w:sz w:val="24"/>
          <w:szCs w:val="24"/>
        </w:rPr>
        <w:t xml:space="preserve"> interfere with </w:t>
      </w:r>
      <w:r w:rsidR="00EA7E85" w:rsidRPr="005927F3">
        <w:rPr>
          <w:rFonts w:cstheme="minorHAnsi"/>
          <w:sz w:val="24"/>
          <w:szCs w:val="24"/>
        </w:rPr>
        <w:t>individuals</w:t>
      </w:r>
      <w:r w:rsidR="00E6281A" w:rsidRPr="005927F3">
        <w:rPr>
          <w:rFonts w:cstheme="minorHAnsi"/>
          <w:sz w:val="24"/>
          <w:szCs w:val="24"/>
        </w:rPr>
        <w:t xml:space="preserve"> and thus its power must be</w:t>
      </w:r>
      <w:r w:rsidR="006578B8" w:rsidRPr="005927F3">
        <w:rPr>
          <w:rFonts w:cstheme="minorHAnsi"/>
          <w:sz w:val="24"/>
          <w:szCs w:val="24"/>
        </w:rPr>
        <w:t xml:space="preserve"> </w:t>
      </w:r>
      <w:r w:rsidR="00FA4E24" w:rsidRPr="005927F3">
        <w:rPr>
          <w:rFonts w:cstheme="minorHAnsi"/>
          <w:sz w:val="24"/>
          <w:szCs w:val="24"/>
        </w:rPr>
        <w:t>curtailed</w:t>
      </w:r>
      <w:r w:rsidR="00BA7AC2" w:rsidRPr="005927F3">
        <w:rPr>
          <w:rFonts w:cstheme="minorHAnsi"/>
          <w:sz w:val="24"/>
          <w:szCs w:val="24"/>
        </w:rPr>
        <w:t>.</w:t>
      </w:r>
      <w:r w:rsidR="00FA4E24" w:rsidRPr="005927F3">
        <w:rPr>
          <w:rFonts w:cstheme="minorHAnsi"/>
          <w:sz w:val="24"/>
          <w:szCs w:val="24"/>
        </w:rPr>
        <w:t xml:space="preserve"> </w:t>
      </w:r>
      <w:r w:rsidR="006578B8" w:rsidRPr="005927F3">
        <w:rPr>
          <w:rFonts w:cstheme="minorHAnsi"/>
          <w:sz w:val="24"/>
          <w:szCs w:val="24"/>
        </w:rPr>
        <w:t xml:space="preserve">Privacy </w:t>
      </w:r>
      <w:r w:rsidR="00FA4E24" w:rsidRPr="005927F3">
        <w:rPr>
          <w:rFonts w:cstheme="minorHAnsi"/>
          <w:sz w:val="24"/>
          <w:szCs w:val="24"/>
        </w:rPr>
        <w:t>as liberty</w:t>
      </w:r>
      <w:r w:rsidR="00117E6F" w:rsidRPr="005927F3">
        <w:rPr>
          <w:rFonts w:cstheme="minorHAnsi"/>
          <w:sz w:val="24"/>
          <w:szCs w:val="24"/>
        </w:rPr>
        <w:t xml:space="preserve"> </w:t>
      </w:r>
      <w:r w:rsidR="00EA7E85" w:rsidRPr="005927F3">
        <w:rPr>
          <w:rFonts w:cstheme="minorHAnsi"/>
          <w:sz w:val="24"/>
          <w:szCs w:val="24"/>
        </w:rPr>
        <w:t xml:space="preserve">thus </w:t>
      </w:r>
      <w:r w:rsidR="00117E6F" w:rsidRPr="005927F3">
        <w:rPr>
          <w:rFonts w:cstheme="minorHAnsi"/>
          <w:sz w:val="24"/>
          <w:szCs w:val="24"/>
        </w:rPr>
        <w:t>consists of</w:t>
      </w:r>
      <w:r w:rsidR="00FA4E24" w:rsidRPr="005927F3">
        <w:rPr>
          <w:rFonts w:cstheme="minorHAnsi"/>
          <w:sz w:val="24"/>
          <w:szCs w:val="24"/>
        </w:rPr>
        <w:t xml:space="preserve"> liberty </w:t>
      </w:r>
      <w:r w:rsidR="00FA4E24" w:rsidRPr="005927F3">
        <w:rPr>
          <w:rFonts w:cstheme="minorHAnsi"/>
          <w:i/>
          <w:sz w:val="24"/>
          <w:szCs w:val="24"/>
        </w:rPr>
        <w:t>from</w:t>
      </w:r>
      <w:r w:rsidR="00FA4E24" w:rsidRPr="005927F3">
        <w:rPr>
          <w:rFonts w:cstheme="minorHAnsi"/>
          <w:sz w:val="24"/>
          <w:szCs w:val="24"/>
        </w:rPr>
        <w:t xml:space="preserve"> government to</w:t>
      </w:r>
      <w:r w:rsidR="00117E6F" w:rsidRPr="005927F3">
        <w:rPr>
          <w:rFonts w:cstheme="minorHAnsi"/>
          <w:sz w:val="24"/>
          <w:szCs w:val="24"/>
        </w:rPr>
        <w:t xml:space="preserve"> </w:t>
      </w:r>
      <w:r w:rsidR="00BC0D44" w:rsidRPr="005927F3">
        <w:rPr>
          <w:rFonts w:cstheme="minorHAnsi"/>
          <w:sz w:val="24"/>
          <w:szCs w:val="24"/>
        </w:rPr>
        <w:t>allow</w:t>
      </w:r>
      <w:r w:rsidR="00117E6F" w:rsidRPr="005927F3">
        <w:rPr>
          <w:rFonts w:cstheme="minorHAnsi"/>
          <w:sz w:val="24"/>
          <w:szCs w:val="24"/>
        </w:rPr>
        <w:t xml:space="preserve"> </w:t>
      </w:r>
      <w:r w:rsidR="00FA4E24" w:rsidRPr="005927F3">
        <w:rPr>
          <w:rFonts w:cstheme="minorHAnsi"/>
          <w:sz w:val="24"/>
          <w:szCs w:val="24"/>
        </w:rPr>
        <w:t>a liberty</w:t>
      </w:r>
      <w:r w:rsidR="00AD0B45" w:rsidRPr="005927F3">
        <w:rPr>
          <w:rFonts w:cstheme="minorHAnsi"/>
          <w:sz w:val="24"/>
          <w:szCs w:val="24"/>
        </w:rPr>
        <w:t xml:space="preserve"> </w:t>
      </w:r>
      <w:r w:rsidR="00AD0B45" w:rsidRPr="005927F3">
        <w:rPr>
          <w:rFonts w:cstheme="minorHAnsi"/>
          <w:i/>
          <w:sz w:val="24"/>
          <w:szCs w:val="24"/>
        </w:rPr>
        <w:t>to</w:t>
      </w:r>
      <w:r w:rsidR="000028AD" w:rsidRPr="005927F3">
        <w:rPr>
          <w:rFonts w:cstheme="minorHAnsi"/>
          <w:i/>
          <w:sz w:val="24"/>
          <w:szCs w:val="24"/>
        </w:rPr>
        <w:t xml:space="preserve"> </w:t>
      </w:r>
      <w:r w:rsidR="000028AD" w:rsidRPr="005927F3">
        <w:rPr>
          <w:rFonts w:cstheme="minorHAnsi"/>
          <w:sz w:val="24"/>
          <w:szCs w:val="24"/>
        </w:rPr>
        <w:t>gove</w:t>
      </w:r>
      <w:r w:rsidR="000673F2" w:rsidRPr="005927F3">
        <w:rPr>
          <w:rFonts w:cstheme="minorHAnsi"/>
          <w:sz w:val="24"/>
          <w:szCs w:val="24"/>
        </w:rPr>
        <w:t>rn oneself, or self-sovereignty,</w:t>
      </w:r>
      <w:r w:rsidR="000028AD" w:rsidRPr="005927F3">
        <w:rPr>
          <w:rFonts w:cstheme="minorHAnsi"/>
          <w:sz w:val="24"/>
          <w:szCs w:val="24"/>
        </w:rPr>
        <w:t xml:space="preserve"> in the home </w:t>
      </w:r>
      <w:r w:rsidR="00ED63B8" w:rsidRPr="005927F3">
        <w:rPr>
          <w:rFonts w:cstheme="minorHAnsi"/>
          <w:sz w:val="24"/>
          <w:szCs w:val="24"/>
        </w:rPr>
        <w:t xml:space="preserve">as the archetypal place where one is </w:t>
      </w:r>
      <w:r w:rsidR="00BC0D44" w:rsidRPr="005927F3">
        <w:rPr>
          <w:rFonts w:cstheme="minorHAnsi"/>
          <w:sz w:val="24"/>
          <w:szCs w:val="24"/>
        </w:rPr>
        <w:t>one’</w:t>
      </w:r>
      <w:r w:rsidR="005A46DF" w:rsidRPr="005927F3">
        <w:rPr>
          <w:rFonts w:cstheme="minorHAnsi"/>
          <w:sz w:val="24"/>
          <w:szCs w:val="24"/>
        </w:rPr>
        <w:t>s own master</w:t>
      </w:r>
      <w:r w:rsidR="00CB1644" w:rsidRPr="005927F3">
        <w:rPr>
          <w:rFonts w:cstheme="minorHAnsi"/>
          <w:sz w:val="24"/>
          <w:szCs w:val="24"/>
        </w:rPr>
        <w:t xml:space="preserve">. </w:t>
      </w:r>
    </w:p>
    <w:p w14:paraId="76CC5677" w14:textId="77777777" w:rsidR="0038099B" w:rsidRPr="005927F3" w:rsidRDefault="0038099B" w:rsidP="008B308D">
      <w:pPr>
        <w:autoSpaceDE w:val="0"/>
        <w:autoSpaceDN w:val="0"/>
        <w:adjustRightInd w:val="0"/>
        <w:spacing w:after="0" w:line="240" w:lineRule="auto"/>
        <w:jc w:val="both"/>
        <w:rPr>
          <w:rFonts w:cstheme="minorHAnsi"/>
          <w:sz w:val="24"/>
          <w:szCs w:val="24"/>
        </w:rPr>
      </w:pPr>
    </w:p>
    <w:p w14:paraId="181E031A" w14:textId="5D5DD226" w:rsidR="0038099B" w:rsidRPr="005927F3" w:rsidRDefault="0038099B" w:rsidP="005927F3">
      <w:pPr>
        <w:pStyle w:val="Heading2"/>
        <w:numPr>
          <w:ilvl w:val="1"/>
          <w:numId w:val="36"/>
        </w:numPr>
        <w:spacing w:before="0" w:line="240" w:lineRule="auto"/>
        <w:rPr>
          <w:rFonts w:asciiTheme="minorHAnsi" w:hAnsiTheme="minorHAnsi" w:cstheme="minorHAnsi"/>
        </w:rPr>
      </w:pPr>
      <w:bookmarkStart w:id="11" w:name="_Toc116306478"/>
      <w:r w:rsidRPr="005927F3">
        <w:rPr>
          <w:rFonts w:asciiTheme="minorHAnsi" w:hAnsiTheme="minorHAnsi" w:cstheme="minorHAnsi"/>
        </w:rPr>
        <w:t xml:space="preserve">The </w:t>
      </w:r>
      <w:r w:rsidR="005927F3">
        <w:rPr>
          <w:rFonts w:asciiTheme="minorHAnsi" w:hAnsiTheme="minorHAnsi" w:cstheme="minorHAnsi"/>
        </w:rPr>
        <w:t>C</w:t>
      </w:r>
      <w:r w:rsidR="00642D58" w:rsidRPr="005927F3">
        <w:rPr>
          <w:rFonts w:asciiTheme="minorHAnsi" w:hAnsiTheme="minorHAnsi" w:cstheme="minorHAnsi"/>
        </w:rPr>
        <w:t>ontinental</w:t>
      </w:r>
      <w:r w:rsidRPr="005927F3">
        <w:rPr>
          <w:rFonts w:asciiTheme="minorHAnsi" w:hAnsiTheme="minorHAnsi" w:cstheme="minorHAnsi"/>
        </w:rPr>
        <w:t xml:space="preserve"> European metaphorical ‘inner space’</w:t>
      </w:r>
      <w:bookmarkEnd w:id="11"/>
    </w:p>
    <w:p w14:paraId="58BFDB69" w14:textId="6F373B98" w:rsidR="00C74113" w:rsidRPr="005927F3" w:rsidRDefault="00C74113" w:rsidP="008B308D">
      <w:pPr>
        <w:autoSpaceDE w:val="0"/>
        <w:autoSpaceDN w:val="0"/>
        <w:adjustRightInd w:val="0"/>
        <w:spacing w:after="0" w:line="240" w:lineRule="auto"/>
        <w:jc w:val="both"/>
        <w:rPr>
          <w:rFonts w:cstheme="minorHAnsi"/>
          <w:sz w:val="24"/>
          <w:szCs w:val="24"/>
        </w:rPr>
      </w:pPr>
    </w:p>
    <w:p w14:paraId="3CA875BC" w14:textId="0994393B" w:rsidR="00AB6848" w:rsidRPr="005927F3" w:rsidRDefault="00117E6F" w:rsidP="008B308D">
      <w:pPr>
        <w:autoSpaceDE w:val="0"/>
        <w:autoSpaceDN w:val="0"/>
        <w:adjustRightInd w:val="0"/>
        <w:spacing w:after="0" w:line="240" w:lineRule="auto"/>
        <w:jc w:val="both"/>
        <w:rPr>
          <w:rFonts w:cstheme="minorHAnsi"/>
          <w:sz w:val="24"/>
          <w:szCs w:val="24"/>
        </w:rPr>
      </w:pPr>
      <w:r w:rsidRPr="005927F3">
        <w:rPr>
          <w:rFonts w:cstheme="minorHAnsi"/>
          <w:sz w:val="24"/>
          <w:szCs w:val="24"/>
        </w:rPr>
        <w:t>In</w:t>
      </w:r>
      <w:r w:rsidR="00227FED" w:rsidRPr="005927F3">
        <w:rPr>
          <w:rFonts w:cstheme="minorHAnsi"/>
          <w:sz w:val="24"/>
          <w:szCs w:val="24"/>
        </w:rPr>
        <w:t xml:space="preserve"> the</w:t>
      </w:r>
      <w:r w:rsidRPr="005927F3">
        <w:rPr>
          <w:rFonts w:cstheme="minorHAnsi"/>
          <w:sz w:val="24"/>
          <w:szCs w:val="24"/>
        </w:rPr>
        <w:t xml:space="preserve"> </w:t>
      </w:r>
      <w:r w:rsidR="00642D58" w:rsidRPr="005927F3">
        <w:rPr>
          <w:rFonts w:cstheme="minorHAnsi"/>
          <w:sz w:val="24"/>
          <w:szCs w:val="24"/>
        </w:rPr>
        <w:t>Continental</w:t>
      </w:r>
      <w:r w:rsidRPr="005927F3">
        <w:rPr>
          <w:rFonts w:cstheme="minorHAnsi"/>
          <w:sz w:val="24"/>
          <w:szCs w:val="24"/>
        </w:rPr>
        <w:t xml:space="preserve"> E</w:t>
      </w:r>
      <w:r w:rsidR="00227FED" w:rsidRPr="005927F3">
        <w:rPr>
          <w:rFonts w:cstheme="minorHAnsi"/>
          <w:sz w:val="24"/>
          <w:szCs w:val="24"/>
        </w:rPr>
        <w:t>uropean</w:t>
      </w:r>
      <w:r w:rsidR="0035135E" w:rsidRPr="005927F3">
        <w:rPr>
          <w:rFonts w:cstheme="minorHAnsi"/>
          <w:sz w:val="24"/>
          <w:szCs w:val="24"/>
        </w:rPr>
        <w:t xml:space="preserve"> culture and</w:t>
      </w:r>
      <w:r w:rsidR="00227FED" w:rsidRPr="005927F3">
        <w:rPr>
          <w:rFonts w:cstheme="minorHAnsi"/>
          <w:sz w:val="24"/>
          <w:szCs w:val="24"/>
        </w:rPr>
        <w:t xml:space="preserve"> conception</w:t>
      </w:r>
      <w:r w:rsidR="0035135E" w:rsidRPr="005927F3">
        <w:rPr>
          <w:rFonts w:cstheme="minorHAnsi"/>
          <w:sz w:val="24"/>
          <w:szCs w:val="24"/>
        </w:rPr>
        <w:t xml:space="preserve"> of</w:t>
      </w:r>
      <w:r w:rsidR="00331B56" w:rsidRPr="005927F3">
        <w:rPr>
          <w:rFonts w:cstheme="minorHAnsi"/>
          <w:sz w:val="24"/>
          <w:szCs w:val="24"/>
        </w:rPr>
        <w:t xml:space="preserve"> </w:t>
      </w:r>
      <w:r w:rsidR="004C15B5" w:rsidRPr="005927F3">
        <w:rPr>
          <w:rFonts w:cstheme="minorHAnsi"/>
          <w:sz w:val="24"/>
          <w:szCs w:val="24"/>
        </w:rPr>
        <w:t>privacy</w:t>
      </w:r>
      <w:r w:rsidR="0035135E" w:rsidRPr="005927F3">
        <w:rPr>
          <w:rFonts w:cstheme="minorHAnsi"/>
          <w:sz w:val="24"/>
          <w:szCs w:val="24"/>
        </w:rPr>
        <w:t>, it</w:t>
      </w:r>
      <w:r w:rsidR="004C15B5" w:rsidRPr="005927F3">
        <w:rPr>
          <w:rFonts w:cstheme="minorHAnsi"/>
          <w:sz w:val="24"/>
          <w:szCs w:val="24"/>
        </w:rPr>
        <w:t xml:space="preserve"> </w:t>
      </w:r>
      <w:r w:rsidR="00B146C6" w:rsidRPr="005927F3">
        <w:rPr>
          <w:rFonts w:cstheme="minorHAnsi"/>
          <w:sz w:val="24"/>
          <w:szCs w:val="24"/>
        </w:rPr>
        <w:t>does not attach</w:t>
      </w:r>
      <w:r w:rsidR="00ED63B8" w:rsidRPr="005927F3">
        <w:rPr>
          <w:rFonts w:cstheme="minorHAnsi"/>
          <w:sz w:val="24"/>
          <w:szCs w:val="24"/>
        </w:rPr>
        <w:t xml:space="preserve"> to </w:t>
      </w:r>
      <w:r w:rsidR="00BA2943" w:rsidRPr="005927F3">
        <w:rPr>
          <w:rFonts w:cstheme="minorHAnsi"/>
          <w:sz w:val="24"/>
          <w:szCs w:val="24"/>
        </w:rPr>
        <w:t>the home</w:t>
      </w:r>
      <w:r w:rsidR="000673F2" w:rsidRPr="005927F3">
        <w:rPr>
          <w:rFonts w:cstheme="minorHAnsi"/>
          <w:sz w:val="24"/>
          <w:szCs w:val="24"/>
        </w:rPr>
        <w:t xml:space="preserve"> as the</w:t>
      </w:r>
      <w:r w:rsidR="00C2712C" w:rsidRPr="005927F3">
        <w:rPr>
          <w:rFonts w:cstheme="minorHAnsi"/>
          <w:sz w:val="24"/>
          <w:szCs w:val="24"/>
        </w:rPr>
        <w:t xml:space="preserve"> </w:t>
      </w:r>
      <w:r w:rsidR="009041AA" w:rsidRPr="005927F3">
        <w:rPr>
          <w:rFonts w:cstheme="minorHAnsi"/>
          <w:sz w:val="24"/>
          <w:szCs w:val="24"/>
        </w:rPr>
        <w:t>sac</w:t>
      </w:r>
      <w:r w:rsidR="00B146C6" w:rsidRPr="005927F3">
        <w:rPr>
          <w:rFonts w:cstheme="minorHAnsi"/>
          <w:sz w:val="24"/>
          <w:szCs w:val="24"/>
        </w:rPr>
        <w:t>red space</w:t>
      </w:r>
      <w:r w:rsidR="00BA2943" w:rsidRPr="005927F3">
        <w:rPr>
          <w:rFonts w:cstheme="minorHAnsi"/>
          <w:sz w:val="24"/>
          <w:szCs w:val="24"/>
        </w:rPr>
        <w:t xml:space="preserve"> </w:t>
      </w:r>
      <w:r w:rsidR="00AB6848" w:rsidRPr="005927F3">
        <w:rPr>
          <w:rFonts w:cstheme="minorHAnsi"/>
          <w:sz w:val="24"/>
          <w:szCs w:val="24"/>
        </w:rPr>
        <w:t xml:space="preserve">but </w:t>
      </w:r>
      <w:r w:rsidR="00EA1803" w:rsidRPr="005927F3">
        <w:rPr>
          <w:rFonts w:cstheme="minorHAnsi"/>
          <w:sz w:val="24"/>
          <w:szCs w:val="24"/>
        </w:rPr>
        <w:t>is</w:t>
      </w:r>
      <w:r w:rsidR="00FC01ED" w:rsidRPr="005927F3">
        <w:rPr>
          <w:rFonts w:cstheme="minorHAnsi"/>
          <w:sz w:val="24"/>
          <w:szCs w:val="24"/>
        </w:rPr>
        <w:t xml:space="preserve"> </w:t>
      </w:r>
      <w:r w:rsidR="00EE5FE9" w:rsidRPr="005927F3">
        <w:rPr>
          <w:rFonts w:cstheme="minorHAnsi"/>
          <w:sz w:val="24"/>
          <w:szCs w:val="24"/>
        </w:rPr>
        <w:t>–</w:t>
      </w:r>
      <w:r w:rsidR="00FC01ED" w:rsidRPr="005927F3">
        <w:rPr>
          <w:rFonts w:cstheme="minorHAnsi"/>
          <w:sz w:val="24"/>
          <w:szCs w:val="24"/>
        </w:rPr>
        <w:t xml:space="preserve"> </w:t>
      </w:r>
      <w:r w:rsidR="00C95AD4" w:rsidRPr="005927F3">
        <w:rPr>
          <w:rFonts w:cstheme="minorHAnsi"/>
          <w:sz w:val="24"/>
          <w:szCs w:val="24"/>
        </w:rPr>
        <w:t>as part</w:t>
      </w:r>
      <w:r w:rsidR="00CF0585" w:rsidRPr="005927F3">
        <w:rPr>
          <w:rFonts w:cstheme="minorHAnsi"/>
          <w:sz w:val="24"/>
          <w:szCs w:val="24"/>
        </w:rPr>
        <w:t xml:space="preserve"> and parcel</w:t>
      </w:r>
      <w:r w:rsidR="00C95AD4" w:rsidRPr="005927F3">
        <w:rPr>
          <w:rFonts w:cstheme="minorHAnsi"/>
          <w:sz w:val="24"/>
          <w:szCs w:val="24"/>
        </w:rPr>
        <w:t xml:space="preserve"> of</w:t>
      </w:r>
      <w:r w:rsidR="00EC2BA9" w:rsidRPr="005927F3">
        <w:rPr>
          <w:rFonts w:cstheme="minorHAnsi"/>
          <w:sz w:val="24"/>
          <w:szCs w:val="24"/>
        </w:rPr>
        <w:t xml:space="preserve"> </w:t>
      </w:r>
      <w:r w:rsidR="00EA1803" w:rsidRPr="005927F3">
        <w:rPr>
          <w:rFonts w:cstheme="minorHAnsi"/>
          <w:sz w:val="24"/>
          <w:szCs w:val="24"/>
        </w:rPr>
        <w:t>wider</w:t>
      </w:r>
      <w:r w:rsidR="00C95AD4" w:rsidRPr="005927F3">
        <w:rPr>
          <w:rFonts w:cstheme="minorHAnsi"/>
          <w:sz w:val="24"/>
          <w:szCs w:val="24"/>
        </w:rPr>
        <w:t xml:space="preserve"> </w:t>
      </w:r>
      <w:r w:rsidR="000673F2" w:rsidRPr="005927F3">
        <w:rPr>
          <w:rFonts w:cstheme="minorHAnsi"/>
          <w:sz w:val="24"/>
          <w:szCs w:val="24"/>
        </w:rPr>
        <w:t>personality protection</w:t>
      </w:r>
      <w:r w:rsidR="00FC01ED" w:rsidRPr="005927F3">
        <w:rPr>
          <w:rFonts w:cstheme="minorHAnsi"/>
          <w:sz w:val="24"/>
          <w:szCs w:val="24"/>
        </w:rPr>
        <w:t xml:space="preserve"> </w:t>
      </w:r>
      <w:r w:rsidR="00EE5FE9" w:rsidRPr="005927F3">
        <w:rPr>
          <w:rFonts w:cstheme="minorHAnsi"/>
          <w:sz w:val="24"/>
          <w:szCs w:val="24"/>
        </w:rPr>
        <w:t>–</w:t>
      </w:r>
      <w:r w:rsidR="00462A8A" w:rsidRPr="005927F3">
        <w:rPr>
          <w:rFonts w:cstheme="minorHAnsi"/>
          <w:sz w:val="24"/>
          <w:szCs w:val="24"/>
        </w:rPr>
        <w:t xml:space="preserve"> </w:t>
      </w:r>
      <w:r w:rsidR="000673F2" w:rsidRPr="005927F3">
        <w:rPr>
          <w:rFonts w:cstheme="minorHAnsi"/>
          <w:sz w:val="24"/>
          <w:szCs w:val="24"/>
        </w:rPr>
        <w:t>preoccupied with</w:t>
      </w:r>
      <w:r w:rsidR="00562C09" w:rsidRPr="005927F3">
        <w:rPr>
          <w:rFonts w:cstheme="minorHAnsi"/>
          <w:sz w:val="24"/>
          <w:szCs w:val="24"/>
        </w:rPr>
        <w:t xml:space="preserve"> </w:t>
      </w:r>
      <w:r w:rsidR="00AB6848" w:rsidRPr="005927F3">
        <w:rPr>
          <w:rFonts w:cstheme="minorHAnsi"/>
          <w:sz w:val="24"/>
          <w:szCs w:val="24"/>
        </w:rPr>
        <w:t>one’s</w:t>
      </w:r>
      <w:r w:rsidR="00C95AD4" w:rsidRPr="005927F3">
        <w:rPr>
          <w:rFonts w:cstheme="minorHAnsi"/>
          <w:sz w:val="24"/>
          <w:szCs w:val="24"/>
        </w:rPr>
        <w:t xml:space="preserve"> public</w:t>
      </w:r>
      <w:r w:rsidR="00AB6848" w:rsidRPr="005927F3">
        <w:rPr>
          <w:rFonts w:cstheme="minorHAnsi"/>
          <w:sz w:val="24"/>
          <w:szCs w:val="24"/>
        </w:rPr>
        <w:t xml:space="preserve"> image </w:t>
      </w:r>
      <w:r w:rsidR="00C95AD4" w:rsidRPr="005927F3">
        <w:rPr>
          <w:rFonts w:cstheme="minorHAnsi"/>
          <w:sz w:val="24"/>
          <w:szCs w:val="24"/>
        </w:rPr>
        <w:t xml:space="preserve">as a </w:t>
      </w:r>
      <w:r w:rsidR="00255DD7" w:rsidRPr="005927F3">
        <w:rPr>
          <w:rFonts w:cstheme="minorHAnsi"/>
          <w:sz w:val="24"/>
          <w:szCs w:val="24"/>
        </w:rPr>
        <w:t xml:space="preserve">foundation </w:t>
      </w:r>
      <w:r w:rsidR="00BA2943" w:rsidRPr="005927F3">
        <w:rPr>
          <w:rFonts w:cstheme="minorHAnsi"/>
          <w:sz w:val="24"/>
          <w:szCs w:val="24"/>
        </w:rPr>
        <w:t>for self-</w:t>
      </w:r>
      <w:r w:rsidR="00AD0B45" w:rsidRPr="005927F3">
        <w:rPr>
          <w:rFonts w:cstheme="minorHAnsi"/>
          <w:sz w:val="24"/>
          <w:szCs w:val="24"/>
        </w:rPr>
        <w:t>authorship</w:t>
      </w:r>
      <w:r w:rsidR="005B3ED5" w:rsidRPr="005927F3">
        <w:rPr>
          <w:rFonts w:cstheme="minorHAnsi"/>
          <w:sz w:val="24"/>
          <w:szCs w:val="24"/>
        </w:rPr>
        <w:t>.</w:t>
      </w:r>
      <w:r w:rsidR="00C01A1F" w:rsidRPr="005927F3">
        <w:rPr>
          <w:rStyle w:val="FootnoteReference"/>
          <w:rFonts w:cstheme="minorHAnsi"/>
          <w:sz w:val="24"/>
          <w:szCs w:val="24"/>
        </w:rPr>
        <w:footnoteReference w:id="41"/>
      </w:r>
      <w:r w:rsidR="00AB6848" w:rsidRPr="005927F3">
        <w:rPr>
          <w:rFonts w:cstheme="minorHAnsi"/>
          <w:sz w:val="24"/>
          <w:szCs w:val="24"/>
        </w:rPr>
        <w:t xml:space="preserve"> </w:t>
      </w:r>
      <w:r w:rsidR="00EA1803" w:rsidRPr="005927F3">
        <w:rPr>
          <w:rFonts w:cstheme="minorHAnsi"/>
          <w:sz w:val="24"/>
          <w:szCs w:val="24"/>
        </w:rPr>
        <w:t>This</w:t>
      </w:r>
      <w:r w:rsidR="006E2B90" w:rsidRPr="005927F3">
        <w:rPr>
          <w:rFonts w:cstheme="minorHAnsi"/>
          <w:sz w:val="24"/>
          <w:szCs w:val="24"/>
        </w:rPr>
        <w:t xml:space="preserve"> view of</w:t>
      </w:r>
      <w:r w:rsidR="00EA1803" w:rsidRPr="005927F3">
        <w:rPr>
          <w:rFonts w:cstheme="minorHAnsi"/>
          <w:sz w:val="24"/>
          <w:szCs w:val="24"/>
        </w:rPr>
        <w:t xml:space="preserve"> </w:t>
      </w:r>
      <w:r w:rsidR="00B146C6" w:rsidRPr="005927F3">
        <w:rPr>
          <w:rFonts w:cstheme="minorHAnsi"/>
          <w:sz w:val="24"/>
          <w:szCs w:val="24"/>
        </w:rPr>
        <w:t>p</w:t>
      </w:r>
      <w:r w:rsidR="004D0D4B" w:rsidRPr="005927F3">
        <w:rPr>
          <w:rFonts w:cstheme="minorHAnsi"/>
          <w:sz w:val="24"/>
          <w:szCs w:val="24"/>
        </w:rPr>
        <w:t>r</w:t>
      </w:r>
      <w:r w:rsidR="00BA7AC2" w:rsidRPr="005927F3">
        <w:rPr>
          <w:rFonts w:cstheme="minorHAnsi"/>
          <w:sz w:val="24"/>
          <w:szCs w:val="24"/>
        </w:rPr>
        <w:t>ivacy</w:t>
      </w:r>
      <w:r w:rsidR="00EA1803" w:rsidRPr="005927F3">
        <w:rPr>
          <w:rFonts w:cstheme="minorHAnsi"/>
          <w:sz w:val="24"/>
          <w:szCs w:val="24"/>
        </w:rPr>
        <w:t xml:space="preserve"> </w:t>
      </w:r>
      <w:r w:rsidR="00B10E56" w:rsidRPr="005927F3">
        <w:rPr>
          <w:rFonts w:cstheme="minorHAnsi"/>
          <w:sz w:val="24"/>
          <w:szCs w:val="24"/>
        </w:rPr>
        <w:t>is</w:t>
      </w:r>
      <w:r w:rsidR="008202F2" w:rsidRPr="005927F3">
        <w:rPr>
          <w:rFonts w:cstheme="minorHAnsi"/>
          <w:sz w:val="24"/>
          <w:szCs w:val="24"/>
        </w:rPr>
        <w:t xml:space="preserve"> </w:t>
      </w:r>
      <w:r w:rsidR="00EA1803" w:rsidRPr="005927F3">
        <w:rPr>
          <w:rFonts w:cstheme="minorHAnsi"/>
          <w:sz w:val="24"/>
          <w:szCs w:val="24"/>
        </w:rPr>
        <w:t xml:space="preserve">at least </w:t>
      </w:r>
      <w:r w:rsidR="008202F2" w:rsidRPr="005927F3">
        <w:rPr>
          <w:rFonts w:cstheme="minorHAnsi"/>
          <w:sz w:val="24"/>
          <w:szCs w:val="24"/>
        </w:rPr>
        <w:t>as concerned with</w:t>
      </w:r>
      <w:r w:rsidR="00551EBC" w:rsidRPr="005927F3">
        <w:rPr>
          <w:rFonts w:cstheme="minorHAnsi"/>
          <w:sz w:val="24"/>
          <w:szCs w:val="24"/>
        </w:rPr>
        <w:t xml:space="preserve"> one’s </w:t>
      </w:r>
      <w:r w:rsidR="00C2712C" w:rsidRPr="005927F3">
        <w:rPr>
          <w:rFonts w:cstheme="minorHAnsi"/>
          <w:sz w:val="24"/>
          <w:szCs w:val="24"/>
        </w:rPr>
        <w:t xml:space="preserve">treatment </w:t>
      </w:r>
      <w:r w:rsidR="00551EBC" w:rsidRPr="005927F3">
        <w:rPr>
          <w:rFonts w:cstheme="minorHAnsi"/>
          <w:i/>
          <w:sz w:val="24"/>
          <w:szCs w:val="24"/>
        </w:rPr>
        <w:t>within</w:t>
      </w:r>
      <w:r w:rsidR="00820259" w:rsidRPr="005927F3">
        <w:rPr>
          <w:rFonts w:cstheme="minorHAnsi"/>
          <w:sz w:val="24"/>
          <w:szCs w:val="24"/>
        </w:rPr>
        <w:t xml:space="preserve"> society</w:t>
      </w:r>
      <w:r w:rsidR="00551EBC" w:rsidRPr="005927F3">
        <w:rPr>
          <w:rFonts w:cstheme="minorHAnsi"/>
          <w:sz w:val="24"/>
          <w:szCs w:val="24"/>
        </w:rPr>
        <w:t xml:space="preserve"> </w:t>
      </w:r>
      <w:r w:rsidR="008202F2" w:rsidRPr="005927F3">
        <w:rPr>
          <w:rFonts w:cstheme="minorHAnsi"/>
          <w:sz w:val="24"/>
          <w:szCs w:val="24"/>
        </w:rPr>
        <w:t>as one’s entitlement</w:t>
      </w:r>
      <w:r w:rsidR="00C95AD4" w:rsidRPr="005927F3">
        <w:rPr>
          <w:rFonts w:cstheme="minorHAnsi"/>
          <w:sz w:val="24"/>
          <w:szCs w:val="24"/>
        </w:rPr>
        <w:t xml:space="preserve"> to </w:t>
      </w:r>
      <w:r w:rsidR="00C71BB3" w:rsidRPr="005927F3">
        <w:rPr>
          <w:rFonts w:cstheme="minorHAnsi"/>
          <w:sz w:val="24"/>
          <w:szCs w:val="24"/>
        </w:rPr>
        <w:t>withd</w:t>
      </w:r>
      <w:r w:rsidR="00953A3F" w:rsidRPr="005927F3">
        <w:rPr>
          <w:rFonts w:cstheme="minorHAnsi"/>
          <w:sz w:val="24"/>
          <w:szCs w:val="24"/>
        </w:rPr>
        <w:t xml:space="preserve">raw </w:t>
      </w:r>
      <w:r w:rsidR="00EF564C" w:rsidRPr="005927F3">
        <w:rPr>
          <w:rFonts w:cstheme="minorHAnsi"/>
          <w:i/>
          <w:sz w:val="24"/>
          <w:szCs w:val="24"/>
        </w:rPr>
        <w:t>away</w:t>
      </w:r>
      <w:r w:rsidR="00C95AD4" w:rsidRPr="005927F3">
        <w:rPr>
          <w:rFonts w:cstheme="minorHAnsi"/>
          <w:sz w:val="24"/>
          <w:szCs w:val="24"/>
        </w:rPr>
        <w:t xml:space="preserve"> </w:t>
      </w:r>
      <w:r w:rsidR="00C95AD4" w:rsidRPr="005927F3">
        <w:rPr>
          <w:rFonts w:cstheme="minorHAnsi"/>
          <w:i/>
          <w:sz w:val="24"/>
          <w:szCs w:val="24"/>
        </w:rPr>
        <w:t>from</w:t>
      </w:r>
      <w:r w:rsidR="00C95AD4" w:rsidRPr="005927F3">
        <w:rPr>
          <w:rFonts w:cstheme="minorHAnsi"/>
          <w:sz w:val="24"/>
          <w:szCs w:val="24"/>
        </w:rPr>
        <w:t xml:space="preserve"> society. </w:t>
      </w:r>
      <w:r w:rsidR="00EC2BA9" w:rsidRPr="005927F3">
        <w:rPr>
          <w:rFonts w:cstheme="minorHAnsi"/>
          <w:sz w:val="24"/>
          <w:szCs w:val="24"/>
        </w:rPr>
        <w:t>It</w:t>
      </w:r>
      <w:r w:rsidR="00B77D72" w:rsidRPr="005927F3">
        <w:rPr>
          <w:rFonts w:cstheme="minorHAnsi"/>
          <w:sz w:val="24"/>
          <w:szCs w:val="24"/>
        </w:rPr>
        <w:t xml:space="preserve"> is not about </w:t>
      </w:r>
      <w:r w:rsidR="00B77D72" w:rsidRPr="005927F3">
        <w:rPr>
          <w:rFonts w:cstheme="minorHAnsi"/>
          <w:i/>
          <w:sz w:val="24"/>
          <w:szCs w:val="24"/>
        </w:rPr>
        <w:t>seclusion</w:t>
      </w:r>
      <w:r w:rsidR="00953A3F" w:rsidRPr="005927F3">
        <w:rPr>
          <w:rFonts w:cstheme="minorHAnsi"/>
          <w:sz w:val="24"/>
          <w:szCs w:val="24"/>
        </w:rPr>
        <w:t xml:space="preserve"> </w:t>
      </w:r>
      <w:r w:rsidR="00953A3F" w:rsidRPr="005927F3">
        <w:rPr>
          <w:rFonts w:cstheme="minorHAnsi"/>
          <w:i/>
          <w:iCs/>
          <w:sz w:val="24"/>
          <w:szCs w:val="24"/>
        </w:rPr>
        <w:t>per se</w:t>
      </w:r>
      <w:r w:rsidR="00953A3F" w:rsidRPr="005927F3">
        <w:rPr>
          <w:rFonts w:cstheme="minorHAnsi"/>
          <w:sz w:val="24"/>
          <w:szCs w:val="24"/>
        </w:rPr>
        <w:t xml:space="preserve"> </w:t>
      </w:r>
      <w:r w:rsidR="00B77D72" w:rsidRPr="005927F3">
        <w:rPr>
          <w:rFonts w:cstheme="minorHAnsi"/>
          <w:sz w:val="24"/>
          <w:szCs w:val="24"/>
        </w:rPr>
        <w:t xml:space="preserve">but </w:t>
      </w:r>
      <w:r w:rsidR="008E14D6" w:rsidRPr="005927F3">
        <w:rPr>
          <w:rFonts w:cstheme="minorHAnsi"/>
          <w:sz w:val="24"/>
          <w:szCs w:val="24"/>
        </w:rPr>
        <w:t xml:space="preserve">rather </w:t>
      </w:r>
      <w:r w:rsidR="00B77D72" w:rsidRPr="005927F3">
        <w:rPr>
          <w:rFonts w:cstheme="minorHAnsi"/>
          <w:sz w:val="24"/>
          <w:szCs w:val="24"/>
        </w:rPr>
        <w:t xml:space="preserve">about </w:t>
      </w:r>
      <w:r w:rsidR="008E14D6" w:rsidRPr="005927F3">
        <w:rPr>
          <w:rFonts w:cstheme="minorHAnsi"/>
          <w:i/>
          <w:sz w:val="24"/>
          <w:szCs w:val="24"/>
        </w:rPr>
        <w:t xml:space="preserve">controlling </w:t>
      </w:r>
      <w:r w:rsidR="008E14D6" w:rsidRPr="005927F3">
        <w:rPr>
          <w:rFonts w:cstheme="minorHAnsi"/>
          <w:sz w:val="24"/>
          <w:szCs w:val="24"/>
        </w:rPr>
        <w:t xml:space="preserve">one’s </w:t>
      </w:r>
      <w:r w:rsidR="007E3703" w:rsidRPr="005927F3">
        <w:rPr>
          <w:rFonts w:cstheme="minorHAnsi"/>
          <w:sz w:val="24"/>
          <w:szCs w:val="24"/>
        </w:rPr>
        <w:t>‘</w:t>
      </w:r>
      <w:r w:rsidR="00227FED" w:rsidRPr="005927F3">
        <w:rPr>
          <w:rFonts w:cstheme="minorHAnsi"/>
          <w:sz w:val="24"/>
          <w:szCs w:val="24"/>
        </w:rPr>
        <w:t>appearances</w:t>
      </w:r>
      <w:r w:rsidR="007E3703" w:rsidRPr="005927F3">
        <w:rPr>
          <w:rFonts w:cstheme="minorHAnsi"/>
          <w:sz w:val="24"/>
          <w:szCs w:val="24"/>
        </w:rPr>
        <w:t>’</w:t>
      </w:r>
      <w:r w:rsidR="00227FED" w:rsidRPr="005927F3">
        <w:rPr>
          <w:rFonts w:cstheme="minorHAnsi"/>
          <w:sz w:val="24"/>
          <w:szCs w:val="24"/>
        </w:rPr>
        <w:t xml:space="preserve"> in the public realm</w:t>
      </w:r>
      <w:r w:rsidR="00CD06DE" w:rsidRPr="005927F3">
        <w:rPr>
          <w:rFonts w:cstheme="minorHAnsi"/>
          <w:sz w:val="24"/>
          <w:szCs w:val="24"/>
        </w:rPr>
        <w:t>.</w:t>
      </w:r>
      <w:r w:rsidR="00C71BB3" w:rsidRPr="005927F3">
        <w:rPr>
          <w:rFonts w:cstheme="minorHAnsi"/>
          <w:sz w:val="24"/>
          <w:szCs w:val="24"/>
        </w:rPr>
        <w:t xml:space="preserve"> </w:t>
      </w:r>
      <w:r w:rsidR="002729DA" w:rsidRPr="005927F3">
        <w:rPr>
          <w:rFonts w:cstheme="minorHAnsi"/>
          <w:sz w:val="24"/>
          <w:szCs w:val="24"/>
        </w:rPr>
        <w:t>Recognising the social condition of hu</w:t>
      </w:r>
      <w:r w:rsidR="00C075A1" w:rsidRPr="005927F3">
        <w:rPr>
          <w:rFonts w:cstheme="minorHAnsi"/>
          <w:sz w:val="24"/>
          <w:szCs w:val="24"/>
        </w:rPr>
        <w:t>mankind, here privacy</w:t>
      </w:r>
      <w:r w:rsidR="002729DA" w:rsidRPr="005927F3">
        <w:rPr>
          <w:rFonts w:cstheme="minorHAnsi"/>
          <w:sz w:val="24"/>
          <w:szCs w:val="24"/>
        </w:rPr>
        <w:t xml:space="preserve"> sets boundaries </w:t>
      </w:r>
      <w:r w:rsidR="00C075A1" w:rsidRPr="005927F3">
        <w:rPr>
          <w:rFonts w:cstheme="minorHAnsi"/>
          <w:sz w:val="24"/>
          <w:szCs w:val="24"/>
        </w:rPr>
        <w:t xml:space="preserve">on </w:t>
      </w:r>
      <w:r w:rsidR="002729DA" w:rsidRPr="005927F3">
        <w:rPr>
          <w:rFonts w:cstheme="minorHAnsi"/>
          <w:sz w:val="24"/>
          <w:szCs w:val="24"/>
        </w:rPr>
        <w:t xml:space="preserve">one’s </w:t>
      </w:r>
      <w:r w:rsidR="00CF4D01" w:rsidRPr="005927F3">
        <w:rPr>
          <w:rFonts w:cstheme="minorHAnsi"/>
          <w:sz w:val="24"/>
          <w:szCs w:val="24"/>
        </w:rPr>
        <w:t>public treatment where such treatment</w:t>
      </w:r>
      <w:r w:rsidR="002729DA" w:rsidRPr="005927F3">
        <w:rPr>
          <w:rFonts w:cstheme="minorHAnsi"/>
          <w:sz w:val="24"/>
          <w:szCs w:val="24"/>
        </w:rPr>
        <w:t xml:space="preserve"> fulfils ‘no reasonable social </w:t>
      </w:r>
      <w:r w:rsidR="002729DA" w:rsidRPr="005927F3">
        <w:rPr>
          <w:rFonts w:cstheme="minorHAnsi"/>
          <w:sz w:val="24"/>
          <w:szCs w:val="24"/>
        </w:rPr>
        <w:lastRenderedPageBreak/>
        <w:t xml:space="preserve">purpose and serves only </w:t>
      </w:r>
      <w:r w:rsidR="00B907CC" w:rsidRPr="005927F3">
        <w:rPr>
          <w:rFonts w:cstheme="minorHAnsi"/>
          <w:sz w:val="24"/>
          <w:szCs w:val="24"/>
        </w:rPr>
        <w:t xml:space="preserve">to </w:t>
      </w:r>
      <w:r w:rsidR="002729DA" w:rsidRPr="005927F3">
        <w:rPr>
          <w:rFonts w:cstheme="minorHAnsi"/>
          <w:sz w:val="24"/>
          <w:szCs w:val="24"/>
        </w:rPr>
        <w:t>provoke a scandal and personal humiliation…’</w:t>
      </w:r>
      <w:r w:rsidR="002729DA" w:rsidRPr="005927F3">
        <w:rPr>
          <w:rStyle w:val="FootnoteReference"/>
          <w:rFonts w:cstheme="minorHAnsi"/>
          <w:sz w:val="24"/>
          <w:szCs w:val="24"/>
        </w:rPr>
        <w:footnoteReference w:id="42"/>
      </w:r>
      <w:r w:rsidR="002729DA" w:rsidRPr="005927F3">
        <w:rPr>
          <w:rFonts w:cstheme="minorHAnsi"/>
          <w:sz w:val="24"/>
          <w:szCs w:val="24"/>
        </w:rPr>
        <w:t xml:space="preserve"> It</w:t>
      </w:r>
      <w:r w:rsidR="00C71BB3" w:rsidRPr="005927F3">
        <w:rPr>
          <w:rFonts w:cstheme="minorHAnsi"/>
          <w:sz w:val="24"/>
          <w:szCs w:val="24"/>
        </w:rPr>
        <w:t xml:space="preserve"> is </w:t>
      </w:r>
      <w:r w:rsidR="00EF564C" w:rsidRPr="005927F3">
        <w:rPr>
          <w:rFonts w:cstheme="minorHAnsi"/>
          <w:sz w:val="24"/>
          <w:szCs w:val="24"/>
        </w:rPr>
        <w:t>functionall</w:t>
      </w:r>
      <w:r w:rsidR="00CB53D5" w:rsidRPr="005927F3">
        <w:rPr>
          <w:rFonts w:cstheme="minorHAnsi"/>
          <w:sz w:val="24"/>
          <w:szCs w:val="24"/>
        </w:rPr>
        <w:t xml:space="preserve">y </w:t>
      </w:r>
      <w:r w:rsidR="00B77D72" w:rsidRPr="005927F3">
        <w:rPr>
          <w:rFonts w:cstheme="minorHAnsi"/>
          <w:sz w:val="24"/>
          <w:szCs w:val="24"/>
        </w:rPr>
        <w:t>delimited</w:t>
      </w:r>
      <w:r w:rsidR="006D5811" w:rsidRPr="005927F3">
        <w:rPr>
          <w:rFonts w:cstheme="minorHAnsi"/>
          <w:sz w:val="24"/>
          <w:szCs w:val="24"/>
        </w:rPr>
        <w:t xml:space="preserve"> through </w:t>
      </w:r>
      <w:r w:rsidR="00B10E56" w:rsidRPr="005927F3">
        <w:rPr>
          <w:rFonts w:cstheme="minorHAnsi"/>
          <w:sz w:val="24"/>
          <w:szCs w:val="24"/>
        </w:rPr>
        <w:t>the</w:t>
      </w:r>
      <w:r w:rsidR="00EF564C" w:rsidRPr="005927F3">
        <w:rPr>
          <w:rFonts w:cstheme="minorHAnsi"/>
          <w:sz w:val="24"/>
          <w:szCs w:val="24"/>
        </w:rPr>
        <w:t xml:space="preserve"> </w:t>
      </w:r>
      <w:r w:rsidR="00D672B9" w:rsidRPr="005927F3">
        <w:rPr>
          <w:rFonts w:cstheme="minorHAnsi"/>
          <w:i/>
          <w:sz w:val="24"/>
          <w:szCs w:val="24"/>
        </w:rPr>
        <w:t>person</w:t>
      </w:r>
      <w:r w:rsidR="00AB6848" w:rsidRPr="005927F3">
        <w:rPr>
          <w:rFonts w:cstheme="minorHAnsi"/>
          <w:i/>
          <w:sz w:val="24"/>
          <w:szCs w:val="24"/>
        </w:rPr>
        <w:t>al</w:t>
      </w:r>
      <w:r w:rsidR="00D672B9" w:rsidRPr="005927F3">
        <w:rPr>
          <w:rFonts w:cstheme="minorHAnsi"/>
          <w:sz w:val="24"/>
          <w:szCs w:val="24"/>
        </w:rPr>
        <w:t xml:space="preserve"> </w:t>
      </w:r>
      <w:r w:rsidR="00B10E56" w:rsidRPr="005927F3">
        <w:rPr>
          <w:rFonts w:cstheme="minorHAnsi"/>
          <w:sz w:val="24"/>
          <w:szCs w:val="24"/>
        </w:rPr>
        <w:t xml:space="preserve">nature of </w:t>
      </w:r>
      <w:r w:rsidR="000673F2" w:rsidRPr="005927F3">
        <w:rPr>
          <w:rFonts w:cstheme="minorHAnsi"/>
          <w:sz w:val="24"/>
          <w:szCs w:val="24"/>
        </w:rPr>
        <w:t xml:space="preserve">the </w:t>
      </w:r>
      <w:r w:rsidR="00B10E56" w:rsidRPr="005927F3">
        <w:rPr>
          <w:rFonts w:cstheme="minorHAnsi"/>
          <w:sz w:val="24"/>
          <w:szCs w:val="24"/>
        </w:rPr>
        <w:t>information</w:t>
      </w:r>
      <w:r w:rsidR="00B77D72" w:rsidRPr="005927F3">
        <w:rPr>
          <w:rFonts w:cstheme="minorHAnsi"/>
          <w:sz w:val="24"/>
          <w:szCs w:val="24"/>
        </w:rPr>
        <w:t>,</w:t>
      </w:r>
      <w:r w:rsidR="00D300E2" w:rsidRPr="005927F3">
        <w:rPr>
          <w:rFonts w:cstheme="minorHAnsi"/>
          <w:sz w:val="24"/>
          <w:szCs w:val="24"/>
        </w:rPr>
        <w:t xml:space="preserve"> that is</w:t>
      </w:r>
      <w:r w:rsidR="00B77D72" w:rsidRPr="005927F3">
        <w:rPr>
          <w:rFonts w:cstheme="minorHAnsi"/>
          <w:sz w:val="24"/>
          <w:szCs w:val="24"/>
        </w:rPr>
        <w:t xml:space="preserve"> image, name, word</w:t>
      </w:r>
      <w:r w:rsidR="00462A8A" w:rsidRPr="005927F3">
        <w:rPr>
          <w:rFonts w:cstheme="minorHAnsi"/>
          <w:sz w:val="24"/>
          <w:szCs w:val="24"/>
        </w:rPr>
        <w:t xml:space="preserve">, </w:t>
      </w:r>
      <w:r w:rsidR="007E5306" w:rsidRPr="005927F3">
        <w:rPr>
          <w:rFonts w:cstheme="minorHAnsi"/>
          <w:sz w:val="24"/>
          <w:szCs w:val="24"/>
        </w:rPr>
        <w:t xml:space="preserve">and more generally </w:t>
      </w:r>
      <w:r w:rsidR="00462A8A" w:rsidRPr="005927F3">
        <w:rPr>
          <w:rFonts w:cstheme="minorHAnsi"/>
          <w:sz w:val="24"/>
          <w:szCs w:val="24"/>
        </w:rPr>
        <w:t>data</w:t>
      </w:r>
      <w:r w:rsidR="007E5306" w:rsidRPr="005927F3">
        <w:rPr>
          <w:rFonts w:cstheme="minorHAnsi"/>
          <w:sz w:val="24"/>
          <w:szCs w:val="24"/>
        </w:rPr>
        <w:t>.</w:t>
      </w:r>
      <w:r w:rsidR="00D672B9" w:rsidRPr="005927F3">
        <w:rPr>
          <w:rStyle w:val="FootnoteReference"/>
          <w:rFonts w:cstheme="minorHAnsi"/>
          <w:sz w:val="24"/>
          <w:szCs w:val="24"/>
        </w:rPr>
        <w:footnoteReference w:id="43"/>
      </w:r>
      <w:r w:rsidR="00EF564C" w:rsidRPr="005927F3">
        <w:rPr>
          <w:rFonts w:cstheme="minorHAnsi"/>
          <w:sz w:val="24"/>
          <w:szCs w:val="24"/>
        </w:rPr>
        <w:t xml:space="preserve"> </w:t>
      </w:r>
      <w:r w:rsidR="00642D58" w:rsidRPr="005927F3">
        <w:rPr>
          <w:rFonts w:cstheme="minorHAnsi"/>
          <w:sz w:val="24"/>
          <w:szCs w:val="24"/>
        </w:rPr>
        <w:t>Continental</w:t>
      </w:r>
      <w:r w:rsidR="00EC2BA9" w:rsidRPr="005927F3">
        <w:rPr>
          <w:rFonts w:cstheme="minorHAnsi"/>
          <w:sz w:val="24"/>
          <w:szCs w:val="24"/>
        </w:rPr>
        <w:t xml:space="preserve"> </w:t>
      </w:r>
      <w:r w:rsidR="00AC1DFD">
        <w:rPr>
          <w:rFonts w:cstheme="minorHAnsi"/>
          <w:sz w:val="24"/>
          <w:szCs w:val="24"/>
        </w:rPr>
        <w:t xml:space="preserve">information </w:t>
      </w:r>
      <w:r w:rsidR="00EC2BA9" w:rsidRPr="005927F3">
        <w:rPr>
          <w:rFonts w:cstheme="minorHAnsi"/>
          <w:sz w:val="24"/>
          <w:szCs w:val="24"/>
        </w:rPr>
        <w:t>privacy can thus</w:t>
      </w:r>
      <w:r w:rsidR="008202F2" w:rsidRPr="005927F3">
        <w:rPr>
          <w:rFonts w:cstheme="minorHAnsi"/>
          <w:sz w:val="24"/>
          <w:szCs w:val="24"/>
        </w:rPr>
        <w:t xml:space="preserve"> </w:t>
      </w:r>
      <w:r w:rsidR="00EC2BA9" w:rsidRPr="005927F3">
        <w:rPr>
          <w:rFonts w:cstheme="minorHAnsi"/>
          <w:sz w:val="24"/>
          <w:szCs w:val="24"/>
        </w:rPr>
        <w:t>be</w:t>
      </w:r>
      <w:r w:rsidR="00A67D25" w:rsidRPr="005927F3">
        <w:rPr>
          <w:rFonts w:cstheme="minorHAnsi"/>
          <w:sz w:val="24"/>
          <w:szCs w:val="24"/>
        </w:rPr>
        <w:t xml:space="preserve"> </w:t>
      </w:r>
      <w:r w:rsidR="000673F2" w:rsidRPr="005927F3">
        <w:rPr>
          <w:rFonts w:cstheme="minorHAnsi"/>
          <w:sz w:val="24"/>
          <w:szCs w:val="24"/>
        </w:rPr>
        <w:t>understood as</w:t>
      </w:r>
      <w:r w:rsidR="00C2712C" w:rsidRPr="005927F3">
        <w:rPr>
          <w:rFonts w:cstheme="minorHAnsi"/>
          <w:sz w:val="24"/>
          <w:szCs w:val="24"/>
        </w:rPr>
        <w:t xml:space="preserve"> </w:t>
      </w:r>
      <w:r w:rsidR="00EF564C" w:rsidRPr="005927F3">
        <w:rPr>
          <w:rFonts w:cstheme="minorHAnsi"/>
          <w:sz w:val="24"/>
          <w:szCs w:val="24"/>
        </w:rPr>
        <w:t>informational self-determination</w:t>
      </w:r>
      <w:r w:rsidR="00637F32" w:rsidRPr="005927F3">
        <w:rPr>
          <w:rFonts w:cstheme="minorHAnsi"/>
          <w:sz w:val="24"/>
          <w:szCs w:val="24"/>
        </w:rPr>
        <w:t xml:space="preserve"> or autonomy</w:t>
      </w:r>
      <w:r w:rsidR="00E22F72" w:rsidRPr="005927F3">
        <w:rPr>
          <w:rFonts w:cstheme="minorHAnsi"/>
          <w:sz w:val="24"/>
          <w:szCs w:val="24"/>
        </w:rPr>
        <w:t>,</w:t>
      </w:r>
      <w:r w:rsidR="00F47101" w:rsidRPr="005927F3">
        <w:rPr>
          <w:rStyle w:val="FootnoteReference"/>
          <w:rFonts w:cstheme="minorHAnsi"/>
          <w:sz w:val="24"/>
          <w:szCs w:val="24"/>
        </w:rPr>
        <w:footnoteReference w:id="44"/>
      </w:r>
      <w:r w:rsidR="00F47101" w:rsidRPr="005927F3">
        <w:rPr>
          <w:rFonts w:cstheme="minorHAnsi"/>
          <w:sz w:val="24"/>
          <w:szCs w:val="24"/>
        </w:rPr>
        <w:t xml:space="preserve"> </w:t>
      </w:r>
      <w:r w:rsidR="00C075A1" w:rsidRPr="005927F3">
        <w:rPr>
          <w:rFonts w:cstheme="minorHAnsi"/>
          <w:sz w:val="24"/>
          <w:szCs w:val="24"/>
        </w:rPr>
        <w:t xml:space="preserve"> </w:t>
      </w:r>
      <w:r w:rsidR="00E22F72" w:rsidRPr="005927F3">
        <w:rPr>
          <w:rFonts w:cstheme="minorHAnsi"/>
          <w:sz w:val="24"/>
          <w:szCs w:val="24"/>
        </w:rPr>
        <w:t>or</w:t>
      </w:r>
      <w:r w:rsidR="00947A8B" w:rsidRPr="005927F3">
        <w:rPr>
          <w:rFonts w:cstheme="minorHAnsi"/>
          <w:sz w:val="24"/>
          <w:szCs w:val="24"/>
        </w:rPr>
        <w:t xml:space="preserve"> as</w:t>
      </w:r>
      <w:r w:rsidR="00E22F72" w:rsidRPr="005927F3">
        <w:rPr>
          <w:rFonts w:cstheme="minorHAnsi"/>
          <w:sz w:val="24"/>
          <w:szCs w:val="24"/>
        </w:rPr>
        <w:t xml:space="preserve"> a metaphorical ‘inner space’</w:t>
      </w:r>
      <w:r w:rsidR="00947A8B" w:rsidRPr="005927F3">
        <w:rPr>
          <w:rFonts w:cstheme="minorHAnsi"/>
          <w:sz w:val="24"/>
          <w:szCs w:val="24"/>
        </w:rPr>
        <w:t xml:space="preserve"> </w:t>
      </w:r>
      <w:r w:rsidR="00C075A1" w:rsidRPr="005927F3">
        <w:rPr>
          <w:rFonts w:cstheme="minorHAnsi"/>
          <w:sz w:val="24"/>
          <w:szCs w:val="24"/>
        </w:rPr>
        <w:t>protected against unwanted exposures</w:t>
      </w:r>
      <w:r w:rsidR="001F37CD" w:rsidRPr="005927F3">
        <w:rPr>
          <w:rFonts w:cstheme="minorHAnsi"/>
          <w:sz w:val="24"/>
          <w:szCs w:val="24"/>
        </w:rPr>
        <w:t xml:space="preserve"> </w:t>
      </w:r>
      <w:r w:rsidR="00B34297" w:rsidRPr="005927F3">
        <w:rPr>
          <w:rFonts w:cstheme="minorHAnsi"/>
          <w:sz w:val="24"/>
          <w:szCs w:val="24"/>
        </w:rPr>
        <w:t>in the</w:t>
      </w:r>
      <w:r w:rsidR="00947A8B" w:rsidRPr="005927F3">
        <w:rPr>
          <w:rFonts w:cstheme="minorHAnsi"/>
          <w:sz w:val="24"/>
          <w:szCs w:val="24"/>
        </w:rPr>
        <w:t xml:space="preserve"> outside world.</w:t>
      </w:r>
      <w:r w:rsidR="00A67D25" w:rsidRPr="005927F3">
        <w:rPr>
          <w:rFonts w:cstheme="minorHAnsi"/>
          <w:sz w:val="24"/>
          <w:szCs w:val="24"/>
        </w:rPr>
        <w:t xml:space="preserve"> </w:t>
      </w:r>
      <w:r w:rsidR="00A32027" w:rsidRPr="005927F3">
        <w:rPr>
          <w:rFonts w:cstheme="minorHAnsi"/>
          <w:sz w:val="24"/>
          <w:szCs w:val="24"/>
        </w:rPr>
        <w:t xml:space="preserve">Under the umbrella of dignity </w:t>
      </w:r>
      <w:r w:rsidR="008E14D6" w:rsidRPr="005927F3">
        <w:rPr>
          <w:rFonts w:cstheme="minorHAnsi"/>
          <w:sz w:val="24"/>
          <w:szCs w:val="24"/>
        </w:rPr>
        <w:t>or</w:t>
      </w:r>
      <w:r w:rsidR="00A32027" w:rsidRPr="005927F3">
        <w:rPr>
          <w:rFonts w:cstheme="minorHAnsi"/>
          <w:sz w:val="24"/>
          <w:szCs w:val="24"/>
        </w:rPr>
        <w:t xml:space="preserve"> honour,</w:t>
      </w:r>
      <w:r w:rsidR="00462A8A" w:rsidRPr="005927F3">
        <w:rPr>
          <w:rFonts w:cstheme="minorHAnsi"/>
          <w:sz w:val="24"/>
          <w:szCs w:val="24"/>
        </w:rPr>
        <w:t xml:space="preserve"> </w:t>
      </w:r>
      <w:r w:rsidR="00A32027" w:rsidRPr="005927F3">
        <w:rPr>
          <w:rFonts w:cstheme="minorHAnsi"/>
          <w:sz w:val="24"/>
          <w:szCs w:val="24"/>
        </w:rPr>
        <w:t xml:space="preserve">this </w:t>
      </w:r>
      <w:r w:rsidR="00462A8A" w:rsidRPr="005927F3">
        <w:rPr>
          <w:rFonts w:cstheme="minorHAnsi"/>
          <w:sz w:val="24"/>
          <w:szCs w:val="24"/>
        </w:rPr>
        <w:t>conception</w:t>
      </w:r>
      <w:r w:rsidR="00A67D25" w:rsidRPr="005927F3">
        <w:rPr>
          <w:rFonts w:cstheme="minorHAnsi"/>
          <w:sz w:val="24"/>
          <w:szCs w:val="24"/>
        </w:rPr>
        <w:t xml:space="preserve"> </w:t>
      </w:r>
      <w:r w:rsidR="00A32027" w:rsidRPr="005927F3">
        <w:rPr>
          <w:rFonts w:cstheme="minorHAnsi"/>
          <w:sz w:val="24"/>
          <w:szCs w:val="24"/>
        </w:rPr>
        <w:t xml:space="preserve">guards </w:t>
      </w:r>
      <w:r w:rsidR="00EF564C" w:rsidRPr="005927F3">
        <w:rPr>
          <w:rFonts w:cstheme="minorHAnsi"/>
          <w:sz w:val="24"/>
          <w:szCs w:val="24"/>
        </w:rPr>
        <w:t xml:space="preserve">against the </w:t>
      </w:r>
      <w:r w:rsidR="00B10E56" w:rsidRPr="005927F3">
        <w:rPr>
          <w:rFonts w:cstheme="minorHAnsi"/>
          <w:sz w:val="24"/>
          <w:szCs w:val="24"/>
        </w:rPr>
        <w:t>threat</w:t>
      </w:r>
      <w:r w:rsidR="005B3ED5" w:rsidRPr="005927F3">
        <w:rPr>
          <w:rFonts w:cstheme="minorHAnsi"/>
          <w:sz w:val="24"/>
          <w:szCs w:val="24"/>
        </w:rPr>
        <w:t xml:space="preserve"> </w:t>
      </w:r>
      <w:r w:rsidR="00EF564C" w:rsidRPr="005927F3">
        <w:rPr>
          <w:rFonts w:cstheme="minorHAnsi"/>
          <w:sz w:val="24"/>
          <w:szCs w:val="24"/>
        </w:rPr>
        <w:t xml:space="preserve">of </w:t>
      </w:r>
      <w:r w:rsidR="00B10E56" w:rsidRPr="005927F3">
        <w:rPr>
          <w:rFonts w:cstheme="minorHAnsi"/>
          <w:sz w:val="24"/>
          <w:szCs w:val="24"/>
        </w:rPr>
        <w:t xml:space="preserve">public </w:t>
      </w:r>
      <w:r w:rsidR="00503934" w:rsidRPr="005927F3">
        <w:rPr>
          <w:rFonts w:cstheme="minorHAnsi"/>
          <w:i/>
          <w:iCs/>
          <w:sz w:val="24"/>
          <w:szCs w:val="24"/>
        </w:rPr>
        <w:t>in</w:t>
      </w:r>
      <w:r w:rsidR="00503934" w:rsidRPr="005927F3">
        <w:rPr>
          <w:rFonts w:cstheme="minorHAnsi"/>
          <w:sz w:val="24"/>
          <w:szCs w:val="24"/>
        </w:rPr>
        <w:t>-</w:t>
      </w:r>
      <w:r w:rsidR="00055C7B" w:rsidRPr="005927F3">
        <w:rPr>
          <w:rFonts w:cstheme="minorHAnsi"/>
          <w:sz w:val="24"/>
          <w:szCs w:val="24"/>
        </w:rPr>
        <w:t>dignities</w:t>
      </w:r>
      <w:r w:rsidR="00953A3F" w:rsidRPr="005927F3">
        <w:rPr>
          <w:rFonts w:cstheme="minorHAnsi"/>
          <w:sz w:val="24"/>
          <w:szCs w:val="24"/>
        </w:rPr>
        <w:t xml:space="preserve">. Its </w:t>
      </w:r>
      <w:r w:rsidR="000673F2" w:rsidRPr="005927F3">
        <w:rPr>
          <w:rFonts w:cstheme="minorHAnsi"/>
          <w:sz w:val="24"/>
          <w:szCs w:val="24"/>
        </w:rPr>
        <w:t>historical</w:t>
      </w:r>
      <w:r w:rsidR="00C71BB3" w:rsidRPr="005927F3">
        <w:rPr>
          <w:rFonts w:cstheme="minorHAnsi"/>
          <w:sz w:val="24"/>
          <w:szCs w:val="24"/>
        </w:rPr>
        <w:t xml:space="preserve"> background </w:t>
      </w:r>
      <w:r w:rsidR="004C15B5" w:rsidRPr="005927F3">
        <w:rPr>
          <w:rFonts w:cstheme="minorHAnsi"/>
          <w:sz w:val="24"/>
          <w:szCs w:val="24"/>
        </w:rPr>
        <w:t>lies in</w:t>
      </w:r>
      <w:r w:rsidR="00AD0B45" w:rsidRPr="005927F3">
        <w:rPr>
          <w:rFonts w:cstheme="minorHAnsi"/>
          <w:sz w:val="24"/>
          <w:szCs w:val="24"/>
        </w:rPr>
        <w:t xml:space="preserve"> </w:t>
      </w:r>
      <w:r w:rsidR="00D672B9" w:rsidRPr="005927F3">
        <w:rPr>
          <w:rFonts w:cstheme="minorHAnsi"/>
          <w:sz w:val="24"/>
          <w:szCs w:val="24"/>
        </w:rPr>
        <w:t xml:space="preserve">the </w:t>
      </w:r>
      <w:r w:rsidR="00AB6848" w:rsidRPr="005927F3">
        <w:rPr>
          <w:rFonts w:cstheme="minorHAnsi"/>
          <w:sz w:val="24"/>
          <w:szCs w:val="24"/>
        </w:rPr>
        <w:t xml:space="preserve">strict </w:t>
      </w:r>
      <w:r w:rsidR="001E236D" w:rsidRPr="005927F3">
        <w:rPr>
          <w:rFonts w:cstheme="minorHAnsi"/>
          <w:sz w:val="24"/>
          <w:szCs w:val="24"/>
        </w:rPr>
        <w:t>hierarchical</w:t>
      </w:r>
      <w:r w:rsidR="00AD0B45" w:rsidRPr="005927F3">
        <w:rPr>
          <w:rFonts w:cstheme="minorHAnsi"/>
          <w:sz w:val="24"/>
          <w:szCs w:val="24"/>
        </w:rPr>
        <w:t xml:space="preserve"> </w:t>
      </w:r>
      <w:r w:rsidR="00C71BB3" w:rsidRPr="005927F3">
        <w:rPr>
          <w:rFonts w:cstheme="minorHAnsi"/>
          <w:sz w:val="24"/>
          <w:szCs w:val="24"/>
        </w:rPr>
        <w:t>nature</w:t>
      </w:r>
      <w:r w:rsidR="00D672B9" w:rsidRPr="005927F3">
        <w:rPr>
          <w:rFonts w:cstheme="minorHAnsi"/>
          <w:sz w:val="24"/>
          <w:szCs w:val="24"/>
        </w:rPr>
        <w:t xml:space="preserve"> </w:t>
      </w:r>
      <w:r w:rsidR="00AD0B45" w:rsidRPr="005927F3">
        <w:rPr>
          <w:rFonts w:cstheme="minorHAnsi"/>
          <w:sz w:val="24"/>
          <w:szCs w:val="24"/>
        </w:rPr>
        <w:t>of</w:t>
      </w:r>
      <w:r w:rsidR="001E236D" w:rsidRPr="005927F3">
        <w:rPr>
          <w:rFonts w:cstheme="minorHAnsi"/>
          <w:sz w:val="24"/>
          <w:szCs w:val="24"/>
        </w:rPr>
        <w:t xml:space="preserve"> Eur</w:t>
      </w:r>
      <w:r w:rsidR="004C15B5" w:rsidRPr="005927F3">
        <w:rPr>
          <w:rFonts w:cstheme="minorHAnsi"/>
          <w:sz w:val="24"/>
          <w:szCs w:val="24"/>
        </w:rPr>
        <w:t>opean societies where</w:t>
      </w:r>
      <w:r w:rsidR="001E236D" w:rsidRPr="005927F3">
        <w:rPr>
          <w:rFonts w:cstheme="minorHAnsi"/>
          <w:sz w:val="24"/>
          <w:szCs w:val="24"/>
        </w:rPr>
        <w:t xml:space="preserve"> public humiliation was</w:t>
      </w:r>
      <w:r w:rsidR="00BA7AC2" w:rsidRPr="005927F3">
        <w:rPr>
          <w:rFonts w:cstheme="minorHAnsi"/>
          <w:sz w:val="24"/>
          <w:szCs w:val="24"/>
        </w:rPr>
        <w:t xml:space="preserve"> </w:t>
      </w:r>
      <w:r w:rsidR="004C15B5" w:rsidRPr="005927F3">
        <w:rPr>
          <w:rFonts w:cstheme="minorHAnsi"/>
          <w:sz w:val="24"/>
          <w:szCs w:val="24"/>
        </w:rPr>
        <w:t xml:space="preserve">used </w:t>
      </w:r>
      <w:r w:rsidR="001E236D" w:rsidRPr="005927F3">
        <w:rPr>
          <w:rFonts w:cstheme="minorHAnsi"/>
          <w:sz w:val="24"/>
          <w:szCs w:val="24"/>
        </w:rPr>
        <w:t>a</w:t>
      </w:r>
      <w:r w:rsidR="001F37CD" w:rsidRPr="005927F3">
        <w:rPr>
          <w:rFonts w:cstheme="minorHAnsi"/>
          <w:sz w:val="24"/>
          <w:szCs w:val="24"/>
        </w:rPr>
        <w:t>s a</w:t>
      </w:r>
      <w:r w:rsidR="00B146C6" w:rsidRPr="005927F3">
        <w:rPr>
          <w:rFonts w:cstheme="minorHAnsi"/>
          <w:sz w:val="24"/>
          <w:szCs w:val="24"/>
        </w:rPr>
        <w:t xml:space="preserve"> </w:t>
      </w:r>
      <w:r w:rsidR="00BA7AC2" w:rsidRPr="005927F3">
        <w:rPr>
          <w:rFonts w:cstheme="minorHAnsi"/>
          <w:sz w:val="24"/>
          <w:szCs w:val="24"/>
        </w:rPr>
        <w:t>political tool for</w:t>
      </w:r>
      <w:r w:rsidR="001E236D" w:rsidRPr="005927F3">
        <w:rPr>
          <w:rFonts w:cstheme="minorHAnsi"/>
          <w:sz w:val="24"/>
          <w:szCs w:val="24"/>
        </w:rPr>
        <w:t xml:space="preserve"> disempowerment</w:t>
      </w:r>
      <w:r w:rsidR="00F349C5" w:rsidRPr="005927F3">
        <w:rPr>
          <w:rFonts w:cstheme="minorHAnsi"/>
          <w:sz w:val="24"/>
          <w:szCs w:val="24"/>
        </w:rPr>
        <w:t xml:space="preserve">. </w:t>
      </w:r>
      <w:r w:rsidR="00244CB4" w:rsidRPr="005927F3">
        <w:rPr>
          <w:rFonts w:cstheme="minorHAnsi"/>
          <w:sz w:val="24"/>
          <w:szCs w:val="24"/>
        </w:rPr>
        <w:t>In</w:t>
      </w:r>
      <w:r w:rsidR="00F349C5" w:rsidRPr="005927F3">
        <w:rPr>
          <w:rFonts w:cstheme="minorHAnsi"/>
          <w:sz w:val="24"/>
          <w:szCs w:val="24"/>
        </w:rPr>
        <w:t xml:space="preserve"> </w:t>
      </w:r>
      <w:r w:rsidR="003E2433" w:rsidRPr="005927F3">
        <w:rPr>
          <w:rFonts w:cstheme="minorHAnsi"/>
          <w:i/>
          <w:sz w:val="24"/>
          <w:szCs w:val="24"/>
        </w:rPr>
        <w:t>The Politics of Humiliation:</w:t>
      </w:r>
      <w:r w:rsidR="00F349C5" w:rsidRPr="005927F3">
        <w:rPr>
          <w:rFonts w:cstheme="minorHAnsi"/>
          <w:i/>
          <w:sz w:val="24"/>
          <w:szCs w:val="24"/>
        </w:rPr>
        <w:t xml:space="preserve"> A Modern History</w:t>
      </w:r>
      <w:r w:rsidR="009B35B2" w:rsidRPr="005927F3">
        <w:rPr>
          <w:rStyle w:val="FootnoteReference"/>
          <w:rFonts w:cstheme="minorHAnsi"/>
          <w:sz w:val="24"/>
          <w:szCs w:val="24"/>
        </w:rPr>
        <w:footnoteReference w:id="45"/>
      </w:r>
      <w:r w:rsidR="00AD0B45" w:rsidRPr="005927F3">
        <w:rPr>
          <w:rFonts w:cstheme="minorHAnsi"/>
          <w:sz w:val="24"/>
          <w:szCs w:val="24"/>
        </w:rPr>
        <w:t xml:space="preserve"> </w:t>
      </w:r>
      <w:r w:rsidR="002579D0" w:rsidRPr="005927F3">
        <w:rPr>
          <w:rFonts w:cstheme="minorHAnsi"/>
          <w:sz w:val="24"/>
          <w:szCs w:val="24"/>
        </w:rPr>
        <w:t xml:space="preserve">the historian </w:t>
      </w:r>
      <w:r w:rsidR="00F349C5" w:rsidRPr="005927F3">
        <w:rPr>
          <w:rFonts w:cstheme="minorHAnsi"/>
          <w:sz w:val="24"/>
          <w:szCs w:val="24"/>
        </w:rPr>
        <w:t xml:space="preserve">Ute Frevert </w:t>
      </w:r>
      <w:r w:rsidR="00B146C6" w:rsidRPr="005927F3">
        <w:rPr>
          <w:rFonts w:cstheme="minorHAnsi"/>
          <w:sz w:val="24"/>
          <w:szCs w:val="24"/>
        </w:rPr>
        <w:t>shows</w:t>
      </w:r>
      <w:r w:rsidR="009B35B2" w:rsidRPr="005927F3">
        <w:rPr>
          <w:rFonts w:cstheme="minorHAnsi"/>
          <w:sz w:val="24"/>
          <w:szCs w:val="24"/>
        </w:rPr>
        <w:t xml:space="preserve"> </w:t>
      </w:r>
      <w:r w:rsidR="00F349C5" w:rsidRPr="005927F3">
        <w:rPr>
          <w:rFonts w:cstheme="minorHAnsi"/>
          <w:sz w:val="24"/>
          <w:szCs w:val="24"/>
        </w:rPr>
        <w:t>how</w:t>
      </w:r>
      <w:r w:rsidR="00642D90" w:rsidRPr="005927F3">
        <w:rPr>
          <w:rFonts w:cstheme="minorHAnsi"/>
          <w:sz w:val="24"/>
          <w:szCs w:val="24"/>
        </w:rPr>
        <w:t xml:space="preserve"> </w:t>
      </w:r>
      <w:r w:rsidR="002579D0" w:rsidRPr="005927F3">
        <w:rPr>
          <w:rFonts w:cstheme="minorHAnsi"/>
          <w:sz w:val="24"/>
          <w:szCs w:val="24"/>
        </w:rPr>
        <w:t xml:space="preserve">a gradual shift </w:t>
      </w:r>
      <w:r w:rsidR="00BA7AC2" w:rsidRPr="005927F3">
        <w:rPr>
          <w:rFonts w:cstheme="minorHAnsi"/>
          <w:sz w:val="24"/>
          <w:szCs w:val="24"/>
        </w:rPr>
        <w:t>from humiliation to dignity</w:t>
      </w:r>
      <w:r w:rsidR="009B35B2" w:rsidRPr="005927F3">
        <w:rPr>
          <w:rFonts w:cstheme="minorHAnsi"/>
          <w:sz w:val="24"/>
          <w:szCs w:val="24"/>
        </w:rPr>
        <w:t xml:space="preserve"> occur</w:t>
      </w:r>
      <w:r w:rsidR="00642D90" w:rsidRPr="005927F3">
        <w:rPr>
          <w:rFonts w:cstheme="minorHAnsi"/>
          <w:sz w:val="24"/>
          <w:szCs w:val="24"/>
        </w:rPr>
        <w:t>red</w:t>
      </w:r>
      <w:r w:rsidR="00F349C5" w:rsidRPr="005927F3">
        <w:rPr>
          <w:rFonts w:cstheme="minorHAnsi"/>
          <w:sz w:val="24"/>
          <w:szCs w:val="24"/>
        </w:rPr>
        <w:t xml:space="preserve"> </w:t>
      </w:r>
      <w:r w:rsidR="002579D0" w:rsidRPr="005927F3">
        <w:rPr>
          <w:rFonts w:cstheme="minorHAnsi"/>
          <w:sz w:val="24"/>
          <w:szCs w:val="24"/>
        </w:rPr>
        <w:t xml:space="preserve">in Europe </w:t>
      </w:r>
      <w:r w:rsidR="004C15B5" w:rsidRPr="005927F3">
        <w:rPr>
          <w:rFonts w:cstheme="minorHAnsi"/>
          <w:sz w:val="24"/>
          <w:szCs w:val="24"/>
        </w:rPr>
        <w:t>from the early 19</w:t>
      </w:r>
      <w:r w:rsidR="004C15B5" w:rsidRPr="005927F3">
        <w:rPr>
          <w:rFonts w:cstheme="minorHAnsi"/>
          <w:sz w:val="24"/>
          <w:szCs w:val="24"/>
          <w:vertAlign w:val="superscript"/>
        </w:rPr>
        <w:t>th</w:t>
      </w:r>
      <w:r w:rsidR="004C15B5" w:rsidRPr="005927F3">
        <w:rPr>
          <w:rFonts w:cstheme="minorHAnsi"/>
          <w:sz w:val="24"/>
          <w:szCs w:val="24"/>
        </w:rPr>
        <w:t xml:space="preserve"> </w:t>
      </w:r>
      <w:r w:rsidR="00B64F63" w:rsidRPr="005927F3">
        <w:rPr>
          <w:rFonts w:cstheme="minorHAnsi"/>
          <w:sz w:val="24"/>
          <w:szCs w:val="24"/>
        </w:rPr>
        <w:t>century</w:t>
      </w:r>
      <w:r w:rsidR="00ED63B8" w:rsidRPr="005927F3">
        <w:rPr>
          <w:rFonts w:cstheme="minorHAnsi"/>
          <w:sz w:val="24"/>
          <w:szCs w:val="24"/>
        </w:rPr>
        <w:t>:</w:t>
      </w:r>
    </w:p>
    <w:p w14:paraId="25B97275" w14:textId="77777777" w:rsidR="00DA2D62" w:rsidRPr="005927F3" w:rsidRDefault="00DA2D62" w:rsidP="008B308D">
      <w:pPr>
        <w:autoSpaceDE w:val="0"/>
        <w:autoSpaceDN w:val="0"/>
        <w:adjustRightInd w:val="0"/>
        <w:spacing w:after="0" w:line="240" w:lineRule="auto"/>
        <w:jc w:val="both"/>
        <w:rPr>
          <w:rFonts w:cstheme="minorHAnsi"/>
          <w:sz w:val="24"/>
          <w:szCs w:val="24"/>
        </w:rPr>
      </w:pPr>
    </w:p>
    <w:p w14:paraId="5668BF14" w14:textId="34F3B041" w:rsidR="00ED63B8" w:rsidRPr="005927F3" w:rsidRDefault="005423ED" w:rsidP="008B308D">
      <w:pPr>
        <w:autoSpaceDE w:val="0"/>
        <w:autoSpaceDN w:val="0"/>
        <w:adjustRightInd w:val="0"/>
        <w:spacing w:after="0" w:line="240" w:lineRule="auto"/>
        <w:ind w:left="720"/>
        <w:jc w:val="both"/>
        <w:rPr>
          <w:rFonts w:cstheme="minorHAnsi"/>
          <w:sz w:val="24"/>
          <w:szCs w:val="24"/>
        </w:rPr>
      </w:pPr>
      <w:r w:rsidRPr="005927F3">
        <w:rPr>
          <w:rFonts w:cstheme="minorHAnsi"/>
          <w:sz w:val="24"/>
          <w:szCs w:val="24"/>
        </w:rPr>
        <w:t xml:space="preserve"> </w:t>
      </w:r>
      <w:r w:rsidR="00B64F63" w:rsidRPr="005927F3">
        <w:rPr>
          <w:rFonts w:cstheme="minorHAnsi"/>
          <w:sz w:val="24"/>
          <w:szCs w:val="24"/>
        </w:rPr>
        <w:t>‘</w:t>
      </w:r>
      <w:r w:rsidR="003753B7" w:rsidRPr="005927F3">
        <w:rPr>
          <w:rFonts w:cstheme="minorHAnsi"/>
          <w:sz w:val="24"/>
          <w:szCs w:val="24"/>
        </w:rPr>
        <w:t>[A]s l</w:t>
      </w:r>
      <w:r w:rsidR="004C15B5" w:rsidRPr="005927F3">
        <w:rPr>
          <w:rFonts w:cstheme="minorHAnsi"/>
          <w:sz w:val="24"/>
          <w:szCs w:val="24"/>
        </w:rPr>
        <w:t>ower-class people increasingly objected to disrespectful treatment… [</w:t>
      </w:r>
      <w:r w:rsidR="003753B7" w:rsidRPr="005927F3">
        <w:rPr>
          <w:rFonts w:cstheme="minorHAnsi"/>
          <w:sz w:val="24"/>
          <w:szCs w:val="24"/>
        </w:rPr>
        <w:t>they</w:t>
      </w:r>
      <w:r w:rsidR="004C15B5" w:rsidRPr="005927F3">
        <w:rPr>
          <w:rFonts w:cstheme="minorHAnsi"/>
          <w:sz w:val="24"/>
          <w:szCs w:val="24"/>
        </w:rPr>
        <w:t>]</w:t>
      </w:r>
      <w:r w:rsidR="00032C87" w:rsidRPr="005927F3">
        <w:rPr>
          <w:rFonts w:cstheme="minorHAnsi"/>
          <w:sz w:val="24"/>
          <w:szCs w:val="24"/>
        </w:rPr>
        <w:t xml:space="preserve"> </w:t>
      </w:r>
      <w:r w:rsidR="004C15B5" w:rsidRPr="005927F3">
        <w:rPr>
          <w:rFonts w:cstheme="minorHAnsi"/>
          <w:sz w:val="24"/>
          <w:szCs w:val="24"/>
        </w:rPr>
        <w:t xml:space="preserve">used the language of honour and concepts of personal and social self-worth – previously monopolised by the nobility and upper-middle classes – to demand that they not be verbally and physically insulted by employers and overseers. This social change was enabled and supported by a new type of honour that followed the invention of ‘citizens’ (rather than subjects) in democratising societies. Citizens who carried political rights and duties were also seen as possessing civic honour. Traditionally, social honour had been stratified according to status and rank, but now civic honour pertained to </w:t>
      </w:r>
      <w:proofErr w:type="gramStart"/>
      <w:r w:rsidR="004C15B5" w:rsidRPr="005927F3">
        <w:rPr>
          <w:rFonts w:cstheme="minorHAnsi"/>
          <w:sz w:val="24"/>
          <w:szCs w:val="24"/>
        </w:rPr>
        <w:t>each and every</w:t>
      </w:r>
      <w:proofErr w:type="gramEnd"/>
      <w:r w:rsidR="004C15B5" w:rsidRPr="005927F3">
        <w:rPr>
          <w:rFonts w:cstheme="minorHAnsi"/>
          <w:sz w:val="24"/>
          <w:szCs w:val="24"/>
        </w:rPr>
        <w:t xml:space="preserve"> citizen, and this helped to raise their sel</w:t>
      </w:r>
      <w:r w:rsidR="00BA7AC2" w:rsidRPr="005927F3">
        <w:rPr>
          <w:rFonts w:cstheme="minorHAnsi"/>
          <w:sz w:val="24"/>
          <w:szCs w:val="24"/>
        </w:rPr>
        <w:t>f-esteem and self-consciousness</w:t>
      </w:r>
      <w:r w:rsidR="004C15B5" w:rsidRPr="005927F3">
        <w:rPr>
          <w:rFonts w:cstheme="minorHAnsi"/>
          <w:sz w:val="24"/>
          <w:szCs w:val="24"/>
        </w:rPr>
        <w:t>.’</w:t>
      </w:r>
      <w:r w:rsidR="004C15B5" w:rsidRPr="005927F3">
        <w:rPr>
          <w:rStyle w:val="FootnoteReference"/>
          <w:rFonts w:cstheme="minorHAnsi"/>
          <w:sz w:val="24"/>
          <w:szCs w:val="24"/>
        </w:rPr>
        <w:footnoteReference w:id="46"/>
      </w:r>
      <w:r w:rsidR="00AD0B45" w:rsidRPr="005927F3">
        <w:rPr>
          <w:rFonts w:cstheme="minorHAnsi"/>
          <w:sz w:val="24"/>
          <w:szCs w:val="24"/>
        </w:rPr>
        <w:t xml:space="preserve"> </w:t>
      </w:r>
    </w:p>
    <w:p w14:paraId="0B775489" w14:textId="77777777" w:rsidR="00895FCE" w:rsidRPr="005927F3" w:rsidRDefault="00895FCE" w:rsidP="008B308D">
      <w:pPr>
        <w:autoSpaceDE w:val="0"/>
        <w:autoSpaceDN w:val="0"/>
        <w:adjustRightInd w:val="0"/>
        <w:spacing w:after="0" w:line="240" w:lineRule="auto"/>
        <w:ind w:left="720"/>
        <w:jc w:val="both"/>
        <w:rPr>
          <w:rFonts w:cstheme="minorHAnsi"/>
          <w:sz w:val="24"/>
          <w:szCs w:val="24"/>
        </w:rPr>
      </w:pPr>
    </w:p>
    <w:p w14:paraId="7BF2BF51" w14:textId="619BC6EF" w:rsidR="00AD0B45" w:rsidRPr="005927F3" w:rsidRDefault="00191EF2" w:rsidP="008B308D">
      <w:pPr>
        <w:autoSpaceDE w:val="0"/>
        <w:autoSpaceDN w:val="0"/>
        <w:adjustRightInd w:val="0"/>
        <w:spacing w:after="0" w:line="240" w:lineRule="auto"/>
        <w:jc w:val="both"/>
        <w:rPr>
          <w:rFonts w:cstheme="minorHAnsi"/>
          <w:sz w:val="24"/>
          <w:szCs w:val="24"/>
        </w:rPr>
      </w:pPr>
      <w:r w:rsidRPr="005927F3">
        <w:rPr>
          <w:rFonts w:cstheme="minorHAnsi"/>
          <w:sz w:val="24"/>
          <w:szCs w:val="24"/>
        </w:rPr>
        <w:t>A</w:t>
      </w:r>
      <w:r w:rsidR="007A1F21" w:rsidRPr="005927F3">
        <w:rPr>
          <w:rFonts w:cstheme="minorHAnsi"/>
          <w:sz w:val="24"/>
          <w:szCs w:val="24"/>
        </w:rPr>
        <w:t>gainst this</w:t>
      </w:r>
      <w:r w:rsidR="000673F2" w:rsidRPr="005927F3">
        <w:rPr>
          <w:rFonts w:cstheme="minorHAnsi"/>
          <w:sz w:val="24"/>
          <w:szCs w:val="24"/>
        </w:rPr>
        <w:t xml:space="preserve"> social </w:t>
      </w:r>
      <w:r w:rsidR="007A1F21" w:rsidRPr="005927F3">
        <w:rPr>
          <w:rFonts w:cstheme="minorHAnsi"/>
          <w:sz w:val="24"/>
          <w:szCs w:val="24"/>
        </w:rPr>
        <w:t>background, hate spe</w:t>
      </w:r>
      <w:r w:rsidR="00C0298E" w:rsidRPr="005927F3">
        <w:rPr>
          <w:rFonts w:cstheme="minorHAnsi"/>
          <w:sz w:val="24"/>
          <w:szCs w:val="24"/>
        </w:rPr>
        <w:t>ech and</w:t>
      </w:r>
      <w:r w:rsidR="00ED63B8" w:rsidRPr="005927F3">
        <w:rPr>
          <w:rFonts w:cstheme="minorHAnsi"/>
          <w:sz w:val="24"/>
          <w:szCs w:val="24"/>
        </w:rPr>
        <w:t xml:space="preserve"> anti-discrimination law can</w:t>
      </w:r>
      <w:r w:rsidR="003C1581" w:rsidRPr="005927F3">
        <w:rPr>
          <w:rFonts w:cstheme="minorHAnsi"/>
          <w:sz w:val="24"/>
          <w:szCs w:val="24"/>
        </w:rPr>
        <w:t xml:space="preserve"> also</w:t>
      </w:r>
      <w:r w:rsidRPr="005927F3">
        <w:rPr>
          <w:rFonts w:cstheme="minorHAnsi"/>
          <w:sz w:val="24"/>
          <w:szCs w:val="24"/>
        </w:rPr>
        <w:t xml:space="preserve"> be read</w:t>
      </w:r>
      <w:r w:rsidR="007A1F21" w:rsidRPr="005927F3">
        <w:rPr>
          <w:rFonts w:cstheme="minorHAnsi"/>
          <w:sz w:val="24"/>
          <w:szCs w:val="24"/>
        </w:rPr>
        <w:t xml:space="preserve"> as legal regimes that intervene in p</w:t>
      </w:r>
      <w:r w:rsidR="00642D90" w:rsidRPr="005927F3">
        <w:rPr>
          <w:rFonts w:cstheme="minorHAnsi"/>
          <w:sz w:val="24"/>
          <w:szCs w:val="24"/>
        </w:rPr>
        <w:t>r</w:t>
      </w:r>
      <w:r w:rsidR="00D300E2" w:rsidRPr="005927F3">
        <w:rPr>
          <w:rFonts w:cstheme="minorHAnsi"/>
          <w:sz w:val="24"/>
          <w:szCs w:val="24"/>
        </w:rPr>
        <w:t>actices of public humiliation.</w:t>
      </w:r>
      <w:r w:rsidR="00890CFF" w:rsidRPr="005927F3">
        <w:rPr>
          <w:rStyle w:val="FootnoteReference"/>
          <w:rFonts w:cstheme="minorHAnsi"/>
          <w:sz w:val="24"/>
          <w:szCs w:val="24"/>
        </w:rPr>
        <w:footnoteReference w:id="47"/>
      </w:r>
      <w:r w:rsidR="00D300E2" w:rsidRPr="005927F3">
        <w:rPr>
          <w:rFonts w:cstheme="minorHAnsi"/>
          <w:sz w:val="24"/>
          <w:szCs w:val="24"/>
        </w:rPr>
        <w:t xml:space="preserve"> Equally, t</w:t>
      </w:r>
      <w:r w:rsidR="00642D90" w:rsidRPr="005927F3">
        <w:rPr>
          <w:rFonts w:cstheme="minorHAnsi"/>
          <w:sz w:val="24"/>
          <w:szCs w:val="24"/>
        </w:rPr>
        <w:t xml:space="preserve">he </w:t>
      </w:r>
      <w:r w:rsidR="005C2D38" w:rsidRPr="005927F3">
        <w:rPr>
          <w:rFonts w:cstheme="minorHAnsi"/>
          <w:sz w:val="24"/>
          <w:szCs w:val="24"/>
        </w:rPr>
        <w:t xml:space="preserve">right to </w:t>
      </w:r>
      <w:r w:rsidR="004C15B5" w:rsidRPr="005927F3">
        <w:rPr>
          <w:rFonts w:cstheme="minorHAnsi"/>
          <w:sz w:val="24"/>
          <w:szCs w:val="24"/>
        </w:rPr>
        <w:t>privacy</w:t>
      </w:r>
      <w:r w:rsidR="003E2433" w:rsidRPr="005927F3">
        <w:rPr>
          <w:rFonts w:cstheme="minorHAnsi"/>
          <w:sz w:val="24"/>
          <w:szCs w:val="24"/>
        </w:rPr>
        <w:t xml:space="preserve"> </w:t>
      </w:r>
      <w:r w:rsidR="00EE5FE9" w:rsidRPr="005927F3">
        <w:rPr>
          <w:rFonts w:cstheme="minorHAnsi"/>
          <w:sz w:val="24"/>
          <w:szCs w:val="24"/>
        </w:rPr>
        <w:t>–</w:t>
      </w:r>
      <w:r w:rsidR="005423ED" w:rsidRPr="005927F3">
        <w:rPr>
          <w:rFonts w:cstheme="minorHAnsi"/>
          <w:sz w:val="24"/>
          <w:szCs w:val="24"/>
        </w:rPr>
        <w:t xml:space="preserve"> based on the Roman </w:t>
      </w:r>
      <w:r w:rsidR="005C2D38" w:rsidRPr="005927F3">
        <w:rPr>
          <w:rFonts w:cstheme="minorHAnsi"/>
          <w:sz w:val="24"/>
          <w:szCs w:val="24"/>
        </w:rPr>
        <w:t xml:space="preserve">delict of </w:t>
      </w:r>
      <w:r w:rsidR="00032C87" w:rsidRPr="005927F3">
        <w:rPr>
          <w:rFonts w:cstheme="minorHAnsi"/>
          <w:i/>
          <w:iCs/>
          <w:sz w:val="24"/>
          <w:szCs w:val="24"/>
        </w:rPr>
        <w:t>injuria</w:t>
      </w:r>
      <w:r w:rsidR="005A46DF" w:rsidRPr="005927F3">
        <w:rPr>
          <w:rFonts w:cstheme="minorHAnsi"/>
          <w:sz w:val="24"/>
          <w:szCs w:val="24"/>
        </w:rPr>
        <w:t>,</w:t>
      </w:r>
      <w:r w:rsidR="00032C87" w:rsidRPr="005927F3">
        <w:rPr>
          <w:rFonts w:cstheme="minorHAnsi"/>
          <w:sz w:val="24"/>
          <w:szCs w:val="24"/>
        </w:rPr>
        <w:t xml:space="preserve"> </w:t>
      </w:r>
      <w:r w:rsidR="00B379A5" w:rsidRPr="005927F3">
        <w:rPr>
          <w:rFonts w:cstheme="minorHAnsi"/>
          <w:sz w:val="24"/>
          <w:szCs w:val="24"/>
        </w:rPr>
        <w:t>concerned with a person’s ‘</w:t>
      </w:r>
      <w:r w:rsidR="00B379A5" w:rsidRPr="005927F3">
        <w:rPr>
          <w:color w:val="221E1F"/>
          <w:sz w:val="24"/>
          <w:szCs w:val="24"/>
        </w:rPr>
        <w:t>fame, reputation and honour’</w:t>
      </w:r>
      <w:r w:rsidR="00B379A5" w:rsidRPr="005927F3">
        <w:rPr>
          <w:rStyle w:val="FootnoteReference"/>
          <w:rFonts w:cstheme="minorHAnsi"/>
          <w:sz w:val="24"/>
          <w:szCs w:val="24"/>
        </w:rPr>
        <w:footnoteReference w:id="48"/>
      </w:r>
      <w:r w:rsidR="00B379A5" w:rsidRPr="005927F3">
        <w:rPr>
          <w:rFonts w:cstheme="minorHAnsi"/>
          <w:sz w:val="24"/>
          <w:szCs w:val="24"/>
        </w:rPr>
        <w:t xml:space="preserve"> </w:t>
      </w:r>
      <w:r w:rsidR="00B64F63" w:rsidRPr="005927F3">
        <w:rPr>
          <w:rFonts w:cstheme="minorHAnsi"/>
          <w:sz w:val="24"/>
          <w:szCs w:val="24"/>
        </w:rPr>
        <w:t xml:space="preserve"> </w:t>
      </w:r>
      <w:r w:rsidR="00B379A5" w:rsidRPr="005927F3">
        <w:rPr>
          <w:rFonts w:cstheme="minorHAnsi"/>
          <w:sz w:val="24"/>
          <w:szCs w:val="24"/>
        </w:rPr>
        <w:t xml:space="preserve">and directed </w:t>
      </w:r>
      <w:r w:rsidR="003E2433" w:rsidRPr="005927F3">
        <w:rPr>
          <w:rFonts w:cstheme="minorHAnsi"/>
          <w:sz w:val="24"/>
          <w:szCs w:val="24"/>
        </w:rPr>
        <w:t>against insul</w:t>
      </w:r>
      <w:r w:rsidR="00CF0585" w:rsidRPr="005927F3">
        <w:rPr>
          <w:rFonts w:cstheme="minorHAnsi"/>
          <w:sz w:val="24"/>
          <w:szCs w:val="24"/>
        </w:rPr>
        <w:t>t</w:t>
      </w:r>
      <w:r w:rsidR="00B379A5" w:rsidRPr="005927F3">
        <w:rPr>
          <w:rFonts w:cstheme="minorHAnsi"/>
          <w:sz w:val="24"/>
          <w:szCs w:val="24"/>
        </w:rPr>
        <w:t xml:space="preserve"> </w:t>
      </w:r>
      <w:r w:rsidR="003E2433" w:rsidRPr="005927F3">
        <w:rPr>
          <w:rFonts w:cstheme="minorHAnsi"/>
          <w:sz w:val="24"/>
          <w:szCs w:val="24"/>
        </w:rPr>
        <w:t>–</w:t>
      </w:r>
      <w:r w:rsidR="009B35B2" w:rsidRPr="005927F3">
        <w:rPr>
          <w:rFonts w:cstheme="minorHAnsi"/>
          <w:sz w:val="24"/>
          <w:szCs w:val="24"/>
        </w:rPr>
        <w:t xml:space="preserve"> </w:t>
      </w:r>
      <w:r w:rsidR="00642D90" w:rsidRPr="005927F3">
        <w:rPr>
          <w:rFonts w:cstheme="minorHAnsi"/>
          <w:sz w:val="24"/>
          <w:szCs w:val="24"/>
        </w:rPr>
        <w:t xml:space="preserve">is deeply inscribed with the idea of </w:t>
      </w:r>
      <w:r w:rsidR="00F932EC" w:rsidRPr="005927F3">
        <w:rPr>
          <w:rFonts w:cstheme="minorHAnsi"/>
          <w:sz w:val="24"/>
          <w:szCs w:val="24"/>
        </w:rPr>
        <w:t xml:space="preserve">levelling up, </w:t>
      </w:r>
      <w:r w:rsidR="003E2433" w:rsidRPr="005927F3">
        <w:rPr>
          <w:rFonts w:cstheme="minorHAnsi"/>
          <w:sz w:val="24"/>
          <w:szCs w:val="24"/>
        </w:rPr>
        <w:t>or democratisation</w:t>
      </w:r>
      <w:r w:rsidR="00F932EC" w:rsidRPr="005927F3">
        <w:rPr>
          <w:rFonts w:cstheme="minorHAnsi"/>
          <w:sz w:val="24"/>
          <w:szCs w:val="24"/>
        </w:rPr>
        <w:t>,</w:t>
      </w:r>
      <w:r w:rsidR="003E2433" w:rsidRPr="005927F3">
        <w:rPr>
          <w:rFonts w:cstheme="minorHAnsi"/>
          <w:sz w:val="24"/>
          <w:szCs w:val="24"/>
        </w:rPr>
        <w:t xml:space="preserve"> </w:t>
      </w:r>
      <w:r w:rsidR="005423ED" w:rsidRPr="005927F3">
        <w:rPr>
          <w:rFonts w:cstheme="minorHAnsi"/>
          <w:sz w:val="24"/>
          <w:szCs w:val="24"/>
        </w:rPr>
        <w:t xml:space="preserve">by </w:t>
      </w:r>
      <w:r w:rsidR="003B055D" w:rsidRPr="005927F3">
        <w:rPr>
          <w:rFonts w:cstheme="minorHAnsi"/>
          <w:sz w:val="24"/>
          <w:szCs w:val="24"/>
        </w:rPr>
        <w:t>giving</w:t>
      </w:r>
      <w:r w:rsidR="00451FE4" w:rsidRPr="005927F3">
        <w:rPr>
          <w:rFonts w:cstheme="minorHAnsi"/>
          <w:sz w:val="24"/>
          <w:szCs w:val="24"/>
        </w:rPr>
        <w:t xml:space="preserve"> </w:t>
      </w:r>
      <w:r w:rsidR="00503934" w:rsidRPr="005927F3">
        <w:rPr>
          <w:rFonts w:cstheme="minorHAnsi"/>
          <w:sz w:val="24"/>
          <w:szCs w:val="24"/>
        </w:rPr>
        <w:t>everyone</w:t>
      </w:r>
      <w:r w:rsidR="00953A3F" w:rsidRPr="005927F3">
        <w:rPr>
          <w:rFonts w:cstheme="minorHAnsi"/>
          <w:sz w:val="24"/>
          <w:szCs w:val="24"/>
        </w:rPr>
        <w:t xml:space="preserve"> </w:t>
      </w:r>
      <w:r w:rsidR="00503934" w:rsidRPr="005927F3">
        <w:rPr>
          <w:rFonts w:cstheme="minorHAnsi"/>
          <w:sz w:val="24"/>
          <w:szCs w:val="24"/>
        </w:rPr>
        <w:t xml:space="preserve">some </w:t>
      </w:r>
      <w:r w:rsidR="005423ED" w:rsidRPr="005927F3">
        <w:rPr>
          <w:rFonts w:cstheme="minorHAnsi"/>
          <w:sz w:val="24"/>
          <w:szCs w:val="24"/>
        </w:rPr>
        <w:t>control</w:t>
      </w:r>
      <w:r w:rsidR="005A46DF" w:rsidRPr="005927F3">
        <w:rPr>
          <w:rFonts w:cstheme="minorHAnsi"/>
          <w:sz w:val="24"/>
          <w:szCs w:val="24"/>
        </w:rPr>
        <w:t xml:space="preserve"> </w:t>
      </w:r>
      <w:r w:rsidR="009B35B2" w:rsidRPr="005927F3">
        <w:rPr>
          <w:rFonts w:cstheme="minorHAnsi"/>
          <w:sz w:val="24"/>
          <w:szCs w:val="24"/>
        </w:rPr>
        <w:t xml:space="preserve">over </w:t>
      </w:r>
      <w:r w:rsidR="005A46DF" w:rsidRPr="005927F3">
        <w:rPr>
          <w:rFonts w:cstheme="minorHAnsi"/>
          <w:sz w:val="24"/>
          <w:szCs w:val="24"/>
        </w:rPr>
        <w:t>their public image</w:t>
      </w:r>
      <w:r w:rsidR="00244CB4" w:rsidRPr="005927F3">
        <w:rPr>
          <w:rFonts w:cstheme="minorHAnsi"/>
          <w:sz w:val="24"/>
          <w:szCs w:val="24"/>
        </w:rPr>
        <w:t>. I</w:t>
      </w:r>
      <w:r w:rsidR="00BA7AC2" w:rsidRPr="005927F3">
        <w:rPr>
          <w:rFonts w:cstheme="minorHAnsi"/>
          <w:sz w:val="24"/>
          <w:szCs w:val="24"/>
        </w:rPr>
        <w:t>n Whitman’</w:t>
      </w:r>
      <w:r w:rsidR="00032C87" w:rsidRPr="005927F3">
        <w:rPr>
          <w:rFonts w:cstheme="minorHAnsi"/>
          <w:sz w:val="24"/>
          <w:szCs w:val="24"/>
        </w:rPr>
        <w:t xml:space="preserve">s words: ‘Germany and France have been the </w:t>
      </w:r>
      <w:proofErr w:type="spellStart"/>
      <w:r w:rsidR="00032C87" w:rsidRPr="005927F3">
        <w:rPr>
          <w:rFonts w:cstheme="minorHAnsi"/>
          <w:sz w:val="24"/>
          <w:szCs w:val="24"/>
        </w:rPr>
        <w:t>theater</w:t>
      </w:r>
      <w:proofErr w:type="spellEnd"/>
      <w:r w:rsidR="00032C87" w:rsidRPr="005927F3">
        <w:rPr>
          <w:rFonts w:cstheme="minorHAnsi"/>
          <w:sz w:val="24"/>
          <w:szCs w:val="24"/>
        </w:rPr>
        <w:t xml:space="preserve"> of a </w:t>
      </w:r>
      <w:r w:rsidR="00526B3D" w:rsidRPr="005927F3">
        <w:rPr>
          <w:rFonts w:cstheme="minorHAnsi"/>
          <w:i/>
          <w:iCs/>
          <w:sz w:val="24"/>
          <w:szCs w:val="24"/>
        </w:rPr>
        <w:t>levelling</w:t>
      </w:r>
      <w:r w:rsidR="00032C87" w:rsidRPr="005927F3">
        <w:rPr>
          <w:rFonts w:cstheme="minorHAnsi"/>
          <w:i/>
          <w:iCs/>
          <w:sz w:val="24"/>
          <w:szCs w:val="24"/>
        </w:rPr>
        <w:t xml:space="preserve"> up, </w:t>
      </w:r>
      <w:r w:rsidR="00032C87" w:rsidRPr="005927F3">
        <w:rPr>
          <w:rFonts w:cstheme="minorHAnsi"/>
          <w:sz w:val="24"/>
          <w:szCs w:val="24"/>
        </w:rPr>
        <w:t>of an extension of historically high-status norms throughout the population.</w:t>
      </w:r>
      <w:r w:rsidR="00032C87" w:rsidRPr="005927F3">
        <w:rPr>
          <w:rFonts w:cstheme="minorHAnsi"/>
          <w:i/>
          <w:iCs/>
          <w:sz w:val="24"/>
          <w:szCs w:val="24"/>
        </w:rPr>
        <w:t xml:space="preserve"> </w:t>
      </w:r>
      <w:r w:rsidR="00032C87" w:rsidRPr="005927F3">
        <w:rPr>
          <w:rFonts w:cstheme="minorHAnsi"/>
          <w:sz w:val="24"/>
          <w:szCs w:val="24"/>
        </w:rPr>
        <w:t xml:space="preserve">As the French sociologist Philippe </w:t>
      </w:r>
      <w:proofErr w:type="spellStart"/>
      <w:r w:rsidR="00032C87" w:rsidRPr="005927F3">
        <w:rPr>
          <w:rFonts w:cstheme="minorHAnsi"/>
          <w:sz w:val="24"/>
          <w:szCs w:val="24"/>
        </w:rPr>
        <w:t>d'Iribame</w:t>
      </w:r>
      <w:proofErr w:type="spellEnd"/>
      <w:r w:rsidR="00032C87" w:rsidRPr="005927F3">
        <w:rPr>
          <w:rFonts w:cstheme="minorHAnsi"/>
          <w:sz w:val="24"/>
          <w:szCs w:val="24"/>
        </w:rPr>
        <w:t xml:space="preserve"> has elegantly put it, the promise of modern </w:t>
      </w:r>
      <w:r w:rsidR="00642D58" w:rsidRPr="005927F3">
        <w:rPr>
          <w:rFonts w:cstheme="minorHAnsi"/>
          <w:sz w:val="24"/>
          <w:szCs w:val="24"/>
        </w:rPr>
        <w:t>Continental</w:t>
      </w:r>
      <w:r w:rsidR="00032C87" w:rsidRPr="005927F3">
        <w:rPr>
          <w:rFonts w:cstheme="minorHAnsi"/>
          <w:sz w:val="24"/>
          <w:szCs w:val="24"/>
        </w:rPr>
        <w:t xml:space="preserve"> society is the promise that, </w:t>
      </w:r>
      <w:r w:rsidR="00032C87" w:rsidRPr="005927F3">
        <w:rPr>
          <w:rFonts w:cstheme="minorHAnsi"/>
          <w:sz w:val="24"/>
          <w:szCs w:val="24"/>
        </w:rPr>
        <w:lastRenderedPageBreak/>
        <w:t>where there were once masters and slaves, now "you shall all be masters!</w:t>
      </w:r>
      <w:r w:rsidR="005A46DF" w:rsidRPr="005927F3">
        <w:rPr>
          <w:rFonts w:cstheme="minorHAnsi"/>
          <w:sz w:val="24"/>
          <w:szCs w:val="24"/>
        </w:rPr>
        <w:t>”’</w:t>
      </w:r>
      <w:r w:rsidR="00032C87" w:rsidRPr="005927F3">
        <w:rPr>
          <w:rStyle w:val="FootnoteReference"/>
          <w:rFonts w:cstheme="minorHAnsi"/>
          <w:sz w:val="24"/>
          <w:szCs w:val="24"/>
        </w:rPr>
        <w:footnoteReference w:id="49"/>
      </w:r>
      <w:r w:rsidR="00BA7AC2" w:rsidRPr="005927F3">
        <w:rPr>
          <w:rFonts w:cstheme="minorHAnsi"/>
          <w:sz w:val="24"/>
          <w:szCs w:val="24"/>
        </w:rPr>
        <w:t xml:space="preserve"> </w:t>
      </w:r>
      <w:r w:rsidR="009444FA" w:rsidRPr="005927F3">
        <w:rPr>
          <w:rFonts w:cstheme="minorHAnsi"/>
          <w:sz w:val="24"/>
          <w:szCs w:val="24"/>
        </w:rPr>
        <w:t>While</w:t>
      </w:r>
      <w:r w:rsidR="005423ED" w:rsidRPr="005927F3">
        <w:rPr>
          <w:rFonts w:cstheme="minorHAnsi"/>
          <w:sz w:val="24"/>
          <w:szCs w:val="24"/>
        </w:rPr>
        <w:t xml:space="preserve"> </w:t>
      </w:r>
      <w:r w:rsidR="00032C87" w:rsidRPr="005927F3">
        <w:rPr>
          <w:rFonts w:cstheme="minorHAnsi"/>
          <w:sz w:val="24"/>
          <w:szCs w:val="24"/>
        </w:rPr>
        <w:t xml:space="preserve">privacy </w:t>
      </w:r>
      <w:r w:rsidR="008C10DC" w:rsidRPr="005927F3">
        <w:rPr>
          <w:rFonts w:cstheme="minorHAnsi"/>
          <w:sz w:val="24"/>
          <w:szCs w:val="24"/>
        </w:rPr>
        <w:t>as liberty suppor</w:t>
      </w:r>
      <w:r w:rsidR="009444FA" w:rsidRPr="005927F3">
        <w:rPr>
          <w:rFonts w:cstheme="minorHAnsi"/>
          <w:sz w:val="24"/>
          <w:szCs w:val="24"/>
        </w:rPr>
        <w:t>t</w:t>
      </w:r>
      <w:r w:rsidR="008C10DC" w:rsidRPr="005927F3">
        <w:rPr>
          <w:rFonts w:cstheme="minorHAnsi"/>
          <w:sz w:val="24"/>
          <w:szCs w:val="24"/>
        </w:rPr>
        <w:t>s</w:t>
      </w:r>
      <w:r w:rsidR="00032C87" w:rsidRPr="005927F3">
        <w:rPr>
          <w:rFonts w:cstheme="minorHAnsi"/>
          <w:sz w:val="24"/>
          <w:szCs w:val="24"/>
        </w:rPr>
        <w:t xml:space="preserve"> </w:t>
      </w:r>
      <w:r w:rsidR="005A46DF" w:rsidRPr="005927F3">
        <w:rPr>
          <w:rFonts w:cstheme="minorHAnsi"/>
          <w:sz w:val="24"/>
          <w:szCs w:val="24"/>
        </w:rPr>
        <w:t xml:space="preserve">the </w:t>
      </w:r>
      <w:r w:rsidR="00032C87" w:rsidRPr="005927F3">
        <w:rPr>
          <w:rFonts w:cstheme="minorHAnsi"/>
          <w:sz w:val="24"/>
          <w:szCs w:val="24"/>
        </w:rPr>
        <w:t xml:space="preserve">home as </w:t>
      </w:r>
      <w:r w:rsidR="005A46DF" w:rsidRPr="005927F3">
        <w:rPr>
          <w:rFonts w:cstheme="minorHAnsi"/>
          <w:sz w:val="24"/>
          <w:szCs w:val="24"/>
        </w:rPr>
        <w:t xml:space="preserve">the space </w:t>
      </w:r>
      <w:r w:rsidR="00032C87" w:rsidRPr="005927F3">
        <w:rPr>
          <w:rFonts w:cstheme="minorHAnsi"/>
          <w:sz w:val="24"/>
          <w:szCs w:val="24"/>
        </w:rPr>
        <w:t xml:space="preserve">for </w:t>
      </w:r>
      <w:r w:rsidR="00F349C5" w:rsidRPr="005927F3">
        <w:rPr>
          <w:rFonts w:cstheme="minorHAnsi"/>
          <w:sz w:val="24"/>
          <w:szCs w:val="24"/>
        </w:rPr>
        <w:t xml:space="preserve">one’s own </w:t>
      </w:r>
      <w:r w:rsidR="00032C87" w:rsidRPr="005927F3">
        <w:rPr>
          <w:rFonts w:cstheme="minorHAnsi"/>
          <w:sz w:val="24"/>
          <w:szCs w:val="24"/>
        </w:rPr>
        <w:t>master</w:t>
      </w:r>
      <w:r w:rsidR="00CF0585" w:rsidRPr="005927F3">
        <w:rPr>
          <w:rFonts w:cstheme="minorHAnsi"/>
          <w:sz w:val="24"/>
          <w:szCs w:val="24"/>
        </w:rPr>
        <w:t>y</w:t>
      </w:r>
      <w:r w:rsidR="005423ED" w:rsidRPr="005927F3">
        <w:rPr>
          <w:rFonts w:cstheme="minorHAnsi"/>
          <w:sz w:val="24"/>
          <w:szCs w:val="24"/>
        </w:rPr>
        <w:t xml:space="preserve">, in </w:t>
      </w:r>
      <w:r w:rsidR="00642D58" w:rsidRPr="005927F3">
        <w:rPr>
          <w:rFonts w:cstheme="minorHAnsi"/>
          <w:sz w:val="24"/>
          <w:szCs w:val="24"/>
        </w:rPr>
        <w:t>Continental</w:t>
      </w:r>
      <w:r w:rsidR="005423ED" w:rsidRPr="005927F3">
        <w:rPr>
          <w:rFonts w:cstheme="minorHAnsi"/>
          <w:sz w:val="24"/>
          <w:szCs w:val="24"/>
        </w:rPr>
        <w:t xml:space="preserve"> Europe</w:t>
      </w:r>
      <w:r w:rsidR="009444FA" w:rsidRPr="005927F3">
        <w:rPr>
          <w:rFonts w:cstheme="minorHAnsi"/>
          <w:sz w:val="24"/>
          <w:szCs w:val="24"/>
        </w:rPr>
        <w:t xml:space="preserve"> </w:t>
      </w:r>
      <w:r w:rsidR="00F932EC" w:rsidRPr="005927F3">
        <w:rPr>
          <w:rFonts w:cstheme="minorHAnsi"/>
          <w:sz w:val="24"/>
          <w:szCs w:val="24"/>
        </w:rPr>
        <w:t>being master</w:t>
      </w:r>
      <w:r w:rsidR="003B055D" w:rsidRPr="005927F3">
        <w:rPr>
          <w:rFonts w:cstheme="minorHAnsi"/>
          <w:sz w:val="24"/>
          <w:szCs w:val="24"/>
        </w:rPr>
        <w:t xml:space="preserve"> of one’s life</w:t>
      </w:r>
      <w:r w:rsidR="005423ED" w:rsidRPr="005927F3">
        <w:rPr>
          <w:rFonts w:cstheme="minorHAnsi"/>
          <w:sz w:val="24"/>
          <w:szCs w:val="24"/>
        </w:rPr>
        <w:t xml:space="preserve"> </w:t>
      </w:r>
      <w:r w:rsidR="005A46DF" w:rsidRPr="005927F3">
        <w:rPr>
          <w:rFonts w:cstheme="minorHAnsi"/>
          <w:sz w:val="24"/>
          <w:szCs w:val="24"/>
        </w:rPr>
        <w:t>deman</w:t>
      </w:r>
      <w:r w:rsidR="005423ED" w:rsidRPr="005927F3">
        <w:rPr>
          <w:rFonts w:cstheme="minorHAnsi"/>
          <w:sz w:val="24"/>
          <w:szCs w:val="24"/>
        </w:rPr>
        <w:t>ded</w:t>
      </w:r>
      <w:r w:rsidR="006C4556" w:rsidRPr="005927F3">
        <w:rPr>
          <w:rFonts w:cstheme="minorHAnsi"/>
          <w:sz w:val="24"/>
          <w:szCs w:val="24"/>
        </w:rPr>
        <w:t xml:space="preserve">, in the first instance, </w:t>
      </w:r>
      <w:r w:rsidR="00F932EC" w:rsidRPr="005927F3">
        <w:rPr>
          <w:rFonts w:cstheme="minorHAnsi"/>
          <w:sz w:val="24"/>
          <w:szCs w:val="24"/>
        </w:rPr>
        <w:t>equal</w:t>
      </w:r>
      <w:r w:rsidR="003E2433" w:rsidRPr="005927F3">
        <w:rPr>
          <w:rFonts w:cstheme="minorHAnsi"/>
          <w:sz w:val="24"/>
          <w:szCs w:val="24"/>
        </w:rPr>
        <w:t xml:space="preserve"> </w:t>
      </w:r>
      <w:r w:rsidR="00F349C5" w:rsidRPr="005927F3">
        <w:rPr>
          <w:rFonts w:cstheme="minorHAnsi"/>
          <w:sz w:val="24"/>
          <w:szCs w:val="24"/>
        </w:rPr>
        <w:t>respect</w:t>
      </w:r>
      <w:r w:rsidR="0032466A" w:rsidRPr="005927F3">
        <w:rPr>
          <w:rFonts w:cstheme="minorHAnsi"/>
          <w:sz w:val="24"/>
          <w:szCs w:val="24"/>
        </w:rPr>
        <w:t xml:space="preserve"> and d</w:t>
      </w:r>
      <w:r w:rsidR="005A46DF" w:rsidRPr="005927F3">
        <w:rPr>
          <w:rFonts w:cstheme="minorHAnsi"/>
          <w:sz w:val="24"/>
          <w:szCs w:val="24"/>
        </w:rPr>
        <w:t>ignity</w:t>
      </w:r>
      <w:r w:rsidR="00E532D5" w:rsidRPr="005927F3">
        <w:rPr>
          <w:rFonts w:cstheme="minorHAnsi"/>
          <w:sz w:val="24"/>
          <w:szCs w:val="24"/>
        </w:rPr>
        <w:t xml:space="preserve"> in the public realm</w:t>
      </w:r>
      <w:r w:rsidR="00F23467" w:rsidRPr="005927F3">
        <w:rPr>
          <w:rFonts w:cstheme="minorHAnsi"/>
          <w:sz w:val="24"/>
          <w:szCs w:val="24"/>
        </w:rPr>
        <w:t xml:space="preserve"> – or in </w:t>
      </w:r>
      <w:r w:rsidR="009826AA" w:rsidRPr="005927F3">
        <w:rPr>
          <w:rFonts w:cstheme="minorHAnsi"/>
          <w:sz w:val="24"/>
          <w:szCs w:val="24"/>
        </w:rPr>
        <w:t>Lord Hoffma</w:t>
      </w:r>
      <w:r w:rsidR="00F23467" w:rsidRPr="005927F3">
        <w:rPr>
          <w:rFonts w:cstheme="minorHAnsi"/>
          <w:sz w:val="24"/>
          <w:szCs w:val="24"/>
        </w:rPr>
        <w:t>n’s words</w:t>
      </w:r>
      <w:r w:rsidR="009826AA" w:rsidRPr="005927F3">
        <w:rPr>
          <w:rFonts w:cstheme="minorHAnsi"/>
          <w:sz w:val="24"/>
          <w:szCs w:val="24"/>
        </w:rPr>
        <w:t>: ‘Meddling with such matters [personal information] is metaphorically an invasion of my territory, a vi</w:t>
      </w:r>
      <w:r w:rsidR="00AF114E" w:rsidRPr="005927F3">
        <w:rPr>
          <w:rFonts w:cstheme="minorHAnsi"/>
          <w:sz w:val="24"/>
          <w:szCs w:val="24"/>
        </w:rPr>
        <w:t xml:space="preserve">olation of the castle of my </w:t>
      </w:r>
      <w:r w:rsidR="00AF114E" w:rsidRPr="005927F3">
        <w:rPr>
          <w:rFonts w:cstheme="minorHAnsi"/>
          <w:i/>
          <w:iCs/>
          <w:sz w:val="24"/>
          <w:szCs w:val="24"/>
        </w:rPr>
        <w:t>personhood</w:t>
      </w:r>
      <w:r w:rsidR="00AF114E" w:rsidRPr="005927F3">
        <w:rPr>
          <w:rFonts w:cstheme="minorHAnsi"/>
          <w:sz w:val="24"/>
          <w:szCs w:val="24"/>
        </w:rPr>
        <w:t>.’</w:t>
      </w:r>
      <w:r w:rsidR="00AF114E" w:rsidRPr="005927F3">
        <w:rPr>
          <w:rStyle w:val="FootnoteReference"/>
          <w:rFonts w:cstheme="minorHAnsi"/>
          <w:sz w:val="24"/>
          <w:szCs w:val="24"/>
        </w:rPr>
        <w:footnoteReference w:id="50"/>
      </w:r>
      <w:r w:rsidR="003E2433" w:rsidRPr="005927F3">
        <w:rPr>
          <w:rFonts w:cstheme="minorHAnsi"/>
          <w:sz w:val="24"/>
          <w:szCs w:val="24"/>
        </w:rPr>
        <w:t xml:space="preserve"> </w:t>
      </w:r>
      <w:r w:rsidR="00197DAD" w:rsidRPr="005927F3">
        <w:rPr>
          <w:rFonts w:cstheme="minorHAnsi"/>
          <w:sz w:val="24"/>
          <w:szCs w:val="24"/>
        </w:rPr>
        <w:t>This contextualises why, for example,</w:t>
      </w:r>
      <w:r w:rsidR="00431605" w:rsidRPr="005927F3">
        <w:rPr>
          <w:rFonts w:cstheme="minorHAnsi"/>
          <w:sz w:val="24"/>
          <w:szCs w:val="24"/>
        </w:rPr>
        <w:t xml:space="preserve"> human dignity is the overarching value of the German Constitution (Art 1(1)) followed by ‘the right to free development of one’s personality’ (Art 2(1)) from which privacy rights are derived. </w:t>
      </w:r>
      <w:r w:rsidR="001F37CD" w:rsidRPr="005927F3">
        <w:rPr>
          <w:rFonts w:cstheme="minorHAnsi"/>
          <w:sz w:val="24"/>
          <w:szCs w:val="24"/>
        </w:rPr>
        <w:t>G</w:t>
      </w:r>
      <w:r w:rsidR="00E532D5" w:rsidRPr="005927F3">
        <w:rPr>
          <w:rFonts w:cstheme="minorHAnsi"/>
          <w:sz w:val="24"/>
          <w:szCs w:val="24"/>
        </w:rPr>
        <w:t>iven</w:t>
      </w:r>
      <w:r w:rsidR="00B64F63" w:rsidRPr="005927F3">
        <w:rPr>
          <w:rFonts w:cstheme="minorHAnsi"/>
          <w:sz w:val="24"/>
          <w:szCs w:val="24"/>
        </w:rPr>
        <w:t xml:space="preserve"> the</w:t>
      </w:r>
      <w:r w:rsidR="00E532D5" w:rsidRPr="005927F3">
        <w:rPr>
          <w:rFonts w:cstheme="minorHAnsi"/>
          <w:sz w:val="24"/>
          <w:szCs w:val="24"/>
        </w:rPr>
        <w:t xml:space="preserve"> preoccupation with one’</w:t>
      </w:r>
      <w:r w:rsidR="00F76CEA" w:rsidRPr="005927F3">
        <w:rPr>
          <w:rFonts w:cstheme="minorHAnsi"/>
          <w:sz w:val="24"/>
          <w:szCs w:val="24"/>
        </w:rPr>
        <w:t>s dignified standing</w:t>
      </w:r>
      <w:r w:rsidR="00E532D5" w:rsidRPr="005927F3">
        <w:rPr>
          <w:rFonts w:cstheme="minorHAnsi"/>
          <w:sz w:val="24"/>
          <w:szCs w:val="24"/>
        </w:rPr>
        <w:t xml:space="preserve"> in public</w:t>
      </w:r>
      <w:r w:rsidR="00F76CEA" w:rsidRPr="005927F3">
        <w:rPr>
          <w:rFonts w:cstheme="minorHAnsi"/>
          <w:sz w:val="24"/>
          <w:szCs w:val="24"/>
        </w:rPr>
        <w:t xml:space="preserve">, </w:t>
      </w:r>
      <w:r w:rsidR="005B3ED5" w:rsidRPr="005927F3">
        <w:rPr>
          <w:rFonts w:cstheme="minorHAnsi"/>
          <w:sz w:val="24"/>
          <w:szCs w:val="24"/>
        </w:rPr>
        <w:t xml:space="preserve">the media </w:t>
      </w:r>
      <w:r w:rsidR="00192FBA" w:rsidRPr="005927F3">
        <w:rPr>
          <w:rFonts w:cstheme="minorHAnsi"/>
          <w:sz w:val="24"/>
          <w:szCs w:val="24"/>
        </w:rPr>
        <w:t>is often the</w:t>
      </w:r>
      <w:r w:rsidR="005B3ED5" w:rsidRPr="005927F3">
        <w:rPr>
          <w:rFonts w:cstheme="minorHAnsi"/>
          <w:sz w:val="24"/>
          <w:szCs w:val="24"/>
        </w:rPr>
        <w:t xml:space="preserve"> </w:t>
      </w:r>
      <w:r w:rsidR="00244CB4" w:rsidRPr="005927F3">
        <w:rPr>
          <w:rFonts w:cstheme="minorHAnsi"/>
          <w:sz w:val="24"/>
          <w:szCs w:val="24"/>
        </w:rPr>
        <w:t xml:space="preserve">target </w:t>
      </w:r>
      <w:r w:rsidR="005B3ED5" w:rsidRPr="005927F3">
        <w:rPr>
          <w:rFonts w:cstheme="minorHAnsi"/>
          <w:sz w:val="24"/>
          <w:szCs w:val="24"/>
        </w:rPr>
        <w:t xml:space="preserve">against </w:t>
      </w:r>
      <w:r w:rsidR="00451FE4" w:rsidRPr="005927F3">
        <w:rPr>
          <w:rFonts w:cstheme="minorHAnsi"/>
          <w:sz w:val="24"/>
          <w:szCs w:val="24"/>
        </w:rPr>
        <w:t xml:space="preserve">whom privacy </w:t>
      </w:r>
      <w:r w:rsidR="00F349C5" w:rsidRPr="005927F3">
        <w:rPr>
          <w:rFonts w:cstheme="minorHAnsi"/>
          <w:sz w:val="24"/>
          <w:szCs w:val="24"/>
        </w:rPr>
        <w:t>is</w:t>
      </w:r>
      <w:r w:rsidR="00451FE4" w:rsidRPr="005927F3">
        <w:rPr>
          <w:rFonts w:cstheme="minorHAnsi"/>
          <w:sz w:val="24"/>
          <w:szCs w:val="24"/>
        </w:rPr>
        <w:t xml:space="preserve"> </w:t>
      </w:r>
      <w:r w:rsidR="009B35B2" w:rsidRPr="005927F3">
        <w:rPr>
          <w:rFonts w:cstheme="minorHAnsi"/>
          <w:sz w:val="24"/>
          <w:szCs w:val="24"/>
        </w:rPr>
        <w:t>asserted,</w:t>
      </w:r>
      <w:r w:rsidR="006C4556" w:rsidRPr="005927F3">
        <w:rPr>
          <w:rStyle w:val="FootnoteReference"/>
          <w:rFonts w:cstheme="minorHAnsi"/>
          <w:sz w:val="24"/>
          <w:szCs w:val="24"/>
        </w:rPr>
        <w:footnoteReference w:id="51"/>
      </w:r>
      <w:r w:rsidR="00F932EC" w:rsidRPr="005927F3">
        <w:rPr>
          <w:rFonts w:cstheme="minorHAnsi"/>
          <w:sz w:val="24"/>
          <w:szCs w:val="24"/>
        </w:rPr>
        <w:t xml:space="preserve"> </w:t>
      </w:r>
      <w:r w:rsidR="001F37CD" w:rsidRPr="005927F3">
        <w:rPr>
          <w:rFonts w:cstheme="minorHAnsi"/>
          <w:sz w:val="24"/>
          <w:szCs w:val="24"/>
        </w:rPr>
        <w:t xml:space="preserve">although </w:t>
      </w:r>
      <w:r w:rsidR="00D300E2" w:rsidRPr="005927F3">
        <w:rPr>
          <w:rFonts w:cstheme="minorHAnsi"/>
          <w:sz w:val="24"/>
          <w:szCs w:val="24"/>
        </w:rPr>
        <w:t>the underlying</w:t>
      </w:r>
      <w:r w:rsidR="003E2433" w:rsidRPr="005927F3">
        <w:rPr>
          <w:rFonts w:cstheme="minorHAnsi"/>
          <w:sz w:val="24"/>
          <w:szCs w:val="24"/>
        </w:rPr>
        <w:t xml:space="preserve"> threat this </w:t>
      </w:r>
      <w:r w:rsidR="00B64F63" w:rsidRPr="005927F3">
        <w:rPr>
          <w:rFonts w:cstheme="minorHAnsi"/>
          <w:sz w:val="24"/>
          <w:szCs w:val="24"/>
        </w:rPr>
        <w:t xml:space="preserve">conception </w:t>
      </w:r>
      <w:r w:rsidR="003E2433" w:rsidRPr="005927F3">
        <w:rPr>
          <w:rFonts w:cstheme="minorHAnsi"/>
          <w:sz w:val="24"/>
          <w:szCs w:val="24"/>
        </w:rPr>
        <w:t>addresses</w:t>
      </w:r>
      <w:r w:rsidR="005B3ED5" w:rsidRPr="005927F3">
        <w:rPr>
          <w:rFonts w:cstheme="minorHAnsi"/>
          <w:sz w:val="24"/>
          <w:szCs w:val="24"/>
        </w:rPr>
        <w:t xml:space="preserve"> </w:t>
      </w:r>
      <w:r w:rsidR="009B35B2" w:rsidRPr="005927F3">
        <w:rPr>
          <w:rFonts w:cstheme="minorHAnsi"/>
          <w:sz w:val="24"/>
          <w:szCs w:val="24"/>
        </w:rPr>
        <w:t>lies in</w:t>
      </w:r>
      <w:r w:rsidR="00451FE4" w:rsidRPr="005927F3">
        <w:rPr>
          <w:rFonts w:cstheme="minorHAnsi"/>
          <w:sz w:val="24"/>
          <w:szCs w:val="24"/>
        </w:rPr>
        <w:t xml:space="preserve"> class divisions</w:t>
      </w:r>
      <w:r w:rsidR="0032466A" w:rsidRPr="005927F3">
        <w:rPr>
          <w:rFonts w:cstheme="minorHAnsi"/>
          <w:sz w:val="24"/>
          <w:szCs w:val="24"/>
        </w:rPr>
        <w:t xml:space="preserve"> and social hierarchies</w:t>
      </w:r>
      <w:r w:rsidR="00F211BC" w:rsidRPr="005927F3">
        <w:rPr>
          <w:rFonts w:cstheme="minorHAnsi"/>
          <w:sz w:val="24"/>
          <w:szCs w:val="24"/>
        </w:rPr>
        <w:t xml:space="preserve"> and their</w:t>
      </w:r>
      <w:r w:rsidR="0032466A" w:rsidRPr="005927F3">
        <w:rPr>
          <w:rFonts w:cstheme="minorHAnsi"/>
          <w:sz w:val="24"/>
          <w:szCs w:val="24"/>
        </w:rPr>
        <w:t xml:space="preserve"> formal </w:t>
      </w:r>
      <w:r w:rsidR="000673F2" w:rsidRPr="005927F3">
        <w:rPr>
          <w:rFonts w:cstheme="minorHAnsi"/>
          <w:sz w:val="24"/>
          <w:szCs w:val="24"/>
        </w:rPr>
        <w:t>and</w:t>
      </w:r>
      <w:r w:rsidR="0032466A" w:rsidRPr="005927F3">
        <w:rPr>
          <w:rFonts w:cstheme="minorHAnsi"/>
          <w:sz w:val="24"/>
          <w:szCs w:val="24"/>
        </w:rPr>
        <w:t xml:space="preserve"> informal maintenance t</w:t>
      </w:r>
      <w:r w:rsidR="000028AD" w:rsidRPr="005927F3">
        <w:rPr>
          <w:rFonts w:cstheme="minorHAnsi"/>
          <w:sz w:val="24"/>
          <w:szCs w:val="24"/>
        </w:rPr>
        <w:t xml:space="preserve">hrough </w:t>
      </w:r>
      <w:r w:rsidR="008C10DC" w:rsidRPr="005927F3">
        <w:rPr>
          <w:rFonts w:cstheme="minorHAnsi"/>
          <w:sz w:val="24"/>
          <w:szCs w:val="24"/>
        </w:rPr>
        <w:t xml:space="preserve">public </w:t>
      </w:r>
      <w:r w:rsidR="000028AD" w:rsidRPr="005927F3">
        <w:rPr>
          <w:rFonts w:cstheme="minorHAnsi"/>
          <w:sz w:val="24"/>
          <w:szCs w:val="24"/>
        </w:rPr>
        <w:t>humiliation</w:t>
      </w:r>
      <w:r w:rsidR="00451FE4" w:rsidRPr="005927F3">
        <w:rPr>
          <w:rFonts w:cstheme="minorHAnsi"/>
          <w:sz w:val="24"/>
          <w:szCs w:val="24"/>
        </w:rPr>
        <w:t>.</w:t>
      </w:r>
      <w:r w:rsidR="00B379A5" w:rsidRPr="005927F3">
        <w:rPr>
          <w:rStyle w:val="FootnoteReference"/>
          <w:rFonts w:cstheme="minorHAnsi"/>
          <w:sz w:val="24"/>
          <w:szCs w:val="24"/>
        </w:rPr>
        <w:footnoteReference w:id="52"/>
      </w:r>
      <w:r w:rsidR="00451FE4" w:rsidRPr="005927F3">
        <w:rPr>
          <w:rFonts w:cstheme="minorHAnsi"/>
          <w:sz w:val="24"/>
          <w:szCs w:val="24"/>
        </w:rPr>
        <w:t xml:space="preserve"> </w:t>
      </w:r>
      <w:r w:rsidR="00B65C88" w:rsidRPr="005927F3">
        <w:rPr>
          <w:rFonts w:cstheme="minorHAnsi"/>
          <w:sz w:val="24"/>
          <w:szCs w:val="24"/>
        </w:rPr>
        <w:t>In</w:t>
      </w:r>
      <w:r w:rsidR="00AD0B45" w:rsidRPr="005927F3">
        <w:rPr>
          <w:rFonts w:cstheme="minorHAnsi"/>
          <w:sz w:val="24"/>
          <w:szCs w:val="24"/>
        </w:rPr>
        <w:t xml:space="preserve"> its design, p</w:t>
      </w:r>
      <w:r w:rsidR="00B64F63" w:rsidRPr="005927F3">
        <w:rPr>
          <w:rFonts w:cstheme="minorHAnsi"/>
          <w:sz w:val="24"/>
          <w:szCs w:val="24"/>
        </w:rPr>
        <w:t>rivacy as</w:t>
      </w:r>
      <w:r w:rsidR="003E2433" w:rsidRPr="005927F3">
        <w:rPr>
          <w:rFonts w:cstheme="minorHAnsi"/>
          <w:sz w:val="24"/>
          <w:szCs w:val="24"/>
        </w:rPr>
        <w:t xml:space="preserve"> </w:t>
      </w:r>
      <w:r w:rsidR="009B35B2" w:rsidRPr="005927F3">
        <w:rPr>
          <w:rFonts w:cstheme="minorHAnsi"/>
          <w:sz w:val="24"/>
          <w:szCs w:val="24"/>
        </w:rPr>
        <w:t>dignity</w:t>
      </w:r>
      <w:r w:rsidR="003E2433" w:rsidRPr="005927F3">
        <w:rPr>
          <w:rFonts w:cstheme="minorHAnsi"/>
          <w:sz w:val="24"/>
          <w:szCs w:val="24"/>
        </w:rPr>
        <w:t xml:space="preserve"> </w:t>
      </w:r>
      <w:r w:rsidR="00C0298E" w:rsidRPr="005927F3">
        <w:rPr>
          <w:rFonts w:cstheme="minorHAnsi"/>
          <w:sz w:val="24"/>
          <w:szCs w:val="24"/>
        </w:rPr>
        <w:t>challenge</w:t>
      </w:r>
      <w:r w:rsidR="00CF0585" w:rsidRPr="005927F3">
        <w:rPr>
          <w:rFonts w:cstheme="minorHAnsi"/>
          <w:sz w:val="24"/>
          <w:szCs w:val="24"/>
        </w:rPr>
        <w:t>s</w:t>
      </w:r>
      <w:r w:rsidR="005B3ED5" w:rsidRPr="005927F3">
        <w:rPr>
          <w:rFonts w:cstheme="minorHAnsi"/>
          <w:sz w:val="24"/>
          <w:szCs w:val="24"/>
        </w:rPr>
        <w:t xml:space="preserve"> </w:t>
      </w:r>
      <w:r w:rsidR="00F211BC" w:rsidRPr="005927F3">
        <w:rPr>
          <w:rFonts w:cstheme="minorHAnsi"/>
          <w:sz w:val="24"/>
          <w:szCs w:val="24"/>
        </w:rPr>
        <w:t xml:space="preserve">the </w:t>
      </w:r>
      <w:r w:rsidR="009B35B2" w:rsidRPr="005927F3">
        <w:rPr>
          <w:rFonts w:cstheme="minorHAnsi"/>
          <w:sz w:val="24"/>
          <w:szCs w:val="24"/>
        </w:rPr>
        <w:t>elite</w:t>
      </w:r>
      <w:r w:rsidR="00C0298E" w:rsidRPr="005927F3">
        <w:rPr>
          <w:rFonts w:cstheme="minorHAnsi"/>
          <w:sz w:val="24"/>
          <w:szCs w:val="24"/>
        </w:rPr>
        <w:t>’s</w:t>
      </w:r>
      <w:r w:rsidR="005B3ED5" w:rsidRPr="005927F3">
        <w:rPr>
          <w:rFonts w:cstheme="minorHAnsi"/>
          <w:sz w:val="24"/>
          <w:szCs w:val="24"/>
        </w:rPr>
        <w:t xml:space="preserve"> prerogative</w:t>
      </w:r>
      <w:r w:rsidR="0032466A" w:rsidRPr="005927F3">
        <w:rPr>
          <w:rFonts w:cstheme="minorHAnsi"/>
          <w:sz w:val="24"/>
          <w:szCs w:val="24"/>
        </w:rPr>
        <w:t xml:space="preserve"> </w:t>
      </w:r>
      <w:r w:rsidR="005B3ED5" w:rsidRPr="005927F3">
        <w:rPr>
          <w:rFonts w:cstheme="minorHAnsi"/>
          <w:sz w:val="24"/>
          <w:szCs w:val="24"/>
        </w:rPr>
        <w:t xml:space="preserve">to honour </w:t>
      </w:r>
      <w:r w:rsidR="009B35B2" w:rsidRPr="005927F3">
        <w:rPr>
          <w:rFonts w:cstheme="minorHAnsi"/>
          <w:sz w:val="24"/>
          <w:szCs w:val="24"/>
        </w:rPr>
        <w:t>and dignity</w:t>
      </w:r>
      <w:r w:rsidR="003E2433" w:rsidRPr="005927F3">
        <w:rPr>
          <w:rFonts w:cstheme="minorHAnsi"/>
          <w:sz w:val="24"/>
          <w:szCs w:val="24"/>
        </w:rPr>
        <w:t>.</w:t>
      </w:r>
      <w:r w:rsidR="009826AA" w:rsidRPr="005927F3">
        <w:rPr>
          <w:rFonts w:cstheme="minorHAnsi"/>
          <w:sz w:val="24"/>
          <w:szCs w:val="24"/>
        </w:rPr>
        <w:t xml:space="preserve"> </w:t>
      </w:r>
    </w:p>
    <w:p w14:paraId="2AA2856E" w14:textId="77777777" w:rsidR="00AD0B45" w:rsidRPr="005927F3" w:rsidRDefault="00AD0B45" w:rsidP="008B308D">
      <w:pPr>
        <w:autoSpaceDE w:val="0"/>
        <w:autoSpaceDN w:val="0"/>
        <w:adjustRightInd w:val="0"/>
        <w:spacing w:after="0" w:line="240" w:lineRule="auto"/>
        <w:jc w:val="both"/>
        <w:rPr>
          <w:rFonts w:cstheme="minorHAnsi"/>
          <w:sz w:val="24"/>
          <w:szCs w:val="24"/>
        </w:rPr>
      </w:pPr>
    </w:p>
    <w:p w14:paraId="06268A17" w14:textId="77777777" w:rsidR="00F23467" w:rsidRPr="005927F3" w:rsidRDefault="00E52363" w:rsidP="008B308D">
      <w:pPr>
        <w:autoSpaceDE w:val="0"/>
        <w:autoSpaceDN w:val="0"/>
        <w:adjustRightInd w:val="0"/>
        <w:spacing w:after="0" w:line="240" w:lineRule="auto"/>
        <w:jc w:val="both"/>
        <w:rPr>
          <w:rFonts w:cstheme="minorHAnsi"/>
          <w:sz w:val="24"/>
          <w:szCs w:val="24"/>
        </w:rPr>
      </w:pPr>
      <w:r w:rsidRPr="005927F3">
        <w:rPr>
          <w:rFonts w:cstheme="minorHAnsi"/>
          <w:sz w:val="24"/>
          <w:szCs w:val="24"/>
        </w:rPr>
        <w:t xml:space="preserve">Reflecting on the </w:t>
      </w:r>
      <w:r w:rsidR="00895FCE" w:rsidRPr="005927F3">
        <w:rPr>
          <w:rFonts w:cstheme="minorHAnsi"/>
          <w:sz w:val="24"/>
          <w:szCs w:val="24"/>
        </w:rPr>
        <w:t xml:space="preserve">essential </w:t>
      </w:r>
      <w:r w:rsidRPr="005927F3">
        <w:rPr>
          <w:rFonts w:cstheme="minorHAnsi"/>
          <w:sz w:val="24"/>
          <w:szCs w:val="24"/>
        </w:rPr>
        <w:t>differences</w:t>
      </w:r>
      <w:r w:rsidR="00054A82" w:rsidRPr="005927F3">
        <w:rPr>
          <w:rFonts w:cstheme="minorHAnsi"/>
          <w:sz w:val="24"/>
          <w:szCs w:val="24"/>
        </w:rPr>
        <w:t xml:space="preserve"> between </w:t>
      </w:r>
      <w:r w:rsidRPr="005927F3">
        <w:rPr>
          <w:rFonts w:cstheme="minorHAnsi"/>
          <w:sz w:val="24"/>
          <w:szCs w:val="24"/>
        </w:rPr>
        <w:t xml:space="preserve">the two approaches, </w:t>
      </w:r>
      <w:r w:rsidR="00F932EC" w:rsidRPr="005927F3">
        <w:rPr>
          <w:rFonts w:cstheme="minorHAnsi"/>
          <w:sz w:val="24"/>
          <w:szCs w:val="24"/>
        </w:rPr>
        <w:t xml:space="preserve">Robert Post </w:t>
      </w:r>
      <w:r w:rsidR="008C10DC" w:rsidRPr="005927F3">
        <w:rPr>
          <w:rFonts w:cstheme="minorHAnsi"/>
          <w:sz w:val="24"/>
          <w:szCs w:val="24"/>
        </w:rPr>
        <w:t>argued</w:t>
      </w:r>
      <w:r w:rsidRPr="005927F3">
        <w:rPr>
          <w:rFonts w:cstheme="minorHAnsi"/>
          <w:sz w:val="24"/>
          <w:szCs w:val="24"/>
        </w:rPr>
        <w:t xml:space="preserve"> that</w:t>
      </w:r>
      <w:r w:rsidR="00F23467" w:rsidRPr="005927F3">
        <w:rPr>
          <w:rFonts w:cstheme="minorHAnsi"/>
          <w:sz w:val="24"/>
          <w:szCs w:val="24"/>
        </w:rPr>
        <w:t xml:space="preserve">: </w:t>
      </w:r>
      <w:r w:rsidR="00F932EC" w:rsidRPr="005927F3">
        <w:rPr>
          <w:rFonts w:cstheme="minorHAnsi"/>
          <w:sz w:val="24"/>
          <w:szCs w:val="24"/>
        </w:rPr>
        <w:t xml:space="preserve"> </w:t>
      </w:r>
    </w:p>
    <w:p w14:paraId="1305E68C" w14:textId="77777777" w:rsidR="00F23467" w:rsidRPr="005927F3" w:rsidRDefault="00F23467" w:rsidP="00F23467">
      <w:pPr>
        <w:autoSpaceDE w:val="0"/>
        <w:autoSpaceDN w:val="0"/>
        <w:adjustRightInd w:val="0"/>
        <w:spacing w:after="0" w:line="240" w:lineRule="auto"/>
        <w:ind w:left="720"/>
        <w:jc w:val="both"/>
        <w:rPr>
          <w:rFonts w:cstheme="minorHAnsi"/>
          <w:sz w:val="24"/>
          <w:szCs w:val="24"/>
        </w:rPr>
      </w:pPr>
    </w:p>
    <w:p w14:paraId="5B631052" w14:textId="0F8C437E" w:rsidR="00F23467" w:rsidRPr="005927F3" w:rsidRDefault="00F23467" w:rsidP="00F23467">
      <w:pPr>
        <w:autoSpaceDE w:val="0"/>
        <w:autoSpaceDN w:val="0"/>
        <w:adjustRightInd w:val="0"/>
        <w:spacing w:after="0" w:line="240" w:lineRule="auto"/>
        <w:ind w:left="720"/>
        <w:jc w:val="both"/>
        <w:rPr>
          <w:rFonts w:cstheme="minorHAnsi"/>
          <w:sz w:val="24"/>
          <w:szCs w:val="24"/>
        </w:rPr>
      </w:pPr>
      <w:r w:rsidRPr="005927F3">
        <w:rPr>
          <w:rFonts w:cstheme="minorHAnsi"/>
          <w:sz w:val="24"/>
          <w:szCs w:val="24"/>
        </w:rPr>
        <w:t>‘[</w:t>
      </w:r>
      <w:r w:rsidR="00895FCE" w:rsidRPr="005927F3">
        <w:rPr>
          <w:rFonts w:cstheme="minorHAnsi"/>
          <w:sz w:val="24"/>
          <w:szCs w:val="24"/>
        </w:rPr>
        <w:t>th</w:t>
      </w:r>
      <w:r w:rsidR="009D38B4" w:rsidRPr="005927F3">
        <w:rPr>
          <w:rFonts w:cstheme="minorHAnsi"/>
          <w:sz w:val="24"/>
          <w:szCs w:val="24"/>
        </w:rPr>
        <w:t>e</w:t>
      </w:r>
      <w:r w:rsidRPr="005927F3">
        <w:rPr>
          <w:rFonts w:cstheme="minorHAnsi"/>
          <w:sz w:val="24"/>
          <w:szCs w:val="24"/>
        </w:rPr>
        <w:t>]</w:t>
      </w:r>
      <w:r w:rsidR="00F932EC" w:rsidRPr="005927F3">
        <w:rPr>
          <w:rFonts w:cstheme="minorHAnsi"/>
          <w:sz w:val="24"/>
          <w:szCs w:val="24"/>
        </w:rPr>
        <w:t>concept of privacy as freedom is an almost exact inversion of the concept of privacy as dignity. Privacy as freedom presupposes difference, rather than mutuality. It contemplates a space in which social norms are suspended, rather than enforced. It imagines persons as autonomous and self-defining, rather than as socially embedded and tied together through common socialization into shared norms.’</w:t>
      </w:r>
      <w:r w:rsidR="00F932EC" w:rsidRPr="005927F3">
        <w:rPr>
          <w:rStyle w:val="FootnoteReference"/>
          <w:rFonts w:cstheme="minorHAnsi"/>
          <w:sz w:val="24"/>
          <w:szCs w:val="24"/>
        </w:rPr>
        <w:footnoteReference w:id="53"/>
      </w:r>
      <w:r w:rsidR="00F932EC" w:rsidRPr="005927F3">
        <w:rPr>
          <w:rFonts w:cstheme="minorHAnsi"/>
          <w:sz w:val="24"/>
          <w:szCs w:val="24"/>
        </w:rPr>
        <w:t xml:space="preserve"> </w:t>
      </w:r>
    </w:p>
    <w:p w14:paraId="4814B5C8" w14:textId="77777777" w:rsidR="00D613EE" w:rsidRPr="005927F3" w:rsidRDefault="00D613EE" w:rsidP="008B308D">
      <w:pPr>
        <w:autoSpaceDE w:val="0"/>
        <w:autoSpaceDN w:val="0"/>
        <w:adjustRightInd w:val="0"/>
        <w:spacing w:after="0" w:line="240" w:lineRule="auto"/>
        <w:jc w:val="both"/>
        <w:rPr>
          <w:rFonts w:cstheme="minorHAnsi"/>
          <w:sz w:val="24"/>
          <w:szCs w:val="24"/>
        </w:rPr>
      </w:pPr>
    </w:p>
    <w:p w14:paraId="37E5A24E" w14:textId="19E525B5" w:rsidR="00B65C88" w:rsidRPr="005927F3" w:rsidRDefault="00B64F63" w:rsidP="008B308D">
      <w:pPr>
        <w:autoSpaceDE w:val="0"/>
        <w:autoSpaceDN w:val="0"/>
        <w:adjustRightInd w:val="0"/>
        <w:spacing w:after="0" w:line="240" w:lineRule="auto"/>
        <w:jc w:val="both"/>
        <w:rPr>
          <w:rFonts w:cstheme="minorHAnsi"/>
          <w:sz w:val="24"/>
          <w:szCs w:val="24"/>
        </w:rPr>
      </w:pPr>
      <w:r w:rsidRPr="005927F3">
        <w:rPr>
          <w:rFonts w:cstheme="minorHAnsi"/>
          <w:sz w:val="24"/>
          <w:szCs w:val="24"/>
        </w:rPr>
        <w:t xml:space="preserve">Post’s </w:t>
      </w:r>
      <w:r w:rsidR="00054A82" w:rsidRPr="005927F3">
        <w:rPr>
          <w:rFonts w:cstheme="minorHAnsi"/>
          <w:sz w:val="24"/>
          <w:szCs w:val="24"/>
        </w:rPr>
        <w:t>analysis</w:t>
      </w:r>
      <w:r w:rsidRPr="005927F3">
        <w:rPr>
          <w:rFonts w:cstheme="minorHAnsi"/>
          <w:sz w:val="24"/>
          <w:szCs w:val="24"/>
        </w:rPr>
        <w:t xml:space="preserve"> is </w:t>
      </w:r>
      <w:r w:rsidR="00E627C4" w:rsidRPr="005927F3">
        <w:rPr>
          <w:rFonts w:cstheme="minorHAnsi"/>
          <w:sz w:val="24"/>
          <w:szCs w:val="24"/>
        </w:rPr>
        <w:t xml:space="preserve">persuasive </w:t>
      </w:r>
      <w:r w:rsidRPr="005927F3">
        <w:rPr>
          <w:rFonts w:cstheme="minorHAnsi"/>
          <w:sz w:val="24"/>
          <w:szCs w:val="24"/>
        </w:rPr>
        <w:t xml:space="preserve">in </w:t>
      </w:r>
      <w:r w:rsidR="00545BAE" w:rsidRPr="005927F3">
        <w:rPr>
          <w:rFonts w:cstheme="minorHAnsi"/>
          <w:sz w:val="24"/>
          <w:szCs w:val="24"/>
        </w:rPr>
        <w:t xml:space="preserve">so far as privacy as dignity </w:t>
      </w:r>
      <w:r w:rsidR="00545BAE" w:rsidRPr="005927F3">
        <w:rPr>
          <w:rFonts w:cstheme="minorHAnsi"/>
          <w:i/>
          <w:sz w:val="24"/>
          <w:szCs w:val="24"/>
        </w:rPr>
        <w:t>is</w:t>
      </w:r>
      <w:r w:rsidRPr="005927F3">
        <w:rPr>
          <w:rFonts w:cstheme="minorHAnsi"/>
          <w:sz w:val="24"/>
          <w:szCs w:val="24"/>
        </w:rPr>
        <w:t xml:space="preserve"> focused on mutuality</w:t>
      </w:r>
      <w:r w:rsidR="00895FCE" w:rsidRPr="005927F3">
        <w:rPr>
          <w:rFonts w:cstheme="minorHAnsi"/>
          <w:sz w:val="24"/>
          <w:szCs w:val="24"/>
        </w:rPr>
        <w:t xml:space="preserve"> or sameness through </w:t>
      </w:r>
      <w:r w:rsidRPr="005927F3">
        <w:rPr>
          <w:rFonts w:cstheme="minorHAnsi"/>
          <w:sz w:val="24"/>
          <w:szCs w:val="24"/>
        </w:rPr>
        <w:t>equal</w:t>
      </w:r>
      <w:r w:rsidR="0000181C" w:rsidRPr="005927F3">
        <w:rPr>
          <w:rFonts w:cstheme="minorHAnsi"/>
          <w:sz w:val="24"/>
          <w:szCs w:val="24"/>
        </w:rPr>
        <w:t xml:space="preserve"> entitlement to respect </w:t>
      </w:r>
      <w:r w:rsidRPr="005927F3">
        <w:rPr>
          <w:rFonts w:cstheme="minorHAnsi"/>
          <w:sz w:val="24"/>
          <w:szCs w:val="24"/>
        </w:rPr>
        <w:t>in the</w:t>
      </w:r>
      <w:r w:rsidR="00545BAE" w:rsidRPr="005927F3">
        <w:rPr>
          <w:rFonts w:cstheme="minorHAnsi"/>
          <w:sz w:val="24"/>
          <w:szCs w:val="24"/>
        </w:rPr>
        <w:t xml:space="preserve"> social</w:t>
      </w:r>
      <w:r w:rsidRPr="005927F3">
        <w:rPr>
          <w:rFonts w:cstheme="minorHAnsi"/>
          <w:sz w:val="24"/>
          <w:szCs w:val="24"/>
        </w:rPr>
        <w:t xml:space="preserve"> realm,</w:t>
      </w:r>
      <w:r w:rsidR="00814585" w:rsidRPr="005927F3">
        <w:rPr>
          <w:rFonts w:cstheme="minorHAnsi"/>
          <w:sz w:val="24"/>
          <w:szCs w:val="24"/>
        </w:rPr>
        <w:t xml:space="preserve"> but</w:t>
      </w:r>
      <w:r w:rsidRPr="005927F3">
        <w:rPr>
          <w:rFonts w:cstheme="minorHAnsi"/>
          <w:sz w:val="24"/>
          <w:szCs w:val="24"/>
        </w:rPr>
        <w:t xml:space="preserve"> </w:t>
      </w:r>
      <w:r w:rsidR="003C1581" w:rsidRPr="005927F3">
        <w:rPr>
          <w:rFonts w:cstheme="minorHAnsi"/>
          <w:sz w:val="24"/>
          <w:szCs w:val="24"/>
        </w:rPr>
        <w:t xml:space="preserve">is </w:t>
      </w:r>
      <w:r w:rsidR="00545BAE" w:rsidRPr="005927F3">
        <w:rPr>
          <w:rFonts w:cstheme="minorHAnsi"/>
          <w:sz w:val="24"/>
          <w:szCs w:val="24"/>
        </w:rPr>
        <w:t>mis</w:t>
      </w:r>
      <w:r w:rsidR="00FB30F9" w:rsidRPr="005927F3">
        <w:rPr>
          <w:rFonts w:cstheme="minorHAnsi"/>
          <w:sz w:val="24"/>
          <w:szCs w:val="24"/>
        </w:rPr>
        <w:t>leading</w:t>
      </w:r>
      <w:r w:rsidR="00814585" w:rsidRPr="005927F3">
        <w:rPr>
          <w:rFonts w:cstheme="minorHAnsi"/>
          <w:sz w:val="24"/>
          <w:szCs w:val="24"/>
        </w:rPr>
        <w:t xml:space="preserve"> in suggesting that this</w:t>
      </w:r>
      <w:r w:rsidR="003F0679" w:rsidRPr="005927F3">
        <w:rPr>
          <w:rFonts w:cstheme="minorHAnsi"/>
          <w:sz w:val="24"/>
          <w:szCs w:val="24"/>
        </w:rPr>
        <w:t xml:space="preserve"> view</w:t>
      </w:r>
      <w:r w:rsidR="00814585" w:rsidRPr="005927F3">
        <w:rPr>
          <w:rFonts w:cstheme="minorHAnsi"/>
          <w:sz w:val="24"/>
          <w:szCs w:val="24"/>
        </w:rPr>
        <w:t xml:space="preserve"> </w:t>
      </w:r>
      <w:r w:rsidR="00054A82" w:rsidRPr="005927F3">
        <w:rPr>
          <w:rFonts w:cstheme="minorHAnsi"/>
          <w:sz w:val="24"/>
          <w:szCs w:val="24"/>
        </w:rPr>
        <w:t xml:space="preserve">does </w:t>
      </w:r>
      <w:r w:rsidR="00814585" w:rsidRPr="005927F3">
        <w:rPr>
          <w:rFonts w:cstheme="minorHAnsi"/>
          <w:i/>
          <w:sz w:val="24"/>
          <w:szCs w:val="24"/>
        </w:rPr>
        <w:t>not</w:t>
      </w:r>
      <w:r w:rsidR="00814585" w:rsidRPr="005927F3">
        <w:rPr>
          <w:rFonts w:cstheme="minorHAnsi"/>
          <w:sz w:val="24"/>
          <w:szCs w:val="24"/>
        </w:rPr>
        <w:t xml:space="preserve"> imagine</w:t>
      </w:r>
      <w:r w:rsidR="00545BAE" w:rsidRPr="005927F3">
        <w:rPr>
          <w:rFonts w:cstheme="minorHAnsi"/>
          <w:sz w:val="24"/>
          <w:szCs w:val="24"/>
        </w:rPr>
        <w:t xml:space="preserve"> </w:t>
      </w:r>
      <w:r w:rsidRPr="005927F3">
        <w:rPr>
          <w:rFonts w:cstheme="minorHAnsi"/>
          <w:sz w:val="24"/>
          <w:szCs w:val="24"/>
        </w:rPr>
        <w:t xml:space="preserve">persons as </w:t>
      </w:r>
      <w:r w:rsidR="00545BAE" w:rsidRPr="005927F3">
        <w:rPr>
          <w:rFonts w:cstheme="minorHAnsi"/>
          <w:sz w:val="24"/>
          <w:szCs w:val="24"/>
        </w:rPr>
        <w:t>a</w:t>
      </w:r>
      <w:r w:rsidRPr="005927F3">
        <w:rPr>
          <w:rFonts w:cstheme="minorHAnsi"/>
          <w:sz w:val="24"/>
          <w:szCs w:val="24"/>
        </w:rPr>
        <w:t>utonomous</w:t>
      </w:r>
      <w:r w:rsidR="00545BAE" w:rsidRPr="005927F3">
        <w:rPr>
          <w:rFonts w:cstheme="minorHAnsi"/>
          <w:sz w:val="24"/>
          <w:szCs w:val="24"/>
        </w:rPr>
        <w:t xml:space="preserve"> and self-defining</w:t>
      </w:r>
      <w:r w:rsidR="003D0727" w:rsidRPr="005927F3">
        <w:rPr>
          <w:rFonts w:cstheme="minorHAnsi"/>
          <w:sz w:val="24"/>
          <w:szCs w:val="24"/>
        </w:rPr>
        <w:t xml:space="preserve"> </w:t>
      </w:r>
      <w:r w:rsidR="00660A97" w:rsidRPr="005927F3">
        <w:rPr>
          <w:rFonts w:cstheme="minorHAnsi"/>
          <w:sz w:val="24"/>
          <w:szCs w:val="24"/>
        </w:rPr>
        <w:t>and ‘seeks to eliminate differences by bringing all persons with</w:t>
      </w:r>
      <w:r w:rsidR="003753B7" w:rsidRPr="005927F3">
        <w:rPr>
          <w:rFonts w:cstheme="minorHAnsi"/>
          <w:sz w:val="24"/>
          <w:szCs w:val="24"/>
        </w:rPr>
        <w:t>in</w:t>
      </w:r>
      <w:r w:rsidR="00660A97" w:rsidRPr="005927F3">
        <w:rPr>
          <w:rFonts w:cstheme="minorHAnsi"/>
          <w:sz w:val="24"/>
          <w:szCs w:val="24"/>
        </w:rPr>
        <w:t xml:space="preserve"> the bounds of a single normalized community.’</w:t>
      </w:r>
      <w:r w:rsidR="00660A97" w:rsidRPr="005927F3">
        <w:rPr>
          <w:rStyle w:val="FootnoteReference"/>
          <w:rFonts w:cstheme="minorHAnsi"/>
          <w:sz w:val="24"/>
          <w:szCs w:val="24"/>
        </w:rPr>
        <w:footnoteReference w:id="54"/>
      </w:r>
      <w:r w:rsidR="00814585" w:rsidRPr="005927F3">
        <w:rPr>
          <w:rFonts w:cstheme="minorHAnsi"/>
          <w:sz w:val="24"/>
          <w:szCs w:val="24"/>
        </w:rPr>
        <w:t xml:space="preserve"> </w:t>
      </w:r>
      <w:r w:rsidR="00ED63B8" w:rsidRPr="005927F3">
        <w:rPr>
          <w:rFonts w:cstheme="minorHAnsi"/>
          <w:sz w:val="24"/>
          <w:szCs w:val="24"/>
        </w:rPr>
        <w:t>T</w:t>
      </w:r>
      <w:r w:rsidRPr="005927F3">
        <w:rPr>
          <w:rFonts w:cstheme="minorHAnsi"/>
          <w:sz w:val="24"/>
          <w:szCs w:val="24"/>
        </w:rPr>
        <w:t xml:space="preserve">he </w:t>
      </w:r>
      <w:r w:rsidR="00545BAE" w:rsidRPr="005927F3">
        <w:rPr>
          <w:rFonts w:cstheme="minorHAnsi"/>
          <w:sz w:val="24"/>
          <w:szCs w:val="24"/>
        </w:rPr>
        <w:t>theoretical s</w:t>
      </w:r>
      <w:r w:rsidR="00054A82" w:rsidRPr="005927F3">
        <w:rPr>
          <w:rFonts w:cstheme="minorHAnsi"/>
          <w:sz w:val="24"/>
          <w:szCs w:val="24"/>
        </w:rPr>
        <w:t xml:space="preserve">tarting point for </w:t>
      </w:r>
      <w:r w:rsidRPr="005927F3">
        <w:rPr>
          <w:rFonts w:cstheme="minorHAnsi"/>
          <w:sz w:val="24"/>
          <w:szCs w:val="24"/>
        </w:rPr>
        <w:t xml:space="preserve">privacy as dignity </w:t>
      </w:r>
      <w:r w:rsidR="00054A82" w:rsidRPr="005927F3">
        <w:rPr>
          <w:rFonts w:cstheme="minorHAnsi"/>
          <w:sz w:val="24"/>
          <w:szCs w:val="24"/>
        </w:rPr>
        <w:t>is</w:t>
      </w:r>
      <w:r w:rsidR="00545BAE" w:rsidRPr="005927F3">
        <w:rPr>
          <w:rFonts w:cstheme="minorHAnsi"/>
          <w:sz w:val="24"/>
          <w:szCs w:val="24"/>
        </w:rPr>
        <w:t xml:space="preserve"> the Kantian idea of human person</w:t>
      </w:r>
      <w:r w:rsidR="008B334A" w:rsidRPr="005927F3">
        <w:rPr>
          <w:rFonts w:cstheme="minorHAnsi"/>
          <w:sz w:val="24"/>
          <w:szCs w:val="24"/>
        </w:rPr>
        <w:t>hood</w:t>
      </w:r>
      <w:r w:rsidR="00545BAE" w:rsidRPr="005927F3">
        <w:rPr>
          <w:rFonts w:cstheme="minorHAnsi"/>
          <w:sz w:val="24"/>
          <w:szCs w:val="24"/>
        </w:rPr>
        <w:t xml:space="preserve"> whose</w:t>
      </w:r>
      <w:r w:rsidR="006C2734" w:rsidRPr="005927F3">
        <w:rPr>
          <w:rFonts w:cstheme="minorHAnsi"/>
          <w:sz w:val="24"/>
          <w:szCs w:val="24"/>
        </w:rPr>
        <w:t xml:space="preserve"> </w:t>
      </w:r>
      <w:r w:rsidR="00054A82" w:rsidRPr="005927F3">
        <w:rPr>
          <w:rFonts w:cstheme="minorHAnsi"/>
          <w:i/>
          <w:sz w:val="24"/>
          <w:szCs w:val="24"/>
        </w:rPr>
        <w:t>inalienable</w:t>
      </w:r>
      <w:r w:rsidR="00545BAE" w:rsidRPr="005927F3">
        <w:rPr>
          <w:rFonts w:cstheme="minorHAnsi"/>
          <w:i/>
          <w:sz w:val="24"/>
          <w:szCs w:val="24"/>
        </w:rPr>
        <w:t xml:space="preserve"> </w:t>
      </w:r>
      <w:r w:rsidR="00F04461" w:rsidRPr="005927F3">
        <w:rPr>
          <w:rFonts w:cstheme="minorHAnsi"/>
          <w:sz w:val="24"/>
          <w:szCs w:val="24"/>
        </w:rPr>
        <w:t>hall</w:t>
      </w:r>
      <w:r w:rsidR="00054A82" w:rsidRPr="005927F3">
        <w:rPr>
          <w:rFonts w:cstheme="minorHAnsi"/>
          <w:sz w:val="24"/>
          <w:szCs w:val="24"/>
        </w:rPr>
        <w:t>mark</w:t>
      </w:r>
      <w:r w:rsidR="00545BAE" w:rsidRPr="005927F3">
        <w:rPr>
          <w:rFonts w:cstheme="minorHAnsi"/>
          <w:sz w:val="24"/>
          <w:szCs w:val="24"/>
        </w:rPr>
        <w:t xml:space="preserve"> is</w:t>
      </w:r>
      <w:r w:rsidR="00003EB8" w:rsidRPr="005927F3">
        <w:rPr>
          <w:rFonts w:cstheme="minorHAnsi"/>
          <w:sz w:val="24"/>
          <w:szCs w:val="24"/>
        </w:rPr>
        <w:t xml:space="preserve"> </w:t>
      </w:r>
      <w:r w:rsidR="001F4531" w:rsidRPr="005927F3">
        <w:rPr>
          <w:rFonts w:cstheme="minorHAnsi"/>
          <w:sz w:val="24"/>
          <w:szCs w:val="24"/>
        </w:rPr>
        <w:t>free will,</w:t>
      </w:r>
      <w:r w:rsidR="00054A82" w:rsidRPr="005927F3">
        <w:rPr>
          <w:rStyle w:val="FootnoteReference"/>
          <w:rFonts w:cstheme="minorHAnsi"/>
          <w:sz w:val="24"/>
          <w:szCs w:val="24"/>
        </w:rPr>
        <w:footnoteReference w:id="55"/>
      </w:r>
      <w:r w:rsidR="001F4531" w:rsidRPr="005927F3">
        <w:rPr>
          <w:rFonts w:cstheme="minorHAnsi"/>
          <w:sz w:val="24"/>
          <w:szCs w:val="24"/>
        </w:rPr>
        <w:t xml:space="preserve"> that is the ‘unpredictably individual, creatures whom no science of </w:t>
      </w:r>
      <w:r w:rsidR="0000181C" w:rsidRPr="005927F3">
        <w:rPr>
          <w:rFonts w:cstheme="minorHAnsi"/>
          <w:sz w:val="24"/>
          <w:szCs w:val="24"/>
        </w:rPr>
        <w:t>mechanics or biology c</w:t>
      </w:r>
      <w:r w:rsidR="003753B7" w:rsidRPr="005927F3">
        <w:rPr>
          <w:rFonts w:cstheme="minorHAnsi"/>
          <w:sz w:val="24"/>
          <w:szCs w:val="24"/>
        </w:rPr>
        <w:t>ould</w:t>
      </w:r>
      <w:r w:rsidR="0000181C" w:rsidRPr="005927F3">
        <w:rPr>
          <w:rFonts w:cstheme="minorHAnsi"/>
          <w:sz w:val="24"/>
          <w:szCs w:val="24"/>
        </w:rPr>
        <w:t xml:space="preserve"> ever</w:t>
      </w:r>
      <w:r w:rsidR="001F4531" w:rsidRPr="005927F3">
        <w:rPr>
          <w:rFonts w:cstheme="minorHAnsi"/>
          <w:sz w:val="24"/>
          <w:szCs w:val="24"/>
        </w:rPr>
        <w:t xml:space="preserve"> capture in their full richness.’</w:t>
      </w:r>
      <w:r w:rsidR="001F4531" w:rsidRPr="005927F3">
        <w:rPr>
          <w:rStyle w:val="FootnoteReference"/>
          <w:rFonts w:cstheme="minorHAnsi"/>
          <w:sz w:val="24"/>
          <w:szCs w:val="24"/>
        </w:rPr>
        <w:footnoteReference w:id="56"/>
      </w:r>
      <w:r w:rsidR="00545BAE" w:rsidRPr="005927F3">
        <w:rPr>
          <w:rFonts w:cstheme="minorHAnsi"/>
          <w:sz w:val="24"/>
          <w:szCs w:val="24"/>
        </w:rPr>
        <w:t xml:space="preserve"> </w:t>
      </w:r>
      <w:r w:rsidR="001F4531" w:rsidRPr="005927F3">
        <w:rPr>
          <w:rFonts w:cstheme="minorHAnsi"/>
          <w:sz w:val="24"/>
          <w:szCs w:val="24"/>
        </w:rPr>
        <w:t>So</w:t>
      </w:r>
      <w:r w:rsidR="00895FCE" w:rsidRPr="005927F3">
        <w:rPr>
          <w:rFonts w:cstheme="minorHAnsi"/>
          <w:sz w:val="24"/>
          <w:szCs w:val="24"/>
        </w:rPr>
        <w:t xml:space="preserve"> </w:t>
      </w:r>
      <w:r w:rsidR="004A554A" w:rsidRPr="005927F3">
        <w:rPr>
          <w:rFonts w:cstheme="minorHAnsi"/>
          <w:sz w:val="24"/>
          <w:szCs w:val="24"/>
        </w:rPr>
        <w:t>privacy</w:t>
      </w:r>
      <w:r w:rsidR="00953A3F" w:rsidRPr="005927F3">
        <w:rPr>
          <w:rFonts w:cstheme="minorHAnsi"/>
          <w:sz w:val="24"/>
          <w:szCs w:val="24"/>
        </w:rPr>
        <w:t xml:space="preserve"> as dignity</w:t>
      </w:r>
      <w:r w:rsidR="004A554A" w:rsidRPr="005927F3">
        <w:rPr>
          <w:rFonts w:cstheme="minorHAnsi"/>
          <w:sz w:val="24"/>
          <w:szCs w:val="24"/>
        </w:rPr>
        <w:t xml:space="preserve"> </w:t>
      </w:r>
      <w:r w:rsidR="00545BAE" w:rsidRPr="005927F3">
        <w:rPr>
          <w:rFonts w:cstheme="minorHAnsi"/>
          <w:sz w:val="24"/>
          <w:szCs w:val="24"/>
        </w:rPr>
        <w:t xml:space="preserve">flows from </w:t>
      </w:r>
      <w:r w:rsidR="00255C4D" w:rsidRPr="005927F3">
        <w:rPr>
          <w:rFonts w:cstheme="minorHAnsi"/>
          <w:sz w:val="24"/>
          <w:szCs w:val="24"/>
        </w:rPr>
        <w:t xml:space="preserve">personal </w:t>
      </w:r>
      <w:r w:rsidR="00545BAE" w:rsidRPr="005927F3">
        <w:rPr>
          <w:rFonts w:cstheme="minorHAnsi"/>
          <w:sz w:val="24"/>
          <w:szCs w:val="24"/>
        </w:rPr>
        <w:t>autonomy</w:t>
      </w:r>
      <w:r w:rsidR="001F37CD" w:rsidRPr="005927F3">
        <w:rPr>
          <w:rFonts w:cstheme="minorHAnsi"/>
          <w:sz w:val="24"/>
          <w:szCs w:val="24"/>
        </w:rPr>
        <w:t xml:space="preserve"> as a higher </w:t>
      </w:r>
      <w:r w:rsidR="008C10DC" w:rsidRPr="005927F3">
        <w:rPr>
          <w:rFonts w:cstheme="minorHAnsi"/>
          <w:sz w:val="24"/>
          <w:szCs w:val="24"/>
        </w:rPr>
        <w:t>order concept.</w:t>
      </w:r>
      <w:r w:rsidR="003F0679" w:rsidRPr="005927F3">
        <w:rPr>
          <w:rStyle w:val="FootnoteReference"/>
          <w:rFonts w:cstheme="minorHAnsi"/>
          <w:sz w:val="24"/>
          <w:szCs w:val="24"/>
        </w:rPr>
        <w:footnoteReference w:id="57"/>
      </w:r>
      <w:r w:rsidR="00895FCE" w:rsidRPr="005927F3">
        <w:rPr>
          <w:rFonts w:cstheme="minorHAnsi"/>
          <w:sz w:val="24"/>
          <w:szCs w:val="24"/>
        </w:rPr>
        <w:t xml:space="preserve"> Privacy</w:t>
      </w:r>
      <w:r w:rsidR="00814585" w:rsidRPr="005927F3">
        <w:rPr>
          <w:rFonts w:cstheme="minorHAnsi"/>
          <w:sz w:val="24"/>
          <w:szCs w:val="24"/>
        </w:rPr>
        <w:t xml:space="preserve"> as dignity</w:t>
      </w:r>
      <w:r w:rsidR="00FC5FD4" w:rsidRPr="005927F3">
        <w:rPr>
          <w:rFonts w:cstheme="minorHAnsi"/>
          <w:sz w:val="24"/>
          <w:szCs w:val="24"/>
        </w:rPr>
        <w:t xml:space="preserve"> also</w:t>
      </w:r>
      <w:r w:rsidR="00FB30F9" w:rsidRPr="005927F3">
        <w:rPr>
          <w:rFonts w:cstheme="minorHAnsi"/>
          <w:sz w:val="24"/>
          <w:szCs w:val="24"/>
        </w:rPr>
        <w:t xml:space="preserve"> recognises</w:t>
      </w:r>
      <w:r w:rsidR="00B339AD" w:rsidRPr="005927F3">
        <w:rPr>
          <w:rFonts w:cstheme="minorHAnsi"/>
          <w:sz w:val="24"/>
          <w:szCs w:val="24"/>
        </w:rPr>
        <w:t xml:space="preserve"> the fact</w:t>
      </w:r>
      <w:r w:rsidR="00FB30F9" w:rsidRPr="005927F3">
        <w:rPr>
          <w:rFonts w:cstheme="minorHAnsi"/>
          <w:sz w:val="24"/>
          <w:szCs w:val="24"/>
        </w:rPr>
        <w:t xml:space="preserve"> </w:t>
      </w:r>
      <w:r w:rsidR="00814585" w:rsidRPr="005927F3">
        <w:rPr>
          <w:rFonts w:cstheme="minorHAnsi"/>
          <w:sz w:val="24"/>
          <w:szCs w:val="24"/>
        </w:rPr>
        <w:t>that</w:t>
      </w:r>
      <w:r w:rsidR="008C10DC" w:rsidRPr="005927F3">
        <w:rPr>
          <w:rFonts w:cstheme="minorHAnsi"/>
          <w:sz w:val="24"/>
          <w:szCs w:val="24"/>
        </w:rPr>
        <w:t xml:space="preserve"> </w:t>
      </w:r>
      <w:r w:rsidR="00255C4D" w:rsidRPr="005927F3">
        <w:rPr>
          <w:rFonts w:cstheme="minorHAnsi"/>
          <w:sz w:val="24"/>
          <w:szCs w:val="24"/>
        </w:rPr>
        <w:t xml:space="preserve">personal </w:t>
      </w:r>
      <w:r w:rsidR="00814585" w:rsidRPr="005927F3">
        <w:rPr>
          <w:rFonts w:cstheme="minorHAnsi"/>
          <w:sz w:val="24"/>
          <w:szCs w:val="24"/>
        </w:rPr>
        <w:t xml:space="preserve">autonomy </w:t>
      </w:r>
      <w:r w:rsidR="00054A82" w:rsidRPr="005927F3">
        <w:rPr>
          <w:rFonts w:cstheme="minorHAnsi"/>
          <w:sz w:val="24"/>
          <w:szCs w:val="24"/>
        </w:rPr>
        <w:t>as a lower-order concept</w:t>
      </w:r>
      <w:r w:rsidR="001F4531" w:rsidRPr="005927F3">
        <w:rPr>
          <w:rFonts w:cstheme="minorHAnsi"/>
          <w:sz w:val="24"/>
          <w:szCs w:val="24"/>
        </w:rPr>
        <w:t xml:space="preserve"> </w:t>
      </w:r>
      <w:r w:rsidR="00FB30F9" w:rsidRPr="005927F3">
        <w:rPr>
          <w:rFonts w:cstheme="minorHAnsi"/>
          <w:sz w:val="24"/>
          <w:szCs w:val="24"/>
        </w:rPr>
        <w:t xml:space="preserve">may be </w:t>
      </w:r>
      <w:r w:rsidR="00ED63B8" w:rsidRPr="005927F3">
        <w:rPr>
          <w:rFonts w:cstheme="minorHAnsi"/>
          <w:sz w:val="24"/>
          <w:szCs w:val="24"/>
        </w:rPr>
        <w:t>infringed, circumscribed</w:t>
      </w:r>
      <w:r w:rsidR="00082328" w:rsidRPr="005927F3">
        <w:rPr>
          <w:rFonts w:cstheme="minorHAnsi"/>
          <w:sz w:val="24"/>
          <w:szCs w:val="24"/>
        </w:rPr>
        <w:t xml:space="preserve"> </w:t>
      </w:r>
      <w:r w:rsidR="009444FA" w:rsidRPr="005927F3">
        <w:rPr>
          <w:rFonts w:cstheme="minorHAnsi"/>
          <w:sz w:val="24"/>
          <w:szCs w:val="24"/>
        </w:rPr>
        <w:t>or</w:t>
      </w:r>
      <w:r w:rsidR="00082328" w:rsidRPr="005927F3">
        <w:rPr>
          <w:rFonts w:cstheme="minorHAnsi"/>
          <w:sz w:val="24"/>
          <w:szCs w:val="24"/>
        </w:rPr>
        <w:t xml:space="preserve"> </w:t>
      </w:r>
      <w:r w:rsidR="009444FA" w:rsidRPr="005927F3">
        <w:rPr>
          <w:rFonts w:cstheme="minorHAnsi"/>
          <w:sz w:val="24"/>
          <w:szCs w:val="24"/>
        </w:rPr>
        <w:t>taken away</w:t>
      </w:r>
      <w:r w:rsidR="004A554A" w:rsidRPr="005927F3">
        <w:rPr>
          <w:rFonts w:cstheme="minorHAnsi"/>
          <w:sz w:val="24"/>
          <w:szCs w:val="24"/>
        </w:rPr>
        <w:t xml:space="preserve"> in its entirety</w:t>
      </w:r>
      <w:r w:rsidR="00082328" w:rsidRPr="005927F3">
        <w:rPr>
          <w:rFonts w:cstheme="minorHAnsi"/>
          <w:sz w:val="24"/>
          <w:szCs w:val="24"/>
        </w:rPr>
        <w:t xml:space="preserve"> </w:t>
      </w:r>
      <w:r w:rsidR="0000181C" w:rsidRPr="005927F3">
        <w:rPr>
          <w:rFonts w:cstheme="minorHAnsi"/>
          <w:sz w:val="24"/>
          <w:szCs w:val="24"/>
        </w:rPr>
        <w:t xml:space="preserve">in the real world, </w:t>
      </w:r>
      <w:r w:rsidR="00814585" w:rsidRPr="005927F3">
        <w:rPr>
          <w:rFonts w:cstheme="minorHAnsi"/>
          <w:sz w:val="24"/>
          <w:szCs w:val="24"/>
        </w:rPr>
        <w:t xml:space="preserve">within </w:t>
      </w:r>
      <w:r w:rsidR="00054A82" w:rsidRPr="005927F3">
        <w:rPr>
          <w:rFonts w:cstheme="minorHAnsi"/>
          <w:sz w:val="24"/>
          <w:szCs w:val="24"/>
        </w:rPr>
        <w:t xml:space="preserve">social hierarchies </w:t>
      </w:r>
      <w:r w:rsidR="00B339AD" w:rsidRPr="005927F3">
        <w:rPr>
          <w:rFonts w:cstheme="minorHAnsi"/>
          <w:sz w:val="24"/>
          <w:szCs w:val="24"/>
        </w:rPr>
        <w:t xml:space="preserve">that </w:t>
      </w:r>
      <w:r w:rsidR="00F04461" w:rsidRPr="005927F3">
        <w:rPr>
          <w:rFonts w:cstheme="minorHAnsi"/>
          <w:sz w:val="24"/>
          <w:szCs w:val="24"/>
        </w:rPr>
        <w:t>deny</w:t>
      </w:r>
      <w:r w:rsidR="00054A82" w:rsidRPr="005927F3">
        <w:rPr>
          <w:rFonts w:cstheme="minorHAnsi"/>
          <w:sz w:val="24"/>
          <w:szCs w:val="24"/>
        </w:rPr>
        <w:t xml:space="preserve"> equal respec</w:t>
      </w:r>
      <w:r w:rsidR="00FB30F9" w:rsidRPr="005927F3">
        <w:rPr>
          <w:rFonts w:cstheme="minorHAnsi"/>
          <w:sz w:val="24"/>
          <w:szCs w:val="24"/>
        </w:rPr>
        <w:t>t</w:t>
      </w:r>
      <w:r w:rsidR="00895FCE" w:rsidRPr="005927F3">
        <w:rPr>
          <w:rFonts w:cstheme="minorHAnsi"/>
          <w:sz w:val="24"/>
          <w:szCs w:val="24"/>
        </w:rPr>
        <w:t xml:space="preserve"> to all participants</w:t>
      </w:r>
      <w:r w:rsidR="008B6754" w:rsidRPr="005927F3">
        <w:rPr>
          <w:rFonts w:cstheme="minorHAnsi"/>
          <w:sz w:val="24"/>
          <w:szCs w:val="24"/>
        </w:rPr>
        <w:t xml:space="preserve">. </w:t>
      </w:r>
      <w:r w:rsidR="006D5811" w:rsidRPr="005927F3">
        <w:rPr>
          <w:rFonts w:cstheme="minorHAnsi"/>
          <w:sz w:val="24"/>
          <w:szCs w:val="24"/>
        </w:rPr>
        <w:t>S</w:t>
      </w:r>
      <w:r w:rsidR="00F672FD" w:rsidRPr="005927F3">
        <w:rPr>
          <w:rFonts w:cstheme="minorHAnsi"/>
          <w:sz w:val="24"/>
          <w:szCs w:val="24"/>
        </w:rPr>
        <w:t>laves or others in lesser forms of servitude</w:t>
      </w:r>
      <w:r w:rsidR="006D5811" w:rsidRPr="005927F3">
        <w:rPr>
          <w:rFonts w:cstheme="minorHAnsi"/>
          <w:sz w:val="24"/>
          <w:szCs w:val="24"/>
        </w:rPr>
        <w:t xml:space="preserve"> have very limited autonomy</w:t>
      </w:r>
      <w:r w:rsidR="00F672FD" w:rsidRPr="005927F3">
        <w:rPr>
          <w:rFonts w:cstheme="minorHAnsi"/>
          <w:sz w:val="24"/>
          <w:szCs w:val="24"/>
        </w:rPr>
        <w:t>.</w:t>
      </w:r>
      <w:r w:rsidR="004D5A9D" w:rsidRPr="005927F3">
        <w:rPr>
          <w:rFonts w:cstheme="minorHAnsi"/>
          <w:sz w:val="24"/>
          <w:szCs w:val="24"/>
        </w:rPr>
        <w:t xml:space="preserve"> This</w:t>
      </w:r>
      <w:r w:rsidR="00660A97" w:rsidRPr="005927F3">
        <w:rPr>
          <w:rFonts w:cstheme="minorHAnsi"/>
          <w:sz w:val="24"/>
          <w:szCs w:val="24"/>
        </w:rPr>
        <w:t xml:space="preserve"> aspect </w:t>
      </w:r>
      <w:r w:rsidR="004D5A9D" w:rsidRPr="005927F3">
        <w:rPr>
          <w:rFonts w:cstheme="minorHAnsi"/>
          <w:sz w:val="24"/>
          <w:szCs w:val="24"/>
        </w:rPr>
        <w:t xml:space="preserve">was </w:t>
      </w:r>
      <w:r w:rsidR="00082328" w:rsidRPr="005927F3">
        <w:rPr>
          <w:rFonts w:cstheme="minorHAnsi"/>
          <w:sz w:val="24"/>
          <w:szCs w:val="24"/>
        </w:rPr>
        <w:t xml:space="preserve">undoubtedly </w:t>
      </w:r>
      <w:r w:rsidR="00660A97" w:rsidRPr="005927F3">
        <w:rPr>
          <w:rFonts w:cstheme="minorHAnsi"/>
          <w:sz w:val="24"/>
          <w:szCs w:val="24"/>
        </w:rPr>
        <w:t xml:space="preserve">less </w:t>
      </w:r>
      <w:r w:rsidR="00082328" w:rsidRPr="005927F3">
        <w:rPr>
          <w:rFonts w:cstheme="minorHAnsi"/>
          <w:sz w:val="24"/>
          <w:szCs w:val="24"/>
        </w:rPr>
        <w:t>pressing</w:t>
      </w:r>
      <w:r w:rsidR="00660A97" w:rsidRPr="005927F3">
        <w:rPr>
          <w:rFonts w:cstheme="minorHAnsi"/>
          <w:sz w:val="24"/>
          <w:szCs w:val="24"/>
        </w:rPr>
        <w:t xml:space="preserve"> to American settlers whose</w:t>
      </w:r>
      <w:r w:rsidR="00082328" w:rsidRPr="005927F3">
        <w:rPr>
          <w:rFonts w:cstheme="minorHAnsi"/>
          <w:sz w:val="24"/>
          <w:szCs w:val="24"/>
        </w:rPr>
        <w:t xml:space="preserve"> common</w:t>
      </w:r>
      <w:r w:rsidR="00660A97" w:rsidRPr="005927F3">
        <w:rPr>
          <w:rFonts w:cstheme="minorHAnsi"/>
          <w:sz w:val="24"/>
          <w:szCs w:val="24"/>
        </w:rPr>
        <w:t xml:space="preserve"> immigration background</w:t>
      </w:r>
      <w:r w:rsidR="001F5A4B" w:rsidRPr="005927F3">
        <w:rPr>
          <w:rFonts w:cstheme="minorHAnsi"/>
          <w:sz w:val="24"/>
          <w:szCs w:val="24"/>
        </w:rPr>
        <w:t xml:space="preserve"> </w:t>
      </w:r>
      <w:r w:rsidR="00082328" w:rsidRPr="005927F3">
        <w:rPr>
          <w:rFonts w:cstheme="minorHAnsi"/>
          <w:sz w:val="24"/>
          <w:szCs w:val="24"/>
        </w:rPr>
        <w:t>acted as a powerful equaliser</w:t>
      </w:r>
      <w:r w:rsidR="00114BDE" w:rsidRPr="005927F3">
        <w:rPr>
          <w:rFonts w:cstheme="minorHAnsi"/>
          <w:sz w:val="24"/>
          <w:szCs w:val="24"/>
        </w:rPr>
        <w:t xml:space="preserve"> (even if the myth of equality </w:t>
      </w:r>
      <w:r w:rsidR="00114BDE" w:rsidRPr="005927F3">
        <w:rPr>
          <w:rFonts w:cstheme="minorHAnsi"/>
          <w:sz w:val="24"/>
          <w:szCs w:val="24"/>
        </w:rPr>
        <w:lastRenderedPageBreak/>
        <w:t>can only stand with the significant blind spots of Native Americans and African slaves)</w:t>
      </w:r>
      <w:r w:rsidR="00114BDE" w:rsidRPr="005927F3">
        <w:rPr>
          <w:rStyle w:val="FootnoteReference"/>
          <w:rFonts w:cstheme="minorHAnsi"/>
          <w:sz w:val="24"/>
          <w:szCs w:val="24"/>
        </w:rPr>
        <w:footnoteReference w:id="58"/>
      </w:r>
      <w:r w:rsidR="00114BDE" w:rsidRPr="005927F3">
        <w:rPr>
          <w:rFonts w:cstheme="minorHAnsi"/>
          <w:sz w:val="24"/>
          <w:szCs w:val="24"/>
        </w:rPr>
        <w:t xml:space="preserve"> than </w:t>
      </w:r>
      <w:r w:rsidR="00F672FD" w:rsidRPr="005927F3">
        <w:rPr>
          <w:rFonts w:cstheme="minorHAnsi"/>
          <w:sz w:val="24"/>
          <w:szCs w:val="24"/>
        </w:rPr>
        <w:t>in Europe</w:t>
      </w:r>
      <w:r w:rsidR="006D5811" w:rsidRPr="005927F3">
        <w:rPr>
          <w:rFonts w:cstheme="minorHAnsi"/>
          <w:sz w:val="24"/>
          <w:szCs w:val="24"/>
        </w:rPr>
        <w:t xml:space="preserve"> where strict </w:t>
      </w:r>
      <w:r w:rsidR="00732099" w:rsidRPr="005927F3">
        <w:rPr>
          <w:rFonts w:cstheme="minorHAnsi"/>
          <w:sz w:val="24"/>
          <w:szCs w:val="24"/>
        </w:rPr>
        <w:t xml:space="preserve">social </w:t>
      </w:r>
      <w:r w:rsidR="006D5811" w:rsidRPr="005927F3">
        <w:rPr>
          <w:rFonts w:cstheme="minorHAnsi"/>
          <w:sz w:val="24"/>
          <w:szCs w:val="24"/>
        </w:rPr>
        <w:t xml:space="preserve">hierarchies gave some much more </w:t>
      </w:r>
      <w:r w:rsidR="0000181C" w:rsidRPr="005927F3">
        <w:rPr>
          <w:rFonts w:cstheme="minorHAnsi"/>
          <w:sz w:val="24"/>
          <w:szCs w:val="24"/>
        </w:rPr>
        <w:t xml:space="preserve">choice </w:t>
      </w:r>
      <w:r w:rsidR="006D5811" w:rsidRPr="005927F3">
        <w:rPr>
          <w:rFonts w:cstheme="minorHAnsi"/>
          <w:sz w:val="24"/>
          <w:szCs w:val="24"/>
        </w:rPr>
        <w:t>than others.</w:t>
      </w:r>
      <w:r w:rsidR="00660A97" w:rsidRPr="005927F3">
        <w:rPr>
          <w:rFonts w:cstheme="minorHAnsi"/>
          <w:sz w:val="24"/>
          <w:szCs w:val="24"/>
        </w:rPr>
        <w:t xml:space="preserve"> </w:t>
      </w:r>
      <w:proofErr w:type="gramStart"/>
      <w:r w:rsidR="006D5811" w:rsidRPr="005927F3">
        <w:rPr>
          <w:rFonts w:cstheme="minorHAnsi"/>
          <w:sz w:val="24"/>
          <w:szCs w:val="24"/>
        </w:rPr>
        <w:t>Thus</w:t>
      </w:r>
      <w:proofErr w:type="gramEnd"/>
      <w:r w:rsidR="006D5811" w:rsidRPr="005927F3">
        <w:rPr>
          <w:rFonts w:cstheme="minorHAnsi"/>
          <w:sz w:val="24"/>
          <w:szCs w:val="24"/>
        </w:rPr>
        <w:t xml:space="preserve"> w</w:t>
      </w:r>
      <w:r w:rsidR="004A554A" w:rsidRPr="005927F3">
        <w:rPr>
          <w:rFonts w:cstheme="minorHAnsi"/>
          <w:sz w:val="24"/>
          <w:szCs w:val="24"/>
        </w:rPr>
        <w:t>ithin</w:t>
      </w:r>
      <w:r w:rsidR="00114BDE" w:rsidRPr="005927F3">
        <w:rPr>
          <w:rFonts w:cstheme="minorHAnsi"/>
          <w:sz w:val="24"/>
          <w:szCs w:val="24"/>
        </w:rPr>
        <w:t xml:space="preserve"> </w:t>
      </w:r>
      <w:r w:rsidR="003D73F2" w:rsidRPr="005927F3">
        <w:rPr>
          <w:rFonts w:cstheme="minorHAnsi"/>
          <w:sz w:val="24"/>
          <w:szCs w:val="24"/>
        </w:rPr>
        <w:t>Europe</w:t>
      </w:r>
      <w:r w:rsidR="004D7D7F" w:rsidRPr="005927F3">
        <w:rPr>
          <w:rFonts w:cstheme="minorHAnsi"/>
          <w:sz w:val="24"/>
          <w:szCs w:val="24"/>
        </w:rPr>
        <w:t xml:space="preserve"> </w:t>
      </w:r>
      <w:r w:rsidR="00CF0585" w:rsidRPr="005927F3">
        <w:rPr>
          <w:rFonts w:cstheme="minorHAnsi"/>
          <w:sz w:val="24"/>
          <w:szCs w:val="24"/>
        </w:rPr>
        <w:t xml:space="preserve">the </w:t>
      </w:r>
      <w:r w:rsidR="004D7D7F" w:rsidRPr="005927F3">
        <w:rPr>
          <w:rFonts w:cstheme="minorHAnsi"/>
          <w:sz w:val="24"/>
          <w:szCs w:val="24"/>
        </w:rPr>
        <w:t>dignity-driven idea of</w:t>
      </w:r>
      <w:r w:rsidR="00003EB8" w:rsidRPr="005927F3">
        <w:rPr>
          <w:rFonts w:cstheme="minorHAnsi"/>
          <w:sz w:val="24"/>
          <w:szCs w:val="24"/>
        </w:rPr>
        <w:t xml:space="preserve"> privacy </w:t>
      </w:r>
      <w:r w:rsidR="004D7D7F" w:rsidRPr="005927F3">
        <w:rPr>
          <w:rFonts w:cstheme="minorHAnsi"/>
          <w:sz w:val="24"/>
          <w:szCs w:val="24"/>
        </w:rPr>
        <w:t xml:space="preserve">seeks to facilitate </w:t>
      </w:r>
      <w:r w:rsidR="00B65C88" w:rsidRPr="005927F3">
        <w:rPr>
          <w:rFonts w:cstheme="minorHAnsi"/>
          <w:sz w:val="24"/>
          <w:szCs w:val="24"/>
        </w:rPr>
        <w:t>equal</w:t>
      </w:r>
      <w:r w:rsidR="00A16637" w:rsidRPr="005927F3">
        <w:rPr>
          <w:rFonts w:cstheme="minorHAnsi"/>
          <w:sz w:val="24"/>
          <w:szCs w:val="24"/>
        </w:rPr>
        <w:t xml:space="preserve">, </w:t>
      </w:r>
      <w:r w:rsidR="00B65C88" w:rsidRPr="005927F3">
        <w:rPr>
          <w:rFonts w:cstheme="minorHAnsi"/>
          <w:sz w:val="24"/>
          <w:szCs w:val="24"/>
        </w:rPr>
        <w:t>dignified</w:t>
      </w:r>
      <w:r w:rsidR="006B32D2" w:rsidRPr="005927F3">
        <w:rPr>
          <w:rFonts w:cstheme="minorHAnsi"/>
          <w:sz w:val="24"/>
          <w:szCs w:val="24"/>
        </w:rPr>
        <w:t xml:space="preserve"> </w:t>
      </w:r>
      <w:r w:rsidR="005602AF" w:rsidRPr="005927F3">
        <w:rPr>
          <w:rFonts w:cstheme="minorHAnsi"/>
          <w:sz w:val="24"/>
          <w:szCs w:val="24"/>
        </w:rPr>
        <w:t xml:space="preserve">engagement, as a matter of process, </w:t>
      </w:r>
      <w:r w:rsidR="00FC5FD4" w:rsidRPr="005927F3">
        <w:rPr>
          <w:rFonts w:cstheme="minorHAnsi"/>
          <w:sz w:val="24"/>
          <w:szCs w:val="24"/>
        </w:rPr>
        <w:t xml:space="preserve">to allow </w:t>
      </w:r>
      <w:r w:rsidR="003F0679" w:rsidRPr="005927F3">
        <w:rPr>
          <w:rFonts w:cstheme="minorHAnsi"/>
          <w:sz w:val="24"/>
          <w:szCs w:val="24"/>
        </w:rPr>
        <w:t xml:space="preserve">autonomous </w:t>
      </w:r>
      <w:r w:rsidR="00FC5FD4" w:rsidRPr="005927F3">
        <w:rPr>
          <w:rFonts w:cstheme="minorHAnsi"/>
          <w:sz w:val="24"/>
          <w:szCs w:val="24"/>
        </w:rPr>
        <w:t>participation</w:t>
      </w:r>
      <w:r w:rsidR="005602AF" w:rsidRPr="005927F3">
        <w:rPr>
          <w:rFonts w:cstheme="minorHAnsi"/>
          <w:sz w:val="24"/>
          <w:szCs w:val="24"/>
        </w:rPr>
        <w:t>,</w:t>
      </w:r>
      <w:r w:rsidR="006B32D2" w:rsidRPr="005927F3">
        <w:rPr>
          <w:rFonts w:cstheme="minorHAnsi"/>
          <w:sz w:val="24"/>
          <w:szCs w:val="24"/>
        </w:rPr>
        <w:t xml:space="preserve"> as a matter of substance.</w:t>
      </w:r>
      <w:r w:rsidR="005602AF" w:rsidRPr="005927F3">
        <w:rPr>
          <w:rStyle w:val="FootnoteReference"/>
          <w:rFonts w:cstheme="minorHAnsi"/>
          <w:sz w:val="24"/>
          <w:szCs w:val="24"/>
        </w:rPr>
        <w:footnoteReference w:id="59"/>
      </w:r>
      <w:r w:rsidR="00B65C88" w:rsidRPr="005927F3">
        <w:rPr>
          <w:rFonts w:cstheme="minorHAnsi"/>
          <w:sz w:val="24"/>
          <w:szCs w:val="24"/>
        </w:rPr>
        <w:t xml:space="preserve"> </w:t>
      </w:r>
      <w:r w:rsidR="006D5811" w:rsidRPr="005927F3">
        <w:rPr>
          <w:rFonts w:cstheme="minorHAnsi"/>
          <w:sz w:val="24"/>
          <w:szCs w:val="24"/>
        </w:rPr>
        <w:t>In</w:t>
      </w:r>
      <w:r w:rsidR="003D73F2" w:rsidRPr="005927F3">
        <w:rPr>
          <w:rFonts w:cstheme="minorHAnsi"/>
          <w:sz w:val="24"/>
          <w:szCs w:val="24"/>
        </w:rPr>
        <w:t xml:space="preserve"> respect of</w:t>
      </w:r>
      <w:r w:rsidR="007F2CC4" w:rsidRPr="005927F3">
        <w:rPr>
          <w:rFonts w:cstheme="minorHAnsi"/>
          <w:sz w:val="24"/>
          <w:szCs w:val="24"/>
        </w:rPr>
        <w:t xml:space="preserve"> the process</w:t>
      </w:r>
      <w:r w:rsidR="00B65C88" w:rsidRPr="005927F3">
        <w:rPr>
          <w:rFonts w:cstheme="minorHAnsi"/>
          <w:sz w:val="24"/>
          <w:szCs w:val="24"/>
        </w:rPr>
        <w:t xml:space="preserve"> itself</w:t>
      </w:r>
      <w:r w:rsidR="00255C4D" w:rsidRPr="005927F3">
        <w:rPr>
          <w:rFonts w:cstheme="minorHAnsi"/>
          <w:sz w:val="24"/>
          <w:szCs w:val="24"/>
        </w:rPr>
        <w:t xml:space="preserve">, </w:t>
      </w:r>
      <w:r w:rsidR="0000181C" w:rsidRPr="005927F3">
        <w:rPr>
          <w:rFonts w:cstheme="minorHAnsi"/>
          <w:sz w:val="24"/>
          <w:szCs w:val="24"/>
        </w:rPr>
        <w:t>privacy</w:t>
      </w:r>
      <w:r w:rsidR="006B32D2" w:rsidRPr="005927F3">
        <w:rPr>
          <w:rFonts w:cstheme="minorHAnsi"/>
          <w:sz w:val="24"/>
          <w:szCs w:val="24"/>
        </w:rPr>
        <w:t xml:space="preserve"> </w:t>
      </w:r>
      <w:r w:rsidR="00B354F6" w:rsidRPr="005927F3">
        <w:rPr>
          <w:rFonts w:cstheme="minorHAnsi"/>
          <w:sz w:val="24"/>
          <w:szCs w:val="24"/>
        </w:rPr>
        <w:t xml:space="preserve">as dignity </w:t>
      </w:r>
      <w:r w:rsidR="006B32D2" w:rsidRPr="005927F3">
        <w:rPr>
          <w:rFonts w:cstheme="minorHAnsi"/>
          <w:sz w:val="24"/>
          <w:szCs w:val="24"/>
        </w:rPr>
        <w:t>gives individuals the autonomy to decide what is and is not a</w:t>
      </w:r>
      <w:r w:rsidR="00B208FA" w:rsidRPr="005927F3">
        <w:rPr>
          <w:rFonts w:cstheme="minorHAnsi"/>
          <w:sz w:val="24"/>
          <w:szCs w:val="24"/>
        </w:rPr>
        <w:t>n affront to their dignity in a dynamic</w:t>
      </w:r>
      <w:r w:rsidR="00003EB8" w:rsidRPr="005927F3">
        <w:rPr>
          <w:rFonts w:cstheme="minorHAnsi"/>
          <w:sz w:val="24"/>
          <w:szCs w:val="24"/>
        </w:rPr>
        <w:t>,</w:t>
      </w:r>
      <w:r w:rsidR="00526B3D" w:rsidRPr="005927F3">
        <w:rPr>
          <w:rFonts w:cstheme="minorHAnsi"/>
          <w:sz w:val="24"/>
          <w:szCs w:val="24"/>
        </w:rPr>
        <w:t xml:space="preserve"> evolving</w:t>
      </w:r>
      <w:r w:rsidR="001F4531" w:rsidRPr="005927F3">
        <w:rPr>
          <w:rFonts w:cstheme="minorHAnsi"/>
          <w:sz w:val="24"/>
          <w:szCs w:val="24"/>
        </w:rPr>
        <w:t xml:space="preserve"> way.</w:t>
      </w:r>
      <w:r w:rsidR="00255C4D" w:rsidRPr="005927F3">
        <w:rPr>
          <w:rFonts w:cstheme="minorHAnsi"/>
          <w:sz w:val="24"/>
          <w:szCs w:val="24"/>
        </w:rPr>
        <w:t xml:space="preserve"> Individuals can control the flow of their personal </w:t>
      </w:r>
      <w:proofErr w:type="gramStart"/>
      <w:r w:rsidR="00255C4D" w:rsidRPr="005927F3">
        <w:rPr>
          <w:rFonts w:cstheme="minorHAnsi"/>
          <w:sz w:val="24"/>
          <w:szCs w:val="24"/>
        </w:rPr>
        <w:t>information, and</w:t>
      </w:r>
      <w:proofErr w:type="gramEnd"/>
      <w:r w:rsidR="001F4531" w:rsidRPr="005927F3">
        <w:rPr>
          <w:rFonts w:cstheme="minorHAnsi"/>
          <w:sz w:val="24"/>
          <w:szCs w:val="24"/>
        </w:rPr>
        <w:t xml:space="preserve"> are</w:t>
      </w:r>
      <w:r w:rsidR="00003EB8" w:rsidRPr="005927F3">
        <w:rPr>
          <w:rFonts w:cstheme="minorHAnsi"/>
          <w:sz w:val="24"/>
          <w:szCs w:val="24"/>
        </w:rPr>
        <w:t xml:space="preserve"> </w:t>
      </w:r>
      <w:r w:rsidR="00953A3F" w:rsidRPr="005927F3">
        <w:rPr>
          <w:rFonts w:cstheme="minorHAnsi"/>
          <w:sz w:val="24"/>
          <w:szCs w:val="24"/>
        </w:rPr>
        <w:t xml:space="preserve">free </w:t>
      </w:r>
      <w:r w:rsidR="00003EB8" w:rsidRPr="005927F3">
        <w:rPr>
          <w:rFonts w:cstheme="minorHAnsi"/>
          <w:sz w:val="24"/>
          <w:szCs w:val="24"/>
        </w:rPr>
        <w:t>to</w:t>
      </w:r>
      <w:r w:rsidR="00B208FA" w:rsidRPr="005927F3">
        <w:rPr>
          <w:rFonts w:cstheme="minorHAnsi"/>
          <w:sz w:val="24"/>
          <w:szCs w:val="24"/>
        </w:rPr>
        <w:t xml:space="preserve"> </w:t>
      </w:r>
      <w:r w:rsidR="00B208FA" w:rsidRPr="005927F3">
        <w:rPr>
          <w:rFonts w:cstheme="minorHAnsi"/>
          <w:i/>
          <w:sz w:val="24"/>
          <w:szCs w:val="24"/>
        </w:rPr>
        <w:t xml:space="preserve">withdraw </w:t>
      </w:r>
      <w:r w:rsidR="008B308D" w:rsidRPr="005927F3">
        <w:rPr>
          <w:rFonts w:cstheme="minorHAnsi"/>
          <w:sz w:val="24"/>
          <w:szCs w:val="24"/>
        </w:rPr>
        <w:t xml:space="preserve">their consent to the dissemination of such information, </w:t>
      </w:r>
      <w:r w:rsidR="0033576C" w:rsidRPr="005927F3">
        <w:rPr>
          <w:rFonts w:cstheme="minorHAnsi"/>
          <w:sz w:val="24"/>
          <w:szCs w:val="24"/>
        </w:rPr>
        <w:t>even where</w:t>
      </w:r>
      <w:r w:rsidR="00B208FA" w:rsidRPr="005927F3">
        <w:rPr>
          <w:rFonts w:cstheme="minorHAnsi"/>
          <w:sz w:val="24"/>
          <w:szCs w:val="24"/>
        </w:rPr>
        <w:t xml:space="preserve"> the</w:t>
      </w:r>
      <w:r w:rsidR="00003EB8" w:rsidRPr="005927F3">
        <w:rPr>
          <w:rFonts w:cstheme="minorHAnsi"/>
          <w:sz w:val="24"/>
          <w:szCs w:val="24"/>
        </w:rPr>
        <w:t xml:space="preserve">y initially consented, including </w:t>
      </w:r>
      <w:r w:rsidR="00B208FA" w:rsidRPr="005927F3">
        <w:rPr>
          <w:rFonts w:cstheme="minorHAnsi"/>
          <w:sz w:val="24"/>
          <w:szCs w:val="24"/>
        </w:rPr>
        <w:t>t</w:t>
      </w:r>
      <w:r w:rsidR="00003EB8" w:rsidRPr="005927F3">
        <w:rPr>
          <w:rFonts w:cstheme="minorHAnsi"/>
          <w:sz w:val="24"/>
          <w:szCs w:val="24"/>
        </w:rPr>
        <w:t>hrough</w:t>
      </w:r>
      <w:r w:rsidR="008B308D" w:rsidRPr="005927F3">
        <w:rPr>
          <w:rFonts w:cstheme="minorHAnsi"/>
          <w:sz w:val="24"/>
          <w:szCs w:val="24"/>
        </w:rPr>
        <w:t xml:space="preserve"> contract</w:t>
      </w:r>
      <w:r w:rsidR="00B208FA" w:rsidRPr="005927F3">
        <w:rPr>
          <w:rFonts w:cstheme="minorHAnsi"/>
          <w:sz w:val="24"/>
          <w:szCs w:val="24"/>
        </w:rPr>
        <w:t>.</w:t>
      </w:r>
      <w:r w:rsidR="00A16637" w:rsidRPr="005927F3">
        <w:rPr>
          <w:rStyle w:val="FootnoteReference"/>
          <w:rFonts w:cstheme="minorHAnsi"/>
          <w:sz w:val="24"/>
          <w:szCs w:val="24"/>
        </w:rPr>
        <w:footnoteReference w:id="60"/>
      </w:r>
      <w:r w:rsidR="00920CC8" w:rsidRPr="005927F3">
        <w:rPr>
          <w:rFonts w:cstheme="minorHAnsi"/>
          <w:sz w:val="24"/>
          <w:szCs w:val="24"/>
        </w:rPr>
        <w:t xml:space="preserve"> </w:t>
      </w:r>
      <w:r w:rsidR="00F211BC" w:rsidRPr="005927F3">
        <w:rPr>
          <w:rFonts w:cstheme="minorHAnsi"/>
          <w:sz w:val="24"/>
          <w:szCs w:val="24"/>
        </w:rPr>
        <w:t>(</w:t>
      </w:r>
      <w:r w:rsidR="00C44E2A" w:rsidRPr="005927F3">
        <w:rPr>
          <w:rFonts w:cstheme="minorHAnsi"/>
          <w:sz w:val="24"/>
          <w:szCs w:val="24"/>
        </w:rPr>
        <w:t xml:space="preserve">So </w:t>
      </w:r>
      <w:r w:rsidR="00732099" w:rsidRPr="005927F3">
        <w:rPr>
          <w:rFonts w:cstheme="minorHAnsi"/>
          <w:sz w:val="24"/>
          <w:szCs w:val="24"/>
        </w:rPr>
        <w:t>privacy</w:t>
      </w:r>
      <w:r w:rsidR="00F211BC" w:rsidRPr="005927F3">
        <w:rPr>
          <w:rFonts w:cstheme="minorHAnsi"/>
          <w:sz w:val="24"/>
          <w:szCs w:val="24"/>
        </w:rPr>
        <w:t xml:space="preserve"> </w:t>
      </w:r>
      <w:r w:rsidR="00C44E2A" w:rsidRPr="005927F3">
        <w:rPr>
          <w:rFonts w:cstheme="minorHAnsi"/>
          <w:sz w:val="24"/>
          <w:szCs w:val="24"/>
        </w:rPr>
        <w:t xml:space="preserve">here </w:t>
      </w:r>
      <w:r w:rsidR="00F211BC" w:rsidRPr="005927F3">
        <w:rPr>
          <w:rFonts w:cstheme="minorHAnsi"/>
          <w:sz w:val="24"/>
          <w:szCs w:val="24"/>
        </w:rPr>
        <w:t>also</w:t>
      </w:r>
      <w:r w:rsidR="00732099" w:rsidRPr="005927F3">
        <w:rPr>
          <w:rFonts w:cstheme="minorHAnsi"/>
          <w:sz w:val="24"/>
          <w:szCs w:val="24"/>
        </w:rPr>
        <w:t xml:space="preserve"> acts as a form of withdrawal.) </w:t>
      </w:r>
      <w:r w:rsidR="00920CC8" w:rsidRPr="005927F3">
        <w:rPr>
          <w:rFonts w:cstheme="minorHAnsi"/>
          <w:sz w:val="24"/>
          <w:szCs w:val="24"/>
        </w:rPr>
        <w:t>Personal</w:t>
      </w:r>
      <w:r w:rsidR="003D73F2" w:rsidRPr="005927F3">
        <w:rPr>
          <w:rFonts w:cstheme="minorHAnsi"/>
          <w:sz w:val="24"/>
          <w:szCs w:val="24"/>
        </w:rPr>
        <w:t xml:space="preserve"> autonomy cannot </w:t>
      </w:r>
      <w:r w:rsidR="007F2CC4" w:rsidRPr="005927F3">
        <w:rPr>
          <w:rFonts w:cstheme="minorHAnsi"/>
          <w:sz w:val="24"/>
          <w:szCs w:val="24"/>
        </w:rPr>
        <w:t>be</w:t>
      </w:r>
      <w:r w:rsidR="00920CC8" w:rsidRPr="005927F3">
        <w:rPr>
          <w:rFonts w:cstheme="minorHAnsi"/>
          <w:sz w:val="24"/>
          <w:szCs w:val="24"/>
        </w:rPr>
        <w:t xml:space="preserve"> abandoned or </w:t>
      </w:r>
      <w:r w:rsidR="007F2CC4" w:rsidRPr="005927F3">
        <w:rPr>
          <w:rFonts w:cstheme="minorHAnsi"/>
          <w:sz w:val="24"/>
          <w:szCs w:val="24"/>
        </w:rPr>
        <w:t>relinquished</w:t>
      </w:r>
      <w:r w:rsidR="003D73F2" w:rsidRPr="005927F3">
        <w:rPr>
          <w:rFonts w:cstheme="minorHAnsi"/>
          <w:sz w:val="24"/>
          <w:szCs w:val="24"/>
        </w:rPr>
        <w:t xml:space="preserve">. </w:t>
      </w:r>
      <w:proofErr w:type="gramStart"/>
      <w:r w:rsidR="00B354F6" w:rsidRPr="005927F3">
        <w:rPr>
          <w:rFonts w:cstheme="minorHAnsi"/>
          <w:sz w:val="24"/>
          <w:szCs w:val="24"/>
        </w:rPr>
        <w:t>Thus</w:t>
      </w:r>
      <w:proofErr w:type="gramEnd"/>
      <w:r w:rsidR="00B354F6" w:rsidRPr="005927F3">
        <w:rPr>
          <w:rFonts w:cstheme="minorHAnsi"/>
          <w:sz w:val="24"/>
          <w:szCs w:val="24"/>
        </w:rPr>
        <w:t xml:space="preserve"> </w:t>
      </w:r>
      <w:r w:rsidR="00642D58" w:rsidRPr="005927F3">
        <w:rPr>
          <w:rFonts w:cstheme="minorHAnsi"/>
          <w:sz w:val="24"/>
          <w:szCs w:val="24"/>
        </w:rPr>
        <w:t>Continental</w:t>
      </w:r>
      <w:r w:rsidR="00B65C88" w:rsidRPr="005927F3">
        <w:rPr>
          <w:rFonts w:cstheme="minorHAnsi"/>
          <w:sz w:val="24"/>
          <w:szCs w:val="24"/>
        </w:rPr>
        <w:t xml:space="preserve"> European </w:t>
      </w:r>
      <w:r w:rsidR="00B208FA" w:rsidRPr="005927F3">
        <w:rPr>
          <w:rFonts w:cstheme="minorHAnsi"/>
          <w:sz w:val="24"/>
          <w:szCs w:val="24"/>
        </w:rPr>
        <w:t>privacy</w:t>
      </w:r>
      <w:r w:rsidR="0047037F" w:rsidRPr="005927F3">
        <w:rPr>
          <w:rFonts w:cstheme="minorHAnsi"/>
          <w:sz w:val="24"/>
          <w:szCs w:val="24"/>
        </w:rPr>
        <w:t xml:space="preserve"> </w:t>
      </w:r>
      <w:r w:rsidR="0000181C" w:rsidRPr="005927F3">
        <w:rPr>
          <w:rFonts w:cstheme="minorHAnsi"/>
          <w:sz w:val="24"/>
          <w:szCs w:val="24"/>
        </w:rPr>
        <w:t>is</w:t>
      </w:r>
      <w:r w:rsidR="00B354F6" w:rsidRPr="005927F3">
        <w:rPr>
          <w:rFonts w:cstheme="minorHAnsi"/>
          <w:sz w:val="24"/>
          <w:szCs w:val="24"/>
        </w:rPr>
        <w:t xml:space="preserve"> also</w:t>
      </w:r>
      <w:r w:rsidR="0000181C" w:rsidRPr="005927F3">
        <w:rPr>
          <w:rFonts w:cstheme="minorHAnsi"/>
          <w:sz w:val="24"/>
          <w:szCs w:val="24"/>
        </w:rPr>
        <w:t xml:space="preserve"> deeply concerned with</w:t>
      </w:r>
      <w:r w:rsidR="00B65C88" w:rsidRPr="005927F3">
        <w:rPr>
          <w:rFonts w:cstheme="minorHAnsi"/>
          <w:sz w:val="24"/>
          <w:szCs w:val="24"/>
        </w:rPr>
        <w:t xml:space="preserve"> self-authorship or, in Post’s words, </w:t>
      </w:r>
      <w:r w:rsidR="00A16637" w:rsidRPr="005927F3">
        <w:rPr>
          <w:rFonts w:cstheme="minorHAnsi"/>
          <w:sz w:val="24"/>
          <w:szCs w:val="24"/>
        </w:rPr>
        <w:t xml:space="preserve">the </w:t>
      </w:r>
      <w:r w:rsidR="00B65C88" w:rsidRPr="005927F3">
        <w:rPr>
          <w:rFonts w:cstheme="minorHAnsi"/>
          <w:sz w:val="24"/>
          <w:szCs w:val="24"/>
        </w:rPr>
        <w:t>expression of the</w:t>
      </w:r>
      <w:r w:rsidR="00B208FA" w:rsidRPr="005927F3">
        <w:rPr>
          <w:rFonts w:cstheme="minorHAnsi"/>
          <w:sz w:val="24"/>
          <w:szCs w:val="24"/>
        </w:rPr>
        <w:t xml:space="preserve"> ‘spontaneous, independent, and uniquely individual aspect of the self</w:t>
      </w:r>
      <w:r w:rsidR="006E70E2" w:rsidRPr="005927F3">
        <w:rPr>
          <w:rFonts w:cstheme="minorHAnsi"/>
          <w:sz w:val="24"/>
          <w:szCs w:val="24"/>
        </w:rPr>
        <w:t>,</w:t>
      </w:r>
      <w:r w:rsidR="00B208FA" w:rsidRPr="005927F3">
        <w:rPr>
          <w:rFonts w:cstheme="minorHAnsi"/>
          <w:sz w:val="24"/>
          <w:szCs w:val="24"/>
        </w:rPr>
        <w:t>’</w:t>
      </w:r>
      <w:r w:rsidR="00B208FA" w:rsidRPr="005927F3">
        <w:rPr>
          <w:rStyle w:val="FootnoteReference"/>
          <w:rFonts w:cstheme="minorHAnsi"/>
          <w:sz w:val="24"/>
          <w:szCs w:val="24"/>
        </w:rPr>
        <w:footnoteReference w:id="61"/>
      </w:r>
      <w:r w:rsidR="00B65C88" w:rsidRPr="005927F3">
        <w:rPr>
          <w:rFonts w:cstheme="minorHAnsi"/>
          <w:sz w:val="24"/>
          <w:szCs w:val="24"/>
        </w:rPr>
        <w:t xml:space="preserve"> </w:t>
      </w:r>
      <w:r w:rsidR="0000181C" w:rsidRPr="005927F3">
        <w:rPr>
          <w:rFonts w:cstheme="minorHAnsi"/>
          <w:sz w:val="24"/>
          <w:szCs w:val="24"/>
        </w:rPr>
        <w:t xml:space="preserve">but asserts that this </w:t>
      </w:r>
      <w:r w:rsidR="00B65C88" w:rsidRPr="005927F3">
        <w:rPr>
          <w:rFonts w:cstheme="minorHAnsi"/>
          <w:sz w:val="24"/>
          <w:szCs w:val="24"/>
        </w:rPr>
        <w:t xml:space="preserve">is only possible </w:t>
      </w:r>
      <w:r w:rsidR="00003EB8" w:rsidRPr="005927F3">
        <w:rPr>
          <w:rFonts w:cstheme="minorHAnsi"/>
          <w:sz w:val="24"/>
          <w:szCs w:val="24"/>
        </w:rPr>
        <w:t>where there is</w:t>
      </w:r>
      <w:r w:rsidR="0000181C" w:rsidRPr="005927F3">
        <w:rPr>
          <w:rFonts w:cstheme="minorHAnsi"/>
          <w:sz w:val="24"/>
          <w:szCs w:val="24"/>
        </w:rPr>
        <w:t xml:space="preserve"> equality of </w:t>
      </w:r>
      <w:r w:rsidR="0047037F" w:rsidRPr="005927F3">
        <w:rPr>
          <w:rFonts w:cstheme="minorHAnsi"/>
          <w:sz w:val="24"/>
          <w:szCs w:val="24"/>
        </w:rPr>
        <w:t xml:space="preserve">dignity </w:t>
      </w:r>
      <w:r w:rsidR="00B65C88" w:rsidRPr="005927F3">
        <w:rPr>
          <w:rFonts w:cstheme="minorHAnsi"/>
          <w:sz w:val="24"/>
          <w:szCs w:val="24"/>
        </w:rPr>
        <w:t xml:space="preserve">in the public realm. </w:t>
      </w:r>
      <w:r w:rsidR="0047037F" w:rsidRPr="005927F3">
        <w:rPr>
          <w:rFonts w:cstheme="minorHAnsi"/>
          <w:sz w:val="24"/>
          <w:szCs w:val="24"/>
        </w:rPr>
        <w:t xml:space="preserve">This chimes with the fact that humiliation works </w:t>
      </w:r>
      <w:r w:rsidR="0050126E" w:rsidRPr="005927F3">
        <w:rPr>
          <w:rFonts w:cstheme="minorHAnsi"/>
          <w:sz w:val="24"/>
          <w:szCs w:val="24"/>
        </w:rPr>
        <w:t xml:space="preserve">as </w:t>
      </w:r>
      <w:r w:rsidR="0047037F" w:rsidRPr="005927F3">
        <w:rPr>
          <w:rFonts w:cstheme="minorHAnsi"/>
          <w:sz w:val="24"/>
          <w:szCs w:val="24"/>
        </w:rPr>
        <w:t xml:space="preserve">a tool of exclusion </w:t>
      </w:r>
      <w:r w:rsidR="00920CC8" w:rsidRPr="005927F3">
        <w:rPr>
          <w:rFonts w:cstheme="minorHAnsi"/>
          <w:sz w:val="24"/>
          <w:szCs w:val="24"/>
        </w:rPr>
        <w:t>that</w:t>
      </w:r>
      <w:r w:rsidR="0047037F" w:rsidRPr="005927F3">
        <w:rPr>
          <w:rFonts w:cstheme="minorHAnsi"/>
          <w:sz w:val="24"/>
          <w:szCs w:val="24"/>
        </w:rPr>
        <w:t xml:space="preserve"> denies self-</w:t>
      </w:r>
      <w:r w:rsidR="001F4531" w:rsidRPr="005927F3">
        <w:rPr>
          <w:rFonts w:cstheme="minorHAnsi"/>
          <w:sz w:val="24"/>
          <w:szCs w:val="24"/>
        </w:rPr>
        <w:t>determination</w:t>
      </w:r>
      <w:r w:rsidR="00A16637" w:rsidRPr="005927F3">
        <w:rPr>
          <w:rFonts w:cstheme="minorHAnsi"/>
          <w:sz w:val="24"/>
          <w:szCs w:val="24"/>
        </w:rPr>
        <w:t xml:space="preserve"> at a very basic level</w:t>
      </w:r>
      <w:r w:rsidR="00003EB8" w:rsidRPr="005927F3">
        <w:rPr>
          <w:rFonts w:cstheme="minorHAnsi"/>
          <w:sz w:val="24"/>
          <w:szCs w:val="24"/>
        </w:rPr>
        <w:t>; an outcast ha</w:t>
      </w:r>
      <w:r w:rsidR="001F4531" w:rsidRPr="005927F3">
        <w:rPr>
          <w:rFonts w:cstheme="minorHAnsi"/>
          <w:sz w:val="24"/>
          <w:szCs w:val="24"/>
        </w:rPr>
        <w:t xml:space="preserve">s few choices. </w:t>
      </w:r>
      <w:r w:rsidR="0047037F" w:rsidRPr="005927F3">
        <w:rPr>
          <w:rFonts w:cstheme="minorHAnsi"/>
          <w:sz w:val="24"/>
          <w:szCs w:val="24"/>
        </w:rPr>
        <w:t>Fre</w:t>
      </w:r>
      <w:r w:rsidR="004A554A" w:rsidRPr="005927F3">
        <w:rPr>
          <w:rFonts w:cstheme="minorHAnsi"/>
          <w:sz w:val="24"/>
          <w:szCs w:val="24"/>
        </w:rPr>
        <w:t>vert</w:t>
      </w:r>
      <w:r w:rsidR="001F4531" w:rsidRPr="005927F3">
        <w:rPr>
          <w:rFonts w:cstheme="minorHAnsi"/>
          <w:sz w:val="24"/>
          <w:szCs w:val="24"/>
        </w:rPr>
        <w:t xml:space="preserve"> writes: </w:t>
      </w:r>
      <w:r w:rsidR="0047037F" w:rsidRPr="005927F3">
        <w:rPr>
          <w:rFonts w:cstheme="minorHAnsi"/>
          <w:sz w:val="24"/>
          <w:szCs w:val="24"/>
        </w:rPr>
        <w:t>‘Shaming is used to punish behaviour that runs contrary to what holds weight for a social group or organisation, it is carried out within that very group. I</w:t>
      </w:r>
      <w:r w:rsidR="003D73F2" w:rsidRPr="005927F3">
        <w:rPr>
          <w:rFonts w:cstheme="minorHAnsi"/>
          <w:sz w:val="24"/>
          <w:szCs w:val="24"/>
        </w:rPr>
        <w:t>n contras</w:t>
      </w:r>
      <w:r w:rsidR="0047037F" w:rsidRPr="005927F3">
        <w:rPr>
          <w:rFonts w:cstheme="minorHAnsi"/>
          <w:sz w:val="24"/>
          <w:szCs w:val="24"/>
        </w:rPr>
        <w:t xml:space="preserve">t, humiliation works by distinguishing radically between those who are in and those who are out: we are </w:t>
      </w:r>
      <w:proofErr w:type="gramStart"/>
      <w:r w:rsidR="0047037F" w:rsidRPr="005927F3">
        <w:rPr>
          <w:rFonts w:cstheme="minorHAnsi"/>
          <w:sz w:val="24"/>
          <w:szCs w:val="24"/>
        </w:rPr>
        <w:t>us,</w:t>
      </w:r>
      <w:proofErr w:type="gramEnd"/>
      <w:r w:rsidR="0047037F" w:rsidRPr="005927F3">
        <w:rPr>
          <w:rFonts w:cstheme="minorHAnsi"/>
          <w:sz w:val="24"/>
          <w:szCs w:val="24"/>
        </w:rPr>
        <w:t xml:space="preserve"> you are different and count for less</w:t>
      </w:r>
      <w:r w:rsidR="004A554A" w:rsidRPr="005927F3">
        <w:rPr>
          <w:rFonts w:cstheme="minorHAnsi"/>
          <w:sz w:val="24"/>
          <w:szCs w:val="24"/>
        </w:rPr>
        <w:t>.’</w:t>
      </w:r>
      <w:r w:rsidR="0047037F" w:rsidRPr="005927F3">
        <w:rPr>
          <w:rStyle w:val="FootnoteReference"/>
          <w:rFonts w:cstheme="minorHAnsi"/>
          <w:sz w:val="24"/>
          <w:szCs w:val="24"/>
        </w:rPr>
        <w:footnoteReference w:id="62"/>
      </w:r>
    </w:p>
    <w:p w14:paraId="7F905FE7" w14:textId="77777777" w:rsidR="0047037F" w:rsidRPr="005927F3" w:rsidRDefault="0047037F" w:rsidP="008B308D">
      <w:pPr>
        <w:autoSpaceDE w:val="0"/>
        <w:autoSpaceDN w:val="0"/>
        <w:adjustRightInd w:val="0"/>
        <w:spacing w:after="0" w:line="240" w:lineRule="auto"/>
        <w:jc w:val="both"/>
        <w:rPr>
          <w:rFonts w:cstheme="minorHAnsi"/>
          <w:sz w:val="24"/>
          <w:szCs w:val="24"/>
        </w:rPr>
      </w:pPr>
    </w:p>
    <w:p w14:paraId="290DD984" w14:textId="1FAB00F4" w:rsidR="008B308D" w:rsidRPr="005927F3" w:rsidRDefault="003D73F2" w:rsidP="008B308D">
      <w:pPr>
        <w:autoSpaceDE w:val="0"/>
        <w:autoSpaceDN w:val="0"/>
        <w:adjustRightInd w:val="0"/>
        <w:spacing w:after="0" w:line="240" w:lineRule="auto"/>
        <w:jc w:val="both"/>
        <w:rPr>
          <w:rFonts w:cstheme="minorHAnsi"/>
          <w:sz w:val="24"/>
          <w:szCs w:val="24"/>
        </w:rPr>
      </w:pPr>
      <w:r w:rsidRPr="005927F3">
        <w:rPr>
          <w:rFonts w:cstheme="minorHAnsi"/>
          <w:sz w:val="24"/>
          <w:szCs w:val="24"/>
        </w:rPr>
        <w:t>One can</w:t>
      </w:r>
      <w:r w:rsidR="00A16637" w:rsidRPr="005927F3">
        <w:rPr>
          <w:rFonts w:cstheme="minorHAnsi"/>
          <w:sz w:val="24"/>
          <w:szCs w:val="24"/>
        </w:rPr>
        <w:t xml:space="preserve"> contrast </w:t>
      </w:r>
      <w:r w:rsidR="00A16637" w:rsidRPr="005927F3">
        <w:rPr>
          <w:rFonts w:cstheme="minorHAnsi"/>
          <w:i/>
          <w:sz w:val="24"/>
          <w:szCs w:val="24"/>
        </w:rPr>
        <w:t>and</w:t>
      </w:r>
      <w:r w:rsidR="00A16637" w:rsidRPr="005927F3">
        <w:rPr>
          <w:rFonts w:cstheme="minorHAnsi"/>
          <w:sz w:val="24"/>
          <w:szCs w:val="24"/>
        </w:rPr>
        <w:t xml:space="preserve"> align </w:t>
      </w:r>
      <w:r w:rsidR="00FC5FD4" w:rsidRPr="005927F3">
        <w:rPr>
          <w:rFonts w:cstheme="minorHAnsi"/>
          <w:sz w:val="24"/>
          <w:szCs w:val="24"/>
        </w:rPr>
        <w:t>the two</w:t>
      </w:r>
      <w:r w:rsidR="00A16637" w:rsidRPr="005927F3">
        <w:rPr>
          <w:rFonts w:cstheme="minorHAnsi"/>
          <w:sz w:val="24"/>
          <w:szCs w:val="24"/>
        </w:rPr>
        <w:t xml:space="preserve"> </w:t>
      </w:r>
      <w:r w:rsidR="00FC5FD4" w:rsidRPr="005927F3">
        <w:rPr>
          <w:rFonts w:cstheme="minorHAnsi"/>
          <w:sz w:val="24"/>
          <w:szCs w:val="24"/>
        </w:rPr>
        <w:t>conception</w:t>
      </w:r>
      <w:r w:rsidR="003F0679" w:rsidRPr="005927F3">
        <w:rPr>
          <w:rFonts w:cstheme="minorHAnsi"/>
          <w:sz w:val="24"/>
          <w:szCs w:val="24"/>
        </w:rPr>
        <w:t>s</w:t>
      </w:r>
      <w:r w:rsidR="00B339AD" w:rsidRPr="005927F3">
        <w:rPr>
          <w:rFonts w:cstheme="minorHAnsi"/>
          <w:sz w:val="24"/>
          <w:szCs w:val="24"/>
        </w:rPr>
        <w:t xml:space="preserve"> of privacy</w:t>
      </w:r>
      <w:r w:rsidR="00B151B8" w:rsidRPr="005927F3">
        <w:rPr>
          <w:rFonts w:cstheme="minorHAnsi"/>
          <w:sz w:val="24"/>
          <w:szCs w:val="24"/>
        </w:rPr>
        <w:t xml:space="preserve"> on multiple levels. </w:t>
      </w:r>
      <w:r w:rsidR="00C76C40" w:rsidRPr="005927F3">
        <w:rPr>
          <w:rFonts w:cstheme="minorHAnsi"/>
          <w:sz w:val="24"/>
          <w:szCs w:val="24"/>
        </w:rPr>
        <w:t>B</w:t>
      </w:r>
      <w:r w:rsidR="004A554A" w:rsidRPr="005927F3">
        <w:rPr>
          <w:rFonts w:cstheme="minorHAnsi"/>
          <w:sz w:val="24"/>
          <w:szCs w:val="24"/>
        </w:rPr>
        <w:t xml:space="preserve">oth </w:t>
      </w:r>
      <w:r w:rsidR="00A16637" w:rsidRPr="005927F3">
        <w:rPr>
          <w:rFonts w:cstheme="minorHAnsi"/>
          <w:sz w:val="24"/>
          <w:szCs w:val="24"/>
        </w:rPr>
        <w:t xml:space="preserve">are </w:t>
      </w:r>
      <w:r w:rsidR="00F672FD" w:rsidRPr="005927F3">
        <w:rPr>
          <w:rFonts w:cstheme="minorHAnsi"/>
          <w:sz w:val="24"/>
          <w:szCs w:val="24"/>
        </w:rPr>
        <w:t xml:space="preserve">broadly </w:t>
      </w:r>
      <w:r w:rsidR="00A16637" w:rsidRPr="005927F3">
        <w:rPr>
          <w:rFonts w:cstheme="minorHAnsi"/>
          <w:sz w:val="24"/>
          <w:szCs w:val="24"/>
        </w:rPr>
        <w:t>con</w:t>
      </w:r>
      <w:r w:rsidR="007E713B" w:rsidRPr="005927F3">
        <w:rPr>
          <w:rFonts w:cstheme="minorHAnsi"/>
          <w:sz w:val="24"/>
          <w:szCs w:val="24"/>
        </w:rPr>
        <w:t xml:space="preserve">cerned with </w:t>
      </w:r>
      <w:r w:rsidR="003D7FBF" w:rsidRPr="005927F3">
        <w:rPr>
          <w:rFonts w:cstheme="minorHAnsi"/>
          <w:sz w:val="24"/>
          <w:szCs w:val="24"/>
        </w:rPr>
        <w:t>self</w:t>
      </w:r>
      <w:r w:rsidR="00A16637" w:rsidRPr="005927F3">
        <w:rPr>
          <w:rFonts w:cstheme="minorHAnsi"/>
          <w:sz w:val="24"/>
          <w:szCs w:val="24"/>
        </w:rPr>
        <w:t>-authorship</w:t>
      </w:r>
      <w:r w:rsidR="008451AC" w:rsidRPr="005927F3">
        <w:rPr>
          <w:rFonts w:cstheme="minorHAnsi"/>
          <w:sz w:val="24"/>
          <w:szCs w:val="24"/>
        </w:rPr>
        <w:t xml:space="preserve"> but </w:t>
      </w:r>
      <w:r w:rsidR="00A16637" w:rsidRPr="005927F3">
        <w:rPr>
          <w:rFonts w:cstheme="minorHAnsi"/>
          <w:sz w:val="24"/>
          <w:szCs w:val="24"/>
        </w:rPr>
        <w:t>localise</w:t>
      </w:r>
      <w:r w:rsidR="00D53320" w:rsidRPr="005927F3">
        <w:rPr>
          <w:rFonts w:cstheme="minorHAnsi"/>
          <w:sz w:val="24"/>
          <w:szCs w:val="24"/>
        </w:rPr>
        <w:t xml:space="preserve"> </w:t>
      </w:r>
      <w:r w:rsidR="00920CC8" w:rsidRPr="005927F3">
        <w:rPr>
          <w:rFonts w:cstheme="minorHAnsi"/>
          <w:sz w:val="24"/>
          <w:szCs w:val="24"/>
        </w:rPr>
        <w:t>its flourishing</w:t>
      </w:r>
      <w:r w:rsidR="00A16637" w:rsidRPr="005927F3">
        <w:rPr>
          <w:rFonts w:cstheme="minorHAnsi"/>
          <w:sz w:val="24"/>
          <w:szCs w:val="24"/>
        </w:rPr>
        <w:t xml:space="preserve"> in different realms</w:t>
      </w:r>
      <w:r w:rsidR="00CF0585" w:rsidRPr="005927F3">
        <w:rPr>
          <w:rFonts w:cstheme="minorHAnsi"/>
          <w:sz w:val="24"/>
          <w:szCs w:val="24"/>
        </w:rPr>
        <w:t>,</w:t>
      </w:r>
      <w:r w:rsidR="007E713B" w:rsidRPr="005927F3">
        <w:rPr>
          <w:rFonts w:cstheme="minorHAnsi"/>
          <w:sz w:val="24"/>
          <w:szCs w:val="24"/>
        </w:rPr>
        <w:t xml:space="preserve"> </w:t>
      </w:r>
      <w:r w:rsidR="00B151B8" w:rsidRPr="005927F3">
        <w:rPr>
          <w:rFonts w:cstheme="minorHAnsi"/>
          <w:sz w:val="24"/>
          <w:szCs w:val="24"/>
        </w:rPr>
        <w:t xml:space="preserve">against </w:t>
      </w:r>
      <w:r w:rsidR="00A16637" w:rsidRPr="005927F3">
        <w:rPr>
          <w:rFonts w:cstheme="minorHAnsi"/>
          <w:sz w:val="24"/>
          <w:szCs w:val="24"/>
        </w:rPr>
        <w:t>the peculiar social</w:t>
      </w:r>
      <w:r w:rsidR="00EA1803" w:rsidRPr="005927F3">
        <w:rPr>
          <w:rFonts w:cstheme="minorHAnsi"/>
          <w:sz w:val="24"/>
          <w:szCs w:val="24"/>
        </w:rPr>
        <w:t xml:space="preserve"> and political</w:t>
      </w:r>
      <w:r w:rsidR="00C56F00" w:rsidRPr="005927F3">
        <w:rPr>
          <w:rFonts w:cstheme="minorHAnsi"/>
          <w:sz w:val="24"/>
          <w:szCs w:val="24"/>
        </w:rPr>
        <w:t xml:space="preserve"> traditions and</w:t>
      </w:r>
      <w:r w:rsidR="00A16637" w:rsidRPr="005927F3">
        <w:rPr>
          <w:rFonts w:cstheme="minorHAnsi"/>
          <w:sz w:val="24"/>
          <w:szCs w:val="24"/>
        </w:rPr>
        <w:t xml:space="preserve"> background conditions</w:t>
      </w:r>
      <w:r w:rsidR="00B151B8" w:rsidRPr="005927F3">
        <w:rPr>
          <w:rFonts w:cstheme="minorHAnsi"/>
          <w:sz w:val="24"/>
          <w:szCs w:val="24"/>
        </w:rPr>
        <w:t xml:space="preserve"> in which they emerged and to which they responded</w:t>
      </w:r>
      <w:r w:rsidR="00A16637" w:rsidRPr="005927F3">
        <w:rPr>
          <w:rFonts w:cstheme="minorHAnsi"/>
          <w:sz w:val="24"/>
          <w:szCs w:val="24"/>
        </w:rPr>
        <w:t>. The A</w:t>
      </w:r>
      <w:r w:rsidR="00215E8A" w:rsidRPr="005927F3">
        <w:rPr>
          <w:rFonts w:cstheme="minorHAnsi"/>
          <w:sz w:val="24"/>
          <w:szCs w:val="24"/>
        </w:rPr>
        <w:t>nglo-A</w:t>
      </w:r>
      <w:r w:rsidR="00A16637" w:rsidRPr="005927F3">
        <w:rPr>
          <w:rFonts w:cstheme="minorHAnsi"/>
          <w:sz w:val="24"/>
          <w:szCs w:val="24"/>
        </w:rPr>
        <w:t xml:space="preserve">merican </w:t>
      </w:r>
      <w:r w:rsidR="004A554A" w:rsidRPr="005927F3">
        <w:rPr>
          <w:rFonts w:cstheme="minorHAnsi"/>
          <w:sz w:val="24"/>
          <w:szCs w:val="24"/>
        </w:rPr>
        <w:t>version</w:t>
      </w:r>
      <w:r w:rsidR="00CF0585" w:rsidRPr="005927F3">
        <w:rPr>
          <w:rFonts w:cstheme="minorHAnsi"/>
          <w:sz w:val="24"/>
          <w:szCs w:val="24"/>
        </w:rPr>
        <w:t xml:space="preserve"> carves out th</w:t>
      </w:r>
      <w:r w:rsidR="009826AA" w:rsidRPr="005927F3">
        <w:rPr>
          <w:rFonts w:cstheme="minorHAnsi"/>
          <w:sz w:val="24"/>
          <w:szCs w:val="24"/>
        </w:rPr>
        <w:t xml:space="preserve">e body, the </w:t>
      </w:r>
      <w:r w:rsidR="00CF0585" w:rsidRPr="005927F3">
        <w:rPr>
          <w:rFonts w:cstheme="minorHAnsi"/>
          <w:sz w:val="24"/>
          <w:szCs w:val="24"/>
        </w:rPr>
        <w:t xml:space="preserve">home, </w:t>
      </w:r>
      <w:r w:rsidR="004A554A" w:rsidRPr="005927F3">
        <w:rPr>
          <w:rFonts w:cstheme="minorHAnsi"/>
          <w:sz w:val="24"/>
          <w:szCs w:val="24"/>
        </w:rPr>
        <w:t>and implicitly the family</w:t>
      </w:r>
      <w:r w:rsidR="00CF0585" w:rsidRPr="005927F3">
        <w:rPr>
          <w:rFonts w:cstheme="minorHAnsi"/>
          <w:sz w:val="24"/>
          <w:szCs w:val="24"/>
        </w:rPr>
        <w:t>,</w:t>
      </w:r>
      <w:r w:rsidR="00F56AB0" w:rsidRPr="005927F3">
        <w:rPr>
          <w:rFonts w:cstheme="minorHAnsi"/>
          <w:sz w:val="24"/>
          <w:szCs w:val="24"/>
        </w:rPr>
        <w:t xml:space="preserve"> as the space</w:t>
      </w:r>
      <w:r w:rsidR="004A554A" w:rsidRPr="005927F3">
        <w:rPr>
          <w:rFonts w:cstheme="minorHAnsi"/>
          <w:sz w:val="24"/>
          <w:szCs w:val="24"/>
        </w:rPr>
        <w:t xml:space="preserve"> </w:t>
      </w:r>
      <w:r w:rsidR="00CF0585" w:rsidRPr="005927F3">
        <w:rPr>
          <w:rFonts w:cstheme="minorHAnsi"/>
          <w:sz w:val="24"/>
          <w:szCs w:val="24"/>
        </w:rPr>
        <w:t>for self-sovereignty; meanwhile</w:t>
      </w:r>
      <w:r w:rsidR="004A554A" w:rsidRPr="005927F3">
        <w:rPr>
          <w:rFonts w:cstheme="minorHAnsi"/>
          <w:sz w:val="24"/>
          <w:szCs w:val="24"/>
        </w:rPr>
        <w:t xml:space="preserve"> </w:t>
      </w:r>
      <w:r w:rsidR="00642D58" w:rsidRPr="005927F3">
        <w:rPr>
          <w:rFonts w:cstheme="minorHAnsi"/>
          <w:sz w:val="24"/>
          <w:szCs w:val="24"/>
        </w:rPr>
        <w:t>Continental</w:t>
      </w:r>
      <w:r w:rsidR="004A554A" w:rsidRPr="005927F3">
        <w:rPr>
          <w:rFonts w:cstheme="minorHAnsi"/>
          <w:sz w:val="24"/>
          <w:szCs w:val="24"/>
        </w:rPr>
        <w:t xml:space="preserve"> </w:t>
      </w:r>
      <w:r w:rsidR="001F4531" w:rsidRPr="005927F3">
        <w:rPr>
          <w:rFonts w:cstheme="minorHAnsi"/>
          <w:sz w:val="24"/>
          <w:szCs w:val="24"/>
        </w:rPr>
        <w:t>Europe</w:t>
      </w:r>
      <w:r w:rsidR="00CF0585" w:rsidRPr="005927F3">
        <w:rPr>
          <w:rFonts w:cstheme="minorHAnsi"/>
          <w:sz w:val="24"/>
          <w:szCs w:val="24"/>
        </w:rPr>
        <w:t>an</w:t>
      </w:r>
      <w:r w:rsidR="001F4531" w:rsidRPr="005927F3">
        <w:rPr>
          <w:rFonts w:cstheme="minorHAnsi"/>
          <w:sz w:val="24"/>
          <w:szCs w:val="24"/>
        </w:rPr>
        <w:t xml:space="preserve"> privacy</w:t>
      </w:r>
      <w:r w:rsidR="00920CC8" w:rsidRPr="005927F3">
        <w:rPr>
          <w:rFonts w:cstheme="minorHAnsi"/>
          <w:sz w:val="24"/>
          <w:szCs w:val="24"/>
        </w:rPr>
        <w:t xml:space="preserve"> </w:t>
      </w:r>
      <w:r w:rsidR="00484F83" w:rsidRPr="005927F3">
        <w:rPr>
          <w:rFonts w:cstheme="minorHAnsi"/>
          <w:sz w:val="24"/>
          <w:szCs w:val="24"/>
        </w:rPr>
        <w:t xml:space="preserve">fixes its attention on </w:t>
      </w:r>
      <w:r w:rsidR="00920CC8" w:rsidRPr="005927F3">
        <w:rPr>
          <w:rFonts w:cstheme="minorHAnsi"/>
          <w:sz w:val="24"/>
          <w:szCs w:val="24"/>
        </w:rPr>
        <w:t xml:space="preserve">the public realm </w:t>
      </w:r>
      <w:r w:rsidR="00484F83" w:rsidRPr="005927F3">
        <w:rPr>
          <w:rFonts w:cstheme="minorHAnsi"/>
          <w:sz w:val="24"/>
          <w:szCs w:val="24"/>
        </w:rPr>
        <w:t>as the arena for</w:t>
      </w:r>
      <w:r w:rsidR="00920CC8" w:rsidRPr="005927F3">
        <w:rPr>
          <w:rFonts w:cstheme="minorHAnsi"/>
          <w:sz w:val="24"/>
          <w:szCs w:val="24"/>
        </w:rPr>
        <w:t xml:space="preserve"> personal self-determination</w:t>
      </w:r>
      <w:r w:rsidR="001F4531" w:rsidRPr="005927F3">
        <w:rPr>
          <w:rFonts w:cstheme="minorHAnsi"/>
          <w:sz w:val="24"/>
          <w:szCs w:val="24"/>
        </w:rPr>
        <w:t xml:space="preserve"> under conditions of </w:t>
      </w:r>
      <w:r w:rsidR="00484F83" w:rsidRPr="005927F3">
        <w:rPr>
          <w:rFonts w:cstheme="minorHAnsi"/>
          <w:sz w:val="24"/>
          <w:szCs w:val="24"/>
        </w:rPr>
        <w:t>respect and dignity.</w:t>
      </w:r>
      <w:r w:rsidR="008B6754" w:rsidRPr="005927F3">
        <w:rPr>
          <w:rFonts w:cstheme="minorHAnsi"/>
          <w:sz w:val="24"/>
          <w:szCs w:val="24"/>
        </w:rPr>
        <w:t xml:space="preserve"> </w:t>
      </w:r>
      <w:r w:rsidR="005043E4" w:rsidRPr="005927F3">
        <w:rPr>
          <w:rFonts w:cstheme="minorHAnsi"/>
          <w:sz w:val="24"/>
          <w:szCs w:val="24"/>
        </w:rPr>
        <w:t xml:space="preserve">In that sense, not far removed from Post’s comparison, there is a complementarity in that the American emphasis on seclusion and being hidden stresses the autobiographical dimension of personal identity, whilst the </w:t>
      </w:r>
      <w:r w:rsidR="00642D58" w:rsidRPr="005927F3">
        <w:rPr>
          <w:rFonts w:cstheme="minorHAnsi"/>
          <w:sz w:val="24"/>
          <w:szCs w:val="24"/>
        </w:rPr>
        <w:t>Continental</w:t>
      </w:r>
      <w:r w:rsidR="005043E4" w:rsidRPr="005927F3">
        <w:rPr>
          <w:rFonts w:cstheme="minorHAnsi"/>
          <w:sz w:val="24"/>
          <w:szCs w:val="24"/>
        </w:rPr>
        <w:t xml:space="preserve"> European emphasis on personal oversight of one’s standing</w:t>
      </w:r>
      <w:r w:rsidR="00B151B8" w:rsidRPr="005927F3">
        <w:rPr>
          <w:rFonts w:cstheme="minorHAnsi"/>
          <w:sz w:val="24"/>
          <w:szCs w:val="24"/>
        </w:rPr>
        <w:t xml:space="preserve"> in public is concerned with the</w:t>
      </w:r>
      <w:r w:rsidR="005043E4" w:rsidRPr="005927F3">
        <w:rPr>
          <w:rFonts w:cstheme="minorHAnsi"/>
          <w:sz w:val="24"/>
          <w:szCs w:val="24"/>
        </w:rPr>
        <w:t xml:space="preserve"> biographical or social dimension</w:t>
      </w:r>
      <w:r w:rsidR="00B151B8" w:rsidRPr="005927F3">
        <w:rPr>
          <w:rFonts w:cstheme="minorHAnsi"/>
          <w:sz w:val="24"/>
          <w:szCs w:val="24"/>
        </w:rPr>
        <w:t xml:space="preserve"> of identity</w:t>
      </w:r>
      <w:r w:rsidR="005043E4" w:rsidRPr="005927F3">
        <w:rPr>
          <w:rFonts w:cstheme="minorHAnsi"/>
          <w:sz w:val="24"/>
          <w:szCs w:val="24"/>
        </w:rPr>
        <w:t>.</w:t>
      </w:r>
      <w:r w:rsidR="00BB69CC" w:rsidRPr="005927F3">
        <w:rPr>
          <w:rStyle w:val="FootnoteReference"/>
          <w:rFonts w:cstheme="minorHAnsi"/>
          <w:sz w:val="24"/>
          <w:szCs w:val="24"/>
        </w:rPr>
        <w:footnoteReference w:id="63"/>
      </w:r>
      <w:r w:rsidR="008451AC" w:rsidRPr="005927F3">
        <w:rPr>
          <w:rFonts w:cstheme="minorHAnsi"/>
          <w:sz w:val="24"/>
          <w:szCs w:val="24"/>
        </w:rPr>
        <w:t xml:space="preserve"> The conceptions</w:t>
      </w:r>
      <w:r w:rsidR="000E638E" w:rsidRPr="005927F3">
        <w:rPr>
          <w:rFonts w:cstheme="minorHAnsi"/>
          <w:sz w:val="24"/>
          <w:szCs w:val="24"/>
        </w:rPr>
        <w:t xml:space="preserve"> </w:t>
      </w:r>
      <w:r w:rsidR="00B354F6" w:rsidRPr="005927F3">
        <w:rPr>
          <w:rFonts w:cstheme="minorHAnsi"/>
          <w:sz w:val="24"/>
          <w:szCs w:val="24"/>
        </w:rPr>
        <w:t xml:space="preserve">also make a natural fit with the jurisprudential tradition of each </w:t>
      </w:r>
      <w:r w:rsidR="00B151B8" w:rsidRPr="005927F3">
        <w:rPr>
          <w:rFonts w:cstheme="minorHAnsi"/>
          <w:sz w:val="24"/>
          <w:szCs w:val="24"/>
        </w:rPr>
        <w:t>jurisdiction</w:t>
      </w:r>
      <w:r w:rsidR="000E638E" w:rsidRPr="005927F3">
        <w:rPr>
          <w:rFonts w:cstheme="minorHAnsi"/>
          <w:sz w:val="24"/>
          <w:szCs w:val="24"/>
        </w:rPr>
        <w:t>: p</w:t>
      </w:r>
      <w:r w:rsidR="007E713B" w:rsidRPr="005927F3">
        <w:rPr>
          <w:rFonts w:cstheme="minorHAnsi"/>
          <w:sz w:val="24"/>
          <w:szCs w:val="24"/>
        </w:rPr>
        <w:t>rivacy as liberty</w:t>
      </w:r>
      <w:r w:rsidR="0000181C" w:rsidRPr="005927F3">
        <w:rPr>
          <w:rFonts w:cstheme="minorHAnsi"/>
          <w:sz w:val="24"/>
          <w:szCs w:val="24"/>
        </w:rPr>
        <w:t xml:space="preserve"> focused</w:t>
      </w:r>
      <w:r w:rsidR="000E638E" w:rsidRPr="005927F3">
        <w:rPr>
          <w:rFonts w:cstheme="minorHAnsi"/>
          <w:sz w:val="24"/>
          <w:szCs w:val="24"/>
        </w:rPr>
        <w:t xml:space="preserve"> on a physical space</w:t>
      </w:r>
      <w:r w:rsidR="007E713B" w:rsidRPr="005927F3">
        <w:rPr>
          <w:rFonts w:cstheme="minorHAnsi"/>
          <w:sz w:val="24"/>
          <w:szCs w:val="24"/>
        </w:rPr>
        <w:t xml:space="preserve"> </w:t>
      </w:r>
      <w:r w:rsidR="00F56AB0" w:rsidRPr="005927F3">
        <w:rPr>
          <w:rFonts w:cstheme="minorHAnsi"/>
          <w:sz w:val="24"/>
          <w:szCs w:val="24"/>
        </w:rPr>
        <w:t xml:space="preserve">is </w:t>
      </w:r>
      <w:r w:rsidRPr="005927F3">
        <w:rPr>
          <w:rFonts w:cstheme="minorHAnsi"/>
          <w:sz w:val="24"/>
          <w:szCs w:val="24"/>
        </w:rPr>
        <w:t xml:space="preserve">rooted in </w:t>
      </w:r>
      <w:r w:rsidR="007E713B" w:rsidRPr="005927F3">
        <w:rPr>
          <w:rFonts w:cstheme="minorHAnsi"/>
          <w:sz w:val="24"/>
          <w:szCs w:val="24"/>
        </w:rPr>
        <w:t>the empiricism</w:t>
      </w:r>
      <w:r w:rsidR="00531229" w:rsidRPr="005927F3">
        <w:rPr>
          <w:rFonts w:cstheme="minorHAnsi"/>
          <w:sz w:val="24"/>
          <w:szCs w:val="24"/>
        </w:rPr>
        <w:t>, materialism</w:t>
      </w:r>
      <w:r w:rsidR="007E713B" w:rsidRPr="005927F3">
        <w:rPr>
          <w:rFonts w:cstheme="minorHAnsi"/>
          <w:sz w:val="24"/>
          <w:szCs w:val="24"/>
        </w:rPr>
        <w:t xml:space="preserve"> and</w:t>
      </w:r>
      <w:r w:rsidR="00531229" w:rsidRPr="005927F3">
        <w:rPr>
          <w:rFonts w:cstheme="minorHAnsi"/>
          <w:sz w:val="24"/>
          <w:szCs w:val="24"/>
        </w:rPr>
        <w:t xml:space="preserve"> </w:t>
      </w:r>
      <w:r w:rsidR="007E713B" w:rsidRPr="005927F3">
        <w:rPr>
          <w:rFonts w:cstheme="minorHAnsi"/>
          <w:sz w:val="24"/>
          <w:szCs w:val="24"/>
        </w:rPr>
        <w:t>pragmatism of A</w:t>
      </w:r>
      <w:r w:rsidR="00541AEF" w:rsidRPr="005927F3">
        <w:rPr>
          <w:rFonts w:cstheme="minorHAnsi"/>
          <w:sz w:val="24"/>
          <w:szCs w:val="24"/>
        </w:rPr>
        <w:t>nglo-A</w:t>
      </w:r>
      <w:r w:rsidR="007E713B" w:rsidRPr="005927F3">
        <w:rPr>
          <w:rFonts w:cstheme="minorHAnsi"/>
          <w:sz w:val="24"/>
          <w:szCs w:val="24"/>
        </w:rPr>
        <w:t xml:space="preserve">merican jurisprudence, </w:t>
      </w:r>
      <w:r w:rsidR="00F56AB0" w:rsidRPr="005927F3">
        <w:rPr>
          <w:rFonts w:cstheme="minorHAnsi"/>
          <w:sz w:val="24"/>
          <w:szCs w:val="24"/>
        </w:rPr>
        <w:t xml:space="preserve">whilst </w:t>
      </w:r>
      <w:r w:rsidR="007E713B" w:rsidRPr="005927F3">
        <w:rPr>
          <w:rFonts w:cstheme="minorHAnsi"/>
          <w:sz w:val="24"/>
          <w:szCs w:val="24"/>
        </w:rPr>
        <w:t>privacy as dignity</w:t>
      </w:r>
      <w:r w:rsidR="00531229" w:rsidRPr="005927F3">
        <w:rPr>
          <w:rFonts w:cstheme="minorHAnsi"/>
          <w:sz w:val="24"/>
          <w:szCs w:val="24"/>
        </w:rPr>
        <w:t xml:space="preserve"> and its preoccupation with </w:t>
      </w:r>
      <w:r w:rsidR="00F56AB0" w:rsidRPr="005927F3">
        <w:rPr>
          <w:rFonts w:cstheme="minorHAnsi"/>
          <w:sz w:val="24"/>
          <w:szCs w:val="24"/>
        </w:rPr>
        <w:t xml:space="preserve">a person’s </w:t>
      </w:r>
      <w:r w:rsidR="007E713B" w:rsidRPr="005927F3">
        <w:rPr>
          <w:rFonts w:cstheme="minorHAnsi"/>
          <w:sz w:val="24"/>
          <w:szCs w:val="24"/>
        </w:rPr>
        <w:t>public image</w:t>
      </w:r>
      <w:r w:rsidR="00531229" w:rsidRPr="005927F3">
        <w:rPr>
          <w:rFonts w:cstheme="minorHAnsi"/>
          <w:sz w:val="24"/>
          <w:szCs w:val="24"/>
        </w:rPr>
        <w:t xml:space="preserve"> </w:t>
      </w:r>
      <w:r w:rsidR="002F06C2" w:rsidRPr="005927F3">
        <w:rPr>
          <w:rFonts w:cstheme="minorHAnsi"/>
          <w:sz w:val="24"/>
          <w:szCs w:val="24"/>
        </w:rPr>
        <w:t>based</w:t>
      </w:r>
      <w:r w:rsidR="00F56AB0" w:rsidRPr="005927F3">
        <w:rPr>
          <w:rFonts w:cstheme="minorHAnsi"/>
          <w:sz w:val="24"/>
          <w:szCs w:val="24"/>
        </w:rPr>
        <w:t xml:space="preserve"> on </w:t>
      </w:r>
      <w:r w:rsidR="007E713B" w:rsidRPr="005927F3">
        <w:rPr>
          <w:rFonts w:cstheme="minorHAnsi"/>
          <w:sz w:val="24"/>
          <w:szCs w:val="24"/>
        </w:rPr>
        <w:t xml:space="preserve">inalienable personhood </w:t>
      </w:r>
      <w:r w:rsidR="00531229" w:rsidRPr="005927F3">
        <w:rPr>
          <w:rFonts w:cstheme="minorHAnsi"/>
          <w:sz w:val="24"/>
          <w:szCs w:val="24"/>
        </w:rPr>
        <w:t>reflects the</w:t>
      </w:r>
      <w:r w:rsidR="002F06C2" w:rsidRPr="005927F3">
        <w:rPr>
          <w:rFonts w:cstheme="minorHAnsi"/>
          <w:sz w:val="24"/>
          <w:szCs w:val="24"/>
        </w:rPr>
        <w:t xml:space="preserve"> idealism and rationalism </w:t>
      </w:r>
      <w:r w:rsidR="00531229" w:rsidRPr="005927F3">
        <w:rPr>
          <w:rFonts w:cstheme="minorHAnsi"/>
          <w:sz w:val="24"/>
          <w:szCs w:val="24"/>
        </w:rPr>
        <w:t xml:space="preserve">of European thought. </w:t>
      </w:r>
      <w:r w:rsidR="008451AC" w:rsidRPr="005927F3">
        <w:rPr>
          <w:rFonts w:cstheme="minorHAnsi"/>
          <w:sz w:val="24"/>
          <w:szCs w:val="24"/>
        </w:rPr>
        <w:t>Furthermore</w:t>
      </w:r>
      <w:r w:rsidR="005043E4" w:rsidRPr="005927F3">
        <w:rPr>
          <w:rFonts w:cstheme="minorHAnsi"/>
          <w:sz w:val="24"/>
          <w:szCs w:val="24"/>
        </w:rPr>
        <w:t xml:space="preserve">, privacy as dignity </w:t>
      </w:r>
      <w:r w:rsidR="00B354F6" w:rsidRPr="005927F3">
        <w:rPr>
          <w:rFonts w:cstheme="minorHAnsi"/>
          <w:sz w:val="24"/>
          <w:szCs w:val="24"/>
        </w:rPr>
        <w:t>understands</w:t>
      </w:r>
      <w:r w:rsidR="008451AC" w:rsidRPr="005927F3">
        <w:rPr>
          <w:rFonts w:cstheme="minorHAnsi"/>
          <w:sz w:val="24"/>
          <w:szCs w:val="24"/>
        </w:rPr>
        <w:t xml:space="preserve"> the</w:t>
      </w:r>
      <w:r w:rsidR="005043E4" w:rsidRPr="005927F3">
        <w:rPr>
          <w:rFonts w:cstheme="minorHAnsi"/>
          <w:sz w:val="24"/>
          <w:szCs w:val="24"/>
        </w:rPr>
        <w:t xml:space="preserve"> ‘public’</w:t>
      </w:r>
      <w:r w:rsidR="00DD6698" w:rsidRPr="005927F3">
        <w:rPr>
          <w:rFonts w:cstheme="minorHAnsi"/>
          <w:sz w:val="24"/>
          <w:szCs w:val="24"/>
        </w:rPr>
        <w:t xml:space="preserve"> against</w:t>
      </w:r>
      <w:r w:rsidR="005043E4" w:rsidRPr="005927F3">
        <w:rPr>
          <w:rFonts w:cstheme="minorHAnsi"/>
          <w:sz w:val="24"/>
          <w:szCs w:val="24"/>
        </w:rPr>
        <w:t xml:space="preserve"> which protection is </w:t>
      </w:r>
      <w:r w:rsidR="008451AC" w:rsidRPr="005927F3">
        <w:rPr>
          <w:rFonts w:cstheme="minorHAnsi"/>
          <w:sz w:val="24"/>
          <w:szCs w:val="24"/>
        </w:rPr>
        <w:t>sought</w:t>
      </w:r>
      <w:r w:rsidR="005043E4" w:rsidRPr="005927F3">
        <w:rPr>
          <w:rFonts w:cstheme="minorHAnsi"/>
          <w:sz w:val="24"/>
          <w:szCs w:val="24"/>
        </w:rPr>
        <w:t xml:space="preserve"> as </w:t>
      </w:r>
      <w:r w:rsidR="005043E4" w:rsidRPr="005927F3">
        <w:rPr>
          <w:rFonts w:cstheme="minorHAnsi"/>
          <w:sz w:val="24"/>
          <w:szCs w:val="24"/>
        </w:rPr>
        <w:lastRenderedPageBreak/>
        <w:t xml:space="preserve">the </w:t>
      </w:r>
      <w:r w:rsidR="008451AC" w:rsidRPr="005927F3">
        <w:rPr>
          <w:rFonts w:cstheme="minorHAnsi"/>
          <w:i/>
          <w:sz w:val="24"/>
          <w:szCs w:val="24"/>
        </w:rPr>
        <w:t>social</w:t>
      </w:r>
      <w:r w:rsidR="005043E4" w:rsidRPr="005927F3">
        <w:rPr>
          <w:rFonts w:cstheme="minorHAnsi"/>
          <w:i/>
          <w:sz w:val="24"/>
          <w:szCs w:val="24"/>
        </w:rPr>
        <w:t xml:space="preserve"> </w:t>
      </w:r>
      <w:r w:rsidR="005043E4" w:rsidRPr="005927F3">
        <w:rPr>
          <w:rFonts w:cstheme="minorHAnsi"/>
          <w:sz w:val="24"/>
          <w:szCs w:val="24"/>
        </w:rPr>
        <w:t xml:space="preserve">realm, </w:t>
      </w:r>
      <w:r w:rsidR="00DD6698" w:rsidRPr="005927F3">
        <w:rPr>
          <w:rFonts w:cstheme="minorHAnsi"/>
          <w:sz w:val="24"/>
          <w:szCs w:val="24"/>
        </w:rPr>
        <w:t xml:space="preserve">in contrast to privacy as liberty where ‘public’ refers above all to </w:t>
      </w:r>
      <w:r w:rsidR="00DD6698" w:rsidRPr="005927F3">
        <w:rPr>
          <w:rFonts w:cstheme="minorHAnsi"/>
          <w:i/>
          <w:sz w:val="24"/>
          <w:szCs w:val="24"/>
        </w:rPr>
        <w:t xml:space="preserve">governmental </w:t>
      </w:r>
      <w:r w:rsidR="00B151B8" w:rsidRPr="005927F3">
        <w:rPr>
          <w:rFonts w:cstheme="minorHAnsi"/>
          <w:sz w:val="24"/>
          <w:szCs w:val="24"/>
        </w:rPr>
        <w:t>activities</w:t>
      </w:r>
      <w:r w:rsidR="008451AC" w:rsidRPr="005927F3">
        <w:rPr>
          <w:rFonts w:cstheme="minorHAnsi"/>
          <w:sz w:val="24"/>
          <w:szCs w:val="24"/>
        </w:rPr>
        <w:t>. Still</w:t>
      </w:r>
      <w:r w:rsidR="00484F83" w:rsidRPr="005927F3">
        <w:rPr>
          <w:rFonts w:cstheme="minorHAnsi"/>
          <w:sz w:val="24"/>
          <w:szCs w:val="24"/>
        </w:rPr>
        <w:t xml:space="preserve"> even in their </w:t>
      </w:r>
      <w:r w:rsidR="00221345" w:rsidRPr="005927F3">
        <w:rPr>
          <w:rFonts w:cstheme="minorHAnsi"/>
          <w:sz w:val="24"/>
          <w:szCs w:val="24"/>
        </w:rPr>
        <w:t>divergence</w:t>
      </w:r>
      <w:r w:rsidR="00484F83" w:rsidRPr="005927F3">
        <w:rPr>
          <w:rFonts w:cstheme="minorHAnsi"/>
          <w:sz w:val="24"/>
          <w:szCs w:val="24"/>
        </w:rPr>
        <w:t xml:space="preserve">s, these two conceptions </w:t>
      </w:r>
      <w:r w:rsidR="00221345" w:rsidRPr="005927F3">
        <w:rPr>
          <w:rFonts w:cstheme="minorHAnsi"/>
          <w:sz w:val="24"/>
          <w:szCs w:val="24"/>
        </w:rPr>
        <w:t>are</w:t>
      </w:r>
      <w:r w:rsidR="00FC1E1E" w:rsidRPr="005927F3">
        <w:rPr>
          <w:rFonts w:cstheme="minorHAnsi"/>
          <w:sz w:val="24"/>
          <w:szCs w:val="24"/>
        </w:rPr>
        <w:t xml:space="preserve"> </w:t>
      </w:r>
      <w:r w:rsidR="00FC1E91" w:rsidRPr="005927F3">
        <w:rPr>
          <w:rFonts w:cstheme="minorHAnsi"/>
          <w:sz w:val="24"/>
          <w:szCs w:val="24"/>
        </w:rPr>
        <w:t xml:space="preserve">united in </w:t>
      </w:r>
      <w:r w:rsidR="00F71631" w:rsidRPr="005927F3">
        <w:rPr>
          <w:rFonts w:cstheme="minorHAnsi"/>
          <w:sz w:val="24"/>
          <w:szCs w:val="24"/>
        </w:rPr>
        <w:t>their</w:t>
      </w:r>
      <w:r w:rsidR="00221345" w:rsidRPr="005927F3">
        <w:rPr>
          <w:rFonts w:cstheme="minorHAnsi"/>
          <w:sz w:val="24"/>
          <w:szCs w:val="24"/>
        </w:rPr>
        <w:t xml:space="preserve"> </w:t>
      </w:r>
      <w:r w:rsidR="00B354F6" w:rsidRPr="005927F3">
        <w:rPr>
          <w:rFonts w:cstheme="minorHAnsi"/>
          <w:sz w:val="24"/>
          <w:szCs w:val="24"/>
        </w:rPr>
        <w:t xml:space="preserve">overall </w:t>
      </w:r>
      <w:r w:rsidR="00221345" w:rsidRPr="005927F3">
        <w:rPr>
          <w:rFonts w:cstheme="minorHAnsi"/>
          <w:sz w:val="24"/>
          <w:szCs w:val="24"/>
        </w:rPr>
        <w:t xml:space="preserve">objective </w:t>
      </w:r>
      <w:r w:rsidR="00F71631" w:rsidRPr="005927F3">
        <w:rPr>
          <w:rFonts w:cstheme="minorHAnsi"/>
          <w:sz w:val="24"/>
          <w:szCs w:val="24"/>
        </w:rPr>
        <w:t>to protect</w:t>
      </w:r>
      <w:r w:rsidR="00FC1E1E" w:rsidRPr="005927F3">
        <w:rPr>
          <w:rFonts w:cstheme="minorHAnsi"/>
          <w:sz w:val="24"/>
          <w:szCs w:val="24"/>
        </w:rPr>
        <w:t xml:space="preserve">ing </w:t>
      </w:r>
      <w:r w:rsidR="00221345" w:rsidRPr="005927F3">
        <w:rPr>
          <w:rFonts w:cstheme="minorHAnsi"/>
          <w:sz w:val="24"/>
          <w:szCs w:val="24"/>
        </w:rPr>
        <w:t>self-</w:t>
      </w:r>
      <w:r w:rsidR="00C1075C" w:rsidRPr="005927F3">
        <w:rPr>
          <w:rFonts w:cstheme="minorHAnsi"/>
          <w:sz w:val="24"/>
          <w:szCs w:val="24"/>
        </w:rPr>
        <w:t>authorship</w:t>
      </w:r>
      <w:r w:rsidR="0050126E" w:rsidRPr="005927F3">
        <w:rPr>
          <w:rFonts w:cstheme="minorHAnsi"/>
          <w:sz w:val="24"/>
          <w:szCs w:val="24"/>
        </w:rPr>
        <w:t xml:space="preserve"> and self-</w:t>
      </w:r>
      <w:r w:rsidR="001F37CD" w:rsidRPr="005927F3">
        <w:rPr>
          <w:rFonts w:cstheme="minorHAnsi"/>
          <w:sz w:val="24"/>
          <w:szCs w:val="24"/>
        </w:rPr>
        <w:t>sovereignty</w:t>
      </w:r>
      <w:r w:rsidR="00F71631" w:rsidRPr="005927F3">
        <w:rPr>
          <w:rStyle w:val="FootnoteReference"/>
          <w:rFonts w:cstheme="minorHAnsi"/>
          <w:sz w:val="24"/>
          <w:szCs w:val="24"/>
        </w:rPr>
        <w:footnoteReference w:id="64"/>
      </w:r>
      <w:r w:rsidR="00C76C40" w:rsidRPr="005927F3">
        <w:rPr>
          <w:rFonts w:cstheme="minorHAnsi"/>
          <w:sz w:val="24"/>
          <w:szCs w:val="24"/>
        </w:rPr>
        <w:t xml:space="preserve"> </w:t>
      </w:r>
      <w:r w:rsidR="009D38B4" w:rsidRPr="005927F3">
        <w:rPr>
          <w:rFonts w:cstheme="minorHAnsi"/>
          <w:sz w:val="24"/>
          <w:szCs w:val="24"/>
        </w:rPr>
        <w:t>which</w:t>
      </w:r>
      <w:r w:rsidR="00C76C40" w:rsidRPr="005927F3">
        <w:rPr>
          <w:rFonts w:cstheme="minorHAnsi"/>
          <w:sz w:val="24"/>
          <w:szCs w:val="24"/>
        </w:rPr>
        <w:t xml:space="preserve"> </w:t>
      </w:r>
      <w:r w:rsidR="00484F83" w:rsidRPr="005927F3">
        <w:rPr>
          <w:rFonts w:cstheme="minorHAnsi"/>
          <w:sz w:val="24"/>
          <w:szCs w:val="24"/>
        </w:rPr>
        <w:t xml:space="preserve">shines through </w:t>
      </w:r>
      <w:r w:rsidR="00343C1C" w:rsidRPr="005927F3">
        <w:rPr>
          <w:rFonts w:cstheme="minorHAnsi"/>
          <w:sz w:val="24"/>
          <w:szCs w:val="24"/>
        </w:rPr>
        <w:t xml:space="preserve">the </w:t>
      </w:r>
      <w:r w:rsidR="00642D58" w:rsidRPr="005927F3">
        <w:rPr>
          <w:rFonts w:cstheme="minorHAnsi"/>
          <w:sz w:val="24"/>
          <w:szCs w:val="24"/>
        </w:rPr>
        <w:t>Continental</w:t>
      </w:r>
      <w:r w:rsidR="00220071" w:rsidRPr="005927F3">
        <w:rPr>
          <w:rFonts w:cstheme="minorHAnsi"/>
          <w:sz w:val="24"/>
          <w:szCs w:val="24"/>
        </w:rPr>
        <w:t xml:space="preserve"> European </w:t>
      </w:r>
      <w:r w:rsidR="001A3D7B" w:rsidRPr="005927F3">
        <w:rPr>
          <w:rFonts w:cstheme="minorHAnsi"/>
          <w:sz w:val="24"/>
          <w:szCs w:val="24"/>
        </w:rPr>
        <w:t>privacy</w:t>
      </w:r>
      <w:r w:rsidR="00343C1C" w:rsidRPr="005927F3">
        <w:rPr>
          <w:rFonts w:cstheme="minorHAnsi"/>
          <w:sz w:val="24"/>
          <w:szCs w:val="24"/>
        </w:rPr>
        <w:t xml:space="preserve"> culture</w:t>
      </w:r>
      <w:r w:rsidR="00C56F00" w:rsidRPr="005927F3">
        <w:rPr>
          <w:rFonts w:cstheme="minorHAnsi"/>
          <w:sz w:val="24"/>
          <w:szCs w:val="24"/>
        </w:rPr>
        <w:t xml:space="preserve"> bright and strong</w:t>
      </w:r>
      <w:r w:rsidR="009D38B4" w:rsidRPr="005927F3">
        <w:rPr>
          <w:rFonts w:cstheme="minorHAnsi"/>
          <w:sz w:val="24"/>
          <w:szCs w:val="24"/>
        </w:rPr>
        <w:t>. M</w:t>
      </w:r>
      <w:r w:rsidR="00854A69" w:rsidRPr="005927F3">
        <w:rPr>
          <w:rFonts w:cstheme="minorHAnsi"/>
          <w:sz w:val="24"/>
          <w:szCs w:val="24"/>
        </w:rPr>
        <w:t>eanwhile</w:t>
      </w:r>
      <w:r w:rsidR="00D90D82" w:rsidRPr="005927F3">
        <w:rPr>
          <w:rFonts w:cstheme="minorHAnsi"/>
          <w:sz w:val="24"/>
          <w:szCs w:val="24"/>
        </w:rPr>
        <w:t xml:space="preserve"> </w:t>
      </w:r>
      <w:r w:rsidR="00484F83" w:rsidRPr="005927F3">
        <w:rPr>
          <w:rFonts w:cstheme="minorHAnsi"/>
          <w:sz w:val="24"/>
          <w:szCs w:val="24"/>
        </w:rPr>
        <w:t xml:space="preserve">in </w:t>
      </w:r>
      <w:r w:rsidR="00343C1C" w:rsidRPr="005927F3">
        <w:rPr>
          <w:rFonts w:cstheme="minorHAnsi"/>
          <w:sz w:val="24"/>
          <w:szCs w:val="24"/>
        </w:rPr>
        <w:t xml:space="preserve">the </w:t>
      </w:r>
      <w:r w:rsidR="00220071" w:rsidRPr="005927F3">
        <w:rPr>
          <w:rFonts w:cstheme="minorHAnsi"/>
          <w:sz w:val="24"/>
          <w:szCs w:val="24"/>
        </w:rPr>
        <w:t>American</w:t>
      </w:r>
      <w:r w:rsidR="0000181C" w:rsidRPr="005927F3">
        <w:rPr>
          <w:rFonts w:cstheme="minorHAnsi"/>
          <w:sz w:val="24"/>
          <w:szCs w:val="24"/>
        </w:rPr>
        <w:t xml:space="preserve"> </w:t>
      </w:r>
      <w:r w:rsidR="00DD6698" w:rsidRPr="005927F3">
        <w:rPr>
          <w:rFonts w:cstheme="minorHAnsi"/>
          <w:sz w:val="24"/>
          <w:szCs w:val="24"/>
        </w:rPr>
        <w:t>privacy</w:t>
      </w:r>
      <w:r w:rsidR="00343C1C" w:rsidRPr="005927F3">
        <w:rPr>
          <w:rFonts w:cstheme="minorHAnsi"/>
          <w:sz w:val="24"/>
          <w:szCs w:val="24"/>
        </w:rPr>
        <w:t xml:space="preserve"> tradition,</w:t>
      </w:r>
      <w:r w:rsidR="00220071" w:rsidRPr="005927F3">
        <w:rPr>
          <w:rFonts w:cstheme="minorHAnsi"/>
          <w:sz w:val="24"/>
          <w:szCs w:val="24"/>
        </w:rPr>
        <w:t xml:space="preserve"> being </w:t>
      </w:r>
      <w:r w:rsidR="00484F83" w:rsidRPr="005927F3">
        <w:rPr>
          <w:rFonts w:cstheme="minorHAnsi"/>
          <w:sz w:val="24"/>
          <w:szCs w:val="24"/>
        </w:rPr>
        <w:t>the</w:t>
      </w:r>
      <w:r w:rsidR="00220071" w:rsidRPr="005927F3">
        <w:rPr>
          <w:rFonts w:cstheme="minorHAnsi"/>
          <w:sz w:val="24"/>
          <w:szCs w:val="24"/>
        </w:rPr>
        <w:t xml:space="preserve"> master </w:t>
      </w:r>
      <w:r w:rsidR="00484F83" w:rsidRPr="005927F3">
        <w:rPr>
          <w:rFonts w:cstheme="minorHAnsi"/>
          <w:sz w:val="24"/>
          <w:szCs w:val="24"/>
        </w:rPr>
        <w:t>in one’s home is synonymous</w:t>
      </w:r>
      <w:r w:rsidR="001A3D7B" w:rsidRPr="005927F3">
        <w:rPr>
          <w:rFonts w:cstheme="minorHAnsi"/>
          <w:sz w:val="24"/>
          <w:szCs w:val="24"/>
        </w:rPr>
        <w:t xml:space="preserve"> with</w:t>
      </w:r>
      <w:r w:rsidR="00484F83" w:rsidRPr="005927F3">
        <w:rPr>
          <w:rFonts w:cstheme="minorHAnsi"/>
          <w:sz w:val="24"/>
          <w:szCs w:val="24"/>
        </w:rPr>
        <w:t xml:space="preserve"> </w:t>
      </w:r>
      <w:r w:rsidR="00961E74" w:rsidRPr="005927F3">
        <w:rPr>
          <w:rFonts w:cstheme="minorHAnsi"/>
          <w:sz w:val="24"/>
          <w:szCs w:val="24"/>
        </w:rPr>
        <w:t>self-determination,</w:t>
      </w:r>
      <w:r w:rsidR="00A00E52" w:rsidRPr="005927F3">
        <w:rPr>
          <w:rStyle w:val="FootnoteReference"/>
          <w:rFonts w:cstheme="minorHAnsi"/>
          <w:sz w:val="24"/>
          <w:szCs w:val="24"/>
        </w:rPr>
        <w:footnoteReference w:id="65"/>
      </w:r>
      <w:r w:rsidR="001A3D7B" w:rsidRPr="005927F3">
        <w:rPr>
          <w:rFonts w:cstheme="minorHAnsi"/>
          <w:sz w:val="24"/>
          <w:szCs w:val="24"/>
        </w:rPr>
        <w:t xml:space="preserve"> </w:t>
      </w:r>
      <w:r w:rsidR="00484F83" w:rsidRPr="005927F3">
        <w:rPr>
          <w:rFonts w:cstheme="minorHAnsi"/>
          <w:sz w:val="24"/>
          <w:szCs w:val="24"/>
        </w:rPr>
        <w:t xml:space="preserve">and </w:t>
      </w:r>
      <w:r w:rsidR="00EA1803" w:rsidRPr="005927F3">
        <w:rPr>
          <w:rFonts w:cstheme="minorHAnsi"/>
          <w:sz w:val="24"/>
          <w:szCs w:val="24"/>
        </w:rPr>
        <w:t>implicitly</w:t>
      </w:r>
      <w:r w:rsidR="00DD6698" w:rsidRPr="005927F3">
        <w:rPr>
          <w:rFonts w:cstheme="minorHAnsi"/>
          <w:sz w:val="24"/>
          <w:szCs w:val="24"/>
        </w:rPr>
        <w:t xml:space="preserve"> with</w:t>
      </w:r>
      <w:r w:rsidR="00EA1803" w:rsidRPr="005927F3">
        <w:rPr>
          <w:rFonts w:cstheme="minorHAnsi"/>
          <w:sz w:val="24"/>
          <w:szCs w:val="24"/>
        </w:rPr>
        <w:t xml:space="preserve"> self-authorship, </w:t>
      </w:r>
      <w:r w:rsidR="00EC2BA9" w:rsidRPr="005927F3">
        <w:rPr>
          <w:rFonts w:cstheme="minorHAnsi"/>
          <w:sz w:val="24"/>
          <w:szCs w:val="24"/>
        </w:rPr>
        <w:t>although never put in such ‘vague and grandiose’</w:t>
      </w:r>
      <w:r w:rsidR="008961D1" w:rsidRPr="005927F3">
        <w:rPr>
          <w:rFonts w:cstheme="minorHAnsi"/>
          <w:sz w:val="24"/>
          <w:szCs w:val="24"/>
        </w:rPr>
        <w:t xml:space="preserve"> ways as </w:t>
      </w:r>
      <w:r w:rsidR="00642D58" w:rsidRPr="005927F3">
        <w:rPr>
          <w:rFonts w:cstheme="minorHAnsi"/>
          <w:sz w:val="24"/>
          <w:szCs w:val="24"/>
        </w:rPr>
        <w:t>Continental</w:t>
      </w:r>
      <w:r w:rsidR="008961D1" w:rsidRPr="005927F3">
        <w:rPr>
          <w:rFonts w:cstheme="minorHAnsi"/>
          <w:sz w:val="24"/>
          <w:szCs w:val="24"/>
        </w:rPr>
        <w:t xml:space="preserve"> European, especially German</w:t>
      </w:r>
      <w:r w:rsidR="00DD6698" w:rsidRPr="005927F3">
        <w:rPr>
          <w:rFonts w:cstheme="minorHAnsi"/>
          <w:sz w:val="24"/>
          <w:szCs w:val="24"/>
        </w:rPr>
        <w:t>,</w:t>
      </w:r>
      <w:r w:rsidR="00CF0585" w:rsidRPr="005927F3">
        <w:rPr>
          <w:rFonts w:cstheme="minorHAnsi"/>
          <w:sz w:val="24"/>
          <w:szCs w:val="24"/>
        </w:rPr>
        <w:t xml:space="preserve"> jurisprudence will have it.</w:t>
      </w:r>
      <w:r w:rsidR="00CF0585" w:rsidRPr="005927F3">
        <w:rPr>
          <w:rStyle w:val="FootnoteReference"/>
          <w:rFonts w:cstheme="minorHAnsi"/>
          <w:sz w:val="24"/>
          <w:szCs w:val="24"/>
        </w:rPr>
        <w:footnoteReference w:id="66"/>
      </w:r>
      <w:r w:rsidR="00B354F6" w:rsidRPr="005927F3">
        <w:rPr>
          <w:rFonts w:cstheme="minorHAnsi"/>
          <w:sz w:val="24"/>
          <w:szCs w:val="24"/>
        </w:rPr>
        <w:t xml:space="preserve"> The ‘inner s</w:t>
      </w:r>
      <w:r w:rsidR="008961D1" w:rsidRPr="005927F3">
        <w:rPr>
          <w:rFonts w:cstheme="minorHAnsi"/>
          <w:sz w:val="24"/>
          <w:szCs w:val="24"/>
        </w:rPr>
        <w:t>pace’ of the person protected by German-style privacy law is the literal ‘inner space’ of the American</w:t>
      </w:r>
      <w:r w:rsidR="00C1075C" w:rsidRPr="005927F3">
        <w:rPr>
          <w:rFonts w:cstheme="minorHAnsi"/>
          <w:sz w:val="24"/>
          <w:szCs w:val="24"/>
        </w:rPr>
        <w:t xml:space="preserve"> and English</w:t>
      </w:r>
      <w:r w:rsidR="008961D1" w:rsidRPr="005927F3">
        <w:rPr>
          <w:rFonts w:cstheme="minorHAnsi"/>
          <w:sz w:val="24"/>
          <w:szCs w:val="24"/>
        </w:rPr>
        <w:t xml:space="preserve"> home.</w:t>
      </w:r>
      <w:r w:rsidR="007E0DF1" w:rsidRPr="005927F3">
        <w:rPr>
          <w:rFonts w:cstheme="minorHAnsi"/>
          <w:sz w:val="24"/>
          <w:szCs w:val="24"/>
        </w:rPr>
        <w:t xml:space="preserve"> </w:t>
      </w:r>
    </w:p>
    <w:p w14:paraId="5F7F58F2" w14:textId="77777777" w:rsidR="00BB69CC" w:rsidRPr="005927F3" w:rsidRDefault="00BB69CC" w:rsidP="008B308D">
      <w:pPr>
        <w:autoSpaceDE w:val="0"/>
        <w:autoSpaceDN w:val="0"/>
        <w:adjustRightInd w:val="0"/>
        <w:spacing w:after="0" w:line="240" w:lineRule="auto"/>
        <w:jc w:val="both"/>
        <w:rPr>
          <w:rFonts w:cstheme="minorHAnsi"/>
          <w:sz w:val="24"/>
          <w:szCs w:val="24"/>
        </w:rPr>
      </w:pPr>
    </w:p>
    <w:p w14:paraId="135E5CCC" w14:textId="47B6BD01" w:rsidR="006C0ADE" w:rsidRPr="005927F3" w:rsidRDefault="005927F3" w:rsidP="005927F3">
      <w:pPr>
        <w:pStyle w:val="Heading1"/>
        <w:spacing w:before="0" w:line="240" w:lineRule="auto"/>
        <w:ind w:left="390"/>
        <w:rPr>
          <w:rFonts w:asciiTheme="minorHAnsi" w:hAnsiTheme="minorHAnsi" w:cstheme="minorHAnsi"/>
        </w:rPr>
      </w:pPr>
      <w:bookmarkStart w:id="12" w:name="_Toc116306479"/>
      <w:bookmarkEnd w:id="7"/>
      <w:bookmarkEnd w:id="8"/>
      <w:r>
        <w:rPr>
          <w:rFonts w:asciiTheme="minorHAnsi" w:hAnsiTheme="minorHAnsi" w:cstheme="minorHAnsi"/>
        </w:rPr>
        <w:t xml:space="preserve">3. </w:t>
      </w:r>
      <w:r w:rsidR="00316C36" w:rsidRPr="005927F3">
        <w:rPr>
          <w:rFonts w:asciiTheme="minorHAnsi" w:hAnsiTheme="minorHAnsi" w:cstheme="minorHAnsi"/>
        </w:rPr>
        <w:t>Contemporary</w:t>
      </w:r>
      <w:r w:rsidR="00903BB6" w:rsidRPr="005927F3">
        <w:rPr>
          <w:rFonts w:asciiTheme="minorHAnsi" w:hAnsiTheme="minorHAnsi" w:cstheme="minorHAnsi"/>
        </w:rPr>
        <w:t xml:space="preserve"> </w:t>
      </w:r>
      <w:r w:rsidR="00316C36" w:rsidRPr="005927F3">
        <w:rPr>
          <w:rFonts w:asciiTheme="minorHAnsi" w:hAnsiTheme="minorHAnsi" w:cstheme="minorHAnsi"/>
        </w:rPr>
        <w:t xml:space="preserve">privacy </w:t>
      </w:r>
      <w:r w:rsidR="000114DA" w:rsidRPr="005927F3">
        <w:rPr>
          <w:rFonts w:asciiTheme="minorHAnsi" w:hAnsiTheme="minorHAnsi" w:cstheme="minorHAnsi"/>
        </w:rPr>
        <w:t>regimes</w:t>
      </w:r>
      <w:r w:rsidR="00924004" w:rsidRPr="005927F3">
        <w:rPr>
          <w:rFonts w:asciiTheme="minorHAnsi" w:hAnsiTheme="minorHAnsi" w:cstheme="minorHAnsi"/>
        </w:rPr>
        <w:t xml:space="preserve"> </w:t>
      </w:r>
      <w:r w:rsidR="00413BF2" w:rsidRPr="005927F3">
        <w:rPr>
          <w:rFonts w:asciiTheme="minorHAnsi" w:hAnsiTheme="minorHAnsi" w:cstheme="minorHAnsi"/>
        </w:rPr>
        <w:t>and the right to be forgotten</w:t>
      </w:r>
      <w:bookmarkEnd w:id="12"/>
    </w:p>
    <w:p w14:paraId="261AA84C" w14:textId="77777777" w:rsidR="0038099B" w:rsidRPr="005927F3" w:rsidRDefault="0038099B" w:rsidP="008B308D">
      <w:pPr>
        <w:autoSpaceDE w:val="0"/>
        <w:autoSpaceDN w:val="0"/>
        <w:adjustRightInd w:val="0"/>
        <w:spacing w:after="0" w:line="240" w:lineRule="auto"/>
        <w:jc w:val="both"/>
        <w:rPr>
          <w:rFonts w:cstheme="minorHAnsi"/>
          <w:sz w:val="24"/>
          <w:szCs w:val="24"/>
        </w:rPr>
      </w:pPr>
    </w:p>
    <w:p w14:paraId="3D63F281" w14:textId="091FD5AF" w:rsidR="00CE479E" w:rsidRPr="005927F3" w:rsidRDefault="0021044B">
      <w:pPr>
        <w:autoSpaceDE w:val="0"/>
        <w:autoSpaceDN w:val="0"/>
        <w:adjustRightInd w:val="0"/>
        <w:spacing w:after="0" w:line="240" w:lineRule="auto"/>
        <w:jc w:val="both"/>
        <w:rPr>
          <w:rFonts w:cstheme="minorHAnsi"/>
          <w:sz w:val="24"/>
          <w:szCs w:val="24"/>
        </w:rPr>
      </w:pPr>
      <w:r w:rsidRPr="005927F3">
        <w:rPr>
          <w:rFonts w:cstheme="minorHAnsi"/>
          <w:sz w:val="24"/>
          <w:szCs w:val="24"/>
        </w:rPr>
        <w:t>Whilst</w:t>
      </w:r>
      <w:r w:rsidR="006C7C86" w:rsidRPr="005927F3">
        <w:rPr>
          <w:rFonts w:cstheme="minorHAnsi"/>
          <w:sz w:val="24"/>
          <w:szCs w:val="24"/>
        </w:rPr>
        <w:t xml:space="preserve"> </w:t>
      </w:r>
      <w:r w:rsidR="00343C1C" w:rsidRPr="005927F3">
        <w:rPr>
          <w:rFonts w:cstheme="minorHAnsi"/>
          <w:sz w:val="24"/>
          <w:szCs w:val="24"/>
        </w:rPr>
        <w:t>in</w:t>
      </w:r>
      <w:r w:rsidR="006C7C86" w:rsidRPr="005927F3">
        <w:rPr>
          <w:rFonts w:cstheme="minorHAnsi"/>
          <w:sz w:val="24"/>
          <w:szCs w:val="24"/>
        </w:rPr>
        <w:t xml:space="preserve"> </w:t>
      </w:r>
      <w:r w:rsidR="00343C1C" w:rsidRPr="005927F3">
        <w:rPr>
          <w:rFonts w:cstheme="minorHAnsi"/>
          <w:sz w:val="24"/>
          <w:szCs w:val="24"/>
        </w:rPr>
        <w:t xml:space="preserve">the </w:t>
      </w:r>
      <w:r w:rsidRPr="005927F3">
        <w:rPr>
          <w:rFonts w:cstheme="minorHAnsi"/>
          <w:sz w:val="24"/>
          <w:szCs w:val="24"/>
        </w:rPr>
        <w:t xml:space="preserve">Anglo-American </w:t>
      </w:r>
      <w:r w:rsidR="00072914" w:rsidRPr="005927F3">
        <w:rPr>
          <w:rFonts w:cstheme="minorHAnsi"/>
          <w:sz w:val="24"/>
          <w:szCs w:val="24"/>
        </w:rPr>
        <w:t xml:space="preserve">culture of </w:t>
      </w:r>
      <w:r w:rsidR="002A38BC" w:rsidRPr="005927F3">
        <w:rPr>
          <w:rFonts w:cstheme="minorHAnsi"/>
          <w:sz w:val="24"/>
          <w:szCs w:val="24"/>
        </w:rPr>
        <w:t xml:space="preserve">privacy </w:t>
      </w:r>
      <w:r w:rsidRPr="005927F3">
        <w:rPr>
          <w:rFonts w:cstheme="minorHAnsi"/>
          <w:sz w:val="24"/>
          <w:szCs w:val="24"/>
        </w:rPr>
        <w:t xml:space="preserve">protection </w:t>
      </w:r>
      <w:r w:rsidR="00343C1C" w:rsidRPr="005927F3">
        <w:rPr>
          <w:rFonts w:cstheme="minorHAnsi"/>
          <w:sz w:val="24"/>
          <w:szCs w:val="24"/>
        </w:rPr>
        <w:t>is reserved to</w:t>
      </w:r>
      <w:r w:rsidRPr="005927F3">
        <w:rPr>
          <w:rFonts w:cstheme="minorHAnsi"/>
          <w:sz w:val="24"/>
          <w:szCs w:val="24"/>
        </w:rPr>
        <w:t xml:space="preserve"> the private sphere</w:t>
      </w:r>
      <w:r w:rsidR="006C7C86" w:rsidRPr="005927F3">
        <w:rPr>
          <w:rFonts w:cstheme="minorHAnsi"/>
          <w:sz w:val="24"/>
          <w:szCs w:val="24"/>
        </w:rPr>
        <w:t xml:space="preserve"> and private information, </w:t>
      </w:r>
      <w:r w:rsidR="00072914" w:rsidRPr="005927F3">
        <w:rPr>
          <w:rFonts w:cstheme="minorHAnsi"/>
          <w:sz w:val="24"/>
          <w:szCs w:val="24"/>
        </w:rPr>
        <w:t>in the</w:t>
      </w:r>
      <w:r w:rsidR="00343C1C" w:rsidRPr="005927F3">
        <w:rPr>
          <w:rFonts w:cstheme="minorHAnsi"/>
          <w:sz w:val="24"/>
          <w:szCs w:val="24"/>
        </w:rPr>
        <w:t xml:space="preserve"> </w:t>
      </w:r>
      <w:r w:rsidR="00952EBF" w:rsidRPr="005927F3">
        <w:rPr>
          <w:rFonts w:cstheme="minorHAnsi"/>
          <w:sz w:val="24"/>
          <w:szCs w:val="24"/>
        </w:rPr>
        <w:t xml:space="preserve">Continental European </w:t>
      </w:r>
      <w:r w:rsidR="002C0EE8" w:rsidRPr="005927F3">
        <w:rPr>
          <w:rFonts w:cstheme="minorHAnsi"/>
          <w:sz w:val="24"/>
          <w:szCs w:val="24"/>
        </w:rPr>
        <w:t xml:space="preserve">culture </w:t>
      </w:r>
      <w:r w:rsidR="00072914" w:rsidRPr="005927F3">
        <w:rPr>
          <w:rFonts w:cstheme="minorHAnsi"/>
          <w:sz w:val="24"/>
          <w:szCs w:val="24"/>
        </w:rPr>
        <w:t xml:space="preserve">privacy </w:t>
      </w:r>
      <w:r w:rsidR="00EF15E7" w:rsidRPr="005927F3">
        <w:rPr>
          <w:rFonts w:cstheme="minorHAnsi"/>
          <w:sz w:val="24"/>
          <w:szCs w:val="24"/>
        </w:rPr>
        <w:t xml:space="preserve">is </w:t>
      </w:r>
      <w:r w:rsidR="00952EBF" w:rsidRPr="005927F3">
        <w:rPr>
          <w:rFonts w:cstheme="minorHAnsi"/>
          <w:sz w:val="24"/>
          <w:szCs w:val="24"/>
        </w:rPr>
        <w:t>n</w:t>
      </w:r>
      <w:r w:rsidR="00EF15E7" w:rsidRPr="005927F3">
        <w:rPr>
          <w:rFonts w:cstheme="minorHAnsi"/>
          <w:sz w:val="24"/>
          <w:szCs w:val="24"/>
        </w:rPr>
        <w:t>either</w:t>
      </w:r>
      <w:r w:rsidR="002C0EE8" w:rsidRPr="005927F3">
        <w:rPr>
          <w:rFonts w:cstheme="minorHAnsi"/>
          <w:sz w:val="24"/>
          <w:szCs w:val="24"/>
        </w:rPr>
        <w:t xml:space="preserve"> </w:t>
      </w:r>
      <w:r w:rsidR="00952EBF" w:rsidRPr="005927F3">
        <w:rPr>
          <w:rFonts w:cstheme="minorHAnsi"/>
          <w:sz w:val="24"/>
          <w:szCs w:val="24"/>
        </w:rPr>
        <w:t>confined to intimate or secret information no</w:t>
      </w:r>
      <w:r w:rsidR="006C7C86" w:rsidRPr="005927F3">
        <w:rPr>
          <w:rFonts w:cstheme="minorHAnsi"/>
          <w:sz w:val="24"/>
          <w:szCs w:val="24"/>
        </w:rPr>
        <w:t>r</w:t>
      </w:r>
      <w:r w:rsidR="00952EBF" w:rsidRPr="005927F3">
        <w:rPr>
          <w:rFonts w:cstheme="minorHAnsi"/>
          <w:sz w:val="24"/>
          <w:szCs w:val="24"/>
        </w:rPr>
        <w:t xml:space="preserve"> necessarily based on an </w:t>
      </w:r>
      <w:r w:rsidR="00952EBF" w:rsidRPr="005927F3">
        <w:rPr>
          <w:rFonts w:cstheme="minorHAnsi"/>
          <w:i/>
          <w:iCs/>
          <w:sz w:val="24"/>
          <w:szCs w:val="24"/>
        </w:rPr>
        <w:t>a priori</w:t>
      </w:r>
      <w:r w:rsidR="00952EBF" w:rsidRPr="005927F3">
        <w:rPr>
          <w:rFonts w:cstheme="minorHAnsi"/>
          <w:sz w:val="24"/>
          <w:szCs w:val="24"/>
        </w:rPr>
        <w:t xml:space="preserve"> private sphere.</w:t>
      </w:r>
      <w:r w:rsidR="00412B39" w:rsidRPr="005927F3">
        <w:rPr>
          <w:rStyle w:val="FootnoteReference"/>
          <w:rFonts w:cstheme="minorHAnsi"/>
          <w:sz w:val="24"/>
          <w:szCs w:val="24"/>
        </w:rPr>
        <w:footnoteReference w:id="67"/>
      </w:r>
      <w:r w:rsidR="00952EBF" w:rsidRPr="005927F3">
        <w:rPr>
          <w:rFonts w:cstheme="minorHAnsi"/>
          <w:sz w:val="24"/>
          <w:szCs w:val="24"/>
        </w:rPr>
        <w:t xml:space="preserve"> This is </w:t>
      </w:r>
      <w:r w:rsidR="00970EA6" w:rsidRPr="005927F3">
        <w:rPr>
          <w:rFonts w:cstheme="minorHAnsi"/>
          <w:sz w:val="24"/>
          <w:szCs w:val="24"/>
        </w:rPr>
        <w:t xml:space="preserve">quintessentially </w:t>
      </w:r>
      <w:r w:rsidR="002A38BC" w:rsidRPr="005927F3">
        <w:rPr>
          <w:rFonts w:cstheme="minorHAnsi"/>
          <w:sz w:val="24"/>
          <w:szCs w:val="24"/>
        </w:rPr>
        <w:t>the case</w:t>
      </w:r>
      <w:r w:rsidR="007C6747" w:rsidRPr="005927F3">
        <w:rPr>
          <w:rFonts w:cstheme="minorHAnsi"/>
          <w:sz w:val="24"/>
          <w:szCs w:val="24"/>
        </w:rPr>
        <w:t xml:space="preserve"> in</w:t>
      </w:r>
      <w:r w:rsidR="00952EBF" w:rsidRPr="005927F3">
        <w:rPr>
          <w:rFonts w:cstheme="minorHAnsi"/>
          <w:sz w:val="24"/>
          <w:szCs w:val="24"/>
        </w:rPr>
        <w:t xml:space="preserve"> </w:t>
      </w:r>
      <w:r w:rsidR="00E60919" w:rsidRPr="005927F3">
        <w:rPr>
          <w:rFonts w:cstheme="minorHAnsi"/>
          <w:sz w:val="24"/>
          <w:szCs w:val="24"/>
        </w:rPr>
        <w:t>d</w:t>
      </w:r>
      <w:r w:rsidR="00924004" w:rsidRPr="005927F3">
        <w:rPr>
          <w:rFonts w:cstheme="minorHAnsi"/>
          <w:sz w:val="24"/>
          <w:szCs w:val="24"/>
        </w:rPr>
        <w:t>ata protection law</w:t>
      </w:r>
      <w:r w:rsidR="0084653F" w:rsidRPr="005927F3">
        <w:rPr>
          <w:rFonts w:cstheme="minorHAnsi"/>
          <w:sz w:val="24"/>
          <w:szCs w:val="24"/>
        </w:rPr>
        <w:t>,</w:t>
      </w:r>
      <w:r w:rsidR="00952EBF" w:rsidRPr="005927F3">
        <w:rPr>
          <w:rFonts w:cstheme="minorHAnsi"/>
          <w:sz w:val="24"/>
          <w:szCs w:val="24"/>
        </w:rPr>
        <w:t xml:space="preserve"> </w:t>
      </w:r>
      <w:r w:rsidR="002C2E83" w:rsidRPr="005927F3">
        <w:rPr>
          <w:rFonts w:cstheme="minorHAnsi"/>
          <w:sz w:val="24"/>
          <w:szCs w:val="24"/>
        </w:rPr>
        <w:t>‘a privacy law all but in name</w:t>
      </w:r>
      <w:r w:rsidR="002C0EE8" w:rsidRPr="005927F3">
        <w:rPr>
          <w:rFonts w:cstheme="minorHAnsi"/>
          <w:sz w:val="24"/>
          <w:szCs w:val="24"/>
        </w:rPr>
        <w:t>,</w:t>
      </w:r>
      <w:r w:rsidR="002C2E83" w:rsidRPr="005927F3">
        <w:rPr>
          <w:rFonts w:cstheme="minorHAnsi"/>
          <w:sz w:val="24"/>
          <w:szCs w:val="24"/>
        </w:rPr>
        <w:t>’</w:t>
      </w:r>
      <w:r w:rsidR="002C2E83" w:rsidRPr="005927F3">
        <w:rPr>
          <w:rStyle w:val="FootnoteReference"/>
          <w:rFonts w:cstheme="minorHAnsi"/>
          <w:sz w:val="24"/>
          <w:szCs w:val="24"/>
        </w:rPr>
        <w:footnoteReference w:id="68"/>
      </w:r>
      <w:r w:rsidR="00952EBF" w:rsidRPr="005927F3">
        <w:rPr>
          <w:rFonts w:cstheme="minorHAnsi"/>
          <w:sz w:val="24"/>
          <w:szCs w:val="24"/>
        </w:rPr>
        <w:t xml:space="preserve"> which </w:t>
      </w:r>
      <w:r w:rsidR="0071432D" w:rsidRPr="005927F3">
        <w:rPr>
          <w:rFonts w:cstheme="minorHAnsi"/>
          <w:sz w:val="24"/>
          <w:szCs w:val="24"/>
        </w:rPr>
        <w:t xml:space="preserve">does not </w:t>
      </w:r>
      <w:r w:rsidR="004F12B9" w:rsidRPr="005927F3">
        <w:rPr>
          <w:rFonts w:cstheme="minorHAnsi"/>
          <w:sz w:val="24"/>
          <w:szCs w:val="24"/>
        </w:rPr>
        <w:t xml:space="preserve">deny </w:t>
      </w:r>
      <w:r w:rsidR="0071432D" w:rsidRPr="005927F3">
        <w:rPr>
          <w:rFonts w:cstheme="minorHAnsi"/>
          <w:sz w:val="24"/>
          <w:szCs w:val="24"/>
        </w:rPr>
        <w:t xml:space="preserve">protection </w:t>
      </w:r>
      <w:r w:rsidR="00970EA6" w:rsidRPr="005927F3">
        <w:rPr>
          <w:rFonts w:cstheme="minorHAnsi"/>
          <w:sz w:val="24"/>
          <w:szCs w:val="24"/>
        </w:rPr>
        <w:t>merely</w:t>
      </w:r>
      <w:r w:rsidR="0071432D" w:rsidRPr="005927F3">
        <w:rPr>
          <w:rFonts w:cstheme="minorHAnsi"/>
          <w:sz w:val="24"/>
          <w:szCs w:val="24"/>
        </w:rPr>
        <w:t xml:space="preserve"> because </w:t>
      </w:r>
      <w:r w:rsidR="00970EA6" w:rsidRPr="005927F3">
        <w:rPr>
          <w:rFonts w:cstheme="minorHAnsi"/>
          <w:sz w:val="24"/>
          <w:szCs w:val="24"/>
        </w:rPr>
        <w:t>the</w:t>
      </w:r>
      <w:r w:rsidR="0071432D" w:rsidRPr="005927F3">
        <w:rPr>
          <w:rFonts w:cstheme="minorHAnsi"/>
          <w:sz w:val="24"/>
          <w:szCs w:val="24"/>
        </w:rPr>
        <w:t xml:space="preserve"> </w:t>
      </w:r>
      <w:r w:rsidR="00260C92" w:rsidRPr="005927F3">
        <w:rPr>
          <w:rFonts w:cstheme="minorHAnsi"/>
          <w:sz w:val="24"/>
          <w:szCs w:val="24"/>
        </w:rPr>
        <w:t>information</w:t>
      </w:r>
      <w:r w:rsidR="0071432D" w:rsidRPr="005927F3">
        <w:rPr>
          <w:rFonts w:cstheme="minorHAnsi"/>
          <w:sz w:val="24"/>
          <w:szCs w:val="24"/>
        </w:rPr>
        <w:t xml:space="preserve"> </w:t>
      </w:r>
      <w:r w:rsidR="00595204" w:rsidRPr="005927F3">
        <w:rPr>
          <w:rFonts w:cstheme="minorHAnsi"/>
          <w:sz w:val="24"/>
          <w:szCs w:val="24"/>
        </w:rPr>
        <w:t>is</w:t>
      </w:r>
      <w:r w:rsidR="0071432D" w:rsidRPr="005927F3">
        <w:rPr>
          <w:rFonts w:cstheme="minorHAnsi"/>
          <w:sz w:val="24"/>
          <w:szCs w:val="24"/>
        </w:rPr>
        <w:t xml:space="preserve"> publi</w:t>
      </w:r>
      <w:r w:rsidR="00412B39" w:rsidRPr="005927F3">
        <w:rPr>
          <w:rFonts w:cstheme="minorHAnsi"/>
          <w:sz w:val="24"/>
          <w:szCs w:val="24"/>
        </w:rPr>
        <w:t xml:space="preserve">c. </w:t>
      </w:r>
      <w:r w:rsidR="00CE479E" w:rsidRPr="005927F3">
        <w:rPr>
          <w:rFonts w:cstheme="minorHAnsi"/>
          <w:sz w:val="24"/>
          <w:szCs w:val="24"/>
        </w:rPr>
        <w:t>Indeed, d</w:t>
      </w:r>
      <w:r w:rsidR="00C77222" w:rsidRPr="005927F3">
        <w:rPr>
          <w:rFonts w:cstheme="minorHAnsi"/>
          <w:sz w:val="24"/>
          <w:szCs w:val="24"/>
        </w:rPr>
        <w:t>ata protection</w:t>
      </w:r>
      <w:r w:rsidR="0098547B" w:rsidRPr="005927F3">
        <w:rPr>
          <w:rFonts w:cstheme="minorHAnsi"/>
          <w:sz w:val="24"/>
          <w:szCs w:val="24"/>
        </w:rPr>
        <w:t xml:space="preserve"> is based on the assumption</w:t>
      </w:r>
      <w:r w:rsidR="0003181F" w:rsidRPr="005927F3">
        <w:rPr>
          <w:rFonts w:cstheme="minorHAnsi"/>
          <w:sz w:val="24"/>
          <w:szCs w:val="24"/>
        </w:rPr>
        <w:t xml:space="preserve"> </w:t>
      </w:r>
      <w:r w:rsidR="0098547B" w:rsidRPr="005927F3">
        <w:rPr>
          <w:rFonts w:cstheme="minorHAnsi"/>
          <w:sz w:val="24"/>
          <w:szCs w:val="24"/>
        </w:rPr>
        <w:t xml:space="preserve">of </w:t>
      </w:r>
      <w:r w:rsidR="002B15B4" w:rsidRPr="005927F3">
        <w:rPr>
          <w:rFonts w:cstheme="minorHAnsi"/>
          <w:sz w:val="24"/>
          <w:szCs w:val="24"/>
        </w:rPr>
        <w:t>some</w:t>
      </w:r>
      <w:r w:rsidR="00786A2A" w:rsidRPr="005927F3">
        <w:rPr>
          <w:rFonts w:cstheme="minorHAnsi"/>
          <w:sz w:val="24"/>
          <w:szCs w:val="24"/>
        </w:rPr>
        <w:t xml:space="preserve"> disclosure</w:t>
      </w:r>
      <w:r w:rsidR="000D185A" w:rsidRPr="005927F3">
        <w:rPr>
          <w:rFonts w:cstheme="minorHAnsi"/>
          <w:sz w:val="24"/>
          <w:szCs w:val="24"/>
        </w:rPr>
        <w:t xml:space="preserve"> </w:t>
      </w:r>
      <w:r w:rsidR="00786A2A" w:rsidRPr="005927F3">
        <w:rPr>
          <w:rFonts w:cstheme="minorHAnsi"/>
          <w:sz w:val="24"/>
          <w:szCs w:val="24"/>
        </w:rPr>
        <w:t>of personal information</w:t>
      </w:r>
      <w:r w:rsidR="00566881" w:rsidRPr="005927F3">
        <w:rPr>
          <w:rFonts w:cstheme="minorHAnsi"/>
          <w:sz w:val="24"/>
          <w:szCs w:val="24"/>
        </w:rPr>
        <w:t xml:space="preserve"> beyond the private sphere</w:t>
      </w:r>
      <w:r w:rsidR="00786A2A" w:rsidRPr="005927F3">
        <w:rPr>
          <w:rFonts w:cstheme="minorHAnsi"/>
          <w:sz w:val="24"/>
          <w:szCs w:val="24"/>
        </w:rPr>
        <w:t xml:space="preserve"> </w:t>
      </w:r>
      <w:r w:rsidR="00566881" w:rsidRPr="005927F3">
        <w:rPr>
          <w:rFonts w:cstheme="minorHAnsi"/>
          <w:sz w:val="24"/>
          <w:szCs w:val="24"/>
        </w:rPr>
        <w:t xml:space="preserve">and gives individuals </w:t>
      </w:r>
      <w:r w:rsidR="007C6747" w:rsidRPr="005927F3">
        <w:rPr>
          <w:rFonts w:cstheme="minorHAnsi"/>
          <w:sz w:val="24"/>
          <w:szCs w:val="24"/>
        </w:rPr>
        <w:t xml:space="preserve">some control </w:t>
      </w:r>
      <w:r w:rsidR="00786A2A" w:rsidRPr="005927F3">
        <w:rPr>
          <w:rFonts w:cstheme="minorHAnsi"/>
          <w:sz w:val="24"/>
          <w:szCs w:val="24"/>
        </w:rPr>
        <w:t xml:space="preserve">to </w:t>
      </w:r>
      <w:r w:rsidR="00C904A4" w:rsidRPr="005927F3">
        <w:rPr>
          <w:rFonts w:cstheme="minorHAnsi"/>
          <w:sz w:val="24"/>
          <w:szCs w:val="24"/>
        </w:rPr>
        <w:t>oversee and</w:t>
      </w:r>
      <w:r w:rsidR="00AC63C9" w:rsidRPr="005927F3">
        <w:rPr>
          <w:rFonts w:cstheme="minorHAnsi"/>
          <w:sz w:val="24"/>
          <w:szCs w:val="24"/>
        </w:rPr>
        <w:t xml:space="preserve"> </w:t>
      </w:r>
      <w:r w:rsidR="00E5739B" w:rsidRPr="005927F3">
        <w:rPr>
          <w:rFonts w:cstheme="minorHAnsi"/>
          <w:sz w:val="24"/>
          <w:szCs w:val="24"/>
        </w:rPr>
        <w:t>manage</w:t>
      </w:r>
      <w:r w:rsidR="000D185A" w:rsidRPr="005927F3">
        <w:rPr>
          <w:rFonts w:cstheme="minorHAnsi"/>
          <w:sz w:val="24"/>
          <w:szCs w:val="24"/>
        </w:rPr>
        <w:t xml:space="preserve"> </w:t>
      </w:r>
      <w:r w:rsidR="0098547B" w:rsidRPr="005927F3">
        <w:rPr>
          <w:rFonts w:cstheme="minorHAnsi"/>
          <w:sz w:val="24"/>
          <w:szCs w:val="24"/>
        </w:rPr>
        <w:t>that disclosure</w:t>
      </w:r>
      <w:r w:rsidR="007D0B65" w:rsidRPr="005927F3">
        <w:rPr>
          <w:rFonts w:cstheme="minorHAnsi"/>
          <w:sz w:val="24"/>
          <w:szCs w:val="24"/>
        </w:rPr>
        <w:t>: ‘there would be no need for data protection if there was a general prohibition of information disclosure</w:t>
      </w:r>
      <w:r w:rsidR="007250B8" w:rsidRPr="005927F3">
        <w:rPr>
          <w:rFonts w:cstheme="minorHAnsi"/>
          <w:sz w:val="24"/>
          <w:szCs w:val="24"/>
        </w:rPr>
        <w:t>.</w:t>
      </w:r>
      <w:r w:rsidR="007D0B65" w:rsidRPr="005927F3">
        <w:rPr>
          <w:rFonts w:cstheme="minorHAnsi"/>
          <w:sz w:val="24"/>
          <w:szCs w:val="24"/>
        </w:rPr>
        <w:t>’</w:t>
      </w:r>
      <w:r w:rsidR="007D0B65" w:rsidRPr="005927F3">
        <w:rPr>
          <w:rStyle w:val="FootnoteReference"/>
          <w:rFonts w:cstheme="minorHAnsi"/>
          <w:sz w:val="24"/>
          <w:szCs w:val="24"/>
        </w:rPr>
        <w:footnoteReference w:id="69"/>
      </w:r>
      <w:r w:rsidR="0098547B" w:rsidRPr="005927F3">
        <w:rPr>
          <w:rFonts w:cstheme="minorHAnsi"/>
          <w:sz w:val="24"/>
          <w:szCs w:val="24"/>
        </w:rPr>
        <w:t xml:space="preserve"> </w:t>
      </w:r>
      <w:r w:rsidR="00E60DE6" w:rsidRPr="005927F3">
        <w:rPr>
          <w:rFonts w:cstheme="minorHAnsi"/>
          <w:sz w:val="24"/>
          <w:szCs w:val="24"/>
        </w:rPr>
        <w:t xml:space="preserve">Consistently, </w:t>
      </w:r>
      <w:proofErr w:type="spellStart"/>
      <w:r w:rsidR="007D0B65" w:rsidRPr="005927F3">
        <w:rPr>
          <w:rFonts w:cstheme="minorHAnsi"/>
          <w:sz w:val="24"/>
          <w:szCs w:val="24"/>
        </w:rPr>
        <w:t>Fuster</w:t>
      </w:r>
      <w:proofErr w:type="spellEnd"/>
      <w:r w:rsidR="007D0B65" w:rsidRPr="005927F3">
        <w:rPr>
          <w:rFonts w:cstheme="minorHAnsi"/>
          <w:sz w:val="24"/>
          <w:szCs w:val="24"/>
        </w:rPr>
        <w:t xml:space="preserve"> and </w:t>
      </w:r>
      <w:proofErr w:type="spellStart"/>
      <w:r w:rsidR="007D0B65" w:rsidRPr="005927F3">
        <w:rPr>
          <w:rFonts w:cstheme="minorHAnsi"/>
          <w:sz w:val="24"/>
          <w:szCs w:val="24"/>
        </w:rPr>
        <w:t>Gutwirth</w:t>
      </w:r>
      <w:proofErr w:type="spellEnd"/>
      <w:r w:rsidR="007D0B65" w:rsidRPr="005927F3">
        <w:rPr>
          <w:rFonts w:cstheme="minorHAnsi"/>
          <w:sz w:val="24"/>
          <w:szCs w:val="24"/>
        </w:rPr>
        <w:t xml:space="preserve"> </w:t>
      </w:r>
      <w:r w:rsidR="007250B8" w:rsidRPr="005927F3">
        <w:rPr>
          <w:rFonts w:cstheme="minorHAnsi"/>
          <w:sz w:val="24"/>
          <w:szCs w:val="24"/>
        </w:rPr>
        <w:t xml:space="preserve">have argued that </w:t>
      </w:r>
      <w:r w:rsidR="0070590E" w:rsidRPr="005927F3">
        <w:rPr>
          <w:rFonts w:cstheme="minorHAnsi"/>
          <w:sz w:val="24"/>
          <w:szCs w:val="24"/>
        </w:rPr>
        <w:t>the shift from privacy to data protection</w:t>
      </w:r>
      <w:r w:rsidR="007D0B65" w:rsidRPr="005927F3">
        <w:rPr>
          <w:rFonts w:cstheme="minorHAnsi"/>
          <w:sz w:val="24"/>
          <w:szCs w:val="24"/>
        </w:rPr>
        <w:t xml:space="preserve"> is one</w:t>
      </w:r>
      <w:r w:rsidR="00837FB9" w:rsidRPr="005927F3">
        <w:rPr>
          <w:rFonts w:cstheme="minorHAnsi"/>
          <w:sz w:val="24"/>
          <w:szCs w:val="24"/>
        </w:rPr>
        <w:t xml:space="preserve"> from</w:t>
      </w:r>
      <w:r w:rsidR="00837FB9" w:rsidRPr="005927F3">
        <w:rPr>
          <w:rFonts w:cstheme="minorHAnsi"/>
          <w:i/>
          <w:iCs/>
          <w:sz w:val="24"/>
          <w:szCs w:val="24"/>
        </w:rPr>
        <w:t xml:space="preserve"> secrecy</w:t>
      </w:r>
      <w:r w:rsidR="00837FB9" w:rsidRPr="005927F3">
        <w:rPr>
          <w:rFonts w:cstheme="minorHAnsi"/>
          <w:sz w:val="24"/>
          <w:szCs w:val="24"/>
        </w:rPr>
        <w:t xml:space="preserve"> to </w:t>
      </w:r>
      <w:r w:rsidR="00837FB9" w:rsidRPr="005927F3">
        <w:rPr>
          <w:rFonts w:cstheme="minorHAnsi"/>
          <w:i/>
          <w:iCs/>
          <w:sz w:val="24"/>
          <w:szCs w:val="24"/>
        </w:rPr>
        <w:t>control</w:t>
      </w:r>
      <w:r w:rsidR="007D0B65" w:rsidRPr="005927F3">
        <w:rPr>
          <w:rFonts w:cstheme="minorHAnsi"/>
          <w:sz w:val="24"/>
          <w:szCs w:val="24"/>
        </w:rPr>
        <w:t>.</w:t>
      </w:r>
      <w:r w:rsidR="00837FB9" w:rsidRPr="005927F3">
        <w:rPr>
          <w:rStyle w:val="FootnoteReference"/>
          <w:rFonts w:cstheme="minorHAnsi"/>
          <w:sz w:val="24"/>
          <w:szCs w:val="24"/>
        </w:rPr>
        <w:footnoteReference w:id="70"/>
      </w:r>
      <w:r w:rsidR="00072914" w:rsidRPr="005927F3">
        <w:rPr>
          <w:rFonts w:cstheme="minorHAnsi"/>
          <w:sz w:val="24"/>
          <w:szCs w:val="24"/>
        </w:rPr>
        <w:t xml:space="preserve"> </w:t>
      </w:r>
      <w:r w:rsidR="007D0B65" w:rsidRPr="005927F3">
        <w:rPr>
          <w:rFonts w:cstheme="minorHAnsi"/>
          <w:sz w:val="24"/>
          <w:szCs w:val="24"/>
        </w:rPr>
        <w:t>D</w:t>
      </w:r>
      <w:r w:rsidR="00E5739B" w:rsidRPr="005927F3">
        <w:rPr>
          <w:rFonts w:cstheme="minorHAnsi"/>
          <w:sz w:val="24"/>
          <w:szCs w:val="24"/>
        </w:rPr>
        <w:t>ata protection</w:t>
      </w:r>
      <w:r w:rsidR="0022095C" w:rsidRPr="005927F3">
        <w:rPr>
          <w:rFonts w:cstheme="minorHAnsi"/>
          <w:sz w:val="24"/>
          <w:szCs w:val="24"/>
        </w:rPr>
        <w:t xml:space="preserve"> law</w:t>
      </w:r>
      <w:r w:rsidR="00E5739B" w:rsidRPr="005927F3">
        <w:rPr>
          <w:rFonts w:cstheme="minorHAnsi"/>
          <w:sz w:val="24"/>
          <w:szCs w:val="24"/>
        </w:rPr>
        <w:t xml:space="preserve"> </w:t>
      </w:r>
      <w:r w:rsidR="007D0B65" w:rsidRPr="005927F3">
        <w:rPr>
          <w:rFonts w:cstheme="minorHAnsi"/>
          <w:sz w:val="24"/>
          <w:szCs w:val="24"/>
        </w:rPr>
        <w:t xml:space="preserve">delivers </w:t>
      </w:r>
      <w:r w:rsidR="00786A2A" w:rsidRPr="005927F3">
        <w:rPr>
          <w:rFonts w:cstheme="minorHAnsi"/>
          <w:sz w:val="24"/>
          <w:szCs w:val="24"/>
        </w:rPr>
        <w:t>informational self-determination</w:t>
      </w:r>
      <w:r w:rsidR="00566881" w:rsidRPr="005927F3">
        <w:rPr>
          <w:rStyle w:val="FootnoteReference"/>
          <w:rFonts w:cstheme="minorHAnsi"/>
          <w:sz w:val="24"/>
          <w:szCs w:val="24"/>
        </w:rPr>
        <w:footnoteReference w:id="71"/>
      </w:r>
      <w:r w:rsidR="00786A2A" w:rsidRPr="005927F3">
        <w:rPr>
          <w:rFonts w:cstheme="minorHAnsi"/>
          <w:sz w:val="24"/>
          <w:szCs w:val="24"/>
        </w:rPr>
        <w:t xml:space="preserve"> against a</w:t>
      </w:r>
      <w:r w:rsidR="000C45A8" w:rsidRPr="005927F3">
        <w:rPr>
          <w:rFonts w:cstheme="minorHAnsi"/>
          <w:sz w:val="24"/>
          <w:szCs w:val="24"/>
        </w:rPr>
        <w:t>n understanding</w:t>
      </w:r>
      <w:r w:rsidR="00786A2A" w:rsidRPr="005927F3">
        <w:rPr>
          <w:rFonts w:cstheme="minorHAnsi"/>
          <w:sz w:val="24"/>
          <w:szCs w:val="24"/>
        </w:rPr>
        <w:t xml:space="preserve"> that much personal information is</w:t>
      </w:r>
      <w:r w:rsidR="000C45A8" w:rsidRPr="005927F3">
        <w:rPr>
          <w:rFonts w:cstheme="minorHAnsi"/>
          <w:sz w:val="24"/>
          <w:szCs w:val="24"/>
        </w:rPr>
        <w:t xml:space="preserve"> </w:t>
      </w:r>
      <w:r w:rsidR="0070590E" w:rsidRPr="005927F3">
        <w:rPr>
          <w:rFonts w:cstheme="minorHAnsi"/>
          <w:sz w:val="24"/>
          <w:szCs w:val="24"/>
        </w:rPr>
        <w:t xml:space="preserve">necessarily </w:t>
      </w:r>
      <w:r w:rsidR="00786A2A" w:rsidRPr="005927F3">
        <w:rPr>
          <w:rFonts w:cstheme="minorHAnsi"/>
          <w:sz w:val="24"/>
          <w:szCs w:val="24"/>
        </w:rPr>
        <w:t xml:space="preserve">in the public </w:t>
      </w:r>
      <w:r w:rsidR="001534AC" w:rsidRPr="005927F3">
        <w:rPr>
          <w:rFonts w:cstheme="minorHAnsi"/>
          <w:sz w:val="24"/>
          <w:szCs w:val="24"/>
        </w:rPr>
        <w:t>domain</w:t>
      </w:r>
      <w:r w:rsidR="005D4BFF" w:rsidRPr="005927F3">
        <w:rPr>
          <w:rFonts w:cstheme="minorHAnsi"/>
          <w:sz w:val="24"/>
          <w:szCs w:val="24"/>
        </w:rPr>
        <w:t xml:space="preserve"> and </w:t>
      </w:r>
      <w:r w:rsidR="00B6075C" w:rsidRPr="005927F3">
        <w:rPr>
          <w:rFonts w:cstheme="minorHAnsi"/>
          <w:sz w:val="24"/>
          <w:szCs w:val="24"/>
        </w:rPr>
        <w:t xml:space="preserve">held by </w:t>
      </w:r>
      <w:r w:rsidR="00390084" w:rsidRPr="005927F3">
        <w:rPr>
          <w:rFonts w:cstheme="minorHAnsi"/>
          <w:sz w:val="24"/>
          <w:szCs w:val="24"/>
        </w:rPr>
        <w:t xml:space="preserve">public </w:t>
      </w:r>
      <w:r w:rsidR="009D3B01" w:rsidRPr="005927F3">
        <w:rPr>
          <w:rFonts w:cstheme="minorHAnsi"/>
          <w:sz w:val="24"/>
          <w:szCs w:val="24"/>
        </w:rPr>
        <w:t>or</w:t>
      </w:r>
      <w:r w:rsidR="00390084" w:rsidRPr="005927F3">
        <w:rPr>
          <w:rFonts w:cstheme="minorHAnsi"/>
          <w:sz w:val="24"/>
          <w:szCs w:val="24"/>
        </w:rPr>
        <w:t xml:space="preserve"> </w:t>
      </w:r>
      <w:r w:rsidR="00B6075C" w:rsidRPr="005927F3">
        <w:rPr>
          <w:rFonts w:cstheme="minorHAnsi"/>
          <w:sz w:val="24"/>
          <w:szCs w:val="24"/>
        </w:rPr>
        <w:t>private institution</w:t>
      </w:r>
      <w:r w:rsidR="004C30B7" w:rsidRPr="005927F3">
        <w:rPr>
          <w:rFonts w:cstheme="minorHAnsi"/>
          <w:sz w:val="24"/>
          <w:szCs w:val="24"/>
        </w:rPr>
        <w:t>s</w:t>
      </w:r>
      <w:r w:rsidR="00B6075C" w:rsidRPr="005927F3">
        <w:rPr>
          <w:rFonts w:cstheme="minorHAnsi"/>
          <w:sz w:val="24"/>
          <w:szCs w:val="24"/>
        </w:rPr>
        <w:t>,</w:t>
      </w:r>
      <w:r w:rsidR="001534AC" w:rsidRPr="005927F3">
        <w:rPr>
          <w:rFonts w:cstheme="minorHAnsi"/>
          <w:sz w:val="24"/>
          <w:szCs w:val="24"/>
        </w:rPr>
        <w:t xml:space="preserve"> and</w:t>
      </w:r>
      <w:r w:rsidR="00CE479E" w:rsidRPr="005927F3">
        <w:rPr>
          <w:rFonts w:cstheme="minorHAnsi"/>
          <w:sz w:val="24"/>
          <w:szCs w:val="24"/>
        </w:rPr>
        <w:t xml:space="preserve"> protection should not be foregone simply because </w:t>
      </w:r>
      <w:r w:rsidR="0090283F" w:rsidRPr="005927F3">
        <w:rPr>
          <w:rFonts w:cstheme="minorHAnsi"/>
          <w:sz w:val="24"/>
          <w:szCs w:val="24"/>
        </w:rPr>
        <w:t xml:space="preserve">of </w:t>
      </w:r>
      <w:r w:rsidR="00970EA6" w:rsidRPr="005927F3">
        <w:rPr>
          <w:rFonts w:cstheme="minorHAnsi"/>
          <w:sz w:val="24"/>
          <w:szCs w:val="24"/>
        </w:rPr>
        <w:t>a</w:t>
      </w:r>
      <w:r w:rsidR="0098547B" w:rsidRPr="005927F3">
        <w:rPr>
          <w:rFonts w:cstheme="minorHAnsi"/>
          <w:sz w:val="24"/>
          <w:szCs w:val="24"/>
        </w:rPr>
        <w:t xml:space="preserve"> delimited</w:t>
      </w:r>
      <w:r w:rsidR="0090283F" w:rsidRPr="005927F3">
        <w:rPr>
          <w:rFonts w:cstheme="minorHAnsi"/>
          <w:sz w:val="24"/>
          <w:szCs w:val="24"/>
        </w:rPr>
        <w:t xml:space="preserve"> public-ness of the information</w:t>
      </w:r>
      <w:r w:rsidR="00CE479E" w:rsidRPr="005927F3">
        <w:rPr>
          <w:rFonts w:cstheme="minorHAnsi"/>
          <w:sz w:val="24"/>
          <w:szCs w:val="24"/>
        </w:rPr>
        <w:t xml:space="preserve">. </w:t>
      </w:r>
      <w:r w:rsidR="00970EA6" w:rsidRPr="005927F3">
        <w:rPr>
          <w:rFonts w:cstheme="minorHAnsi"/>
          <w:sz w:val="24"/>
          <w:szCs w:val="24"/>
        </w:rPr>
        <w:t>Notably,</w:t>
      </w:r>
      <w:r w:rsidR="0098547B" w:rsidRPr="005927F3">
        <w:rPr>
          <w:rFonts w:cstheme="minorHAnsi"/>
          <w:sz w:val="24"/>
          <w:szCs w:val="24"/>
        </w:rPr>
        <w:t xml:space="preserve"> </w:t>
      </w:r>
      <w:r w:rsidR="00CE479E" w:rsidRPr="005927F3">
        <w:rPr>
          <w:rFonts w:cstheme="minorHAnsi"/>
          <w:sz w:val="24"/>
          <w:szCs w:val="24"/>
        </w:rPr>
        <w:t>the Council of Europe developed data protection la</w:t>
      </w:r>
      <w:r w:rsidR="007250B8" w:rsidRPr="005927F3">
        <w:rPr>
          <w:rFonts w:cstheme="minorHAnsi"/>
          <w:sz w:val="24"/>
          <w:szCs w:val="24"/>
        </w:rPr>
        <w:t>w</w:t>
      </w:r>
      <w:r w:rsidR="007158E1" w:rsidRPr="005927F3">
        <w:rPr>
          <w:rFonts w:cstheme="minorHAnsi"/>
          <w:sz w:val="24"/>
          <w:szCs w:val="24"/>
        </w:rPr>
        <w:t xml:space="preserve"> </w:t>
      </w:r>
      <w:r w:rsidR="002C0EE8" w:rsidRPr="005927F3">
        <w:rPr>
          <w:rFonts w:cstheme="minorHAnsi"/>
          <w:sz w:val="24"/>
          <w:szCs w:val="24"/>
        </w:rPr>
        <w:t xml:space="preserve">in the early 1980s </w:t>
      </w:r>
      <w:r w:rsidR="00CE479E" w:rsidRPr="005927F3">
        <w:rPr>
          <w:rFonts w:cstheme="minorHAnsi"/>
          <w:sz w:val="24"/>
          <w:szCs w:val="24"/>
        </w:rPr>
        <w:t>in response to the</w:t>
      </w:r>
      <w:r w:rsidR="00343C1C" w:rsidRPr="005927F3">
        <w:rPr>
          <w:rFonts w:cstheme="minorHAnsi"/>
          <w:sz w:val="24"/>
          <w:szCs w:val="24"/>
        </w:rPr>
        <w:t xml:space="preserve"> </w:t>
      </w:r>
      <w:r w:rsidR="008C48B0" w:rsidRPr="005927F3">
        <w:rPr>
          <w:rFonts w:cstheme="minorHAnsi"/>
          <w:sz w:val="24"/>
          <w:szCs w:val="24"/>
        </w:rPr>
        <w:t>increasing</w:t>
      </w:r>
      <w:r w:rsidR="00343C1C" w:rsidRPr="005927F3">
        <w:rPr>
          <w:rFonts w:cstheme="minorHAnsi"/>
          <w:sz w:val="24"/>
          <w:szCs w:val="24"/>
        </w:rPr>
        <w:t xml:space="preserve"> collection of personal data by a wide array of private </w:t>
      </w:r>
      <w:r w:rsidR="008C48B0" w:rsidRPr="005927F3">
        <w:rPr>
          <w:rFonts w:cstheme="minorHAnsi"/>
          <w:sz w:val="24"/>
          <w:szCs w:val="24"/>
        </w:rPr>
        <w:t xml:space="preserve">bodies, </w:t>
      </w:r>
      <w:proofErr w:type="gramStart"/>
      <w:r w:rsidR="008C48B0" w:rsidRPr="005927F3">
        <w:rPr>
          <w:rFonts w:cstheme="minorHAnsi"/>
          <w:sz w:val="24"/>
          <w:szCs w:val="24"/>
        </w:rPr>
        <w:t>e.g.</w:t>
      </w:r>
      <w:proofErr w:type="gramEnd"/>
      <w:r w:rsidR="008C48B0" w:rsidRPr="005927F3">
        <w:rPr>
          <w:rFonts w:cstheme="minorHAnsi"/>
          <w:sz w:val="24"/>
          <w:szCs w:val="24"/>
        </w:rPr>
        <w:t xml:space="preserve"> employers, </w:t>
      </w:r>
      <w:r w:rsidR="00343C1C" w:rsidRPr="005927F3">
        <w:rPr>
          <w:rFonts w:cstheme="minorHAnsi"/>
          <w:sz w:val="24"/>
          <w:szCs w:val="24"/>
        </w:rPr>
        <w:t xml:space="preserve">and public </w:t>
      </w:r>
      <w:r w:rsidR="008C48B0" w:rsidRPr="005927F3">
        <w:rPr>
          <w:rFonts w:cstheme="minorHAnsi"/>
          <w:sz w:val="24"/>
          <w:szCs w:val="24"/>
        </w:rPr>
        <w:t xml:space="preserve">agencies </w:t>
      </w:r>
      <w:r w:rsidR="00072914" w:rsidRPr="005927F3">
        <w:rPr>
          <w:rFonts w:cstheme="minorHAnsi"/>
          <w:sz w:val="24"/>
          <w:szCs w:val="24"/>
        </w:rPr>
        <w:t xml:space="preserve">- </w:t>
      </w:r>
      <w:r w:rsidR="002C0EE8" w:rsidRPr="005927F3">
        <w:rPr>
          <w:rFonts w:cstheme="minorHAnsi"/>
          <w:sz w:val="24"/>
          <w:szCs w:val="24"/>
        </w:rPr>
        <w:t>against</w:t>
      </w:r>
      <w:r w:rsidR="008C48B0" w:rsidRPr="005927F3">
        <w:rPr>
          <w:rFonts w:cstheme="minorHAnsi"/>
          <w:sz w:val="24"/>
          <w:szCs w:val="24"/>
        </w:rPr>
        <w:t xml:space="preserve"> </w:t>
      </w:r>
      <w:r w:rsidR="00343C1C" w:rsidRPr="005927F3">
        <w:rPr>
          <w:rFonts w:cstheme="minorHAnsi"/>
          <w:sz w:val="24"/>
          <w:szCs w:val="24"/>
        </w:rPr>
        <w:t>the</w:t>
      </w:r>
      <w:r w:rsidR="00CE479E" w:rsidRPr="005927F3">
        <w:rPr>
          <w:rFonts w:cstheme="minorHAnsi"/>
          <w:sz w:val="24"/>
          <w:szCs w:val="24"/>
        </w:rPr>
        <w:t xml:space="preserve"> </w:t>
      </w:r>
      <w:r w:rsidR="007250B8" w:rsidRPr="005927F3">
        <w:rPr>
          <w:rFonts w:cstheme="minorHAnsi"/>
          <w:sz w:val="24"/>
          <w:szCs w:val="24"/>
        </w:rPr>
        <w:t xml:space="preserve">perceived </w:t>
      </w:r>
      <w:r w:rsidR="00CE479E" w:rsidRPr="005927F3">
        <w:rPr>
          <w:rFonts w:cstheme="minorHAnsi"/>
          <w:sz w:val="24"/>
          <w:szCs w:val="24"/>
        </w:rPr>
        <w:t>narrowness of in Art 8 of the ECHR</w:t>
      </w:r>
      <w:r w:rsidR="00CE479E" w:rsidRPr="005927F3">
        <w:rPr>
          <w:rStyle w:val="FootnoteReference"/>
          <w:rFonts w:cstheme="minorHAnsi"/>
          <w:sz w:val="24"/>
          <w:szCs w:val="24"/>
        </w:rPr>
        <w:footnoteReference w:id="72"/>
      </w:r>
      <w:r w:rsidR="00CE479E" w:rsidRPr="005927F3">
        <w:rPr>
          <w:rFonts w:cstheme="minorHAnsi"/>
          <w:sz w:val="24"/>
          <w:szCs w:val="24"/>
        </w:rPr>
        <w:t xml:space="preserve"> </w:t>
      </w:r>
      <w:r w:rsidR="0003181F" w:rsidRPr="005927F3">
        <w:rPr>
          <w:rFonts w:cstheme="minorHAnsi"/>
          <w:sz w:val="24"/>
          <w:szCs w:val="24"/>
        </w:rPr>
        <w:t>which</w:t>
      </w:r>
      <w:r w:rsidR="00970EA6" w:rsidRPr="005927F3">
        <w:rPr>
          <w:rFonts w:cstheme="minorHAnsi"/>
          <w:sz w:val="24"/>
          <w:szCs w:val="24"/>
        </w:rPr>
        <w:t>,</w:t>
      </w:r>
      <w:r w:rsidR="0003181F" w:rsidRPr="005927F3">
        <w:rPr>
          <w:rFonts w:cstheme="minorHAnsi"/>
          <w:sz w:val="24"/>
          <w:szCs w:val="24"/>
        </w:rPr>
        <w:t xml:space="preserve"> </w:t>
      </w:r>
      <w:r w:rsidR="00970EA6" w:rsidRPr="005927F3">
        <w:rPr>
          <w:rFonts w:cstheme="minorHAnsi"/>
          <w:sz w:val="24"/>
          <w:szCs w:val="24"/>
        </w:rPr>
        <w:t xml:space="preserve">as discussed </w:t>
      </w:r>
      <w:r w:rsidR="00970EA6" w:rsidRPr="005927F3">
        <w:rPr>
          <w:rFonts w:cstheme="minorHAnsi"/>
          <w:sz w:val="24"/>
          <w:szCs w:val="24"/>
        </w:rPr>
        <w:lastRenderedPageBreak/>
        <w:t xml:space="preserve">below, </w:t>
      </w:r>
      <w:r w:rsidR="00CE479E" w:rsidRPr="005927F3">
        <w:rPr>
          <w:rFonts w:cstheme="minorHAnsi"/>
          <w:sz w:val="24"/>
          <w:szCs w:val="24"/>
        </w:rPr>
        <w:t xml:space="preserve">draws heavily on </w:t>
      </w:r>
      <w:r w:rsidR="0090283F" w:rsidRPr="005927F3">
        <w:rPr>
          <w:rFonts w:cstheme="minorHAnsi"/>
          <w:sz w:val="24"/>
          <w:szCs w:val="24"/>
        </w:rPr>
        <w:t xml:space="preserve">the </w:t>
      </w:r>
      <w:r w:rsidR="00CE479E" w:rsidRPr="005927F3">
        <w:rPr>
          <w:rFonts w:cstheme="minorHAnsi"/>
          <w:sz w:val="24"/>
          <w:szCs w:val="24"/>
        </w:rPr>
        <w:t xml:space="preserve">Anglo-American privacy </w:t>
      </w:r>
      <w:r w:rsidR="00B24186" w:rsidRPr="005927F3">
        <w:rPr>
          <w:rFonts w:cstheme="minorHAnsi"/>
          <w:sz w:val="24"/>
          <w:szCs w:val="24"/>
        </w:rPr>
        <w:t xml:space="preserve">culture. </w:t>
      </w:r>
      <w:r w:rsidR="007158E1" w:rsidRPr="005927F3">
        <w:rPr>
          <w:rFonts w:cstheme="minorHAnsi"/>
          <w:sz w:val="24"/>
          <w:szCs w:val="24"/>
        </w:rPr>
        <w:t>Thus,</w:t>
      </w:r>
      <w:r w:rsidR="00B24186" w:rsidRPr="005927F3">
        <w:rPr>
          <w:rFonts w:cstheme="minorHAnsi"/>
          <w:sz w:val="24"/>
          <w:szCs w:val="24"/>
        </w:rPr>
        <w:t xml:space="preserve"> although data protection</w:t>
      </w:r>
      <w:r w:rsidR="007158E1" w:rsidRPr="005927F3">
        <w:rPr>
          <w:rFonts w:cstheme="minorHAnsi"/>
          <w:sz w:val="24"/>
          <w:szCs w:val="24"/>
        </w:rPr>
        <w:t xml:space="preserve"> law</w:t>
      </w:r>
      <w:r w:rsidR="00B24186" w:rsidRPr="005927F3">
        <w:rPr>
          <w:rFonts w:cstheme="minorHAnsi"/>
          <w:sz w:val="24"/>
          <w:szCs w:val="24"/>
        </w:rPr>
        <w:t xml:space="preserve"> is framed in</w:t>
      </w:r>
      <w:r w:rsidR="008C48B0" w:rsidRPr="005927F3">
        <w:rPr>
          <w:rFonts w:cstheme="minorHAnsi"/>
          <w:sz w:val="24"/>
          <w:szCs w:val="24"/>
        </w:rPr>
        <w:t xml:space="preserve"> seemingly</w:t>
      </w:r>
      <w:r w:rsidR="00B24186" w:rsidRPr="005927F3">
        <w:rPr>
          <w:rFonts w:cstheme="minorHAnsi"/>
          <w:sz w:val="24"/>
          <w:szCs w:val="24"/>
        </w:rPr>
        <w:t xml:space="preserve"> technical concepts </w:t>
      </w:r>
      <w:r w:rsidR="007158E1" w:rsidRPr="005927F3">
        <w:rPr>
          <w:rFonts w:cstheme="minorHAnsi"/>
          <w:sz w:val="24"/>
          <w:szCs w:val="24"/>
        </w:rPr>
        <w:t xml:space="preserve">and language </w:t>
      </w:r>
      <w:r w:rsidR="00B24186" w:rsidRPr="005927F3">
        <w:rPr>
          <w:rFonts w:cstheme="minorHAnsi"/>
          <w:sz w:val="24"/>
          <w:szCs w:val="24"/>
        </w:rPr>
        <w:t>(</w:t>
      </w:r>
      <w:proofErr w:type="gramStart"/>
      <w:r w:rsidR="00B24186" w:rsidRPr="005927F3">
        <w:rPr>
          <w:rFonts w:cstheme="minorHAnsi"/>
          <w:sz w:val="24"/>
          <w:szCs w:val="24"/>
        </w:rPr>
        <w:t>e.g.</w:t>
      </w:r>
      <w:proofErr w:type="gramEnd"/>
      <w:r w:rsidR="00B24186" w:rsidRPr="005927F3">
        <w:rPr>
          <w:rFonts w:cstheme="minorHAnsi"/>
          <w:sz w:val="24"/>
          <w:szCs w:val="24"/>
        </w:rPr>
        <w:t xml:space="preserve"> ‘data’ instead of ‘information’; ‘data subject’</w:t>
      </w:r>
      <w:r w:rsidR="008C48B0" w:rsidRPr="005927F3">
        <w:rPr>
          <w:rFonts w:cstheme="minorHAnsi"/>
          <w:sz w:val="24"/>
          <w:szCs w:val="24"/>
        </w:rPr>
        <w:t xml:space="preserve"> </w:t>
      </w:r>
      <w:r w:rsidR="002C0EE8" w:rsidRPr="005927F3">
        <w:rPr>
          <w:rFonts w:cstheme="minorHAnsi"/>
          <w:sz w:val="24"/>
          <w:szCs w:val="24"/>
        </w:rPr>
        <w:t>or</w:t>
      </w:r>
      <w:r w:rsidR="007158E1" w:rsidRPr="005927F3">
        <w:rPr>
          <w:rFonts w:cstheme="minorHAnsi"/>
          <w:sz w:val="24"/>
          <w:szCs w:val="24"/>
        </w:rPr>
        <w:t xml:space="preserve"> ‘data controller’</w:t>
      </w:r>
      <w:r w:rsidR="002C0EE8" w:rsidRPr="005927F3">
        <w:rPr>
          <w:rFonts w:cstheme="minorHAnsi"/>
          <w:sz w:val="24"/>
          <w:szCs w:val="24"/>
        </w:rPr>
        <w:t xml:space="preserve">; purpose </w:t>
      </w:r>
      <w:r w:rsidR="00072914" w:rsidRPr="005927F3">
        <w:rPr>
          <w:rFonts w:cstheme="minorHAnsi"/>
          <w:sz w:val="24"/>
          <w:szCs w:val="24"/>
        </w:rPr>
        <w:t>limitation</w:t>
      </w:r>
      <w:r w:rsidR="004D7911" w:rsidRPr="005927F3">
        <w:rPr>
          <w:rFonts w:cstheme="minorHAnsi"/>
          <w:sz w:val="24"/>
          <w:szCs w:val="24"/>
        </w:rPr>
        <w:t>, or data minimisation</w:t>
      </w:r>
      <w:r w:rsidR="007158E1" w:rsidRPr="005927F3">
        <w:rPr>
          <w:rFonts w:cstheme="minorHAnsi"/>
          <w:sz w:val="24"/>
          <w:szCs w:val="24"/>
        </w:rPr>
        <w:t>) and presents as a type of data management bureaucracy, it was clearly understood</w:t>
      </w:r>
      <w:r w:rsidR="00867322" w:rsidRPr="005927F3">
        <w:rPr>
          <w:rFonts w:cstheme="minorHAnsi"/>
          <w:sz w:val="24"/>
          <w:szCs w:val="24"/>
        </w:rPr>
        <w:t xml:space="preserve"> as delivering</w:t>
      </w:r>
      <w:r w:rsidR="007158E1" w:rsidRPr="005927F3">
        <w:rPr>
          <w:rFonts w:cstheme="minorHAnsi"/>
          <w:sz w:val="24"/>
          <w:szCs w:val="24"/>
        </w:rPr>
        <w:t xml:space="preserve"> an expanded </w:t>
      </w:r>
      <w:r w:rsidR="008C48B0" w:rsidRPr="005927F3">
        <w:rPr>
          <w:rFonts w:cstheme="minorHAnsi"/>
          <w:sz w:val="24"/>
          <w:szCs w:val="24"/>
        </w:rPr>
        <w:t>version</w:t>
      </w:r>
      <w:r w:rsidR="00867322" w:rsidRPr="005927F3">
        <w:rPr>
          <w:rFonts w:cstheme="minorHAnsi"/>
          <w:sz w:val="24"/>
          <w:szCs w:val="24"/>
        </w:rPr>
        <w:t xml:space="preserve"> </w:t>
      </w:r>
      <w:r w:rsidR="007158E1" w:rsidRPr="005927F3">
        <w:rPr>
          <w:rFonts w:cstheme="minorHAnsi"/>
          <w:sz w:val="24"/>
          <w:szCs w:val="24"/>
        </w:rPr>
        <w:t xml:space="preserve">of privacy. </w:t>
      </w:r>
    </w:p>
    <w:p w14:paraId="4F07AE82" w14:textId="3C997369" w:rsidR="00CE479E" w:rsidRPr="005927F3" w:rsidRDefault="00CE479E" w:rsidP="001862D0">
      <w:pPr>
        <w:autoSpaceDE w:val="0"/>
        <w:autoSpaceDN w:val="0"/>
        <w:adjustRightInd w:val="0"/>
        <w:spacing w:after="0" w:line="240" w:lineRule="auto"/>
        <w:jc w:val="both"/>
        <w:rPr>
          <w:rFonts w:cstheme="minorHAnsi"/>
          <w:sz w:val="24"/>
          <w:szCs w:val="24"/>
        </w:rPr>
      </w:pPr>
    </w:p>
    <w:p w14:paraId="76E81C78" w14:textId="07C1CCDF" w:rsidR="008B308D" w:rsidRPr="005927F3" w:rsidRDefault="00970EA6" w:rsidP="001862D0">
      <w:pPr>
        <w:autoSpaceDE w:val="0"/>
        <w:autoSpaceDN w:val="0"/>
        <w:adjustRightInd w:val="0"/>
        <w:spacing w:after="0" w:line="240" w:lineRule="auto"/>
        <w:jc w:val="both"/>
        <w:rPr>
          <w:rFonts w:cstheme="minorHAnsi"/>
          <w:sz w:val="24"/>
          <w:szCs w:val="24"/>
        </w:rPr>
      </w:pPr>
      <w:r w:rsidRPr="005927F3">
        <w:rPr>
          <w:rFonts w:cstheme="minorHAnsi"/>
          <w:sz w:val="24"/>
          <w:szCs w:val="24"/>
        </w:rPr>
        <w:t>W</w:t>
      </w:r>
      <w:r w:rsidR="000C45A8" w:rsidRPr="005927F3">
        <w:rPr>
          <w:rFonts w:cstheme="minorHAnsi"/>
          <w:sz w:val="24"/>
          <w:szCs w:val="24"/>
        </w:rPr>
        <w:t>ith</w:t>
      </w:r>
      <w:r w:rsidR="002870D5" w:rsidRPr="005927F3">
        <w:rPr>
          <w:rFonts w:cstheme="minorHAnsi"/>
          <w:sz w:val="24"/>
          <w:szCs w:val="24"/>
        </w:rPr>
        <w:t xml:space="preserve"> its</w:t>
      </w:r>
      <w:r w:rsidR="00AE5495" w:rsidRPr="005927F3">
        <w:rPr>
          <w:rFonts w:cstheme="minorHAnsi"/>
          <w:sz w:val="24"/>
          <w:szCs w:val="24"/>
        </w:rPr>
        <w:t xml:space="preserve"> </w:t>
      </w:r>
      <w:r w:rsidR="005E093A" w:rsidRPr="005927F3">
        <w:rPr>
          <w:rFonts w:cstheme="minorHAnsi"/>
          <w:sz w:val="24"/>
          <w:szCs w:val="24"/>
        </w:rPr>
        <w:t>focus</w:t>
      </w:r>
      <w:r w:rsidR="00AE5495" w:rsidRPr="005927F3">
        <w:rPr>
          <w:rFonts w:cstheme="minorHAnsi"/>
          <w:sz w:val="24"/>
          <w:szCs w:val="24"/>
        </w:rPr>
        <w:t xml:space="preserve"> on ‘perso</w:t>
      </w:r>
      <w:r w:rsidR="00F43D3F" w:rsidRPr="005927F3">
        <w:rPr>
          <w:rFonts w:cstheme="minorHAnsi"/>
          <w:sz w:val="24"/>
          <w:szCs w:val="24"/>
        </w:rPr>
        <w:t xml:space="preserve">nal’ rather than ‘private’ </w:t>
      </w:r>
      <w:r w:rsidR="000C45A8" w:rsidRPr="005927F3">
        <w:rPr>
          <w:rFonts w:cstheme="minorHAnsi"/>
          <w:sz w:val="24"/>
          <w:szCs w:val="24"/>
        </w:rPr>
        <w:t>information</w:t>
      </w:r>
      <w:r w:rsidR="00663408" w:rsidRPr="005927F3">
        <w:rPr>
          <w:rFonts w:cstheme="minorHAnsi"/>
          <w:sz w:val="24"/>
          <w:szCs w:val="24"/>
        </w:rPr>
        <w:t xml:space="preserve">, </w:t>
      </w:r>
      <w:r w:rsidR="00CE479E" w:rsidRPr="005927F3">
        <w:rPr>
          <w:rFonts w:cstheme="minorHAnsi"/>
          <w:sz w:val="24"/>
          <w:szCs w:val="24"/>
        </w:rPr>
        <w:t>data protection law</w:t>
      </w:r>
      <w:r w:rsidR="00837FB9" w:rsidRPr="005927F3">
        <w:rPr>
          <w:rFonts w:cstheme="minorHAnsi"/>
          <w:sz w:val="24"/>
          <w:szCs w:val="24"/>
        </w:rPr>
        <w:t xml:space="preserve"> </w:t>
      </w:r>
      <w:r w:rsidR="0098547B" w:rsidRPr="005927F3">
        <w:rPr>
          <w:rFonts w:cstheme="minorHAnsi"/>
          <w:sz w:val="24"/>
          <w:szCs w:val="24"/>
        </w:rPr>
        <w:t xml:space="preserve">generally </w:t>
      </w:r>
      <w:r w:rsidR="00837FB9" w:rsidRPr="005927F3">
        <w:rPr>
          <w:rFonts w:cstheme="minorHAnsi"/>
          <w:sz w:val="24"/>
          <w:szCs w:val="24"/>
        </w:rPr>
        <w:t>bypasses controversies based on the private-public binary,</w:t>
      </w:r>
      <w:r w:rsidR="00837FB9" w:rsidRPr="005927F3">
        <w:rPr>
          <w:rStyle w:val="FootnoteReference"/>
          <w:rFonts w:cstheme="minorHAnsi"/>
          <w:sz w:val="24"/>
          <w:szCs w:val="24"/>
        </w:rPr>
        <w:footnoteReference w:id="73"/>
      </w:r>
      <w:r w:rsidR="00837FB9" w:rsidRPr="005927F3">
        <w:rPr>
          <w:rFonts w:cstheme="minorHAnsi"/>
          <w:sz w:val="24"/>
          <w:szCs w:val="24"/>
        </w:rPr>
        <w:t xml:space="preserve"> and</w:t>
      </w:r>
      <w:r w:rsidR="00227FED" w:rsidRPr="005927F3">
        <w:rPr>
          <w:rFonts w:cstheme="minorHAnsi"/>
          <w:sz w:val="24"/>
          <w:szCs w:val="24"/>
        </w:rPr>
        <w:t xml:space="preserve"> </w:t>
      </w:r>
      <w:r w:rsidR="00224FF0" w:rsidRPr="005927F3">
        <w:rPr>
          <w:rFonts w:cstheme="minorHAnsi"/>
          <w:sz w:val="24"/>
          <w:szCs w:val="24"/>
        </w:rPr>
        <w:t>showcase</w:t>
      </w:r>
      <w:r w:rsidR="001C1CC5" w:rsidRPr="005927F3">
        <w:rPr>
          <w:rFonts w:cstheme="minorHAnsi"/>
          <w:sz w:val="24"/>
          <w:szCs w:val="24"/>
        </w:rPr>
        <w:t>s</w:t>
      </w:r>
      <w:r w:rsidR="009D3B01" w:rsidRPr="005927F3">
        <w:rPr>
          <w:rFonts w:cstheme="minorHAnsi"/>
          <w:sz w:val="24"/>
          <w:szCs w:val="24"/>
        </w:rPr>
        <w:t xml:space="preserve"> </w:t>
      </w:r>
      <w:r w:rsidR="001534AC" w:rsidRPr="005927F3">
        <w:rPr>
          <w:rFonts w:cstheme="minorHAnsi"/>
          <w:sz w:val="24"/>
          <w:szCs w:val="24"/>
        </w:rPr>
        <w:t xml:space="preserve">the </w:t>
      </w:r>
      <w:r w:rsidR="007250B8" w:rsidRPr="005927F3">
        <w:rPr>
          <w:rFonts w:cstheme="minorHAnsi"/>
          <w:sz w:val="24"/>
          <w:szCs w:val="24"/>
        </w:rPr>
        <w:t>capacity</w:t>
      </w:r>
      <w:r w:rsidR="000C45A8" w:rsidRPr="005927F3">
        <w:rPr>
          <w:rFonts w:cstheme="minorHAnsi"/>
          <w:sz w:val="24"/>
          <w:szCs w:val="24"/>
        </w:rPr>
        <w:t xml:space="preserve"> </w:t>
      </w:r>
      <w:r w:rsidR="001534AC" w:rsidRPr="005927F3">
        <w:rPr>
          <w:rFonts w:cstheme="minorHAnsi"/>
          <w:sz w:val="24"/>
          <w:szCs w:val="24"/>
        </w:rPr>
        <w:t xml:space="preserve">of </w:t>
      </w:r>
      <w:r w:rsidR="0015188A" w:rsidRPr="005927F3">
        <w:rPr>
          <w:rFonts w:cstheme="minorHAnsi"/>
          <w:sz w:val="24"/>
          <w:szCs w:val="24"/>
        </w:rPr>
        <w:t>privacy</w:t>
      </w:r>
      <w:r w:rsidR="000C45A8" w:rsidRPr="005927F3">
        <w:rPr>
          <w:rFonts w:cstheme="minorHAnsi"/>
          <w:sz w:val="24"/>
          <w:szCs w:val="24"/>
        </w:rPr>
        <w:t xml:space="preserve"> </w:t>
      </w:r>
      <w:r w:rsidR="001534AC" w:rsidRPr="005927F3">
        <w:rPr>
          <w:rFonts w:cstheme="minorHAnsi"/>
          <w:sz w:val="24"/>
          <w:szCs w:val="24"/>
        </w:rPr>
        <w:t>to</w:t>
      </w:r>
      <w:r w:rsidR="00E9156D" w:rsidRPr="005927F3">
        <w:rPr>
          <w:rFonts w:cstheme="minorHAnsi"/>
          <w:sz w:val="24"/>
          <w:szCs w:val="24"/>
        </w:rPr>
        <w:t xml:space="preserve"> recognis</w:t>
      </w:r>
      <w:r w:rsidR="000C45A8" w:rsidRPr="005927F3">
        <w:rPr>
          <w:rFonts w:cstheme="minorHAnsi"/>
          <w:sz w:val="24"/>
          <w:szCs w:val="24"/>
        </w:rPr>
        <w:t>e</w:t>
      </w:r>
      <w:r w:rsidR="00E9156D" w:rsidRPr="005927F3">
        <w:rPr>
          <w:rFonts w:cstheme="minorHAnsi"/>
          <w:sz w:val="24"/>
          <w:szCs w:val="24"/>
        </w:rPr>
        <w:t xml:space="preserve"> layers of pub</w:t>
      </w:r>
      <w:r w:rsidR="00380044" w:rsidRPr="005927F3">
        <w:rPr>
          <w:rFonts w:cstheme="minorHAnsi"/>
          <w:sz w:val="24"/>
          <w:szCs w:val="24"/>
        </w:rPr>
        <w:t>lic</w:t>
      </w:r>
      <w:r w:rsidR="007D0B65" w:rsidRPr="005927F3">
        <w:rPr>
          <w:rFonts w:cstheme="minorHAnsi"/>
          <w:sz w:val="24"/>
          <w:szCs w:val="24"/>
        </w:rPr>
        <w:t>-</w:t>
      </w:r>
      <w:r w:rsidR="00380044" w:rsidRPr="005927F3">
        <w:rPr>
          <w:rFonts w:cstheme="minorHAnsi"/>
          <w:sz w:val="24"/>
          <w:szCs w:val="24"/>
        </w:rPr>
        <w:t xml:space="preserve">ness of </w:t>
      </w:r>
      <w:r w:rsidR="007250B8" w:rsidRPr="005927F3">
        <w:rPr>
          <w:rFonts w:cstheme="minorHAnsi"/>
          <w:sz w:val="24"/>
          <w:szCs w:val="24"/>
        </w:rPr>
        <w:t>personal information</w:t>
      </w:r>
      <w:r w:rsidR="00837FB9" w:rsidRPr="005927F3">
        <w:rPr>
          <w:rFonts w:cstheme="minorHAnsi"/>
          <w:sz w:val="24"/>
          <w:szCs w:val="24"/>
        </w:rPr>
        <w:t xml:space="preserve">. </w:t>
      </w:r>
      <w:r w:rsidR="00D265DD" w:rsidRPr="005927F3">
        <w:rPr>
          <w:rFonts w:cstheme="minorHAnsi"/>
          <w:sz w:val="24"/>
          <w:szCs w:val="24"/>
        </w:rPr>
        <w:t>R</w:t>
      </w:r>
      <w:r w:rsidR="0002277D" w:rsidRPr="005927F3">
        <w:rPr>
          <w:rFonts w:cstheme="minorHAnsi"/>
          <w:sz w:val="24"/>
          <w:szCs w:val="24"/>
        </w:rPr>
        <w:t xml:space="preserve">ights attach </w:t>
      </w:r>
      <w:r w:rsidR="00694102" w:rsidRPr="005927F3">
        <w:rPr>
          <w:rFonts w:cstheme="minorHAnsi"/>
          <w:sz w:val="24"/>
          <w:szCs w:val="24"/>
        </w:rPr>
        <w:t>t</w:t>
      </w:r>
      <w:r w:rsidR="00D265DD" w:rsidRPr="005927F3">
        <w:rPr>
          <w:rFonts w:cstheme="minorHAnsi"/>
          <w:sz w:val="24"/>
          <w:szCs w:val="24"/>
        </w:rPr>
        <w:t>o information because it is personal</w:t>
      </w:r>
      <w:r w:rsidR="00366FF0" w:rsidRPr="005927F3">
        <w:rPr>
          <w:rFonts w:cstheme="minorHAnsi"/>
          <w:sz w:val="24"/>
          <w:szCs w:val="24"/>
        </w:rPr>
        <w:t xml:space="preserve">, </w:t>
      </w:r>
      <w:r w:rsidR="00366FF0" w:rsidRPr="005927F3">
        <w:rPr>
          <w:rFonts w:cstheme="minorHAnsi"/>
          <w:i/>
          <w:iCs/>
          <w:sz w:val="24"/>
          <w:szCs w:val="24"/>
        </w:rPr>
        <w:t>i.e.</w:t>
      </w:r>
      <w:r w:rsidR="00366FF0" w:rsidRPr="005927F3">
        <w:rPr>
          <w:rFonts w:cstheme="minorHAnsi"/>
          <w:sz w:val="24"/>
          <w:szCs w:val="24"/>
        </w:rPr>
        <w:t xml:space="preserve"> related to a</w:t>
      </w:r>
      <w:r w:rsidR="001C1CC5" w:rsidRPr="005927F3">
        <w:rPr>
          <w:rFonts w:cstheme="minorHAnsi"/>
          <w:sz w:val="24"/>
          <w:szCs w:val="24"/>
        </w:rPr>
        <w:t xml:space="preserve"> </w:t>
      </w:r>
      <w:r w:rsidR="00366FF0" w:rsidRPr="005927F3">
        <w:rPr>
          <w:rFonts w:cstheme="minorHAnsi"/>
          <w:sz w:val="24"/>
          <w:szCs w:val="24"/>
        </w:rPr>
        <w:t>person</w:t>
      </w:r>
      <w:r w:rsidR="00D265DD" w:rsidRPr="005927F3">
        <w:rPr>
          <w:rFonts w:cstheme="minorHAnsi"/>
          <w:sz w:val="24"/>
          <w:szCs w:val="24"/>
        </w:rPr>
        <w:t xml:space="preserve">, </w:t>
      </w:r>
      <w:r w:rsidR="00D265DD" w:rsidRPr="005927F3">
        <w:rPr>
          <w:rFonts w:cstheme="minorHAnsi"/>
          <w:i/>
          <w:sz w:val="24"/>
          <w:szCs w:val="24"/>
        </w:rPr>
        <w:t>not</w:t>
      </w:r>
      <w:r w:rsidR="00D265DD" w:rsidRPr="005927F3">
        <w:rPr>
          <w:rFonts w:cstheme="minorHAnsi"/>
          <w:sz w:val="24"/>
          <w:szCs w:val="24"/>
        </w:rPr>
        <w:t xml:space="preserve"> because it is</w:t>
      </w:r>
      <w:r w:rsidR="00694102" w:rsidRPr="005927F3">
        <w:rPr>
          <w:rFonts w:cstheme="minorHAnsi"/>
          <w:sz w:val="24"/>
          <w:szCs w:val="24"/>
        </w:rPr>
        <w:t xml:space="preserve"> ‘private’</w:t>
      </w:r>
      <w:r w:rsidR="003921FA" w:rsidRPr="005927F3">
        <w:rPr>
          <w:rFonts w:cstheme="minorHAnsi"/>
          <w:sz w:val="24"/>
          <w:szCs w:val="24"/>
        </w:rPr>
        <w:t>,</w:t>
      </w:r>
      <w:r w:rsidR="000C45A8" w:rsidRPr="005927F3">
        <w:rPr>
          <w:rFonts w:cstheme="minorHAnsi"/>
          <w:sz w:val="24"/>
          <w:szCs w:val="24"/>
        </w:rPr>
        <w:t xml:space="preserve"> </w:t>
      </w:r>
      <w:r w:rsidR="005E093A" w:rsidRPr="005927F3">
        <w:rPr>
          <w:rFonts w:cstheme="minorHAnsi"/>
          <w:sz w:val="24"/>
          <w:szCs w:val="24"/>
        </w:rPr>
        <w:t>that is</w:t>
      </w:r>
      <w:r w:rsidR="0002277D" w:rsidRPr="005927F3">
        <w:rPr>
          <w:rFonts w:cstheme="minorHAnsi"/>
          <w:sz w:val="24"/>
          <w:szCs w:val="24"/>
        </w:rPr>
        <w:t xml:space="preserve"> </w:t>
      </w:r>
      <w:r w:rsidR="00C33B79" w:rsidRPr="005927F3">
        <w:rPr>
          <w:rFonts w:cstheme="minorHAnsi"/>
          <w:sz w:val="24"/>
          <w:szCs w:val="24"/>
        </w:rPr>
        <w:t xml:space="preserve">personal </w:t>
      </w:r>
      <w:r w:rsidR="00C33B79" w:rsidRPr="005927F3">
        <w:rPr>
          <w:rFonts w:cstheme="minorHAnsi"/>
          <w:i/>
          <w:sz w:val="24"/>
          <w:szCs w:val="24"/>
        </w:rPr>
        <w:t>and</w:t>
      </w:r>
      <w:r w:rsidR="00C33B79" w:rsidRPr="005927F3">
        <w:rPr>
          <w:rFonts w:cstheme="minorHAnsi"/>
          <w:sz w:val="24"/>
          <w:szCs w:val="24"/>
        </w:rPr>
        <w:t xml:space="preserve"> </w:t>
      </w:r>
      <w:r w:rsidR="00342179" w:rsidRPr="005927F3">
        <w:rPr>
          <w:rFonts w:cstheme="minorHAnsi"/>
          <w:sz w:val="24"/>
          <w:szCs w:val="24"/>
        </w:rPr>
        <w:t>confide</w:t>
      </w:r>
      <w:r w:rsidR="00025D5D" w:rsidRPr="005927F3">
        <w:rPr>
          <w:rFonts w:cstheme="minorHAnsi"/>
          <w:sz w:val="24"/>
          <w:szCs w:val="24"/>
        </w:rPr>
        <w:t>ntial.</w:t>
      </w:r>
      <w:r w:rsidR="00117A11" w:rsidRPr="005927F3">
        <w:rPr>
          <w:rStyle w:val="FootnoteReference"/>
          <w:rFonts w:cstheme="minorHAnsi"/>
          <w:sz w:val="24"/>
          <w:szCs w:val="24"/>
        </w:rPr>
        <w:footnoteReference w:id="74"/>
      </w:r>
      <w:r w:rsidR="007250B8" w:rsidRPr="005927F3">
        <w:rPr>
          <w:rFonts w:cstheme="minorHAnsi"/>
          <w:sz w:val="24"/>
          <w:szCs w:val="24"/>
        </w:rPr>
        <w:t xml:space="preserve"> </w:t>
      </w:r>
      <w:r w:rsidR="00E60DE6" w:rsidRPr="005927F3">
        <w:rPr>
          <w:rFonts w:cstheme="minorHAnsi"/>
          <w:sz w:val="24"/>
          <w:szCs w:val="24"/>
        </w:rPr>
        <w:t xml:space="preserve">Indeed, </w:t>
      </w:r>
      <w:r w:rsidR="007158E1" w:rsidRPr="005927F3">
        <w:rPr>
          <w:rFonts w:cstheme="minorHAnsi"/>
          <w:sz w:val="24"/>
          <w:szCs w:val="24"/>
        </w:rPr>
        <w:t xml:space="preserve">even </w:t>
      </w:r>
      <w:r w:rsidR="00E60DE6" w:rsidRPr="005927F3">
        <w:rPr>
          <w:rFonts w:cstheme="minorHAnsi"/>
          <w:sz w:val="24"/>
          <w:szCs w:val="24"/>
        </w:rPr>
        <w:t>personal data that is necessarily in the public domain, such as one’s name or image, is protected, and this is not despite the fact that it is public but because it is.</w:t>
      </w:r>
      <w:r w:rsidR="00E60DE6" w:rsidRPr="005927F3">
        <w:rPr>
          <w:rStyle w:val="FootnoteReference"/>
          <w:rFonts w:cstheme="minorHAnsi"/>
          <w:sz w:val="24"/>
          <w:szCs w:val="24"/>
        </w:rPr>
        <w:footnoteReference w:id="75"/>
      </w:r>
      <w:r w:rsidR="00E60DE6" w:rsidRPr="005927F3">
        <w:rPr>
          <w:rFonts w:cstheme="minorHAnsi"/>
          <w:sz w:val="24"/>
          <w:szCs w:val="24"/>
        </w:rPr>
        <w:t xml:space="preserve"> </w:t>
      </w:r>
      <w:r w:rsidR="00A37208" w:rsidRPr="005927F3">
        <w:rPr>
          <w:rFonts w:cstheme="minorHAnsi"/>
          <w:sz w:val="24"/>
          <w:szCs w:val="24"/>
        </w:rPr>
        <w:t>Whilst h</w:t>
      </w:r>
      <w:r w:rsidR="003921FA" w:rsidRPr="005927F3">
        <w:rPr>
          <w:rFonts w:cstheme="minorHAnsi"/>
          <w:sz w:val="24"/>
          <w:szCs w:val="24"/>
        </w:rPr>
        <w:t xml:space="preserve">eightened protection </w:t>
      </w:r>
      <w:r w:rsidR="002C1176" w:rsidRPr="005927F3">
        <w:rPr>
          <w:rFonts w:cstheme="minorHAnsi"/>
          <w:sz w:val="24"/>
          <w:szCs w:val="24"/>
        </w:rPr>
        <w:t>is given</w:t>
      </w:r>
      <w:r w:rsidR="00A37208" w:rsidRPr="005927F3">
        <w:rPr>
          <w:rFonts w:cstheme="minorHAnsi"/>
          <w:sz w:val="24"/>
          <w:szCs w:val="24"/>
        </w:rPr>
        <w:t xml:space="preserve"> to </w:t>
      </w:r>
      <w:r w:rsidR="00C77222" w:rsidRPr="005927F3">
        <w:rPr>
          <w:rFonts w:cstheme="minorHAnsi"/>
          <w:sz w:val="24"/>
          <w:szCs w:val="24"/>
        </w:rPr>
        <w:t>‘</w:t>
      </w:r>
      <w:r w:rsidR="00A37208" w:rsidRPr="005927F3">
        <w:rPr>
          <w:rFonts w:cstheme="minorHAnsi"/>
          <w:sz w:val="24"/>
          <w:szCs w:val="24"/>
        </w:rPr>
        <w:t>sensitive personal data</w:t>
      </w:r>
      <w:r w:rsidR="00C77222" w:rsidRPr="005927F3">
        <w:rPr>
          <w:rFonts w:cstheme="minorHAnsi"/>
          <w:sz w:val="24"/>
          <w:szCs w:val="24"/>
        </w:rPr>
        <w:t>’</w:t>
      </w:r>
      <w:r w:rsidR="00465C21" w:rsidRPr="005927F3">
        <w:rPr>
          <w:rStyle w:val="FootnoteReference"/>
          <w:rFonts w:cstheme="minorHAnsi"/>
          <w:sz w:val="24"/>
          <w:szCs w:val="24"/>
        </w:rPr>
        <w:footnoteReference w:id="76"/>
      </w:r>
      <w:r w:rsidR="00465C21" w:rsidRPr="005927F3">
        <w:rPr>
          <w:rFonts w:cstheme="minorHAnsi"/>
          <w:sz w:val="24"/>
          <w:szCs w:val="24"/>
        </w:rPr>
        <w:t xml:space="preserve"> </w:t>
      </w:r>
      <w:r w:rsidR="00A37208" w:rsidRPr="005927F3">
        <w:rPr>
          <w:rFonts w:cstheme="minorHAnsi"/>
          <w:sz w:val="24"/>
          <w:szCs w:val="24"/>
        </w:rPr>
        <w:t xml:space="preserve"> even he</w:t>
      </w:r>
      <w:r w:rsidR="00512825" w:rsidRPr="005927F3">
        <w:rPr>
          <w:rFonts w:cstheme="minorHAnsi"/>
          <w:sz w:val="24"/>
          <w:szCs w:val="24"/>
        </w:rPr>
        <w:t xml:space="preserve">re the information is </w:t>
      </w:r>
      <w:r w:rsidR="00E60DE6" w:rsidRPr="005927F3">
        <w:rPr>
          <w:rFonts w:cstheme="minorHAnsi"/>
          <w:sz w:val="24"/>
          <w:szCs w:val="24"/>
        </w:rPr>
        <w:t>often</w:t>
      </w:r>
      <w:r w:rsidR="00512825" w:rsidRPr="005927F3">
        <w:rPr>
          <w:rFonts w:cstheme="minorHAnsi"/>
          <w:sz w:val="24"/>
          <w:szCs w:val="24"/>
        </w:rPr>
        <w:t xml:space="preserve"> </w:t>
      </w:r>
      <w:r w:rsidR="00512825" w:rsidRPr="005927F3">
        <w:rPr>
          <w:rFonts w:cstheme="minorHAnsi"/>
          <w:i/>
          <w:sz w:val="24"/>
          <w:szCs w:val="24"/>
        </w:rPr>
        <w:t>not</w:t>
      </w:r>
      <w:r w:rsidR="00CF5474" w:rsidRPr="005927F3">
        <w:rPr>
          <w:rFonts w:cstheme="minorHAnsi"/>
          <w:i/>
          <w:sz w:val="24"/>
          <w:szCs w:val="24"/>
        </w:rPr>
        <w:t xml:space="preserve"> </w:t>
      </w:r>
      <w:r w:rsidR="00490B2B" w:rsidRPr="005927F3">
        <w:rPr>
          <w:rFonts w:cstheme="minorHAnsi"/>
          <w:sz w:val="24"/>
          <w:szCs w:val="24"/>
        </w:rPr>
        <w:t>confidential</w:t>
      </w:r>
      <w:r w:rsidR="00E60DE6" w:rsidRPr="005927F3">
        <w:rPr>
          <w:rFonts w:cstheme="minorHAnsi"/>
          <w:sz w:val="24"/>
          <w:szCs w:val="24"/>
        </w:rPr>
        <w:t xml:space="preserve"> or intimate at all: </w:t>
      </w:r>
      <w:r w:rsidR="00490B2B" w:rsidRPr="005927F3">
        <w:rPr>
          <w:rFonts w:cstheme="minorHAnsi"/>
          <w:sz w:val="24"/>
          <w:szCs w:val="24"/>
        </w:rPr>
        <w:t xml:space="preserve"> </w:t>
      </w:r>
    </w:p>
    <w:p w14:paraId="41992CBE" w14:textId="77777777" w:rsidR="0061465A" w:rsidRPr="005927F3" w:rsidRDefault="0061465A" w:rsidP="008B308D">
      <w:pPr>
        <w:spacing w:after="0" w:line="240" w:lineRule="auto"/>
        <w:jc w:val="both"/>
        <w:rPr>
          <w:rFonts w:cstheme="minorHAnsi"/>
          <w:sz w:val="24"/>
          <w:szCs w:val="24"/>
        </w:rPr>
      </w:pPr>
    </w:p>
    <w:p w14:paraId="2C564652" w14:textId="742EC592" w:rsidR="00490B2B" w:rsidRPr="005927F3" w:rsidRDefault="00490B2B" w:rsidP="008B308D">
      <w:pPr>
        <w:spacing w:after="0" w:line="240" w:lineRule="auto"/>
        <w:ind w:left="720"/>
        <w:jc w:val="both"/>
        <w:rPr>
          <w:rFonts w:cstheme="minorHAnsi"/>
          <w:sz w:val="24"/>
          <w:szCs w:val="24"/>
        </w:rPr>
      </w:pPr>
      <w:r w:rsidRPr="005927F3">
        <w:rPr>
          <w:rStyle w:val="markedcontent"/>
          <w:rFonts w:cstheme="minorHAnsi"/>
          <w:sz w:val="24"/>
          <w:szCs w:val="24"/>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r w:rsidR="0084653F" w:rsidRPr="005927F3">
        <w:rPr>
          <w:rStyle w:val="markedcontent"/>
          <w:rFonts w:cstheme="minorHAnsi"/>
          <w:sz w:val="24"/>
          <w:szCs w:val="24"/>
        </w:rPr>
        <w:t>.</w:t>
      </w:r>
      <w:r w:rsidRPr="005927F3">
        <w:rPr>
          <w:rStyle w:val="markedcontent"/>
          <w:rFonts w:cstheme="minorHAnsi"/>
          <w:sz w:val="24"/>
          <w:szCs w:val="24"/>
        </w:rPr>
        <w:t>’</w:t>
      </w:r>
      <w:r w:rsidRPr="005927F3">
        <w:rPr>
          <w:rStyle w:val="FootnoteReference"/>
          <w:rFonts w:cstheme="minorHAnsi"/>
          <w:sz w:val="24"/>
          <w:szCs w:val="24"/>
        </w:rPr>
        <w:footnoteReference w:id="77"/>
      </w:r>
    </w:p>
    <w:p w14:paraId="04D494B4" w14:textId="77777777" w:rsidR="008B308D" w:rsidRPr="005927F3" w:rsidRDefault="008B308D" w:rsidP="008B308D">
      <w:pPr>
        <w:spacing w:after="0" w:line="240" w:lineRule="auto"/>
        <w:jc w:val="both"/>
        <w:rPr>
          <w:rFonts w:cstheme="minorHAnsi"/>
          <w:sz w:val="24"/>
          <w:szCs w:val="24"/>
        </w:rPr>
      </w:pPr>
    </w:p>
    <w:p w14:paraId="340FB7B3" w14:textId="205D35E0" w:rsidR="00CE479E" w:rsidRPr="005927F3" w:rsidRDefault="00512825" w:rsidP="008B308D">
      <w:pPr>
        <w:spacing w:after="0" w:line="240" w:lineRule="auto"/>
        <w:jc w:val="both"/>
        <w:rPr>
          <w:rFonts w:cstheme="minorHAnsi"/>
          <w:sz w:val="24"/>
          <w:szCs w:val="24"/>
        </w:rPr>
      </w:pPr>
      <w:r w:rsidRPr="005927F3">
        <w:rPr>
          <w:rFonts w:cstheme="minorHAnsi"/>
          <w:sz w:val="24"/>
          <w:szCs w:val="24"/>
        </w:rPr>
        <w:t>P</w:t>
      </w:r>
      <w:r w:rsidR="0051061A" w:rsidRPr="005927F3">
        <w:rPr>
          <w:rFonts w:cstheme="minorHAnsi"/>
          <w:sz w:val="24"/>
          <w:szCs w:val="24"/>
        </w:rPr>
        <w:t>ersonal information about</w:t>
      </w:r>
      <w:r w:rsidR="00490B2B" w:rsidRPr="005927F3">
        <w:rPr>
          <w:rFonts w:cstheme="minorHAnsi"/>
          <w:sz w:val="24"/>
          <w:szCs w:val="24"/>
        </w:rPr>
        <w:t xml:space="preserve"> ethnic origin, political opinions or religious be</w:t>
      </w:r>
      <w:r w:rsidR="00F6474C" w:rsidRPr="005927F3">
        <w:rPr>
          <w:rFonts w:cstheme="minorHAnsi"/>
          <w:sz w:val="24"/>
          <w:szCs w:val="24"/>
        </w:rPr>
        <w:t>li</w:t>
      </w:r>
      <w:r w:rsidR="00503934" w:rsidRPr="005927F3">
        <w:rPr>
          <w:rFonts w:cstheme="minorHAnsi"/>
          <w:sz w:val="24"/>
          <w:szCs w:val="24"/>
        </w:rPr>
        <w:t xml:space="preserve">efs </w:t>
      </w:r>
      <w:r w:rsidR="001154F0" w:rsidRPr="005927F3">
        <w:rPr>
          <w:rFonts w:cstheme="minorHAnsi"/>
          <w:sz w:val="24"/>
          <w:szCs w:val="24"/>
        </w:rPr>
        <w:t>is generally</w:t>
      </w:r>
      <w:r w:rsidR="002123CD" w:rsidRPr="005927F3">
        <w:rPr>
          <w:rFonts w:cstheme="minorHAnsi"/>
          <w:sz w:val="24"/>
          <w:szCs w:val="24"/>
        </w:rPr>
        <w:t xml:space="preserve"> </w:t>
      </w:r>
      <w:r w:rsidR="00CF5474" w:rsidRPr="005927F3">
        <w:rPr>
          <w:rFonts w:cstheme="minorHAnsi"/>
          <w:sz w:val="24"/>
          <w:szCs w:val="24"/>
        </w:rPr>
        <w:t xml:space="preserve">public, </w:t>
      </w:r>
      <w:r w:rsidR="003C0B78" w:rsidRPr="005927F3">
        <w:rPr>
          <w:rFonts w:cstheme="minorHAnsi"/>
          <w:sz w:val="24"/>
          <w:szCs w:val="24"/>
        </w:rPr>
        <w:t xml:space="preserve">and classifying it as ‘sensitive’ </w:t>
      </w:r>
      <w:r w:rsidR="00A46CD9" w:rsidRPr="005927F3">
        <w:rPr>
          <w:rFonts w:cstheme="minorHAnsi"/>
          <w:sz w:val="24"/>
          <w:szCs w:val="24"/>
        </w:rPr>
        <w:t xml:space="preserve">resonates </w:t>
      </w:r>
      <w:r w:rsidR="00324A07" w:rsidRPr="005927F3">
        <w:rPr>
          <w:rFonts w:cstheme="minorHAnsi"/>
          <w:sz w:val="24"/>
          <w:szCs w:val="24"/>
        </w:rPr>
        <w:t xml:space="preserve">with the Continental </w:t>
      </w:r>
      <w:r w:rsidR="001C1CC5" w:rsidRPr="005927F3">
        <w:rPr>
          <w:rFonts w:cstheme="minorHAnsi"/>
          <w:sz w:val="24"/>
          <w:szCs w:val="24"/>
        </w:rPr>
        <w:t xml:space="preserve">European </w:t>
      </w:r>
      <w:r w:rsidR="005D4BFF" w:rsidRPr="005927F3">
        <w:rPr>
          <w:rFonts w:cstheme="minorHAnsi"/>
          <w:sz w:val="24"/>
          <w:szCs w:val="24"/>
        </w:rPr>
        <w:t>notion</w:t>
      </w:r>
      <w:r w:rsidR="00324A07" w:rsidRPr="005927F3">
        <w:rPr>
          <w:rFonts w:cstheme="minorHAnsi"/>
          <w:sz w:val="24"/>
          <w:szCs w:val="24"/>
        </w:rPr>
        <w:t xml:space="preserve"> of </w:t>
      </w:r>
      <w:r w:rsidR="00490B2B" w:rsidRPr="005927F3">
        <w:rPr>
          <w:rFonts w:cstheme="minorHAnsi"/>
          <w:sz w:val="24"/>
          <w:szCs w:val="24"/>
        </w:rPr>
        <w:t>levelling up of dignity</w:t>
      </w:r>
      <w:r w:rsidR="00A46CD9" w:rsidRPr="005927F3">
        <w:rPr>
          <w:rFonts w:cstheme="minorHAnsi"/>
          <w:sz w:val="24"/>
          <w:szCs w:val="24"/>
        </w:rPr>
        <w:t xml:space="preserve"> in public</w:t>
      </w:r>
      <w:r w:rsidR="0051061A" w:rsidRPr="005927F3">
        <w:rPr>
          <w:rFonts w:cstheme="minorHAnsi"/>
          <w:sz w:val="24"/>
          <w:szCs w:val="24"/>
        </w:rPr>
        <w:t>.</w:t>
      </w:r>
      <w:r w:rsidRPr="005927F3">
        <w:rPr>
          <w:rFonts w:cstheme="minorHAnsi"/>
          <w:sz w:val="24"/>
          <w:szCs w:val="24"/>
        </w:rPr>
        <w:t xml:space="preserve"> </w:t>
      </w:r>
      <w:r w:rsidR="00F6474C" w:rsidRPr="005927F3">
        <w:rPr>
          <w:rFonts w:cstheme="minorHAnsi"/>
          <w:sz w:val="24"/>
          <w:szCs w:val="24"/>
        </w:rPr>
        <w:t>That some of</w:t>
      </w:r>
      <w:r w:rsidR="00331632" w:rsidRPr="005927F3">
        <w:rPr>
          <w:rFonts w:cstheme="minorHAnsi"/>
          <w:sz w:val="24"/>
          <w:szCs w:val="24"/>
        </w:rPr>
        <w:t xml:space="preserve"> the </w:t>
      </w:r>
      <w:r w:rsidR="00F6474C" w:rsidRPr="005927F3">
        <w:rPr>
          <w:rFonts w:cstheme="minorHAnsi"/>
          <w:sz w:val="24"/>
          <w:szCs w:val="24"/>
        </w:rPr>
        <w:t>sensitive data grounds</w:t>
      </w:r>
      <w:r w:rsidR="00A46CD9" w:rsidRPr="005927F3">
        <w:rPr>
          <w:rFonts w:cstheme="minorHAnsi"/>
          <w:sz w:val="24"/>
          <w:szCs w:val="24"/>
        </w:rPr>
        <w:t xml:space="preserve"> are</w:t>
      </w:r>
      <w:r w:rsidRPr="005927F3">
        <w:rPr>
          <w:rFonts w:cstheme="minorHAnsi"/>
          <w:sz w:val="24"/>
          <w:szCs w:val="24"/>
        </w:rPr>
        <w:t xml:space="preserve"> </w:t>
      </w:r>
      <w:r w:rsidR="00C77222" w:rsidRPr="005927F3">
        <w:rPr>
          <w:rFonts w:cstheme="minorHAnsi"/>
          <w:sz w:val="24"/>
          <w:szCs w:val="24"/>
        </w:rPr>
        <w:t xml:space="preserve">also </w:t>
      </w:r>
      <w:r w:rsidRPr="005927F3">
        <w:rPr>
          <w:rFonts w:cstheme="minorHAnsi"/>
          <w:sz w:val="24"/>
          <w:szCs w:val="24"/>
        </w:rPr>
        <w:t>prominent categori</w:t>
      </w:r>
      <w:r w:rsidR="00331632" w:rsidRPr="005927F3">
        <w:rPr>
          <w:rFonts w:cstheme="minorHAnsi"/>
          <w:sz w:val="24"/>
          <w:szCs w:val="24"/>
        </w:rPr>
        <w:t>es in anti-discrimination law</w:t>
      </w:r>
      <w:r w:rsidR="00F6474C" w:rsidRPr="005927F3">
        <w:rPr>
          <w:rFonts w:cstheme="minorHAnsi"/>
          <w:sz w:val="24"/>
          <w:szCs w:val="24"/>
        </w:rPr>
        <w:t xml:space="preserve"> does not so</w:t>
      </w:r>
      <w:r w:rsidR="00CF5474" w:rsidRPr="005927F3">
        <w:rPr>
          <w:rFonts w:cstheme="minorHAnsi"/>
          <w:sz w:val="24"/>
          <w:szCs w:val="24"/>
        </w:rPr>
        <w:t xml:space="preserve"> much show that data protection law protect</w:t>
      </w:r>
      <w:r w:rsidR="002123CD" w:rsidRPr="005927F3">
        <w:rPr>
          <w:rFonts w:cstheme="minorHAnsi"/>
          <w:sz w:val="24"/>
          <w:szCs w:val="24"/>
        </w:rPr>
        <w:t>s</w:t>
      </w:r>
      <w:r w:rsidR="00CF5474" w:rsidRPr="005927F3">
        <w:rPr>
          <w:rFonts w:cstheme="minorHAnsi"/>
          <w:sz w:val="24"/>
          <w:szCs w:val="24"/>
        </w:rPr>
        <w:t xml:space="preserve"> privacy </w:t>
      </w:r>
      <w:r w:rsidR="00CF5474" w:rsidRPr="005927F3">
        <w:rPr>
          <w:rFonts w:cstheme="minorHAnsi"/>
          <w:i/>
          <w:sz w:val="24"/>
          <w:szCs w:val="24"/>
        </w:rPr>
        <w:t>and</w:t>
      </w:r>
      <w:r w:rsidR="00CF5474" w:rsidRPr="005927F3">
        <w:rPr>
          <w:rFonts w:cstheme="minorHAnsi"/>
          <w:sz w:val="24"/>
          <w:szCs w:val="24"/>
        </w:rPr>
        <w:t xml:space="preserve"> equality</w:t>
      </w:r>
      <w:r w:rsidR="00C77222" w:rsidRPr="005927F3">
        <w:rPr>
          <w:rFonts w:cstheme="minorHAnsi"/>
          <w:sz w:val="24"/>
          <w:szCs w:val="24"/>
        </w:rPr>
        <w:t>, but rather that</w:t>
      </w:r>
      <w:r w:rsidR="009D3B01" w:rsidRPr="005927F3">
        <w:rPr>
          <w:rFonts w:cstheme="minorHAnsi"/>
          <w:sz w:val="24"/>
          <w:szCs w:val="24"/>
        </w:rPr>
        <w:t xml:space="preserve"> the strong egalitarian overtones of</w:t>
      </w:r>
      <w:r w:rsidR="00F6474C" w:rsidRPr="005927F3">
        <w:rPr>
          <w:rFonts w:cstheme="minorHAnsi"/>
          <w:sz w:val="24"/>
          <w:szCs w:val="24"/>
        </w:rPr>
        <w:t xml:space="preserve"> </w:t>
      </w:r>
      <w:r w:rsidR="00331632" w:rsidRPr="005927F3">
        <w:rPr>
          <w:rFonts w:cstheme="minorHAnsi"/>
          <w:sz w:val="24"/>
          <w:szCs w:val="24"/>
        </w:rPr>
        <w:t>privacy</w:t>
      </w:r>
      <w:r w:rsidR="0061465A" w:rsidRPr="005927F3">
        <w:rPr>
          <w:rFonts w:cstheme="minorHAnsi"/>
          <w:sz w:val="24"/>
          <w:szCs w:val="24"/>
        </w:rPr>
        <w:t xml:space="preserve"> </w:t>
      </w:r>
      <w:r w:rsidR="005D4BFF" w:rsidRPr="005927F3">
        <w:rPr>
          <w:rFonts w:cstheme="minorHAnsi"/>
          <w:sz w:val="24"/>
          <w:szCs w:val="24"/>
        </w:rPr>
        <w:t xml:space="preserve">in public </w:t>
      </w:r>
      <w:r w:rsidR="0061465A" w:rsidRPr="005927F3">
        <w:rPr>
          <w:rFonts w:cstheme="minorHAnsi"/>
          <w:sz w:val="24"/>
          <w:szCs w:val="24"/>
        </w:rPr>
        <w:t>as</w:t>
      </w:r>
      <w:r w:rsidR="009D3B01" w:rsidRPr="005927F3">
        <w:rPr>
          <w:rFonts w:cstheme="minorHAnsi"/>
          <w:sz w:val="24"/>
          <w:szCs w:val="24"/>
        </w:rPr>
        <w:t xml:space="preserve"> reflected</w:t>
      </w:r>
      <w:r w:rsidR="0061465A" w:rsidRPr="005927F3">
        <w:rPr>
          <w:rFonts w:cstheme="minorHAnsi"/>
          <w:sz w:val="24"/>
          <w:szCs w:val="24"/>
        </w:rPr>
        <w:t xml:space="preserve"> in data protection law</w:t>
      </w:r>
      <w:r w:rsidR="009D3B01" w:rsidRPr="005927F3">
        <w:rPr>
          <w:rFonts w:cstheme="minorHAnsi"/>
          <w:sz w:val="24"/>
          <w:szCs w:val="24"/>
        </w:rPr>
        <w:t>.</w:t>
      </w:r>
      <w:r w:rsidR="003D5E06" w:rsidRPr="005927F3">
        <w:rPr>
          <w:rStyle w:val="FootnoteReference"/>
          <w:rFonts w:cstheme="minorHAnsi"/>
          <w:sz w:val="24"/>
          <w:szCs w:val="24"/>
        </w:rPr>
        <w:footnoteReference w:id="78"/>
      </w:r>
      <w:r w:rsidR="00F6474C" w:rsidRPr="005927F3">
        <w:rPr>
          <w:rFonts w:cstheme="minorHAnsi"/>
          <w:sz w:val="24"/>
          <w:szCs w:val="24"/>
        </w:rPr>
        <w:t xml:space="preserve"> Privacy gives</w:t>
      </w:r>
      <w:r w:rsidRPr="005927F3">
        <w:rPr>
          <w:rFonts w:cstheme="minorHAnsi"/>
          <w:sz w:val="24"/>
          <w:szCs w:val="24"/>
        </w:rPr>
        <w:t xml:space="preserve"> individual</w:t>
      </w:r>
      <w:r w:rsidR="00F6474C" w:rsidRPr="005927F3">
        <w:rPr>
          <w:rFonts w:cstheme="minorHAnsi"/>
          <w:sz w:val="24"/>
          <w:szCs w:val="24"/>
        </w:rPr>
        <w:t>s</w:t>
      </w:r>
      <w:r w:rsidR="00770317" w:rsidRPr="005927F3">
        <w:rPr>
          <w:rFonts w:cstheme="minorHAnsi"/>
          <w:sz w:val="24"/>
          <w:szCs w:val="24"/>
        </w:rPr>
        <w:t xml:space="preserve"> the power to shield themselves f</w:t>
      </w:r>
      <w:r w:rsidRPr="005927F3">
        <w:rPr>
          <w:rFonts w:cstheme="minorHAnsi"/>
          <w:sz w:val="24"/>
          <w:szCs w:val="24"/>
        </w:rPr>
        <w:t xml:space="preserve">rom public </w:t>
      </w:r>
      <w:r w:rsidR="00770317" w:rsidRPr="005927F3">
        <w:rPr>
          <w:rFonts w:cstheme="minorHAnsi"/>
          <w:sz w:val="24"/>
          <w:szCs w:val="24"/>
        </w:rPr>
        <w:t>indignities</w:t>
      </w:r>
      <w:r w:rsidR="00324A07" w:rsidRPr="005927F3">
        <w:rPr>
          <w:rFonts w:cstheme="minorHAnsi"/>
          <w:sz w:val="24"/>
          <w:szCs w:val="24"/>
        </w:rPr>
        <w:t xml:space="preserve"> </w:t>
      </w:r>
      <w:r w:rsidR="004F12B9" w:rsidRPr="005927F3">
        <w:rPr>
          <w:rFonts w:cstheme="minorHAnsi"/>
          <w:sz w:val="24"/>
          <w:szCs w:val="24"/>
        </w:rPr>
        <w:t>with generally</w:t>
      </w:r>
      <w:r w:rsidR="00324A07" w:rsidRPr="005927F3">
        <w:rPr>
          <w:rFonts w:cstheme="minorHAnsi"/>
          <w:sz w:val="24"/>
          <w:szCs w:val="24"/>
        </w:rPr>
        <w:t xml:space="preserve"> more pronounced effects on minorities</w:t>
      </w:r>
      <w:r w:rsidR="002C1176" w:rsidRPr="005927F3">
        <w:rPr>
          <w:rFonts w:cstheme="minorHAnsi"/>
          <w:sz w:val="24"/>
          <w:szCs w:val="24"/>
        </w:rPr>
        <w:t>.</w:t>
      </w:r>
      <w:r w:rsidR="00770317" w:rsidRPr="005927F3">
        <w:rPr>
          <w:rFonts w:cstheme="minorHAnsi"/>
          <w:sz w:val="24"/>
          <w:szCs w:val="24"/>
        </w:rPr>
        <w:t xml:space="preserve"> </w:t>
      </w:r>
      <w:r w:rsidR="00055C7B" w:rsidRPr="005927F3">
        <w:rPr>
          <w:rFonts w:cstheme="minorHAnsi"/>
          <w:sz w:val="24"/>
          <w:szCs w:val="24"/>
        </w:rPr>
        <w:t>The exposure of name</w:t>
      </w:r>
      <w:r w:rsidR="008B308D" w:rsidRPr="005927F3">
        <w:rPr>
          <w:rFonts w:cstheme="minorHAnsi"/>
          <w:sz w:val="24"/>
          <w:szCs w:val="24"/>
        </w:rPr>
        <w:t xml:space="preserve">, </w:t>
      </w:r>
      <w:r w:rsidR="00366FF0" w:rsidRPr="005927F3">
        <w:rPr>
          <w:rFonts w:cstheme="minorHAnsi"/>
          <w:sz w:val="24"/>
          <w:szCs w:val="24"/>
        </w:rPr>
        <w:t xml:space="preserve">image </w:t>
      </w:r>
      <w:r w:rsidR="008B308D" w:rsidRPr="005927F3">
        <w:rPr>
          <w:rFonts w:cstheme="minorHAnsi"/>
          <w:sz w:val="24"/>
          <w:szCs w:val="24"/>
        </w:rPr>
        <w:t xml:space="preserve">or word </w:t>
      </w:r>
      <w:r w:rsidR="00366FF0" w:rsidRPr="005927F3">
        <w:rPr>
          <w:rFonts w:cstheme="minorHAnsi"/>
          <w:sz w:val="24"/>
          <w:szCs w:val="24"/>
        </w:rPr>
        <w:t xml:space="preserve">in public creates the potential for humiliation and </w:t>
      </w:r>
      <w:r w:rsidR="00324A07" w:rsidRPr="005927F3">
        <w:rPr>
          <w:rFonts w:cstheme="minorHAnsi"/>
          <w:sz w:val="24"/>
          <w:szCs w:val="24"/>
        </w:rPr>
        <w:t>so</w:t>
      </w:r>
      <w:r w:rsidR="00366FF0" w:rsidRPr="005927F3">
        <w:rPr>
          <w:rFonts w:cstheme="minorHAnsi"/>
          <w:sz w:val="24"/>
          <w:szCs w:val="24"/>
        </w:rPr>
        <w:t xml:space="preserve"> </w:t>
      </w:r>
      <w:r w:rsidR="00025D5D" w:rsidRPr="005927F3">
        <w:rPr>
          <w:rFonts w:cstheme="minorHAnsi"/>
          <w:sz w:val="24"/>
          <w:szCs w:val="24"/>
        </w:rPr>
        <w:t>c</w:t>
      </w:r>
      <w:r w:rsidR="00F6474C" w:rsidRPr="005927F3">
        <w:rPr>
          <w:rFonts w:cstheme="minorHAnsi"/>
          <w:sz w:val="24"/>
          <w:szCs w:val="24"/>
        </w:rPr>
        <w:t xml:space="preserve">an be </w:t>
      </w:r>
      <w:r w:rsidR="00F6474C" w:rsidRPr="005927F3">
        <w:rPr>
          <w:rFonts w:cstheme="minorHAnsi"/>
          <w:sz w:val="24"/>
          <w:szCs w:val="24"/>
        </w:rPr>
        <w:lastRenderedPageBreak/>
        <w:t>controlled by its ‘owner’</w:t>
      </w:r>
      <w:r w:rsidR="00676699" w:rsidRPr="005927F3">
        <w:rPr>
          <w:rFonts w:cstheme="minorHAnsi"/>
          <w:sz w:val="24"/>
          <w:szCs w:val="24"/>
        </w:rPr>
        <w:t xml:space="preserve"> </w:t>
      </w:r>
      <w:r w:rsidR="005D4BFF" w:rsidRPr="005927F3">
        <w:rPr>
          <w:rFonts w:cstheme="minorHAnsi"/>
          <w:sz w:val="24"/>
          <w:szCs w:val="24"/>
        </w:rPr>
        <w:t>and j</w:t>
      </w:r>
      <w:r w:rsidR="005E093A" w:rsidRPr="005927F3">
        <w:rPr>
          <w:rFonts w:cstheme="minorHAnsi"/>
          <w:sz w:val="24"/>
          <w:szCs w:val="24"/>
        </w:rPr>
        <w:t xml:space="preserve">ust because </w:t>
      </w:r>
      <w:r w:rsidR="00366FF0" w:rsidRPr="005927F3">
        <w:rPr>
          <w:rFonts w:cstheme="minorHAnsi"/>
          <w:sz w:val="24"/>
          <w:szCs w:val="24"/>
        </w:rPr>
        <w:t xml:space="preserve">personal information </w:t>
      </w:r>
      <w:r w:rsidR="005E093A" w:rsidRPr="005927F3">
        <w:rPr>
          <w:rFonts w:cstheme="minorHAnsi"/>
          <w:sz w:val="24"/>
          <w:szCs w:val="24"/>
        </w:rPr>
        <w:t>has legitimately entered the public realm for one purpose does not mean it is a free for all</w:t>
      </w:r>
      <w:r w:rsidR="008B17C0" w:rsidRPr="005927F3">
        <w:rPr>
          <w:rFonts w:cstheme="minorHAnsi"/>
          <w:sz w:val="24"/>
          <w:szCs w:val="24"/>
        </w:rPr>
        <w:t xml:space="preserve"> </w:t>
      </w:r>
      <w:r w:rsidR="008E1F13" w:rsidRPr="005927F3">
        <w:rPr>
          <w:rFonts w:cstheme="minorHAnsi"/>
          <w:sz w:val="24"/>
          <w:szCs w:val="24"/>
        </w:rPr>
        <w:t>forever.</w:t>
      </w:r>
      <w:r w:rsidR="005E093A" w:rsidRPr="005927F3">
        <w:rPr>
          <w:rStyle w:val="FootnoteReference"/>
          <w:rFonts w:cstheme="minorHAnsi"/>
          <w:sz w:val="24"/>
          <w:szCs w:val="24"/>
        </w:rPr>
        <w:footnoteReference w:id="79"/>
      </w:r>
      <w:r w:rsidR="005E093A" w:rsidRPr="005927F3">
        <w:rPr>
          <w:rFonts w:cstheme="minorHAnsi"/>
          <w:sz w:val="24"/>
          <w:szCs w:val="24"/>
        </w:rPr>
        <w:t xml:space="preserve"> </w:t>
      </w:r>
    </w:p>
    <w:p w14:paraId="209F3B72" w14:textId="17B843CE" w:rsidR="001862D0" w:rsidRPr="005927F3" w:rsidRDefault="001862D0" w:rsidP="008B308D">
      <w:pPr>
        <w:spacing w:after="0" w:line="240" w:lineRule="auto"/>
        <w:jc w:val="both"/>
        <w:rPr>
          <w:rFonts w:cstheme="minorHAnsi"/>
          <w:sz w:val="24"/>
          <w:szCs w:val="24"/>
        </w:rPr>
      </w:pPr>
    </w:p>
    <w:p w14:paraId="5E3498CF" w14:textId="41AA959C" w:rsidR="00316C36" w:rsidRPr="005927F3" w:rsidRDefault="00316C36" w:rsidP="00F93E0E">
      <w:pPr>
        <w:pStyle w:val="Heading2"/>
      </w:pPr>
      <w:bookmarkStart w:id="14" w:name="_Toc116306480"/>
      <w:r w:rsidRPr="005927F3">
        <w:t xml:space="preserve">3.1.          </w:t>
      </w:r>
      <w:r w:rsidR="00D0790C" w:rsidRPr="005927F3">
        <w:t>T</w:t>
      </w:r>
      <w:r w:rsidR="001862D0" w:rsidRPr="005927F3">
        <w:t>he CJEU</w:t>
      </w:r>
      <w:r w:rsidR="00413BF2" w:rsidRPr="005927F3">
        <w:t xml:space="preserve"> on t</w:t>
      </w:r>
      <w:r w:rsidR="001862D0" w:rsidRPr="005927F3">
        <w:t xml:space="preserve">he right to be forgotten </w:t>
      </w:r>
      <w:r w:rsidR="00413BF2" w:rsidRPr="005927F3">
        <w:t>within the GDPR</w:t>
      </w:r>
      <w:bookmarkEnd w:id="14"/>
    </w:p>
    <w:p w14:paraId="2BA21562" w14:textId="77777777" w:rsidR="00E60919" w:rsidRPr="005927F3" w:rsidRDefault="00E60919" w:rsidP="008B308D">
      <w:pPr>
        <w:spacing w:after="0" w:line="240" w:lineRule="auto"/>
        <w:jc w:val="both"/>
      </w:pPr>
    </w:p>
    <w:p w14:paraId="1B05B410" w14:textId="3BBBD9DC" w:rsidR="004A52C3" w:rsidRPr="005927F3" w:rsidRDefault="007158E1" w:rsidP="008B308D">
      <w:pPr>
        <w:spacing w:after="0" w:line="240" w:lineRule="auto"/>
        <w:jc w:val="both"/>
        <w:rPr>
          <w:rFonts w:cstheme="minorHAnsi"/>
          <w:sz w:val="24"/>
          <w:szCs w:val="24"/>
        </w:rPr>
      </w:pPr>
      <w:r w:rsidRPr="005927F3">
        <w:rPr>
          <w:rFonts w:cstheme="minorHAnsi"/>
          <w:sz w:val="24"/>
          <w:szCs w:val="24"/>
        </w:rPr>
        <w:t xml:space="preserve">An archetypal </w:t>
      </w:r>
      <w:r w:rsidR="005D4BFF" w:rsidRPr="005927F3">
        <w:rPr>
          <w:rFonts w:cstheme="minorHAnsi"/>
          <w:sz w:val="24"/>
          <w:szCs w:val="24"/>
        </w:rPr>
        <w:t>data protection right that</w:t>
      </w:r>
      <w:r w:rsidR="00FA426F" w:rsidRPr="005927F3">
        <w:rPr>
          <w:rFonts w:cstheme="minorHAnsi"/>
          <w:sz w:val="24"/>
          <w:szCs w:val="24"/>
        </w:rPr>
        <w:t xml:space="preserve"> </w:t>
      </w:r>
      <w:r w:rsidR="00197DAD" w:rsidRPr="005927F3">
        <w:rPr>
          <w:rFonts w:cstheme="minorHAnsi"/>
          <w:sz w:val="24"/>
          <w:szCs w:val="24"/>
        </w:rPr>
        <w:t xml:space="preserve">showcases </w:t>
      </w:r>
      <w:r w:rsidR="00970EA6" w:rsidRPr="005927F3">
        <w:rPr>
          <w:rFonts w:cstheme="minorHAnsi"/>
          <w:sz w:val="24"/>
          <w:szCs w:val="24"/>
        </w:rPr>
        <w:t>its</w:t>
      </w:r>
      <w:r w:rsidR="00FA426F" w:rsidRPr="005927F3">
        <w:rPr>
          <w:rFonts w:cstheme="minorHAnsi"/>
          <w:sz w:val="24"/>
          <w:szCs w:val="24"/>
        </w:rPr>
        <w:t xml:space="preserve"> </w:t>
      </w:r>
      <w:r w:rsidR="00F94DAD" w:rsidRPr="005927F3">
        <w:rPr>
          <w:rFonts w:cstheme="minorHAnsi"/>
          <w:sz w:val="24"/>
          <w:szCs w:val="24"/>
        </w:rPr>
        <w:t>privacy-in-public</w:t>
      </w:r>
      <w:r w:rsidR="00145607" w:rsidRPr="005927F3">
        <w:rPr>
          <w:rFonts w:cstheme="minorHAnsi"/>
          <w:sz w:val="24"/>
          <w:szCs w:val="24"/>
        </w:rPr>
        <w:t xml:space="preserve"> </w:t>
      </w:r>
      <w:r w:rsidR="00970EA6" w:rsidRPr="005927F3">
        <w:rPr>
          <w:rFonts w:cstheme="minorHAnsi"/>
          <w:sz w:val="24"/>
          <w:szCs w:val="24"/>
        </w:rPr>
        <w:t>functionality</w:t>
      </w:r>
      <w:r w:rsidR="0098547B" w:rsidRPr="005927F3">
        <w:rPr>
          <w:rFonts w:cstheme="minorHAnsi"/>
          <w:sz w:val="24"/>
          <w:szCs w:val="24"/>
        </w:rPr>
        <w:t xml:space="preserve"> </w:t>
      </w:r>
      <w:r w:rsidR="005D4BFF" w:rsidRPr="005927F3">
        <w:rPr>
          <w:rFonts w:cstheme="minorHAnsi"/>
          <w:sz w:val="24"/>
          <w:szCs w:val="24"/>
        </w:rPr>
        <w:t>is t</w:t>
      </w:r>
      <w:r w:rsidR="00C904A4" w:rsidRPr="005927F3">
        <w:rPr>
          <w:rFonts w:cstheme="minorHAnsi"/>
          <w:sz w:val="24"/>
          <w:szCs w:val="24"/>
        </w:rPr>
        <w:t>he</w:t>
      </w:r>
      <w:r w:rsidR="0022095C" w:rsidRPr="005927F3">
        <w:rPr>
          <w:rFonts w:cstheme="minorHAnsi"/>
          <w:sz w:val="24"/>
          <w:szCs w:val="24"/>
        </w:rPr>
        <w:t xml:space="preserve"> </w:t>
      </w:r>
      <w:r w:rsidR="008E1F13" w:rsidRPr="005927F3">
        <w:rPr>
          <w:rFonts w:cstheme="minorHAnsi"/>
          <w:sz w:val="24"/>
          <w:szCs w:val="24"/>
        </w:rPr>
        <w:t>right to be forgotten</w:t>
      </w:r>
      <w:r w:rsidR="00344044" w:rsidRPr="005927F3">
        <w:rPr>
          <w:rFonts w:cstheme="minorHAnsi"/>
          <w:sz w:val="24"/>
          <w:szCs w:val="24"/>
        </w:rPr>
        <w:t xml:space="preserve">. </w:t>
      </w:r>
      <w:r w:rsidR="00FA426F" w:rsidRPr="005927F3">
        <w:rPr>
          <w:rFonts w:cstheme="minorHAnsi"/>
          <w:sz w:val="24"/>
          <w:szCs w:val="24"/>
        </w:rPr>
        <w:t>It i</w:t>
      </w:r>
      <w:r w:rsidR="0022095C" w:rsidRPr="005927F3">
        <w:rPr>
          <w:rFonts w:cstheme="minorHAnsi"/>
          <w:sz w:val="24"/>
          <w:szCs w:val="24"/>
        </w:rPr>
        <w:t>s</w:t>
      </w:r>
      <w:r w:rsidR="00FA426F" w:rsidRPr="005927F3">
        <w:rPr>
          <w:rFonts w:cstheme="minorHAnsi"/>
          <w:sz w:val="24"/>
          <w:szCs w:val="24"/>
        </w:rPr>
        <w:t xml:space="preserve"> </w:t>
      </w:r>
      <w:r w:rsidR="00CF669F" w:rsidRPr="005927F3">
        <w:rPr>
          <w:rFonts w:cstheme="minorHAnsi"/>
          <w:sz w:val="24"/>
          <w:szCs w:val="24"/>
        </w:rPr>
        <w:t xml:space="preserve">deeply </w:t>
      </w:r>
      <w:r w:rsidR="00FA426F" w:rsidRPr="005927F3">
        <w:rPr>
          <w:rFonts w:cstheme="minorHAnsi"/>
          <w:sz w:val="24"/>
          <w:szCs w:val="24"/>
        </w:rPr>
        <w:t xml:space="preserve">inscribed with </w:t>
      </w:r>
      <w:r w:rsidR="00CF669F" w:rsidRPr="005927F3">
        <w:rPr>
          <w:rFonts w:cstheme="minorHAnsi"/>
          <w:sz w:val="24"/>
          <w:szCs w:val="24"/>
        </w:rPr>
        <w:t xml:space="preserve">the </w:t>
      </w:r>
      <w:r w:rsidR="00FA426F" w:rsidRPr="005927F3">
        <w:rPr>
          <w:rFonts w:cstheme="minorHAnsi"/>
          <w:sz w:val="24"/>
          <w:szCs w:val="24"/>
        </w:rPr>
        <w:t xml:space="preserve">Continental European privacy </w:t>
      </w:r>
      <w:r w:rsidRPr="005927F3">
        <w:rPr>
          <w:rFonts w:cstheme="minorHAnsi"/>
          <w:sz w:val="24"/>
          <w:szCs w:val="24"/>
        </w:rPr>
        <w:t xml:space="preserve">culture </w:t>
      </w:r>
      <w:r w:rsidR="00145607" w:rsidRPr="005927F3">
        <w:rPr>
          <w:rFonts w:cstheme="minorHAnsi"/>
          <w:sz w:val="24"/>
          <w:szCs w:val="24"/>
        </w:rPr>
        <w:t>in so far as</w:t>
      </w:r>
      <w:r w:rsidR="0090283F" w:rsidRPr="005927F3">
        <w:rPr>
          <w:rFonts w:cstheme="minorHAnsi"/>
          <w:sz w:val="24"/>
          <w:szCs w:val="24"/>
        </w:rPr>
        <w:t xml:space="preserve"> </w:t>
      </w:r>
      <w:r w:rsidR="00344044" w:rsidRPr="005927F3">
        <w:rPr>
          <w:rFonts w:cstheme="minorHAnsi"/>
          <w:sz w:val="24"/>
          <w:szCs w:val="24"/>
        </w:rPr>
        <w:t xml:space="preserve">it allows individuals to withdraw </w:t>
      </w:r>
      <w:r w:rsidR="0090283F" w:rsidRPr="005927F3">
        <w:rPr>
          <w:rFonts w:cstheme="minorHAnsi"/>
          <w:sz w:val="24"/>
          <w:szCs w:val="24"/>
        </w:rPr>
        <w:t xml:space="preserve">certain </w:t>
      </w:r>
      <w:r w:rsidR="00344044" w:rsidRPr="005927F3">
        <w:rPr>
          <w:rFonts w:cstheme="minorHAnsi"/>
          <w:sz w:val="24"/>
          <w:szCs w:val="24"/>
        </w:rPr>
        <w:t xml:space="preserve">personal data </w:t>
      </w:r>
      <w:r w:rsidR="0090283F" w:rsidRPr="005927F3">
        <w:rPr>
          <w:rFonts w:cstheme="minorHAnsi"/>
          <w:sz w:val="24"/>
          <w:szCs w:val="24"/>
        </w:rPr>
        <w:t xml:space="preserve">already </w:t>
      </w:r>
      <w:r w:rsidR="00344044" w:rsidRPr="005927F3">
        <w:rPr>
          <w:rFonts w:cstheme="minorHAnsi"/>
          <w:sz w:val="24"/>
          <w:szCs w:val="24"/>
        </w:rPr>
        <w:t>in the public domain</w:t>
      </w:r>
      <w:r w:rsidR="0090283F" w:rsidRPr="005927F3">
        <w:rPr>
          <w:rFonts w:cstheme="minorHAnsi"/>
          <w:sz w:val="24"/>
          <w:szCs w:val="24"/>
        </w:rPr>
        <w:t xml:space="preserve"> </w:t>
      </w:r>
      <w:r w:rsidR="00344044" w:rsidRPr="005927F3">
        <w:rPr>
          <w:rFonts w:cstheme="minorHAnsi"/>
          <w:sz w:val="24"/>
          <w:szCs w:val="24"/>
        </w:rPr>
        <w:t>and th</w:t>
      </w:r>
      <w:r w:rsidR="00145607" w:rsidRPr="005927F3">
        <w:rPr>
          <w:rFonts w:cstheme="minorHAnsi"/>
          <w:sz w:val="24"/>
          <w:szCs w:val="24"/>
        </w:rPr>
        <w:t>us</w:t>
      </w:r>
      <w:r w:rsidR="00344044" w:rsidRPr="005927F3">
        <w:rPr>
          <w:rFonts w:cstheme="minorHAnsi"/>
          <w:sz w:val="24"/>
          <w:szCs w:val="24"/>
        </w:rPr>
        <w:t xml:space="preserve"> to manage their public image</w:t>
      </w:r>
      <w:r w:rsidR="00FA426F" w:rsidRPr="005927F3">
        <w:rPr>
          <w:rFonts w:cstheme="minorHAnsi"/>
          <w:sz w:val="24"/>
          <w:szCs w:val="24"/>
        </w:rPr>
        <w:t xml:space="preserve">. </w:t>
      </w:r>
      <w:r w:rsidR="000C45A8" w:rsidRPr="005927F3">
        <w:rPr>
          <w:rFonts w:cstheme="minorHAnsi"/>
          <w:sz w:val="24"/>
          <w:szCs w:val="24"/>
        </w:rPr>
        <w:t>It</w:t>
      </w:r>
      <w:r w:rsidR="00D56295" w:rsidRPr="005927F3">
        <w:rPr>
          <w:rFonts w:cstheme="minorHAnsi"/>
          <w:sz w:val="24"/>
          <w:szCs w:val="24"/>
        </w:rPr>
        <w:t xml:space="preserve"> also </w:t>
      </w:r>
      <w:r w:rsidR="00CC2DC1" w:rsidRPr="005927F3">
        <w:rPr>
          <w:rFonts w:cstheme="minorHAnsi"/>
          <w:sz w:val="24"/>
          <w:szCs w:val="24"/>
        </w:rPr>
        <w:t>expresses</w:t>
      </w:r>
      <w:r w:rsidR="008B08B7" w:rsidRPr="005927F3">
        <w:rPr>
          <w:rFonts w:cstheme="minorHAnsi"/>
          <w:sz w:val="24"/>
          <w:szCs w:val="24"/>
        </w:rPr>
        <w:t xml:space="preserve"> the </w:t>
      </w:r>
      <w:r w:rsidR="008B08B7" w:rsidRPr="005927F3">
        <w:rPr>
          <w:rFonts w:cstheme="minorHAnsi"/>
          <w:i/>
          <w:iCs/>
          <w:sz w:val="24"/>
          <w:szCs w:val="24"/>
        </w:rPr>
        <w:t>Z</w:t>
      </w:r>
      <w:r w:rsidR="00D56295" w:rsidRPr="005927F3">
        <w:rPr>
          <w:rFonts w:cstheme="minorHAnsi"/>
          <w:i/>
          <w:iCs/>
          <w:sz w:val="24"/>
          <w:szCs w:val="24"/>
        </w:rPr>
        <w:t>eitgeist</w:t>
      </w:r>
      <w:r w:rsidR="00D56295" w:rsidRPr="005927F3">
        <w:rPr>
          <w:rFonts w:cstheme="minorHAnsi"/>
          <w:sz w:val="24"/>
          <w:szCs w:val="24"/>
        </w:rPr>
        <w:t xml:space="preserve"> </w:t>
      </w:r>
      <w:r w:rsidR="00CC2DC1" w:rsidRPr="005927F3">
        <w:rPr>
          <w:rFonts w:cstheme="minorHAnsi"/>
          <w:sz w:val="24"/>
          <w:szCs w:val="24"/>
        </w:rPr>
        <w:t xml:space="preserve">of </w:t>
      </w:r>
      <w:r w:rsidR="008B08B7" w:rsidRPr="005927F3">
        <w:rPr>
          <w:rFonts w:cstheme="minorHAnsi"/>
          <w:sz w:val="24"/>
          <w:szCs w:val="24"/>
        </w:rPr>
        <w:t xml:space="preserve">that tradition </w:t>
      </w:r>
      <w:r w:rsidR="005A6D2E" w:rsidRPr="005927F3">
        <w:rPr>
          <w:rFonts w:cstheme="minorHAnsi"/>
          <w:sz w:val="24"/>
          <w:szCs w:val="24"/>
        </w:rPr>
        <w:t xml:space="preserve">by </w:t>
      </w:r>
      <w:r w:rsidR="008B08B7" w:rsidRPr="005927F3">
        <w:rPr>
          <w:rFonts w:cstheme="minorHAnsi"/>
          <w:sz w:val="24"/>
          <w:szCs w:val="24"/>
        </w:rPr>
        <w:t>responding to a</w:t>
      </w:r>
      <w:r w:rsidR="005A6D2E" w:rsidRPr="005927F3">
        <w:rPr>
          <w:rFonts w:cstheme="minorHAnsi"/>
          <w:sz w:val="24"/>
          <w:szCs w:val="24"/>
        </w:rPr>
        <w:t xml:space="preserve"> </w:t>
      </w:r>
      <w:r w:rsidR="00CC2DC1" w:rsidRPr="005927F3">
        <w:rPr>
          <w:rFonts w:cstheme="minorHAnsi"/>
          <w:sz w:val="24"/>
          <w:szCs w:val="24"/>
        </w:rPr>
        <w:t xml:space="preserve">socio-technical </w:t>
      </w:r>
      <w:r w:rsidR="00D56295" w:rsidRPr="005927F3">
        <w:rPr>
          <w:rFonts w:cstheme="minorHAnsi"/>
          <w:sz w:val="24"/>
          <w:szCs w:val="24"/>
        </w:rPr>
        <w:t>environment that amplifies the</w:t>
      </w:r>
      <w:r w:rsidR="00BE0EA0" w:rsidRPr="005927F3">
        <w:rPr>
          <w:rFonts w:cstheme="minorHAnsi"/>
          <w:sz w:val="24"/>
          <w:szCs w:val="24"/>
        </w:rPr>
        <w:t xml:space="preserve"> public</w:t>
      </w:r>
      <w:r w:rsidR="001B5932" w:rsidRPr="005927F3">
        <w:rPr>
          <w:rFonts w:cstheme="minorHAnsi"/>
          <w:sz w:val="24"/>
          <w:szCs w:val="24"/>
        </w:rPr>
        <w:t xml:space="preserve"> visibility</w:t>
      </w:r>
      <w:r w:rsidR="001B5932" w:rsidRPr="005927F3">
        <w:rPr>
          <w:rFonts w:cstheme="minorHAnsi"/>
          <w:i/>
          <w:sz w:val="24"/>
          <w:szCs w:val="24"/>
        </w:rPr>
        <w:t xml:space="preserve"> </w:t>
      </w:r>
      <w:r w:rsidR="001B5932" w:rsidRPr="005927F3">
        <w:rPr>
          <w:rFonts w:cstheme="minorHAnsi"/>
          <w:sz w:val="24"/>
          <w:szCs w:val="24"/>
        </w:rPr>
        <w:t xml:space="preserve">of personal </w:t>
      </w:r>
      <w:r w:rsidR="008A7A01" w:rsidRPr="005927F3">
        <w:rPr>
          <w:rFonts w:cstheme="minorHAnsi"/>
          <w:sz w:val="24"/>
          <w:szCs w:val="24"/>
        </w:rPr>
        <w:t>information</w:t>
      </w:r>
      <w:r w:rsidR="00784F07" w:rsidRPr="005927F3">
        <w:rPr>
          <w:rFonts w:cstheme="minorHAnsi"/>
          <w:sz w:val="24"/>
          <w:szCs w:val="24"/>
        </w:rPr>
        <w:t>, and</w:t>
      </w:r>
      <w:r w:rsidR="004F12B9" w:rsidRPr="005927F3">
        <w:rPr>
          <w:rFonts w:cstheme="minorHAnsi"/>
          <w:sz w:val="24"/>
          <w:szCs w:val="24"/>
        </w:rPr>
        <w:t xml:space="preserve"> so</w:t>
      </w:r>
      <w:r w:rsidR="00FA426F" w:rsidRPr="005927F3">
        <w:rPr>
          <w:rFonts w:cstheme="minorHAnsi"/>
          <w:sz w:val="24"/>
          <w:szCs w:val="24"/>
        </w:rPr>
        <w:t xml:space="preserve"> its</w:t>
      </w:r>
      <w:r w:rsidR="003C67A2" w:rsidRPr="005927F3">
        <w:rPr>
          <w:rFonts w:cstheme="minorHAnsi"/>
          <w:sz w:val="24"/>
          <w:szCs w:val="24"/>
        </w:rPr>
        <w:t xml:space="preserve"> </w:t>
      </w:r>
      <w:r w:rsidR="00187489" w:rsidRPr="005927F3">
        <w:rPr>
          <w:rFonts w:cstheme="minorHAnsi"/>
          <w:sz w:val="24"/>
          <w:szCs w:val="24"/>
        </w:rPr>
        <w:t>harm potential</w:t>
      </w:r>
      <w:r w:rsidR="00767A58" w:rsidRPr="005927F3">
        <w:rPr>
          <w:rFonts w:cstheme="minorHAnsi"/>
          <w:sz w:val="24"/>
          <w:szCs w:val="24"/>
        </w:rPr>
        <w:t>.</w:t>
      </w:r>
      <w:r w:rsidR="005E6468" w:rsidRPr="005927F3">
        <w:rPr>
          <w:rFonts w:cstheme="minorHAnsi"/>
          <w:sz w:val="24"/>
          <w:szCs w:val="24"/>
        </w:rPr>
        <w:t xml:space="preserve"> </w:t>
      </w:r>
      <w:r w:rsidR="00025D5D" w:rsidRPr="005927F3">
        <w:rPr>
          <w:rFonts w:cstheme="minorHAnsi"/>
          <w:sz w:val="24"/>
          <w:szCs w:val="24"/>
        </w:rPr>
        <w:t>W</w:t>
      </w:r>
      <w:r w:rsidR="006D6098" w:rsidRPr="005927F3">
        <w:rPr>
          <w:rFonts w:cstheme="minorHAnsi"/>
          <w:sz w:val="24"/>
          <w:szCs w:val="24"/>
        </w:rPr>
        <w:t xml:space="preserve">hen the right was first </w:t>
      </w:r>
      <w:r w:rsidR="00295CA7" w:rsidRPr="005927F3">
        <w:rPr>
          <w:rFonts w:cstheme="minorHAnsi"/>
          <w:sz w:val="24"/>
          <w:szCs w:val="24"/>
        </w:rPr>
        <w:t xml:space="preserve">recognised </w:t>
      </w:r>
      <w:r w:rsidR="006D6098" w:rsidRPr="005927F3">
        <w:rPr>
          <w:rFonts w:cstheme="minorHAnsi"/>
          <w:sz w:val="24"/>
          <w:szCs w:val="24"/>
        </w:rPr>
        <w:t xml:space="preserve">in </w:t>
      </w:r>
      <w:r w:rsidR="000A2F65" w:rsidRPr="005927F3">
        <w:rPr>
          <w:rFonts w:cstheme="minorHAnsi"/>
          <w:i/>
          <w:sz w:val="24"/>
          <w:szCs w:val="24"/>
        </w:rPr>
        <w:t>Google Spain</w:t>
      </w:r>
      <w:r w:rsidR="004A52C3" w:rsidRPr="005927F3">
        <w:rPr>
          <w:rFonts w:cstheme="minorHAnsi"/>
          <w:sz w:val="24"/>
          <w:szCs w:val="24"/>
        </w:rPr>
        <w:t xml:space="preserve"> (2014)</w:t>
      </w:r>
      <w:r w:rsidR="000A2F65" w:rsidRPr="005927F3">
        <w:rPr>
          <w:rStyle w:val="FootnoteReference"/>
          <w:rFonts w:cstheme="minorHAnsi"/>
          <w:sz w:val="24"/>
          <w:szCs w:val="24"/>
        </w:rPr>
        <w:footnoteReference w:id="80"/>
      </w:r>
      <w:r w:rsidR="00D362EA" w:rsidRPr="005927F3">
        <w:rPr>
          <w:rFonts w:cstheme="minorHAnsi"/>
          <w:sz w:val="24"/>
          <w:szCs w:val="24"/>
        </w:rPr>
        <w:t>,</w:t>
      </w:r>
      <w:r w:rsidR="000A2F65" w:rsidRPr="005927F3">
        <w:rPr>
          <w:rFonts w:cstheme="minorHAnsi"/>
          <w:sz w:val="24"/>
          <w:szCs w:val="24"/>
        </w:rPr>
        <w:t xml:space="preserve"> the </w:t>
      </w:r>
      <w:r w:rsidR="004A52C3" w:rsidRPr="005927F3">
        <w:rPr>
          <w:rFonts w:cstheme="minorHAnsi"/>
          <w:sz w:val="24"/>
          <w:szCs w:val="24"/>
        </w:rPr>
        <w:t>CJEU</w:t>
      </w:r>
      <w:r w:rsidR="000A2F65" w:rsidRPr="005927F3">
        <w:rPr>
          <w:rFonts w:cstheme="minorHAnsi"/>
          <w:sz w:val="24"/>
          <w:szCs w:val="24"/>
        </w:rPr>
        <w:t xml:space="preserve"> </w:t>
      </w:r>
      <w:r w:rsidR="005D4BFF" w:rsidRPr="005927F3">
        <w:rPr>
          <w:rFonts w:cstheme="minorHAnsi"/>
          <w:sz w:val="24"/>
          <w:szCs w:val="24"/>
        </w:rPr>
        <w:t xml:space="preserve">‘found’ </w:t>
      </w:r>
      <w:r w:rsidR="00344044" w:rsidRPr="005927F3">
        <w:rPr>
          <w:rFonts w:cstheme="minorHAnsi"/>
          <w:sz w:val="24"/>
          <w:szCs w:val="24"/>
        </w:rPr>
        <w:t>it</w:t>
      </w:r>
      <w:r w:rsidR="005D4BFF" w:rsidRPr="005927F3">
        <w:rPr>
          <w:rFonts w:cstheme="minorHAnsi"/>
          <w:sz w:val="24"/>
          <w:szCs w:val="24"/>
        </w:rPr>
        <w:t xml:space="preserve"> by</w:t>
      </w:r>
      <w:r w:rsidR="000A2F65" w:rsidRPr="005927F3">
        <w:rPr>
          <w:rFonts w:cstheme="minorHAnsi"/>
          <w:sz w:val="24"/>
          <w:szCs w:val="24"/>
        </w:rPr>
        <w:t xml:space="preserve"> interpreting</w:t>
      </w:r>
      <w:r w:rsidR="004F1BA3" w:rsidRPr="005927F3">
        <w:rPr>
          <w:rFonts w:cstheme="minorHAnsi"/>
          <w:sz w:val="24"/>
          <w:szCs w:val="24"/>
        </w:rPr>
        <w:t xml:space="preserve"> </w:t>
      </w:r>
      <w:r w:rsidR="000A2F65" w:rsidRPr="005927F3">
        <w:rPr>
          <w:rFonts w:cstheme="minorHAnsi"/>
          <w:sz w:val="24"/>
          <w:szCs w:val="24"/>
        </w:rPr>
        <w:t>the right to object to</w:t>
      </w:r>
      <w:r w:rsidR="00295CA7" w:rsidRPr="005927F3">
        <w:rPr>
          <w:rFonts w:cstheme="minorHAnsi"/>
          <w:sz w:val="24"/>
          <w:szCs w:val="24"/>
        </w:rPr>
        <w:t xml:space="preserve"> the processing of personal</w:t>
      </w:r>
      <w:r w:rsidR="000A2F65" w:rsidRPr="005927F3">
        <w:rPr>
          <w:rFonts w:cstheme="minorHAnsi"/>
          <w:sz w:val="24"/>
          <w:szCs w:val="24"/>
        </w:rPr>
        <w:t xml:space="preserve"> data</w:t>
      </w:r>
      <w:r w:rsidR="004F1BA3" w:rsidRPr="005927F3">
        <w:rPr>
          <w:rFonts w:cstheme="minorHAnsi"/>
          <w:sz w:val="24"/>
          <w:szCs w:val="24"/>
        </w:rPr>
        <w:t xml:space="preserve"> in conjunction with </w:t>
      </w:r>
      <w:r w:rsidR="000A2F65" w:rsidRPr="005927F3">
        <w:rPr>
          <w:rFonts w:cstheme="minorHAnsi"/>
          <w:sz w:val="24"/>
          <w:szCs w:val="24"/>
        </w:rPr>
        <w:t xml:space="preserve">the right to rectification, erasure or blocking of </w:t>
      </w:r>
      <w:r w:rsidR="00295CA7" w:rsidRPr="005927F3">
        <w:rPr>
          <w:rFonts w:cstheme="minorHAnsi"/>
          <w:sz w:val="24"/>
          <w:szCs w:val="24"/>
        </w:rPr>
        <w:t xml:space="preserve">such </w:t>
      </w:r>
      <w:r w:rsidR="000A2F65" w:rsidRPr="005927F3">
        <w:rPr>
          <w:rFonts w:cstheme="minorHAnsi"/>
          <w:sz w:val="24"/>
          <w:szCs w:val="24"/>
        </w:rPr>
        <w:t>data</w:t>
      </w:r>
      <w:r w:rsidR="005D4BFF" w:rsidRPr="005927F3">
        <w:rPr>
          <w:rFonts w:cstheme="minorHAnsi"/>
          <w:sz w:val="24"/>
          <w:szCs w:val="24"/>
        </w:rPr>
        <w:t xml:space="preserve"> under the Data Protection Directive</w:t>
      </w:r>
      <w:r w:rsidR="000A2F65" w:rsidRPr="005927F3">
        <w:rPr>
          <w:rFonts w:cstheme="minorHAnsi"/>
          <w:sz w:val="24"/>
          <w:szCs w:val="24"/>
        </w:rPr>
        <w:t>.</w:t>
      </w:r>
      <w:r w:rsidR="000A2F65" w:rsidRPr="005927F3">
        <w:rPr>
          <w:rStyle w:val="FootnoteReference"/>
          <w:rFonts w:cstheme="minorHAnsi"/>
          <w:sz w:val="24"/>
          <w:szCs w:val="24"/>
        </w:rPr>
        <w:footnoteReference w:id="81"/>
      </w:r>
      <w:r w:rsidR="000A2F65" w:rsidRPr="005927F3">
        <w:rPr>
          <w:rFonts w:cstheme="minorHAnsi"/>
          <w:sz w:val="24"/>
          <w:szCs w:val="24"/>
        </w:rPr>
        <w:t xml:space="preserve"> </w:t>
      </w:r>
      <w:r w:rsidR="00025D5D" w:rsidRPr="005927F3">
        <w:rPr>
          <w:rFonts w:cstheme="minorHAnsi"/>
          <w:sz w:val="24"/>
          <w:szCs w:val="24"/>
        </w:rPr>
        <w:t>Now it is</w:t>
      </w:r>
      <w:r w:rsidR="00784F07" w:rsidRPr="005927F3">
        <w:rPr>
          <w:rFonts w:cstheme="minorHAnsi"/>
          <w:sz w:val="24"/>
          <w:szCs w:val="24"/>
        </w:rPr>
        <w:t xml:space="preserve"> </w:t>
      </w:r>
      <w:r w:rsidR="004A52C3" w:rsidRPr="005927F3">
        <w:rPr>
          <w:rFonts w:cstheme="minorHAnsi"/>
          <w:sz w:val="24"/>
          <w:szCs w:val="24"/>
        </w:rPr>
        <w:t xml:space="preserve">a </w:t>
      </w:r>
      <w:r w:rsidR="00FD1747" w:rsidRPr="005927F3">
        <w:rPr>
          <w:rFonts w:cstheme="minorHAnsi"/>
          <w:sz w:val="24"/>
          <w:szCs w:val="24"/>
        </w:rPr>
        <w:t>f</w:t>
      </w:r>
      <w:r w:rsidR="00767A58" w:rsidRPr="005927F3">
        <w:rPr>
          <w:rFonts w:cstheme="minorHAnsi"/>
          <w:sz w:val="24"/>
          <w:szCs w:val="24"/>
        </w:rPr>
        <w:t>ull</w:t>
      </w:r>
      <w:r w:rsidR="00526BFE" w:rsidRPr="005927F3">
        <w:rPr>
          <w:rFonts w:cstheme="minorHAnsi"/>
          <w:sz w:val="24"/>
          <w:szCs w:val="24"/>
        </w:rPr>
        <w:t>y</w:t>
      </w:r>
      <w:r w:rsidR="00767A58" w:rsidRPr="005927F3">
        <w:rPr>
          <w:rFonts w:cstheme="minorHAnsi"/>
          <w:sz w:val="24"/>
          <w:szCs w:val="24"/>
        </w:rPr>
        <w:t>-fledged</w:t>
      </w:r>
      <w:r w:rsidR="004A52C3" w:rsidRPr="005927F3">
        <w:rPr>
          <w:rFonts w:cstheme="minorHAnsi"/>
          <w:sz w:val="24"/>
          <w:szCs w:val="24"/>
        </w:rPr>
        <w:t xml:space="preserve"> right</w:t>
      </w:r>
      <w:r w:rsidR="008B08B7" w:rsidRPr="005927F3">
        <w:rPr>
          <w:rFonts w:cstheme="minorHAnsi"/>
          <w:sz w:val="24"/>
          <w:szCs w:val="24"/>
        </w:rPr>
        <w:t xml:space="preserve"> in Art 17 of the GDPR</w:t>
      </w:r>
      <w:r w:rsidR="004A52C3" w:rsidRPr="005927F3">
        <w:rPr>
          <w:rFonts w:cstheme="minorHAnsi"/>
          <w:sz w:val="24"/>
          <w:szCs w:val="24"/>
        </w:rPr>
        <w:t>.</w:t>
      </w:r>
      <w:r w:rsidR="008B08B7" w:rsidRPr="005927F3">
        <w:rPr>
          <w:rFonts w:cstheme="minorHAnsi"/>
          <w:sz w:val="24"/>
          <w:szCs w:val="24"/>
        </w:rPr>
        <w:t xml:space="preserve"> In</w:t>
      </w:r>
      <w:r w:rsidR="00490F13" w:rsidRPr="005927F3">
        <w:rPr>
          <w:rFonts w:cstheme="minorHAnsi"/>
          <w:sz w:val="24"/>
          <w:szCs w:val="24"/>
        </w:rPr>
        <w:t xml:space="preserve"> </w:t>
      </w:r>
      <w:r w:rsidR="00490F13" w:rsidRPr="005927F3">
        <w:rPr>
          <w:rFonts w:cstheme="minorHAnsi"/>
          <w:i/>
          <w:sz w:val="24"/>
          <w:szCs w:val="24"/>
        </w:rPr>
        <w:t xml:space="preserve">Google Spain </w:t>
      </w:r>
      <w:r w:rsidR="00295CA7" w:rsidRPr="005927F3">
        <w:rPr>
          <w:rFonts w:cstheme="minorHAnsi"/>
          <w:sz w:val="24"/>
          <w:szCs w:val="24"/>
        </w:rPr>
        <w:t xml:space="preserve">the information about Mr </w:t>
      </w:r>
      <w:r w:rsidR="00163284" w:rsidRPr="005927F3">
        <w:rPr>
          <w:rFonts w:cstheme="minorHAnsi"/>
          <w:bCs/>
          <w:sz w:val="24"/>
          <w:szCs w:val="24"/>
        </w:rPr>
        <w:t>González</w:t>
      </w:r>
      <w:r w:rsidR="00163284" w:rsidRPr="005927F3">
        <w:rPr>
          <w:rFonts w:cstheme="minorHAnsi"/>
          <w:sz w:val="24"/>
          <w:szCs w:val="24"/>
        </w:rPr>
        <w:t>’</w:t>
      </w:r>
      <w:r w:rsidR="00295CA7" w:rsidRPr="005927F3">
        <w:rPr>
          <w:rFonts w:cstheme="minorHAnsi"/>
          <w:sz w:val="24"/>
          <w:szCs w:val="24"/>
        </w:rPr>
        <w:t xml:space="preserve"> bankruptcy</w:t>
      </w:r>
      <w:r w:rsidR="00025D5D" w:rsidRPr="005927F3">
        <w:rPr>
          <w:rFonts w:cstheme="minorHAnsi"/>
          <w:sz w:val="24"/>
          <w:szCs w:val="24"/>
        </w:rPr>
        <w:t xml:space="preserve"> and repossession</w:t>
      </w:r>
      <w:r w:rsidR="00295CA7" w:rsidRPr="005927F3">
        <w:rPr>
          <w:rFonts w:cstheme="minorHAnsi"/>
          <w:sz w:val="24"/>
          <w:szCs w:val="24"/>
        </w:rPr>
        <w:t xml:space="preserve"> proceedings</w:t>
      </w:r>
      <w:r w:rsidR="004F1BA3" w:rsidRPr="005927F3">
        <w:rPr>
          <w:rFonts w:cstheme="minorHAnsi"/>
          <w:sz w:val="24"/>
          <w:szCs w:val="24"/>
        </w:rPr>
        <w:t xml:space="preserve"> a decade earlier</w:t>
      </w:r>
      <w:r w:rsidR="004756B5" w:rsidRPr="005927F3">
        <w:rPr>
          <w:rFonts w:cstheme="minorHAnsi"/>
          <w:sz w:val="24"/>
          <w:szCs w:val="24"/>
        </w:rPr>
        <w:t xml:space="preserve"> </w:t>
      </w:r>
      <w:r w:rsidR="00324A07" w:rsidRPr="005927F3">
        <w:rPr>
          <w:rFonts w:cstheme="minorHAnsi"/>
          <w:sz w:val="24"/>
          <w:szCs w:val="24"/>
        </w:rPr>
        <w:t xml:space="preserve">which could be found on Google’s search results, </w:t>
      </w:r>
      <w:r w:rsidR="004756B5" w:rsidRPr="005927F3">
        <w:rPr>
          <w:rFonts w:cstheme="minorHAnsi"/>
          <w:sz w:val="24"/>
          <w:szCs w:val="24"/>
        </w:rPr>
        <w:t>had already been</w:t>
      </w:r>
      <w:r w:rsidR="00D414C5" w:rsidRPr="005927F3">
        <w:rPr>
          <w:rFonts w:cstheme="minorHAnsi"/>
          <w:sz w:val="24"/>
          <w:szCs w:val="24"/>
        </w:rPr>
        <w:t xml:space="preserve"> </w:t>
      </w:r>
      <w:r w:rsidR="00295CA7" w:rsidRPr="005927F3">
        <w:rPr>
          <w:rFonts w:cstheme="minorHAnsi"/>
          <w:sz w:val="24"/>
          <w:szCs w:val="24"/>
        </w:rPr>
        <w:t xml:space="preserve">public </w:t>
      </w:r>
      <w:r w:rsidR="004F1BA3" w:rsidRPr="005927F3">
        <w:rPr>
          <w:rFonts w:cstheme="minorHAnsi"/>
          <w:sz w:val="24"/>
          <w:szCs w:val="24"/>
        </w:rPr>
        <w:t>through the Spanish</w:t>
      </w:r>
      <w:r w:rsidR="00295CA7" w:rsidRPr="005927F3">
        <w:rPr>
          <w:rFonts w:cstheme="minorHAnsi"/>
          <w:sz w:val="24"/>
          <w:szCs w:val="24"/>
        </w:rPr>
        <w:t xml:space="preserve"> newspaper’s</w:t>
      </w:r>
      <w:r w:rsidR="00251F9B" w:rsidRPr="005927F3">
        <w:rPr>
          <w:rFonts w:cstheme="minorHAnsi"/>
          <w:sz w:val="24"/>
          <w:szCs w:val="24"/>
        </w:rPr>
        <w:t xml:space="preserve"> publicly accessible</w:t>
      </w:r>
      <w:r w:rsidR="004756B5" w:rsidRPr="005927F3">
        <w:rPr>
          <w:rFonts w:cstheme="minorHAnsi"/>
          <w:sz w:val="24"/>
          <w:szCs w:val="24"/>
        </w:rPr>
        <w:t xml:space="preserve"> </w:t>
      </w:r>
      <w:r w:rsidR="004F1BA3" w:rsidRPr="005927F3">
        <w:rPr>
          <w:rFonts w:cstheme="minorHAnsi"/>
          <w:sz w:val="24"/>
          <w:szCs w:val="24"/>
        </w:rPr>
        <w:t xml:space="preserve">archive. Yet, </w:t>
      </w:r>
      <w:r w:rsidR="00163284" w:rsidRPr="005927F3">
        <w:rPr>
          <w:rFonts w:cstheme="minorHAnsi"/>
          <w:sz w:val="24"/>
          <w:szCs w:val="24"/>
        </w:rPr>
        <w:t>the</w:t>
      </w:r>
      <w:r w:rsidR="00295CA7" w:rsidRPr="005927F3">
        <w:rPr>
          <w:rFonts w:cstheme="minorHAnsi"/>
          <w:sz w:val="24"/>
          <w:szCs w:val="24"/>
        </w:rPr>
        <w:t xml:space="preserve"> visibility </w:t>
      </w:r>
      <w:r w:rsidR="00251F9B" w:rsidRPr="005927F3">
        <w:rPr>
          <w:rFonts w:cstheme="minorHAnsi"/>
          <w:sz w:val="24"/>
          <w:szCs w:val="24"/>
        </w:rPr>
        <w:t xml:space="preserve">of that </w:t>
      </w:r>
      <w:r w:rsidR="00490F13" w:rsidRPr="005927F3">
        <w:rPr>
          <w:rFonts w:cstheme="minorHAnsi"/>
          <w:sz w:val="24"/>
          <w:szCs w:val="24"/>
        </w:rPr>
        <w:t xml:space="preserve">archive – whether </w:t>
      </w:r>
      <w:r w:rsidR="00767A58" w:rsidRPr="005927F3">
        <w:rPr>
          <w:rFonts w:cstheme="minorHAnsi"/>
          <w:sz w:val="24"/>
          <w:szCs w:val="24"/>
        </w:rPr>
        <w:t xml:space="preserve">on </w:t>
      </w:r>
      <w:r w:rsidR="00490F13" w:rsidRPr="005927F3">
        <w:rPr>
          <w:rFonts w:cstheme="minorHAnsi"/>
          <w:sz w:val="24"/>
          <w:szCs w:val="24"/>
        </w:rPr>
        <w:t xml:space="preserve">paper or digitised </w:t>
      </w:r>
      <w:r w:rsidR="00D362EA" w:rsidRPr="005927F3">
        <w:rPr>
          <w:rFonts w:cstheme="minorHAnsi"/>
          <w:sz w:val="24"/>
          <w:szCs w:val="24"/>
        </w:rPr>
        <w:t>–</w:t>
      </w:r>
      <w:r w:rsidR="00490F13" w:rsidRPr="005927F3">
        <w:rPr>
          <w:rFonts w:cstheme="minorHAnsi"/>
          <w:sz w:val="24"/>
          <w:szCs w:val="24"/>
        </w:rPr>
        <w:t xml:space="preserve"> </w:t>
      </w:r>
      <w:r w:rsidR="00295CA7" w:rsidRPr="005927F3">
        <w:rPr>
          <w:rFonts w:cstheme="minorHAnsi"/>
          <w:sz w:val="24"/>
          <w:szCs w:val="24"/>
        </w:rPr>
        <w:t>was significantly</w:t>
      </w:r>
      <w:r w:rsidR="00503934" w:rsidRPr="005927F3">
        <w:rPr>
          <w:rFonts w:cstheme="minorHAnsi"/>
          <w:sz w:val="24"/>
          <w:szCs w:val="24"/>
        </w:rPr>
        <w:t xml:space="preserve"> prolonged and</w:t>
      </w:r>
      <w:r w:rsidR="00295CA7" w:rsidRPr="005927F3">
        <w:rPr>
          <w:rFonts w:cstheme="minorHAnsi"/>
          <w:sz w:val="24"/>
          <w:szCs w:val="24"/>
        </w:rPr>
        <w:t xml:space="preserve"> </w:t>
      </w:r>
      <w:r w:rsidR="00767A58" w:rsidRPr="005927F3">
        <w:rPr>
          <w:rFonts w:cstheme="minorHAnsi"/>
          <w:sz w:val="24"/>
          <w:szCs w:val="24"/>
        </w:rPr>
        <w:t xml:space="preserve">increased </w:t>
      </w:r>
      <w:r w:rsidR="004F1BA3" w:rsidRPr="005927F3">
        <w:rPr>
          <w:rFonts w:cstheme="minorHAnsi"/>
          <w:sz w:val="24"/>
          <w:szCs w:val="24"/>
        </w:rPr>
        <w:t xml:space="preserve">through the search engine: ‘it is undisputed that that activity of search engines plays a decisive role in the overall dissemination of those data in that it renders the latter accessible to any internet user making a search </w:t>
      </w:r>
      <w:proofErr w:type="gramStart"/>
      <w:r w:rsidR="004F1BA3" w:rsidRPr="005927F3">
        <w:rPr>
          <w:rFonts w:cstheme="minorHAnsi"/>
          <w:sz w:val="24"/>
          <w:szCs w:val="24"/>
        </w:rPr>
        <w:t>on the basis of</w:t>
      </w:r>
      <w:proofErr w:type="gramEnd"/>
      <w:r w:rsidR="004F1BA3" w:rsidRPr="005927F3">
        <w:rPr>
          <w:rFonts w:cstheme="minorHAnsi"/>
          <w:sz w:val="24"/>
          <w:szCs w:val="24"/>
        </w:rPr>
        <w:t xml:space="preserve"> the data subject’s name...’</w:t>
      </w:r>
      <w:r w:rsidR="004F1BA3" w:rsidRPr="005927F3">
        <w:rPr>
          <w:rStyle w:val="FootnoteReference"/>
          <w:rFonts w:cstheme="minorHAnsi"/>
          <w:sz w:val="24"/>
          <w:szCs w:val="24"/>
        </w:rPr>
        <w:footnoteReference w:id="82"/>
      </w:r>
      <w:r w:rsidR="004F1BA3" w:rsidRPr="005927F3">
        <w:rPr>
          <w:rFonts w:cstheme="minorHAnsi"/>
          <w:sz w:val="24"/>
          <w:szCs w:val="24"/>
        </w:rPr>
        <w:t xml:space="preserve"> </w:t>
      </w:r>
      <w:r w:rsidR="004756B5" w:rsidRPr="005927F3">
        <w:rPr>
          <w:rFonts w:cstheme="minorHAnsi"/>
          <w:sz w:val="24"/>
          <w:szCs w:val="24"/>
        </w:rPr>
        <w:t xml:space="preserve">The Court </w:t>
      </w:r>
      <w:r w:rsidR="001379D7" w:rsidRPr="005927F3">
        <w:rPr>
          <w:rFonts w:cstheme="minorHAnsi"/>
          <w:sz w:val="24"/>
          <w:szCs w:val="24"/>
        </w:rPr>
        <w:t xml:space="preserve">thus </w:t>
      </w:r>
      <w:r w:rsidR="004756B5" w:rsidRPr="005927F3">
        <w:rPr>
          <w:rFonts w:cstheme="minorHAnsi"/>
          <w:sz w:val="24"/>
          <w:szCs w:val="24"/>
        </w:rPr>
        <w:t>recognised</w:t>
      </w:r>
      <w:r w:rsidR="00490F13" w:rsidRPr="005927F3">
        <w:rPr>
          <w:rFonts w:cstheme="minorHAnsi"/>
          <w:sz w:val="24"/>
          <w:szCs w:val="24"/>
        </w:rPr>
        <w:t xml:space="preserve"> layers of public</w:t>
      </w:r>
      <w:r w:rsidR="004756B5" w:rsidRPr="005927F3">
        <w:rPr>
          <w:rFonts w:cstheme="minorHAnsi"/>
          <w:sz w:val="24"/>
          <w:szCs w:val="24"/>
        </w:rPr>
        <w:t>ness</w:t>
      </w:r>
      <w:r w:rsidR="003C67A2" w:rsidRPr="005927F3">
        <w:rPr>
          <w:rFonts w:cstheme="minorHAnsi"/>
          <w:sz w:val="24"/>
          <w:szCs w:val="24"/>
        </w:rPr>
        <w:t xml:space="preserve"> of personal information.</w:t>
      </w:r>
      <w:r w:rsidR="008B08B7" w:rsidRPr="005927F3">
        <w:rPr>
          <w:rFonts w:cstheme="minorHAnsi"/>
          <w:sz w:val="24"/>
          <w:szCs w:val="24"/>
        </w:rPr>
        <w:t xml:space="preserve"> </w:t>
      </w:r>
      <w:r w:rsidR="003C67A2" w:rsidRPr="005927F3">
        <w:rPr>
          <w:rFonts w:cstheme="minorHAnsi"/>
          <w:sz w:val="24"/>
          <w:szCs w:val="24"/>
        </w:rPr>
        <w:t>T</w:t>
      </w:r>
      <w:r w:rsidR="00163284" w:rsidRPr="005927F3">
        <w:rPr>
          <w:rFonts w:cstheme="minorHAnsi"/>
          <w:sz w:val="24"/>
          <w:szCs w:val="24"/>
        </w:rPr>
        <w:t>h</w:t>
      </w:r>
      <w:r w:rsidR="004756B5" w:rsidRPr="005927F3">
        <w:rPr>
          <w:rFonts w:cstheme="minorHAnsi"/>
          <w:sz w:val="24"/>
          <w:szCs w:val="24"/>
        </w:rPr>
        <w:t xml:space="preserve">e </w:t>
      </w:r>
      <w:r w:rsidR="00767A58" w:rsidRPr="005927F3">
        <w:rPr>
          <w:rFonts w:cstheme="minorHAnsi"/>
          <w:sz w:val="24"/>
          <w:szCs w:val="24"/>
        </w:rPr>
        <w:t>legitimacy</w:t>
      </w:r>
      <w:r w:rsidR="00207D3A" w:rsidRPr="005927F3">
        <w:rPr>
          <w:rFonts w:cstheme="minorHAnsi"/>
          <w:sz w:val="24"/>
          <w:szCs w:val="24"/>
        </w:rPr>
        <w:t xml:space="preserve"> </w:t>
      </w:r>
      <w:r w:rsidR="003C67A2" w:rsidRPr="005927F3">
        <w:rPr>
          <w:rFonts w:cstheme="minorHAnsi"/>
          <w:sz w:val="24"/>
          <w:szCs w:val="24"/>
        </w:rPr>
        <w:t xml:space="preserve">of </w:t>
      </w:r>
      <w:r w:rsidR="00767A58" w:rsidRPr="005927F3">
        <w:rPr>
          <w:rFonts w:cstheme="minorHAnsi"/>
          <w:sz w:val="24"/>
          <w:szCs w:val="24"/>
        </w:rPr>
        <w:t xml:space="preserve">the </w:t>
      </w:r>
      <w:r w:rsidR="004756B5" w:rsidRPr="005927F3">
        <w:rPr>
          <w:rFonts w:cstheme="minorHAnsi"/>
          <w:sz w:val="24"/>
          <w:szCs w:val="24"/>
        </w:rPr>
        <w:t>publication i</w:t>
      </w:r>
      <w:r w:rsidR="0014641B" w:rsidRPr="005927F3">
        <w:rPr>
          <w:rFonts w:cstheme="minorHAnsi"/>
          <w:sz w:val="24"/>
          <w:szCs w:val="24"/>
        </w:rPr>
        <w:t>n the newspaper</w:t>
      </w:r>
      <w:r w:rsidR="004A52C3" w:rsidRPr="005927F3">
        <w:rPr>
          <w:rFonts w:cstheme="minorHAnsi"/>
          <w:sz w:val="24"/>
          <w:szCs w:val="24"/>
        </w:rPr>
        <w:t xml:space="preserve"> and its </w:t>
      </w:r>
      <w:r w:rsidR="00676699" w:rsidRPr="005927F3">
        <w:rPr>
          <w:rFonts w:cstheme="minorHAnsi"/>
          <w:sz w:val="24"/>
          <w:szCs w:val="24"/>
        </w:rPr>
        <w:t xml:space="preserve">online </w:t>
      </w:r>
      <w:r w:rsidR="004A52C3" w:rsidRPr="005927F3">
        <w:rPr>
          <w:rFonts w:cstheme="minorHAnsi"/>
          <w:sz w:val="24"/>
          <w:szCs w:val="24"/>
        </w:rPr>
        <w:t>archive did not prevent a claim in respect of the</w:t>
      </w:r>
      <w:r w:rsidR="0014641B" w:rsidRPr="005927F3">
        <w:rPr>
          <w:rFonts w:cstheme="minorHAnsi"/>
          <w:sz w:val="24"/>
          <w:szCs w:val="24"/>
        </w:rPr>
        <w:t xml:space="preserve"> </w:t>
      </w:r>
      <w:r w:rsidR="00503934" w:rsidRPr="005927F3">
        <w:rPr>
          <w:rFonts w:cstheme="minorHAnsi"/>
          <w:sz w:val="24"/>
          <w:szCs w:val="24"/>
        </w:rPr>
        <w:t xml:space="preserve">enlarged and later </w:t>
      </w:r>
      <w:r w:rsidR="00767A58" w:rsidRPr="005927F3">
        <w:rPr>
          <w:rFonts w:cstheme="minorHAnsi"/>
          <w:sz w:val="24"/>
          <w:szCs w:val="24"/>
        </w:rPr>
        <w:t>audience created</w:t>
      </w:r>
      <w:r w:rsidR="004A52C3" w:rsidRPr="005927F3">
        <w:rPr>
          <w:rFonts w:cstheme="minorHAnsi"/>
          <w:sz w:val="24"/>
          <w:szCs w:val="24"/>
        </w:rPr>
        <w:t xml:space="preserve"> by </w:t>
      </w:r>
      <w:r w:rsidR="004756B5" w:rsidRPr="005927F3">
        <w:rPr>
          <w:rFonts w:cstheme="minorHAnsi"/>
          <w:sz w:val="24"/>
          <w:szCs w:val="24"/>
        </w:rPr>
        <w:t>the search engine</w:t>
      </w:r>
      <w:r w:rsidR="004A52C3" w:rsidRPr="005927F3">
        <w:rPr>
          <w:rFonts w:cstheme="minorHAnsi"/>
          <w:sz w:val="24"/>
          <w:szCs w:val="24"/>
        </w:rPr>
        <w:t>.</w:t>
      </w:r>
      <w:r w:rsidR="00207D3A" w:rsidRPr="005927F3">
        <w:rPr>
          <w:rStyle w:val="FootnoteReference"/>
          <w:rFonts w:cstheme="minorHAnsi"/>
          <w:sz w:val="24"/>
          <w:szCs w:val="24"/>
        </w:rPr>
        <w:footnoteReference w:id="83"/>
      </w:r>
      <w:r w:rsidR="0014641B" w:rsidRPr="005927F3">
        <w:rPr>
          <w:rFonts w:cstheme="minorHAnsi"/>
          <w:sz w:val="24"/>
          <w:szCs w:val="24"/>
        </w:rPr>
        <w:t xml:space="preserve"> </w:t>
      </w:r>
    </w:p>
    <w:p w14:paraId="44D97845" w14:textId="77777777" w:rsidR="008B308D" w:rsidRPr="005927F3" w:rsidRDefault="008B308D" w:rsidP="008B308D">
      <w:pPr>
        <w:autoSpaceDE w:val="0"/>
        <w:autoSpaceDN w:val="0"/>
        <w:adjustRightInd w:val="0"/>
        <w:spacing w:after="0" w:line="240" w:lineRule="auto"/>
        <w:jc w:val="both"/>
        <w:rPr>
          <w:rFonts w:cstheme="minorHAnsi"/>
          <w:sz w:val="24"/>
          <w:szCs w:val="24"/>
        </w:rPr>
      </w:pPr>
    </w:p>
    <w:p w14:paraId="65E7BA38" w14:textId="2EA66FCA" w:rsidR="006128BF" w:rsidRPr="005927F3" w:rsidRDefault="00251F9B" w:rsidP="008B308D">
      <w:pPr>
        <w:autoSpaceDE w:val="0"/>
        <w:autoSpaceDN w:val="0"/>
        <w:adjustRightInd w:val="0"/>
        <w:spacing w:after="0" w:line="240" w:lineRule="auto"/>
        <w:jc w:val="both"/>
        <w:rPr>
          <w:rFonts w:cstheme="minorHAnsi"/>
          <w:sz w:val="24"/>
          <w:szCs w:val="24"/>
        </w:rPr>
      </w:pPr>
      <w:r w:rsidRPr="005927F3">
        <w:rPr>
          <w:rFonts w:cstheme="minorHAnsi"/>
          <w:sz w:val="24"/>
          <w:szCs w:val="24"/>
        </w:rPr>
        <w:t xml:space="preserve">Since </w:t>
      </w:r>
      <w:proofErr w:type="gramStart"/>
      <w:r w:rsidRPr="005927F3">
        <w:rPr>
          <w:rFonts w:cstheme="minorHAnsi"/>
          <w:sz w:val="24"/>
          <w:szCs w:val="24"/>
        </w:rPr>
        <w:t>then</w:t>
      </w:r>
      <w:proofErr w:type="gramEnd"/>
      <w:r w:rsidRPr="005927F3">
        <w:rPr>
          <w:rFonts w:cstheme="minorHAnsi"/>
          <w:sz w:val="24"/>
          <w:szCs w:val="24"/>
        </w:rPr>
        <w:t xml:space="preserve"> Google has had more than</w:t>
      </w:r>
      <w:r w:rsidR="00207D3A" w:rsidRPr="005927F3">
        <w:rPr>
          <w:rFonts w:cstheme="minorHAnsi"/>
          <w:sz w:val="24"/>
          <w:szCs w:val="24"/>
        </w:rPr>
        <w:t xml:space="preserve"> 1.1 million delisting requests.</w:t>
      </w:r>
      <w:r w:rsidRPr="005927F3">
        <w:rPr>
          <w:rStyle w:val="FootnoteReference"/>
          <w:rFonts w:cstheme="minorHAnsi"/>
          <w:sz w:val="24"/>
          <w:szCs w:val="24"/>
        </w:rPr>
        <w:footnoteReference w:id="84"/>
      </w:r>
      <w:r w:rsidR="00B05513" w:rsidRPr="005927F3">
        <w:rPr>
          <w:rFonts w:cstheme="minorHAnsi"/>
          <w:sz w:val="24"/>
          <w:szCs w:val="24"/>
        </w:rPr>
        <w:t xml:space="preserve"> </w:t>
      </w:r>
      <w:r w:rsidR="00312D47" w:rsidRPr="005927F3">
        <w:rPr>
          <w:rFonts w:cstheme="minorHAnsi"/>
          <w:sz w:val="24"/>
          <w:szCs w:val="24"/>
        </w:rPr>
        <w:t>Most</w:t>
      </w:r>
      <w:r w:rsidR="00AB5D95" w:rsidRPr="005927F3">
        <w:rPr>
          <w:rFonts w:cstheme="minorHAnsi"/>
          <w:sz w:val="24"/>
          <w:szCs w:val="24"/>
        </w:rPr>
        <w:t xml:space="preserve"> relate </w:t>
      </w:r>
      <w:r w:rsidR="000930B3" w:rsidRPr="005927F3">
        <w:rPr>
          <w:rFonts w:cstheme="minorHAnsi"/>
          <w:sz w:val="24"/>
          <w:szCs w:val="24"/>
        </w:rPr>
        <w:t xml:space="preserve">to </w:t>
      </w:r>
      <w:r w:rsidR="003D061A" w:rsidRPr="005927F3">
        <w:rPr>
          <w:rFonts w:cstheme="minorHAnsi"/>
          <w:sz w:val="24"/>
          <w:szCs w:val="24"/>
        </w:rPr>
        <w:t xml:space="preserve">private </w:t>
      </w:r>
      <w:r w:rsidR="00AB5D95" w:rsidRPr="005927F3">
        <w:rPr>
          <w:rFonts w:cstheme="minorHAnsi"/>
          <w:sz w:val="24"/>
          <w:szCs w:val="24"/>
        </w:rPr>
        <w:t>individuals</w:t>
      </w:r>
      <w:r w:rsidR="000930B3" w:rsidRPr="005927F3">
        <w:rPr>
          <w:rFonts w:cstheme="minorHAnsi"/>
          <w:sz w:val="24"/>
          <w:szCs w:val="24"/>
        </w:rPr>
        <w:t xml:space="preserve"> see</w:t>
      </w:r>
      <w:r w:rsidR="003B0453" w:rsidRPr="005927F3">
        <w:rPr>
          <w:rFonts w:cstheme="minorHAnsi"/>
          <w:sz w:val="24"/>
          <w:szCs w:val="24"/>
        </w:rPr>
        <w:t xml:space="preserve">king to shield themselves from </w:t>
      </w:r>
      <w:r w:rsidR="007A4B10" w:rsidRPr="005927F3">
        <w:rPr>
          <w:rFonts w:cstheme="minorHAnsi"/>
          <w:sz w:val="24"/>
          <w:szCs w:val="24"/>
        </w:rPr>
        <w:t>unwanted</w:t>
      </w:r>
      <w:r w:rsidR="003D185D" w:rsidRPr="005927F3">
        <w:rPr>
          <w:rFonts w:cstheme="minorHAnsi"/>
          <w:sz w:val="24"/>
          <w:szCs w:val="24"/>
        </w:rPr>
        <w:t xml:space="preserve"> public</w:t>
      </w:r>
      <w:r w:rsidR="007A4B10" w:rsidRPr="005927F3">
        <w:rPr>
          <w:rFonts w:cstheme="minorHAnsi"/>
          <w:sz w:val="24"/>
          <w:szCs w:val="24"/>
        </w:rPr>
        <w:t xml:space="preserve"> </w:t>
      </w:r>
      <w:r w:rsidR="003D061A" w:rsidRPr="005927F3">
        <w:rPr>
          <w:rFonts w:cstheme="minorHAnsi"/>
          <w:sz w:val="24"/>
          <w:szCs w:val="24"/>
        </w:rPr>
        <w:t>exposure</w:t>
      </w:r>
      <w:r w:rsidR="00957568" w:rsidRPr="005927F3">
        <w:rPr>
          <w:rFonts w:cstheme="minorHAnsi"/>
          <w:sz w:val="24"/>
          <w:szCs w:val="24"/>
        </w:rPr>
        <w:t xml:space="preserve"> based on ‘innocent’ </w:t>
      </w:r>
      <w:r w:rsidR="00F11765" w:rsidRPr="005927F3">
        <w:rPr>
          <w:rFonts w:cstheme="minorHAnsi"/>
          <w:sz w:val="24"/>
          <w:szCs w:val="24"/>
        </w:rPr>
        <w:t>information that entered the public domain</w:t>
      </w:r>
      <w:r w:rsidR="00423F78" w:rsidRPr="005927F3">
        <w:rPr>
          <w:rFonts w:cstheme="minorHAnsi"/>
          <w:sz w:val="24"/>
          <w:szCs w:val="24"/>
        </w:rPr>
        <w:t xml:space="preserve"> </w:t>
      </w:r>
      <w:r w:rsidR="00512825" w:rsidRPr="005927F3">
        <w:rPr>
          <w:rFonts w:cstheme="minorHAnsi"/>
          <w:sz w:val="24"/>
          <w:szCs w:val="24"/>
        </w:rPr>
        <w:t>at some point</w:t>
      </w:r>
      <w:r w:rsidR="00F11765" w:rsidRPr="005927F3">
        <w:rPr>
          <w:rFonts w:cstheme="minorHAnsi"/>
          <w:sz w:val="24"/>
          <w:szCs w:val="24"/>
        </w:rPr>
        <w:t xml:space="preserve">, </w:t>
      </w:r>
      <w:r w:rsidR="00F11765" w:rsidRPr="005927F3">
        <w:rPr>
          <w:rFonts w:cstheme="minorHAnsi"/>
          <w:i/>
          <w:iCs/>
          <w:sz w:val="24"/>
          <w:szCs w:val="24"/>
        </w:rPr>
        <w:t>e.g.</w:t>
      </w:r>
      <w:r w:rsidR="00025D5D" w:rsidRPr="005927F3">
        <w:rPr>
          <w:rFonts w:cstheme="minorHAnsi"/>
          <w:sz w:val="24"/>
          <w:szCs w:val="24"/>
        </w:rPr>
        <w:t xml:space="preserve"> family </w:t>
      </w:r>
      <w:r w:rsidR="00637F32" w:rsidRPr="005927F3">
        <w:rPr>
          <w:rFonts w:cstheme="minorHAnsi"/>
          <w:sz w:val="24"/>
          <w:szCs w:val="24"/>
        </w:rPr>
        <w:t xml:space="preserve">or work </w:t>
      </w:r>
      <w:r w:rsidR="00025D5D" w:rsidRPr="005927F3">
        <w:rPr>
          <w:rFonts w:cstheme="minorHAnsi"/>
          <w:sz w:val="24"/>
          <w:szCs w:val="24"/>
        </w:rPr>
        <w:t>matters,</w:t>
      </w:r>
      <w:r w:rsidR="000930B3" w:rsidRPr="005927F3">
        <w:rPr>
          <w:rStyle w:val="FootnoteReference"/>
          <w:rFonts w:cstheme="minorHAnsi"/>
          <w:sz w:val="24"/>
          <w:szCs w:val="24"/>
        </w:rPr>
        <w:footnoteReference w:id="85"/>
      </w:r>
      <w:r w:rsidR="00025D5D" w:rsidRPr="005927F3">
        <w:rPr>
          <w:rFonts w:cstheme="minorHAnsi"/>
          <w:sz w:val="24"/>
          <w:szCs w:val="24"/>
        </w:rPr>
        <w:t xml:space="preserve"> and </w:t>
      </w:r>
      <w:r w:rsidR="007D00DB" w:rsidRPr="005927F3">
        <w:rPr>
          <w:rFonts w:cstheme="minorHAnsi"/>
          <w:sz w:val="24"/>
          <w:szCs w:val="24"/>
        </w:rPr>
        <w:t>remained</w:t>
      </w:r>
      <w:r w:rsidR="0050517B" w:rsidRPr="005927F3">
        <w:rPr>
          <w:rFonts w:cstheme="minorHAnsi"/>
          <w:sz w:val="24"/>
          <w:szCs w:val="24"/>
        </w:rPr>
        <w:t xml:space="preserve"> there beyond </w:t>
      </w:r>
      <w:r w:rsidR="00D362EA" w:rsidRPr="005927F3">
        <w:rPr>
          <w:rFonts w:cstheme="minorHAnsi"/>
          <w:sz w:val="24"/>
          <w:szCs w:val="24"/>
        </w:rPr>
        <w:t xml:space="preserve">its </w:t>
      </w:r>
      <w:r w:rsidR="0050517B" w:rsidRPr="005927F3">
        <w:rPr>
          <w:rFonts w:cstheme="minorHAnsi"/>
          <w:sz w:val="24"/>
          <w:szCs w:val="24"/>
        </w:rPr>
        <w:t>use-by-</w:t>
      </w:r>
      <w:r w:rsidR="00503934" w:rsidRPr="005927F3">
        <w:rPr>
          <w:rFonts w:cstheme="minorHAnsi"/>
          <w:sz w:val="24"/>
          <w:szCs w:val="24"/>
        </w:rPr>
        <w:t>date. In</w:t>
      </w:r>
      <w:r w:rsidR="00F11765" w:rsidRPr="005927F3">
        <w:rPr>
          <w:rFonts w:cstheme="minorHAnsi"/>
          <w:sz w:val="24"/>
          <w:szCs w:val="24"/>
        </w:rPr>
        <w:t xml:space="preserve"> </w:t>
      </w:r>
      <w:r w:rsidR="00025D5D" w:rsidRPr="005927F3">
        <w:rPr>
          <w:rFonts w:cstheme="minorHAnsi"/>
          <w:sz w:val="24"/>
          <w:szCs w:val="24"/>
        </w:rPr>
        <w:t>these ordinary claims privac</w:t>
      </w:r>
      <w:r w:rsidR="002870D5" w:rsidRPr="005927F3">
        <w:rPr>
          <w:rFonts w:cstheme="minorHAnsi"/>
          <w:sz w:val="24"/>
          <w:szCs w:val="24"/>
        </w:rPr>
        <w:t xml:space="preserve">y as dignity does its </w:t>
      </w:r>
      <w:r w:rsidR="001453AD" w:rsidRPr="005927F3">
        <w:rPr>
          <w:rFonts w:cstheme="minorHAnsi"/>
          <w:sz w:val="24"/>
          <w:szCs w:val="24"/>
        </w:rPr>
        <w:t>core work.</w:t>
      </w:r>
      <w:r w:rsidR="00A870B3" w:rsidRPr="005927F3">
        <w:rPr>
          <w:rFonts w:cstheme="minorHAnsi"/>
          <w:sz w:val="24"/>
          <w:szCs w:val="24"/>
        </w:rPr>
        <w:t xml:space="preserve"> A</w:t>
      </w:r>
      <w:r w:rsidR="00187489" w:rsidRPr="005927F3">
        <w:rPr>
          <w:rFonts w:cstheme="minorHAnsi"/>
          <w:sz w:val="24"/>
          <w:szCs w:val="24"/>
        </w:rPr>
        <w:t xml:space="preserve"> fraction</w:t>
      </w:r>
      <w:r w:rsidR="003921FA" w:rsidRPr="005927F3">
        <w:rPr>
          <w:rFonts w:cstheme="minorHAnsi"/>
          <w:sz w:val="24"/>
          <w:szCs w:val="24"/>
        </w:rPr>
        <w:t xml:space="preserve"> of requests</w:t>
      </w:r>
      <w:r w:rsidR="001453AD" w:rsidRPr="005927F3">
        <w:rPr>
          <w:rFonts w:cstheme="minorHAnsi"/>
          <w:sz w:val="24"/>
          <w:szCs w:val="24"/>
        </w:rPr>
        <w:t>, however,</w:t>
      </w:r>
      <w:r w:rsidR="003921FA" w:rsidRPr="005927F3">
        <w:rPr>
          <w:rFonts w:cstheme="minorHAnsi"/>
          <w:sz w:val="24"/>
          <w:szCs w:val="24"/>
        </w:rPr>
        <w:t xml:space="preserve"> i</w:t>
      </w:r>
      <w:r w:rsidR="004A52C3" w:rsidRPr="005927F3">
        <w:rPr>
          <w:rFonts w:cstheme="minorHAnsi"/>
          <w:sz w:val="24"/>
          <w:szCs w:val="24"/>
        </w:rPr>
        <w:t>nvolve</w:t>
      </w:r>
      <w:r w:rsidR="00F11765" w:rsidRPr="005927F3">
        <w:rPr>
          <w:rFonts w:cstheme="minorHAnsi"/>
          <w:sz w:val="24"/>
          <w:szCs w:val="24"/>
        </w:rPr>
        <w:t>s</w:t>
      </w:r>
      <w:r w:rsidR="003D061A" w:rsidRPr="005927F3">
        <w:rPr>
          <w:rFonts w:cstheme="minorHAnsi"/>
          <w:sz w:val="24"/>
          <w:szCs w:val="24"/>
        </w:rPr>
        <w:t xml:space="preserve"> </w:t>
      </w:r>
      <w:r w:rsidR="001453AD" w:rsidRPr="005927F3">
        <w:rPr>
          <w:rFonts w:cstheme="minorHAnsi"/>
          <w:sz w:val="24"/>
          <w:szCs w:val="24"/>
        </w:rPr>
        <w:t xml:space="preserve">public figures </w:t>
      </w:r>
      <w:r w:rsidR="00CB4591" w:rsidRPr="005927F3">
        <w:rPr>
          <w:rFonts w:cstheme="minorHAnsi"/>
          <w:sz w:val="24"/>
          <w:szCs w:val="24"/>
        </w:rPr>
        <w:t>or</w:t>
      </w:r>
      <w:r w:rsidR="00703728" w:rsidRPr="005927F3">
        <w:rPr>
          <w:rFonts w:cstheme="minorHAnsi"/>
          <w:sz w:val="24"/>
          <w:szCs w:val="24"/>
        </w:rPr>
        <w:t xml:space="preserve"> perpetrator</w:t>
      </w:r>
      <w:r w:rsidR="00FD1747" w:rsidRPr="005927F3">
        <w:rPr>
          <w:rFonts w:cstheme="minorHAnsi"/>
          <w:sz w:val="24"/>
          <w:szCs w:val="24"/>
        </w:rPr>
        <w:t>s</w:t>
      </w:r>
      <w:r w:rsidR="00703728" w:rsidRPr="005927F3">
        <w:rPr>
          <w:rFonts w:cstheme="minorHAnsi"/>
          <w:sz w:val="24"/>
          <w:szCs w:val="24"/>
        </w:rPr>
        <w:t xml:space="preserve"> of</w:t>
      </w:r>
      <w:r w:rsidR="004A52C3" w:rsidRPr="005927F3">
        <w:rPr>
          <w:rFonts w:cstheme="minorHAnsi"/>
          <w:sz w:val="24"/>
          <w:szCs w:val="24"/>
        </w:rPr>
        <w:t xml:space="preserve"> </w:t>
      </w:r>
      <w:r w:rsidR="002870D5" w:rsidRPr="005927F3">
        <w:rPr>
          <w:rFonts w:cstheme="minorHAnsi"/>
          <w:sz w:val="24"/>
          <w:szCs w:val="24"/>
        </w:rPr>
        <w:t xml:space="preserve">‘historic’ </w:t>
      </w:r>
      <w:r w:rsidR="004A52C3" w:rsidRPr="005927F3">
        <w:rPr>
          <w:rFonts w:cstheme="minorHAnsi"/>
          <w:sz w:val="24"/>
          <w:szCs w:val="24"/>
        </w:rPr>
        <w:t>crimes</w:t>
      </w:r>
      <w:r w:rsidR="00FD1747" w:rsidRPr="005927F3">
        <w:rPr>
          <w:rFonts w:cstheme="minorHAnsi"/>
          <w:sz w:val="24"/>
          <w:szCs w:val="24"/>
        </w:rPr>
        <w:t xml:space="preserve"> </w:t>
      </w:r>
      <w:r w:rsidR="0006199B" w:rsidRPr="005927F3">
        <w:rPr>
          <w:rFonts w:cstheme="minorHAnsi"/>
          <w:sz w:val="24"/>
          <w:szCs w:val="24"/>
        </w:rPr>
        <w:t xml:space="preserve">who </w:t>
      </w:r>
      <w:r w:rsidR="008A2B28" w:rsidRPr="005927F3">
        <w:rPr>
          <w:rFonts w:cstheme="minorHAnsi"/>
          <w:sz w:val="24"/>
          <w:szCs w:val="24"/>
        </w:rPr>
        <w:t>want to</w:t>
      </w:r>
      <w:r w:rsidR="0006199B" w:rsidRPr="005927F3">
        <w:rPr>
          <w:rFonts w:cstheme="minorHAnsi"/>
          <w:sz w:val="24"/>
          <w:szCs w:val="24"/>
        </w:rPr>
        <w:t xml:space="preserve"> hav</w:t>
      </w:r>
      <w:r w:rsidR="00A870B3" w:rsidRPr="005927F3">
        <w:rPr>
          <w:rFonts w:cstheme="minorHAnsi"/>
          <w:sz w:val="24"/>
          <w:szCs w:val="24"/>
        </w:rPr>
        <w:t>e their public record cleansed, and it is h</w:t>
      </w:r>
      <w:r w:rsidR="0006199B" w:rsidRPr="005927F3">
        <w:rPr>
          <w:rFonts w:cstheme="minorHAnsi"/>
          <w:sz w:val="24"/>
          <w:szCs w:val="24"/>
        </w:rPr>
        <w:t>ere</w:t>
      </w:r>
      <w:r w:rsidR="00A870B3" w:rsidRPr="005927F3">
        <w:rPr>
          <w:rFonts w:cstheme="minorHAnsi"/>
          <w:sz w:val="24"/>
          <w:szCs w:val="24"/>
        </w:rPr>
        <w:t xml:space="preserve"> that</w:t>
      </w:r>
      <w:r w:rsidR="00957568" w:rsidRPr="005927F3">
        <w:rPr>
          <w:rFonts w:cstheme="minorHAnsi"/>
          <w:sz w:val="24"/>
          <w:szCs w:val="24"/>
        </w:rPr>
        <w:t xml:space="preserve"> </w:t>
      </w:r>
      <w:r w:rsidR="00A870B3" w:rsidRPr="005927F3">
        <w:rPr>
          <w:rFonts w:cstheme="minorHAnsi"/>
          <w:sz w:val="24"/>
          <w:szCs w:val="24"/>
        </w:rPr>
        <w:t xml:space="preserve">unwanted </w:t>
      </w:r>
      <w:r w:rsidR="00AF1858" w:rsidRPr="005927F3">
        <w:rPr>
          <w:rFonts w:cstheme="minorHAnsi"/>
          <w:sz w:val="24"/>
          <w:szCs w:val="24"/>
        </w:rPr>
        <w:t xml:space="preserve">public </w:t>
      </w:r>
      <w:r w:rsidR="00A870B3" w:rsidRPr="005927F3">
        <w:rPr>
          <w:rFonts w:cstheme="minorHAnsi"/>
          <w:sz w:val="24"/>
          <w:szCs w:val="24"/>
        </w:rPr>
        <w:t>exposure</w:t>
      </w:r>
      <w:r w:rsidR="00957568" w:rsidRPr="005927F3">
        <w:rPr>
          <w:rFonts w:cstheme="minorHAnsi"/>
          <w:sz w:val="24"/>
          <w:szCs w:val="24"/>
        </w:rPr>
        <w:t xml:space="preserve"> en</w:t>
      </w:r>
      <w:r w:rsidR="00FE7BA1" w:rsidRPr="005927F3">
        <w:rPr>
          <w:rFonts w:cstheme="minorHAnsi"/>
          <w:sz w:val="24"/>
          <w:szCs w:val="24"/>
        </w:rPr>
        <w:t>counters</w:t>
      </w:r>
      <w:r w:rsidR="003D061A" w:rsidRPr="005927F3">
        <w:rPr>
          <w:rFonts w:cstheme="minorHAnsi"/>
          <w:sz w:val="24"/>
          <w:szCs w:val="24"/>
        </w:rPr>
        <w:t xml:space="preserve"> </w:t>
      </w:r>
      <w:r w:rsidR="00052FF6" w:rsidRPr="005927F3">
        <w:rPr>
          <w:rFonts w:cstheme="minorHAnsi"/>
          <w:sz w:val="24"/>
          <w:szCs w:val="24"/>
        </w:rPr>
        <w:t>the</w:t>
      </w:r>
      <w:r w:rsidR="001379D7" w:rsidRPr="005927F3">
        <w:rPr>
          <w:rFonts w:cstheme="minorHAnsi"/>
          <w:sz w:val="24"/>
          <w:szCs w:val="24"/>
        </w:rPr>
        <w:t xml:space="preserve"> </w:t>
      </w:r>
      <w:r w:rsidR="001453AD" w:rsidRPr="005927F3">
        <w:rPr>
          <w:rFonts w:cstheme="minorHAnsi"/>
          <w:sz w:val="24"/>
          <w:szCs w:val="24"/>
        </w:rPr>
        <w:t xml:space="preserve">potentially strong </w:t>
      </w:r>
      <w:r w:rsidR="001379D7" w:rsidRPr="005927F3">
        <w:rPr>
          <w:rFonts w:cstheme="minorHAnsi"/>
          <w:sz w:val="24"/>
          <w:szCs w:val="24"/>
        </w:rPr>
        <w:t>competing</w:t>
      </w:r>
      <w:r w:rsidR="008B158B" w:rsidRPr="005927F3">
        <w:rPr>
          <w:rFonts w:cstheme="minorHAnsi"/>
          <w:sz w:val="24"/>
          <w:szCs w:val="24"/>
        </w:rPr>
        <w:t xml:space="preserve"> </w:t>
      </w:r>
      <w:r w:rsidR="003D061A" w:rsidRPr="005927F3">
        <w:rPr>
          <w:rFonts w:cstheme="minorHAnsi"/>
          <w:sz w:val="24"/>
          <w:szCs w:val="24"/>
        </w:rPr>
        <w:t>interes</w:t>
      </w:r>
      <w:r w:rsidR="00957568" w:rsidRPr="005927F3">
        <w:rPr>
          <w:rFonts w:cstheme="minorHAnsi"/>
          <w:sz w:val="24"/>
          <w:szCs w:val="24"/>
        </w:rPr>
        <w:t>t</w:t>
      </w:r>
      <w:r w:rsidR="00052FF6" w:rsidRPr="005927F3">
        <w:rPr>
          <w:rFonts w:cstheme="minorHAnsi"/>
          <w:sz w:val="24"/>
          <w:szCs w:val="24"/>
        </w:rPr>
        <w:t xml:space="preserve"> of the</w:t>
      </w:r>
      <w:r w:rsidR="00957568" w:rsidRPr="005927F3">
        <w:rPr>
          <w:rFonts w:cstheme="minorHAnsi"/>
          <w:sz w:val="24"/>
          <w:szCs w:val="24"/>
        </w:rPr>
        <w:t xml:space="preserve"> </w:t>
      </w:r>
      <w:r w:rsidR="00052FF6" w:rsidRPr="005927F3">
        <w:rPr>
          <w:rFonts w:cstheme="minorHAnsi"/>
          <w:sz w:val="24"/>
          <w:szCs w:val="24"/>
        </w:rPr>
        <w:t xml:space="preserve">public </w:t>
      </w:r>
      <w:r w:rsidR="00BA2EDA" w:rsidRPr="005927F3">
        <w:rPr>
          <w:rFonts w:cstheme="minorHAnsi"/>
          <w:sz w:val="24"/>
          <w:szCs w:val="24"/>
        </w:rPr>
        <w:t>in accessing the</w:t>
      </w:r>
      <w:r w:rsidR="00957568" w:rsidRPr="005927F3">
        <w:rPr>
          <w:rFonts w:cstheme="minorHAnsi"/>
          <w:sz w:val="24"/>
          <w:szCs w:val="24"/>
        </w:rPr>
        <w:t xml:space="preserve"> information. T</w:t>
      </w:r>
      <w:r w:rsidR="00770317" w:rsidRPr="005927F3">
        <w:rPr>
          <w:rFonts w:cstheme="minorHAnsi"/>
          <w:sz w:val="24"/>
          <w:szCs w:val="24"/>
        </w:rPr>
        <w:t xml:space="preserve">hese </w:t>
      </w:r>
      <w:r w:rsidR="00344044" w:rsidRPr="005927F3">
        <w:rPr>
          <w:rFonts w:cstheme="minorHAnsi"/>
          <w:sz w:val="24"/>
          <w:szCs w:val="24"/>
        </w:rPr>
        <w:t>rare</w:t>
      </w:r>
      <w:r w:rsidR="00A46CD9" w:rsidRPr="005927F3">
        <w:rPr>
          <w:rFonts w:cstheme="minorHAnsi"/>
          <w:sz w:val="24"/>
          <w:szCs w:val="24"/>
        </w:rPr>
        <w:t xml:space="preserve"> </w:t>
      </w:r>
      <w:r w:rsidR="009D0B23" w:rsidRPr="005927F3">
        <w:rPr>
          <w:rFonts w:cstheme="minorHAnsi"/>
          <w:sz w:val="24"/>
          <w:szCs w:val="24"/>
        </w:rPr>
        <w:t xml:space="preserve">cases </w:t>
      </w:r>
      <w:r w:rsidR="00770317" w:rsidRPr="005927F3">
        <w:rPr>
          <w:rFonts w:cstheme="minorHAnsi"/>
          <w:sz w:val="24"/>
          <w:szCs w:val="24"/>
        </w:rPr>
        <w:t>amplify</w:t>
      </w:r>
      <w:r w:rsidR="009D0B23" w:rsidRPr="005927F3">
        <w:rPr>
          <w:rFonts w:cstheme="minorHAnsi"/>
          <w:sz w:val="24"/>
          <w:szCs w:val="24"/>
        </w:rPr>
        <w:t xml:space="preserve"> </w:t>
      </w:r>
      <w:r w:rsidR="00E02A27" w:rsidRPr="005927F3">
        <w:rPr>
          <w:rFonts w:cstheme="minorHAnsi"/>
          <w:sz w:val="24"/>
          <w:szCs w:val="24"/>
        </w:rPr>
        <w:t>the</w:t>
      </w:r>
      <w:r w:rsidR="00A46CD9" w:rsidRPr="005927F3">
        <w:rPr>
          <w:rFonts w:cstheme="minorHAnsi"/>
          <w:sz w:val="24"/>
          <w:szCs w:val="24"/>
        </w:rPr>
        <w:t xml:space="preserve"> </w:t>
      </w:r>
      <w:r w:rsidR="00E02A27" w:rsidRPr="005927F3">
        <w:rPr>
          <w:rFonts w:cstheme="minorHAnsi"/>
          <w:sz w:val="24"/>
          <w:szCs w:val="24"/>
        </w:rPr>
        <w:t>t</w:t>
      </w:r>
      <w:r w:rsidR="00A46CD9" w:rsidRPr="005927F3">
        <w:rPr>
          <w:rFonts w:cstheme="minorHAnsi"/>
          <w:sz w:val="24"/>
          <w:szCs w:val="24"/>
        </w:rPr>
        <w:t>ensions</w:t>
      </w:r>
      <w:r w:rsidR="005A753E" w:rsidRPr="005927F3">
        <w:rPr>
          <w:rFonts w:cstheme="minorHAnsi"/>
          <w:sz w:val="24"/>
          <w:szCs w:val="24"/>
        </w:rPr>
        <w:t xml:space="preserve"> </w:t>
      </w:r>
      <w:r w:rsidR="008A2B28" w:rsidRPr="005927F3">
        <w:rPr>
          <w:rFonts w:cstheme="minorHAnsi"/>
          <w:sz w:val="24"/>
          <w:szCs w:val="24"/>
        </w:rPr>
        <w:t xml:space="preserve">underlying </w:t>
      </w:r>
      <w:r w:rsidR="009D0B23" w:rsidRPr="005927F3">
        <w:rPr>
          <w:rFonts w:cstheme="minorHAnsi"/>
          <w:sz w:val="24"/>
          <w:szCs w:val="24"/>
        </w:rPr>
        <w:t>the right to be forgotten</w:t>
      </w:r>
      <w:r w:rsidR="0098547B" w:rsidRPr="005927F3">
        <w:rPr>
          <w:rFonts w:cstheme="minorHAnsi"/>
          <w:sz w:val="24"/>
          <w:szCs w:val="24"/>
        </w:rPr>
        <w:t xml:space="preserve"> and</w:t>
      </w:r>
      <w:r w:rsidR="00EA6C62" w:rsidRPr="005927F3">
        <w:rPr>
          <w:rFonts w:cstheme="minorHAnsi"/>
          <w:sz w:val="24"/>
          <w:szCs w:val="24"/>
        </w:rPr>
        <w:t xml:space="preserve"> </w:t>
      </w:r>
      <w:r w:rsidR="00CB4591" w:rsidRPr="005927F3">
        <w:rPr>
          <w:rFonts w:cstheme="minorHAnsi"/>
          <w:sz w:val="24"/>
          <w:szCs w:val="24"/>
        </w:rPr>
        <w:t xml:space="preserve">the </w:t>
      </w:r>
      <w:r w:rsidR="00637F32" w:rsidRPr="005927F3">
        <w:rPr>
          <w:rFonts w:cstheme="minorHAnsi"/>
          <w:sz w:val="24"/>
          <w:szCs w:val="24"/>
        </w:rPr>
        <w:t>clash between the two conceptions</w:t>
      </w:r>
      <w:r w:rsidR="00C44E2A" w:rsidRPr="005927F3">
        <w:rPr>
          <w:rFonts w:cstheme="minorHAnsi"/>
          <w:sz w:val="24"/>
          <w:szCs w:val="24"/>
        </w:rPr>
        <w:t xml:space="preserve"> </w:t>
      </w:r>
      <w:r w:rsidR="00CB4591" w:rsidRPr="005927F3">
        <w:rPr>
          <w:rFonts w:cstheme="minorHAnsi"/>
          <w:sz w:val="24"/>
          <w:szCs w:val="24"/>
        </w:rPr>
        <w:t xml:space="preserve">of privacy </w:t>
      </w:r>
      <w:r w:rsidR="00CF669F" w:rsidRPr="005927F3">
        <w:rPr>
          <w:rFonts w:cstheme="minorHAnsi"/>
          <w:sz w:val="24"/>
          <w:szCs w:val="24"/>
        </w:rPr>
        <w:t xml:space="preserve">as they </w:t>
      </w:r>
      <w:r w:rsidR="00EA6C62" w:rsidRPr="005927F3">
        <w:rPr>
          <w:rFonts w:cstheme="minorHAnsi"/>
          <w:sz w:val="24"/>
          <w:szCs w:val="24"/>
        </w:rPr>
        <w:t>resolve these tensions</w:t>
      </w:r>
      <w:r w:rsidR="00676699" w:rsidRPr="005927F3">
        <w:rPr>
          <w:rFonts w:cstheme="minorHAnsi"/>
          <w:sz w:val="24"/>
          <w:szCs w:val="24"/>
        </w:rPr>
        <w:t xml:space="preserve"> </w:t>
      </w:r>
      <w:r w:rsidR="00EA6C62" w:rsidRPr="005927F3">
        <w:rPr>
          <w:rFonts w:cstheme="minorHAnsi"/>
          <w:sz w:val="24"/>
          <w:szCs w:val="24"/>
        </w:rPr>
        <w:t>differently</w:t>
      </w:r>
      <w:r w:rsidR="00C44E2A" w:rsidRPr="005927F3">
        <w:rPr>
          <w:rFonts w:cstheme="minorHAnsi"/>
          <w:sz w:val="24"/>
          <w:szCs w:val="24"/>
        </w:rPr>
        <w:t xml:space="preserve">. </w:t>
      </w:r>
      <w:r w:rsidR="00C44E2A" w:rsidRPr="005927F3">
        <w:rPr>
          <w:rFonts w:cstheme="minorHAnsi"/>
          <w:i/>
          <w:sz w:val="24"/>
          <w:szCs w:val="24"/>
        </w:rPr>
        <w:t xml:space="preserve">On the one hand, </w:t>
      </w:r>
      <w:r w:rsidR="00C44E2A" w:rsidRPr="005927F3">
        <w:rPr>
          <w:rFonts w:cstheme="minorHAnsi"/>
          <w:sz w:val="24"/>
          <w:szCs w:val="24"/>
        </w:rPr>
        <w:t>t</w:t>
      </w:r>
      <w:r w:rsidR="00512825" w:rsidRPr="005927F3">
        <w:rPr>
          <w:rFonts w:cstheme="minorHAnsi"/>
          <w:sz w:val="24"/>
          <w:szCs w:val="24"/>
        </w:rPr>
        <w:t>h</w:t>
      </w:r>
      <w:r w:rsidR="00637F32" w:rsidRPr="005927F3">
        <w:rPr>
          <w:rFonts w:cstheme="minorHAnsi"/>
          <w:sz w:val="24"/>
          <w:szCs w:val="24"/>
        </w:rPr>
        <w:t>e</w:t>
      </w:r>
      <w:r w:rsidR="00CB4591" w:rsidRPr="005927F3">
        <w:rPr>
          <w:rFonts w:cstheme="minorHAnsi"/>
          <w:sz w:val="24"/>
          <w:szCs w:val="24"/>
        </w:rPr>
        <w:t>se</w:t>
      </w:r>
      <w:r w:rsidR="00637F32" w:rsidRPr="005927F3">
        <w:rPr>
          <w:rFonts w:cstheme="minorHAnsi"/>
          <w:sz w:val="24"/>
          <w:szCs w:val="24"/>
        </w:rPr>
        <w:t xml:space="preserve"> cases</w:t>
      </w:r>
      <w:r w:rsidR="00FD1747" w:rsidRPr="005927F3">
        <w:rPr>
          <w:rFonts w:cstheme="minorHAnsi"/>
          <w:sz w:val="24"/>
          <w:szCs w:val="24"/>
        </w:rPr>
        <w:t xml:space="preserve"> </w:t>
      </w:r>
      <w:r w:rsidR="00A870B3" w:rsidRPr="005927F3">
        <w:rPr>
          <w:rFonts w:cstheme="minorHAnsi"/>
          <w:sz w:val="24"/>
          <w:szCs w:val="24"/>
        </w:rPr>
        <w:t>highlight</w:t>
      </w:r>
      <w:r w:rsidR="00FD1747" w:rsidRPr="005927F3">
        <w:rPr>
          <w:rFonts w:cstheme="minorHAnsi"/>
          <w:sz w:val="24"/>
          <w:szCs w:val="24"/>
        </w:rPr>
        <w:t xml:space="preserve"> that</w:t>
      </w:r>
      <w:r w:rsidR="009D0B23" w:rsidRPr="005927F3">
        <w:rPr>
          <w:rFonts w:cstheme="minorHAnsi"/>
          <w:sz w:val="24"/>
          <w:szCs w:val="24"/>
        </w:rPr>
        <w:t xml:space="preserve"> </w:t>
      </w:r>
      <w:r w:rsidR="00994CE9" w:rsidRPr="005927F3">
        <w:rPr>
          <w:rFonts w:cstheme="minorHAnsi"/>
          <w:sz w:val="24"/>
          <w:szCs w:val="24"/>
        </w:rPr>
        <w:t>self-</w:t>
      </w:r>
      <w:r w:rsidR="009772B4" w:rsidRPr="005927F3">
        <w:rPr>
          <w:rFonts w:cstheme="minorHAnsi"/>
          <w:sz w:val="24"/>
          <w:szCs w:val="24"/>
        </w:rPr>
        <w:t>authorship</w:t>
      </w:r>
      <w:r w:rsidR="00663408" w:rsidRPr="005927F3">
        <w:rPr>
          <w:rFonts w:cstheme="minorHAnsi"/>
          <w:sz w:val="24"/>
          <w:szCs w:val="24"/>
        </w:rPr>
        <w:t xml:space="preserve"> </w:t>
      </w:r>
      <w:r w:rsidR="00CB4591" w:rsidRPr="005927F3">
        <w:rPr>
          <w:rFonts w:cstheme="minorHAnsi"/>
          <w:sz w:val="24"/>
          <w:szCs w:val="24"/>
        </w:rPr>
        <w:t xml:space="preserve">generally </w:t>
      </w:r>
      <w:r w:rsidR="009D0B23" w:rsidRPr="005927F3">
        <w:rPr>
          <w:rFonts w:cstheme="minorHAnsi"/>
          <w:sz w:val="24"/>
          <w:szCs w:val="24"/>
        </w:rPr>
        <w:t>is</w:t>
      </w:r>
      <w:r w:rsidR="00CB4591" w:rsidRPr="005927F3">
        <w:rPr>
          <w:rFonts w:cstheme="minorHAnsi"/>
          <w:sz w:val="24"/>
          <w:szCs w:val="24"/>
        </w:rPr>
        <w:t xml:space="preserve"> </w:t>
      </w:r>
      <w:r w:rsidR="00FE7BA1" w:rsidRPr="005927F3">
        <w:rPr>
          <w:rFonts w:cstheme="minorHAnsi"/>
          <w:sz w:val="24"/>
          <w:szCs w:val="24"/>
        </w:rPr>
        <w:t>a social affair</w:t>
      </w:r>
      <w:r w:rsidR="003967A7" w:rsidRPr="005927F3">
        <w:rPr>
          <w:rFonts w:cstheme="minorHAnsi"/>
          <w:sz w:val="24"/>
          <w:szCs w:val="24"/>
        </w:rPr>
        <w:t xml:space="preserve">: </w:t>
      </w:r>
      <w:r w:rsidR="003D185D" w:rsidRPr="005927F3">
        <w:rPr>
          <w:rFonts w:cstheme="minorHAnsi"/>
          <w:sz w:val="24"/>
          <w:szCs w:val="24"/>
        </w:rPr>
        <w:lastRenderedPageBreak/>
        <w:t>individuals define themselves against others, and reflexively respond to oth</w:t>
      </w:r>
      <w:r w:rsidR="009772B4" w:rsidRPr="005927F3">
        <w:rPr>
          <w:rFonts w:cstheme="minorHAnsi"/>
          <w:sz w:val="24"/>
          <w:szCs w:val="24"/>
        </w:rPr>
        <w:t>er’s perceptions of themselves.</w:t>
      </w:r>
      <w:r w:rsidR="00B55865" w:rsidRPr="005927F3">
        <w:rPr>
          <w:rStyle w:val="FootnoteReference"/>
          <w:rFonts w:cstheme="minorHAnsi"/>
          <w:sz w:val="24"/>
          <w:szCs w:val="24"/>
        </w:rPr>
        <w:footnoteReference w:id="86"/>
      </w:r>
      <w:r w:rsidR="009772B4" w:rsidRPr="005927F3">
        <w:rPr>
          <w:rFonts w:cstheme="minorHAnsi"/>
          <w:sz w:val="24"/>
          <w:szCs w:val="24"/>
        </w:rPr>
        <w:t xml:space="preserve"> The</w:t>
      </w:r>
      <w:r w:rsidR="003967A7" w:rsidRPr="005927F3">
        <w:rPr>
          <w:rFonts w:cstheme="minorHAnsi"/>
          <w:sz w:val="24"/>
          <w:szCs w:val="24"/>
        </w:rPr>
        <w:t xml:space="preserve"> publi</w:t>
      </w:r>
      <w:r w:rsidR="009772B4" w:rsidRPr="005927F3">
        <w:rPr>
          <w:rFonts w:cstheme="minorHAnsi"/>
          <w:sz w:val="24"/>
          <w:szCs w:val="24"/>
        </w:rPr>
        <w:t>c self is the counterpart to the</w:t>
      </w:r>
      <w:r w:rsidR="003967A7" w:rsidRPr="005927F3">
        <w:rPr>
          <w:rFonts w:cstheme="minorHAnsi"/>
          <w:sz w:val="24"/>
          <w:szCs w:val="24"/>
        </w:rPr>
        <w:t xml:space="preserve"> private self</w:t>
      </w:r>
      <w:r w:rsidR="00FE7BA1" w:rsidRPr="005927F3">
        <w:rPr>
          <w:rFonts w:cstheme="minorHAnsi"/>
          <w:sz w:val="24"/>
          <w:szCs w:val="24"/>
        </w:rPr>
        <w:t xml:space="preserve">. </w:t>
      </w:r>
      <w:r w:rsidR="001379D7" w:rsidRPr="005927F3">
        <w:rPr>
          <w:rFonts w:cstheme="minorHAnsi"/>
          <w:sz w:val="24"/>
          <w:szCs w:val="24"/>
        </w:rPr>
        <w:t>Yet, one’s</w:t>
      </w:r>
      <w:r w:rsidR="00FE7BA1" w:rsidRPr="005927F3">
        <w:rPr>
          <w:rFonts w:cstheme="minorHAnsi"/>
          <w:sz w:val="24"/>
          <w:szCs w:val="24"/>
        </w:rPr>
        <w:t xml:space="preserve"> ability </w:t>
      </w:r>
      <w:r w:rsidR="003967A7" w:rsidRPr="005927F3">
        <w:rPr>
          <w:rFonts w:cstheme="minorHAnsi"/>
          <w:sz w:val="24"/>
          <w:szCs w:val="24"/>
        </w:rPr>
        <w:t>or</w:t>
      </w:r>
      <w:r w:rsidR="00FE7BA1" w:rsidRPr="005927F3">
        <w:rPr>
          <w:rFonts w:cstheme="minorHAnsi"/>
          <w:sz w:val="24"/>
          <w:szCs w:val="24"/>
        </w:rPr>
        <w:t xml:space="preserve"> </w:t>
      </w:r>
      <w:r w:rsidR="009D0B23" w:rsidRPr="005927F3">
        <w:rPr>
          <w:rFonts w:cstheme="minorHAnsi"/>
          <w:sz w:val="24"/>
          <w:szCs w:val="24"/>
        </w:rPr>
        <w:t xml:space="preserve">entitlement to </w:t>
      </w:r>
      <w:r w:rsidR="00FE7BA1" w:rsidRPr="005927F3">
        <w:rPr>
          <w:rFonts w:cstheme="minorHAnsi"/>
          <w:sz w:val="24"/>
          <w:szCs w:val="24"/>
        </w:rPr>
        <w:t>i</w:t>
      </w:r>
      <w:r w:rsidR="003967A7" w:rsidRPr="005927F3">
        <w:rPr>
          <w:rFonts w:cstheme="minorHAnsi"/>
          <w:sz w:val="24"/>
          <w:szCs w:val="24"/>
        </w:rPr>
        <w:t>nsist</w:t>
      </w:r>
      <w:r w:rsidR="009D0B23" w:rsidRPr="005927F3">
        <w:rPr>
          <w:rFonts w:cstheme="minorHAnsi"/>
          <w:sz w:val="24"/>
          <w:szCs w:val="24"/>
        </w:rPr>
        <w:t xml:space="preserve"> </w:t>
      </w:r>
      <w:r w:rsidR="00FE7BA1" w:rsidRPr="005927F3">
        <w:rPr>
          <w:rFonts w:cstheme="minorHAnsi"/>
          <w:sz w:val="24"/>
          <w:szCs w:val="24"/>
        </w:rPr>
        <w:t xml:space="preserve">on </w:t>
      </w:r>
      <w:r w:rsidR="001379D7" w:rsidRPr="005927F3">
        <w:rPr>
          <w:rFonts w:cstheme="minorHAnsi"/>
          <w:sz w:val="24"/>
          <w:szCs w:val="24"/>
        </w:rPr>
        <w:t xml:space="preserve">how one </w:t>
      </w:r>
      <w:r w:rsidR="00503934" w:rsidRPr="005927F3">
        <w:rPr>
          <w:rFonts w:cstheme="minorHAnsi"/>
          <w:sz w:val="24"/>
          <w:szCs w:val="24"/>
        </w:rPr>
        <w:t>is</w:t>
      </w:r>
      <w:r w:rsidR="009D0B23" w:rsidRPr="005927F3">
        <w:rPr>
          <w:rFonts w:cstheme="minorHAnsi"/>
          <w:sz w:val="24"/>
          <w:szCs w:val="24"/>
        </w:rPr>
        <w:t xml:space="preserve"> viewed</w:t>
      </w:r>
      <w:r w:rsidR="00663408" w:rsidRPr="005927F3">
        <w:rPr>
          <w:rFonts w:cstheme="minorHAnsi"/>
          <w:sz w:val="24"/>
          <w:szCs w:val="24"/>
        </w:rPr>
        <w:t xml:space="preserve"> </w:t>
      </w:r>
      <w:r w:rsidR="001453AD" w:rsidRPr="005927F3">
        <w:rPr>
          <w:rFonts w:cstheme="minorHAnsi"/>
          <w:sz w:val="24"/>
          <w:szCs w:val="24"/>
        </w:rPr>
        <w:t>by other</w:t>
      </w:r>
      <w:r w:rsidR="002870D5" w:rsidRPr="005927F3">
        <w:rPr>
          <w:rFonts w:cstheme="minorHAnsi"/>
          <w:sz w:val="24"/>
          <w:szCs w:val="24"/>
        </w:rPr>
        <w:t>s</w:t>
      </w:r>
      <w:r w:rsidR="001453AD" w:rsidRPr="005927F3">
        <w:rPr>
          <w:rFonts w:cstheme="minorHAnsi"/>
          <w:sz w:val="24"/>
          <w:szCs w:val="24"/>
        </w:rPr>
        <w:t xml:space="preserve"> </w:t>
      </w:r>
      <w:r w:rsidR="008A2B28" w:rsidRPr="005927F3">
        <w:rPr>
          <w:rFonts w:cstheme="minorHAnsi"/>
          <w:sz w:val="24"/>
          <w:szCs w:val="24"/>
        </w:rPr>
        <w:t>is necessarily limited</w:t>
      </w:r>
      <w:r w:rsidR="00D02604" w:rsidRPr="005927F3">
        <w:rPr>
          <w:rFonts w:cstheme="minorHAnsi"/>
          <w:sz w:val="24"/>
          <w:szCs w:val="24"/>
        </w:rPr>
        <w:t xml:space="preserve"> given that others </w:t>
      </w:r>
      <w:r w:rsidR="00676699" w:rsidRPr="005927F3">
        <w:rPr>
          <w:rFonts w:cstheme="minorHAnsi"/>
          <w:sz w:val="24"/>
          <w:szCs w:val="24"/>
        </w:rPr>
        <w:t>also</w:t>
      </w:r>
      <w:r w:rsidR="00CB4591" w:rsidRPr="005927F3">
        <w:rPr>
          <w:rFonts w:cstheme="minorHAnsi"/>
          <w:sz w:val="24"/>
          <w:szCs w:val="24"/>
        </w:rPr>
        <w:t xml:space="preserve"> </w:t>
      </w:r>
      <w:r w:rsidR="00D02604" w:rsidRPr="005927F3">
        <w:rPr>
          <w:rFonts w:cstheme="minorHAnsi"/>
          <w:sz w:val="24"/>
          <w:szCs w:val="24"/>
        </w:rPr>
        <w:t>have, individually and collectively, a</w:t>
      </w:r>
      <w:r w:rsidR="00CB4591" w:rsidRPr="005927F3">
        <w:rPr>
          <w:rFonts w:cstheme="minorHAnsi"/>
          <w:sz w:val="24"/>
          <w:szCs w:val="24"/>
        </w:rPr>
        <w:t xml:space="preserve"> legitimate </w:t>
      </w:r>
      <w:r w:rsidR="00D02604" w:rsidRPr="005927F3">
        <w:rPr>
          <w:rFonts w:cstheme="minorHAnsi"/>
          <w:sz w:val="24"/>
          <w:szCs w:val="24"/>
        </w:rPr>
        <w:t xml:space="preserve">interest in </w:t>
      </w:r>
      <w:r w:rsidR="00CB4591" w:rsidRPr="005927F3">
        <w:rPr>
          <w:rFonts w:cstheme="minorHAnsi"/>
          <w:sz w:val="24"/>
          <w:szCs w:val="24"/>
        </w:rPr>
        <w:t xml:space="preserve">information about members of the community, particularly on public figures or those that entered the limelight due to their wrongdoing. </w:t>
      </w:r>
      <w:r w:rsidR="00CF669F" w:rsidRPr="005927F3">
        <w:rPr>
          <w:rFonts w:cstheme="minorHAnsi"/>
          <w:sz w:val="24"/>
          <w:szCs w:val="24"/>
        </w:rPr>
        <w:t>Yet, e</w:t>
      </w:r>
      <w:r w:rsidR="00CB4591" w:rsidRPr="005927F3">
        <w:rPr>
          <w:rFonts w:cstheme="minorHAnsi"/>
          <w:sz w:val="24"/>
          <w:szCs w:val="24"/>
        </w:rPr>
        <w:t>ven</w:t>
      </w:r>
      <w:r w:rsidR="00676699" w:rsidRPr="005927F3">
        <w:rPr>
          <w:rFonts w:cstheme="minorHAnsi"/>
          <w:sz w:val="24"/>
          <w:szCs w:val="24"/>
        </w:rPr>
        <w:t xml:space="preserve"> traditional</w:t>
      </w:r>
      <w:r w:rsidR="00CB4591" w:rsidRPr="005927F3">
        <w:rPr>
          <w:rFonts w:cstheme="minorHAnsi"/>
          <w:sz w:val="24"/>
          <w:szCs w:val="24"/>
        </w:rPr>
        <w:t xml:space="preserve"> common law make</w:t>
      </w:r>
      <w:r w:rsidR="00676699" w:rsidRPr="005927F3">
        <w:rPr>
          <w:rFonts w:cstheme="minorHAnsi"/>
          <w:sz w:val="24"/>
          <w:szCs w:val="24"/>
        </w:rPr>
        <w:t>s</w:t>
      </w:r>
      <w:r w:rsidR="00CB4591" w:rsidRPr="005927F3">
        <w:rPr>
          <w:rFonts w:cstheme="minorHAnsi"/>
          <w:sz w:val="24"/>
          <w:szCs w:val="24"/>
        </w:rPr>
        <w:t xml:space="preserve"> some </w:t>
      </w:r>
      <w:r w:rsidR="00676699" w:rsidRPr="005927F3">
        <w:rPr>
          <w:rFonts w:cstheme="minorHAnsi"/>
          <w:sz w:val="24"/>
          <w:szCs w:val="24"/>
        </w:rPr>
        <w:t xml:space="preserve">limited </w:t>
      </w:r>
      <w:r w:rsidR="00CB4591" w:rsidRPr="005927F3">
        <w:rPr>
          <w:rFonts w:cstheme="minorHAnsi"/>
          <w:sz w:val="24"/>
          <w:szCs w:val="24"/>
        </w:rPr>
        <w:t xml:space="preserve">allowances for protecting one’s public self through defamation law. </w:t>
      </w:r>
      <w:r w:rsidR="00C44E2A" w:rsidRPr="005927F3">
        <w:rPr>
          <w:rFonts w:cstheme="minorHAnsi"/>
          <w:i/>
          <w:sz w:val="24"/>
          <w:szCs w:val="24"/>
        </w:rPr>
        <w:t>On the other hand,</w:t>
      </w:r>
      <w:r w:rsidR="00072095" w:rsidRPr="005927F3">
        <w:rPr>
          <w:rFonts w:cstheme="minorHAnsi"/>
          <w:sz w:val="24"/>
          <w:szCs w:val="24"/>
        </w:rPr>
        <w:t xml:space="preserve"> these</w:t>
      </w:r>
      <w:r w:rsidR="00C44E2A" w:rsidRPr="005927F3">
        <w:rPr>
          <w:rFonts w:cstheme="minorHAnsi"/>
          <w:sz w:val="24"/>
          <w:szCs w:val="24"/>
        </w:rPr>
        <w:t xml:space="preserve"> </w:t>
      </w:r>
      <w:r w:rsidR="00344044" w:rsidRPr="005927F3">
        <w:rPr>
          <w:rFonts w:cstheme="minorHAnsi"/>
          <w:sz w:val="24"/>
          <w:szCs w:val="24"/>
        </w:rPr>
        <w:t>rare</w:t>
      </w:r>
      <w:r w:rsidR="00C44E2A" w:rsidRPr="005927F3">
        <w:rPr>
          <w:rFonts w:cstheme="minorHAnsi"/>
          <w:sz w:val="24"/>
          <w:szCs w:val="24"/>
        </w:rPr>
        <w:t xml:space="preserve"> </w:t>
      </w:r>
      <w:r w:rsidR="00423F78" w:rsidRPr="005927F3">
        <w:rPr>
          <w:rFonts w:cstheme="minorHAnsi"/>
          <w:sz w:val="24"/>
          <w:szCs w:val="24"/>
        </w:rPr>
        <w:t>cases</w:t>
      </w:r>
      <w:r w:rsidR="00637F32" w:rsidRPr="005927F3">
        <w:rPr>
          <w:rFonts w:cstheme="minorHAnsi"/>
          <w:sz w:val="24"/>
          <w:szCs w:val="24"/>
        </w:rPr>
        <w:t xml:space="preserve"> </w:t>
      </w:r>
      <w:r w:rsidR="00344044" w:rsidRPr="005927F3">
        <w:rPr>
          <w:rFonts w:cstheme="minorHAnsi"/>
          <w:sz w:val="24"/>
          <w:szCs w:val="24"/>
        </w:rPr>
        <w:t xml:space="preserve">also </w:t>
      </w:r>
      <w:r w:rsidR="00A870B3" w:rsidRPr="005927F3">
        <w:rPr>
          <w:rFonts w:cstheme="minorHAnsi"/>
          <w:sz w:val="24"/>
          <w:szCs w:val="24"/>
        </w:rPr>
        <w:t>make</w:t>
      </w:r>
      <w:r w:rsidR="00C904A4" w:rsidRPr="005927F3">
        <w:rPr>
          <w:rFonts w:cstheme="minorHAnsi"/>
          <w:sz w:val="24"/>
          <w:szCs w:val="24"/>
        </w:rPr>
        <w:t xml:space="preserve"> </w:t>
      </w:r>
      <w:r w:rsidR="00A870B3" w:rsidRPr="005927F3">
        <w:rPr>
          <w:rFonts w:cstheme="minorHAnsi"/>
          <w:sz w:val="24"/>
          <w:szCs w:val="24"/>
        </w:rPr>
        <w:t xml:space="preserve">clear </w:t>
      </w:r>
      <w:r w:rsidR="00FD1747" w:rsidRPr="005927F3">
        <w:rPr>
          <w:rFonts w:cstheme="minorHAnsi"/>
          <w:sz w:val="24"/>
          <w:szCs w:val="24"/>
        </w:rPr>
        <w:t xml:space="preserve">that </w:t>
      </w:r>
      <w:r w:rsidR="009D0B23" w:rsidRPr="005927F3">
        <w:rPr>
          <w:rFonts w:cstheme="minorHAnsi"/>
          <w:sz w:val="24"/>
          <w:szCs w:val="24"/>
        </w:rPr>
        <w:t>personal responsibility</w:t>
      </w:r>
      <w:r w:rsidR="003967A7" w:rsidRPr="005927F3">
        <w:rPr>
          <w:rFonts w:cstheme="minorHAnsi"/>
          <w:sz w:val="24"/>
          <w:szCs w:val="24"/>
        </w:rPr>
        <w:t xml:space="preserve"> </w:t>
      </w:r>
      <w:r w:rsidR="009772B4" w:rsidRPr="005927F3">
        <w:rPr>
          <w:rFonts w:cstheme="minorHAnsi"/>
          <w:sz w:val="24"/>
          <w:szCs w:val="24"/>
        </w:rPr>
        <w:t>entails</w:t>
      </w:r>
      <w:r w:rsidR="003905DA" w:rsidRPr="005927F3">
        <w:rPr>
          <w:rFonts w:cstheme="minorHAnsi"/>
          <w:sz w:val="24"/>
          <w:szCs w:val="24"/>
        </w:rPr>
        <w:t xml:space="preserve"> </w:t>
      </w:r>
      <w:r w:rsidR="009772B4" w:rsidRPr="005927F3">
        <w:rPr>
          <w:rFonts w:cstheme="minorHAnsi"/>
          <w:sz w:val="24"/>
          <w:szCs w:val="24"/>
        </w:rPr>
        <w:t>taking</w:t>
      </w:r>
      <w:r w:rsidR="009D0B23" w:rsidRPr="005927F3">
        <w:rPr>
          <w:rFonts w:cstheme="minorHAnsi"/>
          <w:sz w:val="24"/>
          <w:szCs w:val="24"/>
        </w:rPr>
        <w:t xml:space="preserve"> responsibility </w:t>
      </w:r>
      <w:r w:rsidR="008A2B28" w:rsidRPr="005927F3">
        <w:rPr>
          <w:rFonts w:cstheme="minorHAnsi"/>
          <w:sz w:val="24"/>
          <w:szCs w:val="24"/>
        </w:rPr>
        <w:t>for one’s</w:t>
      </w:r>
      <w:r w:rsidR="008B158B" w:rsidRPr="005927F3">
        <w:rPr>
          <w:rFonts w:cstheme="minorHAnsi"/>
          <w:sz w:val="24"/>
          <w:szCs w:val="24"/>
        </w:rPr>
        <w:t xml:space="preserve"> past</w:t>
      </w:r>
      <w:r w:rsidR="009772B4" w:rsidRPr="005927F3">
        <w:rPr>
          <w:rFonts w:cstheme="minorHAnsi"/>
          <w:sz w:val="24"/>
          <w:szCs w:val="24"/>
        </w:rPr>
        <w:t xml:space="preserve"> </w:t>
      </w:r>
      <w:r w:rsidR="004E7355" w:rsidRPr="005927F3">
        <w:rPr>
          <w:rFonts w:cstheme="minorHAnsi"/>
          <w:sz w:val="24"/>
          <w:szCs w:val="24"/>
        </w:rPr>
        <w:t xml:space="preserve">actions and </w:t>
      </w:r>
      <w:r w:rsidR="009772B4" w:rsidRPr="005927F3">
        <w:rPr>
          <w:rFonts w:cstheme="minorHAnsi"/>
          <w:sz w:val="24"/>
          <w:szCs w:val="24"/>
        </w:rPr>
        <w:t>decisions</w:t>
      </w:r>
      <w:r w:rsidR="00E02A27" w:rsidRPr="005927F3">
        <w:rPr>
          <w:rFonts w:cstheme="minorHAnsi"/>
          <w:sz w:val="24"/>
          <w:szCs w:val="24"/>
        </w:rPr>
        <w:t xml:space="preserve">: </w:t>
      </w:r>
      <w:r w:rsidR="00957568" w:rsidRPr="005927F3">
        <w:rPr>
          <w:rFonts w:cstheme="minorHAnsi"/>
          <w:sz w:val="24"/>
          <w:szCs w:val="24"/>
        </w:rPr>
        <w:t>‘It would be evading responsibility for what one is doing to permit one to say that the later self is not the same self as the earlier se</w:t>
      </w:r>
      <w:r w:rsidR="0006199B" w:rsidRPr="005927F3">
        <w:rPr>
          <w:rFonts w:cstheme="minorHAnsi"/>
          <w:sz w:val="24"/>
          <w:szCs w:val="24"/>
        </w:rPr>
        <w:t>lf..</w:t>
      </w:r>
      <w:r w:rsidR="00957568" w:rsidRPr="005927F3">
        <w:rPr>
          <w:rFonts w:cstheme="minorHAnsi"/>
          <w:sz w:val="24"/>
          <w:szCs w:val="24"/>
        </w:rPr>
        <w:t>.’</w:t>
      </w:r>
      <w:r w:rsidR="00957568" w:rsidRPr="005927F3">
        <w:rPr>
          <w:rStyle w:val="FootnoteReference"/>
          <w:rFonts w:cstheme="minorHAnsi"/>
          <w:sz w:val="24"/>
          <w:szCs w:val="24"/>
        </w:rPr>
        <w:footnoteReference w:id="87"/>
      </w:r>
      <w:r w:rsidR="001379D7" w:rsidRPr="005927F3">
        <w:rPr>
          <w:rFonts w:cstheme="minorHAnsi"/>
          <w:sz w:val="24"/>
          <w:szCs w:val="24"/>
        </w:rPr>
        <w:t xml:space="preserve"> So w</w:t>
      </w:r>
      <w:r w:rsidR="003D185D" w:rsidRPr="005927F3">
        <w:rPr>
          <w:rFonts w:cstheme="minorHAnsi"/>
          <w:sz w:val="24"/>
          <w:szCs w:val="24"/>
        </w:rPr>
        <w:t xml:space="preserve">hilst personal </w:t>
      </w:r>
      <w:r w:rsidR="00312D47" w:rsidRPr="005927F3">
        <w:rPr>
          <w:rFonts w:cstheme="minorHAnsi"/>
          <w:sz w:val="24"/>
          <w:szCs w:val="24"/>
        </w:rPr>
        <w:t xml:space="preserve">autonomy, which underlies, </w:t>
      </w:r>
      <w:r w:rsidR="003D185D" w:rsidRPr="005927F3">
        <w:rPr>
          <w:rFonts w:cstheme="minorHAnsi"/>
          <w:sz w:val="24"/>
          <w:szCs w:val="24"/>
        </w:rPr>
        <w:t>and is protected by</w:t>
      </w:r>
      <w:r w:rsidR="00312D47" w:rsidRPr="005927F3">
        <w:rPr>
          <w:rFonts w:cstheme="minorHAnsi"/>
          <w:sz w:val="24"/>
          <w:szCs w:val="24"/>
        </w:rPr>
        <w:t>, privacy, assumes fluid personhood</w:t>
      </w:r>
      <w:r w:rsidR="003D185D" w:rsidRPr="005927F3">
        <w:rPr>
          <w:rFonts w:cstheme="minorHAnsi"/>
          <w:sz w:val="24"/>
          <w:szCs w:val="24"/>
        </w:rPr>
        <w:t xml:space="preserve"> capable of change and rei</w:t>
      </w:r>
      <w:r w:rsidR="00A46CD9" w:rsidRPr="005927F3">
        <w:rPr>
          <w:rFonts w:cstheme="minorHAnsi"/>
          <w:sz w:val="24"/>
          <w:szCs w:val="24"/>
        </w:rPr>
        <w:t>nvention, personal autonomy equally</w:t>
      </w:r>
      <w:r w:rsidR="003D185D" w:rsidRPr="005927F3">
        <w:rPr>
          <w:rFonts w:cstheme="minorHAnsi"/>
          <w:sz w:val="24"/>
          <w:szCs w:val="24"/>
        </w:rPr>
        <w:t xml:space="preserve"> entails personal responsibility, which includes taking </w:t>
      </w:r>
      <w:r w:rsidR="00A96B91" w:rsidRPr="005927F3">
        <w:rPr>
          <w:rFonts w:cstheme="minorHAnsi"/>
          <w:sz w:val="24"/>
          <w:szCs w:val="24"/>
        </w:rPr>
        <w:t>responsibility</w:t>
      </w:r>
      <w:r w:rsidR="00306572" w:rsidRPr="005927F3">
        <w:rPr>
          <w:rFonts w:cstheme="minorHAnsi"/>
          <w:sz w:val="24"/>
          <w:szCs w:val="24"/>
        </w:rPr>
        <w:t xml:space="preserve"> </w:t>
      </w:r>
      <w:r w:rsidR="003D185D" w:rsidRPr="005927F3">
        <w:rPr>
          <w:rFonts w:cstheme="minorHAnsi"/>
          <w:sz w:val="24"/>
          <w:szCs w:val="24"/>
        </w:rPr>
        <w:t xml:space="preserve">for </w:t>
      </w:r>
      <w:r w:rsidR="00E02A27" w:rsidRPr="005927F3">
        <w:rPr>
          <w:rFonts w:cstheme="minorHAnsi"/>
          <w:sz w:val="24"/>
          <w:szCs w:val="24"/>
        </w:rPr>
        <w:t xml:space="preserve">one’s </w:t>
      </w:r>
      <w:r w:rsidR="003D185D" w:rsidRPr="005927F3">
        <w:rPr>
          <w:rFonts w:cstheme="minorHAnsi"/>
          <w:sz w:val="24"/>
          <w:szCs w:val="24"/>
        </w:rPr>
        <w:t>past</w:t>
      </w:r>
      <w:r w:rsidR="00E02A27" w:rsidRPr="005927F3">
        <w:rPr>
          <w:rFonts w:cstheme="minorHAnsi"/>
          <w:sz w:val="24"/>
          <w:szCs w:val="24"/>
        </w:rPr>
        <w:t>.</w:t>
      </w:r>
      <w:r w:rsidR="006128BF" w:rsidRPr="005927F3">
        <w:rPr>
          <w:rFonts w:cstheme="minorHAnsi"/>
          <w:sz w:val="24"/>
          <w:szCs w:val="24"/>
        </w:rPr>
        <w:t xml:space="preserve"> </w:t>
      </w:r>
      <w:proofErr w:type="gramStart"/>
      <w:r w:rsidR="00770317" w:rsidRPr="005927F3">
        <w:rPr>
          <w:rFonts w:cstheme="minorHAnsi"/>
          <w:sz w:val="24"/>
          <w:szCs w:val="24"/>
        </w:rPr>
        <w:t>So</w:t>
      </w:r>
      <w:proofErr w:type="gramEnd"/>
      <w:r w:rsidR="00770317" w:rsidRPr="005927F3">
        <w:rPr>
          <w:rFonts w:cstheme="minorHAnsi"/>
          <w:sz w:val="24"/>
          <w:szCs w:val="24"/>
        </w:rPr>
        <w:t xml:space="preserve"> </w:t>
      </w:r>
      <w:r w:rsidR="003F3BE8" w:rsidRPr="005927F3">
        <w:rPr>
          <w:rFonts w:cstheme="minorHAnsi"/>
          <w:sz w:val="24"/>
          <w:szCs w:val="24"/>
        </w:rPr>
        <w:t>w</w:t>
      </w:r>
      <w:r w:rsidR="006128BF" w:rsidRPr="005927F3">
        <w:rPr>
          <w:rFonts w:cstheme="minorHAnsi"/>
          <w:sz w:val="24"/>
          <w:szCs w:val="24"/>
        </w:rPr>
        <w:t>iping the slate</w:t>
      </w:r>
      <w:r w:rsidR="00032D43" w:rsidRPr="005927F3">
        <w:rPr>
          <w:rFonts w:cstheme="minorHAnsi"/>
          <w:sz w:val="24"/>
          <w:szCs w:val="24"/>
        </w:rPr>
        <w:t xml:space="preserve"> fully </w:t>
      </w:r>
      <w:r w:rsidR="006128BF" w:rsidRPr="005927F3">
        <w:rPr>
          <w:rFonts w:cstheme="minorHAnsi"/>
          <w:sz w:val="24"/>
          <w:szCs w:val="24"/>
        </w:rPr>
        <w:t xml:space="preserve">clean </w:t>
      </w:r>
      <w:r w:rsidR="001C7100" w:rsidRPr="005927F3">
        <w:rPr>
          <w:rFonts w:cstheme="minorHAnsi"/>
          <w:sz w:val="24"/>
          <w:szCs w:val="24"/>
        </w:rPr>
        <w:t>cannot but</w:t>
      </w:r>
      <w:r w:rsidR="00A46CD9" w:rsidRPr="005927F3">
        <w:rPr>
          <w:rFonts w:cstheme="minorHAnsi"/>
          <w:sz w:val="24"/>
          <w:szCs w:val="24"/>
        </w:rPr>
        <w:t xml:space="preserve"> be exceptional</w:t>
      </w:r>
      <w:r w:rsidR="006128BF" w:rsidRPr="005927F3">
        <w:rPr>
          <w:rFonts w:cstheme="minorHAnsi"/>
          <w:sz w:val="24"/>
          <w:szCs w:val="24"/>
        </w:rPr>
        <w:t>.</w:t>
      </w:r>
      <w:r w:rsidR="00503934" w:rsidRPr="005927F3">
        <w:rPr>
          <w:rFonts w:cstheme="minorHAnsi"/>
          <w:sz w:val="24"/>
          <w:szCs w:val="24"/>
        </w:rPr>
        <w:t xml:space="preserve"> </w:t>
      </w:r>
      <w:r w:rsidR="00676699" w:rsidRPr="005927F3">
        <w:rPr>
          <w:rFonts w:cstheme="minorHAnsi"/>
          <w:sz w:val="24"/>
          <w:szCs w:val="24"/>
        </w:rPr>
        <w:t>Again,</w:t>
      </w:r>
      <w:r w:rsidR="00CB4591" w:rsidRPr="005927F3">
        <w:rPr>
          <w:rFonts w:cstheme="minorHAnsi"/>
          <w:sz w:val="24"/>
          <w:szCs w:val="24"/>
        </w:rPr>
        <w:t xml:space="preserve"> e</w:t>
      </w:r>
      <w:r w:rsidR="005A753E" w:rsidRPr="005927F3">
        <w:rPr>
          <w:rFonts w:cstheme="minorHAnsi"/>
          <w:sz w:val="24"/>
          <w:szCs w:val="24"/>
        </w:rPr>
        <w:t>ven common</w:t>
      </w:r>
      <w:r w:rsidR="006128BF" w:rsidRPr="005927F3">
        <w:rPr>
          <w:rFonts w:cstheme="minorHAnsi"/>
          <w:sz w:val="24"/>
          <w:szCs w:val="24"/>
        </w:rPr>
        <w:t xml:space="preserve"> law jurisdictions </w:t>
      </w:r>
      <w:r w:rsidR="007158E1" w:rsidRPr="005927F3">
        <w:rPr>
          <w:rFonts w:cstheme="minorHAnsi"/>
          <w:sz w:val="24"/>
          <w:szCs w:val="24"/>
        </w:rPr>
        <w:t xml:space="preserve">have long made protective </w:t>
      </w:r>
      <w:r w:rsidR="006128BF" w:rsidRPr="005927F3">
        <w:rPr>
          <w:rFonts w:cstheme="minorHAnsi"/>
          <w:sz w:val="24"/>
          <w:szCs w:val="24"/>
        </w:rPr>
        <w:t>interventions</w:t>
      </w:r>
      <w:r w:rsidR="00FD1747" w:rsidRPr="005927F3">
        <w:rPr>
          <w:rFonts w:cstheme="minorHAnsi"/>
          <w:sz w:val="24"/>
          <w:szCs w:val="24"/>
        </w:rPr>
        <w:t xml:space="preserve"> </w:t>
      </w:r>
      <w:r w:rsidR="006128BF" w:rsidRPr="005927F3">
        <w:rPr>
          <w:rFonts w:cstheme="minorHAnsi"/>
          <w:sz w:val="24"/>
          <w:szCs w:val="24"/>
        </w:rPr>
        <w:t>through</w:t>
      </w:r>
      <w:r w:rsidR="00ED216A" w:rsidRPr="005927F3">
        <w:rPr>
          <w:rFonts w:cstheme="minorHAnsi"/>
          <w:sz w:val="24"/>
          <w:szCs w:val="24"/>
        </w:rPr>
        <w:t xml:space="preserve"> </w:t>
      </w:r>
      <w:r w:rsidR="00CB4591" w:rsidRPr="005927F3">
        <w:rPr>
          <w:rFonts w:cstheme="minorHAnsi"/>
          <w:sz w:val="24"/>
          <w:szCs w:val="24"/>
        </w:rPr>
        <w:t>‘</w:t>
      </w:r>
      <w:r w:rsidR="00852BB2" w:rsidRPr="005927F3">
        <w:rPr>
          <w:rFonts w:cstheme="minorHAnsi"/>
          <w:sz w:val="24"/>
          <w:szCs w:val="24"/>
        </w:rPr>
        <w:t>forgetting</w:t>
      </w:r>
      <w:r w:rsidR="00CB4591" w:rsidRPr="005927F3">
        <w:rPr>
          <w:rFonts w:cstheme="minorHAnsi"/>
          <w:sz w:val="24"/>
          <w:szCs w:val="24"/>
        </w:rPr>
        <w:t>’</w:t>
      </w:r>
      <w:r w:rsidR="00AF1858" w:rsidRPr="005927F3">
        <w:rPr>
          <w:rFonts w:cstheme="minorHAnsi"/>
          <w:sz w:val="24"/>
          <w:szCs w:val="24"/>
        </w:rPr>
        <w:t xml:space="preserve"> </w:t>
      </w:r>
      <w:r w:rsidR="005E1E87" w:rsidRPr="005927F3">
        <w:rPr>
          <w:rFonts w:cstheme="minorHAnsi"/>
          <w:sz w:val="24"/>
          <w:szCs w:val="24"/>
        </w:rPr>
        <w:t>concept</w:t>
      </w:r>
      <w:r w:rsidR="006128BF" w:rsidRPr="005927F3">
        <w:rPr>
          <w:rFonts w:cstheme="minorHAnsi"/>
          <w:sz w:val="24"/>
          <w:szCs w:val="24"/>
        </w:rPr>
        <w:t>s</w:t>
      </w:r>
      <w:r w:rsidR="008B158B" w:rsidRPr="005927F3">
        <w:rPr>
          <w:rFonts w:cstheme="minorHAnsi"/>
          <w:sz w:val="24"/>
          <w:szCs w:val="24"/>
        </w:rPr>
        <w:t>, such as</w:t>
      </w:r>
      <w:r w:rsidR="006128BF" w:rsidRPr="005927F3">
        <w:rPr>
          <w:rFonts w:cstheme="minorHAnsi"/>
          <w:sz w:val="24"/>
          <w:szCs w:val="24"/>
        </w:rPr>
        <w:t xml:space="preserve"> bankruptcy or </w:t>
      </w:r>
      <w:r w:rsidR="00CB4591" w:rsidRPr="005927F3">
        <w:rPr>
          <w:rFonts w:cstheme="minorHAnsi"/>
          <w:sz w:val="24"/>
          <w:szCs w:val="24"/>
        </w:rPr>
        <w:t xml:space="preserve">the idea of </w:t>
      </w:r>
      <w:r w:rsidR="008B158B" w:rsidRPr="005927F3">
        <w:rPr>
          <w:rFonts w:cstheme="minorHAnsi"/>
          <w:sz w:val="24"/>
          <w:szCs w:val="24"/>
        </w:rPr>
        <w:t xml:space="preserve">spent </w:t>
      </w:r>
      <w:r w:rsidR="00A65D44" w:rsidRPr="005927F3">
        <w:rPr>
          <w:rFonts w:cstheme="minorHAnsi"/>
          <w:sz w:val="24"/>
          <w:szCs w:val="24"/>
        </w:rPr>
        <w:t>convictions</w:t>
      </w:r>
      <w:r w:rsidR="00AF1858" w:rsidRPr="005927F3">
        <w:rPr>
          <w:rFonts w:cstheme="minorHAnsi"/>
          <w:sz w:val="24"/>
          <w:szCs w:val="24"/>
        </w:rPr>
        <w:t>.</w:t>
      </w:r>
      <w:r w:rsidR="005E1E87" w:rsidRPr="005927F3">
        <w:rPr>
          <w:rStyle w:val="FootnoteReference"/>
          <w:rFonts w:cstheme="minorHAnsi"/>
          <w:sz w:val="24"/>
          <w:szCs w:val="24"/>
        </w:rPr>
        <w:footnoteReference w:id="88"/>
      </w:r>
      <w:r w:rsidR="00DE33CD" w:rsidRPr="005927F3">
        <w:rPr>
          <w:rFonts w:cstheme="minorHAnsi"/>
          <w:sz w:val="24"/>
          <w:szCs w:val="24"/>
        </w:rPr>
        <w:t xml:space="preserve"> </w:t>
      </w:r>
      <w:r w:rsidR="00AF1858" w:rsidRPr="005927F3">
        <w:rPr>
          <w:rFonts w:cstheme="minorHAnsi"/>
          <w:sz w:val="24"/>
          <w:szCs w:val="24"/>
        </w:rPr>
        <w:t xml:space="preserve">These </w:t>
      </w:r>
      <w:r w:rsidR="00A870B3" w:rsidRPr="005927F3">
        <w:rPr>
          <w:rFonts w:cstheme="minorHAnsi"/>
          <w:sz w:val="24"/>
          <w:szCs w:val="24"/>
        </w:rPr>
        <w:t>recognise</w:t>
      </w:r>
      <w:r w:rsidR="00AF1858" w:rsidRPr="005927F3">
        <w:rPr>
          <w:rFonts w:cstheme="minorHAnsi"/>
          <w:sz w:val="24"/>
          <w:szCs w:val="24"/>
        </w:rPr>
        <w:t xml:space="preserve"> that </w:t>
      </w:r>
      <w:r w:rsidR="008B158B" w:rsidRPr="005927F3">
        <w:rPr>
          <w:rFonts w:cstheme="minorHAnsi"/>
          <w:sz w:val="24"/>
          <w:szCs w:val="24"/>
        </w:rPr>
        <w:t xml:space="preserve">some </w:t>
      </w:r>
      <w:r w:rsidR="00312D47" w:rsidRPr="005927F3">
        <w:rPr>
          <w:rFonts w:cstheme="minorHAnsi"/>
          <w:sz w:val="24"/>
          <w:szCs w:val="24"/>
        </w:rPr>
        <w:t>past action</w:t>
      </w:r>
      <w:r w:rsidR="008A2B28" w:rsidRPr="005927F3">
        <w:rPr>
          <w:rFonts w:cstheme="minorHAnsi"/>
          <w:sz w:val="24"/>
          <w:szCs w:val="24"/>
        </w:rPr>
        <w:t>s have been</w:t>
      </w:r>
      <w:r w:rsidR="005A753E" w:rsidRPr="005927F3">
        <w:rPr>
          <w:rFonts w:cstheme="minorHAnsi"/>
          <w:sz w:val="24"/>
          <w:szCs w:val="24"/>
        </w:rPr>
        <w:t xml:space="preserve"> sufficiently </w:t>
      </w:r>
      <w:r w:rsidR="003F3BE8" w:rsidRPr="005927F3">
        <w:rPr>
          <w:rFonts w:cstheme="minorHAnsi"/>
          <w:sz w:val="24"/>
          <w:szCs w:val="24"/>
        </w:rPr>
        <w:t xml:space="preserve">paid for, or </w:t>
      </w:r>
      <w:r w:rsidR="008A2B28" w:rsidRPr="005927F3">
        <w:rPr>
          <w:rFonts w:cstheme="minorHAnsi"/>
          <w:sz w:val="24"/>
          <w:szCs w:val="24"/>
        </w:rPr>
        <w:t>carry</w:t>
      </w:r>
      <w:r w:rsidR="00AF1858" w:rsidRPr="005927F3">
        <w:rPr>
          <w:rFonts w:cstheme="minorHAnsi"/>
          <w:sz w:val="24"/>
          <w:szCs w:val="24"/>
        </w:rPr>
        <w:t xml:space="preserve"> </w:t>
      </w:r>
      <w:r w:rsidR="00306572" w:rsidRPr="005927F3">
        <w:rPr>
          <w:rFonts w:cstheme="minorHAnsi"/>
          <w:sz w:val="24"/>
          <w:szCs w:val="24"/>
        </w:rPr>
        <w:t xml:space="preserve">potentially crippling long-term </w:t>
      </w:r>
      <w:r w:rsidR="00AF1858" w:rsidRPr="005927F3">
        <w:rPr>
          <w:rFonts w:cstheme="minorHAnsi"/>
          <w:sz w:val="24"/>
          <w:szCs w:val="24"/>
        </w:rPr>
        <w:t>consequences</w:t>
      </w:r>
      <w:r w:rsidR="008A2B28" w:rsidRPr="005927F3">
        <w:rPr>
          <w:rFonts w:cstheme="minorHAnsi"/>
          <w:sz w:val="24"/>
          <w:szCs w:val="24"/>
        </w:rPr>
        <w:t>,</w:t>
      </w:r>
      <w:r w:rsidR="00AF1858" w:rsidRPr="005927F3">
        <w:rPr>
          <w:rFonts w:cstheme="minorHAnsi"/>
          <w:sz w:val="24"/>
          <w:szCs w:val="24"/>
        </w:rPr>
        <w:t xml:space="preserve"> </w:t>
      </w:r>
      <w:r w:rsidR="00CF669F" w:rsidRPr="005927F3">
        <w:rPr>
          <w:rFonts w:cstheme="minorHAnsi"/>
          <w:sz w:val="24"/>
          <w:szCs w:val="24"/>
        </w:rPr>
        <w:t>and that the</w:t>
      </w:r>
      <w:r w:rsidR="00AF1858" w:rsidRPr="005927F3">
        <w:rPr>
          <w:rFonts w:cstheme="minorHAnsi"/>
          <w:sz w:val="24"/>
          <w:szCs w:val="24"/>
        </w:rPr>
        <w:t xml:space="preserve"> </w:t>
      </w:r>
      <w:r w:rsidR="008B158B" w:rsidRPr="005927F3">
        <w:rPr>
          <w:rFonts w:cstheme="minorHAnsi"/>
          <w:sz w:val="24"/>
          <w:szCs w:val="24"/>
        </w:rPr>
        <w:t>community</w:t>
      </w:r>
      <w:r w:rsidR="00CF669F" w:rsidRPr="005927F3">
        <w:rPr>
          <w:rFonts w:cstheme="minorHAnsi"/>
          <w:sz w:val="24"/>
          <w:szCs w:val="24"/>
        </w:rPr>
        <w:t xml:space="preserve"> has an interest</w:t>
      </w:r>
      <w:r w:rsidR="008A54B4" w:rsidRPr="005927F3">
        <w:rPr>
          <w:rFonts w:cstheme="minorHAnsi"/>
          <w:sz w:val="24"/>
          <w:szCs w:val="24"/>
        </w:rPr>
        <w:t xml:space="preserve"> in reintegrating </w:t>
      </w:r>
      <w:r w:rsidR="00AE3BC2" w:rsidRPr="005927F3">
        <w:rPr>
          <w:rFonts w:cstheme="minorHAnsi"/>
          <w:sz w:val="24"/>
          <w:szCs w:val="24"/>
        </w:rPr>
        <w:t>fallen persons back</w:t>
      </w:r>
      <w:r w:rsidR="008A54B4" w:rsidRPr="005927F3">
        <w:rPr>
          <w:rFonts w:cstheme="minorHAnsi"/>
          <w:sz w:val="24"/>
          <w:szCs w:val="24"/>
        </w:rPr>
        <w:t xml:space="preserve"> in society.</w:t>
      </w:r>
      <w:r w:rsidR="005A753E" w:rsidRPr="005927F3">
        <w:rPr>
          <w:rFonts w:cstheme="minorHAnsi"/>
          <w:sz w:val="24"/>
          <w:szCs w:val="24"/>
        </w:rPr>
        <w:t xml:space="preserve"> </w:t>
      </w:r>
      <w:r w:rsidR="007158E1" w:rsidRPr="005927F3">
        <w:rPr>
          <w:rFonts w:cstheme="minorHAnsi"/>
          <w:sz w:val="24"/>
          <w:szCs w:val="24"/>
        </w:rPr>
        <w:t>Yet, the GDPR’s</w:t>
      </w:r>
      <w:r w:rsidR="00994CE9" w:rsidRPr="005927F3">
        <w:rPr>
          <w:rFonts w:cstheme="minorHAnsi"/>
          <w:sz w:val="24"/>
          <w:szCs w:val="24"/>
        </w:rPr>
        <w:t xml:space="preserve"> right to be forgotten </w:t>
      </w:r>
      <w:r w:rsidR="00AE3BC2" w:rsidRPr="005927F3">
        <w:rPr>
          <w:rFonts w:cstheme="minorHAnsi"/>
          <w:sz w:val="24"/>
          <w:szCs w:val="24"/>
        </w:rPr>
        <w:t>provides for a more</w:t>
      </w:r>
      <w:r w:rsidR="002870D5" w:rsidRPr="005927F3">
        <w:rPr>
          <w:rFonts w:cstheme="minorHAnsi"/>
          <w:sz w:val="24"/>
          <w:szCs w:val="24"/>
        </w:rPr>
        <w:t xml:space="preserve"> embracing forg</w:t>
      </w:r>
      <w:r w:rsidR="00F47853" w:rsidRPr="005927F3">
        <w:rPr>
          <w:rFonts w:cstheme="minorHAnsi"/>
          <w:sz w:val="24"/>
          <w:szCs w:val="24"/>
        </w:rPr>
        <w:t>etting concept</w:t>
      </w:r>
      <w:r w:rsidR="007872CB" w:rsidRPr="005927F3">
        <w:rPr>
          <w:rFonts w:cstheme="minorHAnsi"/>
          <w:sz w:val="24"/>
          <w:szCs w:val="24"/>
        </w:rPr>
        <w:t>.</w:t>
      </w:r>
      <w:r w:rsidR="00FB181C" w:rsidRPr="005927F3">
        <w:rPr>
          <w:rStyle w:val="FootnoteReference"/>
          <w:rFonts w:cstheme="minorHAnsi"/>
          <w:sz w:val="24"/>
          <w:szCs w:val="24"/>
        </w:rPr>
        <w:footnoteReference w:id="89"/>
      </w:r>
    </w:p>
    <w:p w14:paraId="05DFD74E" w14:textId="77777777" w:rsidR="00052FF6" w:rsidRPr="005927F3" w:rsidRDefault="00052FF6" w:rsidP="008B308D">
      <w:pPr>
        <w:autoSpaceDE w:val="0"/>
        <w:autoSpaceDN w:val="0"/>
        <w:adjustRightInd w:val="0"/>
        <w:spacing w:after="0" w:line="240" w:lineRule="auto"/>
        <w:jc w:val="both"/>
        <w:rPr>
          <w:rFonts w:cstheme="minorHAnsi"/>
          <w:sz w:val="24"/>
          <w:szCs w:val="24"/>
        </w:rPr>
      </w:pPr>
    </w:p>
    <w:p w14:paraId="70AA75FA" w14:textId="629E91DD" w:rsidR="0022095C" w:rsidRPr="005927F3" w:rsidRDefault="00F47853" w:rsidP="008B308D">
      <w:pPr>
        <w:autoSpaceDE w:val="0"/>
        <w:autoSpaceDN w:val="0"/>
        <w:adjustRightInd w:val="0"/>
        <w:spacing w:after="0" w:line="240" w:lineRule="auto"/>
        <w:jc w:val="both"/>
        <w:rPr>
          <w:rFonts w:cstheme="minorHAnsi"/>
          <w:sz w:val="24"/>
          <w:szCs w:val="24"/>
        </w:rPr>
      </w:pPr>
      <w:r w:rsidRPr="005927F3">
        <w:rPr>
          <w:rFonts w:cstheme="minorHAnsi"/>
          <w:sz w:val="24"/>
          <w:szCs w:val="24"/>
        </w:rPr>
        <w:t>A</w:t>
      </w:r>
      <w:r w:rsidR="001C7100" w:rsidRPr="005927F3">
        <w:rPr>
          <w:rFonts w:cstheme="minorHAnsi"/>
          <w:sz w:val="24"/>
          <w:szCs w:val="24"/>
        </w:rPr>
        <w:t>n</w:t>
      </w:r>
      <w:r w:rsidR="00C878E6" w:rsidRPr="005927F3">
        <w:rPr>
          <w:rFonts w:cstheme="minorHAnsi"/>
          <w:sz w:val="24"/>
          <w:szCs w:val="24"/>
        </w:rPr>
        <w:t xml:space="preserve"> authoritative</w:t>
      </w:r>
      <w:r w:rsidR="001C7100" w:rsidRPr="005927F3">
        <w:rPr>
          <w:rFonts w:cstheme="minorHAnsi"/>
          <w:sz w:val="24"/>
          <w:szCs w:val="24"/>
        </w:rPr>
        <w:t xml:space="preserve"> </w:t>
      </w:r>
      <w:r w:rsidR="00FB4796" w:rsidRPr="005927F3">
        <w:rPr>
          <w:rFonts w:cstheme="minorHAnsi"/>
          <w:sz w:val="24"/>
          <w:szCs w:val="24"/>
        </w:rPr>
        <w:t>interpretation of</w:t>
      </w:r>
      <w:r w:rsidR="00541240" w:rsidRPr="005927F3">
        <w:rPr>
          <w:rFonts w:cstheme="minorHAnsi"/>
          <w:sz w:val="24"/>
          <w:szCs w:val="24"/>
        </w:rPr>
        <w:t xml:space="preserve"> the right to be forgotten</w:t>
      </w:r>
      <w:r w:rsidR="0049358D" w:rsidRPr="005927F3">
        <w:rPr>
          <w:rFonts w:cstheme="minorHAnsi"/>
          <w:sz w:val="24"/>
          <w:szCs w:val="24"/>
        </w:rPr>
        <w:t xml:space="preserve"> </w:t>
      </w:r>
      <w:r w:rsidR="00676699" w:rsidRPr="005927F3">
        <w:rPr>
          <w:rFonts w:cstheme="minorHAnsi"/>
          <w:sz w:val="24"/>
          <w:szCs w:val="24"/>
        </w:rPr>
        <w:t xml:space="preserve">through the CJEU </w:t>
      </w:r>
      <w:r w:rsidR="008627BA" w:rsidRPr="005927F3">
        <w:rPr>
          <w:rFonts w:cstheme="minorHAnsi"/>
          <w:sz w:val="24"/>
          <w:szCs w:val="24"/>
        </w:rPr>
        <w:t>–</w:t>
      </w:r>
      <w:r w:rsidR="00676699" w:rsidRPr="005927F3">
        <w:rPr>
          <w:rFonts w:cstheme="minorHAnsi"/>
          <w:sz w:val="24"/>
          <w:szCs w:val="24"/>
        </w:rPr>
        <w:t xml:space="preserve"> well versed in </w:t>
      </w:r>
      <w:r w:rsidR="00344044" w:rsidRPr="005927F3">
        <w:rPr>
          <w:rFonts w:cstheme="minorHAnsi"/>
          <w:sz w:val="24"/>
          <w:szCs w:val="24"/>
        </w:rPr>
        <w:t xml:space="preserve">data protection </w:t>
      </w:r>
      <w:r w:rsidR="00676699" w:rsidRPr="005927F3">
        <w:rPr>
          <w:rFonts w:cstheme="minorHAnsi"/>
          <w:sz w:val="24"/>
          <w:szCs w:val="24"/>
        </w:rPr>
        <w:t xml:space="preserve">law </w:t>
      </w:r>
      <w:r w:rsidR="00344044" w:rsidRPr="005927F3">
        <w:rPr>
          <w:rFonts w:cstheme="minorHAnsi"/>
          <w:sz w:val="24"/>
          <w:szCs w:val="24"/>
        </w:rPr>
        <w:t xml:space="preserve">and </w:t>
      </w:r>
      <w:r w:rsidR="00C878E6" w:rsidRPr="005927F3">
        <w:rPr>
          <w:rFonts w:cstheme="minorHAnsi"/>
          <w:sz w:val="24"/>
          <w:szCs w:val="24"/>
        </w:rPr>
        <w:t xml:space="preserve">the idea </w:t>
      </w:r>
      <w:r w:rsidR="00344044" w:rsidRPr="005927F3">
        <w:rPr>
          <w:rFonts w:cstheme="minorHAnsi"/>
          <w:sz w:val="24"/>
          <w:szCs w:val="24"/>
        </w:rPr>
        <w:t>of privacy</w:t>
      </w:r>
      <w:r w:rsidR="007158E1" w:rsidRPr="005927F3">
        <w:rPr>
          <w:rFonts w:cstheme="minorHAnsi"/>
          <w:sz w:val="24"/>
          <w:szCs w:val="24"/>
        </w:rPr>
        <w:t>-in-</w:t>
      </w:r>
      <w:r w:rsidR="00344044" w:rsidRPr="005927F3">
        <w:rPr>
          <w:rFonts w:cstheme="minorHAnsi"/>
          <w:sz w:val="24"/>
          <w:szCs w:val="24"/>
        </w:rPr>
        <w:t>public</w:t>
      </w:r>
      <w:r w:rsidR="000646D4" w:rsidRPr="005927F3">
        <w:rPr>
          <w:rFonts w:cstheme="minorHAnsi"/>
          <w:sz w:val="24"/>
          <w:szCs w:val="24"/>
        </w:rPr>
        <w:t xml:space="preserve"> even in testing contexts</w:t>
      </w:r>
      <w:r w:rsidR="00676699" w:rsidRPr="005927F3">
        <w:rPr>
          <w:rFonts w:cstheme="minorHAnsi"/>
          <w:sz w:val="24"/>
          <w:szCs w:val="24"/>
        </w:rPr>
        <w:t xml:space="preserve"> –</w:t>
      </w:r>
      <w:r w:rsidR="000646D4" w:rsidRPr="005927F3">
        <w:rPr>
          <w:rFonts w:cstheme="minorHAnsi"/>
          <w:sz w:val="24"/>
          <w:szCs w:val="24"/>
        </w:rPr>
        <w:t xml:space="preserve"> </w:t>
      </w:r>
      <w:r w:rsidR="00676699" w:rsidRPr="005927F3">
        <w:rPr>
          <w:rFonts w:cstheme="minorHAnsi"/>
          <w:sz w:val="24"/>
          <w:szCs w:val="24"/>
        </w:rPr>
        <w:t>can be found in</w:t>
      </w:r>
      <w:r w:rsidR="00344044" w:rsidRPr="005927F3">
        <w:rPr>
          <w:rFonts w:cstheme="minorHAnsi"/>
          <w:sz w:val="24"/>
          <w:szCs w:val="24"/>
        </w:rPr>
        <w:t xml:space="preserve"> </w:t>
      </w:r>
      <w:r w:rsidR="000930B3" w:rsidRPr="005927F3">
        <w:rPr>
          <w:rFonts w:cstheme="minorHAnsi"/>
          <w:i/>
          <w:sz w:val="24"/>
          <w:szCs w:val="24"/>
        </w:rPr>
        <w:t>GC</w:t>
      </w:r>
      <w:r w:rsidR="00207D3A" w:rsidRPr="005927F3">
        <w:rPr>
          <w:rFonts w:cstheme="minorHAnsi"/>
          <w:i/>
          <w:sz w:val="24"/>
          <w:szCs w:val="24"/>
        </w:rPr>
        <w:t xml:space="preserve"> and others</w:t>
      </w:r>
      <w:r w:rsidR="000930B3" w:rsidRPr="005927F3">
        <w:rPr>
          <w:rFonts w:cstheme="minorHAnsi"/>
          <w:i/>
          <w:sz w:val="24"/>
          <w:szCs w:val="24"/>
        </w:rPr>
        <w:t xml:space="preserve"> v CNIL and Google</w:t>
      </w:r>
      <w:r w:rsidR="000930B3" w:rsidRPr="005927F3">
        <w:rPr>
          <w:rFonts w:cstheme="minorHAnsi"/>
          <w:sz w:val="24"/>
          <w:szCs w:val="24"/>
        </w:rPr>
        <w:t xml:space="preserve"> (2019)</w:t>
      </w:r>
      <w:r w:rsidR="003B0453" w:rsidRPr="005927F3">
        <w:rPr>
          <w:rStyle w:val="FootnoteReference"/>
          <w:rFonts w:cstheme="minorHAnsi"/>
          <w:sz w:val="24"/>
          <w:szCs w:val="24"/>
        </w:rPr>
        <w:footnoteReference w:id="90"/>
      </w:r>
      <w:r w:rsidRPr="005927F3">
        <w:rPr>
          <w:rFonts w:cstheme="minorHAnsi"/>
          <w:sz w:val="24"/>
          <w:szCs w:val="24"/>
        </w:rPr>
        <w:t xml:space="preserve"> </w:t>
      </w:r>
      <w:r w:rsidR="00195CFC" w:rsidRPr="005927F3">
        <w:rPr>
          <w:rFonts w:cstheme="minorHAnsi"/>
          <w:sz w:val="24"/>
          <w:szCs w:val="24"/>
        </w:rPr>
        <w:t>[</w:t>
      </w:r>
      <w:r w:rsidR="00195CFC" w:rsidRPr="005927F3">
        <w:rPr>
          <w:rFonts w:cstheme="minorHAnsi"/>
          <w:i/>
          <w:sz w:val="24"/>
          <w:szCs w:val="24"/>
        </w:rPr>
        <w:t xml:space="preserve">GC and </w:t>
      </w:r>
      <w:proofErr w:type="spellStart"/>
      <w:r w:rsidR="0082584C" w:rsidRPr="005927F3">
        <w:rPr>
          <w:rFonts w:cstheme="minorHAnsi"/>
          <w:i/>
          <w:sz w:val="24"/>
          <w:szCs w:val="24"/>
        </w:rPr>
        <w:t>Or</w:t>
      </w:r>
      <w:r w:rsidR="00195CFC" w:rsidRPr="005927F3">
        <w:rPr>
          <w:rFonts w:cstheme="minorHAnsi"/>
          <w:i/>
          <w:sz w:val="24"/>
          <w:szCs w:val="24"/>
        </w:rPr>
        <w:t>s</w:t>
      </w:r>
      <w:proofErr w:type="spellEnd"/>
      <w:r w:rsidR="00195CFC" w:rsidRPr="005927F3">
        <w:rPr>
          <w:rFonts w:cstheme="minorHAnsi"/>
          <w:sz w:val="24"/>
          <w:szCs w:val="24"/>
        </w:rPr>
        <w:t>]</w:t>
      </w:r>
      <w:r w:rsidR="00344044" w:rsidRPr="005927F3">
        <w:rPr>
          <w:rFonts w:cstheme="minorHAnsi"/>
          <w:sz w:val="24"/>
          <w:szCs w:val="24"/>
        </w:rPr>
        <w:t>. Here</w:t>
      </w:r>
      <w:r w:rsidR="00052FF6" w:rsidRPr="005927F3">
        <w:rPr>
          <w:rFonts w:cstheme="minorHAnsi"/>
          <w:sz w:val="24"/>
          <w:szCs w:val="24"/>
        </w:rPr>
        <w:t xml:space="preserve"> the CJEU was asked </w:t>
      </w:r>
      <w:r w:rsidR="00994CE9" w:rsidRPr="005927F3">
        <w:rPr>
          <w:rFonts w:cstheme="minorHAnsi"/>
          <w:sz w:val="24"/>
          <w:szCs w:val="24"/>
        </w:rPr>
        <w:t>whether and how search engines c</w:t>
      </w:r>
      <w:r w:rsidR="00052FF6" w:rsidRPr="005927F3">
        <w:rPr>
          <w:rFonts w:cstheme="minorHAnsi"/>
          <w:sz w:val="24"/>
          <w:szCs w:val="24"/>
        </w:rPr>
        <w:t xml:space="preserve">ould </w:t>
      </w:r>
      <w:r w:rsidR="0049358D" w:rsidRPr="005927F3">
        <w:rPr>
          <w:rFonts w:cstheme="minorHAnsi"/>
          <w:sz w:val="24"/>
          <w:szCs w:val="24"/>
        </w:rPr>
        <w:t>handle</w:t>
      </w:r>
      <w:r w:rsidR="00052FF6" w:rsidRPr="005927F3">
        <w:rPr>
          <w:rFonts w:cstheme="minorHAnsi"/>
          <w:sz w:val="24"/>
          <w:szCs w:val="24"/>
        </w:rPr>
        <w:t xml:space="preserve"> ‘sensitive personal data’</w:t>
      </w:r>
      <w:r w:rsidR="0049358D" w:rsidRPr="005927F3">
        <w:rPr>
          <w:rFonts w:cstheme="minorHAnsi"/>
          <w:sz w:val="24"/>
          <w:szCs w:val="24"/>
        </w:rPr>
        <w:t xml:space="preserve"> given </w:t>
      </w:r>
      <w:r w:rsidR="00014265" w:rsidRPr="005927F3">
        <w:rPr>
          <w:rFonts w:cstheme="minorHAnsi"/>
          <w:sz w:val="24"/>
          <w:szCs w:val="24"/>
        </w:rPr>
        <w:t xml:space="preserve">its </w:t>
      </w:r>
      <w:r w:rsidR="0049358D" w:rsidRPr="005927F3">
        <w:rPr>
          <w:rFonts w:cstheme="minorHAnsi"/>
          <w:sz w:val="24"/>
          <w:szCs w:val="24"/>
        </w:rPr>
        <w:t>heightened</w:t>
      </w:r>
      <w:r w:rsidR="00306572" w:rsidRPr="005927F3">
        <w:rPr>
          <w:rFonts w:cstheme="minorHAnsi"/>
          <w:sz w:val="24"/>
          <w:szCs w:val="24"/>
        </w:rPr>
        <w:t xml:space="preserve"> </w:t>
      </w:r>
      <w:r w:rsidR="00306572" w:rsidRPr="005927F3">
        <w:rPr>
          <w:rFonts w:cstheme="minorHAnsi"/>
          <w:sz w:val="24"/>
          <w:szCs w:val="24"/>
        </w:rPr>
        <w:lastRenderedPageBreak/>
        <w:t>compliance</w:t>
      </w:r>
      <w:r w:rsidR="0049358D" w:rsidRPr="005927F3">
        <w:rPr>
          <w:rFonts w:cstheme="minorHAnsi"/>
          <w:sz w:val="24"/>
          <w:szCs w:val="24"/>
        </w:rPr>
        <w:t xml:space="preserve"> requirements</w:t>
      </w:r>
      <w:r w:rsidR="00770317" w:rsidRPr="005927F3">
        <w:rPr>
          <w:rFonts w:cstheme="minorHAnsi"/>
          <w:sz w:val="24"/>
          <w:szCs w:val="24"/>
        </w:rPr>
        <w:t xml:space="preserve"> under data protection law</w:t>
      </w:r>
      <w:r w:rsidR="0049358D" w:rsidRPr="005927F3">
        <w:rPr>
          <w:rFonts w:cstheme="minorHAnsi"/>
          <w:sz w:val="24"/>
          <w:szCs w:val="24"/>
        </w:rPr>
        <w:t>.</w:t>
      </w:r>
      <w:r w:rsidR="0049358D" w:rsidRPr="005927F3">
        <w:rPr>
          <w:rStyle w:val="FootnoteReference"/>
          <w:rFonts w:cstheme="minorHAnsi"/>
          <w:sz w:val="24"/>
          <w:szCs w:val="24"/>
        </w:rPr>
        <w:footnoteReference w:id="91"/>
      </w:r>
      <w:r w:rsidR="0049358D" w:rsidRPr="005927F3">
        <w:rPr>
          <w:rFonts w:cstheme="minorHAnsi"/>
          <w:sz w:val="24"/>
          <w:szCs w:val="24"/>
        </w:rPr>
        <w:t xml:space="preserve"> The case concerned</w:t>
      </w:r>
      <w:r w:rsidR="00B74A99" w:rsidRPr="005927F3">
        <w:rPr>
          <w:rFonts w:cstheme="minorHAnsi"/>
          <w:sz w:val="24"/>
          <w:szCs w:val="24"/>
        </w:rPr>
        <w:t xml:space="preserve"> four separate de-referencing requests:</w:t>
      </w:r>
      <w:r w:rsidR="00D60084" w:rsidRPr="005927F3">
        <w:rPr>
          <w:rFonts w:cstheme="minorHAnsi"/>
          <w:sz w:val="24"/>
          <w:szCs w:val="24"/>
        </w:rPr>
        <w:t xml:space="preserve"> </w:t>
      </w:r>
    </w:p>
    <w:p w14:paraId="48301919" w14:textId="77777777" w:rsidR="0022095C" w:rsidRPr="005927F3" w:rsidRDefault="0022095C" w:rsidP="008B308D">
      <w:pPr>
        <w:autoSpaceDE w:val="0"/>
        <w:autoSpaceDN w:val="0"/>
        <w:adjustRightInd w:val="0"/>
        <w:spacing w:after="0" w:line="240" w:lineRule="auto"/>
        <w:jc w:val="both"/>
        <w:rPr>
          <w:rFonts w:cstheme="minorHAnsi"/>
          <w:sz w:val="24"/>
          <w:szCs w:val="24"/>
        </w:rPr>
      </w:pPr>
    </w:p>
    <w:p w14:paraId="5C953A0B" w14:textId="77777777" w:rsidR="0022095C" w:rsidRPr="005927F3" w:rsidRDefault="00E35FB3" w:rsidP="0022095C">
      <w:pPr>
        <w:pStyle w:val="ListParagraph"/>
        <w:numPr>
          <w:ilvl w:val="0"/>
          <w:numId w:val="33"/>
        </w:numPr>
        <w:autoSpaceDE w:val="0"/>
        <w:autoSpaceDN w:val="0"/>
        <w:adjustRightInd w:val="0"/>
        <w:spacing w:after="0" w:line="240" w:lineRule="auto"/>
        <w:jc w:val="both"/>
        <w:rPr>
          <w:rFonts w:cstheme="minorHAnsi"/>
          <w:sz w:val="24"/>
          <w:szCs w:val="24"/>
        </w:rPr>
      </w:pPr>
      <w:r w:rsidRPr="005927F3">
        <w:rPr>
          <w:rFonts w:cstheme="minorHAnsi"/>
          <w:sz w:val="24"/>
          <w:szCs w:val="24"/>
        </w:rPr>
        <w:t xml:space="preserve">a satirical photomontage </w:t>
      </w:r>
      <w:r w:rsidR="001453AD" w:rsidRPr="005927F3">
        <w:rPr>
          <w:rFonts w:cstheme="minorHAnsi"/>
          <w:sz w:val="24"/>
          <w:szCs w:val="24"/>
        </w:rPr>
        <w:t xml:space="preserve">on YouTube </w:t>
      </w:r>
      <w:r w:rsidRPr="005927F3">
        <w:rPr>
          <w:rFonts w:cstheme="minorHAnsi"/>
          <w:sz w:val="24"/>
          <w:szCs w:val="24"/>
        </w:rPr>
        <w:t xml:space="preserve">of </w:t>
      </w:r>
      <w:r w:rsidR="00852BB2" w:rsidRPr="005927F3">
        <w:rPr>
          <w:rFonts w:cstheme="minorHAnsi"/>
          <w:sz w:val="24"/>
          <w:szCs w:val="24"/>
        </w:rPr>
        <w:t>a former local political figure</w:t>
      </w:r>
      <w:r w:rsidRPr="005927F3">
        <w:rPr>
          <w:rFonts w:cstheme="minorHAnsi"/>
          <w:sz w:val="24"/>
          <w:szCs w:val="24"/>
        </w:rPr>
        <w:t xml:space="preserve"> revealing an intimate relationship</w:t>
      </w:r>
      <w:r w:rsidR="001453AD" w:rsidRPr="005927F3">
        <w:rPr>
          <w:rFonts w:cstheme="minorHAnsi"/>
          <w:sz w:val="24"/>
          <w:szCs w:val="24"/>
        </w:rPr>
        <w:t xml:space="preserve"> with another political </w:t>
      </w:r>
      <w:proofErr w:type="gramStart"/>
      <w:r w:rsidR="001453AD" w:rsidRPr="005927F3">
        <w:rPr>
          <w:rFonts w:cstheme="minorHAnsi"/>
          <w:sz w:val="24"/>
          <w:szCs w:val="24"/>
        </w:rPr>
        <w:t>figure;</w:t>
      </w:r>
      <w:proofErr w:type="gramEnd"/>
      <w:r w:rsidR="001453AD" w:rsidRPr="005927F3">
        <w:rPr>
          <w:rFonts w:cstheme="minorHAnsi"/>
          <w:sz w:val="24"/>
          <w:szCs w:val="24"/>
        </w:rPr>
        <w:t xml:space="preserve"> </w:t>
      </w:r>
    </w:p>
    <w:p w14:paraId="3B66D7F9" w14:textId="084005F9" w:rsidR="0022095C" w:rsidRPr="005927F3" w:rsidRDefault="00CC1FB3" w:rsidP="0022095C">
      <w:pPr>
        <w:pStyle w:val="ListParagraph"/>
        <w:numPr>
          <w:ilvl w:val="0"/>
          <w:numId w:val="33"/>
        </w:numPr>
        <w:autoSpaceDE w:val="0"/>
        <w:autoSpaceDN w:val="0"/>
        <w:adjustRightInd w:val="0"/>
        <w:spacing w:after="0" w:line="240" w:lineRule="auto"/>
        <w:jc w:val="both"/>
        <w:rPr>
          <w:rFonts w:cstheme="minorHAnsi"/>
          <w:sz w:val="24"/>
          <w:szCs w:val="24"/>
        </w:rPr>
      </w:pPr>
      <w:r w:rsidRPr="005927F3">
        <w:rPr>
          <w:rFonts w:cstheme="minorHAnsi"/>
          <w:sz w:val="24"/>
          <w:szCs w:val="24"/>
        </w:rPr>
        <w:t>historic</w:t>
      </w:r>
      <w:r w:rsidR="0049358D" w:rsidRPr="005927F3">
        <w:rPr>
          <w:rFonts w:cstheme="minorHAnsi"/>
          <w:sz w:val="24"/>
          <w:szCs w:val="24"/>
        </w:rPr>
        <w:t xml:space="preserve"> </w:t>
      </w:r>
      <w:r w:rsidR="00B74A99" w:rsidRPr="005927F3">
        <w:rPr>
          <w:rFonts w:cstheme="minorHAnsi"/>
          <w:sz w:val="24"/>
          <w:szCs w:val="24"/>
        </w:rPr>
        <w:t>n</w:t>
      </w:r>
      <w:r w:rsidR="00694A7B" w:rsidRPr="005927F3">
        <w:rPr>
          <w:rFonts w:cstheme="minorHAnsi"/>
          <w:sz w:val="24"/>
          <w:szCs w:val="24"/>
        </w:rPr>
        <w:t xml:space="preserve">ews </w:t>
      </w:r>
      <w:r w:rsidR="001453AD" w:rsidRPr="005927F3">
        <w:rPr>
          <w:rFonts w:cstheme="minorHAnsi"/>
          <w:sz w:val="24"/>
          <w:szCs w:val="24"/>
        </w:rPr>
        <w:t xml:space="preserve">articles </w:t>
      </w:r>
      <w:r w:rsidR="00EC5CCB" w:rsidRPr="005927F3">
        <w:rPr>
          <w:rFonts w:cstheme="minorHAnsi"/>
          <w:sz w:val="24"/>
          <w:szCs w:val="24"/>
        </w:rPr>
        <w:t>about</w:t>
      </w:r>
      <w:r w:rsidR="00694A7B" w:rsidRPr="005927F3">
        <w:rPr>
          <w:rFonts w:cstheme="minorHAnsi"/>
          <w:sz w:val="24"/>
          <w:szCs w:val="24"/>
        </w:rPr>
        <w:t xml:space="preserve"> a suicide</w:t>
      </w:r>
      <w:r w:rsidR="00EC5CCB" w:rsidRPr="005927F3">
        <w:rPr>
          <w:rFonts w:cstheme="minorHAnsi"/>
          <w:sz w:val="24"/>
          <w:szCs w:val="24"/>
        </w:rPr>
        <w:t xml:space="preserve"> by a member of</w:t>
      </w:r>
      <w:r w:rsidR="00694A7B" w:rsidRPr="005927F3">
        <w:rPr>
          <w:rFonts w:cstheme="minorHAnsi"/>
          <w:sz w:val="24"/>
          <w:szCs w:val="24"/>
        </w:rPr>
        <w:t xml:space="preserve"> </w:t>
      </w:r>
      <w:r w:rsidR="00EC5CCB" w:rsidRPr="005927F3">
        <w:rPr>
          <w:rFonts w:cstheme="minorHAnsi"/>
          <w:sz w:val="24"/>
          <w:szCs w:val="24"/>
        </w:rPr>
        <w:t xml:space="preserve">the Church of Scientology </w:t>
      </w:r>
      <w:r w:rsidR="00423F78" w:rsidRPr="005927F3">
        <w:rPr>
          <w:rFonts w:cstheme="minorHAnsi"/>
          <w:sz w:val="24"/>
          <w:szCs w:val="24"/>
        </w:rPr>
        <w:t>and the</w:t>
      </w:r>
      <w:r w:rsidR="00DB70D1" w:rsidRPr="005927F3">
        <w:rPr>
          <w:rFonts w:cstheme="minorHAnsi"/>
          <w:sz w:val="24"/>
          <w:szCs w:val="24"/>
        </w:rPr>
        <w:t xml:space="preserve"> data subject</w:t>
      </w:r>
      <w:r w:rsidR="00694A7B" w:rsidRPr="005927F3">
        <w:rPr>
          <w:rFonts w:cstheme="minorHAnsi"/>
          <w:sz w:val="24"/>
          <w:szCs w:val="24"/>
        </w:rPr>
        <w:t xml:space="preserve">’s </w:t>
      </w:r>
      <w:r w:rsidR="00E35FB3" w:rsidRPr="005927F3">
        <w:rPr>
          <w:rFonts w:cstheme="minorHAnsi"/>
          <w:sz w:val="24"/>
          <w:szCs w:val="24"/>
        </w:rPr>
        <w:t xml:space="preserve">role as </w:t>
      </w:r>
      <w:r w:rsidR="00BA2EDA" w:rsidRPr="005927F3">
        <w:rPr>
          <w:rFonts w:cstheme="minorHAnsi"/>
          <w:sz w:val="24"/>
          <w:szCs w:val="24"/>
        </w:rPr>
        <w:t xml:space="preserve">a </w:t>
      </w:r>
      <w:r w:rsidR="00E35FB3" w:rsidRPr="005927F3">
        <w:rPr>
          <w:rFonts w:cstheme="minorHAnsi"/>
          <w:sz w:val="24"/>
          <w:szCs w:val="24"/>
        </w:rPr>
        <w:t>PR officer in</w:t>
      </w:r>
      <w:r w:rsidR="00EC5CCB" w:rsidRPr="005927F3">
        <w:rPr>
          <w:rFonts w:cstheme="minorHAnsi"/>
          <w:sz w:val="24"/>
          <w:szCs w:val="24"/>
        </w:rPr>
        <w:t xml:space="preserve"> that Church</w:t>
      </w:r>
      <w:r w:rsidR="00E35FB3" w:rsidRPr="005927F3">
        <w:rPr>
          <w:rFonts w:cstheme="minorHAnsi"/>
          <w:sz w:val="24"/>
          <w:szCs w:val="24"/>
        </w:rPr>
        <w:t xml:space="preserve"> </w:t>
      </w:r>
      <w:r w:rsidR="00694A7B" w:rsidRPr="005927F3">
        <w:rPr>
          <w:rFonts w:cstheme="minorHAnsi"/>
          <w:sz w:val="24"/>
          <w:szCs w:val="24"/>
        </w:rPr>
        <w:t xml:space="preserve">which he had since </w:t>
      </w:r>
      <w:proofErr w:type="gramStart"/>
      <w:r w:rsidR="00694A7B" w:rsidRPr="005927F3">
        <w:rPr>
          <w:rFonts w:cstheme="minorHAnsi"/>
          <w:sz w:val="24"/>
          <w:szCs w:val="24"/>
        </w:rPr>
        <w:t>ceased</w:t>
      </w:r>
      <w:r w:rsidR="00E35FB3" w:rsidRPr="005927F3">
        <w:rPr>
          <w:rFonts w:cstheme="minorHAnsi"/>
          <w:sz w:val="24"/>
          <w:szCs w:val="24"/>
        </w:rPr>
        <w:t>;</w:t>
      </w:r>
      <w:proofErr w:type="gramEnd"/>
      <w:r w:rsidR="00E35FB3" w:rsidRPr="005927F3">
        <w:rPr>
          <w:rFonts w:cstheme="minorHAnsi"/>
          <w:sz w:val="24"/>
          <w:szCs w:val="24"/>
        </w:rPr>
        <w:t xml:space="preserve"> </w:t>
      </w:r>
    </w:p>
    <w:p w14:paraId="66387B1A" w14:textId="2EDB07CF" w:rsidR="0022095C" w:rsidRPr="005927F3" w:rsidRDefault="00852BB2" w:rsidP="0022095C">
      <w:pPr>
        <w:pStyle w:val="ListParagraph"/>
        <w:numPr>
          <w:ilvl w:val="0"/>
          <w:numId w:val="33"/>
        </w:numPr>
        <w:autoSpaceDE w:val="0"/>
        <w:autoSpaceDN w:val="0"/>
        <w:adjustRightInd w:val="0"/>
        <w:spacing w:after="0" w:line="240" w:lineRule="auto"/>
        <w:jc w:val="both"/>
        <w:rPr>
          <w:rFonts w:cstheme="minorHAnsi"/>
          <w:sz w:val="24"/>
          <w:szCs w:val="24"/>
        </w:rPr>
      </w:pPr>
      <w:r w:rsidRPr="005927F3">
        <w:rPr>
          <w:rFonts w:cstheme="minorHAnsi"/>
          <w:sz w:val="24"/>
          <w:szCs w:val="24"/>
        </w:rPr>
        <w:t xml:space="preserve">dated </w:t>
      </w:r>
      <w:r w:rsidR="001453AD" w:rsidRPr="005927F3">
        <w:rPr>
          <w:rFonts w:cstheme="minorHAnsi"/>
          <w:sz w:val="24"/>
          <w:szCs w:val="24"/>
        </w:rPr>
        <w:t xml:space="preserve">news stories </w:t>
      </w:r>
      <w:r w:rsidR="00694A7B" w:rsidRPr="005927F3">
        <w:rPr>
          <w:rFonts w:cstheme="minorHAnsi"/>
          <w:sz w:val="24"/>
          <w:szCs w:val="24"/>
        </w:rPr>
        <w:t xml:space="preserve">about </w:t>
      </w:r>
      <w:r w:rsidR="00EC5CCB" w:rsidRPr="005927F3">
        <w:rPr>
          <w:rFonts w:cstheme="minorHAnsi"/>
          <w:sz w:val="24"/>
          <w:szCs w:val="24"/>
        </w:rPr>
        <w:t>a</w:t>
      </w:r>
      <w:r w:rsidR="00694A7B" w:rsidRPr="005927F3">
        <w:rPr>
          <w:rFonts w:cstheme="minorHAnsi"/>
          <w:sz w:val="24"/>
          <w:szCs w:val="24"/>
        </w:rPr>
        <w:t xml:space="preserve"> </w:t>
      </w:r>
      <w:r w:rsidR="00E35FB3" w:rsidRPr="005927F3">
        <w:rPr>
          <w:rFonts w:cstheme="minorHAnsi"/>
          <w:sz w:val="24"/>
          <w:szCs w:val="24"/>
        </w:rPr>
        <w:t xml:space="preserve">judicial </w:t>
      </w:r>
      <w:r w:rsidR="00694A7B" w:rsidRPr="005927F3">
        <w:rPr>
          <w:rFonts w:cstheme="minorHAnsi"/>
          <w:sz w:val="24"/>
          <w:szCs w:val="24"/>
        </w:rPr>
        <w:t>investigation</w:t>
      </w:r>
      <w:r w:rsidR="00E35FB3" w:rsidRPr="005927F3">
        <w:rPr>
          <w:rFonts w:cstheme="minorHAnsi"/>
          <w:sz w:val="24"/>
          <w:szCs w:val="24"/>
        </w:rPr>
        <w:t xml:space="preserve"> </w:t>
      </w:r>
      <w:r w:rsidR="00694A7B" w:rsidRPr="005927F3">
        <w:rPr>
          <w:rFonts w:cstheme="minorHAnsi"/>
          <w:sz w:val="24"/>
          <w:szCs w:val="24"/>
        </w:rPr>
        <w:t>into the funding of a pol</w:t>
      </w:r>
      <w:r w:rsidRPr="005927F3">
        <w:rPr>
          <w:rFonts w:cstheme="minorHAnsi"/>
          <w:sz w:val="24"/>
          <w:szCs w:val="24"/>
        </w:rPr>
        <w:t>itical party, with no follow-up stories</w:t>
      </w:r>
      <w:r w:rsidR="00694A7B" w:rsidRPr="005927F3">
        <w:rPr>
          <w:rFonts w:cstheme="minorHAnsi"/>
          <w:sz w:val="24"/>
          <w:szCs w:val="24"/>
        </w:rPr>
        <w:t xml:space="preserve"> that the proceedings against the </w:t>
      </w:r>
      <w:r w:rsidR="00BA2EDA" w:rsidRPr="005927F3">
        <w:rPr>
          <w:rFonts w:cstheme="minorHAnsi"/>
          <w:sz w:val="24"/>
          <w:szCs w:val="24"/>
        </w:rPr>
        <w:t xml:space="preserve">data </w:t>
      </w:r>
      <w:r w:rsidRPr="005927F3">
        <w:rPr>
          <w:rFonts w:cstheme="minorHAnsi"/>
          <w:sz w:val="24"/>
          <w:szCs w:val="24"/>
        </w:rPr>
        <w:t>subject</w:t>
      </w:r>
      <w:r w:rsidR="00423F78" w:rsidRPr="005927F3">
        <w:rPr>
          <w:rFonts w:cstheme="minorHAnsi"/>
          <w:sz w:val="24"/>
          <w:szCs w:val="24"/>
        </w:rPr>
        <w:t xml:space="preserve"> had since been </w:t>
      </w:r>
      <w:proofErr w:type="gramStart"/>
      <w:r w:rsidR="00423F78" w:rsidRPr="005927F3">
        <w:rPr>
          <w:rFonts w:cstheme="minorHAnsi"/>
          <w:sz w:val="24"/>
          <w:szCs w:val="24"/>
        </w:rPr>
        <w:t>closed;</w:t>
      </w:r>
      <w:proofErr w:type="gramEnd"/>
      <w:r w:rsidR="00423F78" w:rsidRPr="005927F3">
        <w:rPr>
          <w:rFonts w:cstheme="minorHAnsi"/>
          <w:sz w:val="24"/>
          <w:szCs w:val="24"/>
        </w:rPr>
        <w:t xml:space="preserve"> </w:t>
      </w:r>
    </w:p>
    <w:p w14:paraId="28526550" w14:textId="0C4E5CE7" w:rsidR="0022095C" w:rsidRPr="005927F3" w:rsidRDefault="008627BA" w:rsidP="0022095C">
      <w:pPr>
        <w:pStyle w:val="ListParagraph"/>
        <w:numPr>
          <w:ilvl w:val="0"/>
          <w:numId w:val="33"/>
        </w:numPr>
        <w:autoSpaceDE w:val="0"/>
        <w:autoSpaceDN w:val="0"/>
        <w:adjustRightInd w:val="0"/>
        <w:spacing w:after="0" w:line="240" w:lineRule="auto"/>
        <w:jc w:val="both"/>
        <w:rPr>
          <w:rFonts w:cstheme="minorHAnsi"/>
          <w:sz w:val="24"/>
          <w:szCs w:val="24"/>
        </w:rPr>
      </w:pPr>
      <w:r w:rsidRPr="005927F3">
        <w:rPr>
          <w:rFonts w:cstheme="minorHAnsi"/>
          <w:sz w:val="24"/>
          <w:szCs w:val="24"/>
        </w:rPr>
        <w:t xml:space="preserve">and </w:t>
      </w:r>
      <w:r w:rsidR="00423F78" w:rsidRPr="005927F3">
        <w:rPr>
          <w:rFonts w:cstheme="minorHAnsi"/>
          <w:sz w:val="24"/>
          <w:szCs w:val="24"/>
        </w:rPr>
        <w:t xml:space="preserve">a </w:t>
      </w:r>
      <w:r w:rsidR="001453AD" w:rsidRPr="005927F3">
        <w:rPr>
          <w:rFonts w:cstheme="minorHAnsi"/>
          <w:sz w:val="24"/>
          <w:szCs w:val="24"/>
        </w:rPr>
        <w:t xml:space="preserve">data subject’s </w:t>
      </w:r>
      <w:r w:rsidR="00694A7B" w:rsidRPr="005927F3">
        <w:rPr>
          <w:rFonts w:cstheme="minorHAnsi"/>
          <w:sz w:val="24"/>
          <w:szCs w:val="24"/>
        </w:rPr>
        <w:t>criminal conviction for sexual assaults of children under the age of 15.</w:t>
      </w:r>
      <w:r w:rsidR="00694A7B" w:rsidRPr="005927F3">
        <w:rPr>
          <w:rStyle w:val="FootnoteReference"/>
          <w:rFonts w:cstheme="minorHAnsi"/>
          <w:sz w:val="24"/>
          <w:szCs w:val="24"/>
        </w:rPr>
        <w:footnoteReference w:id="92"/>
      </w:r>
      <w:r w:rsidR="00694A7B" w:rsidRPr="005927F3">
        <w:rPr>
          <w:rFonts w:cstheme="minorHAnsi"/>
          <w:sz w:val="24"/>
          <w:szCs w:val="24"/>
        </w:rPr>
        <w:t xml:space="preserve"> </w:t>
      </w:r>
    </w:p>
    <w:p w14:paraId="00118C2E" w14:textId="77777777" w:rsidR="0022095C" w:rsidRPr="005927F3" w:rsidRDefault="0022095C" w:rsidP="0022095C">
      <w:pPr>
        <w:autoSpaceDE w:val="0"/>
        <w:autoSpaceDN w:val="0"/>
        <w:adjustRightInd w:val="0"/>
        <w:spacing w:after="0" w:line="240" w:lineRule="auto"/>
        <w:jc w:val="both"/>
        <w:rPr>
          <w:rFonts w:cstheme="minorHAnsi"/>
          <w:sz w:val="24"/>
          <w:szCs w:val="24"/>
        </w:rPr>
      </w:pPr>
    </w:p>
    <w:p w14:paraId="417BE2F8" w14:textId="5DA2071A" w:rsidR="00AB2486" w:rsidRPr="005927F3" w:rsidRDefault="00377EB8" w:rsidP="008B308D">
      <w:pPr>
        <w:autoSpaceDE w:val="0"/>
        <w:autoSpaceDN w:val="0"/>
        <w:adjustRightInd w:val="0"/>
        <w:spacing w:after="0" w:line="240" w:lineRule="auto"/>
        <w:jc w:val="both"/>
        <w:rPr>
          <w:rFonts w:cstheme="minorHAnsi"/>
          <w:sz w:val="24"/>
          <w:szCs w:val="24"/>
        </w:rPr>
      </w:pPr>
      <w:r w:rsidRPr="005927F3">
        <w:rPr>
          <w:rFonts w:cstheme="minorHAnsi"/>
          <w:sz w:val="24"/>
          <w:szCs w:val="24"/>
        </w:rPr>
        <w:t>Fo</w:t>
      </w:r>
      <w:r w:rsidR="00822CF9" w:rsidRPr="005927F3">
        <w:rPr>
          <w:rFonts w:cstheme="minorHAnsi"/>
          <w:sz w:val="24"/>
          <w:szCs w:val="24"/>
        </w:rPr>
        <w:t xml:space="preserve">r the comparative purposes here, the CJEU’s </w:t>
      </w:r>
      <w:r w:rsidR="00CF2EA5" w:rsidRPr="005927F3">
        <w:rPr>
          <w:rFonts w:cstheme="minorHAnsi"/>
          <w:sz w:val="24"/>
          <w:szCs w:val="24"/>
        </w:rPr>
        <w:t>judgment</w:t>
      </w:r>
      <w:r w:rsidR="00676699" w:rsidRPr="005927F3">
        <w:rPr>
          <w:rFonts w:cstheme="minorHAnsi"/>
          <w:sz w:val="24"/>
          <w:szCs w:val="24"/>
        </w:rPr>
        <w:t xml:space="preserve"> </w:t>
      </w:r>
      <w:r w:rsidR="002C0EE8" w:rsidRPr="005927F3">
        <w:rPr>
          <w:rFonts w:cstheme="minorHAnsi"/>
          <w:sz w:val="24"/>
          <w:szCs w:val="24"/>
        </w:rPr>
        <w:t xml:space="preserve">nicely </w:t>
      </w:r>
      <w:r w:rsidR="00676699" w:rsidRPr="005927F3">
        <w:rPr>
          <w:rFonts w:cstheme="minorHAnsi"/>
          <w:sz w:val="24"/>
          <w:szCs w:val="24"/>
        </w:rPr>
        <w:t>illustrates</w:t>
      </w:r>
      <w:r w:rsidR="003905DA" w:rsidRPr="005927F3">
        <w:rPr>
          <w:rFonts w:cstheme="minorHAnsi"/>
          <w:sz w:val="24"/>
          <w:szCs w:val="24"/>
        </w:rPr>
        <w:t xml:space="preserve"> </w:t>
      </w:r>
      <w:r w:rsidR="008627BA" w:rsidRPr="005927F3">
        <w:rPr>
          <w:rFonts w:cstheme="minorHAnsi"/>
          <w:sz w:val="24"/>
          <w:szCs w:val="24"/>
        </w:rPr>
        <w:t>how</w:t>
      </w:r>
      <w:r w:rsidR="00C878E6" w:rsidRPr="005927F3">
        <w:rPr>
          <w:rFonts w:cstheme="minorHAnsi"/>
          <w:sz w:val="24"/>
          <w:szCs w:val="24"/>
        </w:rPr>
        <w:t xml:space="preserve"> the </w:t>
      </w:r>
      <w:r w:rsidR="00CC5243" w:rsidRPr="005927F3">
        <w:rPr>
          <w:rFonts w:cstheme="minorHAnsi"/>
          <w:sz w:val="24"/>
          <w:szCs w:val="24"/>
        </w:rPr>
        <w:t xml:space="preserve">Continental </w:t>
      </w:r>
      <w:r w:rsidR="00B74A99" w:rsidRPr="005927F3">
        <w:rPr>
          <w:rFonts w:cstheme="minorHAnsi"/>
          <w:sz w:val="24"/>
          <w:szCs w:val="24"/>
        </w:rPr>
        <w:t>European</w:t>
      </w:r>
      <w:r w:rsidR="002C0EE8" w:rsidRPr="005927F3">
        <w:rPr>
          <w:rFonts w:cstheme="minorHAnsi"/>
          <w:sz w:val="24"/>
          <w:szCs w:val="24"/>
        </w:rPr>
        <w:t xml:space="preserve"> privacy tradition</w:t>
      </w:r>
      <w:r w:rsidR="00C878E6" w:rsidRPr="005927F3">
        <w:rPr>
          <w:rFonts w:cstheme="minorHAnsi"/>
          <w:sz w:val="24"/>
          <w:szCs w:val="24"/>
        </w:rPr>
        <w:t xml:space="preserve"> of</w:t>
      </w:r>
      <w:r w:rsidR="00BE7E69" w:rsidRPr="005927F3">
        <w:rPr>
          <w:rFonts w:cstheme="minorHAnsi"/>
          <w:sz w:val="24"/>
          <w:szCs w:val="24"/>
        </w:rPr>
        <w:t xml:space="preserve"> managing</w:t>
      </w:r>
      <w:r w:rsidR="003F3BE8" w:rsidRPr="005927F3">
        <w:rPr>
          <w:rFonts w:cstheme="minorHAnsi"/>
          <w:sz w:val="24"/>
          <w:szCs w:val="24"/>
        </w:rPr>
        <w:t xml:space="preserve"> one’s</w:t>
      </w:r>
      <w:r w:rsidR="00BE7E69" w:rsidRPr="005927F3">
        <w:rPr>
          <w:rFonts w:cstheme="minorHAnsi"/>
          <w:sz w:val="24"/>
          <w:szCs w:val="24"/>
        </w:rPr>
        <w:t xml:space="preserve"> </w:t>
      </w:r>
      <w:r w:rsidR="00815624" w:rsidRPr="005927F3">
        <w:rPr>
          <w:rFonts w:cstheme="minorHAnsi"/>
          <w:sz w:val="24"/>
          <w:szCs w:val="24"/>
        </w:rPr>
        <w:t>public</w:t>
      </w:r>
      <w:r w:rsidR="003F3BE8" w:rsidRPr="005927F3">
        <w:rPr>
          <w:rFonts w:cstheme="minorHAnsi"/>
          <w:sz w:val="24"/>
          <w:szCs w:val="24"/>
        </w:rPr>
        <w:t xml:space="preserve"> </w:t>
      </w:r>
      <w:r w:rsidR="000646D4" w:rsidRPr="005927F3">
        <w:rPr>
          <w:rFonts w:cstheme="minorHAnsi"/>
          <w:sz w:val="24"/>
          <w:szCs w:val="24"/>
        </w:rPr>
        <w:t>images</w:t>
      </w:r>
      <w:r w:rsidR="008627BA" w:rsidRPr="005927F3">
        <w:rPr>
          <w:rFonts w:cstheme="minorHAnsi"/>
          <w:sz w:val="24"/>
          <w:szCs w:val="24"/>
        </w:rPr>
        <w:t xml:space="preserve"> operates</w:t>
      </w:r>
      <w:r w:rsidR="008C48B0" w:rsidRPr="005927F3">
        <w:rPr>
          <w:rFonts w:cstheme="minorHAnsi"/>
          <w:sz w:val="24"/>
          <w:szCs w:val="24"/>
        </w:rPr>
        <w:t>, a</w:t>
      </w:r>
      <w:r w:rsidR="002C0EE8" w:rsidRPr="005927F3">
        <w:rPr>
          <w:rFonts w:cstheme="minorHAnsi"/>
          <w:sz w:val="24"/>
          <w:szCs w:val="24"/>
        </w:rPr>
        <w:t>s well as</w:t>
      </w:r>
      <w:r w:rsidR="008C48B0" w:rsidRPr="005927F3">
        <w:rPr>
          <w:rFonts w:cstheme="minorHAnsi"/>
          <w:sz w:val="24"/>
          <w:szCs w:val="24"/>
        </w:rPr>
        <w:t xml:space="preserve"> the strength of that tradition in testing circumstances</w:t>
      </w:r>
      <w:r w:rsidR="000646D4" w:rsidRPr="005927F3">
        <w:rPr>
          <w:rFonts w:cstheme="minorHAnsi"/>
          <w:sz w:val="24"/>
          <w:szCs w:val="24"/>
        </w:rPr>
        <w:t xml:space="preserve">. </w:t>
      </w:r>
      <w:r w:rsidR="00541240" w:rsidRPr="005927F3">
        <w:rPr>
          <w:rFonts w:cstheme="minorHAnsi"/>
          <w:i/>
          <w:sz w:val="24"/>
          <w:szCs w:val="24"/>
        </w:rPr>
        <w:t>F</w:t>
      </w:r>
      <w:r w:rsidR="005B3649" w:rsidRPr="005927F3">
        <w:rPr>
          <w:rFonts w:cstheme="minorHAnsi"/>
          <w:i/>
          <w:sz w:val="24"/>
          <w:szCs w:val="24"/>
        </w:rPr>
        <w:t>irst,</w:t>
      </w:r>
      <w:r w:rsidR="000A1F69" w:rsidRPr="005927F3">
        <w:rPr>
          <w:rFonts w:cstheme="minorHAnsi"/>
          <w:sz w:val="24"/>
          <w:szCs w:val="24"/>
        </w:rPr>
        <w:t xml:space="preserve"> </w:t>
      </w:r>
      <w:r w:rsidR="00DC02A0" w:rsidRPr="005927F3">
        <w:rPr>
          <w:rFonts w:cstheme="minorHAnsi"/>
          <w:sz w:val="24"/>
          <w:szCs w:val="24"/>
        </w:rPr>
        <w:t>the C</w:t>
      </w:r>
      <w:r w:rsidR="00863F9D" w:rsidRPr="005927F3">
        <w:rPr>
          <w:rFonts w:cstheme="minorHAnsi"/>
          <w:sz w:val="24"/>
          <w:szCs w:val="24"/>
        </w:rPr>
        <w:t xml:space="preserve">ourt </w:t>
      </w:r>
      <w:r w:rsidR="00306572" w:rsidRPr="005927F3">
        <w:rPr>
          <w:rFonts w:cstheme="minorHAnsi"/>
          <w:sz w:val="24"/>
          <w:szCs w:val="24"/>
        </w:rPr>
        <w:t>reiterated</w:t>
      </w:r>
      <w:r w:rsidR="00863F9D" w:rsidRPr="005927F3">
        <w:rPr>
          <w:rFonts w:cstheme="minorHAnsi"/>
          <w:sz w:val="24"/>
          <w:szCs w:val="24"/>
        </w:rPr>
        <w:t xml:space="preserve"> </w:t>
      </w:r>
      <w:r w:rsidR="00014265" w:rsidRPr="005927F3">
        <w:rPr>
          <w:rFonts w:cstheme="minorHAnsi"/>
          <w:sz w:val="24"/>
          <w:szCs w:val="24"/>
        </w:rPr>
        <w:t xml:space="preserve">its own </w:t>
      </w:r>
      <w:r w:rsidR="00815624" w:rsidRPr="005927F3">
        <w:rPr>
          <w:rFonts w:cstheme="minorHAnsi"/>
          <w:sz w:val="24"/>
          <w:szCs w:val="24"/>
        </w:rPr>
        <w:t>holding</w:t>
      </w:r>
      <w:r w:rsidR="00014265" w:rsidRPr="005927F3">
        <w:rPr>
          <w:rFonts w:cstheme="minorHAnsi"/>
          <w:sz w:val="24"/>
          <w:szCs w:val="24"/>
        </w:rPr>
        <w:t xml:space="preserve"> in</w:t>
      </w:r>
      <w:r w:rsidR="00815624" w:rsidRPr="005927F3">
        <w:rPr>
          <w:rFonts w:cstheme="minorHAnsi"/>
          <w:sz w:val="24"/>
          <w:szCs w:val="24"/>
        </w:rPr>
        <w:t xml:space="preserve"> </w:t>
      </w:r>
      <w:r w:rsidR="00014265" w:rsidRPr="005927F3">
        <w:rPr>
          <w:rFonts w:cstheme="minorHAnsi"/>
          <w:i/>
          <w:sz w:val="24"/>
          <w:szCs w:val="24"/>
        </w:rPr>
        <w:t xml:space="preserve">Google Spain </w:t>
      </w:r>
      <w:r w:rsidR="00863F9D" w:rsidRPr="005927F3">
        <w:rPr>
          <w:rFonts w:cstheme="minorHAnsi"/>
          <w:sz w:val="24"/>
          <w:szCs w:val="24"/>
        </w:rPr>
        <w:t>that the individual’s</w:t>
      </w:r>
      <w:r w:rsidR="00CE5870" w:rsidRPr="005927F3">
        <w:rPr>
          <w:rFonts w:cstheme="minorHAnsi"/>
          <w:sz w:val="24"/>
          <w:szCs w:val="24"/>
        </w:rPr>
        <w:t xml:space="preserve"> right to be forgotten</w:t>
      </w:r>
      <w:r w:rsidR="00863F9D" w:rsidRPr="005927F3">
        <w:rPr>
          <w:rFonts w:cstheme="minorHAnsi"/>
          <w:sz w:val="24"/>
          <w:szCs w:val="24"/>
        </w:rPr>
        <w:t xml:space="preserve"> overrides</w:t>
      </w:r>
      <w:r w:rsidR="00F147A1" w:rsidRPr="005927F3">
        <w:rPr>
          <w:rFonts w:cstheme="minorHAnsi"/>
          <w:sz w:val="24"/>
          <w:szCs w:val="24"/>
        </w:rPr>
        <w:t xml:space="preserve"> </w:t>
      </w:r>
      <w:r w:rsidR="00EA6C62" w:rsidRPr="005927F3">
        <w:rPr>
          <w:rFonts w:cstheme="minorHAnsi"/>
          <w:i/>
          <w:iCs/>
          <w:sz w:val="24"/>
          <w:szCs w:val="24"/>
        </w:rPr>
        <w:t>‘</w:t>
      </w:r>
      <w:proofErr w:type="gramStart"/>
      <w:r w:rsidR="00F13DAA" w:rsidRPr="005927F3">
        <w:rPr>
          <w:rFonts w:cstheme="minorHAnsi"/>
          <w:i/>
          <w:iCs/>
          <w:sz w:val="24"/>
          <w:szCs w:val="24"/>
        </w:rPr>
        <w:t xml:space="preserve">as a </w:t>
      </w:r>
      <w:r w:rsidR="00F147A1" w:rsidRPr="005927F3">
        <w:rPr>
          <w:rFonts w:cstheme="minorHAnsi"/>
          <w:i/>
          <w:iCs/>
          <w:sz w:val="24"/>
          <w:szCs w:val="24"/>
        </w:rPr>
        <w:t>general rule</w:t>
      </w:r>
      <w:proofErr w:type="gramEnd"/>
      <w:r w:rsidR="00EA6C62" w:rsidRPr="005927F3">
        <w:rPr>
          <w:rFonts w:cstheme="minorHAnsi"/>
          <w:i/>
          <w:iCs/>
          <w:sz w:val="24"/>
          <w:szCs w:val="24"/>
        </w:rPr>
        <w:t>’</w:t>
      </w:r>
      <w:r w:rsidR="00CD3707" w:rsidRPr="005927F3">
        <w:rPr>
          <w:rFonts w:cstheme="minorHAnsi"/>
          <w:i/>
          <w:sz w:val="24"/>
          <w:szCs w:val="24"/>
        </w:rPr>
        <w:t xml:space="preserve"> </w:t>
      </w:r>
      <w:r w:rsidR="00CD3707" w:rsidRPr="005927F3">
        <w:rPr>
          <w:rFonts w:cstheme="minorHAnsi"/>
          <w:sz w:val="24"/>
          <w:szCs w:val="24"/>
        </w:rPr>
        <w:t>the public’s</w:t>
      </w:r>
      <w:r w:rsidR="00863F9D" w:rsidRPr="005927F3">
        <w:rPr>
          <w:rFonts w:cstheme="minorHAnsi"/>
          <w:sz w:val="24"/>
          <w:szCs w:val="24"/>
        </w:rPr>
        <w:t xml:space="preserve"> </w:t>
      </w:r>
      <w:r w:rsidR="00F13DAA" w:rsidRPr="005927F3">
        <w:rPr>
          <w:rFonts w:cstheme="minorHAnsi"/>
          <w:sz w:val="24"/>
          <w:szCs w:val="24"/>
        </w:rPr>
        <w:t xml:space="preserve">interest </w:t>
      </w:r>
      <w:r w:rsidR="00CD3707" w:rsidRPr="005927F3">
        <w:rPr>
          <w:rFonts w:cstheme="minorHAnsi"/>
          <w:sz w:val="24"/>
          <w:szCs w:val="24"/>
        </w:rPr>
        <w:t>in accessing</w:t>
      </w:r>
      <w:r w:rsidR="000A1F69" w:rsidRPr="005927F3">
        <w:rPr>
          <w:rFonts w:cstheme="minorHAnsi"/>
          <w:sz w:val="24"/>
          <w:szCs w:val="24"/>
        </w:rPr>
        <w:t xml:space="preserve"> </w:t>
      </w:r>
      <w:r w:rsidR="00863F9D" w:rsidRPr="005927F3">
        <w:rPr>
          <w:rFonts w:cstheme="minorHAnsi"/>
          <w:sz w:val="24"/>
          <w:szCs w:val="24"/>
        </w:rPr>
        <w:t>information</w:t>
      </w:r>
      <w:r w:rsidR="0022095C" w:rsidRPr="005927F3">
        <w:rPr>
          <w:rFonts w:cstheme="minorHAnsi"/>
          <w:sz w:val="24"/>
          <w:szCs w:val="24"/>
        </w:rPr>
        <w:t>,</w:t>
      </w:r>
      <w:r w:rsidR="00F25EAF" w:rsidRPr="005927F3">
        <w:rPr>
          <w:rStyle w:val="FootnoteReference"/>
          <w:rFonts w:cstheme="minorHAnsi"/>
          <w:sz w:val="24"/>
          <w:szCs w:val="24"/>
        </w:rPr>
        <w:footnoteReference w:id="93"/>
      </w:r>
      <w:r w:rsidR="00F25EAF" w:rsidRPr="005927F3">
        <w:rPr>
          <w:rFonts w:cstheme="minorHAnsi"/>
          <w:sz w:val="24"/>
          <w:szCs w:val="24"/>
        </w:rPr>
        <w:t xml:space="preserve"> </w:t>
      </w:r>
      <w:r w:rsidR="00C878E6" w:rsidRPr="005927F3">
        <w:rPr>
          <w:rFonts w:cstheme="minorHAnsi"/>
          <w:sz w:val="24"/>
          <w:szCs w:val="24"/>
        </w:rPr>
        <w:t>that is</w:t>
      </w:r>
      <w:r w:rsidR="00F25EAF" w:rsidRPr="005927F3">
        <w:rPr>
          <w:rFonts w:cstheme="minorHAnsi"/>
          <w:sz w:val="24"/>
          <w:szCs w:val="24"/>
        </w:rPr>
        <w:t xml:space="preserve"> freedom of expression</w:t>
      </w:r>
      <w:r w:rsidR="00AB2486" w:rsidRPr="005927F3">
        <w:rPr>
          <w:rFonts w:cstheme="minorHAnsi"/>
          <w:sz w:val="24"/>
          <w:szCs w:val="24"/>
        </w:rPr>
        <w:t>,</w:t>
      </w:r>
      <w:r w:rsidR="000A1F69" w:rsidRPr="005927F3">
        <w:rPr>
          <w:rFonts w:cstheme="minorHAnsi"/>
          <w:sz w:val="24"/>
          <w:szCs w:val="24"/>
        </w:rPr>
        <w:t xml:space="preserve"> </w:t>
      </w:r>
      <w:r w:rsidR="00D60084" w:rsidRPr="005927F3">
        <w:rPr>
          <w:rFonts w:cstheme="minorHAnsi"/>
          <w:sz w:val="24"/>
          <w:szCs w:val="24"/>
        </w:rPr>
        <w:t xml:space="preserve">even if </w:t>
      </w:r>
      <w:r w:rsidR="00822CF9" w:rsidRPr="005927F3">
        <w:rPr>
          <w:rFonts w:cstheme="minorHAnsi"/>
          <w:sz w:val="24"/>
          <w:szCs w:val="24"/>
        </w:rPr>
        <w:t>in the specific case</w:t>
      </w:r>
      <w:r w:rsidR="00AB2486" w:rsidRPr="005927F3">
        <w:rPr>
          <w:rFonts w:cstheme="minorHAnsi"/>
          <w:sz w:val="24"/>
          <w:szCs w:val="24"/>
        </w:rPr>
        <w:t>:</w:t>
      </w:r>
    </w:p>
    <w:p w14:paraId="67EBFFFC" w14:textId="77777777" w:rsidR="00AB2486" w:rsidRPr="005927F3" w:rsidRDefault="00AB2486" w:rsidP="008B308D">
      <w:pPr>
        <w:autoSpaceDE w:val="0"/>
        <w:autoSpaceDN w:val="0"/>
        <w:adjustRightInd w:val="0"/>
        <w:spacing w:after="0" w:line="240" w:lineRule="auto"/>
        <w:jc w:val="both"/>
        <w:rPr>
          <w:rFonts w:cstheme="minorHAnsi"/>
          <w:sz w:val="24"/>
          <w:szCs w:val="24"/>
        </w:rPr>
      </w:pPr>
    </w:p>
    <w:p w14:paraId="26D68ED9" w14:textId="2E04B724" w:rsidR="00AB2486" w:rsidRPr="005927F3" w:rsidRDefault="00883DFC" w:rsidP="005927F3">
      <w:pPr>
        <w:autoSpaceDE w:val="0"/>
        <w:autoSpaceDN w:val="0"/>
        <w:adjustRightInd w:val="0"/>
        <w:spacing w:after="0" w:line="240" w:lineRule="auto"/>
        <w:ind w:left="720"/>
        <w:jc w:val="both"/>
        <w:rPr>
          <w:rFonts w:cstheme="minorHAnsi"/>
          <w:sz w:val="24"/>
          <w:szCs w:val="24"/>
        </w:rPr>
      </w:pPr>
      <w:r w:rsidRPr="005927F3">
        <w:rPr>
          <w:rFonts w:cstheme="minorHAnsi"/>
          <w:sz w:val="24"/>
          <w:szCs w:val="24"/>
        </w:rPr>
        <w:t>‘</w:t>
      </w:r>
      <w:r w:rsidR="00AB2486" w:rsidRPr="005927F3">
        <w:rPr>
          <w:rFonts w:cstheme="minorHAnsi"/>
          <w:sz w:val="24"/>
          <w:szCs w:val="24"/>
        </w:rPr>
        <w:t xml:space="preserve">[the balance </w:t>
      </w:r>
      <w:r w:rsidRPr="005927F3">
        <w:rPr>
          <w:rFonts w:cstheme="minorHAnsi"/>
          <w:sz w:val="24"/>
          <w:szCs w:val="24"/>
        </w:rPr>
        <w:t>may</w:t>
      </w:r>
      <w:r w:rsidR="00AB2486" w:rsidRPr="005927F3">
        <w:rPr>
          <w:rFonts w:cstheme="minorHAnsi"/>
          <w:sz w:val="24"/>
          <w:szCs w:val="24"/>
        </w:rPr>
        <w:t xml:space="preserve">] </w:t>
      </w:r>
      <w:r w:rsidR="000A1F69" w:rsidRPr="005927F3">
        <w:rPr>
          <w:rFonts w:cstheme="minorHAnsi"/>
          <w:sz w:val="24"/>
          <w:szCs w:val="24"/>
        </w:rPr>
        <w:t>d</w:t>
      </w:r>
      <w:r w:rsidRPr="005927F3">
        <w:rPr>
          <w:rFonts w:cstheme="minorHAnsi"/>
          <w:sz w:val="24"/>
          <w:szCs w:val="24"/>
        </w:rPr>
        <w:t xml:space="preserve">epend on </w:t>
      </w:r>
      <w:r w:rsidR="000A1F69" w:rsidRPr="005927F3">
        <w:rPr>
          <w:rFonts w:cstheme="minorHAnsi"/>
          <w:sz w:val="24"/>
          <w:szCs w:val="24"/>
        </w:rPr>
        <w:t>the nature of the information in question and its sensitivity for the data subject’s private life and on the interest of the public in having that information, an interest which may vary</w:t>
      </w:r>
      <w:proofErr w:type="gramStart"/>
      <w:r w:rsidR="000A1F69" w:rsidRPr="005927F3">
        <w:rPr>
          <w:rFonts w:cstheme="minorHAnsi"/>
          <w:sz w:val="24"/>
          <w:szCs w:val="24"/>
        </w:rPr>
        <w:t>, in particular, according</w:t>
      </w:r>
      <w:proofErr w:type="gramEnd"/>
      <w:r w:rsidR="000A1F69" w:rsidRPr="005927F3">
        <w:rPr>
          <w:rFonts w:cstheme="minorHAnsi"/>
          <w:sz w:val="24"/>
          <w:szCs w:val="24"/>
        </w:rPr>
        <w:t xml:space="preserve"> to the role played by the data subject in public life</w:t>
      </w:r>
      <w:r w:rsidR="00822CF9" w:rsidRPr="005927F3">
        <w:rPr>
          <w:rFonts w:cstheme="minorHAnsi"/>
          <w:sz w:val="24"/>
          <w:szCs w:val="24"/>
        </w:rPr>
        <w:t>.</w:t>
      </w:r>
      <w:r w:rsidR="000A1F69" w:rsidRPr="005927F3">
        <w:rPr>
          <w:rFonts w:cstheme="minorHAnsi"/>
          <w:sz w:val="24"/>
          <w:szCs w:val="24"/>
        </w:rPr>
        <w:t>’</w:t>
      </w:r>
      <w:r w:rsidR="000A1F69" w:rsidRPr="005927F3">
        <w:rPr>
          <w:rStyle w:val="FootnoteReference"/>
          <w:rFonts w:cstheme="minorHAnsi"/>
          <w:sz w:val="24"/>
          <w:szCs w:val="24"/>
        </w:rPr>
        <w:footnoteReference w:id="94"/>
      </w:r>
      <w:r w:rsidR="000A1F69" w:rsidRPr="005927F3">
        <w:rPr>
          <w:rFonts w:cstheme="minorHAnsi"/>
          <w:sz w:val="24"/>
          <w:szCs w:val="24"/>
        </w:rPr>
        <w:t xml:space="preserve"> </w:t>
      </w:r>
    </w:p>
    <w:p w14:paraId="0DAAB59F" w14:textId="77777777" w:rsidR="00AB2486" w:rsidRPr="005927F3" w:rsidRDefault="00AB2486" w:rsidP="008B308D">
      <w:pPr>
        <w:autoSpaceDE w:val="0"/>
        <w:autoSpaceDN w:val="0"/>
        <w:adjustRightInd w:val="0"/>
        <w:spacing w:after="0" w:line="240" w:lineRule="auto"/>
        <w:jc w:val="both"/>
        <w:rPr>
          <w:rFonts w:cstheme="minorHAnsi"/>
          <w:sz w:val="24"/>
          <w:szCs w:val="24"/>
        </w:rPr>
      </w:pPr>
    </w:p>
    <w:p w14:paraId="77538075" w14:textId="7776CF1F" w:rsidR="007745E8" w:rsidRPr="005927F3" w:rsidRDefault="007D00DB" w:rsidP="008B308D">
      <w:pPr>
        <w:autoSpaceDE w:val="0"/>
        <w:autoSpaceDN w:val="0"/>
        <w:adjustRightInd w:val="0"/>
        <w:spacing w:after="0" w:line="240" w:lineRule="auto"/>
        <w:jc w:val="both"/>
        <w:rPr>
          <w:rFonts w:cstheme="minorHAnsi"/>
          <w:sz w:val="24"/>
          <w:szCs w:val="24"/>
        </w:rPr>
      </w:pPr>
      <w:r w:rsidRPr="005927F3">
        <w:rPr>
          <w:rFonts w:cstheme="minorHAnsi"/>
          <w:sz w:val="24"/>
          <w:szCs w:val="24"/>
        </w:rPr>
        <w:t>As</w:t>
      </w:r>
      <w:r w:rsidR="00AB2486" w:rsidRPr="005927F3">
        <w:rPr>
          <w:rFonts w:cstheme="minorHAnsi"/>
          <w:sz w:val="24"/>
          <w:szCs w:val="24"/>
        </w:rPr>
        <w:t xml:space="preserve"> this</w:t>
      </w:r>
      <w:r w:rsidR="00637F32" w:rsidRPr="005927F3">
        <w:rPr>
          <w:rFonts w:cstheme="minorHAnsi"/>
          <w:sz w:val="24"/>
          <w:szCs w:val="24"/>
        </w:rPr>
        <w:t xml:space="preserve"> </w:t>
      </w:r>
      <w:r w:rsidRPr="005927F3">
        <w:rPr>
          <w:rFonts w:cstheme="minorHAnsi"/>
          <w:sz w:val="24"/>
          <w:szCs w:val="24"/>
        </w:rPr>
        <w:t xml:space="preserve">privacy is located within the public realm, </w:t>
      </w:r>
      <w:r w:rsidR="00D7430D" w:rsidRPr="005927F3">
        <w:rPr>
          <w:rFonts w:cstheme="minorHAnsi"/>
          <w:sz w:val="24"/>
          <w:szCs w:val="24"/>
        </w:rPr>
        <w:t>and</w:t>
      </w:r>
      <w:r w:rsidR="00B62868" w:rsidRPr="005927F3">
        <w:rPr>
          <w:rFonts w:cstheme="minorHAnsi"/>
          <w:sz w:val="24"/>
          <w:szCs w:val="24"/>
        </w:rPr>
        <w:t xml:space="preserve"> </w:t>
      </w:r>
      <w:r w:rsidR="00D7430D" w:rsidRPr="005927F3">
        <w:rPr>
          <w:rFonts w:cstheme="minorHAnsi"/>
          <w:sz w:val="24"/>
          <w:szCs w:val="24"/>
        </w:rPr>
        <w:t>acts as a restraint on</w:t>
      </w:r>
      <w:r w:rsidR="00B62868" w:rsidRPr="005927F3">
        <w:rPr>
          <w:rFonts w:cstheme="minorHAnsi"/>
          <w:sz w:val="24"/>
          <w:szCs w:val="24"/>
        </w:rPr>
        <w:t xml:space="preserve"> public communications</w:t>
      </w:r>
      <w:r w:rsidR="008846E2" w:rsidRPr="005927F3">
        <w:rPr>
          <w:rFonts w:cstheme="minorHAnsi"/>
          <w:sz w:val="24"/>
          <w:szCs w:val="24"/>
        </w:rPr>
        <w:t>,</w:t>
      </w:r>
      <w:r w:rsidR="00B62868" w:rsidRPr="005927F3">
        <w:rPr>
          <w:rFonts w:cstheme="minorHAnsi"/>
          <w:sz w:val="24"/>
          <w:szCs w:val="24"/>
        </w:rPr>
        <w:t xml:space="preserve"> it </w:t>
      </w:r>
      <w:r w:rsidR="000D2949" w:rsidRPr="005927F3">
        <w:rPr>
          <w:rFonts w:cstheme="minorHAnsi"/>
          <w:sz w:val="24"/>
          <w:szCs w:val="24"/>
        </w:rPr>
        <w:t>routinely</w:t>
      </w:r>
      <w:r w:rsidRPr="005927F3">
        <w:rPr>
          <w:rFonts w:cstheme="minorHAnsi"/>
          <w:sz w:val="24"/>
          <w:szCs w:val="24"/>
        </w:rPr>
        <w:t xml:space="preserve"> clash</w:t>
      </w:r>
      <w:r w:rsidR="00B62868" w:rsidRPr="005927F3">
        <w:rPr>
          <w:rFonts w:cstheme="minorHAnsi"/>
          <w:sz w:val="24"/>
          <w:szCs w:val="24"/>
        </w:rPr>
        <w:t>es</w:t>
      </w:r>
      <w:r w:rsidRPr="005927F3">
        <w:rPr>
          <w:rFonts w:cstheme="minorHAnsi"/>
          <w:sz w:val="24"/>
          <w:szCs w:val="24"/>
        </w:rPr>
        <w:t xml:space="preserve"> with free</w:t>
      </w:r>
      <w:r w:rsidR="00D7430D" w:rsidRPr="005927F3">
        <w:rPr>
          <w:rFonts w:cstheme="minorHAnsi"/>
          <w:sz w:val="24"/>
          <w:szCs w:val="24"/>
        </w:rPr>
        <w:t>dom of expression.</w:t>
      </w:r>
      <w:r w:rsidR="00B62868" w:rsidRPr="005927F3">
        <w:rPr>
          <w:rFonts w:cstheme="minorHAnsi"/>
          <w:sz w:val="24"/>
          <w:szCs w:val="24"/>
        </w:rPr>
        <w:t xml:space="preserve"> </w:t>
      </w:r>
      <w:r w:rsidR="00AD78CC" w:rsidRPr="005927F3">
        <w:rPr>
          <w:rFonts w:cstheme="minorHAnsi"/>
          <w:sz w:val="24"/>
          <w:szCs w:val="24"/>
        </w:rPr>
        <w:t>I</w:t>
      </w:r>
      <w:r w:rsidR="00CC1FB3" w:rsidRPr="005927F3">
        <w:rPr>
          <w:rFonts w:cstheme="minorHAnsi"/>
          <w:sz w:val="24"/>
          <w:szCs w:val="24"/>
        </w:rPr>
        <w:t>f</w:t>
      </w:r>
      <w:r w:rsidR="008846E2" w:rsidRPr="005927F3">
        <w:rPr>
          <w:rFonts w:cstheme="minorHAnsi"/>
          <w:sz w:val="24"/>
          <w:szCs w:val="24"/>
        </w:rPr>
        <w:t xml:space="preserve"> it </w:t>
      </w:r>
      <w:r w:rsidRPr="005927F3">
        <w:rPr>
          <w:rFonts w:cstheme="minorHAnsi"/>
          <w:sz w:val="24"/>
          <w:szCs w:val="24"/>
        </w:rPr>
        <w:t>would not ‘</w:t>
      </w:r>
      <w:proofErr w:type="gramStart"/>
      <w:r w:rsidRPr="005927F3">
        <w:rPr>
          <w:rFonts w:cstheme="minorHAnsi"/>
          <w:sz w:val="24"/>
          <w:szCs w:val="24"/>
        </w:rPr>
        <w:t>as a</w:t>
      </w:r>
      <w:r w:rsidR="00C878E6" w:rsidRPr="005927F3">
        <w:rPr>
          <w:rFonts w:cstheme="minorHAnsi"/>
          <w:sz w:val="24"/>
          <w:szCs w:val="24"/>
        </w:rPr>
        <w:t xml:space="preserve"> general</w:t>
      </w:r>
      <w:r w:rsidRPr="005927F3">
        <w:rPr>
          <w:rFonts w:cstheme="minorHAnsi"/>
          <w:sz w:val="24"/>
          <w:szCs w:val="24"/>
        </w:rPr>
        <w:t xml:space="preserve"> rule</w:t>
      </w:r>
      <w:proofErr w:type="gramEnd"/>
      <w:r w:rsidRPr="005927F3">
        <w:rPr>
          <w:rFonts w:cstheme="minorHAnsi"/>
          <w:sz w:val="24"/>
          <w:szCs w:val="24"/>
        </w:rPr>
        <w:t>’ override freedom of expression</w:t>
      </w:r>
      <w:r w:rsidR="00C878E6" w:rsidRPr="005927F3">
        <w:rPr>
          <w:rFonts w:cstheme="minorHAnsi"/>
          <w:sz w:val="24"/>
          <w:szCs w:val="24"/>
        </w:rPr>
        <w:t xml:space="preserve">, </w:t>
      </w:r>
      <w:r w:rsidR="00815624" w:rsidRPr="005927F3">
        <w:rPr>
          <w:rFonts w:cstheme="minorHAnsi"/>
          <w:sz w:val="24"/>
          <w:szCs w:val="24"/>
        </w:rPr>
        <w:t>i</w:t>
      </w:r>
      <w:r w:rsidR="00FD28AF" w:rsidRPr="005927F3">
        <w:rPr>
          <w:rFonts w:cstheme="minorHAnsi"/>
          <w:sz w:val="24"/>
          <w:szCs w:val="24"/>
        </w:rPr>
        <w:t>t would not as a rule be functional</w:t>
      </w:r>
      <w:r w:rsidR="00D26184" w:rsidRPr="005927F3">
        <w:rPr>
          <w:rFonts w:cstheme="minorHAnsi"/>
          <w:sz w:val="24"/>
          <w:szCs w:val="24"/>
        </w:rPr>
        <w:t xml:space="preserve">. </w:t>
      </w:r>
      <w:r w:rsidR="008D41DB" w:rsidRPr="005927F3">
        <w:rPr>
          <w:rFonts w:cstheme="minorHAnsi"/>
          <w:sz w:val="24"/>
          <w:szCs w:val="24"/>
        </w:rPr>
        <w:t xml:space="preserve"> </w:t>
      </w:r>
      <w:r w:rsidR="00F25EAF" w:rsidRPr="005927F3">
        <w:rPr>
          <w:rFonts w:cstheme="minorHAnsi"/>
          <w:sz w:val="24"/>
          <w:szCs w:val="24"/>
        </w:rPr>
        <w:t xml:space="preserve">Still, </w:t>
      </w:r>
      <w:r w:rsidR="00C878E6" w:rsidRPr="005927F3">
        <w:rPr>
          <w:rFonts w:cstheme="minorHAnsi"/>
          <w:sz w:val="24"/>
          <w:szCs w:val="24"/>
        </w:rPr>
        <w:t>a commitment to a</w:t>
      </w:r>
      <w:r w:rsidR="00F25EAF" w:rsidRPr="005927F3">
        <w:rPr>
          <w:rFonts w:cstheme="minorHAnsi"/>
          <w:sz w:val="24"/>
          <w:szCs w:val="24"/>
        </w:rPr>
        <w:t xml:space="preserve"> right to be forgotten is not insensitive to the public’s interest in accessing information, as underscored, in the first place, by </w:t>
      </w:r>
      <w:r w:rsidR="00C878E6" w:rsidRPr="005927F3">
        <w:rPr>
          <w:rFonts w:cstheme="minorHAnsi"/>
          <w:sz w:val="24"/>
          <w:szCs w:val="24"/>
        </w:rPr>
        <w:t>the right’s</w:t>
      </w:r>
      <w:r w:rsidR="00F25EAF" w:rsidRPr="005927F3">
        <w:rPr>
          <w:rFonts w:cstheme="minorHAnsi"/>
          <w:sz w:val="24"/>
          <w:szCs w:val="24"/>
        </w:rPr>
        <w:t xml:space="preserve"> very focused remedy shielding individuals </w:t>
      </w:r>
      <w:r w:rsidR="00014265" w:rsidRPr="005927F3">
        <w:rPr>
          <w:rFonts w:cstheme="minorHAnsi"/>
          <w:sz w:val="24"/>
          <w:szCs w:val="24"/>
        </w:rPr>
        <w:t>only</w:t>
      </w:r>
      <w:r w:rsidR="00F25EAF" w:rsidRPr="005927F3">
        <w:rPr>
          <w:rFonts w:cstheme="minorHAnsi"/>
          <w:sz w:val="24"/>
          <w:szCs w:val="24"/>
        </w:rPr>
        <w:t xml:space="preserve"> from the results o</w:t>
      </w:r>
      <w:r w:rsidR="000646D4" w:rsidRPr="005927F3">
        <w:rPr>
          <w:rFonts w:cstheme="minorHAnsi"/>
          <w:sz w:val="24"/>
          <w:szCs w:val="24"/>
        </w:rPr>
        <w:t xml:space="preserve">f </w:t>
      </w:r>
      <w:r w:rsidR="00F25EAF" w:rsidRPr="005927F3">
        <w:rPr>
          <w:rFonts w:cstheme="minorHAnsi"/>
          <w:sz w:val="24"/>
          <w:szCs w:val="24"/>
        </w:rPr>
        <w:t>searches</w:t>
      </w:r>
      <w:r w:rsidR="000646D4" w:rsidRPr="005927F3">
        <w:rPr>
          <w:rFonts w:cstheme="minorHAnsi"/>
          <w:sz w:val="24"/>
          <w:szCs w:val="24"/>
        </w:rPr>
        <w:t xml:space="preserve"> of their names</w:t>
      </w:r>
      <w:r w:rsidR="00F25EAF" w:rsidRPr="005927F3">
        <w:rPr>
          <w:rFonts w:cstheme="minorHAnsi"/>
          <w:sz w:val="24"/>
          <w:szCs w:val="24"/>
        </w:rPr>
        <w:t xml:space="preserve">, but leaving the information </w:t>
      </w:r>
      <w:r w:rsidR="006E2B90" w:rsidRPr="005927F3">
        <w:rPr>
          <w:rFonts w:cstheme="minorHAnsi"/>
          <w:sz w:val="24"/>
          <w:szCs w:val="24"/>
        </w:rPr>
        <w:t xml:space="preserve">otherwise </w:t>
      </w:r>
      <w:r w:rsidR="00F25EAF" w:rsidRPr="005927F3">
        <w:rPr>
          <w:rFonts w:cstheme="minorHAnsi"/>
          <w:sz w:val="24"/>
          <w:szCs w:val="24"/>
        </w:rPr>
        <w:t>in the public domain, and, in the second place, by the public interest exception.</w:t>
      </w:r>
      <w:r w:rsidR="00F25EAF" w:rsidRPr="005927F3">
        <w:rPr>
          <w:rStyle w:val="FootnoteReference"/>
          <w:rFonts w:cstheme="minorHAnsi"/>
          <w:sz w:val="24"/>
          <w:szCs w:val="24"/>
        </w:rPr>
        <w:footnoteReference w:id="95"/>
      </w:r>
      <w:r w:rsidR="00F25EAF" w:rsidRPr="005927F3">
        <w:rPr>
          <w:rFonts w:cstheme="minorHAnsi"/>
          <w:sz w:val="24"/>
          <w:szCs w:val="24"/>
        </w:rPr>
        <w:t xml:space="preserve"> </w:t>
      </w:r>
    </w:p>
    <w:p w14:paraId="59740063" w14:textId="77777777" w:rsidR="007745E8" w:rsidRPr="005927F3" w:rsidRDefault="007745E8" w:rsidP="008B308D">
      <w:pPr>
        <w:autoSpaceDE w:val="0"/>
        <w:autoSpaceDN w:val="0"/>
        <w:adjustRightInd w:val="0"/>
        <w:spacing w:after="0" w:line="240" w:lineRule="auto"/>
        <w:jc w:val="both"/>
        <w:rPr>
          <w:rFonts w:cstheme="minorHAnsi"/>
          <w:sz w:val="24"/>
          <w:szCs w:val="24"/>
        </w:rPr>
      </w:pPr>
    </w:p>
    <w:p w14:paraId="523FC7C8" w14:textId="503A6AFC" w:rsidR="00490B2B" w:rsidRPr="005927F3" w:rsidRDefault="00FA7F53" w:rsidP="008B308D">
      <w:pPr>
        <w:autoSpaceDE w:val="0"/>
        <w:autoSpaceDN w:val="0"/>
        <w:adjustRightInd w:val="0"/>
        <w:spacing w:after="0" w:line="240" w:lineRule="auto"/>
        <w:jc w:val="both"/>
        <w:rPr>
          <w:rFonts w:cstheme="minorHAnsi"/>
          <w:sz w:val="24"/>
          <w:szCs w:val="24"/>
        </w:rPr>
      </w:pPr>
      <w:r w:rsidRPr="005927F3">
        <w:rPr>
          <w:rFonts w:cstheme="minorHAnsi"/>
          <w:i/>
          <w:sz w:val="24"/>
          <w:szCs w:val="24"/>
        </w:rPr>
        <w:t>Second,</w:t>
      </w:r>
      <w:r w:rsidRPr="005927F3">
        <w:rPr>
          <w:rFonts w:cstheme="minorHAnsi"/>
          <w:sz w:val="24"/>
          <w:szCs w:val="24"/>
        </w:rPr>
        <w:t xml:space="preserve"> in the controversies in </w:t>
      </w:r>
      <w:r w:rsidR="00821D8A" w:rsidRPr="005927F3">
        <w:rPr>
          <w:rFonts w:cstheme="minorHAnsi"/>
          <w:i/>
          <w:sz w:val="24"/>
          <w:szCs w:val="24"/>
        </w:rPr>
        <w:t>GC and</w:t>
      </w:r>
      <w:r w:rsidR="0082584C" w:rsidRPr="005927F3">
        <w:rPr>
          <w:rFonts w:cstheme="minorHAnsi"/>
          <w:i/>
          <w:sz w:val="24"/>
          <w:szCs w:val="24"/>
        </w:rPr>
        <w:t xml:space="preserve"> </w:t>
      </w:r>
      <w:proofErr w:type="spellStart"/>
      <w:r w:rsidR="0082584C" w:rsidRPr="005927F3">
        <w:rPr>
          <w:rFonts w:cstheme="minorHAnsi"/>
          <w:i/>
          <w:sz w:val="24"/>
          <w:szCs w:val="24"/>
        </w:rPr>
        <w:t>Ors</w:t>
      </w:r>
      <w:proofErr w:type="spellEnd"/>
      <w:r w:rsidRPr="005927F3">
        <w:rPr>
          <w:rFonts w:cstheme="minorHAnsi"/>
          <w:sz w:val="24"/>
          <w:szCs w:val="24"/>
        </w:rPr>
        <w:t>, the personal matters</w:t>
      </w:r>
      <w:r w:rsidR="00E026A8" w:rsidRPr="005927F3">
        <w:rPr>
          <w:rFonts w:cstheme="minorHAnsi"/>
          <w:sz w:val="24"/>
          <w:szCs w:val="24"/>
        </w:rPr>
        <w:t xml:space="preserve"> had</w:t>
      </w:r>
      <w:r w:rsidRPr="005927F3">
        <w:rPr>
          <w:rFonts w:cstheme="minorHAnsi"/>
          <w:sz w:val="24"/>
          <w:szCs w:val="24"/>
        </w:rPr>
        <w:t xml:space="preserve">, with </w:t>
      </w:r>
      <w:r w:rsidR="000D2949" w:rsidRPr="005927F3">
        <w:rPr>
          <w:rFonts w:cstheme="minorHAnsi"/>
          <w:sz w:val="24"/>
          <w:szCs w:val="24"/>
        </w:rPr>
        <w:t>one exception,</w:t>
      </w:r>
      <w:r w:rsidRPr="005927F3">
        <w:rPr>
          <w:rFonts w:cstheme="minorHAnsi"/>
          <w:i/>
          <w:sz w:val="24"/>
          <w:szCs w:val="24"/>
        </w:rPr>
        <w:t xml:space="preserve"> </w:t>
      </w:r>
      <w:r w:rsidR="00377EB8" w:rsidRPr="005927F3">
        <w:rPr>
          <w:rFonts w:cstheme="minorHAnsi"/>
          <w:sz w:val="24"/>
          <w:szCs w:val="24"/>
        </w:rPr>
        <w:t>already</w:t>
      </w:r>
      <w:r w:rsidR="00E026A8" w:rsidRPr="005927F3">
        <w:rPr>
          <w:rFonts w:cstheme="minorHAnsi"/>
          <w:sz w:val="24"/>
          <w:szCs w:val="24"/>
        </w:rPr>
        <w:t xml:space="preserve"> been</w:t>
      </w:r>
      <w:r w:rsidR="00377EB8" w:rsidRPr="005927F3">
        <w:rPr>
          <w:rFonts w:cstheme="minorHAnsi"/>
          <w:sz w:val="24"/>
          <w:szCs w:val="24"/>
        </w:rPr>
        <w:t xml:space="preserve"> in the </w:t>
      </w:r>
      <w:r w:rsidR="00EC5CCB" w:rsidRPr="005927F3">
        <w:rPr>
          <w:rFonts w:cstheme="minorHAnsi"/>
          <w:sz w:val="24"/>
          <w:szCs w:val="24"/>
        </w:rPr>
        <w:t>public domain</w:t>
      </w:r>
      <w:r w:rsidR="00AA0409" w:rsidRPr="005927F3">
        <w:rPr>
          <w:rFonts w:cstheme="minorHAnsi"/>
          <w:sz w:val="24"/>
          <w:szCs w:val="24"/>
        </w:rPr>
        <w:t xml:space="preserve">, </w:t>
      </w:r>
      <w:r w:rsidR="00E026A8" w:rsidRPr="005927F3">
        <w:rPr>
          <w:rFonts w:cstheme="minorHAnsi"/>
          <w:sz w:val="24"/>
          <w:szCs w:val="24"/>
        </w:rPr>
        <w:t>and neither inaccurately nor illegitimately</w:t>
      </w:r>
      <w:r w:rsidR="00863F9D" w:rsidRPr="005927F3">
        <w:rPr>
          <w:rFonts w:cstheme="minorHAnsi"/>
          <w:sz w:val="24"/>
          <w:szCs w:val="24"/>
        </w:rPr>
        <w:t xml:space="preserve"> so</w:t>
      </w:r>
      <w:r w:rsidR="005B3649" w:rsidRPr="005927F3">
        <w:rPr>
          <w:rFonts w:cstheme="minorHAnsi"/>
          <w:sz w:val="24"/>
          <w:szCs w:val="24"/>
        </w:rPr>
        <w:t xml:space="preserve">. </w:t>
      </w:r>
      <w:r w:rsidR="008E34F8" w:rsidRPr="005927F3">
        <w:rPr>
          <w:rFonts w:cstheme="minorHAnsi"/>
          <w:sz w:val="24"/>
          <w:szCs w:val="24"/>
        </w:rPr>
        <w:t xml:space="preserve"> By the same token</w:t>
      </w:r>
      <w:r w:rsidR="005B3649" w:rsidRPr="005927F3">
        <w:rPr>
          <w:rFonts w:cstheme="minorHAnsi"/>
          <w:sz w:val="24"/>
          <w:szCs w:val="24"/>
        </w:rPr>
        <w:t>, G</w:t>
      </w:r>
      <w:r w:rsidRPr="005927F3">
        <w:rPr>
          <w:rFonts w:cstheme="minorHAnsi"/>
          <w:sz w:val="24"/>
          <w:szCs w:val="24"/>
        </w:rPr>
        <w:t xml:space="preserve">oogle’s privacy duties arose out of </w:t>
      </w:r>
      <w:r w:rsidR="005B3649" w:rsidRPr="005927F3">
        <w:rPr>
          <w:rFonts w:cstheme="minorHAnsi"/>
          <w:sz w:val="24"/>
          <w:szCs w:val="24"/>
        </w:rPr>
        <w:t>its role as</w:t>
      </w:r>
      <w:r w:rsidR="00EC5CCB" w:rsidRPr="005927F3">
        <w:rPr>
          <w:rFonts w:cstheme="minorHAnsi"/>
          <w:sz w:val="24"/>
          <w:szCs w:val="24"/>
        </w:rPr>
        <w:t xml:space="preserve"> search provider </w:t>
      </w:r>
      <w:r w:rsidR="00055C7B" w:rsidRPr="005927F3">
        <w:rPr>
          <w:rFonts w:cstheme="minorHAnsi"/>
          <w:sz w:val="24"/>
          <w:szCs w:val="24"/>
        </w:rPr>
        <w:t>through which it creates</w:t>
      </w:r>
      <w:r w:rsidR="005B3649" w:rsidRPr="005927F3">
        <w:rPr>
          <w:rFonts w:cstheme="minorHAnsi"/>
          <w:sz w:val="24"/>
          <w:szCs w:val="24"/>
        </w:rPr>
        <w:t xml:space="preserve"> </w:t>
      </w:r>
      <w:r w:rsidR="00EC5CCB" w:rsidRPr="005927F3">
        <w:rPr>
          <w:rFonts w:cstheme="minorHAnsi"/>
          <w:i/>
          <w:sz w:val="24"/>
          <w:szCs w:val="24"/>
        </w:rPr>
        <w:t>a new publ</w:t>
      </w:r>
      <w:r w:rsidR="005B3649" w:rsidRPr="005927F3">
        <w:rPr>
          <w:rFonts w:cstheme="minorHAnsi"/>
          <w:i/>
          <w:sz w:val="24"/>
          <w:szCs w:val="24"/>
        </w:rPr>
        <w:t>ic</w:t>
      </w:r>
      <w:r w:rsidR="005B3649" w:rsidRPr="005927F3">
        <w:rPr>
          <w:rFonts w:cstheme="minorHAnsi"/>
          <w:sz w:val="24"/>
          <w:szCs w:val="24"/>
        </w:rPr>
        <w:t xml:space="preserve"> for </w:t>
      </w:r>
      <w:r w:rsidR="0015562D" w:rsidRPr="005927F3">
        <w:rPr>
          <w:rFonts w:cstheme="minorHAnsi"/>
          <w:sz w:val="24"/>
          <w:szCs w:val="24"/>
        </w:rPr>
        <w:t>t</w:t>
      </w:r>
      <w:r w:rsidR="00DA37D7" w:rsidRPr="005927F3">
        <w:rPr>
          <w:rFonts w:cstheme="minorHAnsi"/>
          <w:sz w:val="24"/>
          <w:szCs w:val="24"/>
        </w:rPr>
        <w:t>he</w:t>
      </w:r>
      <w:r w:rsidR="0015562D" w:rsidRPr="005927F3">
        <w:rPr>
          <w:rFonts w:cstheme="minorHAnsi"/>
          <w:sz w:val="24"/>
          <w:szCs w:val="24"/>
        </w:rPr>
        <w:t xml:space="preserve"> information</w:t>
      </w:r>
      <w:r w:rsidR="00055C7B" w:rsidRPr="005927F3">
        <w:rPr>
          <w:rFonts w:cstheme="minorHAnsi"/>
          <w:sz w:val="24"/>
          <w:szCs w:val="24"/>
        </w:rPr>
        <w:t>.</w:t>
      </w:r>
      <w:r w:rsidR="00072095" w:rsidRPr="005927F3">
        <w:rPr>
          <w:rFonts w:cstheme="minorHAnsi"/>
          <w:sz w:val="24"/>
          <w:szCs w:val="24"/>
        </w:rPr>
        <w:t xml:space="preserve"> Its liability was</w:t>
      </w:r>
      <w:r w:rsidR="005B3649" w:rsidRPr="005927F3">
        <w:rPr>
          <w:rFonts w:cstheme="minorHAnsi"/>
          <w:sz w:val="24"/>
          <w:szCs w:val="24"/>
        </w:rPr>
        <w:t xml:space="preserve"> </w:t>
      </w:r>
      <w:r w:rsidR="008E34F8" w:rsidRPr="005927F3">
        <w:rPr>
          <w:rFonts w:cstheme="minorHAnsi"/>
          <w:sz w:val="24"/>
          <w:szCs w:val="24"/>
        </w:rPr>
        <w:t xml:space="preserve">thus </w:t>
      </w:r>
      <w:r w:rsidR="005B3649" w:rsidRPr="005927F3">
        <w:rPr>
          <w:rFonts w:cstheme="minorHAnsi"/>
          <w:sz w:val="24"/>
          <w:szCs w:val="24"/>
        </w:rPr>
        <w:t xml:space="preserve">not secondary </w:t>
      </w:r>
      <w:r w:rsidR="00A605DA" w:rsidRPr="005927F3">
        <w:rPr>
          <w:rFonts w:cstheme="minorHAnsi"/>
          <w:sz w:val="24"/>
          <w:szCs w:val="24"/>
        </w:rPr>
        <w:t xml:space="preserve">or </w:t>
      </w:r>
      <w:r w:rsidR="005B3649" w:rsidRPr="005927F3">
        <w:rPr>
          <w:rFonts w:cstheme="minorHAnsi"/>
          <w:sz w:val="24"/>
          <w:szCs w:val="24"/>
        </w:rPr>
        <w:t xml:space="preserve">depending on </w:t>
      </w:r>
      <w:r w:rsidRPr="005927F3">
        <w:rPr>
          <w:rFonts w:cstheme="minorHAnsi"/>
          <w:sz w:val="24"/>
          <w:szCs w:val="24"/>
        </w:rPr>
        <w:t>the</w:t>
      </w:r>
      <w:r w:rsidR="005B3649" w:rsidRPr="005927F3">
        <w:rPr>
          <w:rFonts w:cstheme="minorHAnsi"/>
          <w:sz w:val="24"/>
          <w:szCs w:val="24"/>
        </w:rPr>
        <w:t xml:space="preserve"> wrongdoing </w:t>
      </w:r>
      <w:r w:rsidR="00DA37D7" w:rsidRPr="005927F3">
        <w:rPr>
          <w:rFonts w:cstheme="minorHAnsi"/>
          <w:sz w:val="24"/>
          <w:szCs w:val="24"/>
        </w:rPr>
        <w:t xml:space="preserve">by the original </w:t>
      </w:r>
      <w:r w:rsidR="005B3649" w:rsidRPr="005927F3">
        <w:rPr>
          <w:rFonts w:cstheme="minorHAnsi"/>
          <w:sz w:val="24"/>
          <w:szCs w:val="24"/>
        </w:rPr>
        <w:t>publisher, but entirely separate</w:t>
      </w:r>
      <w:r w:rsidR="00883DFC" w:rsidRPr="005927F3">
        <w:rPr>
          <w:rFonts w:cstheme="minorHAnsi"/>
          <w:sz w:val="24"/>
          <w:szCs w:val="24"/>
        </w:rPr>
        <w:t xml:space="preserve"> based on its additional </w:t>
      </w:r>
      <w:r w:rsidR="00883DFC" w:rsidRPr="005927F3">
        <w:rPr>
          <w:rFonts w:cstheme="minorHAnsi"/>
          <w:sz w:val="24"/>
          <w:szCs w:val="24"/>
        </w:rPr>
        <w:lastRenderedPageBreak/>
        <w:t>dissemination role</w:t>
      </w:r>
      <w:r w:rsidR="005B3649" w:rsidRPr="005927F3">
        <w:rPr>
          <w:rFonts w:cstheme="minorHAnsi"/>
          <w:sz w:val="24"/>
          <w:szCs w:val="24"/>
        </w:rPr>
        <w:t>: ‘the activity of a search engine can be distinguished from and is additional to that carried out by publishers of websites… [and] plays a decisive role in the overall dissemination of those data in that it renders the latter accessible to… internet users who otherwise would not have found the web page...’</w:t>
      </w:r>
      <w:r w:rsidR="005B3649" w:rsidRPr="005927F3">
        <w:rPr>
          <w:rStyle w:val="FootnoteReference"/>
          <w:rFonts w:cstheme="minorHAnsi"/>
          <w:sz w:val="24"/>
          <w:szCs w:val="24"/>
        </w:rPr>
        <w:footnoteReference w:id="96"/>
      </w:r>
      <w:r w:rsidR="00DF1F2E" w:rsidRPr="005927F3">
        <w:rPr>
          <w:rFonts w:cstheme="minorHAnsi"/>
          <w:sz w:val="24"/>
          <w:szCs w:val="24"/>
        </w:rPr>
        <w:t xml:space="preserve"> </w:t>
      </w:r>
      <w:r w:rsidR="001C7100" w:rsidRPr="005927F3">
        <w:rPr>
          <w:rFonts w:cstheme="minorHAnsi"/>
          <w:sz w:val="24"/>
          <w:szCs w:val="24"/>
          <w:u w:val="single"/>
        </w:rPr>
        <w:t>Consistently, t</w:t>
      </w:r>
      <w:r w:rsidR="00700FDE" w:rsidRPr="005927F3">
        <w:rPr>
          <w:rFonts w:cstheme="minorHAnsi"/>
          <w:sz w:val="24"/>
          <w:szCs w:val="24"/>
          <w:u w:val="single"/>
        </w:rPr>
        <w:t xml:space="preserve">he Court </w:t>
      </w:r>
      <w:r w:rsidR="000646D4" w:rsidRPr="005927F3">
        <w:rPr>
          <w:rFonts w:cstheme="minorHAnsi"/>
          <w:sz w:val="24"/>
          <w:szCs w:val="24"/>
          <w:u w:val="single"/>
        </w:rPr>
        <w:t xml:space="preserve">never inquired </w:t>
      </w:r>
      <w:r w:rsidR="00700FDE" w:rsidRPr="005927F3">
        <w:rPr>
          <w:rFonts w:cstheme="minorHAnsi"/>
          <w:sz w:val="24"/>
          <w:szCs w:val="24"/>
          <w:u w:val="single"/>
        </w:rPr>
        <w:t xml:space="preserve"> whether the sensitive information was</w:t>
      </w:r>
      <w:r w:rsidR="001C7100" w:rsidRPr="005927F3">
        <w:rPr>
          <w:rFonts w:cstheme="minorHAnsi"/>
          <w:sz w:val="24"/>
          <w:szCs w:val="24"/>
          <w:u w:val="single"/>
        </w:rPr>
        <w:t xml:space="preserve"> in any </w:t>
      </w:r>
      <w:r w:rsidR="000646D4" w:rsidRPr="005927F3">
        <w:rPr>
          <w:rFonts w:cstheme="minorHAnsi"/>
          <w:sz w:val="24"/>
          <w:szCs w:val="24"/>
          <w:u w:val="single"/>
        </w:rPr>
        <w:t xml:space="preserve">way </w:t>
      </w:r>
      <w:r w:rsidR="00700FDE" w:rsidRPr="005927F3">
        <w:rPr>
          <w:rFonts w:cstheme="minorHAnsi"/>
          <w:sz w:val="24"/>
          <w:szCs w:val="24"/>
          <w:u w:val="single"/>
        </w:rPr>
        <w:t>‘private’.</w:t>
      </w:r>
      <w:r w:rsidR="00700FDE" w:rsidRPr="005927F3">
        <w:rPr>
          <w:rFonts w:cstheme="minorHAnsi"/>
          <w:sz w:val="24"/>
          <w:szCs w:val="24"/>
        </w:rPr>
        <w:t xml:space="preserve"> </w:t>
      </w:r>
      <w:r w:rsidR="001C7100" w:rsidRPr="005927F3">
        <w:rPr>
          <w:rFonts w:cstheme="minorHAnsi"/>
          <w:sz w:val="24"/>
          <w:szCs w:val="24"/>
        </w:rPr>
        <w:t xml:space="preserve"> </w:t>
      </w:r>
      <w:r w:rsidRPr="005927F3">
        <w:rPr>
          <w:rFonts w:cstheme="minorHAnsi"/>
          <w:i/>
          <w:sz w:val="24"/>
          <w:szCs w:val="24"/>
        </w:rPr>
        <w:t>Third</w:t>
      </w:r>
      <w:r w:rsidR="005B3649" w:rsidRPr="005927F3">
        <w:rPr>
          <w:rFonts w:cstheme="minorHAnsi"/>
          <w:i/>
          <w:sz w:val="24"/>
          <w:szCs w:val="24"/>
        </w:rPr>
        <w:t xml:space="preserve"> </w:t>
      </w:r>
      <w:r w:rsidR="005B3649" w:rsidRPr="005927F3">
        <w:rPr>
          <w:rFonts w:cstheme="minorHAnsi"/>
          <w:sz w:val="24"/>
          <w:szCs w:val="24"/>
        </w:rPr>
        <w:t>and related, the public role played by the</w:t>
      </w:r>
      <w:r w:rsidR="008E34F8" w:rsidRPr="005927F3">
        <w:rPr>
          <w:rFonts w:cstheme="minorHAnsi"/>
          <w:sz w:val="24"/>
          <w:szCs w:val="24"/>
        </w:rPr>
        <w:t xml:space="preserve"> data subject</w:t>
      </w:r>
      <w:r w:rsidR="005B3649" w:rsidRPr="005927F3">
        <w:rPr>
          <w:rFonts w:cstheme="minorHAnsi"/>
          <w:sz w:val="24"/>
          <w:szCs w:val="24"/>
        </w:rPr>
        <w:t xml:space="preserve"> in the past and present </w:t>
      </w:r>
      <w:r w:rsidR="00CF04BB" w:rsidRPr="005927F3">
        <w:rPr>
          <w:rFonts w:cstheme="minorHAnsi"/>
          <w:sz w:val="24"/>
          <w:szCs w:val="24"/>
        </w:rPr>
        <w:t>went</w:t>
      </w:r>
      <w:r w:rsidR="000A1F69" w:rsidRPr="005927F3">
        <w:rPr>
          <w:rFonts w:cstheme="minorHAnsi"/>
          <w:sz w:val="24"/>
          <w:szCs w:val="24"/>
        </w:rPr>
        <w:t xml:space="preserve"> towards deciding whether the public may have a continued interest in the </w:t>
      </w:r>
      <w:r w:rsidR="00A605DA" w:rsidRPr="005927F3">
        <w:rPr>
          <w:rFonts w:cstheme="minorHAnsi"/>
          <w:sz w:val="24"/>
          <w:szCs w:val="24"/>
        </w:rPr>
        <w:t>information</w:t>
      </w:r>
      <w:r w:rsidR="000A1F69" w:rsidRPr="005927F3">
        <w:rPr>
          <w:rFonts w:cstheme="minorHAnsi"/>
          <w:sz w:val="24"/>
          <w:szCs w:val="24"/>
        </w:rPr>
        <w:t>,</w:t>
      </w:r>
      <w:r w:rsidR="00883DFC" w:rsidRPr="005927F3">
        <w:rPr>
          <w:rStyle w:val="FootnoteReference"/>
          <w:rFonts w:cstheme="minorHAnsi"/>
          <w:sz w:val="24"/>
          <w:szCs w:val="24"/>
        </w:rPr>
        <w:footnoteReference w:id="97"/>
      </w:r>
      <w:r w:rsidR="00AC60E0">
        <w:rPr>
          <w:rFonts w:cstheme="minorHAnsi"/>
          <w:sz w:val="24"/>
          <w:szCs w:val="24"/>
        </w:rPr>
        <w:t xml:space="preserve"> </w:t>
      </w:r>
      <w:r w:rsidR="000D2949" w:rsidRPr="005927F3">
        <w:rPr>
          <w:rFonts w:cstheme="minorHAnsi"/>
          <w:sz w:val="24"/>
          <w:szCs w:val="24"/>
        </w:rPr>
        <w:t xml:space="preserve">but </w:t>
      </w:r>
      <w:r w:rsidR="000A1F69" w:rsidRPr="005927F3">
        <w:rPr>
          <w:rFonts w:cstheme="minorHAnsi"/>
          <w:sz w:val="24"/>
          <w:szCs w:val="24"/>
        </w:rPr>
        <w:t xml:space="preserve">having engaged in activities </w:t>
      </w:r>
      <w:r w:rsidR="00E74C39" w:rsidRPr="005927F3">
        <w:rPr>
          <w:rFonts w:cstheme="minorHAnsi"/>
          <w:sz w:val="24"/>
          <w:szCs w:val="24"/>
        </w:rPr>
        <w:t xml:space="preserve">or behaviours </w:t>
      </w:r>
      <w:r w:rsidR="000A1F69" w:rsidRPr="005927F3">
        <w:rPr>
          <w:rFonts w:cstheme="minorHAnsi"/>
          <w:sz w:val="24"/>
          <w:szCs w:val="24"/>
        </w:rPr>
        <w:t>that br</w:t>
      </w:r>
      <w:r w:rsidR="00CF04BB" w:rsidRPr="005927F3">
        <w:rPr>
          <w:rFonts w:cstheme="minorHAnsi"/>
          <w:sz w:val="24"/>
          <w:szCs w:val="24"/>
        </w:rPr>
        <w:t>ought</w:t>
      </w:r>
      <w:r w:rsidR="000A1F69" w:rsidRPr="005927F3">
        <w:rPr>
          <w:rFonts w:cstheme="minorHAnsi"/>
          <w:sz w:val="24"/>
          <w:szCs w:val="24"/>
        </w:rPr>
        <w:t xml:space="preserve"> </w:t>
      </w:r>
      <w:r w:rsidR="00AA0409" w:rsidRPr="005927F3">
        <w:rPr>
          <w:rFonts w:cstheme="minorHAnsi"/>
          <w:sz w:val="24"/>
          <w:szCs w:val="24"/>
        </w:rPr>
        <w:t>wanted or unwanted</w:t>
      </w:r>
      <w:r w:rsidRPr="005927F3">
        <w:rPr>
          <w:rFonts w:cstheme="minorHAnsi"/>
          <w:sz w:val="24"/>
          <w:szCs w:val="24"/>
        </w:rPr>
        <w:t xml:space="preserve"> </w:t>
      </w:r>
      <w:r w:rsidR="00E14389" w:rsidRPr="005927F3">
        <w:rPr>
          <w:rFonts w:cstheme="minorHAnsi"/>
          <w:sz w:val="24"/>
          <w:szCs w:val="24"/>
        </w:rPr>
        <w:t>public attention</w:t>
      </w:r>
      <w:r w:rsidR="000A1F69" w:rsidRPr="005927F3">
        <w:rPr>
          <w:rFonts w:cstheme="minorHAnsi"/>
          <w:sz w:val="24"/>
          <w:szCs w:val="24"/>
        </w:rPr>
        <w:t xml:space="preserve"> </w:t>
      </w:r>
      <w:r w:rsidR="000646D4" w:rsidRPr="005927F3">
        <w:rPr>
          <w:rFonts w:cstheme="minorHAnsi"/>
          <w:sz w:val="24"/>
          <w:szCs w:val="24"/>
        </w:rPr>
        <w:t xml:space="preserve">does negate any entitlement to be forgotten at a later stage. </w:t>
      </w:r>
      <w:r w:rsidR="00410BF2" w:rsidRPr="005927F3">
        <w:rPr>
          <w:rFonts w:cstheme="minorHAnsi"/>
          <w:sz w:val="24"/>
          <w:szCs w:val="24"/>
        </w:rPr>
        <w:t>A</w:t>
      </w:r>
      <w:r w:rsidR="000D5A76" w:rsidRPr="005927F3">
        <w:rPr>
          <w:rFonts w:cstheme="minorHAnsi"/>
          <w:sz w:val="24"/>
          <w:szCs w:val="24"/>
        </w:rPr>
        <w:t>ctivities and behaviour</w:t>
      </w:r>
      <w:r w:rsidR="000E576B" w:rsidRPr="005927F3">
        <w:rPr>
          <w:rFonts w:cstheme="minorHAnsi"/>
          <w:sz w:val="24"/>
          <w:szCs w:val="24"/>
        </w:rPr>
        <w:t>s</w:t>
      </w:r>
      <w:r w:rsidR="00410BF2" w:rsidRPr="005927F3">
        <w:rPr>
          <w:rFonts w:cstheme="minorHAnsi"/>
          <w:sz w:val="24"/>
          <w:szCs w:val="24"/>
        </w:rPr>
        <w:t xml:space="preserve"> that attract the limelight</w:t>
      </w:r>
      <w:r w:rsidR="000D5A76" w:rsidRPr="005927F3">
        <w:rPr>
          <w:rFonts w:cstheme="minorHAnsi"/>
          <w:sz w:val="24"/>
          <w:szCs w:val="24"/>
        </w:rPr>
        <w:t xml:space="preserve"> may </w:t>
      </w:r>
      <w:r w:rsidR="00E14389" w:rsidRPr="007C21F0">
        <w:rPr>
          <w:rFonts w:cstheme="minorHAnsi"/>
          <w:sz w:val="24"/>
          <w:szCs w:val="24"/>
        </w:rPr>
        <w:t>legitimise the</w:t>
      </w:r>
      <w:r w:rsidR="00AB2486" w:rsidRPr="007C21F0">
        <w:rPr>
          <w:rFonts w:cstheme="minorHAnsi"/>
          <w:i/>
          <w:sz w:val="24"/>
          <w:szCs w:val="24"/>
        </w:rPr>
        <w:t xml:space="preserve"> </w:t>
      </w:r>
      <w:r w:rsidR="000E576B" w:rsidRPr="00E96006">
        <w:rPr>
          <w:rFonts w:cstheme="minorHAnsi"/>
          <w:i/>
          <w:sz w:val="24"/>
          <w:szCs w:val="24"/>
        </w:rPr>
        <w:t>initial</w:t>
      </w:r>
      <w:r w:rsidR="00E14389" w:rsidRPr="00E96006">
        <w:rPr>
          <w:rFonts w:cstheme="minorHAnsi"/>
          <w:sz w:val="24"/>
          <w:szCs w:val="24"/>
        </w:rPr>
        <w:t xml:space="preserve"> p</w:t>
      </w:r>
      <w:r w:rsidR="00E74C39" w:rsidRPr="0067292B">
        <w:rPr>
          <w:rFonts w:cstheme="minorHAnsi"/>
          <w:sz w:val="24"/>
          <w:szCs w:val="24"/>
        </w:rPr>
        <w:t>rocessing of the sensitive data</w:t>
      </w:r>
      <w:r w:rsidR="000D5A76" w:rsidRPr="0067292B">
        <w:rPr>
          <w:rFonts w:cstheme="minorHAnsi"/>
          <w:sz w:val="24"/>
          <w:szCs w:val="24"/>
        </w:rPr>
        <w:t xml:space="preserve"> </w:t>
      </w:r>
      <w:r w:rsidR="00450F06" w:rsidRPr="0067292B">
        <w:rPr>
          <w:rFonts w:cstheme="minorHAnsi"/>
          <w:sz w:val="24"/>
          <w:szCs w:val="24"/>
        </w:rPr>
        <w:t xml:space="preserve">by a search engine, </w:t>
      </w:r>
      <w:r w:rsidR="000D5A76" w:rsidRPr="00181485">
        <w:rPr>
          <w:rFonts w:cstheme="minorHAnsi"/>
          <w:sz w:val="24"/>
          <w:szCs w:val="24"/>
        </w:rPr>
        <w:t xml:space="preserve">as arguably being </w:t>
      </w:r>
      <w:r w:rsidR="000D5A76" w:rsidRPr="00641E7B">
        <w:rPr>
          <w:rFonts w:cstheme="minorHAnsi"/>
          <w:sz w:val="24"/>
          <w:szCs w:val="24"/>
        </w:rPr>
        <w:t>‘</w:t>
      </w:r>
      <w:r w:rsidR="000D5A76" w:rsidRPr="00641E7B">
        <w:rPr>
          <w:rStyle w:val="hgkelc"/>
          <w:rFonts w:cstheme="minorHAnsi"/>
          <w:sz w:val="24"/>
          <w:szCs w:val="24"/>
        </w:rPr>
        <w:t>manifestly made public by the data subject</w:t>
      </w:r>
      <w:r w:rsidR="00306572" w:rsidRPr="00641E7B">
        <w:rPr>
          <w:rStyle w:val="hgkelc"/>
          <w:rFonts w:cstheme="minorHAnsi"/>
          <w:sz w:val="24"/>
          <w:szCs w:val="24"/>
        </w:rPr>
        <w:t>.</w:t>
      </w:r>
      <w:r w:rsidR="000D5A76" w:rsidRPr="00641E7B">
        <w:rPr>
          <w:rStyle w:val="hgkelc"/>
          <w:rFonts w:cstheme="minorHAnsi"/>
          <w:sz w:val="24"/>
          <w:szCs w:val="24"/>
        </w:rPr>
        <w:t>’</w:t>
      </w:r>
      <w:r w:rsidR="000D5A76" w:rsidRPr="00641E7B">
        <w:rPr>
          <w:rStyle w:val="FootnoteReference"/>
          <w:rFonts w:cstheme="minorHAnsi"/>
          <w:sz w:val="24"/>
          <w:szCs w:val="24"/>
        </w:rPr>
        <w:footnoteReference w:id="98"/>
      </w:r>
      <w:r w:rsidR="002E5D70" w:rsidRPr="007C21F0">
        <w:rPr>
          <w:rStyle w:val="hgkelc"/>
          <w:rFonts w:cstheme="minorHAnsi"/>
          <w:sz w:val="24"/>
          <w:szCs w:val="24"/>
        </w:rPr>
        <w:t xml:space="preserve"> </w:t>
      </w:r>
      <w:r w:rsidR="000E576B" w:rsidRPr="000B0A9E">
        <w:rPr>
          <w:rFonts w:cstheme="minorHAnsi"/>
        </w:rPr>
        <w:t xml:space="preserve">Yet, </w:t>
      </w:r>
      <w:r w:rsidR="00E74C39" w:rsidRPr="000B0A9E">
        <w:rPr>
          <w:rStyle w:val="hgkelc"/>
          <w:rFonts w:cstheme="minorHAnsi"/>
          <w:i/>
          <w:sz w:val="24"/>
          <w:szCs w:val="24"/>
        </w:rPr>
        <w:t xml:space="preserve">subsequently </w:t>
      </w:r>
      <w:r w:rsidR="00E74C39" w:rsidRPr="000B0A9E">
        <w:rPr>
          <w:rStyle w:val="hgkelc"/>
          <w:rFonts w:cstheme="minorHAnsi"/>
          <w:sz w:val="24"/>
          <w:szCs w:val="24"/>
        </w:rPr>
        <w:t>the right to object</w:t>
      </w:r>
      <w:r w:rsidR="00AE1BCD" w:rsidRPr="000B0A9E">
        <w:rPr>
          <w:rStyle w:val="hgkelc"/>
          <w:rFonts w:cstheme="minorHAnsi"/>
          <w:sz w:val="24"/>
          <w:szCs w:val="24"/>
        </w:rPr>
        <w:t xml:space="preserve"> and</w:t>
      </w:r>
      <w:r w:rsidR="000D5A76" w:rsidRPr="000B0A9E">
        <w:rPr>
          <w:rStyle w:val="hgkelc"/>
          <w:rFonts w:cstheme="minorHAnsi"/>
          <w:sz w:val="24"/>
          <w:szCs w:val="24"/>
        </w:rPr>
        <w:t xml:space="preserve"> the right to erasure</w:t>
      </w:r>
      <w:r w:rsidR="00E74C39" w:rsidRPr="000B0A9E">
        <w:rPr>
          <w:rStyle w:val="hgkelc"/>
          <w:rFonts w:cstheme="minorHAnsi"/>
          <w:sz w:val="24"/>
          <w:szCs w:val="24"/>
        </w:rPr>
        <w:t>, or now the right to be forgotte</w:t>
      </w:r>
      <w:r w:rsidR="000D5A76" w:rsidRPr="000B0A9E">
        <w:rPr>
          <w:rStyle w:val="hgkelc"/>
          <w:rFonts w:cstheme="minorHAnsi"/>
          <w:sz w:val="24"/>
          <w:szCs w:val="24"/>
        </w:rPr>
        <w:t>n, return to the individual</w:t>
      </w:r>
      <w:r w:rsidR="00450F06" w:rsidRPr="000B0A9E">
        <w:rPr>
          <w:rStyle w:val="hgkelc"/>
          <w:rFonts w:cstheme="minorHAnsi"/>
          <w:sz w:val="24"/>
          <w:szCs w:val="24"/>
        </w:rPr>
        <w:t xml:space="preserve"> a</w:t>
      </w:r>
      <w:r w:rsidR="00247EF6" w:rsidRPr="000B0A9E">
        <w:rPr>
          <w:rStyle w:val="hgkelc"/>
          <w:rFonts w:cstheme="minorHAnsi"/>
          <w:sz w:val="24"/>
          <w:szCs w:val="24"/>
        </w:rPr>
        <w:t xml:space="preserve"> </w:t>
      </w:r>
      <w:r w:rsidR="00E74C39" w:rsidRPr="000B0A9E">
        <w:rPr>
          <w:rStyle w:val="hgkelc"/>
          <w:rFonts w:cstheme="minorHAnsi"/>
          <w:sz w:val="24"/>
          <w:szCs w:val="24"/>
        </w:rPr>
        <w:t>power of oversight over their public image</w:t>
      </w:r>
      <w:r w:rsidR="000D5A76" w:rsidRPr="000B0A9E">
        <w:rPr>
          <w:rFonts w:cstheme="minorHAnsi"/>
          <w:sz w:val="24"/>
          <w:szCs w:val="24"/>
        </w:rPr>
        <w:t>.</w:t>
      </w:r>
      <w:r w:rsidR="00852BB2" w:rsidRPr="007C21F0">
        <w:rPr>
          <w:rStyle w:val="FootnoteReference"/>
          <w:rFonts w:cstheme="minorHAnsi"/>
          <w:sz w:val="24"/>
          <w:szCs w:val="24"/>
        </w:rPr>
        <w:footnoteReference w:id="99"/>
      </w:r>
      <w:r w:rsidR="00306572" w:rsidRPr="007C21F0">
        <w:rPr>
          <w:rFonts w:cstheme="minorHAnsi"/>
          <w:sz w:val="24"/>
          <w:szCs w:val="24"/>
        </w:rPr>
        <w:t xml:space="preserve"> </w:t>
      </w:r>
      <w:r w:rsidR="006314CE" w:rsidRPr="00E96006">
        <w:rPr>
          <w:rFonts w:cstheme="minorHAnsi"/>
          <w:sz w:val="24"/>
          <w:szCs w:val="24"/>
        </w:rPr>
        <w:t>Indeed, the</w:t>
      </w:r>
      <w:r w:rsidR="00E026A8" w:rsidRPr="0067292B">
        <w:rPr>
          <w:rFonts w:cstheme="minorHAnsi"/>
          <w:sz w:val="24"/>
          <w:szCs w:val="24"/>
        </w:rPr>
        <w:t xml:space="preserve"> C</w:t>
      </w:r>
      <w:r w:rsidR="00151480" w:rsidRPr="0067292B">
        <w:rPr>
          <w:rFonts w:cstheme="minorHAnsi"/>
          <w:sz w:val="24"/>
          <w:szCs w:val="24"/>
        </w:rPr>
        <w:t xml:space="preserve">ourt’s reasoning </w:t>
      </w:r>
      <w:r w:rsidR="0050126E" w:rsidRPr="000B0A9E">
        <w:rPr>
          <w:rFonts w:cstheme="minorHAnsi"/>
          <w:sz w:val="24"/>
          <w:szCs w:val="24"/>
        </w:rPr>
        <w:t xml:space="preserve">is fully cognisant of </w:t>
      </w:r>
      <w:r w:rsidR="00151480" w:rsidRPr="000B0A9E">
        <w:rPr>
          <w:rFonts w:cstheme="minorHAnsi"/>
          <w:sz w:val="24"/>
          <w:szCs w:val="24"/>
        </w:rPr>
        <w:t xml:space="preserve">the </w:t>
      </w:r>
      <w:r w:rsidR="00AB2486" w:rsidRPr="000B0A9E">
        <w:rPr>
          <w:rFonts w:cstheme="minorHAnsi"/>
          <w:sz w:val="24"/>
          <w:szCs w:val="24"/>
        </w:rPr>
        <w:t xml:space="preserve">sensitivity of privacy to </w:t>
      </w:r>
      <w:r w:rsidR="00151480" w:rsidRPr="000B0A9E">
        <w:rPr>
          <w:rFonts w:cstheme="minorHAnsi"/>
          <w:sz w:val="24"/>
          <w:szCs w:val="24"/>
        </w:rPr>
        <w:t xml:space="preserve">time and </w:t>
      </w:r>
      <w:r w:rsidR="000D2949" w:rsidRPr="000B0A9E">
        <w:rPr>
          <w:rFonts w:cstheme="minorHAnsi"/>
          <w:sz w:val="24"/>
          <w:szCs w:val="24"/>
        </w:rPr>
        <w:t>context</w:t>
      </w:r>
      <w:r w:rsidR="0046641D" w:rsidRPr="000B0A9E">
        <w:rPr>
          <w:rFonts w:cstheme="minorHAnsi"/>
          <w:sz w:val="24"/>
          <w:szCs w:val="24"/>
        </w:rPr>
        <w:t xml:space="preserve">, </w:t>
      </w:r>
      <w:r w:rsidR="00DB70D1" w:rsidRPr="000B0A9E">
        <w:rPr>
          <w:rFonts w:cstheme="minorHAnsi"/>
          <w:sz w:val="24"/>
          <w:szCs w:val="24"/>
        </w:rPr>
        <w:t xml:space="preserve">including </w:t>
      </w:r>
      <w:r w:rsidR="00DB70D1" w:rsidRPr="000B0A9E">
        <w:rPr>
          <w:rFonts w:cstheme="minorHAnsi"/>
          <w:i/>
          <w:iCs/>
          <w:sz w:val="24"/>
          <w:szCs w:val="24"/>
        </w:rPr>
        <w:t>vis-à-vis</w:t>
      </w:r>
      <w:r w:rsidR="00DB70D1" w:rsidRPr="000B0A9E">
        <w:rPr>
          <w:rFonts w:cstheme="minorHAnsi"/>
          <w:sz w:val="24"/>
          <w:szCs w:val="24"/>
        </w:rPr>
        <w:t xml:space="preserve"> </w:t>
      </w:r>
      <w:r w:rsidR="00994CE9" w:rsidRPr="000B0A9E">
        <w:rPr>
          <w:rFonts w:cstheme="minorHAnsi"/>
          <w:sz w:val="24"/>
          <w:szCs w:val="24"/>
        </w:rPr>
        <w:t>criminal investigations and</w:t>
      </w:r>
      <w:r w:rsidR="00F8282E" w:rsidRPr="000B0A9E">
        <w:rPr>
          <w:rFonts w:cstheme="minorHAnsi"/>
          <w:sz w:val="24"/>
          <w:szCs w:val="24"/>
        </w:rPr>
        <w:t xml:space="preserve"> convictions</w:t>
      </w:r>
      <w:r w:rsidR="00D26184" w:rsidRPr="000B0A9E">
        <w:rPr>
          <w:rFonts w:cstheme="minorHAnsi"/>
          <w:sz w:val="24"/>
          <w:szCs w:val="24"/>
        </w:rPr>
        <w:t>. Yet,</w:t>
      </w:r>
      <w:r w:rsidR="002B2016" w:rsidRPr="000B0A9E">
        <w:rPr>
          <w:rFonts w:cstheme="minorHAnsi"/>
          <w:sz w:val="24"/>
          <w:szCs w:val="24"/>
        </w:rPr>
        <w:t xml:space="preserve"> w</w:t>
      </w:r>
      <w:r w:rsidR="00B25A50" w:rsidRPr="000B0A9E">
        <w:rPr>
          <w:rFonts w:cstheme="minorHAnsi"/>
          <w:sz w:val="24"/>
          <w:szCs w:val="24"/>
        </w:rPr>
        <w:t xml:space="preserve">hat really </w:t>
      </w:r>
      <w:r w:rsidR="00BA2EDA" w:rsidRPr="000B0A9E">
        <w:rPr>
          <w:rFonts w:cstheme="minorHAnsi"/>
          <w:sz w:val="24"/>
          <w:szCs w:val="24"/>
        </w:rPr>
        <w:t xml:space="preserve">is </w:t>
      </w:r>
      <w:r w:rsidR="000D2949" w:rsidRPr="000B0A9E">
        <w:rPr>
          <w:rFonts w:cstheme="minorHAnsi"/>
          <w:sz w:val="24"/>
          <w:szCs w:val="24"/>
        </w:rPr>
        <w:t>changeable</w:t>
      </w:r>
      <w:r w:rsidR="00B25A50" w:rsidRPr="000B0A9E">
        <w:rPr>
          <w:rFonts w:cstheme="minorHAnsi"/>
          <w:sz w:val="24"/>
          <w:szCs w:val="24"/>
        </w:rPr>
        <w:t xml:space="preserve"> is the public</w:t>
      </w:r>
      <w:r w:rsidR="0049358D" w:rsidRPr="000B0A9E">
        <w:rPr>
          <w:rFonts w:cstheme="minorHAnsi"/>
          <w:sz w:val="24"/>
          <w:szCs w:val="24"/>
        </w:rPr>
        <w:t>’s interest</w:t>
      </w:r>
      <w:r w:rsidR="00B25A50" w:rsidRPr="000B0A9E">
        <w:rPr>
          <w:rFonts w:cstheme="minorHAnsi"/>
          <w:sz w:val="24"/>
          <w:szCs w:val="24"/>
        </w:rPr>
        <w:t xml:space="preserve"> </w:t>
      </w:r>
      <w:r w:rsidR="0046641D" w:rsidRPr="000B0A9E">
        <w:rPr>
          <w:rFonts w:cstheme="minorHAnsi"/>
          <w:sz w:val="24"/>
          <w:szCs w:val="24"/>
        </w:rPr>
        <w:t xml:space="preserve">in </w:t>
      </w:r>
      <w:r w:rsidR="00B25A50" w:rsidRPr="000B0A9E">
        <w:rPr>
          <w:rFonts w:cstheme="minorHAnsi"/>
          <w:sz w:val="24"/>
          <w:szCs w:val="24"/>
        </w:rPr>
        <w:t xml:space="preserve">the </w:t>
      </w:r>
      <w:r w:rsidR="0046641D" w:rsidRPr="000B0A9E">
        <w:rPr>
          <w:rFonts w:cstheme="minorHAnsi"/>
          <w:sz w:val="24"/>
          <w:szCs w:val="24"/>
        </w:rPr>
        <w:t>information</w:t>
      </w:r>
      <w:r w:rsidR="002B2016" w:rsidRPr="000B0A9E">
        <w:rPr>
          <w:rFonts w:cstheme="minorHAnsi"/>
          <w:sz w:val="24"/>
          <w:szCs w:val="24"/>
        </w:rPr>
        <w:t>.</w:t>
      </w:r>
      <w:r w:rsidR="0046641D" w:rsidRPr="007C21F0">
        <w:rPr>
          <w:rStyle w:val="FootnoteReference"/>
          <w:rFonts w:cstheme="minorHAnsi"/>
          <w:sz w:val="24"/>
          <w:szCs w:val="24"/>
        </w:rPr>
        <w:footnoteReference w:id="100"/>
      </w:r>
      <w:r w:rsidR="00D315ED" w:rsidRPr="007C21F0">
        <w:rPr>
          <w:rFonts w:cstheme="minorHAnsi"/>
          <w:sz w:val="24"/>
          <w:szCs w:val="24"/>
        </w:rPr>
        <w:t xml:space="preserve"> </w:t>
      </w:r>
      <w:r w:rsidR="002B2016" w:rsidRPr="00E96006">
        <w:rPr>
          <w:rFonts w:cstheme="minorHAnsi"/>
          <w:sz w:val="24"/>
          <w:szCs w:val="24"/>
        </w:rPr>
        <w:t>I</w:t>
      </w:r>
      <w:r w:rsidR="00CD4E77" w:rsidRPr="0067292B">
        <w:rPr>
          <w:rFonts w:cstheme="minorHAnsi"/>
          <w:sz w:val="24"/>
          <w:szCs w:val="24"/>
        </w:rPr>
        <w:t xml:space="preserve">t </w:t>
      </w:r>
      <w:r w:rsidR="0046641D" w:rsidRPr="0067292B">
        <w:rPr>
          <w:rFonts w:cstheme="minorHAnsi"/>
          <w:sz w:val="24"/>
          <w:szCs w:val="24"/>
        </w:rPr>
        <w:t>is not that personal information somehow re-enters the private domain</w:t>
      </w:r>
      <w:r w:rsidR="00CD4E77" w:rsidRPr="000B0A9E">
        <w:rPr>
          <w:rFonts w:cstheme="minorHAnsi"/>
          <w:sz w:val="24"/>
          <w:szCs w:val="24"/>
        </w:rPr>
        <w:t xml:space="preserve"> (descriptive)</w:t>
      </w:r>
      <w:r w:rsidR="00C61FAF" w:rsidRPr="000B0A9E">
        <w:rPr>
          <w:rFonts w:cstheme="minorHAnsi"/>
          <w:sz w:val="24"/>
          <w:szCs w:val="24"/>
        </w:rPr>
        <w:t xml:space="preserve"> and thus</w:t>
      </w:r>
      <w:r w:rsidR="0046641D" w:rsidRPr="000B0A9E">
        <w:rPr>
          <w:rFonts w:cstheme="minorHAnsi"/>
          <w:sz w:val="24"/>
          <w:szCs w:val="24"/>
        </w:rPr>
        <w:t xml:space="preserve"> </w:t>
      </w:r>
      <w:r w:rsidR="00CD4E77" w:rsidRPr="000B0A9E">
        <w:rPr>
          <w:rFonts w:cstheme="minorHAnsi"/>
          <w:sz w:val="24"/>
          <w:szCs w:val="24"/>
        </w:rPr>
        <w:t>re</w:t>
      </w:r>
      <w:r w:rsidR="00BE7E69" w:rsidRPr="000B0A9E">
        <w:rPr>
          <w:rFonts w:cstheme="minorHAnsi"/>
          <w:sz w:val="24"/>
          <w:szCs w:val="24"/>
        </w:rPr>
        <w:t>-</w:t>
      </w:r>
      <w:r w:rsidR="00CD4E77" w:rsidRPr="000B0A9E">
        <w:rPr>
          <w:rFonts w:cstheme="minorHAnsi"/>
          <w:sz w:val="24"/>
          <w:szCs w:val="24"/>
        </w:rPr>
        <w:t>acquires</w:t>
      </w:r>
      <w:r w:rsidR="0046641D" w:rsidRPr="000B0A9E">
        <w:rPr>
          <w:rFonts w:cstheme="minorHAnsi"/>
          <w:sz w:val="24"/>
          <w:szCs w:val="24"/>
        </w:rPr>
        <w:t xml:space="preserve"> an entitlement to protection</w:t>
      </w:r>
      <w:r w:rsidR="00CD4E77" w:rsidRPr="000B0A9E">
        <w:rPr>
          <w:rFonts w:cstheme="minorHAnsi"/>
          <w:sz w:val="24"/>
          <w:szCs w:val="24"/>
        </w:rPr>
        <w:t xml:space="preserve"> (prescriptive)</w:t>
      </w:r>
      <w:r w:rsidR="00D315ED" w:rsidRPr="000B0A9E">
        <w:rPr>
          <w:rFonts w:cstheme="minorHAnsi"/>
          <w:sz w:val="24"/>
          <w:szCs w:val="24"/>
        </w:rPr>
        <w:t>; r</w:t>
      </w:r>
      <w:r w:rsidR="003F3BE8" w:rsidRPr="000B0A9E">
        <w:rPr>
          <w:rFonts w:cstheme="minorHAnsi"/>
          <w:sz w:val="24"/>
          <w:szCs w:val="24"/>
        </w:rPr>
        <w:t>a</w:t>
      </w:r>
      <w:r w:rsidR="0046641D" w:rsidRPr="000B0A9E">
        <w:rPr>
          <w:rFonts w:cstheme="minorHAnsi"/>
          <w:sz w:val="24"/>
          <w:szCs w:val="24"/>
        </w:rPr>
        <w:t>ther the public’</w:t>
      </w:r>
      <w:r w:rsidR="00CA3C62" w:rsidRPr="000B0A9E">
        <w:rPr>
          <w:rFonts w:cstheme="minorHAnsi"/>
          <w:sz w:val="24"/>
          <w:szCs w:val="24"/>
        </w:rPr>
        <w:t xml:space="preserve">s interest </w:t>
      </w:r>
      <w:r w:rsidR="00450F06" w:rsidRPr="000B0A9E">
        <w:rPr>
          <w:rFonts w:cstheme="minorHAnsi"/>
          <w:sz w:val="24"/>
          <w:szCs w:val="24"/>
        </w:rPr>
        <w:t>may or may not</w:t>
      </w:r>
      <w:r w:rsidR="00F14AA2" w:rsidRPr="000B0A9E">
        <w:rPr>
          <w:rFonts w:cstheme="minorHAnsi"/>
          <w:sz w:val="24"/>
          <w:szCs w:val="24"/>
        </w:rPr>
        <w:t xml:space="preserve"> dwindle</w:t>
      </w:r>
      <w:r w:rsidR="00CD4E77" w:rsidRPr="000B0A9E">
        <w:rPr>
          <w:rFonts w:cstheme="minorHAnsi"/>
          <w:sz w:val="24"/>
          <w:szCs w:val="24"/>
        </w:rPr>
        <w:t xml:space="preserve"> </w:t>
      </w:r>
      <w:r w:rsidR="00AA0409" w:rsidRPr="000B0A9E">
        <w:rPr>
          <w:rFonts w:cstheme="minorHAnsi"/>
          <w:sz w:val="24"/>
          <w:szCs w:val="24"/>
        </w:rPr>
        <w:t>over time</w:t>
      </w:r>
      <w:r w:rsidR="00554CCB" w:rsidRPr="000B0A9E">
        <w:rPr>
          <w:rFonts w:cstheme="minorHAnsi"/>
          <w:sz w:val="24"/>
          <w:szCs w:val="24"/>
        </w:rPr>
        <w:t>.</w:t>
      </w:r>
      <w:r w:rsidR="00F14AA2" w:rsidRPr="007C21F0">
        <w:rPr>
          <w:rStyle w:val="FootnoteReference"/>
          <w:rFonts w:cstheme="minorHAnsi"/>
          <w:sz w:val="24"/>
          <w:szCs w:val="24"/>
        </w:rPr>
        <w:footnoteReference w:id="101"/>
      </w:r>
      <w:r w:rsidR="00072095" w:rsidRPr="007C21F0">
        <w:rPr>
          <w:rFonts w:cstheme="minorHAnsi"/>
          <w:sz w:val="24"/>
          <w:szCs w:val="24"/>
        </w:rPr>
        <w:t xml:space="preserve"> </w:t>
      </w:r>
      <w:r w:rsidR="00D26184" w:rsidRPr="007C21F0">
        <w:rPr>
          <w:rFonts w:cstheme="minorHAnsi"/>
          <w:sz w:val="24"/>
          <w:szCs w:val="24"/>
        </w:rPr>
        <w:t xml:space="preserve">As will be seen in the discussion around Art 8 </w:t>
      </w:r>
      <w:r w:rsidR="00D26184" w:rsidRPr="00E96006">
        <w:rPr>
          <w:rFonts w:cstheme="minorHAnsi"/>
          <w:sz w:val="24"/>
          <w:szCs w:val="24"/>
        </w:rPr>
        <w:t xml:space="preserve">ECHR, these points </w:t>
      </w:r>
      <w:r w:rsidR="000B0A9E" w:rsidRPr="00641E7B">
        <w:rPr>
          <w:rFonts w:cstheme="minorHAnsi"/>
          <w:sz w:val="24"/>
          <w:szCs w:val="24"/>
        </w:rPr>
        <w:t>assume significance when information privacy is predicated on the ‘private’ status of the to</w:t>
      </w:r>
      <w:r w:rsidR="00E96006">
        <w:rPr>
          <w:rFonts w:cstheme="minorHAnsi"/>
          <w:sz w:val="24"/>
          <w:szCs w:val="24"/>
        </w:rPr>
        <w:t xml:space="preserve"> </w:t>
      </w:r>
      <w:r w:rsidR="000B0A9E" w:rsidRPr="00641E7B">
        <w:rPr>
          <w:rFonts w:cstheme="minorHAnsi"/>
          <w:sz w:val="24"/>
          <w:szCs w:val="24"/>
        </w:rPr>
        <w:t xml:space="preserve">be protected information. </w:t>
      </w:r>
    </w:p>
    <w:p w14:paraId="73E01A1F" w14:textId="77777777" w:rsidR="00F24C37" w:rsidRPr="005927F3" w:rsidRDefault="00F24C37" w:rsidP="008B308D">
      <w:pPr>
        <w:autoSpaceDE w:val="0"/>
        <w:autoSpaceDN w:val="0"/>
        <w:adjustRightInd w:val="0"/>
        <w:spacing w:after="0" w:line="240" w:lineRule="auto"/>
        <w:jc w:val="both"/>
        <w:rPr>
          <w:rFonts w:cstheme="minorHAnsi"/>
          <w:sz w:val="24"/>
          <w:szCs w:val="24"/>
        </w:rPr>
      </w:pPr>
    </w:p>
    <w:p w14:paraId="775708A0" w14:textId="2E080612" w:rsidR="00200A71" w:rsidRPr="005927F3" w:rsidRDefault="00413BF2" w:rsidP="00D0790C">
      <w:pPr>
        <w:pStyle w:val="Heading2"/>
        <w:numPr>
          <w:ilvl w:val="1"/>
          <w:numId w:val="32"/>
        </w:numPr>
        <w:spacing w:before="0" w:line="240" w:lineRule="auto"/>
        <w:rPr>
          <w:rFonts w:asciiTheme="minorHAnsi" w:hAnsiTheme="minorHAnsi" w:cstheme="minorHAnsi"/>
        </w:rPr>
      </w:pPr>
      <w:bookmarkStart w:id="16" w:name="_Toc116306481"/>
      <w:r w:rsidRPr="005927F3">
        <w:rPr>
          <w:rFonts w:asciiTheme="minorHAnsi" w:hAnsiTheme="minorHAnsi" w:cstheme="minorHAnsi"/>
        </w:rPr>
        <w:t xml:space="preserve">US </w:t>
      </w:r>
      <w:r w:rsidR="0073647B" w:rsidRPr="005927F3">
        <w:rPr>
          <w:rFonts w:asciiTheme="minorHAnsi" w:hAnsiTheme="minorHAnsi" w:cstheme="minorHAnsi"/>
        </w:rPr>
        <w:t xml:space="preserve">courts </w:t>
      </w:r>
      <w:r w:rsidRPr="005927F3">
        <w:rPr>
          <w:rFonts w:asciiTheme="minorHAnsi" w:hAnsiTheme="minorHAnsi" w:cstheme="minorHAnsi"/>
        </w:rPr>
        <w:t xml:space="preserve">on </w:t>
      </w:r>
      <w:r w:rsidR="00AD068F" w:rsidRPr="005927F3">
        <w:rPr>
          <w:rFonts w:asciiTheme="minorHAnsi" w:hAnsiTheme="minorHAnsi" w:cstheme="minorHAnsi"/>
        </w:rPr>
        <w:t>the right to be forgotten</w:t>
      </w:r>
      <w:bookmarkEnd w:id="16"/>
    </w:p>
    <w:p w14:paraId="49E5D6C1" w14:textId="77777777" w:rsidR="0021044B" w:rsidRPr="005927F3" w:rsidRDefault="0021044B" w:rsidP="008B308D">
      <w:pPr>
        <w:autoSpaceDE w:val="0"/>
        <w:autoSpaceDN w:val="0"/>
        <w:adjustRightInd w:val="0"/>
        <w:spacing w:after="0" w:line="240" w:lineRule="auto"/>
        <w:jc w:val="both"/>
        <w:rPr>
          <w:rFonts w:cstheme="minorHAnsi"/>
          <w:sz w:val="24"/>
          <w:szCs w:val="24"/>
        </w:rPr>
      </w:pPr>
    </w:p>
    <w:p w14:paraId="58F595A5" w14:textId="2AFEFE52" w:rsidR="00F03425" w:rsidRPr="005927F3" w:rsidRDefault="00E678A0" w:rsidP="00316F37">
      <w:pPr>
        <w:autoSpaceDE w:val="0"/>
        <w:autoSpaceDN w:val="0"/>
        <w:adjustRightInd w:val="0"/>
        <w:spacing w:after="0" w:line="240" w:lineRule="auto"/>
        <w:jc w:val="both"/>
        <w:rPr>
          <w:rFonts w:cstheme="minorHAnsi"/>
          <w:sz w:val="24"/>
          <w:szCs w:val="24"/>
        </w:rPr>
      </w:pPr>
      <w:r w:rsidRPr="005927F3">
        <w:rPr>
          <w:rFonts w:cstheme="minorHAnsi"/>
          <w:sz w:val="24"/>
          <w:szCs w:val="24"/>
        </w:rPr>
        <w:t>From a</w:t>
      </w:r>
      <w:r w:rsidR="00AB2486" w:rsidRPr="005927F3">
        <w:rPr>
          <w:rFonts w:cstheme="minorHAnsi"/>
          <w:sz w:val="24"/>
          <w:szCs w:val="24"/>
        </w:rPr>
        <w:t xml:space="preserve"> </w:t>
      </w:r>
      <w:proofErr w:type="gramStart"/>
      <w:r w:rsidR="00AB2486" w:rsidRPr="005927F3">
        <w:rPr>
          <w:rFonts w:cstheme="minorHAnsi"/>
          <w:sz w:val="24"/>
          <w:szCs w:val="24"/>
        </w:rPr>
        <w:t xml:space="preserve">US </w:t>
      </w:r>
      <w:r w:rsidR="004D685C" w:rsidRPr="005927F3">
        <w:rPr>
          <w:rFonts w:cstheme="minorHAnsi"/>
          <w:sz w:val="24"/>
          <w:szCs w:val="24"/>
        </w:rPr>
        <w:t xml:space="preserve"> </w:t>
      </w:r>
      <w:r w:rsidRPr="005927F3">
        <w:rPr>
          <w:rFonts w:cstheme="minorHAnsi"/>
          <w:sz w:val="24"/>
          <w:szCs w:val="24"/>
        </w:rPr>
        <w:t>perspective</w:t>
      </w:r>
      <w:proofErr w:type="gramEnd"/>
      <w:r w:rsidRPr="005927F3">
        <w:rPr>
          <w:rFonts w:cstheme="minorHAnsi"/>
          <w:sz w:val="24"/>
          <w:szCs w:val="24"/>
        </w:rPr>
        <w:t xml:space="preserve">, the </w:t>
      </w:r>
      <w:r w:rsidR="009D69FC" w:rsidRPr="005927F3">
        <w:rPr>
          <w:rFonts w:cstheme="minorHAnsi"/>
          <w:sz w:val="24"/>
          <w:szCs w:val="24"/>
        </w:rPr>
        <w:t>right to be forgotten</w:t>
      </w:r>
      <w:r w:rsidR="004D685C" w:rsidRPr="005927F3">
        <w:rPr>
          <w:rFonts w:cstheme="minorHAnsi"/>
          <w:sz w:val="24"/>
          <w:szCs w:val="24"/>
        </w:rPr>
        <w:t xml:space="preserve"> is an anomaly </w:t>
      </w:r>
      <w:r w:rsidR="00D26184" w:rsidRPr="005927F3">
        <w:rPr>
          <w:rFonts w:cstheme="minorHAnsi"/>
          <w:sz w:val="24"/>
          <w:szCs w:val="24"/>
        </w:rPr>
        <w:t xml:space="preserve">because </w:t>
      </w:r>
      <w:r w:rsidR="004D7911" w:rsidRPr="005927F3">
        <w:rPr>
          <w:rFonts w:cstheme="minorHAnsi"/>
          <w:sz w:val="24"/>
          <w:szCs w:val="24"/>
        </w:rPr>
        <w:t>it</w:t>
      </w:r>
      <w:r w:rsidR="00D26184" w:rsidRPr="005927F3">
        <w:rPr>
          <w:rFonts w:cstheme="minorHAnsi"/>
          <w:sz w:val="24"/>
          <w:szCs w:val="24"/>
        </w:rPr>
        <w:t xml:space="preserve"> protects </w:t>
      </w:r>
      <w:r w:rsidR="00072914" w:rsidRPr="005927F3">
        <w:rPr>
          <w:rFonts w:cstheme="minorHAnsi"/>
          <w:i/>
          <w:iCs/>
          <w:sz w:val="24"/>
          <w:szCs w:val="24"/>
        </w:rPr>
        <w:t>non-private information</w:t>
      </w:r>
      <w:r w:rsidR="00072914" w:rsidRPr="005927F3">
        <w:rPr>
          <w:rFonts w:cstheme="minorHAnsi"/>
          <w:sz w:val="24"/>
          <w:szCs w:val="24"/>
        </w:rPr>
        <w:t xml:space="preserve"> a</w:t>
      </w:r>
      <w:r w:rsidR="00D26184" w:rsidRPr="005927F3">
        <w:rPr>
          <w:rFonts w:cstheme="minorHAnsi"/>
          <w:sz w:val="24"/>
          <w:szCs w:val="24"/>
        </w:rPr>
        <w:t>gainst</w:t>
      </w:r>
      <w:r w:rsidR="0073267B" w:rsidRPr="005927F3">
        <w:rPr>
          <w:rFonts w:cstheme="minorHAnsi"/>
          <w:sz w:val="24"/>
          <w:szCs w:val="24"/>
        </w:rPr>
        <w:t xml:space="preserve"> </w:t>
      </w:r>
      <w:r w:rsidR="00145607" w:rsidRPr="005927F3">
        <w:rPr>
          <w:rFonts w:cstheme="minorHAnsi"/>
          <w:i/>
          <w:iCs/>
          <w:sz w:val="24"/>
          <w:szCs w:val="24"/>
        </w:rPr>
        <w:t>intrusions by private</w:t>
      </w:r>
      <w:r w:rsidR="004D685C" w:rsidRPr="005927F3">
        <w:rPr>
          <w:rFonts w:cstheme="minorHAnsi"/>
          <w:i/>
          <w:iCs/>
          <w:sz w:val="24"/>
          <w:szCs w:val="24"/>
        </w:rPr>
        <w:t xml:space="preserve"> actor</w:t>
      </w:r>
      <w:r w:rsidR="00145607" w:rsidRPr="005927F3">
        <w:rPr>
          <w:rFonts w:cstheme="minorHAnsi"/>
          <w:i/>
          <w:iCs/>
          <w:sz w:val="24"/>
          <w:szCs w:val="24"/>
        </w:rPr>
        <w:t>s</w:t>
      </w:r>
      <w:r w:rsidR="00072914" w:rsidRPr="005927F3">
        <w:rPr>
          <w:rFonts w:cstheme="minorHAnsi"/>
          <w:sz w:val="24"/>
          <w:szCs w:val="24"/>
        </w:rPr>
        <w:t>.</w:t>
      </w:r>
      <w:r w:rsidR="004D7911" w:rsidRPr="005927F3">
        <w:rPr>
          <w:rFonts w:cstheme="minorHAnsi"/>
          <w:sz w:val="24"/>
          <w:szCs w:val="24"/>
        </w:rPr>
        <w:t xml:space="preserve"> Neither fits within</w:t>
      </w:r>
      <w:r w:rsidR="00A6287F" w:rsidRPr="005927F3">
        <w:rPr>
          <w:rFonts w:cstheme="minorHAnsi"/>
          <w:sz w:val="24"/>
          <w:szCs w:val="24"/>
        </w:rPr>
        <w:t xml:space="preserve"> US privacy culture or law.</w:t>
      </w:r>
      <w:r w:rsidR="00D26184" w:rsidRPr="005927F3">
        <w:rPr>
          <w:rFonts w:cstheme="minorHAnsi"/>
          <w:sz w:val="24"/>
          <w:szCs w:val="24"/>
        </w:rPr>
        <w:t xml:space="preserve"> </w:t>
      </w:r>
      <w:r w:rsidR="0022190D" w:rsidRPr="005927F3">
        <w:rPr>
          <w:rFonts w:cstheme="minorHAnsi"/>
          <w:sz w:val="24"/>
          <w:szCs w:val="24"/>
        </w:rPr>
        <w:t>At</w:t>
      </w:r>
      <w:r w:rsidR="00F03425" w:rsidRPr="005927F3">
        <w:rPr>
          <w:rFonts w:cstheme="minorHAnsi"/>
          <w:sz w:val="24"/>
          <w:szCs w:val="24"/>
        </w:rPr>
        <w:t xml:space="preserve"> the</w:t>
      </w:r>
      <w:r w:rsidR="00D90FF2" w:rsidRPr="005927F3">
        <w:rPr>
          <w:rFonts w:cstheme="minorHAnsi"/>
          <w:sz w:val="24"/>
          <w:szCs w:val="24"/>
        </w:rPr>
        <w:t xml:space="preserve"> </w:t>
      </w:r>
      <w:r w:rsidR="00F03425" w:rsidRPr="005927F3">
        <w:rPr>
          <w:rFonts w:cstheme="minorHAnsi"/>
          <w:sz w:val="24"/>
          <w:szCs w:val="24"/>
        </w:rPr>
        <w:t>constitutional level, t</w:t>
      </w:r>
      <w:r w:rsidR="006C7C86" w:rsidRPr="005927F3">
        <w:rPr>
          <w:rFonts w:cstheme="minorHAnsi"/>
          <w:sz w:val="24"/>
          <w:szCs w:val="24"/>
        </w:rPr>
        <w:t>he</w:t>
      </w:r>
      <w:r w:rsidR="0022190D" w:rsidRPr="005927F3">
        <w:rPr>
          <w:rFonts w:cstheme="minorHAnsi"/>
          <w:sz w:val="24"/>
          <w:szCs w:val="24"/>
        </w:rPr>
        <w:t xml:space="preserve"> ‘negative’</w:t>
      </w:r>
      <w:r w:rsidR="006C7C86" w:rsidRPr="005927F3">
        <w:rPr>
          <w:rFonts w:cstheme="minorHAnsi"/>
          <w:sz w:val="24"/>
          <w:szCs w:val="24"/>
        </w:rPr>
        <w:t xml:space="preserve"> right to be left alone</w:t>
      </w:r>
      <w:r w:rsidR="0022190D" w:rsidRPr="005927F3">
        <w:rPr>
          <w:rFonts w:cstheme="minorHAnsi"/>
          <w:sz w:val="24"/>
          <w:szCs w:val="24"/>
        </w:rPr>
        <w:t xml:space="preserve"> is first and foremost</w:t>
      </w:r>
      <w:r w:rsidR="006C7C86" w:rsidRPr="005927F3">
        <w:rPr>
          <w:rFonts w:cstheme="minorHAnsi"/>
          <w:sz w:val="24"/>
          <w:szCs w:val="24"/>
        </w:rPr>
        <w:t xml:space="preserve"> enshrined in the Fourth Amendment </w:t>
      </w:r>
      <w:r w:rsidR="00D90FF2" w:rsidRPr="005927F3">
        <w:rPr>
          <w:rFonts w:cstheme="minorHAnsi"/>
          <w:sz w:val="24"/>
          <w:szCs w:val="24"/>
        </w:rPr>
        <w:t>that</w:t>
      </w:r>
      <w:r w:rsidR="0022190D" w:rsidRPr="005927F3">
        <w:rPr>
          <w:rFonts w:cstheme="minorHAnsi"/>
          <w:sz w:val="24"/>
          <w:szCs w:val="24"/>
        </w:rPr>
        <w:t xml:space="preserve"> </w:t>
      </w:r>
      <w:r w:rsidR="00D90FF2" w:rsidRPr="005927F3">
        <w:rPr>
          <w:rFonts w:cstheme="minorHAnsi"/>
          <w:sz w:val="24"/>
          <w:szCs w:val="24"/>
        </w:rPr>
        <w:t>guards</w:t>
      </w:r>
      <w:r w:rsidR="006C7C86" w:rsidRPr="005927F3">
        <w:rPr>
          <w:rFonts w:cstheme="minorHAnsi"/>
          <w:sz w:val="24"/>
          <w:szCs w:val="24"/>
        </w:rPr>
        <w:t xml:space="preserve"> against searches and seizures without</w:t>
      </w:r>
      <w:r w:rsidR="00F03425" w:rsidRPr="005927F3">
        <w:rPr>
          <w:rFonts w:cstheme="minorHAnsi"/>
          <w:sz w:val="24"/>
          <w:szCs w:val="24"/>
        </w:rPr>
        <w:t xml:space="preserve"> a warrant</w:t>
      </w:r>
      <w:r w:rsidR="006C7C86" w:rsidRPr="005927F3">
        <w:rPr>
          <w:rFonts w:cstheme="minorHAnsi"/>
          <w:sz w:val="24"/>
          <w:szCs w:val="24"/>
        </w:rPr>
        <w:t>, and as such is</w:t>
      </w:r>
      <w:r w:rsidR="00F03425" w:rsidRPr="005927F3">
        <w:rPr>
          <w:rFonts w:cstheme="minorHAnsi"/>
          <w:sz w:val="24"/>
          <w:szCs w:val="24"/>
        </w:rPr>
        <w:t xml:space="preserve"> </w:t>
      </w:r>
      <w:r w:rsidR="00EF15E7" w:rsidRPr="005927F3">
        <w:rPr>
          <w:rFonts w:cstheme="minorHAnsi"/>
          <w:sz w:val="24"/>
          <w:szCs w:val="24"/>
        </w:rPr>
        <w:t>exclusively</w:t>
      </w:r>
      <w:r w:rsidR="006C7C86" w:rsidRPr="005927F3">
        <w:rPr>
          <w:rFonts w:cstheme="minorHAnsi"/>
          <w:sz w:val="24"/>
          <w:szCs w:val="24"/>
        </w:rPr>
        <w:t xml:space="preserve"> focused on </w:t>
      </w:r>
      <w:r w:rsidR="006C7C86" w:rsidRPr="005927F3">
        <w:rPr>
          <w:rFonts w:cstheme="minorHAnsi"/>
          <w:i/>
          <w:iCs/>
          <w:sz w:val="24"/>
          <w:szCs w:val="24"/>
        </w:rPr>
        <w:t>governmental</w:t>
      </w:r>
      <w:r w:rsidR="006C7C86" w:rsidRPr="005927F3">
        <w:rPr>
          <w:rFonts w:cstheme="minorHAnsi"/>
          <w:sz w:val="24"/>
          <w:szCs w:val="24"/>
        </w:rPr>
        <w:t xml:space="preserve"> intrusions of the home</w:t>
      </w:r>
      <w:r w:rsidR="0022190D" w:rsidRPr="005927F3">
        <w:rPr>
          <w:rFonts w:cstheme="minorHAnsi"/>
          <w:sz w:val="24"/>
          <w:szCs w:val="24"/>
        </w:rPr>
        <w:t xml:space="preserve"> and </w:t>
      </w:r>
      <w:r w:rsidR="00D90FF2" w:rsidRPr="005927F3">
        <w:rPr>
          <w:rFonts w:cstheme="minorHAnsi"/>
          <w:sz w:val="24"/>
          <w:szCs w:val="24"/>
        </w:rPr>
        <w:t>some</w:t>
      </w:r>
      <w:r w:rsidR="0022190D" w:rsidRPr="005927F3">
        <w:rPr>
          <w:rFonts w:cstheme="minorHAnsi"/>
          <w:sz w:val="24"/>
          <w:szCs w:val="24"/>
        </w:rPr>
        <w:t xml:space="preserve"> </w:t>
      </w:r>
      <w:r w:rsidR="00072914" w:rsidRPr="005927F3">
        <w:rPr>
          <w:rFonts w:cstheme="minorHAnsi"/>
          <w:sz w:val="24"/>
          <w:szCs w:val="24"/>
        </w:rPr>
        <w:t xml:space="preserve">limited </w:t>
      </w:r>
      <w:r w:rsidR="0022190D" w:rsidRPr="005927F3">
        <w:rPr>
          <w:rFonts w:cstheme="minorHAnsi"/>
          <w:sz w:val="24"/>
          <w:szCs w:val="24"/>
        </w:rPr>
        <w:t>extensions.</w:t>
      </w:r>
      <w:r w:rsidR="00515A98" w:rsidRPr="005927F3">
        <w:rPr>
          <w:rFonts w:cstheme="minorHAnsi"/>
          <w:sz w:val="24"/>
          <w:szCs w:val="24"/>
        </w:rPr>
        <w:t xml:space="preserve"> Horizontal protection, which would construct ‘the right to be left alone’ not as ‘a claim for noninterference by the </w:t>
      </w:r>
      <w:proofErr w:type="gramStart"/>
      <w:r w:rsidR="00515A98" w:rsidRPr="005927F3">
        <w:rPr>
          <w:rFonts w:cstheme="minorHAnsi"/>
          <w:sz w:val="24"/>
          <w:szCs w:val="24"/>
        </w:rPr>
        <w:t>state..</w:t>
      </w:r>
      <w:proofErr w:type="gramEnd"/>
      <w:r w:rsidR="00515A98" w:rsidRPr="005927F3">
        <w:rPr>
          <w:rFonts w:cstheme="minorHAnsi"/>
          <w:sz w:val="24"/>
          <w:szCs w:val="24"/>
        </w:rPr>
        <w:t xml:space="preserve"> [but] </w:t>
      </w:r>
      <w:r w:rsidR="00515A98" w:rsidRPr="005927F3">
        <w:rPr>
          <w:rFonts w:cstheme="minorHAnsi"/>
          <w:i/>
          <w:iCs/>
          <w:sz w:val="24"/>
          <w:szCs w:val="24"/>
        </w:rPr>
        <w:t xml:space="preserve">for </w:t>
      </w:r>
      <w:r w:rsidR="00515A98" w:rsidRPr="005927F3">
        <w:rPr>
          <w:rFonts w:cstheme="minorHAnsi"/>
          <w:sz w:val="24"/>
          <w:szCs w:val="24"/>
        </w:rPr>
        <w:t xml:space="preserve">state interference in the form of legal </w:t>
      </w:r>
      <w:r w:rsidR="00515A98" w:rsidRPr="005927F3">
        <w:rPr>
          <w:rFonts w:cstheme="minorHAnsi"/>
          <w:sz w:val="24"/>
          <w:szCs w:val="24"/>
        </w:rPr>
        <w:lastRenderedPageBreak/>
        <w:t>protection against other individuals’</w:t>
      </w:r>
      <w:r w:rsidR="00515A98" w:rsidRPr="005927F3">
        <w:rPr>
          <w:rStyle w:val="FootnoteReference"/>
          <w:rFonts w:cstheme="minorHAnsi"/>
          <w:sz w:val="24"/>
          <w:szCs w:val="24"/>
        </w:rPr>
        <w:footnoteReference w:id="102"/>
      </w:r>
      <w:r w:rsidR="00A6287F" w:rsidRPr="005927F3">
        <w:rPr>
          <w:rFonts w:cstheme="minorHAnsi"/>
          <w:sz w:val="24"/>
          <w:szCs w:val="24"/>
        </w:rPr>
        <w:t xml:space="preserve"> </w:t>
      </w:r>
      <w:r w:rsidR="00515A98" w:rsidRPr="005927F3">
        <w:rPr>
          <w:rFonts w:cstheme="minorHAnsi"/>
          <w:sz w:val="24"/>
          <w:szCs w:val="24"/>
        </w:rPr>
        <w:t xml:space="preserve">is </w:t>
      </w:r>
      <w:r w:rsidR="00EF15E7" w:rsidRPr="005927F3">
        <w:rPr>
          <w:rFonts w:cstheme="minorHAnsi"/>
          <w:sz w:val="24"/>
          <w:szCs w:val="24"/>
        </w:rPr>
        <w:t xml:space="preserve">virtually </w:t>
      </w:r>
      <w:r w:rsidR="00072914" w:rsidRPr="005927F3">
        <w:rPr>
          <w:rFonts w:cstheme="minorHAnsi"/>
          <w:sz w:val="24"/>
          <w:szCs w:val="24"/>
        </w:rPr>
        <w:t xml:space="preserve">unknown </w:t>
      </w:r>
      <w:r w:rsidR="00EF15E7" w:rsidRPr="005927F3">
        <w:rPr>
          <w:rFonts w:cstheme="minorHAnsi"/>
          <w:sz w:val="24"/>
          <w:szCs w:val="24"/>
        </w:rPr>
        <w:t>in</w:t>
      </w:r>
      <w:r w:rsidR="00515A98" w:rsidRPr="005927F3">
        <w:rPr>
          <w:rFonts w:cstheme="minorHAnsi"/>
          <w:sz w:val="24"/>
          <w:szCs w:val="24"/>
        </w:rPr>
        <w:t xml:space="preserve"> US constitutional law.  Meanwhile, i</w:t>
      </w:r>
      <w:r w:rsidR="00D26184" w:rsidRPr="005927F3">
        <w:rPr>
          <w:rFonts w:cstheme="minorHAnsi"/>
          <w:sz w:val="24"/>
          <w:szCs w:val="24"/>
        </w:rPr>
        <w:t xml:space="preserve">ntrusions by private actors, such as the media, </w:t>
      </w:r>
      <w:r w:rsidR="00D26184" w:rsidRPr="005927F3">
        <w:rPr>
          <w:rFonts w:cstheme="minorHAnsi"/>
          <w:i/>
          <w:iCs/>
          <w:sz w:val="24"/>
          <w:szCs w:val="24"/>
        </w:rPr>
        <w:t xml:space="preserve">are </w:t>
      </w:r>
      <w:r w:rsidR="00D26184" w:rsidRPr="005927F3">
        <w:rPr>
          <w:rFonts w:cstheme="minorHAnsi"/>
          <w:sz w:val="24"/>
          <w:szCs w:val="24"/>
        </w:rPr>
        <w:t>covered by</w:t>
      </w:r>
      <w:r w:rsidR="006C7C86" w:rsidRPr="005927F3">
        <w:rPr>
          <w:rFonts w:cstheme="minorHAnsi"/>
          <w:sz w:val="24"/>
          <w:szCs w:val="24"/>
        </w:rPr>
        <w:t xml:space="preserve"> </w:t>
      </w:r>
      <w:r w:rsidR="00515A98" w:rsidRPr="005927F3">
        <w:rPr>
          <w:rFonts w:cstheme="minorHAnsi"/>
          <w:sz w:val="24"/>
          <w:szCs w:val="24"/>
        </w:rPr>
        <w:t xml:space="preserve">a selection of </w:t>
      </w:r>
      <w:r w:rsidR="006C7C86" w:rsidRPr="005927F3">
        <w:rPr>
          <w:rFonts w:cstheme="minorHAnsi"/>
          <w:sz w:val="24"/>
          <w:szCs w:val="24"/>
        </w:rPr>
        <w:t xml:space="preserve">privacy </w:t>
      </w:r>
      <w:r w:rsidR="00D26184" w:rsidRPr="005927F3">
        <w:rPr>
          <w:rFonts w:cstheme="minorHAnsi"/>
          <w:sz w:val="24"/>
          <w:szCs w:val="24"/>
        </w:rPr>
        <w:t xml:space="preserve">tort </w:t>
      </w:r>
      <w:r w:rsidR="006C7C86" w:rsidRPr="005927F3">
        <w:rPr>
          <w:rFonts w:cstheme="minorHAnsi"/>
          <w:sz w:val="24"/>
          <w:szCs w:val="24"/>
        </w:rPr>
        <w:t>actions</w:t>
      </w:r>
      <w:r w:rsidR="00072914" w:rsidRPr="005927F3">
        <w:rPr>
          <w:rFonts w:cstheme="minorHAnsi"/>
          <w:sz w:val="24"/>
          <w:szCs w:val="24"/>
        </w:rPr>
        <w:t>,</w:t>
      </w:r>
      <w:r w:rsidR="006C7C86" w:rsidRPr="005927F3">
        <w:rPr>
          <w:rFonts w:cstheme="minorHAnsi"/>
          <w:sz w:val="24"/>
          <w:szCs w:val="24"/>
        </w:rPr>
        <w:t xml:space="preserve"> </w:t>
      </w:r>
      <w:r w:rsidR="00515A98" w:rsidRPr="005927F3">
        <w:rPr>
          <w:rFonts w:cstheme="minorHAnsi"/>
          <w:sz w:val="24"/>
          <w:szCs w:val="24"/>
        </w:rPr>
        <w:t>but these</w:t>
      </w:r>
      <w:r w:rsidR="006C7C86" w:rsidRPr="005927F3">
        <w:rPr>
          <w:rFonts w:cstheme="minorHAnsi"/>
          <w:sz w:val="24"/>
          <w:szCs w:val="24"/>
        </w:rPr>
        <w:t xml:space="preserve"> do not </w:t>
      </w:r>
      <w:r w:rsidR="00D26184" w:rsidRPr="005927F3">
        <w:rPr>
          <w:rFonts w:cstheme="minorHAnsi"/>
          <w:sz w:val="24"/>
          <w:szCs w:val="24"/>
        </w:rPr>
        <w:t>recognise invasions</w:t>
      </w:r>
      <w:r w:rsidR="006C7C86" w:rsidRPr="005927F3">
        <w:rPr>
          <w:rFonts w:cstheme="minorHAnsi"/>
          <w:sz w:val="24"/>
          <w:szCs w:val="24"/>
        </w:rPr>
        <w:t xml:space="preserve"> </w:t>
      </w:r>
      <w:r w:rsidR="00F03425" w:rsidRPr="005927F3">
        <w:rPr>
          <w:rFonts w:cstheme="minorHAnsi"/>
          <w:sz w:val="24"/>
          <w:szCs w:val="24"/>
        </w:rPr>
        <w:t>through</w:t>
      </w:r>
      <w:r w:rsidR="006C7C86" w:rsidRPr="005927F3">
        <w:rPr>
          <w:rFonts w:cstheme="minorHAnsi"/>
          <w:sz w:val="24"/>
          <w:szCs w:val="24"/>
        </w:rPr>
        <w:t xml:space="preserve"> </w:t>
      </w:r>
      <w:r w:rsidR="00D26184" w:rsidRPr="005927F3">
        <w:rPr>
          <w:rFonts w:cstheme="minorHAnsi"/>
          <w:sz w:val="24"/>
          <w:szCs w:val="24"/>
        </w:rPr>
        <w:t xml:space="preserve">disclosures </w:t>
      </w:r>
      <w:r w:rsidR="006C7C86" w:rsidRPr="005927F3">
        <w:rPr>
          <w:rFonts w:cstheme="minorHAnsi"/>
          <w:sz w:val="24"/>
          <w:szCs w:val="24"/>
        </w:rPr>
        <w:t xml:space="preserve">of </w:t>
      </w:r>
      <w:r w:rsidR="001A6B8B" w:rsidRPr="005927F3">
        <w:rPr>
          <w:rFonts w:cstheme="minorHAnsi"/>
          <w:sz w:val="24"/>
          <w:szCs w:val="24"/>
        </w:rPr>
        <w:t>personal information</w:t>
      </w:r>
      <w:r w:rsidR="0061192E" w:rsidRPr="005927F3">
        <w:rPr>
          <w:rFonts w:cstheme="minorHAnsi"/>
          <w:sz w:val="24"/>
          <w:szCs w:val="24"/>
        </w:rPr>
        <w:t xml:space="preserve"> that</w:t>
      </w:r>
      <w:r w:rsidR="0073267B" w:rsidRPr="005927F3">
        <w:rPr>
          <w:rFonts w:cstheme="minorHAnsi"/>
          <w:sz w:val="24"/>
          <w:szCs w:val="24"/>
        </w:rPr>
        <w:t xml:space="preserve"> is</w:t>
      </w:r>
      <w:r w:rsidR="00B62428" w:rsidRPr="005927F3">
        <w:rPr>
          <w:rFonts w:cstheme="minorHAnsi"/>
          <w:sz w:val="24"/>
          <w:szCs w:val="24"/>
        </w:rPr>
        <w:t xml:space="preserve"> </w:t>
      </w:r>
      <w:r w:rsidR="0015188A" w:rsidRPr="005927F3">
        <w:rPr>
          <w:rFonts w:cstheme="minorHAnsi"/>
          <w:i/>
          <w:iCs/>
          <w:sz w:val="24"/>
          <w:szCs w:val="24"/>
        </w:rPr>
        <w:t xml:space="preserve">already </w:t>
      </w:r>
      <w:r w:rsidR="009D3065" w:rsidRPr="005927F3">
        <w:rPr>
          <w:rFonts w:cstheme="minorHAnsi"/>
          <w:sz w:val="24"/>
          <w:szCs w:val="24"/>
        </w:rPr>
        <w:t>in</w:t>
      </w:r>
      <w:r w:rsidRPr="005927F3">
        <w:rPr>
          <w:rFonts w:cstheme="minorHAnsi"/>
          <w:sz w:val="24"/>
          <w:szCs w:val="24"/>
        </w:rPr>
        <w:t xml:space="preserve"> the public domain</w:t>
      </w:r>
      <w:r w:rsidR="004D685C" w:rsidRPr="005927F3">
        <w:rPr>
          <w:rFonts w:cstheme="minorHAnsi"/>
          <w:sz w:val="24"/>
          <w:szCs w:val="24"/>
        </w:rPr>
        <w:t>.</w:t>
      </w:r>
      <w:r w:rsidR="00F03425" w:rsidRPr="005927F3">
        <w:rPr>
          <w:rFonts w:cstheme="minorHAnsi"/>
          <w:sz w:val="24"/>
          <w:szCs w:val="24"/>
        </w:rPr>
        <w:t xml:space="preserve"> </w:t>
      </w:r>
      <w:r w:rsidR="00072914" w:rsidRPr="005927F3">
        <w:rPr>
          <w:rFonts w:cstheme="minorHAnsi"/>
          <w:sz w:val="24"/>
          <w:szCs w:val="24"/>
        </w:rPr>
        <w:t xml:space="preserve">With a strong bias in favour of freedom of speech, </w:t>
      </w:r>
      <w:r w:rsidR="00AB2486" w:rsidRPr="005927F3">
        <w:rPr>
          <w:rFonts w:cstheme="minorHAnsi"/>
          <w:sz w:val="24"/>
          <w:szCs w:val="24"/>
        </w:rPr>
        <w:t xml:space="preserve">US </w:t>
      </w:r>
      <w:r w:rsidR="0073267B" w:rsidRPr="005927F3">
        <w:rPr>
          <w:rFonts w:cstheme="minorHAnsi"/>
          <w:sz w:val="24"/>
          <w:szCs w:val="24"/>
        </w:rPr>
        <w:t xml:space="preserve">privacy </w:t>
      </w:r>
      <w:r w:rsidR="00AB2486" w:rsidRPr="005927F3">
        <w:rPr>
          <w:rFonts w:cstheme="minorHAnsi"/>
          <w:sz w:val="24"/>
          <w:szCs w:val="24"/>
        </w:rPr>
        <w:t xml:space="preserve">protection </w:t>
      </w:r>
      <w:r w:rsidR="00072914" w:rsidRPr="005927F3">
        <w:rPr>
          <w:rFonts w:cstheme="minorHAnsi"/>
          <w:sz w:val="24"/>
          <w:szCs w:val="24"/>
        </w:rPr>
        <w:t xml:space="preserve">necessarily </w:t>
      </w:r>
      <w:r w:rsidR="00855E4B" w:rsidRPr="005927F3">
        <w:rPr>
          <w:rFonts w:cstheme="minorHAnsi"/>
          <w:sz w:val="24"/>
          <w:szCs w:val="24"/>
        </w:rPr>
        <w:t xml:space="preserve">assumes </w:t>
      </w:r>
      <w:r w:rsidR="006F060E" w:rsidRPr="005927F3">
        <w:rPr>
          <w:rFonts w:cstheme="minorHAnsi"/>
          <w:sz w:val="24"/>
          <w:szCs w:val="24"/>
        </w:rPr>
        <w:t>a sharp distinction between</w:t>
      </w:r>
      <w:r w:rsidR="00247EF6" w:rsidRPr="005927F3">
        <w:rPr>
          <w:rFonts w:cstheme="minorHAnsi"/>
          <w:sz w:val="24"/>
          <w:szCs w:val="24"/>
        </w:rPr>
        <w:t xml:space="preserve"> </w:t>
      </w:r>
      <w:r w:rsidR="00855E4B" w:rsidRPr="005927F3">
        <w:rPr>
          <w:rFonts w:cstheme="minorHAnsi"/>
          <w:sz w:val="24"/>
          <w:szCs w:val="24"/>
        </w:rPr>
        <w:t xml:space="preserve">private and public </w:t>
      </w:r>
      <w:r w:rsidR="006F060E" w:rsidRPr="005927F3">
        <w:rPr>
          <w:rFonts w:cstheme="minorHAnsi"/>
          <w:sz w:val="24"/>
          <w:szCs w:val="24"/>
        </w:rPr>
        <w:t>information</w:t>
      </w:r>
      <w:r w:rsidR="00F03425" w:rsidRPr="005927F3">
        <w:rPr>
          <w:rFonts w:cstheme="minorHAnsi"/>
          <w:sz w:val="24"/>
          <w:szCs w:val="24"/>
        </w:rPr>
        <w:t xml:space="preserve"> </w:t>
      </w:r>
      <w:r w:rsidR="00464D86" w:rsidRPr="005927F3">
        <w:rPr>
          <w:rFonts w:cstheme="minorHAnsi"/>
          <w:sz w:val="24"/>
          <w:szCs w:val="24"/>
        </w:rPr>
        <w:t xml:space="preserve">and is </w:t>
      </w:r>
      <w:r w:rsidR="006F060E" w:rsidRPr="005927F3">
        <w:rPr>
          <w:rFonts w:cstheme="minorHAnsi"/>
          <w:sz w:val="24"/>
          <w:szCs w:val="24"/>
        </w:rPr>
        <w:t>unwilling to recognise</w:t>
      </w:r>
      <w:r w:rsidR="00AD7FF4" w:rsidRPr="005927F3">
        <w:rPr>
          <w:rFonts w:cstheme="minorHAnsi"/>
          <w:sz w:val="24"/>
          <w:szCs w:val="24"/>
        </w:rPr>
        <w:t xml:space="preserve"> </w:t>
      </w:r>
      <w:r w:rsidR="00D26184" w:rsidRPr="005927F3">
        <w:rPr>
          <w:rFonts w:cstheme="minorHAnsi"/>
          <w:sz w:val="24"/>
          <w:szCs w:val="24"/>
        </w:rPr>
        <w:t xml:space="preserve">the possibility of </w:t>
      </w:r>
      <w:r w:rsidR="00F77A90" w:rsidRPr="005927F3">
        <w:rPr>
          <w:rFonts w:cstheme="minorHAnsi"/>
          <w:sz w:val="24"/>
          <w:szCs w:val="24"/>
        </w:rPr>
        <w:t>degrees of public-ness</w:t>
      </w:r>
      <w:r w:rsidR="00AD7FF4" w:rsidRPr="005927F3">
        <w:rPr>
          <w:rFonts w:cstheme="minorHAnsi"/>
          <w:sz w:val="24"/>
          <w:szCs w:val="24"/>
        </w:rPr>
        <w:t xml:space="preserve"> that may trigger legitimate privacy demands</w:t>
      </w:r>
      <w:r w:rsidR="00883803" w:rsidRPr="005927F3">
        <w:rPr>
          <w:rFonts w:cstheme="minorHAnsi"/>
          <w:sz w:val="24"/>
          <w:szCs w:val="24"/>
        </w:rPr>
        <w:t xml:space="preserve"> and restrictions on wider damaging publications. </w:t>
      </w:r>
      <w:r w:rsidR="006F060E" w:rsidRPr="005927F3">
        <w:rPr>
          <w:rStyle w:val="FootnoteReference"/>
          <w:rFonts w:cstheme="minorHAnsi"/>
          <w:sz w:val="24"/>
          <w:szCs w:val="24"/>
        </w:rPr>
        <w:footnoteReference w:id="103"/>
      </w:r>
    </w:p>
    <w:p w14:paraId="60FFD119" w14:textId="77777777" w:rsidR="00F03425" w:rsidRPr="005927F3" w:rsidRDefault="00F03425" w:rsidP="00316F37">
      <w:pPr>
        <w:autoSpaceDE w:val="0"/>
        <w:autoSpaceDN w:val="0"/>
        <w:adjustRightInd w:val="0"/>
        <w:spacing w:after="0" w:line="240" w:lineRule="auto"/>
        <w:jc w:val="both"/>
        <w:rPr>
          <w:rFonts w:cstheme="minorHAnsi"/>
          <w:sz w:val="24"/>
          <w:szCs w:val="24"/>
        </w:rPr>
      </w:pPr>
    </w:p>
    <w:p w14:paraId="3C6B7EE2" w14:textId="02A39C50" w:rsidR="009639AB" w:rsidRPr="005927F3" w:rsidRDefault="00A6287F" w:rsidP="00316F37">
      <w:pPr>
        <w:autoSpaceDE w:val="0"/>
        <w:autoSpaceDN w:val="0"/>
        <w:adjustRightInd w:val="0"/>
        <w:spacing w:after="0" w:line="240" w:lineRule="auto"/>
        <w:jc w:val="both"/>
        <w:rPr>
          <w:rFonts w:cstheme="minorHAnsi"/>
          <w:sz w:val="24"/>
          <w:szCs w:val="24"/>
        </w:rPr>
      </w:pPr>
      <w:r w:rsidRPr="005927F3">
        <w:rPr>
          <w:rFonts w:cstheme="minorHAnsi"/>
          <w:sz w:val="24"/>
          <w:szCs w:val="24"/>
        </w:rPr>
        <w:t xml:space="preserve">In </w:t>
      </w:r>
      <w:r w:rsidR="0021044B" w:rsidRPr="005927F3">
        <w:rPr>
          <w:rFonts w:cstheme="minorHAnsi"/>
          <w:sz w:val="24"/>
          <w:szCs w:val="24"/>
        </w:rPr>
        <w:t>William Prosser’s</w:t>
      </w:r>
      <w:r w:rsidR="00D73EE2" w:rsidRPr="005927F3">
        <w:rPr>
          <w:rFonts w:cstheme="minorHAnsi"/>
          <w:sz w:val="24"/>
          <w:szCs w:val="24"/>
        </w:rPr>
        <w:t xml:space="preserve"> </w:t>
      </w:r>
      <w:r w:rsidR="0021044B" w:rsidRPr="005927F3">
        <w:rPr>
          <w:rFonts w:cstheme="minorHAnsi"/>
          <w:sz w:val="24"/>
          <w:szCs w:val="24"/>
        </w:rPr>
        <w:t xml:space="preserve">typology of US </w:t>
      </w:r>
      <w:r w:rsidR="0021044B" w:rsidRPr="005927F3">
        <w:rPr>
          <w:rFonts w:cstheme="minorHAnsi"/>
          <w:i/>
          <w:iCs/>
          <w:sz w:val="24"/>
          <w:szCs w:val="24"/>
        </w:rPr>
        <w:t>tort</w:t>
      </w:r>
      <w:r w:rsidR="0021044B" w:rsidRPr="005927F3">
        <w:rPr>
          <w:rFonts w:cstheme="minorHAnsi"/>
          <w:sz w:val="24"/>
          <w:szCs w:val="24"/>
        </w:rPr>
        <w:t xml:space="preserve"> privacy </w:t>
      </w:r>
      <w:r w:rsidR="00D26184" w:rsidRPr="005927F3">
        <w:rPr>
          <w:rFonts w:cstheme="minorHAnsi"/>
          <w:sz w:val="24"/>
          <w:szCs w:val="24"/>
        </w:rPr>
        <w:t xml:space="preserve">claims </w:t>
      </w:r>
      <w:r w:rsidR="0021044B" w:rsidRPr="005927F3">
        <w:rPr>
          <w:rFonts w:cstheme="minorHAnsi"/>
          <w:sz w:val="24"/>
          <w:szCs w:val="24"/>
        </w:rPr>
        <w:t>the public</w:t>
      </w:r>
      <w:r w:rsidR="00EF15E7" w:rsidRPr="005927F3">
        <w:rPr>
          <w:rFonts w:cstheme="minorHAnsi"/>
          <w:sz w:val="24"/>
          <w:szCs w:val="24"/>
        </w:rPr>
        <w:t>-</w:t>
      </w:r>
      <w:r w:rsidR="0021044B" w:rsidRPr="005927F3">
        <w:rPr>
          <w:rFonts w:cstheme="minorHAnsi"/>
          <w:sz w:val="24"/>
          <w:szCs w:val="24"/>
        </w:rPr>
        <w:t xml:space="preserve">private dichotomy </w:t>
      </w:r>
      <w:r w:rsidRPr="005927F3">
        <w:rPr>
          <w:rFonts w:cstheme="minorHAnsi"/>
          <w:sz w:val="24"/>
          <w:szCs w:val="24"/>
        </w:rPr>
        <w:t xml:space="preserve">is </w:t>
      </w:r>
      <w:r w:rsidR="0021044B" w:rsidRPr="005927F3">
        <w:rPr>
          <w:rFonts w:cstheme="minorHAnsi"/>
          <w:sz w:val="24"/>
          <w:szCs w:val="24"/>
        </w:rPr>
        <w:t>the touchstone of liability for three out of his four categories</w:t>
      </w:r>
      <w:r w:rsidRPr="005927F3">
        <w:rPr>
          <w:rFonts w:cstheme="minorHAnsi"/>
          <w:sz w:val="24"/>
          <w:szCs w:val="24"/>
        </w:rPr>
        <w:t xml:space="preserve">: </w:t>
      </w:r>
      <w:r w:rsidR="0021044B" w:rsidRPr="005927F3">
        <w:rPr>
          <w:rFonts w:cstheme="minorHAnsi"/>
          <w:sz w:val="24"/>
          <w:szCs w:val="24"/>
        </w:rPr>
        <w:t>‘1. Intrusion… into his private affairs. 2. Public disclosure of embarrassing private facts… 3. Publicity which places the plaintiff in a false light in the public eye...’</w:t>
      </w:r>
      <w:r w:rsidR="0021044B" w:rsidRPr="005927F3">
        <w:rPr>
          <w:rStyle w:val="FootnoteReference"/>
          <w:rFonts w:cstheme="minorHAnsi"/>
          <w:sz w:val="24"/>
          <w:szCs w:val="24"/>
        </w:rPr>
        <w:footnoteReference w:id="104"/>
      </w:r>
      <w:r w:rsidR="0021044B" w:rsidRPr="005927F3">
        <w:rPr>
          <w:rFonts w:cstheme="minorHAnsi"/>
          <w:sz w:val="24"/>
          <w:szCs w:val="24"/>
        </w:rPr>
        <w:t xml:space="preserve"> – with the fourth category of ‘appropriation… of the plaintiff’s name or likeness’ creating a type of intellectual property rather than privacy.</w:t>
      </w:r>
      <w:r w:rsidR="0021044B" w:rsidRPr="005927F3">
        <w:rPr>
          <w:rFonts w:cstheme="minorHAnsi"/>
        </w:rPr>
        <w:t xml:space="preserve">  </w:t>
      </w:r>
      <w:r w:rsidR="00F03425" w:rsidRPr="005927F3">
        <w:rPr>
          <w:rFonts w:cstheme="minorHAnsi"/>
          <w:sz w:val="24"/>
          <w:szCs w:val="24"/>
        </w:rPr>
        <w:t>W</w:t>
      </w:r>
      <w:r w:rsidR="007B233B" w:rsidRPr="005927F3">
        <w:rPr>
          <w:rFonts w:cstheme="minorHAnsi"/>
          <w:sz w:val="24"/>
          <w:szCs w:val="24"/>
        </w:rPr>
        <w:t>hen</w:t>
      </w:r>
      <w:r w:rsidR="0015188A" w:rsidRPr="005927F3">
        <w:rPr>
          <w:rFonts w:cstheme="minorHAnsi"/>
          <w:sz w:val="24"/>
          <w:szCs w:val="24"/>
        </w:rPr>
        <w:t xml:space="preserve"> </w:t>
      </w:r>
      <w:r w:rsidR="009D69FC" w:rsidRPr="005927F3">
        <w:rPr>
          <w:rFonts w:cstheme="minorHAnsi"/>
          <w:sz w:val="24"/>
          <w:szCs w:val="24"/>
        </w:rPr>
        <w:t>address</w:t>
      </w:r>
      <w:r w:rsidR="00F03425" w:rsidRPr="005927F3">
        <w:rPr>
          <w:rFonts w:cstheme="minorHAnsi"/>
          <w:sz w:val="24"/>
          <w:szCs w:val="24"/>
        </w:rPr>
        <w:t xml:space="preserve">ing </w:t>
      </w:r>
      <w:r w:rsidR="009D69FC" w:rsidRPr="005927F3">
        <w:rPr>
          <w:rFonts w:cstheme="minorHAnsi"/>
          <w:sz w:val="24"/>
          <w:szCs w:val="24"/>
        </w:rPr>
        <w:t>the</w:t>
      </w:r>
      <w:r w:rsidR="00F03425" w:rsidRPr="005927F3">
        <w:rPr>
          <w:rFonts w:cstheme="minorHAnsi"/>
          <w:sz w:val="24"/>
          <w:szCs w:val="24"/>
        </w:rPr>
        <w:t xml:space="preserve"> second</w:t>
      </w:r>
      <w:r w:rsidR="00312712" w:rsidRPr="005927F3">
        <w:rPr>
          <w:rFonts w:cstheme="minorHAnsi"/>
          <w:sz w:val="24"/>
          <w:szCs w:val="24"/>
        </w:rPr>
        <w:t xml:space="preserve"> </w:t>
      </w:r>
      <w:r w:rsidR="0015188A" w:rsidRPr="005927F3">
        <w:rPr>
          <w:rFonts w:cstheme="minorHAnsi"/>
          <w:sz w:val="24"/>
          <w:szCs w:val="24"/>
        </w:rPr>
        <w:t>categor</w:t>
      </w:r>
      <w:r w:rsidR="009F6AD3" w:rsidRPr="005927F3">
        <w:rPr>
          <w:rFonts w:cstheme="minorHAnsi"/>
          <w:sz w:val="24"/>
          <w:szCs w:val="24"/>
        </w:rPr>
        <w:t xml:space="preserve">y </w:t>
      </w:r>
      <w:r w:rsidR="006F060E" w:rsidRPr="005927F3">
        <w:rPr>
          <w:rFonts w:cstheme="minorHAnsi"/>
          <w:sz w:val="24"/>
          <w:szCs w:val="24"/>
        </w:rPr>
        <w:t xml:space="preserve">of </w:t>
      </w:r>
      <w:r w:rsidR="00641D41" w:rsidRPr="005927F3">
        <w:rPr>
          <w:rFonts w:cstheme="minorHAnsi"/>
          <w:sz w:val="24"/>
          <w:szCs w:val="24"/>
        </w:rPr>
        <w:t>‘public disclosure</w:t>
      </w:r>
      <w:r w:rsidR="006F060E" w:rsidRPr="005927F3">
        <w:rPr>
          <w:rFonts w:cstheme="minorHAnsi"/>
          <w:sz w:val="24"/>
          <w:szCs w:val="24"/>
        </w:rPr>
        <w:t>s</w:t>
      </w:r>
      <w:r w:rsidR="00641D41" w:rsidRPr="005927F3">
        <w:rPr>
          <w:rFonts w:cstheme="minorHAnsi"/>
          <w:sz w:val="24"/>
          <w:szCs w:val="24"/>
        </w:rPr>
        <w:t xml:space="preserve"> of private facts’</w:t>
      </w:r>
      <w:r w:rsidR="00261B42" w:rsidRPr="005927F3">
        <w:rPr>
          <w:rFonts w:cstheme="minorHAnsi"/>
          <w:sz w:val="24"/>
          <w:szCs w:val="24"/>
        </w:rPr>
        <w:t xml:space="preserve"> </w:t>
      </w:r>
      <w:r w:rsidR="009D69FC" w:rsidRPr="005927F3">
        <w:rPr>
          <w:rFonts w:cstheme="minorHAnsi"/>
          <w:sz w:val="24"/>
          <w:szCs w:val="24"/>
        </w:rPr>
        <w:t xml:space="preserve">which </w:t>
      </w:r>
      <w:r w:rsidR="00641D41" w:rsidRPr="005927F3">
        <w:rPr>
          <w:rFonts w:cstheme="minorHAnsi"/>
          <w:sz w:val="24"/>
          <w:szCs w:val="24"/>
        </w:rPr>
        <w:t>Warren and Brandeis</w:t>
      </w:r>
      <w:r w:rsidR="009D69FC" w:rsidRPr="005927F3">
        <w:rPr>
          <w:rFonts w:cstheme="minorHAnsi"/>
          <w:sz w:val="24"/>
          <w:szCs w:val="24"/>
        </w:rPr>
        <w:t xml:space="preserve"> had seventy years earlier so strongly </w:t>
      </w:r>
      <w:r w:rsidR="00D779DD" w:rsidRPr="005927F3">
        <w:rPr>
          <w:rFonts w:cstheme="minorHAnsi"/>
          <w:sz w:val="24"/>
          <w:szCs w:val="24"/>
        </w:rPr>
        <w:t>proposed</w:t>
      </w:r>
      <w:r w:rsidR="00261B42" w:rsidRPr="005927F3">
        <w:rPr>
          <w:rFonts w:cstheme="minorHAnsi"/>
          <w:sz w:val="24"/>
          <w:szCs w:val="24"/>
        </w:rPr>
        <w:t>,</w:t>
      </w:r>
      <w:r w:rsidR="00A23338" w:rsidRPr="005927F3">
        <w:rPr>
          <w:rStyle w:val="FootnoteReference"/>
          <w:rFonts w:cstheme="minorHAnsi"/>
          <w:sz w:val="24"/>
          <w:szCs w:val="24"/>
        </w:rPr>
        <w:footnoteReference w:id="105"/>
      </w:r>
      <w:r w:rsidR="00641D41" w:rsidRPr="005927F3">
        <w:rPr>
          <w:rFonts w:cstheme="minorHAnsi"/>
          <w:sz w:val="24"/>
          <w:szCs w:val="24"/>
        </w:rPr>
        <w:t xml:space="preserve"> </w:t>
      </w:r>
      <w:r w:rsidR="00F03425" w:rsidRPr="005927F3">
        <w:rPr>
          <w:rFonts w:cstheme="minorHAnsi"/>
          <w:sz w:val="24"/>
          <w:szCs w:val="24"/>
        </w:rPr>
        <w:t>Prosser</w:t>
      </w:r>
      <w:r w:rsidR="00672E85" w:rsidRPr="005927F3">
        <w:rPr>
          <w:rFonts w:cstheme="minorHAnsi"/>
          <w:sz w:val="24"/>
          <w:szCs w:val="24"/>
        </w:rPr>
        <w:t xml:space="preserve"> </w:t>
      </w:r>
      <w:r w:rsidR="0015188A" w:rsidRPr="005927F3">
        <w:rPr>
          <w:rFonts w:cstheme="minorHAnsi"/>
          <w:sz w:val="24"/>
          <w:szCs w:val="24"/>
        </w:rPr>
        <w:t xml:space="preserve">concluded that </w:t>
      </w:r>
      <w:r w:rsidR="00D779DD" w:rsidRPr="005927F3">
        <w:rPr>
          <w:rFonts w:cstheme="minorHAnsi"/>
          <w:sz w:val="24"/>
          <w:szCs w:val="24"/>
        </w:rPr>
        <w:t xml:space="preserve">it </w:t>
      </w:r>
      <w:r w:rsidR="00641D41" w:rsidRPr="005927F3">
        <w:rPr>
          <w:rFonts w:cstheme="minorHAnsi"/>
          <w:sz w:val="24"/>
          <w:szCs w:val="24"/>
        </w:rPr>
        <w:t xml:space="preserve">was </w:t>
      </w:r>
      <w:r w:rsidR="001A6B8B" w:rsidRPr="005927F3">
        <w:rPr>
          <w:rFonts w:cstheme="minorHAnsi"/>
          <w:sz w:val="24"/>
          <w:szCs w:val="24"/>
        </w:rPr>
        <w:t>tightly</w:t>
      </w:r>
      <w:r w:rsidR="00D779DD" w:rsidRPr="005927F3">
        <w:rPr>
          <w:rFonts w:cstheme="minorHAnsi"/>
          <w:sz w:val="24"/>
          <w:szCs w:val="24"/>
        </w:rPr>
        <w:t xml:space="preserve"> </w:t>
      </w:r>
      <w:r w:rsidR="008B3DF8" w:rsidRPr="005927F3">
        <w:rPr>
          <w:rFonts w:cstheme="minorHAnsi"/>
          <w:sz w:val="24"/>
          <w:szCs w:val="24"/>
        </w:rPr>
        <w:t>circumscribed</w:t>
      </w:r>
      <w:r w:rsidR="007B233B" w:rsidRPr="005927F3">
        <w:rPr>
          <w:rFonts w:cstheme="minorHAnsi"/>
          <w:sz w:val="24"/>
          <w:szCs w:val="24"/>
        </w:rPr>
        <w:t>,</w:t>
      </w:r>
      <w:r w:rsidR="008A5A99" w:rsidRPr="005927F3">
        <w:rPr>
          <w:rStyle w:val="FootnoteReference"/>
          <w:rFonts w:cstheme="minorHAnsi"/>
          <w:sz w:val="24"/>
          <w:szCs w:val="24"/>
        </w:rPr>
        <w:footnoteReference w:id="106"/>
      </w:r>
      <w:r w:rsidR="008A5A99" w:rsidRPr="005927F3">
        <w:rPr>
          <w:rFonts w:cstheme="minorHAnsi"/>
          <w:sz w:val="24"/>
          <w:szCs w:val="24"/>
        </w:rPr>
        <w:t xml:space="preserve"> </w:t>
      </w:r>
      <w:r w:rsidR="007B233B" w:rsidRPr="005927F3">
        <w:rPr>
          <w:rFonts w:cstheme="minorHAnsi"/>
          <w:sz w:val="24"/>
          <w:szCs w:val="24"/>
        </w:rPr>
        <w:t>and certainly require</w:t>
      </w:r>
      <w:r w:rsidR="0073267B" w:rsidRPr="005927F3">
        <w:rPr>
          <w:rFonts w:cstheme="minorHAnsi"/>
          <w:sz w:val="24"/>
          <w:szCs w:val="24"/>
        </w:rPr>
        <w:t>d</w:t>
      </w:r>
      <w:r w:rsidR="007B233B" w:rsidRPr="005927F3">
        <w:rPr>
          <w:rFonts w:cstheme="minorHAnsi"/>
          <w:sz w:val="24"/>
          <w:szCs w:val="24"/>
        </w:rPr>
        <w:t xml:space="preserve"> </w:t>
      </w:r>
      <w:r w:rsidR="00B15568" w:rsidRPr="005927F3">
        <w:rPr>
          <w:rFonts w:cstheme="minorHAnsi"/>
          <w:sz w:val="24"/>
          <w:szCs w:val="24"/>
        </w:rPr>
        <w:t xml:space="preserve">a </w:t>
      </w:r>
      <w:r w:rsidR="00261B42" w:rsidRPr="005927F3">
        <w:rPr>
          <w:rFonts w:cstheme="minorHAnsi"/>
          <w:sz w:val="24"/>
          <w:szCs w:val="24"/>
        </w:rPr>
        <w:t xml:space="preserve">public disclosure, </w:t>
      </w:r>
      <w:r w:rsidR="0061192E" w:rsidRPr="005927F3">
        <w:rPr>
          <w:rFonts w:cstheme="minorHAnsi"/>
          <w:sz w:val="24"/>
          <w:szCs w:val="24"/>
        </w:rPr>
        <w:t>or</w:t>
      </w:r>
      <w:r w:rsidR="00B62428" w:rsidRPr="005927F3">
        <w:rPr>
          <w:rFonts w:cstheme="minorHAnsi"/>
          <w:sz w:val="24"/>
          <w:szCs w:val="24"/>
        </w:rPr>
        <w:t xml:space="preserve"> publ</w:t>
      </w:r>
      <w:r w:rsidR="00316F37" w:rsidRPr="005927F3">
        <w:rPr>
          <w:rFonts w:cstheme="minorHAnsi"/>
          <w:sz w:val="24"/>
          <w:szCs w:val="24"/>
        </w:rPr>
        <w:t>icity beyond a small group</w:t>
      </w:r>
      <w:r w:rsidR="0073267B" w:rsidRPr="005927F3">
        <w:rPr>
          <w:rFonts w:cstheme="minorHAnsi"/>
          <w:sz w:val="24"/>
          <w:szCs w:val="24"/>
        </w:rPr>
        <w:t>, of</w:t>
      </w:r>
      <w:r w:rsidR="009D69FC" w:rsidRPr="005927F3">
        <w:rPr>
          <w:rFonts w:cstheme="minorHAnsi"/>
          <w:sz w:val="24"/>
          <w:szCs w:val="24"/>
        </w:rPr>
        <w:t xml:space="preserve"> </w:t>
      </w:r>
      <w:r w:rsidR="00641D41" w:rsidRPr="005927F3">
        <w:rPr>
          <w:rFonts w:cstheme="minorHAnsi"/>
          <w:sz w:val="24"/>
          <w:szCs w:val="24"/>
        </w:rPr>
        <w:t>private facts, not public ones</w:t>
      </w:r>
      <w:r w:rsidR="0086178E" w:rsidRPr="005927F3">
        <w:rPr>
          <w:rFonts w:cstheme="minorHAnsi"/>
          <w:sz w:val="24"/>
          <w:szCs w:val="24"/>
        </w:rPr>
        <w:t>:</w:t>
      </w:r>
      <w:r w:rsidR="00641D41" w:rsidRPr="005927F3">
        <w:rPr>
          <w:rFonts w:cstheme="minorHAnsi"/>
          <w:sz w:val="24"/>
          <w:szCs w:val="24"/>
        </w:rPr>
        <w:t xml:space="preserve"> </w:t>
      </w:r>
      <w:r w:rsidR="00B62428" w:rsidRPr="005927F3">
        <w:rPr>
          <w:rFonts w:cstheme="minorHAnsi"/>
          <w:sz w:val="24"/>
          <w:szCs w:val="24"/>
        </w:rPr>
        <w:t>‘</w:t>
      </w:r>
      <w:r w:rsidR="00641D41" w:rsidRPr="005927F3">
        <w:rPr>
          <w:rFonts w:cstheme="minorHAnsi"/>
          <w:sz w:val="24"/>
          <w:szCs w:val="24"/>
        </w:rPr>
        <w:t xml:space="preserve">The decisions indicate that anything </w:t>
      </w:r>
      <w:r w:rsidR="00641D41" w:rsidRPr="005927F3">
        <w:rPr>
          <w:rFonts w:cstheme="minorHAnsi"/>
          <w:i/>
          <w:sz w:val="24"/>
          <w:szCs w:val="24"/>
        </w:rPr>
        <w:t>visible in a public place</w:t>
      </w:r>
      <w:r w:rsidR="00641D41" w:rsidRPr="005927F3">
        <w:rPr>
          <w:rFonts w:cstheme="minorHAnsi"/>
          <w:sz w:val="24"/>
          <w:szCs w:val="24"/>
        </w:rPr>
        <w:t xml:space="preserve"> may be recorded and given circulation by means of a photograph, to the same extent as by a written descr</w:t>
      </w:r>
      <w:r w:rsidR="00641D41" w:rsidRPr="005927F3">
        <w:rPr>
          <w:rFonts w:cstheme="minorHAnsi"/>
          <w:b/>
          <w:sz w:val="24"/>
          <w:szCs w:val="24"/>
        </w:rPr>
        <w:t>i</w:t>
      </w:r>
      <w:r w:rsidR="00641D41" w:rsidRPr="005927F3">
        <w:rPr>
          <w:rFonts w:cstheme="minorHAnsi"/>
          <w:sz w:val="24"/>
          <w:szCs w:val="24"/>
        </w:rPr>
        <w:t>p</w:t>
      </w:r>
      <w:r w:rsidR="00B62428" w:rsidRPr="005927F3">
        <w:rPr>
          <w:rFonts w:cstheme="minorHAnsi"/>
          <w:sz w:val="24"/>
          <w:szCs w:val="24"/>
        </w:rPr>
        <w:t xml:space="preserve">tion </w:t>
      </w:r>
      <w:r w:rsidR="00641D41" w:rsidRPr="005927F3">
        <w:rPr>
          <w:rFonts w:cstheme="minorHAnsi"/>
          <w:sz w:val="24"/>
          <w:szCs w:val="24"/>
        </w:rPr>
        <w:t>since this amounts to nothing more than giving publicity to what is already public and what any one present would be free to see.'</w:t>
      </w:r>
      <w:r w:rsidR="00641D41" w:rsidRPr="005927F3">
        <w:rPr>
          <w:rStyle w:val="FootnoteReference"/>
          <w:rFonts w:cstheme="minorHAnsi"/>
          <w:sz w:val="24"/>
          <w:szCs w:val="24"/>
        </w:rPr>
        <w:footnoteReference w:id="107"/>
      </w:r>
      <w:r w:rsidR="00B62428" w:rsidRPr="005927F3">
        <w:rPr>
          <w:rFonts w:cstheme="minorHAnsi"/>
          <w:sz w:val="24"/>
          <w:szCs w:val="24"/>
        </w:rPr>
        <w:t xml:space="preserve"> </w:t>
      </w:r>
      <w:r w:rsidR="00D655C6" w:rsidRPr="005927F3">
        <w:rPr>
          <w:rFonts w:cstheme="minorHAnsi"/>
          <w:sz w:val="24"/>
          <w:szCs w:val="24"/>
        </w:rPr>
        <w:t>The same idea underlies</w:t>
      </w:r>
      <w:r w:rsidR="00247EF6" w:rsidRPr="005927F3">
        <w:rPr>
          <w:rFonts w:cstheme="minorHAnsi"/>
          <w:sz w:val="24"/>
          <w:szCs w:val="24"/>
        </w:rPr>
        <w:t xml:space="preserve"> the classic understanding of</w:t>
      </w:r>
      <w:r w:rsidR="00CF04BB" w:rsidRPr="005927F3">
        <w:rPr>
          <w:rFonts w:cstheme="minorHAnsi"/>
          <w:sz w:val="24"/>
          <w:szCs w:val="24"/>
        </w:rPr>
        <w:t xml:space="preserve"> a</w:t>
      </w:r>
      <w:r w:rsidR="00247EF6" w:rsidRPr="005927F3">
        <w:rPr>
          <w:rFonts w:cstheme="minorHAnsi"/>
          <w:sz w:val="24"/>
          <w:szCs w:val="24"/>
        </w:rPr>
        <w:t xml:space="preserve"> breach of confidence claims. </w:t>
      </w:r>
      <w:r w:rsidR="00D655C6" w:rsidRPr="005927F3">
        <w:rPr>
          <w:rFonts w:cstheme="minorHAnsi"/>
          <w:sz w:val="24"/>
          <w:szCs w:val="24"/>
        </w:rPr>
        <w:t>P</w:t>
      </w:r>
      <w:r w:rsidR="00B15568" w:rsidRPr="005927F3">
        <w:rPr>
          <w:rFonts w:cstheme="minorHAnsi"/>
          <w:sz w:val="24"/>
          <w:szCs w:val="24"/>
        </w:rPr>
        <w:t>ersonal</w:t>
      </w:r>
      <w:r w:rsidR="00B62428" w:rsidRPr="005927F3">
        <w:rPr>
          <w:rFonts w:cstheme="minorHAnsi"/>
          <w:sz w:val="24"/>
          <w:szCs w:val="24"/>
        </w:rPr>
        <w:t xml:space="preserve"> information</w:t>
      </w:r>
      <w:r w:rsidR="009639AB" w:rsidRPr="005927F3">
        <w:rPr>
          <w:rFonts w:cstheme="minorHAnsi"/>
          <w:sz w:val="24"/>
          <w:szCs w:val="24"/>
        </w:rPr>
        <w:t xml:space="preserve"> in </w:t>
      </w:r>
      <w:r w:rsidR="0086178E" w:rsidRPr="005927F3">
        <w:rPr>
          <w:rFonts w:cstheme="minorHAnsi"/>
          <w:sz w:val="24"/>
          <w:szCs w:val="24"/>
        </w:rPr>
        <w:t xml:space="preserve">the </w:t>
      </w:r>
      <w:r w:rsidR="009639AB" w:rsidRPr="005927F3">
        <w:rPr>
          <w:rFonts w:cstheme="minorHAnsi"/>
          <w:sz w:val="24"/>
          <w:szCs w:val="24"/>
        </w:rPr>
        <w:t>public</w:t>
      </w:r>
      <w:r w:rsidR="0086178E" w:rsidRPr="005927F3">
        <w:rPr>
          <w:rFonts w:cstheme="minorHAnsi"/>
          <w:sz w:val="24"/>
          <w:szCs w:val="24"/>
        </w:rPr>
        <w:t xml:space="preserve"> domain </w:t>
      </w:r>
      <w:r w:rsidR="00277D6F" w:rsidRPr="005927F3">
        <w:rPr>
          <w:rFonts w:cstheme="minorHAnsi"/>
          <w:sz w:val="24"/>
          <w:szCs w:val="24"/>
        </w:rPr>
        <w:t>–</w:t>
      </w:r>
      <w:r w:rsidR="00247EF6" w:rsidRPr="005927F3">
        <w:rPr>
          <w:rFonts w:cstheme="minorHAnsi"/>
          <w:sz w:val="24"/>
          <w:szCs w:val="24"/>
        </w:rPr>
        <w:t xml:space="preserve"> including public records of personal information</w:t>
      </w:r>
      <w:r w:rsidR="00316F37" w:rsidRPr="005927F3">
        <w:rPr>
          <w:rFonts w:cstheme="minorHAnsi"/>
          <w:sz w:val="24"/>
          <w:szCs w:val="24"/>
        </w:rPr>
        <w:t xml:space="preserve"> </w:t>
      </w:r>
      <w:r w:rsidR="00277D6F" w:rsidRPr="005927F3">
        <w:rPr>
          <w:rFonts w:cstheme="minorHAnsi"/>
          <w:sz w:val="24"/>
          <w:szCs w:val="24"/>
        </w:rPr>
        <w:t>–</w:t>
      </w:r>
      <w:r w:rsidR="009639AB" w:rsidRPr="005927F3">
        <w:rPr>
          <w:rFonts w:cstheme="minorHAnsi"/>
          <w:sz w:val="24"/>
          <w:szCs w:val="24"/>
        </w:rPr>
        <w:t xml:space="preserve"> </w:t>
      </w:r>
      <w:r w:rsidR="00D655C6" w:rsidRPr="005927F3">
        <w:rPr>
          <w:rFonts w:cstheme="minorHAnsi"/>
          <w:sz w:val="24"/>
          <w:szCs w:val="24"/>
        </w:rPr>
        <w:t>ha</w:t>
      </w:r>
      <w:r w:rsidR="00474581" w:rsidRPr="005927F3">
        <w:rPr>
          <w:rFonts w:cstheme="minorHAnsi"/>
          <w:sz w:val="24"/>
          <w:szCs w:val="24"/>
        </w:rPr>
        <w:t>s</w:t>
      </w:r>
      <w:r w:rsidR="00B15568" w:rsidRPr="005927F3">
        <w:rPr>
          <w:rFonts w:cstheme="minorHAnsi"/>
          <w:sz w:val="24"/>
          <w:szCs w:val="24"/>
        </w:rPr>
        <w:t xml:space="preserve"> </w:t>
      </w:r>
      <w:r w:rsidR="00B62428" w:rsidRPr="005927F3">
        <w:rPr>
          <w:rFonts w:cstheme="minorHAnsi"/>
          <w:sz w:val="24"/>
          <w:szCs w:val="24"/>
        </w:rPr>
        <w:t xml:space="preserve">irretrievably lost its </w:t>
      </w:r>
      <w:r w:rsidR="00B15568" w:rsidRPr="005927F3">
        <w:rPr>
          <w:rFonts w:cstheme="minorHAnsi"/>
          <w:sz w:val="24"/>
          <w:szCs w:val="24"/>
        </w:rPr>
        <w:t>entitling ‘private’ quality, and</w:t>
      </w:r>
      <w:r w:rsidR="009639AB" w:rsidRPr="005927F3">
        <w:rPr>
          <w:rFonts w:cstheme="minorHAnsi"/>
          <w:sz w:val="24"/>
          <w:szCs w:val="24"/>
        </w:rPr>
        <w:t xml:space="preserve"> even</w:t>
      </w:r>
      <w:r w:rsidR="00B15568" w:rsidRPr="005927F3">
        <w:rPr>
          <w:rFonts w:cstheme="minorHAnsi"/>
          <w:sz w:val="24"/>
          <w:szCs w:val="24"/>
        </w:rPr>
        <w:t xml:space="preserve"> a </w:t>
      </w:r>
      <w:r w:rsidR="00316F37" w:rsidRPr="005927F3">
        <w:rPr>
          <w:rFonts w:cstheme="minorHAnsi"/>
          <w:sz w:val="24"/>
          <w:szCs w:val="24"/>
        </w:rPr>
        <w:t xml:space="preserve">significant </w:t>
      </w:r>
      <w:r w:rsidR="009639AB" w:rsidRPr="005927F3">
        <w:rPr>
          <w:rFonts w:cstheme="minorHAnsi"/>
          <w:sz w:val="24"/>
          <w:szCs w:val="24"/>
        </w:rPr>
        <w:t>lapse of time cannot alter that</w:t>
      </w:r>
      <w:r w:rsidR="00B15568" w:rsidRPr="005927F3">
        <w:rPr>
          <w:rFonts w:cstheme="minorHAnsi"/>
          <w:sz w:val="24"/>
          <w:szCs w:val="24"/>
        </w:rPr>
        <w:t xml:space="preserve"> </w:t>
      </w:r>
      <w:r w:rsidR="00B62428" w:rsidRPr="005927F3">
        <w:rPr>
          <w:rFonts w:cstheme="minorHAnsi"/>
          <w:sz w:val="24"/>
          <w:szCs w:val="24"/>
        </w:rPr>
        <w:t>fact</w:t>
      </w:r>
      <w:r w:rsidR="0061192E" w:rsidRPr="005927F3">
        <w:rPr>
          <w:rFonts w:cstheme="minorHAnsi"/>
          <w:sz w:val="24"/>
          <w:szCs w:val="24"/>
        </w:rPr>
        <w:t xml:space="preserve">: </w:t>
      </w:r>
      <w:r w:rsidR="00B62428" w:rsidRPr="005927F3">
        <w:rPr>
          <w:rFonts w:cstheme="minorHAnsi"/>
          <w:sz w:val="24"/>
          <w:szCs w:val="24"/>
        </w:rPr>
        <w:t xml:space="preserve"> </w:t>
      </w:r>
    </w:p>
    <w:p w14:paraId="02EF7A46" w14:textId="77777777" w:rsidR="00316F37" w:rsidRPr="005927F3" w:rsidRDefault="00316F37" w:rsidP="00B62428">
      <w:pPr>
        <w:autoSpaceDE w:val="0"/>
        <w:autoSpaceDN w:val="0"/>
        <w:adjustRightInd w:val="0"/>
        <w:spacing w:after="0" w:line="240" w:lineRule="auto"/>
        <w:ind w:left="720"/>
        <w:jc w:val="both"/>
        <w:rPr>
          <w:rFonts w:cstheme="minorHAnsi"/>
          <w:sz w:val="24"/>
          <w:szCs w:val="24"/>
        </w:rPr>
      </w:pPr>
    </w:p>
    <w:p w14:paraId="38328A06" w14:textId="77777777" w:rsidR="00B62428" w:rsidRPr="005927F3" w:rsidRDefault="00B62428" w:rsidP="00B62428">
      <w:pPr>
        <w:autoSpaceDE w:val="0"/>
        <w:autoSpaceDN w:val="0"/>
        <w:adjustRightInd w:val="0"/>
        <w:spacing w:after="0" w:line="240" w:lineRule="auto"/>
        <w:ind w:left="720"/>
        <w:jc w:val="both"/>
        <w:rPr>
          <w:rFonts w:cstheme="minorHAnsi"/>
          <w:sz w:val="24"/>
          <w:szCs w:val="24"/>
        </w:rPr>
      </w:pPr>
      <w:r w:rsidRPr="005927F3">
        <w:rPr>
          <w:rFonts w:cstheme="minorHAnsi"/>
          <w:sz w:val="24"/>
          <w:szCs w:val="24"/>
        </w:rPr>
        <w:t>The difficult question is as to the effect of lapse of time, and the extent to which forgotten records, as for example of a criminal conviction, may be dredged up in after years and given more general publicity. As in the case of news, with which the problem may be inextricably interwoven, it has been held that the memory of the events covered by the record, such as a criminal trial, can be revived as still a matter of legitimate public interest.</w:t>
      </w:r>
      <w:r w:rsidRPr="005927F3">
        <w:rPr>
          <w:rStyle w:val="FootnoteReference"/>
          <w:rFonts w:cstheme="minorHAnsi"/>
          <w:sz w:val="24"/>
          <w:szCs w:val="24"/>
        </w:rPr>
        <w:footnoteReference w:id="108"/>
      </w:r>
    </w:p>
    <w:p w14:paraId="05E5E3AC" w14:textId="77777777" w:rsidR="009D69FC" w:rsidRPr="005927F3" w:rsidRDefault="009D69FC" w:rsidP="0005102C">
      <w:pPr>
        <w:autoSpaceDE w:val="0"/>
        <w:autoSpaceDN w:val="0"/>
        <w:adjustRightInd w:val="0"/>
        <w:spacing w:after="0" w:line="240" w:lineRule="auto"/>
        <w:jc w:val="both"/>
        <w:rPr>
          <w:rFonts w:cstheme="minorHAnsi"/>
          <w:sz w:val="24"/>
          <w:szCs w:val="24"/>
        </w:rPr>
      </w:pPr>
    </w:p>
    <w:p w14:paraId="48744D99" w14:textId="333F82D1" w:rsidR="0061192E" w:rsidRPr="005927F3" w:rsidRDefault="00F77A90" w:rsidP="0005102C">
      <w:pPr>
        <w:autoSpaceDE w:val="0"/>
        <w:autoSpaceDN w:val="0"/>
        <w:adjustRightInd w:val="0"/>
        <w:spacing w:after="0" w:line="240" w:lineRule="auto"/>
        <w:jc w:val="both"/>
        <w:rPr>
          <w:rFonts w:cstheme="minorHAnsi"/>
          <w:sz w:val="24"/>
          <w:szCs w:val="24"/>
        </w:rPr>
      </w:pPr>
      <w:r w:rsidRPr="005927F3">
        <w:rPr>
          <w:rFonts w:cstheme="minorHAnsi"/>
          <w:sz w:val="24"/>
          <w:szCs w:val="24"/>
        </w:rPr>
        <w:t xml:space="preserve">Once information is public, privacy entitlements are foregone. </w:t>
      </w:r>
      <w:r w:rsidR="005B2DF7" w:rsidRPr="005927F3">
        <w:rPr>
          <w:rFonts w:cstheme="minorHAnsi"/>
          <w:sz w:val="24"/>
          <w:szCs w:val="24"/>
        </w:rPr>
        <w:t xml:space="preserve">It </w:t>
      </w:r>
      <w:r w:rsidRPr="005927F3">
        <w:rPr>
          <w:rFonts w:cstheme="minorHAnsi"/>
          <w:sz w:val="24"/>
          <w:szCs w:val="24"/>
        </w:rPr>
        <w:t xml:space="preserve">makes no difference that personal information online is available for much longer and to a wider and more diverse </w:t>
      </w:r>
      <w:r w:rsidRPr="005927F3">
        <w:rPr>
          <w:rFonts w:cstheme="minorHAnsi"/>
          <w:sz w:val="24"/>
          <w:szCs w:val="24"/>
        </w:rPr>
        <w:lastRenderedPageBreak/>
        <w:t>audience across social and territorial spheres than information in the analogue world</w:t>
      </w:r>
      <w:r w:rsidR="0073267B" w:rsidRPr="005927F3">
        <w:rPr>
          <w:rFonts w:cstheme="minorHAnsi"/>
          <w:sz w:val="24"/>
          <w:szCs w:val="24"/>
        </w:rPr>
        <w:t>. O</w:t>
      </w:r>
      <w:r w:rsidRPr="005927F3">
        <w:rPr>
          <w:rFonts w:cstheme="minorHAnsi"/>
          <w:sz w:val="24"/>
          <w:szCs w:val="24"/>
        </w:rPr>
        <w:t>nce public</w:t>
      </w:r>
      <w:r w:rsidR="00277D6F" w:rsidRPr="005927F3">
        <w:rPr>
          <w:rFonts w:cstheme="minorHAnsi"/>
          <w:sz w:val="24"/>
          <w:szCs w:val="24"/>
        </w:rPr>
        <w:t>,</w:t>
      </w:r>
      <w:r w:rsidRPr="005927F3">
        <w:rPr>
          <w:rFonts w:cstheme="minorHAnsi"/>
          <w:sz w:val="24"/>
          <w:szCs w:val="24"/>
        </w:rPr>
        <w:t xml:space="preserve"> always public. </w:t>
      </w:r>
      <w:r w:rsidR="0073267B" w:rsidRPr="005927F3">
        <w:rPr>
          <w:rFonts w:cstheme="minorHAnsi"/>
          <w:sz w:val="24"/>
          <w:szCs w:val="24"/>
        </w:rPr>
        <w:t xml:space="preserve"> </w:t>
      </w:r>
      <w:r w:rsidR="001A08E9" w:rsidRPr="005927F3">
        <w:rPr>
          <w:rFonts w:cstheme="minorHAnsi"/>
          <w:sz w:val="24"/>
          <w:szCs w:val="24"/>
        </w:rPr>
        <w:t xml:space="preserve">To be successful, the claimant also </w:t>
      </w:r>
      <w:proofErr w:type="gramStart"/>
      <w:r w:rsidR="001A08E9" w:rsidRPr="005927F3">
        <w:rPr>
          <w:rFonts w:cstheme="minorHAnsi"/>
          <w:sz w:val="24"/>
          <w:szCs w:val="24"/>
        </w:rPr>
        <w:t>has to</w:t>
      </w:r>
      <w:proofErr w:type="gramEnd"/>
      <w:r w:rsidR="001A08E9" w:rsidRPr="005927F3">
        <w:rPr>
          <w:rFonts w:cstheme="minorHAnsi"/>
          <w:sz w:val="24"/>
          <w:szCs w:val="24"/>
        </w:rPr>
        <w:t xml:space="preserve"> show </w:t>
      </w:r>
      <w:r w:rsidR="00277D6F" w:rsidRPr="005927F3">
        <w:rPr>
          <w:rFonts w:cstheme="minorHAnsi"/>
          <w:sz w:val="24"/>
          <w:szCs w:val="24"/>
        </w:rPr>
        <w:t>–</w:t>
      </w:r>
      <w:r w:rsidR="001A08E9" w:rsidRPr="005927F3">
        <w:rPr>
          <w:rFonts w:cstheme="minorHAnsi"/>
          <w:sz w:val="24"/>
          <w:szCs w:val="24"/>
        </w:rPr>
        <w:t xml:space="preserve"> as part and parcel of her ‘reasonable expectations of privacy’</w:t>
      </w:r>
      <w:r w:rsidR="001A08E9" w:rsidRPr="005927F3">
        <w:rPr>
          <w:rStyle w:val="FootnoteReference"/>
          <w:rFonts w:cstheme="minorHAnsi"/>
          <w:sz w:val="24"/>
          <w:szCs w:val="24"/>
        </w:rPr>
        <w:footnoteReference w:id="109"/>
      </w:r>
      <w:r w:rsidR="00277D6F" w:rsidRPr="005927F3">
        <w:rPr>
          <w:rFonts w:cstheme="minorHAnsi"/>
          <w:sz w:val="24"/>
          <w:szCs w:val="24"/>
        </w:rPr>
        <w:t xml:space="preserve"> –</w:t>
      </w:r>
      <w:r w:rsidR="001A08E9" w:rsidRPr="005927F3">
        <w:rPr>
          <w:rFonts w:cstheme="minorHAnsi"/>
          <w:sz w:val="24"/>
          <w:szCs w:val="24"/>
        </w:rPr>
        <w:t xml:space="preserve"> that ‘the matter made public must be one which would be offensive and objectionable to a reasonable man of ordinary sensibilities.’</w:t>
      </w:r>
      <w:r w:rsidR="001A08E9" w:rsidRPr="005927F3">
        <w:rPr>
          <w:rStyle w:val="FootnoteReference"/>
          <w:rFonts w:cstheme="minorHAnsi"/>
          <w:sz w:val="24"/>
          <w:szCs w:val="24"/>
        </w:rPr>
        <w:footnoteReference w:id="110"/>
      </w:r>
      <w:r w:rsidR="001A08E9" w:rsidRPr="005927F3">
        <w:rPr>
          <w:rFonts w:cstheme="minorHAnsi"/>
          <w:sz w:val="24"/>
          <w:szCs w:val="24"/>
        </w:rPr>
        <w:t xml:space="preserve">  So it is not what the claimant personally considers to be an undue exposure but what the community considers to be such.  </w:t>
      </w:r>
    </w:p>
    <w:p w14:paraId="47B376AD" w14:textId="77777777" w:rsidR="009E5D33" w:rsidRPr="005927F3" w:rsidRDefault="009E5D33" w:rsidP="0005102C">
      <w:pPr>
        <w:autoSpaceDE w:val="0"/>
        <w:autoSpaceDN w:val="0"/>
        <w:adjustRightInd w:val="0"/>
        <w:spacing w:after="0" w:line="240" w:lineRule="auto"/>
        <w:jc w:val="both"/>
        <w:rPr>
          <w:rFonts w:cstheme="minorHAnsi"/>
          <w:sz w:val="24"/>
          <w:szCs w:val="24"/>
        </w:rPr>
      </w:pPr>
    </w:p>
    <w:p w14:paraId="5BA93A29" w14:textId="59B04AC7" w:rsidR="00495F3D" w:rsidRPr="005927F3" w:rsidRDefault="006F060E" w:rsidP="00495F3D">
      <w:pPr>
        <w:autoSpaceDE w:val="0"/>
        <w:autoSpaceDN w:val="0"/>
        <w:adjustRightInd w:val="0"/>
        <w:spacing w:after="0" w:line="240" w:lineRule="auto"/>
        <w:jc w:val="both"/>
        <w:rPr>
          <w:rFonts w:cs="Verdana"/>
          <w:sz w:val="24"/>
          <w:szCs w:val="24"/>
        </w:rPr>
      </w:pPr>
      <w:r w:rsidRPr="005927F3">
        <w:rPr>
          <w:rFonts w:cstheme="minorHAnsi"/>
          <w:sz w:val="24"/>
          <w:szCs w:val="24"/>
        </w:rPr>
        <w:t>For historic</w:t>
      </w:r>
      <w:r w:rsidR="0061192E" w:rsidRPr="005927F3">
        <w:rPr>
          <w:rFonts w:cstheme="minorHAnsi"/>
          <w:sz w:val="24"/>
          <w:szCs w:val="24"/>
        </w:rPr>
        <w:t xml:space="preserve"> conviction</w:t>
      </w:r>
      <w:r w:rsidRPr="005927F3">
        <w:rPr>
          <w:rFonts w:cstheme="minorHAnsi"/>
          <w:sz w:val="24"/>
          <w:szCs w:val="24"/>
        </w:rPr>
        <w:t>s it means that they can</w:t>
      </w:r>
      <w:r w:rsidR="009E5D33" w:rsidRPr="005927F3">
        <w:rPr>
          <w:rFonts w:cstheme="minorHAnsi"/>
          <w:sz w:val="24"/>
          <w:szCs w:val="24"/>
        </w:rPr>
        <w:t xml:space="preserve"> be unearthed </w:t>
      </w:r>
      <w:r w:rsidR="00504555" w:rsidRPr="005927F3">
        <w:rPr>
          <w:rFonts w:cstheme="minorHAnsi"/>
          <w:sz w:val="24"/>
          <w:szCs w:val="24"/>
        </w:rPr>
        <w:t xml:space="preserve">indefinitely </w:t>
      </w:r>
      <w:r w:rsidRPr="005927F3">
        <w:rPr>
          <w:rFonts w:cstheme="minorHAnsi"/>
          <w:sz w:val="24"/>
          <w:szCs w:val="24"/>
        </w:rPr>
        <w:t xml:space="preserve">by the press, no matter how damaging the revelation </w:t>
      </w:r>
      <w:r w:rsidR="00AD7FF4" w:rsidRPr="005927F3">
        <w:rPr>
          <w:rFonts w:cstheme="minorHAnsi"/>
          <w:sz w:val="24"/>
          <w:szCs w:val="24"/>
        </w:rPr>
        <w:t>may be</w:t>
      </w:r>
      <w:r w:rsidRPr="005927F3">
        <w:rPr>
          <w:rFonts w:cstheme="minorHAnsi"/>
          <w:sz w:val="24"/>
          <w:szCs w:val="24"/>
        </w:rPr>
        <w:t xml:space="preserve"> for the </w:t>
      </w:r>
      <w:r w:rsidR="00AD7FF4" w:rsidRPr="005927F3">
        <w:rPr>
          <w:rFonts w:cstheme="minorHAnsi"/>
          <w:sz w:val="24"/>
          <w:szCs w:val="24"/>
        </w:rPr>
        <w:t xml:space="preserve">rehabilitated offender. </w:t>
      </w:r>
      <w:r w:rsidR="00907BB3" w:rsidRPr="005927F3">
        <w:rPr>
          <w:rFonts w:cstheme="minorHAnsi"/>
          <w:sz w:val="24"/>
          <w:szCs w:val="24"/>
        </w:rPr>
        <w:t>In</w:t>
      </w:r>
      <w:r w:rsidR="0061192E" w:rsidRPr="005927F3">
        <w:rPr>
          <w:rFonts w:cstheme="minorHAnsi"/>
          <w:sz w:val="24"/>
          <w:szCs w:val="24"/>
        </w:rPr>
        <w:t xml:space="preserve"> </w:t>
      </w:r>
      <w:r w:rsidR="0061192E" w:rsidRPr="005927F3">
        <w:rPr>
          <w:rFonts w:cstheme="minorHAnsi"/>
          <w:i/>
          <w:iCs/>
          <w:sz w:val="24"/>
          <w:szCs w:val="24"/>
        </w:rPr>
        <w:t>Briscoe v Reader's Digest Association</w:t>
      </w:r>
      <w:r w:rsidR="0061192E" w:rsidRPr="005927F3">
        <w:rPr>
          <w:rFonts w:cstheme="minorHAnsi"/>
          <w:sz w:val="24"/>
          <w:szCs w:val="24"/>
        </w:rPr>
        <w:t xml:space="preserve"> (1971)</w:t>
      </w:r>
      <w:r w:rsidR="00C118F4" w:rsidRPr="005927F3">
        <w:rPr>
          <w:rStyle w:val="FootnoteReference"/>
          <w:rFonts w:cstheme="minorHAnsi"/>
          <w:sz w:val="24"/>
          <w:szCs w:val="24"/>
        </w:rPr>
        <w:footnoteReference w:id="111"/>
      </w:r>
      <w:r w:rsidR="00AD7FF4" w:rsidRPr="005927F3">
        <w:rPr>
          <w:rFonts w:cstheme="minorHAnsi"/>
          <w:sz w:val="24"/>
          <w:szCs w:val="24"/>
        </w:rPr>
        <w:t xml:space="preserve"> the Californian Supreme Court allowed a privacy claim against </w:t>
      </w:r>
      <w:r w:rsidR="00C118F4" w:rsidRPr="005927F3">
        <w:rPr>
          <w:rFonts w:cstheme="minorHAnsi"/>
          <w:sz w:val="24"/>
          <w:szCs w:val="24"/>
        </w:rPr>
        <w:t>a</w:t>
      </w:r>
      <w:r w:rsidR="0061192E" w:rsidRPr="005927F3">
        <w:rPr>
          <w:rFonts w:cstheme="minorHAnsi"/>
          <w:sz w:val="24"/>
          <w:szCs w:val="24"/>
        </w:rPr>
        <w:t xml:space="preserve"> newspaper </w:t>
      </w:r>
      <w:r w:rsidR="00C118F4" w:rsidRPr="005927F3">
        <w:rPr>
          <w:rFonts w:cstheme="minorHAnsi"/>
          <w:sz w:val="24"/>
          <w:szCs w:val="24"/>
        </w:rPr>
        <w:t xml:space="preserve">for its </w:t>
      </w:r>
      <w:r w:rsidR="0061192E" w:rsidRPr="005927F3">
        <w:rPr>
          <w:rFonts w:cstheme="minorHAnsi"/>
          <w:sz w:val="24"/>
          <w:szCs w:val="24"/>
        </w:rPr>
        <w:t xml:space="preserve">revelation of the claimant’s </w:t>
      </w:r>
      <w:r w:rsidR="00E71F4A" w:rsidRPr="005927F3">
        <w:rPr>
          <w:rFonts w:cstheme="minorHAnsi"/>
          <w:sz w:val="24"/>
          <w:szCs w:val="24"/>
        </w:rPr>
        <w:t xml:space="preserve">long forgotten </w:t>
      </w:r>
      <w:r w:rsidR="0061192E" w:rsidRPr="005927F3">
        <w:rPr>
          <w:rFonts w:cstheme="minorHAnsi"/>
          <w:sz w:val="24"/>
          <w:szCs w:val="24"/>
        </w:rPr>
        <w:t>criminal past</w:t>
      </w:r>
      <w:r w:rsidR="00C118F4" w:rsidRPr="005927F3">
        <w:rPr>
          <w:rFonts w:cstheme="minorHAnsi"/>
          <w:sz w:val="24"/>
          <w:szCs w:val="24"/>
        </w:rPr>
        <w:t xml:space="preserve"> as a hijacker</w:t>
      </w:r>
      <w:r w:rsidR="0061192E" w:rsidRPr="005927F3">
        <w:rPr>
          <w:rFonts w:cstheme="minorHAnsi"/>
          <w:sz w:val="24"/>
          <w:szCs w:val="24"/>
        </w:rPr>
        <w:t xml:space="preserve"> which had the effect of alienating his daughter and friends from him</w:t>
      </w:r>
      <w:r w:rsidR="00907BB3" w:rsidRPr="005927F3">
        <w:rPr>
          <w:rFonts w:cstheme="minorHAnsi"/>
          <w:sz w:val="24"/>
          <w:szCs w:val="24"/>
        </w:rPr>
        <w:t>. Yet</w:t>
      </w:r>
      <w:r w:rsidR="00C118F4" w:rsidRPr="005927F3">
        <w:rPr>
          <w:rFonts w:cstheme="minorHAnsi"/>
          <w:sz w:val="24"/>
          <w:szCs w:val="24"/>
        </w:rPr>
        <w:t xml:space="preserve">, three decades later the same court held in </w:t>
      </w:r>
      <w:r w:rsidR="00C118F4" w:rsidRPr="005927F3">
        <w:rPr>
          <w:rFonts w:cstheme="minorHAnsi"/>
          <w:i/>
          <w:iCs/>
          <w:sz w:val="24"/>
          <w:szCs w:val="24"/>
        </w:rPr>
        <w:t xml:space="preserve">Gates v Discovery Communications Inc </w:t>
      </w:r>
      <w:r w:rsidR="00C118F4" w:rsidRPr="005927F3">
        <w:rPr>
          <w:rFonts w:cstheme="minorHAnsi"/>
          <w:sz w:val="24"/>
          <w:szCs w:val="24"/>
        </w:rPr>
        <w:t>(2004)</w:t>
      </w:r>
      <w:r w:rsidR="00C118F4" w:rsidRPr="005927F3">
        <w:rPr>
          <w:rStyle w:val="FootnoteReference"/>
          <w:rFonts w:cstheme="minorHAnsi"/>
          <w:sz w:val="24"/>
          <w:szCs w:val="24"/>
        </w:rPr>
        <w:footnoteReference w:id="112"/>
      </w:r>
      <w:r w:rsidR="00C118F4" w:rsidRPr="005927F3">
        <w:rPr>
          <w:rFonts w:cstheme="minorHAnsi"/>
          <w:sz w:val="24"/>
          <w:szCs w:val="24"/>
        </w:rPr>
        <w:t xml:space="preserve"> that </w:t>
      </w:r>
      <w:r w:rsidR="00C118F4" w:rsidRPr="005927F3">
        <w:rPr>
          <w:rFonts w:cstheme="minorHAnsi"/>
          <w:i/>
          <w:iCs/>
          <w:sz w:val="24"/>
          <w:szCs w:val="24"/>
        </w:rPr>
        <w:t xml:space="preserve">Briscoe </w:t>
      </w:r>
      <w:r w:rsidR="00C118F4" w:rsidRPr="005927F3">
        <w:rPr>
          <w:rFonts w:cstheme="minorHAnsi"/>
          <w:sz w:val="24"/>
          <w:szCs w:val="24"/>
        </w:rPr>
        <w:t xml:space="preserve">was no longer good </w:t>
      </w:r>
      <w:r w:rsidR="00464D86" w:rsidRPr="005927F3">
        <w:rPr>
          <w:rFonts w:cstheme="minorHAnsi"/>
          <w:sz w:val="24"/>
          <w:szCs w:val="24"/>
        </w:rPr>
        <w:t>law</w:t>
      </w:r>
      <w:r w:rsidR="00AB2486" w:rsidRPr="005927F3">
        <w:rPr>
          <w:rFonts w:cstheme="minorHAnsi"/>
          <w:sz w:val="24"/>
          <w:szCs w:val="24"/>
        </w:rPr>
        <w:t xml:space="preserve">, </w:t>
      </w:r>
      <w:r w:rsidR="00C118F4" w:rsidRPr="005927F3">
        <w:rPr>
          <w:rFonts w:cstheme="minorHAnsi"/>
          <w:sz w:val="24"/>
          <w:szCs w:val="24"/>
        </w:rPr>
        <w:t>given</w:t>
      </w:r>
      <w:r w:rsidR="002B7990" w:rsidRPr="005927F3">
        <w:rPr>
          <w:rFonts w:cstheme="minorHAnsi"/>
          <w:sz w:val="24"/>
          <w:szCs w:val="24"/>
        </w:rPr>
        <w:t xml:space="preserve"> </w:t>
      </w:r>
      <w:r w:rsidR="00C118F4" w:rsidRPr="005927F3">
        <w:rPr>
          <w:rFonts w:cstheme="minorHAnsi"/>
          <w:sz w:val="24"/>
          <w:szCs w:val="24"/>
        </w:rPr>
        <w:t xml:space="preserve">US Supreme Court </w:t>
      </w:r>
      <w:r w:rsidR="004C588F" w:rsidRPr="005927F3">
        <w:rPr>
          <w:rFonts w:cstheme="minorHAnsi"/>
          <w:sz w:val="24"/>
          <w:szCs w:val="24"/>
        </w:rPr>
        <w:t>jurisprudence</w:t>
      </w:r>
      <w:r w:rsidR="00C118F4" w:rsidRPr="005927F3">
        <w:rPr>
          <w:rFonts w:cstheme="minorHAnsi"/>
          <w:sz w:val="24"/>
          <w:szCs w:val="24"/>
        </w:rPr>
        <w:t xml:space="preserve"> in the </w:t>
      </w:r>
      <w:r w:rsidR="002B7990" w:rsidRPr="005927F3">
        <w:rPr>
          <w:rFonts w:cstheme="minorHAnsi"/>
          <w:sz w:val="24"/>
          <w:szCs w:val="24"/>
        </w:rPr>
        <w:t>intervening years</w:t>
      </w:r>
      <w:r w:rsidR="00C118F4" w:rsidRPr="005927F3">
        <w:rPr>
          <w:rFonts w:cstheme="minorHAnsi"/>
          <w:sz w:val="24"/>
          <w:szCs w:val="24"/>
        </w:rPr>
        <w:t xml:space="preserve">. </w:t>
      </w:r>
      <w:r w:rsidR="00504555" w:rsidRPr="005927F3">
        <w:rPr>
          <w:rFonts w:cstheme="minorHAnsi"/>
          <w:sz w:val="24"/>
          <w:szCs w:val="24"/>
        </w:rPr>
        <w:t>So</w:t>
      </w:r>
      <w:r w:rsidR="002B7990" w:rsidRPr="005927F3">
        <w:rPr>
          <w:rFonts w:cstheme="minorHAnsi"/>
          <w:sz w:val="24"/>
          <w:szCs w:val="24"/>
        </w:rPr>
        <w:t xml:space="preserve"> the press could not be liable for publishing information that was neither false nor misleading and the information was either part of a </w:t>
      </w:r>
      <w:r w:rsidR="00464D86" w:rsidRPr="005927F3">
        <w:rPr>
          <w:rFonts w:cstheme="minorHAnsi"/>
          <w:sz w:val="24"/>
          <w:szCs w:val="24"/>
        </w:rPr>
        <w:t>‘</w:t>
      </w:r>
      <w:r w:rsidR="002B7990" w:rsidRPr="005927F3">
        <w:rPr>
          <w:rFonts w:cstheme="minorHAnsi"/>
          <w:sz w:val="24"/>
          <w:szCs w:val="24"/>
        </w:rPr>
        <w:t>public record</w:t>
      </w:r>
      <w:r w:rsidR="00464D86" w:rsidRPr="005927F3">
        <w:rPr>
          <w:rFonts w:cstheme="minorHAnsi"/>
          <w:sz w:val="24"/>
          <w:szCs w:val="24"/>
        </w:rPr>
        <w:t>’</w:t>
      </w:r>
      <w:r w:rsidR="002B7990" w:rsidRPr="005927F3">
        <w:rPr>
          <w:rFonts w:cstheme="minorHAnsi"/>
          <w:sz w:val="24"/>
          <w:szCs w:val="24"/>
        </w:rPr>
        <w:t xml:space="preserve"> or otherwise </w:t>
      </w:r>
      <w:r w:rsidR="00464D86" w:rsidRPr="005927F3">
        <w:rPr>
          <w:rFonts w:cstheme="minorHAnsi"/>
          <w:sz w:val="24"/>
          <w:szCs w:val="24"/>
        </w:rPr>
        <w:t>‘</w:t>
      </w:r>
      <w:r w:rsidR="002B7990" w:rsidRPr="005927F3">
        <w:rPr>
          <w:rFonts w:cstheme="minorHAnsi"/>
          <w:sz w:val="24"/>
          <w:szCs w:val="24"/>
        </w:rPr>
        <w:t>l</w:t>
      </w:r>
      <w:r w:rsidR="00004826" w:rsidRPr="005927F3">
        <w:rPr>
          <w:rFonts w:cstheme="minorHAnsi"/>
          <w:sz w:val="24"/>
          <w:szCs w:val="24"/>
        </w:rPr>
        <w:t>awfully</w:t>
      </w:r>
      <w:r w:rsidR="002B7990" w:rsidRPr="005927F3">
        <w:rPr>
          <w:rFonts w:cstheme="minorHAnsi"/>
          <w:sz w:val="24"/>
          <w:szCs w:val="24"/>
        </w:rPr>
        <w:t xml:space="preserve"> </w:t>
      </w:r>
      <w:r w:rsidR="00F800CB" w:rsidRPr="005927F3">
        <w:rPr>
          <w:rFonts w:cstheme="minorHAnsi"/>
          <w:sz w:val="24"/>
          <w:szCs w:val="24"/>
        </w:rPr>
        <w:t>obtained</w:t>
      </w:r>
      <w:r w:rsidR="00464D86" w:rsidRPr="005927F3">
        <w:rPr>
          <w:rFonts w:cstheme="minorHAnsi"/>
          <w:sz w:val="24"/>
          <w:szCs w:val="24"/>
        </w:rPr>
        <w:t>’</w:t>
      </w:r>
      <w:r w:rsidR="004E5AAF" w:rsidRPr="005927F3">
        <w:rPr>
          <w:rStyle w:val="FootnoteReference"/>
          <w:rFonts w:cstheme="minorHAnsi"/>
          <w:sz w:val="24"/>
          <w:szCs w:val="24"/>
        </w:rPr>
        <w:footnoteReference w:id="113"/>
      </w:r>
      <w:r w:rsidR="004E5AAF" w:rsidRPr="005927F3">
        <w:rPr>
          <w:rFonts w:cstheme="minorHAnsi"/>
          <w:sz w:val="24"/>
          <w:szCs w:val="24"/>
        </w:rPr>
        <w:t xml:space="preserve"> and</w:t>
      </w:r>
      <w:r w:rsidR="00E71F4A" w:rsidRPr="005927F3">
        <w:rPr>
          <w:rFonts w:cstheme="minorHAnsi"/>
          <w:sz w:val="24"/>
          <w:szCs w:val="24"/>
        </w:rPr>
        <w:t>,</w:t>
      </w:r>
      <w:r w:rsidR="004E5AAF" w:rsidRPr="005927F3">
        <w:rPr>
          <w:rFonts w:cstheme="minorHAnsi"/>
          <w:sz w:val="24"/>
          <w:szCs w:val="24"/>
        </w:rPr>
        <w:t xml:space="preserve"> at times</w:t>
      </w:r>
      <w:r w:rsidR="00E71F4A" w:rsidRPr="005927F3">
        <w:rPr>
          <w:rFonts w:cstheme="minorHAnsi"/>
          <w:sz w:val="24"/>
          <w:szCs w:val="24"/>
        </w:rPr>
        <w:t xml:space="preserve">, </w:t>
      </w:r>
      <w:r w:rsidR="00504555" w:rsidRPr="005927F3">
        <w:rPr>
          <w:rFonts w:cstheme="minorHAnsi"/>
          <w:sz w:val="24"/>
          <w:szCs w:val="24"/>
        </w:rPr>
        <w:t xml:space="preserve">even </w:t>
      </w:r>
      <w:r w:rsidR="004E5AAF" w:rsidRPr="005927F3">
        <w:rPr>
          <w:rFonts w:cstheme="minorHAnsi"/>
          <w:sz w:val="24"/>
          <w:szCs w:val="24"/>
        </w:rPr>
        <w:t>unlawfully.</w:t>
      </w:r>
      <w:r w:rsidR="004E5AAF" w:rsidRPr="005927F3">
        <w:rPr>
          <w:rStyle w:val="FootnoteReference"/>
          <w:rFonts w:cstheme="minorHAnsi"/>
          <w:sz w:val="24"/>
          <w:szCs w:val="24"/>
        </w:rPr>
        <w:footnoteReference w:id="114"/>
      </w:r>
      <w:r w:rsidR="004E5AAF" w:rsidRPr="005927F3">
        <w:rPr>
          <w:rFonts w:cstheme="minorHAnsi"/>
          <w:sz w:val="24"/>
          <w:szCs w:val="24"/>
        </w:rPr>
        <w:t xml:space="preserve"> </w:t>
      </w:r>
      <w:r w:rsidR="00F800CB" w:rsidRPr="005927F3">
        <w:rPr>
          <w:rFonts w:cstheme="minorHAnsi"/>
          <w:sz w:val="24"/>
          <w:szCs w:val="24"/>
        </w:rPr>
        <w:t xml:space="preserve"> Already in </w:t>
      </w:r>
      <w:r w:rsidR="00F800CB" w:rsidRPr="005927F3">
        <w:rPr>
          <w:rFonts w:cs="Verdana-Italic"/>
          <w:i/>
          <w:iCs/>
          <w:sz w:val="24"/>
          <w:szCs w:val="24"/>
        </w:rPr>
        <w:t>Cox Broadcasting Corp v Cohn</w:t>
      </w:r>
      <w:r w:rsidR="00F800CB" w:rsidRPr="005927F3">
        <w:rPr>
          <w:rFonts w:cstheme="minorHAnsi"/>
          <w:sz w:val="24"/>
          <w:szCs w:val="24"/>
        </w:rPr>
        <w:t xml:space="preserve"> (1975)</w:t>
      </w:r>
      <w:r w:rsidR="00F800CB" w:rsidRPr="005927F3">
        <w:rPr>
          <w:rStyle w:val="FootnoteReference"/>
          <w:rFonts w:cstheme="minorHAnsi"/>
          <w:sz w:val="24"/>
          <w:szCs w:val="24"/>
        </w:rPr>
        <w:footnoteReference w:id="115"/>
      </w:r>
      <w:r w:rsidR="00F800CB" w:rsidRPr="005927F3">
        <w:rPr>
          <w:rFonts w:cstheme="minorHAnsi"/>
          <w:sz w:val="24"/>
          <w:szCs w:val="24"/>
        </w:rPr>
        <w:t xml:space="preserve"> the Supreme Court had decided that ‘the interests in privacy fade when the information involved already appears on the public record [such as an official court record]’</w:t>
      </w:r>
      <w:r w:rsidR="00F800CB" w:rsidRPr="005927F3">
        <w:rPr>
          <w:rStyle w:val="FootnoteReference"/>
          <w:rFonts w:cstheme="minorHAnsi"/>
          <w:sz w:val="24"/>
          <w:szCs w:val="24"/>
        </w:rPr>
        <w:footnoteReference w:id="116"/>
      </w:r>
      <w:r w:rsidR="00004826" w:rsidRPr="005927F3">
        <w:rPr>
          <w:rFonts w:cstheme="minorHAnsi"/>
          <w:sz w:val="24"/>
          <w:szCs w:val="24"/>
        </w:rPr>
        <w:t xml:space="preserve"> and then restated </w:t>
      </w:r>
      <w:r w:rsidR="00464D86" w:rsidRPr="005927F3">
        <w:rPr>
          <w:rFonts w:cstheme="minorHAnsi"/>
          <w:sz w:val="24"/>
          <w:szCs w:val="24"/>
        </w:rPr>
        <w:t xml:space="preserve">this </w:t>
      </w:r>
      <w:r w:rsidR="00004826" w:rsidRPr="005927F3">
        <w:rPr>
          <w:rFonts w:cstheme="minorHAnsi"/>
          <w:sz w:val="24"/>
          <w:szCs w:val="24"/>
        </w:rPr>
        <w:t xml:space="preserve">more firmly in subsequent decisions: </w:t>
      </w:r>
      <w:r w:rsidR="00004826" w:rsidRPr="005927F3">
        <w:rPr>
          <w:rFonts w:cs="Verdana"/>
          <w:sz w:val="24"/>
          <w:szCs w:val="24"/>
        </w:rPr>
        <w:t>‘once the truthful information was ‘publicly revealed’ or ‘in the public domain’ the court could not constitutionally restrain its dissemination.’</w:t>
      </w:r>
      <w:r w:rsidR="006B2D5E" w:rsidRPr="005927F3">
        <w:rPr>
          <w:rStyle w:val="FootnoteReference"/>
          <w:rFonts w:cs="Verdana"/>
          <w:sz w:val="24"/>
          <w:szCs w:val="24"/>
        </w:rPr>
        <w:footnoteReference w:id="117"/>
      </w:r>
      <w:r w:rsidR="005552DA" w:rsidRPr="005927F3">
        <w:rPr>
          <w:rFonts w:cs="Verdana"/>
          <w:sz w:val="24"/>
          <w:szCs w:val="24"/>
        </w:rPr>
        <w:t xml:space="preserve"> </w:t>
      </w:r>
      <w:r w:rsidR="002A3F5A" w:rsidRPr="005927F3">
        <w:rPr>
          <w:rFonts w:cs="Verdana"/>
          <w:sz w:val="24"/>
          <w:szCs w:val="24"/>
        </w:rPr>
        <w:t xml:space="preserve">For the </w:t>
      </w:r>
      <w:r w:rsidR="00504555" w:rsidRPr="005927F3">
        <w:rPr>
          <w:rFonts w:cs="Verdana"/>
          <w:sz w:val="24"/>
          <w:szCs w:val="24"/>
        </w:rPr>
        <w:t>C</w:t>
      </w:r>
      <w:r w:rsidR="00A40953" w:rsidRPr="005927F3">
        <w:rPr>
          <w:rFonts w:cs="Verdana"/>
          <w:sz w:val="24"/>
          <w:szCs w:val="24"/>
        </w:rPr>
        <w:t xml:space="preserve">ourt in </w:t>
      </w:r>
      <w:r w:rsidR="00A40953" w:rsidRPr="005927F3">
        <w:rPr>
          <w:rFonts w:cs="Verdana"/>
          <w:i/>
          <w:iCs/>
          <w:sz w:val="24"/>
          <w:szCs w:val="24"/>
        </w:rPr>
        <w:t>Gates</w:t>
      </w:r>
      <w:r w:rsidR="005552DA" w:rsidRPr="005927F3">
        <w:rPr>
          <w:rFonts w:cs="Verdana"/>
          <w:sz w:val="24"/>
          <w:szCs w:val="24"/>
        </w:rPr>
        <w:t xml:space="preserve"> </w:t>
      </w:r>
      <w:r w:rsidR="002A3F5A" w:rsidRPr="005927F3">
        <w:rPr>
          <w:rFonts w:cs="Verdana"/>
          <w:sz w:val="24"/>
          <w:szCs w:val="24"/>
        </w:rPr>
        <w:t xml:space="preserve">this was </w:t>
      </w:r>
      <w:r w:rsidR="005552DA" w:rsidRPr="005927F3">
        <w:rPr>
          <w:rFonts w:cs="Verdana"/>
          <w:sz w:val="24"/>
          <w:szCs w:val="24"/>
        </w:rPr>
        <w:t>an ‘absolute right’ of the press and ‘unqualified’ ruling unaffected by the age of the public record</w:t>
      </w:r>
      <w:r w:rsidR="00A40953" w:rsidRPr="005927F3">
        <w:rPr>
          <w:rFonts w:cs="Verdana"/>
          <w:sz w:val="24"/>
          <w:szCs w:val="24"/>
        </w:rPr>
        <w:t>.</w:t>
      </w:r>
      <w:r w:rsidR="005552DA" w:rsidRPr="005927F3">
        <w:rPr>
          <w:rStyle w:val="FootnoteReference"/>
          <w:rFonts w:cs="Verdana"/>
          <w:sz w:val="24"/>
          <w:szCs w:val="24"/>
        </w:rPr>
        <w:footnoteReference w:id="118"/>
      </w:r>
      <w:r w:rsidR="000B03D0" w:rsidRPr="005927F3">
        <w:rPr>
          <w:rFonts w:cs="Verdana"/>
          <w:sz w:val="24"/>
          <w:szCs w:val="24"/>
        </w:rPr>
        <w:t xml:space="preserve"> </w:t>
      </w:r>
      <w:r w:rsidR="00495F3D" w:rsidRPr="005927F3">
        <w:rPr>
          <w:rFonts w:cs="Verdana"/>
          <w:sz w:val="24"/>
          <w:szCs w:val="24"/>
        </w:rPr>
        <w:t xml:space="preserve"> </w:t>
      </w:r>
    </w:p>
    <w:p w14:paraId="74172410" w14:textId="77777777" w:rsidR="00495F3D" w:rsidRPr="005927F3" w:rsidRDefault="00495F3D" w:rsidP="00495F3D">
      <w:pPr>
        <w:autoSpaceDE w:val="0"/>
        <w:autoSpaceDN w:val="0"/>
        <w:adjustRightInd w:val="0"/>
        <w:spacing w:after="0" w:line="240" w:lineRule="auto"/>
        <w:jc w:val="both"/>
        <w:rPr>
          <w:rFonts w:cs="Verdana"/>
          <w:sz w:val="24"/>
          <w:szCs w:val="24"/>
        </w:rPr>
      </w:pPr>
    </w:p>
    <w:p w14:paraId="7CA64F25" w14:textId="42B75079" w:rsidR="00D655C6" w:rsidRPr="00186A6E" w:rsidRDefault="002A3F5A" w:rsidP="0005102C">
      <w:pPr>
        <w:autoSpaceDE w:val="0"/>
        <w:autoSpaceDN w:val="0"/>
        <w:adjustRightInd w:val="0"/>
        <w:spacing w:after="0" w:line="240" w:lineRule="auto"/>
        <w:jc w:val="both"/>
        <w:rPr>
          <w:rFonts w:cstheme="minorHAnsi"/>
          <w:sz w:val="24"/>
          <w:szCs w:val="24"/>
        </w:rPr>
      </w:pPr>
      <w:r w:rsidRPr="005927F3">
        <w:rPr>
          <w:rFonts w:cs="Verdana"/>
          <w:sz w:val="24"/>
          <w:szCs w:val="24"/>
        </w:rPr>
        <w:t xml:space="preserve">Prosser </w:t>
      </w:r>
      <w:r w:rsidR="00495F3D" w:rsidRPr="005927F3">
        <w:rPr>
          <w:rFonts w:cstheme="minorHAnsi"/>
          <w:sz w:val="24"/>
          <w:szCs w:val="24"/>
        </w:rPr>
        <w:t>explained</w:t>
      </w:r>
      <w:r w:rsidRPr="005927F3">
        <w:rPr>
          <w:rFonts w:cstheme="minorHAnsi"/>
          <w:sz w:val="24"/>
          <w:szCs w:val="24"/>
        </w:rPr>
        <w:t xml:space="preserve"> </w:t>
      </w:r>
      <w:r w:rsidR="00AB2486" w:rsidRPr="005927F3">
        <w:rPr>
          <w:rFonts w:cstheme="minorHAnsi"/>
          <w:sz w:val="24"/>
          <w:szCs w:val="24"/>
        </w:rPr>
        <w:t>US</w:t>
      </w:r>
      <w:r w:rsidRPr="005927F3">
        <w:rPr>
          <w:rFonts w:cstheme="minorHAnsi"/>
          <w:sz w:val="24"/>
          <w:szCs w:val="24"/>
        </w:rPr>
        <w:t xml:space="preserve"> hostility to privacy in public on the basis that anyone</w:t>
      </w:r>
      <w:r w:rsidR="0005102C" w:rsidRPr="005927F3">
        <w:rPr>
          <w:rFonts w:cstheme="minorHAnsi"/>
          <w:sz w:val="24"/>
          <w:szCs w:val="24"/>
        </w:rPr>
        <w:t xml:space="preserve"> ’who is not a hermit must expect the </w:t>
      </w:r>
      <w:proofErr w:type="gramStart"/>
      <w:r w:rsidR="0005102C" w:rsidRPr="005927F3">
        <w:rPr>
          <w:rFonts w:cstheme="minorHAnsi"/>
          <w:sz w:val="24"/>
          <w:szCs w:val="24"/>
        </w:rPr>
        <w:t>more or less casual</w:t>
      </w:r>
      <w:proofErr w:type="gramEnd"/>
      <w:r w:rsidR="0005102C" w:rsidRPr="005927F3">
        <w:rPr>
          <w:rFonts w:cstheme="minorHAnsi"/>
          <w:sz w:val="24"/>
          <w:szCs w:val="24"/>
        </w:rPr>
        <w:t xml:space="preserve"> observation of his neighbours and the passing public as to what he is and does, and some reporting of his daily activities… The law of privacy is not intended for the protection of any shrinking soul…’</w:t>
      </w:r>
      <w:r w:rsidR="0005102C" w:rsidRPr="005927F3">
        <w:rPr>
          <w:rStyle w:val="FootnoteReference"/>
          <w:rFonts w:cstheme="minorHAnsi"/>
          <w:sz w:val="24"/>
          <w:szCs w:val="24"/>
        </w:rPr>
        <w:footnoteReference w:id="119"/>
      </w:r>
      <w:r w:rsidR="0005102C" w:rsidRPr="005927F3">
        <w:rPr>
          <w:rFonts w:cstheme="minorHAnsi"/>
          <w:sz w:val="24"/>
          <w:szCs w:val="24"/>
        </w:rPr>
        <w:t xml:space="preserve"> </w:t>
      </w:r>
      <w:r w:rsidR="00504555" w:rsidRPr="005927F3">
        <w:rPr>
          <w:rFonts w:cstheme="minorHAnsi"/>
          <w:sz w:val="24"/>
          <w:szCs w:val="24"/>
        </w:rPr>
        <w:t>In the internet</w:t>
      </w:r>
      <w:r w:rsidR="00BC108D" w:rsidRPr="005927F3">
        <w:rPr>
          <w:rFonts w:cstheme="minorHAnsi"/>
          <w:sz w:val="24"/>
          <w:szCs w:val="24"/>
        </w:rPr>
        <w:t xml:space="preserve"> age</w:t>
      </w:r>
      <w:r w:rsidRPr="005927F3">
        <w:rPr>
          <w:rFonts w:cstheme="minorHAnsi"/>
          <w:sz w:val="24"/>
          <w:szCs w:val="24"/>
        </w:rPr>
        <w:t xml:space="preserve">, however, </w:t>
      </w:r>
      <w:r w:rsidR="00495F3D" w:rsidRPr="005927F3">
        <w:rPr>
          <w:rFonts w:cstheme="minorHAnsi"/>
          <w:sz w:val="24"/>
          <w:szCs w:val="24"/>
        </w:rPr>
        <w:t xml:space="preserve">public exposure </w:t>
      </w:r>
      <w:r w:rsidR="00BC108D" w:rsidRPr="005927F3">
        <w:rPr>
          <w:rFonts w:cstheme="minorHAnsi"/>
          <w:sz w:val="24"/>
          <w:szCs w:val="24"/>
        </w:rPr>
        <w:t>is often far</w:t>
      </w:r>
      <w:r w:rsidR="00495F3D" w:rsidRPr="005927F3">
        <w:rPr>
          <w:rFonts w:cstheme="minorHAnsi"/>
          <w:sz w:val="24"/>
          <w:szCs w:val="24"/>
        </w:rPr>
        <w:t xml:space="preserve"> more extensive and damaging than the ‘casual observation of </w:t>
      </w:r>
      <w:r w:rsidR="00CF669F" w:rsidRPr="005927F3">
        <w:rPr>
          <w:rFonts w:cstheme="minorHAnsi"/>
          <w:sz w:val="24"/>
          <w:szCs w:val="24"/>
        </w:rPr>
        <w:t xml:space="preserve">one’s </w:t>
      </w:r>
      <w:r w:rsidR="00495F3D" w:rsidRPr="005927F3">
        <w:rPr>
          <w:rFonts w:cstheme="minorHAnsi"/>
          <w:sz w:val="24"/>
          <w:szCs w:val="24"/>
        </w:rPr>
        <w:lastRenderedPageBreak/>
        <w:t xml:space="preserve">neighbours and the passing public’. </w:t>
      </w:r>
      <w:r w:rsidR="00CF669F" w:rsidRPr="005927F3">
        <w:rPr>
          <w:rFonts w:cstheme="minorHAnsi"/>
          <w:sz w:val="24"/>
          <w:szCs w:val="24"/>
        </w:rPr>
        <w:t>Still</w:t>
      </w:r>
      <w:r w:rsidR="00BC108D" w:rsidRPr="005927F3">
        <w:rPr>
          <w:rFonts w:cstheme="minorHAnsi"/>
          <w:sz w:val="24"/>
          <w:szCs w:val="24"/>
        </w:rPr>
        <w:t>,</w:t>
      </w:r>
      <w:r w:rsidR="00495F3D" w:rsidRPr="005927F3">
        <w:rPr>
          <w:rFonts w:cstheme="minorHAnsi"/>
          <w:sz w:val="24"/>
          <w:szCs w:val="24"/>
        </w:rPr>
        <w:t xml:space="preserve"> Americans </w:t>
      </w:r>
      <w:r w:rsidR="00A40953" w:rsidRPr="005927F3">
        <w:rPr>
          <w:rFonts w:cstheme="minorHAnsi"/>
          <w:sz w:val="24"/>
          <w:szCs w:val="24"/>
        </w:rPr>
        <w:t>whose</w:t>
      </w:r>
      <w:r w:rsidR="00495F3D" w:rsidRPr="005927F3">
        <w:rPr>
          <w:rFonts w:cstheme="minorHAnsi"/>
          <w:sz w:val="24"/>
          <w:szCs w:val="24"/>
        </w:rPr>
        <w:t xml:space="preserve"> reputation </w:t>
      </w:r>
      <w:r w:rsidR="00504555" w:rsidRPr="005927F3">
        <w:rPr>
          <w:rFonts w:cstheme="minorHAnsi"/>
          <w:sz w:val="24"/>
          <w:szCs w:val="24"/>
        </w:rPr>
        <w:t xml:space="preserve">may </w:t>
      </w:r>
      <w:r w:rsidR="00A87986" w:rsidRPr="005927F3">
        <w:rPr>
          <w:rFonts w:cstheme="minorHAnsi"/>
          <w:sz w:val="24"/>
          <w:szCs w:val="24"/>
        </w:rPr>
        <w:t xml:space="preserve">potentially </w:t>
      </w:r>
      <w:r w:rsidR="00504555" w:rsidRPr="005927F3">
        <w:rPr>
          <w:rFonts w:cstheme="minorHAnsi"/>
          <w:sz w:val="24"/>
          <w:szCs w:val="24"/>
        </w:rPr>
        <w:t>indefinitely be</w:t>
      </w:r>
      <w:r w:rsidR="00495F3D" w:rsidRPr="005927F3">
        <w:rPr>
          <w:rFonts w:cstheme="minorHAnsi"/>
          <w:sz w:val="24"/>
          <w:szCs w:val="24"/>
        </w:rPr>
        <w:t xml:space="preserve"> damaged </w:t>
      </w:r>
      <w:r w:rsidR="00A40953" w:rsidRPr="005927F3">
        <w:rPr>
          <w:rFonts w:cstheme="minorHAnsi"/>
          <w:sz w:val="24"/>
          <w:szCs w:val="24"/>
        </w:rPr>
        <w:t>due</w:t>
      </w:r>
      <w:r w:rsidR="00A87986" w:rsidRPr="005927F3">
        <w:rPr>
          <w:rFonts w:cstheme="minorHAnsi"/>
          <w:sz w:val="24"/>
          <w:szCs w:val="24"/>
        </w:rPr>
        <w:t xml:space="preserve"> to</w:t>
      </w:r>
      <w:r w:rsidR="00A40953" w:rsidRPr="005927F3">
        <w:rPr>
          <w:rFonts w:cstheme="minorHAnsi"/>
          <w:sz w:val="24"/>
          <w:szCs w:val="24"/>
        </w:rPr>
        <w:t xml:space="preserve"> </w:t>
      </w:r>
      <w:r w:rsidR="00495F3D" w:rsidRPr="005927F3">
        <w:rPr>
          <w:rFonts w:cstheme="minorHAnsi"/>
          <w:sz w:val="24"/>
          <w:szCs w:val="24"/>
        </w:rPr>
        <w:t xml:space="preserve">online exposure </w:t>
      </w:r>
      <w:r w:rsidR="00A40953" w:rsidRPr="005927F3">
        <w:rPr>
          <w:rFonts w:cstheme="minorHAnsi"/>
          <w:sz w:val="24"/>
          <w:szCs w:val="24"/>
        </w:rPr>
        <w:t>are left to their own devices</w:t>
      </w:r>
      <w:r w:rsidR="00A87986" w:rsidRPr="005927F3">
        <w:rPr>
          <w:rFonts w:cstheme="minorHAnsi"/>
          <w:sz w:val="24"/>
          <w:szCs w:val="24"/>
        </w:rPr>
        <w:t xml:space="preserve"> and to</w:t>
      </w:r>
      <w:r w:rsidR="00495F3D" w:rsidRPr="005927F3">
        <w:rPr>
          <w:rFonts w:cstheme="minorHAnsi"/>
          <w:sz w:val="24"/>
          <w:szCs w:val="24"/>
        </w:rPr>
        <w:t xml:space="preserve"> market-based solutions </w:t>
      </w:r>
      <w:r w:rsidR="00504555" w:rsidRPr="005927F3">
        <w:rPr>
          <w:rFonts w:cstheme="minorHAnsi"/>
          <w:sz w:val="24"/>
          <w:szCs w:val="24"/>
        </w:rPr>
        <w:t xml:space="preserve">(with all its attendant inequities) </w:t>
      </w:r>
      <w:r w:rsidR="00495F3D" w:rsidRPr="005927F3">
        <w:rPr>
          <w:rFonts w:cstheme="minorHAnsi"/>
          <w:sz w:val="24"/>
          <w:szCs w:val="24"/>
        </w:rPr>
        <w:t xml:space="preserve">to </w:t>
      </w:r>
      <w:r w:rsidR="00A40953" w:rsidRPr="005927F3">
        <w:rPr>
          <w:rFonts w:cstheme="minorHAnsi"/>
          <w:sz w:val="24"/>
          <w:szCs w:val="24"/>
        </w:rPr>
        <w:t>rectify their public</w:t>
      </w:r>
      <w:r w:rsidR="00495F3D" w:rsidRPr="005927F3">
        <w:rPr>
          <w:rFonts w:cstheme="minorHAnsi"/>
          <w:sz w:val="24"/>
          <w:szCs w:val="24"/>
        </w:rPr>
        <w:t xml:space="preserve"> image</w:t>
      </w:r>
      <w:r w:rsidR="00A40953" w:rsidRPr="005927F3">
        <w:rPr>
          <w:rFonts w:cstheme="minorHAnsi"/>
          <w:sz w:val="24"/>
          <w:szCs w:val="24"/>
        </w:rPr>
        <w:t xml:space="preserve"> and </w:t>
      </w:r>
      <w:r w:rsidR="00CF669F" w:rsidRPr="005927F3">
        <w:rPr>
          <w:rFonts w:cstheme="minorHAnsi"/>
          <w:sz w:val="24"/>
          <w:szCs w:val="24"/>
        </w:rPr>
        <w:t xml:space="preserve">to try to </w:t>
      </w:r>
      <w:r w:rsidR="00A40953" w:rsidRPr="005927F3">
        <w:rPr>
          <w:rFonts w:cstheme="minorHAnsi"/>
          <w:sz w:val="24"/>
          <w:szCs w:val="24"/>
        </w:rPr>
        <w:t>regain an honourable position in society</w:t>
      </w:r>
      <w:r w:rsidR="00504555" w:rsidRPr="005927F3">
        <w:rPr>
          <w:rFonts w:cstheme="minorHAnsi"/>
          <w:sz w:val="24"/>
          <w:szCs w:val="24"/>
        </w:rPr>
        <w:t>.</w:t>
      </w:r>
      <w:r w:rsidR="00495F3D" w:rsidRPr="005927F3">
        <w:rPr>
          <w:rStyle w:val="FootnoteReference"/>
          <w:rFonts w:cstheme="minorHAnsi"/>
          <w:sz w:val="24"/>
          <w:szCs w:val="24"/>
        </w:rPr>
        <w:footnoteReference w:id="120"/>
      </w:r>
      <w:r w:rsidR="00495F3D" w:rsidRPr="005927F3">
        <w:rPr>
          <w:rFonts w:cstheme="minorHAnsi"/>
          <w:sz w:val="24"/>
          <w:szCs w:val="24"/>
        </w:rPr>
        <w:t xml:space="preserve"> </w:t>
      </w:r>
      <w:r w:rsidR="00A40953" w:rsidRPr="005927F3">
        <w:rPr>
          <w:rFonts w:cstheme="minorHAnsi"/>
          <w:sz w:val="24"/>
          <w:szCs w:val="24"/>
        </w:rPr>
        <w:t xml:space="preserve">Private initiatives </w:t>
      </w:r>
      <w:r w:rsidR="00BC108D" w:rsidRPr="005927F3">
        <w:rPr>
          <w:rFonts w:cstheme="minorHAnsi"/>
          <w:sz w:val="24"/>
          <w:szCs w:val="24"/>
        </w:rPr>
        <w:t xml:space="preserve">must </w:t>
      </w:r>
      <w:r w:rsidR="00A40953" w:rsidRPr="005927F3">
        <w:rPr>
          <w:rFonts w:cstheme="minorHAnsi"/>
          <w:sz w:val="24"/>
          <w:szCs w:val="24"/>
        </w:rPr>
        <w:t>provide the answer to social rehabilitation</w:t>
      </w:r>
      <w:r w:rsidR="00BC108D" w:rsidRPr="005927F3">
        <w:rPr>
          <w:rFonts w:cstheme="minorHAnsi"/>
          <w:sz w:val="24"/>
          <w:szCs w:val="24"/>
        </w:rPr>
        <w:t xml:space="preserve">, </w:t>
      </w:r>
      <w:r w:rsidR="00CF669F" w:rsidRPr="005927F3">
        <w:rPr>
          <w:rFonts w:cstheme="minorHAnsi"/>
          <w:sz w:val="24"/>
          <w:szCs w:val="24"/>
        </w:rPr>
        <w:t>not the State. These private initiatives</w:t>
      </w:r>
      <w:r w:rsidR="00BC108D" w:rsidRPr="005927F3">
        <w:rPr>
          <w:rFonts w:cstheme="minorHAnsi"/>
          <w:sz w:val="24"/>
          <w:szCs w:val="24"/>
        </w:rPr>
        <w:t xml:space="preserve"> may come from platforms</w:t>
      </w:r>
      <w:r w:rsidR="00585BB2" w:rsidRPr="005927F3">
        <w:rPr>
          <w:rFonts w:cstheme="minorHAnsi"/>
          <w:sz w:val="24"/>
          <w:szCs w:val="24"/>
        </w:rPr>
        <w:t xml:space="preserve"> without </w:t>
      </w:r>
      <w:r w:rsidR="00CF669F" w:rsidRPr="00186A6E">
        <w:rPr>
          <w:rFonts w:cstheme="minorHAnsi"/>
          <w:sz w:val="24"/>
          <w:szCs w:val="24"/>
        </w:rPr>
        <w:t xml:space="preserve">any danger of </w:t>
      </w:r>
      <w:r w:rsidR="00585BB2" w:rsidRPr="00186A6E">
        <w:rPr>
          <w:rFonts w:cstheme="minorHAnsi"/>
          <w:sz w:val="24"/>
          <w:szCs w:val="24"/>
        </w:rPr>
        <w:t>offending US constitutionality</w:t>
      </w:r>
      <w:r w:rsidR="00BC108D" w:rsidRPr="00186A6E">
        <w:rPr>
          <w:rFonts w:cstheme="minorHAnsi"/>
          <w:sz w:val="24"/>
          <w:szCs w:val="24"/>
        </w:rPr>
        <w:t xml:space="preserve">. </w:t>
      </w:r>
      <w:r w:rsidR="00504555" w:rsidRPr="00186A6E">
        <w:rPr>
          <w:rFonts w:cstheme="minorHAnsi"/>
          <w:sz w:val="24"/>
          <w:szCs w:val="24"/>
        </w:rPr>
        <w:t>Thus, despite its protest to the</w:t>
      </w:r>
      <w:r w:rsidR="00585BB2" w:rsidRPr="00186A6E">
        <w:rPr>
          <w:rFonts w:cstheme="minorHAnsi"/>
          <w:sz w:val="24"/>
          <w:szCs w:val="24"/>
        </w:rPr>
        <w:t xml:space="preserve"> EU </w:t>
      </w:r>
      <w:r w:rsidR="00504555" w:rsidRPr="00186A6E">
        <w:rPr>
          <w:rFonts w:cstheme="minorHAnsi"/>
          <w:sz w:val="24"/>
          <w:szCs w:val="24"/>
        </w:rPr>
        <w:t xml:space="preserve">right to be forgotten, Google has now </w:t>
      </w:r>
      <w:proofErr w:type="gramStart"/>
      <w:r w:rsidR="00504555" w:rsidRPr="00186A6E">
        <w:rPr>
          <w:rFonts w:cstheme="minorHAnsi"/>
          <w:sz w:val="24"/>
          <w:szCs w:val="24"/>
        </w:rPr>
        <w:t xml:space="preserve">extended </w:t>
      </w:r>
      <w:r w:rsidR="002558A7" w:rsidRPr="00641E7B">
        <w:rPr>
          <w:rFonts w:cstheme="minorHAnsi"/>
          <w:sz w:val="24"/>
          <w:szCs w:val="24"/>
        </w:rPr>
        <w:t xml:space="preserve"> a</w:t>
      </w:r>
      <w:proofErr w:type="gramEnd"/>
      <w:r w:rsidR="002558A7" w:rsidRPr="00641E7B">
        <w:rPr>
          <w:rFonts w:cstheme="minorHAnsi"/>
          <w:sz w:val="24"/>
          <w:szCs w:val="24"/>
        </w:rPr>
        <w:t xml:space="preserve"> limited version of the EU right of be forgotten to its users in the US;</w:t>
      </w:r>
      <w:r w:rsidR="00504555" w:rsidRPr="00186A6E">
        <w:rPr>
          <w:rFonts w:cstheme="minorHAnsi"/>
          <w:sz w:val="24"/>
          <w:szCs w:val="24"/>
        </w:rPr>
        <w:t>.</w:t>
      </w:r>
      <w:r w:rsidR="00504555" w:rsidRPr="00186A6E">
        <w:rPr>
          <w:rStyle w:val="FootnoteReference"/>
          <w:rFonts w:cstheme="minorHAnsi"/>
          <w:sz w:val="24"/>
          <w:szCs w:val="24"/>
        </w:rPr>
        <w:footnoteReference w:id="121"/>
      </w:r>
      <w:r w:rsidR="00585BB2" w:rsidRPr="00186A6E">
        <w:rPr>
          <w:rFonts w:cstheme="minorHAnsi"/>
          <w:sz w:val="24"/>
          <w:szCs w:val="24"/>
        </w:rPr>
        <w:t xml:space="preserve"> </w:t>
      </w:r>
      <w:r w:rsidR="002558A7" w:rsidRPr="00641E7B">
        <w:rPr>
          <w:rFonts w:cstheme="minorHAnsi"/>
          <w:sz w:val="24"/>
          <w:szCs w:val="24"/>
        </w:rPr>
        <w:t>Y</w:t>
      </w:r>
      <w:r w:rsidR="00CF669F" w:rsidRPr="00186A6E">
        <w:rPr>
          <w:rFonts w:cstheme="minorHAnsi"/>
          <w:sz w:val="24"/>
          <w:szCs w:val="24"/>
        </w:rPr>
        <w:t xml:space="preserve">et </w:t>
      </w:r>
      <w:r w:rsidR="00585BB2" w:rsidRPr="00186A6E">
        <w:rPr>
          <w:rFonts w:cstheme="minorHAnsi"/>
          <w:sz w:val="24"/>
          <w:szCs w:val="24"/>
        </w:rPr>
        <w:t xml:space="preserve">there is of course </w:t>
      </w:r>
      <w:r w:rsidR="00AB2486" w:rsidRPr="00186A6E">
        <w:rPr>
          <w:rFonts w:cstheme="minorHAnsi"/>
          <w:sz w:val="24"/>
          <w:szCs w:val="24"/>
        </w:rPr>
        <w:t xml:space="preserve">much </w:t>
      </w:r>
      <w:r w:rsidR="00585BB2" w:rsidRPr="00186A6E">
        <w:rPr>
          <w:rFonts w:cstheme="minorHAnsi"/>
          <w:sz w:val="24"/>
          <w:szCs w:val="24"/>
        </w:rPr>
        <w:t>difference between a legal right</w:t>
      </w:r>
      <w:r w:rsidR="00CF669F" w:rsidRPr="00186A6E">
        <w:rPr>
          <w:rFonts w:cstheme="minorHAnsi"/>
          <w:sz w:val="24"/>
          <w:szCs w:val="24"/>
        </w:rPr>
        <w:t xml:space="preserve"> (and attached remedies)</w:t>
      </w:r>
      <w:r w:rsidR="00585BB2" w:rsidRPr="00186A6E">
        <w:rPr>
          <w:rFonts w:cstheme="minorHAnsi"/>
          <w:sz w:val="24"/>
          <w:szCs w:val="24"/>
        </w:rPr>
        <w:t xml:space="preserve"> and a voluntar</w:t>
      </w:r>
      <w:r w:rsidR="00CF669F" w:rsidRPr="00186A6E">
        <w:rPr>
          <w:rFonts w:cstheme="minorHAnsi"/>
          <w:sz w:val="24"/>
          <w:szCs w:val="24"/>
        </w:rPr>
        <w:t>ily</w:t>
      </w:r>
      <w:r w:rsidR="00585BB2" w:rsidRPr="00186A6E">
        <w:rPr>
          <w:rFonts w:cstheme="minorHAnsi"/>
          <w:sz w:val="24"/>
          <w:szCs w:val="24"/>
        </w:rPr>
        <w:t xml:space="preserve"> granted corporate concession. </w:t>
      </w:r>
    </w:p>
    <w:p w14:paraId="3722EA11" w14:textId="517A629F" w:rsidR="00AB2486" w:rsidRPr="00186A6E" w:rsidRDefault="00AB2486" w:rsidP="0005102C">
      <w:pPr>
        <w:autoSpaceDE w:val="0"/>
        <w:autoSpaceDN w:val="0"/>
        <w:adjustRightInd w:val="0"/>
        <w:spacing w:after="0" w:line="240" w:lineRule="auto"/>
        <w:jc w:val="both"/>
        <w:rPr>
          <w:rFonts w:cstheme="minorHAnsi"/>
          <w:sz w:val="24"/>
          <w:szCs w:val="24"/>
        </w:rPr>
      </w:pPr>
    </w:p>
    <w:p w14:paraId="5F263C6F" w14:textId="53EAD7F3" w:rsidR="00AB2486" w:rsidRPr="005927F3" w:rsidRDefault="002C0EE8" w:rsidP="0005102C">
      <w:pPr>
        <w:autoSpaceDE w:val="0"/>
        <w:autoSpaceDN w:val="0"/>
        <w:adjustRightInd w:val="0"/>
        <w:spacing w:after="0" w:line="240" w:lineRule="auto"/>
        <w:jc w:val="both"/>
        <w:rPr>
          <w:rFonts w:cs="Verdana"/>
          <w:sz w:val="24"/>
          <w:szCs w:val="24"/>
        </w:rPr>
      </w:pPr>
      <w:r w:rsidRPr="00186A6E">
        <w:rPr>
          <w:rFonts w:cstheme="minorHAnsi"/>
          <w:sz w:val="24"/>
          <w:szCs w:val="24"/>
        </w:rPr>
        <w:t>This ‘negative’</w:t>
      </w:r>
      <w:r w:rsidR="00AB2486" w:rsidRPr="00186A6E">
        <w:rPr>
          <w:rFonts w:cstheme="minorHAnsi"/>
          <w:sz w:val="24"/>
          <w:szCs w:val="24"/>
        </w:rPr>
        <w:t xml:space="preserve"> jurisprudence </w:t>
      </w:r>
      <w:r w:rsidRPr="00186A6E">
        <w:rPr>
          <w:rFonts w:cstheme="minorHAnsi"/>
          <w:sz w:val="24"/>
          <w:szCs w:val="24"/>
        </w:rPr>
        <w:t xml:space="preserve">by US courts </w:t>
      </w:r>
      <w:r w:rsidR="00AB2486" w:rsidRPr="00186A6E">
        <w:rPr>
          <w:rFonts w:cstheme="minorHAnsi"/>
          <w:sz w:val="24"/>
          <w:szCs w:val="24"/>
        </w:rPr>
        <w:t>on the right to be forgotten</w:t>
      </w:r>
      <w:r w:rsidR="00904277" w:rsidRPr="00186A6E">
        <w:rPr>
          <w:rFonts w:cstheme="minorHAnsi"/>
          <w:sz w:val="24"/>
          <w:szCs w:val="24"/>
        </w:rPr>
        <w:t xml:space="preserve"> is still instructive</w:t>
      </w:r>
      <w:r w:rsidR="000B0A9E">
        <w:rPr>
          <w:rFonts w:cstheme="minorHAnsi"/>
          <w:sz w:val="24"/>
          <w:szCs w:val="24"/>
        </w:rPr>
        <w:t xml:space="preserve"> </w:t>
      </w:r>
      <w:proofErr w:type="gramStart"/>
      <w:r w:rsidR="000B0A9E">
        <w:rPr>
          <w:rFonts w:cstheme="minorHAnsi"/>
          <w:sz w:val="24"/>
          <w:szCs w:val="24"/>
        </w:rPr>
        <w:t>on</w:t>
      </w:r>
      <w:r w:rsidR="00904277" w:rsidRPr="00186A6E">
        <w:rPr>
          <w:rFonts w:cstheme="minorHAnsi"/>
          <w:sz w:val="24"/>
          <w:szCs w:val="24"/>
        </w:rPr>
        <w:t xml:space="preserve"> </w:t>
      </w:r>
      <w:r w:rsidR="00197DAD" w:rsidRPr="00186A6E">
        <w:rPr>
          <w:rFonts w:cstheme="minorHAnsi"/>
          <w:sz w:val="24"/>
          <w:szCs w:val="24"/>
        </w:rPr>
        <w:t xml:space="preserve"> how</w:t>
      </w:r>
      <w:proofErr w:type="gramEnd"/>
      <w:r w:rsidR="00F90CDE" w:rsidRPr="00186A6E">
        <w:rPr>
          <w:rFonts w:cstheme="minorHAnsi"/>
          <w:sz w:val="24"/>
          <w:szCs w:val="24"/>
        </w:rPr>
        <w:t xml:space="preserve"> th</w:t>
      </w:r>
      <w:r w:rsidR="00315107" w:rsidRPr="00186A6E">
        <w:rPr>
          <w:rFonts w:cstheme="minorHAnsi"/>
          <w:sz w:val="24"/>
          <w:szCs w:val="24"/>
        </w:rPr>
        <w:t>e</w:t>
      </w:r>
      <w:r w:rsidR="00F90CDE" w:rsidRPr="00186A6E">
        <w:rPr>
          <w:rFonts w:cstheme="minorHAnsi"/>
          <w:sz w:val="24"/>
          <w:szCs w:val="24"/>
        </w:rPr>
        <w:t xml:space="preserve"> right could</w:t>
      </w:r>
      <w:r w:rsidR="00A6287F" w:rsidRPr="00186A6E">
        <w:rPr>
          <w:rFonts w:cstheme="minorHAnsi"/>
          <w:sz w:val="24"/>
          <w:szCs w:val="24"/>
        </w:rPr>
        <w:t>,</w:t>
      </w:r>
      <w:r w:rsidR="00F90CDE" w:rsidRPr="00186A6E">
        <w:rPr>
          <w:rFonts w:cstheme="minorHAnsi"/>
          <w:sz w:val="24"/>
          <w:szCs w:val="24"/>
        </w:rPr>
        <w:t xml:space="preserve"> </w:t>
      </w:r>
      <w:r w:rsidR="00D90FF2" w:rsidRPr="00186A6E">
        <w:rPr>
          <w:rFonts w:cstheme="minorHAnsi"/>
          <w:sz w:val="24"/>
          <w:szCs w:val="24"/>
        </w:rPr>
        <w:t>in theory</w:t>
      </w:r>
      <w:r w:rsidR="00A6287F" w:rsidRPr="00186A6E">
        <w:rPr>
          <w:rFonts w:cstheme="minorHAnsi"/>
          <w:sz w:val="24"/>
          <w:szCs w:val="24"/>
        </w:rPr>
        <w:t>,</w:t>
      </w:r>
      <w:r w:rsidR="00D90FF2" w:rsidRPr="00186A6E">
        <w:rPr>
          <w:rFonts w:cstheme="minorHAnsi"/>
          <w:sz w:val="24"/>
          <w:szCs w:val="24"/>
        </w:rPr>
        <w:t xml:space="preserve"> </w:t>
      </w:r>
      <w:r w:rsidR="00F90CDE" w:rsidRPr="00186A6E">
        <w:rPr>
          <w:rFonts w:cstheme="minorHAnsi"/>
          <w:sz w:val="24"/>
          <w:szCs w:val="24"/>
        </w:rPr>
        <w:t>exist</w:t>
      </w:r>
      <w:r w:rsidR="00197DAD" w:rsidRPr="00186A6E">
        <w:rPr>
          <w:rFonts w:cstheme="minorHAnsi"/>
          <w:sz w:val="24"/>
          <w:szCs w:val="24"/>
        </w:rPr>
        <w:t xml:space="preserve"> </w:t>
      </w:r>
      <w:r w:rsidR="00F90CDE" w:rsidRPr="00186A6E">
        <w:rPr>
          <w:rFonts w:cstheme="minorHAnsi"/>
          <w:sz w:val="24"/>
          <w:szCs w:val="24"/>
        </w:rPr>
        <w:t>within</w:t>
      </w:r>
      <w:r w:rsidR="00315107" w:rsidRPr="00186A6E">
        <w:rPr>
          <w:rFonts w:cstheme="minorHAnsi"/>
          <w:sz w:val="24"/>
          <w:szCs w:val="24"/>
        </w:rPr>
        <w:t xml:space="preserve"> a</w:t>
      </w:r>
      <w:r w:rsidR="000051C7" w:rsidRPr="00186A6E">
        <w:rPr>
          <w:rFonts w:cstheme="minorHAnsi"/>
          <w:sz w:val="24"/>
          <w:szCs w:val="24"/>
        </w:rPr>
        <w:t xml:space="preserve"> ‘standard’</w:t>
      </w:r>
      <w:r w:rsidR="00F90CDE" w:rsidRPr="00186A6E">
        <w:rPr>
          <w:rFonts w:cstheme="minorHAnsi"/>
          <w:sz w:val="24"/>
          <w:szCs w:val="24"/>
        </w:rPr>
        <w:t xml:space="preserve"> privacy </w:t>
      </w:r>
      <w:r w:rsidR="00315107" w:rsidRPr="00186A6E">
        <w:rPr>
          <w:rFonts w:cstheme="minorHAnsi"/>
          <w:sz w:val="24"/>
          <w:szCs w:val="24"/>
        </w:rPr>
        <w:t>regime</w:t>
      </w:r>
      <w:r w:rsidR="00A6287F" w:rsidRPr="00186A6E">
        <w:rPr>
          <w:rFonts w:cstheme="minorHAnsi"/>
          <w:sz w:val="24"/>
          <w:szCs w:val="24"/>
        </w:rPr>
        <w:t>.</w:t>
      </w:r>
      <w:r w:rsidR="00EF15E7" w:rsidRPr="00186A6E">
        <w:rPr>
          <w:rFonts w:cstheme="minorHAnsi"/>
          <w:sz w:val="24"/>
          <w:szCs w:val="24"/>
        </w:rPr>
        <w:t xml:space="preserve"> In other words, it is </w:t>
      </w:r>
      <w:r w:rsidR="000051C7" w:rsidRPr="00186A6E">
        <w:rPr>
          <w:rFonts w:cstheme="minorHAnsi"/>
          <w:sz w:val="24"/>
          <w:szCs w:val="24"/>
        </w:rPr>
        <w:t xml:space="preserve">not </w:t>
      </w:r>
      <w:r w:rsidR="00EF15E7" w:rsidRPr="00186A6E">
        <w:rPr>
          <w:rFonts w:cstheme="minorHAnsi"/>
          <w:sz w:val="24"/>
          <w:szCs w:val="24"/>
        </w:rPr>
        <w:t xml:space="preserve">intrinsically </w:t>
      </w:r>
      <w:r w:rsidR="000051C7" w:rsidRPr="00186A6E">
        <w:rPr>
          <w:rFonts w:cstheme="minorHAnsi"/>
          <w:sz w:val="24"/>
          <w:szCs w:val="24"/>
        </w:rPr>
        <w:t xml:space="preserve">wedded to </w:t>
      </w:r>
      <w:r w:rsidR="00EF15E7" w:rsidRPr="00186A6E">
        <w:rPr>
          <w:rFonts w:cstheme="minorHAnsi"/>
          <w:sz w:val="24"/>
          <w:szCs w:val="24"/>
        </w:rPr>
        <w:t>data</w:t>
      </w:r>
      <w:r w:rsidR="00EF15E7" w:rsidRPr="005927F3">
        <w:rPr>
          <w:rFonts w:cstheme="minorHAnsi"/>
          <w:sz w:val="24"/>
          <w:szCs w:val="24"/>
        </w:rPr>
        <w:t xml:space="preserve"> protection</w:t>
      </w:r>
      <w:r w:rsidR="000051C7" w:rsidRPr="005927F3">
        <w:rPr>
          <w:rFonts w:cstheme="minorHAnsi"/>
          <w:sz w:val="24"/>
          <w:szCs w:val="24"/>
        </w:rPr>
        <w:t xml:space="preserve"> law</w:t>
      </w:r>
      <w:r w:rsidR="00EF15E7" w:rsidRPr="005927F3">
        <w:rPr>
          <w:rFonts w:cstheme="minorHAnsi"/>
          <w:sz w:val="24"/>
          <w:szCs w:val="24"/>
        </w:rPr>
        <w:t>. I</w:t>
      </w:r>
      <w:r w:rsidR="000051C7" w:rsidRPr="005927F3">
        <w:rPr>
          <w:rFonts w:cstheme="minorHAnsi"/>
          <w:sz w:val="24"/>
          <w:szCs w:val="24"/>
        </w:rPr>
        <w:t>ndeed</w:t>
      </w:r>
      <w:r w:rsidR="00EF15E7" w:rsidRPr="005927F3">
        <w:rPr>
          <w:rFonts w:cstheme="minorHAnsi"/>
          <w:sz w:val="24"/>
          <w:szCs w:val="24"/>
        </w:rPr>
        <w:t>, t</w:t>
      </w:r>
      <w:r w:rsidR="00D90FF2" w:rsidRPr="005927F3">
        <w:rPr>
          <w:rFonts w:cstheme="minorHAnsi"/>
          <w:sz w:val="24"/>
          <w:szCs w:val="24"/>
        </w:rPr>
        <w:t>he</w:t>
      </w:r>
      <w:r w:rsidR="00F90CDE" w:rsidRPr="005927F3">
        <w:rPr>
          <w:rFonts w:cstheme="minorHAnsi"/>
          <w:sz w:val="24"/>
          <w:szCs w:val="24"/>
        </w:rPr>
        <w:t xml:space="preserve"> technicality of data protection</w:t>
      </w:r>
      <w:r w:rsidR="000B0A9E">
        <w:rPr>
          <w:rFonts w:cstheme="minorHAnsi"/>
          <w:sz w:val="24"/>
          <w:szCs w:val="24"/>
        </w:rPr>
        <w:t xml:space="preserve"> law</w:t>
      </w:r>
      <w:r w:rsidR="00F90CDE" w:rsidRPr="005927F3">
        <w:rPr>
          <w:rFonts w:cstheme="minorHAnsi"/>
          <w:sz w:val="24"/>
          <w:szCs w:val="24"/>
        </w:rPr>
        <w:t xml:space="preserve"> </w:t>
      </w:r>
      <w:r w:rsidR="00197DAD" w:rsidRPr="005927F3">
        <w:rPr>
          <w:rFonts w:cstheme="minorHAnsi"/>
          <w:sz w:val="24"/>
          <w:szCs w:val="24"/>
        </w:rPr>
        <w:t>hides</w:t>
      </w:r>
      <w:r w:rsidRPr="005927F3">
        <w:rPr>
          <w:rFonts w:cstheme="minorHAnsi"/>
          <w:sz w:val="24"/>
          <w:szCs w:val="24"/>
        </w:rPr>
        <w:t xml:space="preserve"> that it is, like other privacy frameworks, </w:t>
      </w:r>
      <w:r w:rsidR="00197DAD" w:rsidRPr="005927F3">
        <w:rPr>
          <w:rFonts w:cstheme="minorHAnsi"/>
          <w:sz w:val="24"/>
          <w:szCs w:val="24"/>
        </w:rPr>
        <w:t xml:space="preserve">concerned with </w:t>
      </w:r>
      <w:r w:rsidR="00F90CDE" w:rsidRPr="005927F3">
        <w:rPr>
          <w:rFonts w:cstheme="minorHAnsi"/>
          <w:sz w:val="24"/>
          <w:szCs w:val="24"/>
        </w:rPr>
        <w:t xml:space="preserve">striking </w:t>
      </w:r>
      <w:r w:rsidR="00A6287F" w:rsidRPr="005927F3">
        <w:rPr>
          <w:rFonts w:cstheme="minorHAnsi"/>
          <w:sz w:val="24"/>
          <w:szCs w:val="24"/>
        </w:rPr>
        <w:t>a</w:t>
      </w:r>
      <w:r w:rsidR="00F90CDE" w:rsidRPr="005927F3">
        <w:rPr>
          <w:rFonts w:cstheme="minorHAnsi"/>
          <w:sz w:val="24"/>
          <w:szCs w:val="24"/>
        </w:rPr>
        <w:t xml:space="preserve"> balance between </w:t>
      </w:r>
      <w:r w:rsidRPr="005927F3">
        <w:rPr>
          <w:rFonts w:cstheme="minorHAnsi"/>
          <w:sz w:val="24"/>
          <w:szCs w:val="24"/>
        </w:rPr>
        <w:t>comp</w:t>
      </w:r>
      <w:r w:rsidR="00904277" w:rsidRPr="005927F3">
        <w:rPr>
          <w:rFonts w:cstheme="minorHAnsi"/>
          <w:sz w:val="24"/>
          <w:szCs w:val="24"/>
        </w:rPr>
        <w:t>eting private and public</w:t>
      </w:r>
      <w:r w:rsidRPr="005927F3">
        <w:rPr>
          <w:rFonts w:cstheme="minorHAnsi"/>
          <w:sz w:val="24"/>
          <w:szCs w:val="24"/>
        </w:rPr>
        <w:t xml:space="preserve"> </w:t>
      </w:r>
      <w:r w:rsidR="00F90CDE" w:rsidRPr="005927F3">
        <w:rPr>
          <w:rFonts w:cstheme="minorHAnsi"/>
          <w:sz w:val="24"/>
          <w:szCs w:val="24"/>
        </w:rPr>
        <w:t>interests in accessing personal information</w:t>
      </w:r>
      <w:r w:rsidR="000051C7" w:rsidRPr="005927F3">
        <w:rPr>
          <w:rFonts w:cstheme="minorHAnsi"/>
          <w:sz w:val="24"/>
          <w:szCs w:val="24"/>
        </w:rPr>
        <w:t xml:space="preserve"> (transparency)</w:t>
      </w:r>
      <w:r w:rsidR="00F90CDE" w:rsidRPr="005927F3">
        <w:rPr>
          <w:rFonts w:cstheme="minorHAnsi"/>
          <w:sz w:val="24"/>
          <w:szCs w:val="24"/>
        </w:rPr>
        <w:t xml:space="preserve"> and</w:t>
      </w:r>
      <w:r w:rsidR="000051C7" w:rsidRPr="005927F3">
        <w:rPr>
          <w:rFonts w:cstheme="minorHAnsi"/>
          <w:sz w:val="24"/>
          <w:szCs w:val="24"/>
        </w:rPr>
        <w:t xml:space="preserve"> </w:t>
      </w:r>
      <w:r w:rsidR="00F90CDE" w:rsidRPr="005927F3">
        <w:rPr>
          <w:rFonts w:cstheme="minorHAnsi"/>
          <w:sz w:val="24"/>
          <w:szCs w:val="24"/>
        </w:rPr>
        <w:t>in controlling such access</w:t>
      </w:r>
      <w:r w:rsidR="000051C7" w:rsidRPr="005927F3">
        <w:rPr>
          <w:rFonts w:cstheme="minorHAnsi"/>
          <w:sz w:val="24"/>
          <w:szCs w:val="24"/>
        </w:rPr>
        <w:t xml:space="preserve"> (non-disclosure)</w:t>
      </w:r>
      <w:r w:rsidR="00F90CDE" w:rsidRPr="005927F3">
        <w:rPr>
          <w:rFonts w:cstheme="minorHAnsi"/>
          <w:sz w:val="24"/>
          <w:szCs w:val="24"/>
        </w:rPr>
        <w:t xml:space="preserve">. Data protection </w:t>
      </w:r>
      <w:r w:rsidR="00A6287F" w:rsidRPr="005927F3">
        <w:rPr>
          <w:rFonts w:cstheme="minorHAnsi"/>
          <w:sz w:val="24"/>
          <w:szCs w:val="24"/>
        </w:rPr>
        <w:t>seeks</w:t>
      </w:r>
      <w:r w:rsidR="00197DAD" w:rsidRPr="005927F3">
        <w:rPr>
          <w:rFonts w:cstheme="minorHAnsi"/>
          <w:sz w:val="24"/>
          <w:szCs w:val="24"/>
        </w:rPr>
        <w:t xml:space="preserve"> to </w:t>
      </w:r>
      <w:r w:rsidRPr="005927F3">
        <w:rPr>
          <w:rFonts w:cstheme="minorHAnsi"/>
          <w:sz w:val="24"/>
          <w:szCs w:val="24"/>
        </w:rPr>
        <w:t xml:space="preserve">deliver </w:t>
      </w:r>
      <w:r w:rsidR="002B15B4" w:rsidRPr="005927F3">
        <w:rPr>
          <w:rFonts w:cstheme="minorHAnsi"/>
          <w:sz w:val="24"/>
          <w:szCs w:val="24"/>
        </w:rPr>
        <w:t xml:space="preserve">a </w:t>
      </w:r>
      <w:r w:rsidR="00A6287F" w:rsidRPr="005927F3">
        <w:rPr>
          <w:rFonts w:cstheme="minorHAnsi"/>
          <w:sz w:val="24"/>
          <w:szCs w:val="24"/>
        </w:rPr>
        <w:t xml:space="preserve">tightly </w:t>
      </w:r>
      <w:r w:rsidR="00197DAD" w:rsidRPr="005927F3">
        <w:rPr>
          <w:rFonts w:cstheme="minorHAnsi"/>
          <w:sz w:val="24"/>
          <w:szCs w:val="24"/>
        </w:rPr>
        <w:t>structured</w:t>
      </w:r>
      <w:r w:rsidR="000051C7" w:rsidRPr="005927F3">
        <w:rPr>
          <w:rFonts w:cstheme="minorHAnsi"/>
          <w:sz w:val="24"/>
          <w:szCs w:val="24"/>
        </w:rPr>
        <w:t xml:space="preserve">, </w:t>
      </w:r>
      <w:r w:rsidR="002B15B4" w:rsidRPr="005927F3">
        <w:rPr>
          <w:rFonts w:cstheme="minorHAnsi"/>
          <w:sz w:val="24"/>
          <w:szCs w:val="24"/>
        </w:rPr>
        <w:t>comprehensive</w:t>
      </w:r>
      <w:r w:rsidR="00F90CDE" w:rsidRPr="005927F3">
        <w:rPr>
          <w:rFonts w:cstheme="minorHAnsi"/>
          <w:sz w:val="24"/>
          <w:szCs w:val="24"/>
        </w:rPr>
        <w:t xml:space="preserve"> frame</w:t>
      </w:r>
      <w:r w:rsidR="002B15B4" w:rsidRPr="005927F3">
        <w:rPr>
          <w:rFonts w:cstheme="minorHAnsi"/>
          <w:sz w:val="24"/>
          <w:szCs w:val="24"/>
        </w:rPr>
        <w:t>work for</w:t>
      </w:r>
      <w:r w:rsidR="00F90CDE" w:rsidRPr="005927F3">
        <w:rPr>
          <w:rFonts w:cstheme="minorHAnsi"/>
          <w:sz w:val="24"/>
          <w:szCs w:val="24"/>
        </w:rPr>
        <w:t xml:space="preserve"> </w:t>
      </w:r>
      <w:r w:rsidR="00557FA1" w:rsidRPr="005927F3">
        <w:rPr>
          <w:rFonts w:cstheme="minorHAnsi"/>
          <w:sz w:val="24"/>
          <w:szCs w:val="24"/>
        </w:rPr>
        <w:t xml:space="preserve">that </w:t>
      </w:r>
      <w:r w:rsidR="00F90CDE" w:rsidRPr="005927F3">
        <w:rPr>
          <w:rFonts w:cstheme="minorHAnsi"/>
          <w:sz w:val="24"/>
          <w:szCs w:val="24"/>
        </w:rPr>
        <w:t xml:space="preserve">balancing act.  </w:t>
      </w:r>
    </w:p>
    <w:p w14:paraId="30688826" w14:textId="77777777" w:rsidR="003C0B78" w:rsidRPr="005927F3" w:rsidRDefault="003C0B78" w:rsidP="0005102C">
      <w:pPr>
        <w:autoSpaceDE w:val="0"/>
        <w:autoSpaceDN w:val="0"/>
        <w:adjustRightInd w:val="0"/>
        <w:spacing w:after="0" w:line="240" w:lineRule="auto"/>
        <w:jc w:val="both"/>
        <w:rPr>
          <w:rFonts w:cstheme="minorHAnsi"/>
          <w:sz w:val="24"/>
          <w:szCs w:val="24"/>
        </w:rPr>
      </w:pPr>
    </w:p>
    <w:p w14:paraId="353BE5DC" w14:textId="586FC348" w:rsidR="003C0B78" w:rsidRPr="005927F3" w:rsidRDefault="00413BF2" w:rsidP="00D0790C">
      <w:pPr>
        <w:pStyle w:val="Heading2"/>
        <w:numPr>
          <w:ilvl w:val="1"/>
          <w:numId w:val="31"/>
        </w:numPr>
        <w:rPr>
          <w:rFonts w:asciiTheme="minorHAnsi" w:hAnsiTheme="minorHAnsi" w:cstheme="minorHAnsi"/>
        </w:rPr>
      </w:pPr>
      <w:bookmarkStart w:id="17" w:name="_Toc116306482"/>
      <w:r w:rsidRPr="005927F3">
        <w:rPr>
          <w:rFonts w:asciiTheme="minorHAnsi" w:hAnsiTheme="minorHAnsi" w:cstheme="minorHAnsi"/>
        </w:rPr>
        <w:t xml:space="preserve">The </w:t>
      </w:r>
      <w:r w:rsidR="002E2054" w:rsidRPr="005927F3">
        <w:rPr>
          <w:rFonts w:asciiTheme="minorHAnsi" w:hAnsiTheme="minorHAnsi" w:cstheme="minorHAnsi"/>
        </w:rPr>
        <w:t>ECtHR</w:t>
      </w:r>
      <w:r w:rsidRPr="005927F3">
        <w:rPr>
          <w:rFonts w:asciiTheme="minorHAnsi" w:hAnsiTheme="minorHAnsi" w:cstheme="minorHAnsi"/>
        </w:rPr>
        <w:t xml:space="preserve"> on</w:t>
      </w:r>
      <w:r w:rsidR="002E2054" w:rsidRPr="005927F3">
        <w:rPr>
          <w:rFonts w:asciiTheme="minorHAnsi" w:hAnsiTheme="minorHAnsi" w:cstheme="minorHAnsi"/>
        </w:rPr>
        <w:t xml:space="preserve"> </w:t>
      </w:r>
      <w:r w:rsidRPr="005927F3">
        <w:rPr>
          <w:rFonts w:asciiTheme="minorHAnsi" w:hAnsiTheme="minorHAnsi" w:cstheme="minorHAnsi"/>
        </w:rPr>
        <w:t>the right to be forgotten within Art 8</w:t>
      </w:r>
      <w:bookmarkEnd w:id="17"/>
    </w:p>
    <w:p w14:paraId="55EDEA68" w14:textId="77777777" w:rsidR="00A23338" w:rsidRPr="005927F3" w:rsidRDefault="00A23338" w:rsidP="0005102C">
      <w:pPr>
        <w:autoSpaceDE w:val="0"/>
        <w:autoSpaceDN w:val="0"/>
        <w:adjustRightInd w:val="0"/>
        <w:spacing w:after="0" w:line="240" w:lineRule="auto"/>
        <w:jc w:val="both"/>
        <w:rPr>
          <w:rFonts w:cstheme="minorHAnsi"/>
          <w:sz w:val="24"/>
          <w:szCs w:val="24"/>
        </w:rPr>
      </w:pPr>
    </w:p>
    <w:p w14:paraId="23468E8B" w14:textId="4B47E828" w:rsidR="00B478E1" w:rsidRPr="005927F3" w:rsidRDefault="00A6287F" w:rsidP="00B12462">
      <w:pPr>
        <w:autoSpaceDE w:val="0"/>
        <w:autoSpaceDN w:val="0"/>
        <w:adjustRightInd w:val="0"/>
        <w:spacing w:after="0" w:line="240" w:lineRule="auto"/>
        <w:jc w:val="both"/>
        <w:rPr>
          <w:rStyle w:val="Emphasis"/>
          <w:rFonts w:cstheme="minorHAnsi"/>
          <w:i w:val="0"/>
          <w:sz w:val="24"/>
          <w:szCs w:val="24"/>
        </w:rPr>
      </w:pPr>
      <w:r w:rsidRPr="005927F3">
        <w:rPr>
          <w:rFonts w:cstheme="minorHAnsi"/>
          <w:sz w:val="24"/>
          <w:szCs w:val="24"/>
        </w:rPr>
        <w:t>In contrast to the clarity of the CJEU endorsement of the right to be forgotten and the US rejection of that same right, a</w:t>
      </w:r>
      <w:r w:rsidR="00156B50" w:rsidRPr="005927F3">
        <w:rPr>
          <w:rFonts w:cstheme="minorHAnsi"/>
          <w:sz w:val="24"/>
          <w:szCs w:val="24"/>
        </w:rPr>
        <w:t xml:space="preserve"> </w:t>
      </w:r>
      <w:r w:rsidRPr="005927F3">
        <w:rPr>
          <w:rFonts w:cstheme="minorHAnsi"/>
          <w:sz w:val="24"/>
          <w:szCs w:val="24"/>
        </w:rPr>
        <w:t xml:space="preserve">more </w:t>
      </w:r>
      <w:r w:rsidR="005A6D2E" w:rsidRPr="005927F3">
        <w:rPr>
          <w:rFonts w:cstheme="minorHAnsi"/>
          <w:sz w:val="24"/>
          <w:szCs w:val="24"/>
        </w:rPr>
        <w:t xml:space="preserve">muddled picture emerges from </w:t>
      </w:r>
      <w:r w:rsidRPr="005927F3">
        <w:rPr>
          <w:rFonts w:cstheme="minorHAnsi"/>
          <w:sz w:val="24"/>
          <w:szCs w:val="24"/>
        </w:rPr>
        <w:t xml:space="preserve">Art 8 </w:t>
      </w:r>
      <w:r w:rsidR="005A6D2E" w:rsidRPr="005927F3">
        <w:rPr>
          <w:rFonts w:cstheme="minorHAnsi"/>
          <w:sz w:val="24"/>
          <w:szCs w:val="24"/>
        </w:rPr>
        <w:t>jurisprudence</w:t>
      </w:r>
      <w:r w:rsidRPr="005927F3">
        <w:rPr>
          <w:rFonts w:cstheme="minorHAnsi"/>
          <w:sz w:val="24"/>
          <w:szCs w:val="24"/>
        </w:rPr>
        <w:t xml:space="preserve"> on the right</w:t>
      </w:r>
      <w:r w:rsidR="00FD655C" w:rsidRPr="005927F3">
        <w:rPr>
          <w:rFonts w:cstheme="minorHAnsi"/>
          <w:sz w:val="24"/>
          <w:szCs w:val="24"/>
        </w:rPr>
        <w:t>, where</w:t>
      </w:r>
      <w:r w:rsidR="00951135" w:rsidRPr="005927F3">
        <w:rPr>
          <w:rFonts w:cstheme="minorHAnsi"/>
          <w:sz w:val="24"/>
          <w:szCs w:val="24"/>
        </w:rPr>
        <w:t xml:space="preserve"> the</w:t>
      </w:r>
      <w:r w:rsidR="005A6D2E" w:rsidRPr="005927F3">
        <w:rPr>
          <w:rFonts w:cstheme="minorHAnsi"/>
          <w:sz w:val="24"/>
          <w:szCs w:val="24"/>
        </w:rPr>
        <w:t xml:space="preserve"> </w:t>
      </w:r>
      <w:r w:rsidR="001A08E9" w:rsidRPr="005927F3">
        <w:rPr>
          <w:rFonts w:cstheme="minorHAnsi"/>
          <w:sz w:val="24"/>
          <w:szCs w:val="24"/>
        </w:rPr>
        <w:t>ECtHR</w:t>
      </w:r>
      <w:r w:rsidR="005A6D2E" w:rsidRPr="005927F3">
        <w:rPr>
          <w:rFonts w:cstheme="minorHAnsi"/>
          <w:sz w:val="24"/>
          <w:szCs w:val="24"/>
        </w:rPr>
        <w:t xml:space="preserve"> deliberat</w:t>
      </w:r>
      <w:r w:rsidR="00951135" w:rsidRPr="005927F3">
        <w:rPr>
          <w:rFonts w:cstheme="minorHAnsi"/>
          <w:sz w:val="24"/>
          <w:szCs w:val="24"/>
        </w:rPr>
        <w:t>ed</w:t>
      </w:r>
      <w:r w:rsidR="005A6D2E" w:rsidRPr="005927F3">
        <w:rPr>
          <w:rFonts w:cstheme="minorHAnsi"/>
          <w:sz w:val="24"/>
          <w:szCs w:val="24"/>
        </w:rPr>
        <w:t xml:space="preserve"> </w:t>
      </w:r>
      <w:r w:rsidR="00736F8D" w:rsidRPr="005927F3">
        <w:rPr>
          <w:rFonts w:cstheme="minorHAnsi"/>
          <w:sz w:val="24"/>
          <w:szCs w:val="24"/>
        </w:rPr>
        <w:t>on</w:t>
      </w:r>
      <w:r w:rsidR="00156B50" w:rsidRPr="005927F3">
        <w:rPr>
          <w:rFonts w:cstheme="minorHAnsi"/>
          <w:sz w:val="24"/>
          <w:szCs w:val="24"/>
        </w:rPr>
        <w:t xml:space="preserve"> Art 8 privacy claim</w:t>
      </w:r>
      <w:r w:rsidR="00736F8D" w:rsidRPr="005927F3">
        <w:rPr>
          <w:rFonts w:cstheme="minorHAnsi"/>
          <w:sz w:val="24"/>
          <w:szCs w:val="24"/>
        </w:rPr>
        <w:t>s comparable</w:t>
      </w:r>
      <w:r w:rsidR="005A6D2E" w:rsidRPr="005927F3">
        <w:rPr>
          <w:rFonts w:cstheme="minorHAnsi"/>
          <w:sz w:val="24"/>
          <w:szCs w:val="24"/>
        </w:rPr>
        <w:t xml:space="preserve"> to the GDPR</w:t>
      </w:r>
      <w:r w:rsidR="00156B50" w:rsidRPr="005927F3">
        <w:rPr>
          <w:rFonts w:cstheme="minorHAnsi"/>
          <w:sz w:val="24"/>
          <w:szCs w:val="24"/>
        </w:rPr>
        <w:t>’s right to be forgotten</w:t>
      </w:r>
      <w:r w:rsidR="00727C73" w:rsidRPr="005927F3">
        <w:rPr>
          <w:rFonts w:cstheme="minorHAnsi"/>
          <w:sz w:val="24"/>
          <w:szCs w:val="24"/>
        </w:rPr>
        <w:t xml:space="preserve"> in </w:t>
      </w:r>
      <w:r w:rsidR="00727C73" w:rsidRPr="005927F3">
        <w:rPr>
          <w:rStyle w:val="Emphasis"/>
          <w:rFonts w:cstheme="minorHAnsi"/>
          <w:sz w:val="24"/>
          <w:szCs w:val="24"/>
        </w:rPr>
        <w:t xml:space="preserve">ML &amp; WW v Germany </w:t>
      </w:r>
      <w:r w:rsidR="00727C73" w:rsidRPr="005927F3">
        <w:rPr>
          <w:rStyle w:val="Emphasis"/>
          <w:rFonts w:cstheme="minorHAnsi"/>
          <w:i w:val="0"/>
          <w:sz w:val="24"/>
          <w:szCs w:val="24"/>
        </w:rPr>
        <w:t>(2018)</w:t>
      </w:r>
      <w:r w:rsidR="00A15543" w:rsidRPr="005927F3">
        <w:rPr>
          <w:rStyle w:val="FootnoteReference"/>
          <w:rFonts w:cstheme="minorHAnsi"/>
          <w:iCs/>
          <w:sz w:val="24"/>
          <w:szCs w:val="24"/>
        </w:rPr>
        <w:footnoteReference w:id="122"/>
      </w:r>
      <w:r w:rsidR="00A15543" w:rsidRPr="005927F3">
        <w:rPr>
          <w:rStyle w:val="Emphasis"/>
          <w:rFonts w:cstheme="minorHAnsi"/>
          <w:i w:val="0"/>
          <w:sz w:val="24"/>
          <w:szCs w:val="24"/>
        </w:rPr>
        <w:t xml:space="preserve"> [</w:t>
      </w:r>
      <w:r w:rsidR="00A15543" w:rsidRPr="005927F3">
        <w:rPr>
          <w:rStyle w:val="Emphasis"/>
          <w:rFonts w:cstheme="minorHAnsi"/>
          <w:sz w:val="24"/>
          <w:szCs w:val="24"/>
        </w:rPr>
        <w:t>ML &amp; WW</w:t>
      </w:r>
      <w:r w:rsidR="001A08E9" w:rsidRPr="005927F3">
        <w:rPr>
          <w:rStyle w:val="Emphasis"/>
          <w:rFonts w:cstheme="minorHAnsi"/>
          <w:i w:val="0"/>
          <w:sz w:val="24"/>
          <w:szCs w:val="24"/>
        </w:rPr>
        <w:t>]</w:t>
      </w:r>
      <w:r w:rsidR="00FD655C" w:rsidRPr="005927F3">
        <w:rPr>
          <w:rStyle w:val="Emphasis"/>
          <w:rFonts w:cstheme="minorHAnsi"/>
          <w:i w:val="0"/>
          <w:sz w:val="24"/>
          <w:szCs w:val="24"/>
        </w:rPr>
        <w:t xml:space="preserve">. Equally </w:t>
      </w:r>
      <w:r w:rsidR="005A6D2E" w:rsidRPr="005927F3">
        <w:rPr>
          <w:rFonts w:cstheme="minorHAnsi"/>
          <w:sz w:val="24"/>
          <w:szCs w:val="24"/>
        </w:rPr>
        <w:t xml:space="preserve">English </w:t>
      </w:r>
      <w:r w:rsidR="00230AA8" w:rsidRPr="005927F3">
        <w:rPr>
          <w:rFonts w:cstheme="minorHAnsi"/>
          <w:sz w:val="24"/>
          <w:szCs w:val="24"/>
        </w:rPr>
        <w:t>courts</w:t>
      </w:r>
      <w:r w:rsidR="00D46E6C" w:rsidRPr="005927F3">
        <w:rPr>
          <w:rFonts w:cstheme="minorHAnsi"/>
          <w:sz w:val="24"/>
          <w:szCs w:val="24"/>
        </w:rPr>
        <w:t xml:space="preserve"> </w:t>
      </w:r>
      <w:r w:rsidR="00951135" w:rsidRPr="005927F3">
        <w:rPr>
          <w:rFonts w:cstheme="minorHAnsi"/>
          <w:sz w:val="24"/>
          <w:szCs w:val="24"/>
        </w:rPr>
        <w:t xml:space="preserve">have </w:t>
      </w:r>
      <w:r w:rsidR="005A6D2E" w:rsidRPr="005927F3">
        <w:rPr>
          <w:rFonts w:cstheme="minorHAnsi"/>
          <w:sz w:val="24"/>
          <w:szCs w:val="24"/>
        </w:rPr>
        <w:t>interpret</w:t>
      </w:r>
      <w:r w:rsidR="00951135" w:rsidRPr="005927F3">
        <w:rPr>
          <w:rFonts w:cstheme="minorHAnsi"/>
          <w:sz w:val="24"/>
          <w:szCs w:val="24"/>
        </w:rPr>
        <w:t>ed</w:t>
      </w:r>
      <w:r w:rsidR="005A6D2E" w:rsidRPr="005927F3">
        <w:rPr>
          <w:rFonts w:cstheme="minorHAnsi"/>
          <w:sz w:val="24"/>
          <w:szCs w:val="24"/>
        </w:rPr>
        <w:t xml:space="preserve"> the right to be forgotten </w:t>
      </w:r>
      <w:r w:rsidR="00951135" w:rsidRPr="005927F3">
        <w:rPr>
          <w:rFonts w:cstheme="minorHAnsi"/>
          <w:sz w:val="24"/>
          <w:szCs w:val="24"/>
        </w:rPr>
        <w:t xml:space="preserve">in </w:t>
      </w:r>
      <w:r w:rsidR="00951135" w:rsidRPr="005927F3">
        <w:rPr>
          <w:rStyle w:val="Emphasis"/>
          <w:rFonts w:cstheme="minorHAnsi"/>
          <w:i w:val="0"/>
          <w:sz w:val="24"/>
          <w:szCs w:val="24"/>
        </w:rPr>
        <w:t xml:space="preserve">EU data protection law </w:t>
      </w:r>
      <w:proofErr w:type="gramStart"/>
      <w:r w:rsidR="00FD655C" w:rsidRPr="005927F3">
        <w:rPr>
          <w:rStyle w:val="Emphasis"/>
          <w:rFonts w:cstheme="minorHAnsi"/>
          <w:i w:val="0"/>
          <w:sz w:val="24"/>
          <w:szCs w:val="24"/>
        </w:rPr>
        <w:t>in light of</w:t>
      </w:r>
      <w:proofErr w:type="gramEnd"/>
      <w:r w:rsidR="00727C73" w:rsidRPr="005927F3">
        <w:rPr>
          <w:rStyle w:val="Emphasis"/>
          <w:rFonts w:cstheme="minorHAnsi"/>
          <w:i w:val="0"/>
          <w:sz w:val="24"/>
          <w:szCs w:val="24"/>
        </w:rPr>
        <w:t xml:space="preserve"> </w:t>
      </w:r>
      <w:r w:rsidR="005F1779" w:rsidRPr="005927F3">
        <w:rPr>
          <w:rStyle w:val="Emphasis"/>
          <w:rFonts w:cstheme="minorHAnsi"/>
          <w:i w:val="0"/>
          <w:sz w:val="24"/>
          <w:szCs w:val="24"/>
        </w:rPr>
        <w:t>ECtHR jurisprudence</w:t>
      </w:r>
      <w:r w:rsidR="00AC63C9" w:rsidRPr="005927F3">
        <w:rPr>
          <w:rStyle w:val="Emphasis"/>
          <w:rFonts w:cstheme="minorHAnsi"/>
          <w:i w:val="0"/>
          <w:sz w:val="24"/>
          <w:szCs w:val="24"/>
        </w:rPr>
        <w:t>,</w:t>
      </w:r>
      <w:r w:rsidR="00230AA8" w:rsidRPr="005927F3">
        <w:rPr>
          <w:rStyle w:val="Emphasis"/>
          <w:rFonts w:cstheme="minorHAnsi"/>
          <w:i w:val="0"/>
          <w:sz w:val="24"/>
          <w:szCs w:val="24"/>
        </w:rPr>
        <w:t xml:space="preserve"> </w:t>
      </w:r>
      <w:r w:rsidR="00CF669F" w:rsidRPr="005927F3">
        <w:rPr>
          <w:rStyle w:val="Emphasis"/>
          <w:rFonts w:cstheme="minorHAnsi"/>
          <w:i w:val="0"/>
          <w:sz w:val="24"/>
          <w:szCs w:val="24"/>
        </w:rPr>
        <w:t>notably</w:t>
      </w:r>
      <w:r w:rsidR="00DC0844" w:rsidRPr="005927F3">
        <w:rPr>
          <w:rStyle w:val="Emphasis"/>
          <w:rFonts w:cstheme="minorHAnsi"/>
          <w:i w:val="0"/>
          <w:sz w:val="24"/>
          <w:szCs w:val="24"/>
        </w:rPr>
        <w:t xml:space="preserve"> in</w:t>
      </w:r>
      <w:r w:rsidR="00230AA8" w:rsidRPr="005927F3">
        <w:rPr>
          <w:rStyle w:val="Emphasis"/>
          <w:rFonts w:cstheme="minorHAnsi"/>
          <w:i w:val="0"/>
          <w:sz w:val="24"/>
          <w:szCs w:val="24"/>
        </w:rPr>
        <w:t xml:space="preserve"> </w:t>
      </w:r>
      <w:r w:rsidR="005A6D2E" w:rsidRPr="005927F3">
        <w:rPr>
          <w:rStyle w:val="Emphasis"/>
          <w:rFonts w:cstheme="minorHAnsi"/>
          <w:sz w:val="24"/>
          <w:szCs w:val="24"/>
        </w:rPr>
        <w:t xml:space="preserve">NT1 &amp; NT2 v Google LLC </w:t>
      </w:r>
      <w:r w:rsidR="005A6D2E" w:rsidRPr="005927F3">
        <w:rPr>
          <w:rFonts w:cstheme="minorHAnsi"/>
          <w:sz w:val="24"/>
          <w:szCs w:val="24"/>
        </w:rPr>
        <w:t>(2018)</w:t>
      </w:r>
      <w:r w:rsidR="005A6D2E" w:rsidRPr="005927F3">
        <w:rPr>
          <w:rStyle w:val="FootnoteReference"/>
          <w:rFonts w:cstheme="minorHAnsi"/>
          <w:sz w:val="24"/>
          <w:szCs w:val="24"/>
        </w:rPr>
        <w:footnoteReference w:id="123"/>
      </w:r>
      <w:r w:rsidR="00A15543" w:rsidRPr="005927F3">
        <w:rPr>
          <w:rFonts w:cstheme="minorHAnsi"/>
          <w:sz w:val="24"/>
          <w:szCs w:val="24"/>
        </w:rPr>
        <w:t xml:space="preserve"> [</w:t>
      </w:r>
      <w:r w:rsidR="00A15543" w:rsidRPr="005927F3">
        <w:rPr>
          <w:rFonts w:cstheme="minorHAnsi"/>
          <w:i/>
          <w:sz w:val="24"/>
          <w:szCs w:val="24"/>
        </w:rPr>
        <w:t>NT1</w:t>
      </w:r>
      <w:r w:rsidR="00A56327" w:rsidRPr="005927F3">
        <w:rPr>
          <w:rFonts w:cstheme="minorHAnsi"/>
          <w:i/>
          <w:sz w:val="24"/>
          <w:szCs w:val="24"/>
        </w:rPr>
        <w:t xml:space="preserve"> </w:t>
      </w:r>
      <w:r w:rsidR="00A15543" w:rsidRPr="005927F3">
        <w:rPr>
          <w:rFonts w:cstheme="minorHAnsi"/>
          <w:i/>
          <w:sz w:val="24"/>
          <w:szCs w:val="24"/>
        </w:rPr>
        <w:t>&amp;</w:t>
      </w:r>
      <w:r w:rsidR="00A56327" w:rsidRPr="005927F3">
        <w:rPr>
          <w:rFonts w:cstheme="minorHAnsi"/>
          <w:i/>
          <w:sz w:val="24"/>
          <w:szCs w:val="24"/>
        </w:rPr>
        <w:t xml:space="preserve"> </w:t>
      </w:r>
      <w:r w:rsidR="00A15543" w:rsidRPr="005927F3">
        <w:rPr>
          <w:rFonts w:cstheme="minorHAnsi"/>
          <w:i/>
          <w:sz w:val="24"/>
          <w:szCs w:val="24"/>
        </w:rPr>
        <w:t>NT2</w:t>
      </w:r>
      <w:r w:rsidR="00A15543" w:rsidRPr="005927F3">
        <w:rPr>
          <w:rFonts w:cstheme="minorHAnsi"/>
          <w:sz w:val="24"/>
          <w:szCs w:val="24"/>
        </w:rPr>
        <w:t>].</w:t>
      </w:r>
      <w:r w:rsidR="002917D2" w:rsidRPr="005927F3">
        <w:rPr>
          <w:rFonts w:cstheme="minorHAnsi"/>
          <w:sz w:val="24"/>
          <w:szCs w:val="24"/>
        </w:rPr>
        <w:t xml:space="preserve"> </w:t>
      </w:r>
      <w:r w:rsidR="001B311B" w:rsidRPr="005927F3">
        <w:rPr>
          <w:rFonts w:cstheme="minorHAnsi"/>
          <w:sz w:val="24"/>
          <w:szCs w:val="24"/>
        </w:rPr>
        <w:t>These</w:t>
      </w:r>
      <w:r w:rsidR="00694C7A" w:rsidRPr="005927F3">
        <w:rPr>
          <w:rFonts w:cstheme="minorHAnsi"/>
          <w:sz w:val="24"/>
          <w:szCs w:val="24"/>
        </w:rPr>
        <w:t xml:space="preserve"> two</w:t>
      </w:r>
      <w:r w:rsidR="001B311B" w:rsidRPr="005927F3">
        <w:rPr>
          <w:rFonts w:cstheme="minorHAnsi"/>
          <w:sz w:val="24"/>
          <w:szCs w:val="24"/>
        </w:rPr>
        <w:t xml:space="preserve"> </w:t>
      </w:r>
      <w:r w:rsidR="00FD655C" w:rsidRPr="005927F3">
        <w:rPr>
          <w:rFonts w:cstheme="minorHAnsi"/>
          <w:sz w:val="24"/>
          <w:szCs w:val="24"/>
        </w:rPr>
        <w:t>samples</w:t>
      </w:r>
      <w:r w:rsidR="00951135" w:rsidRPr="005927F3">
        <w:rPr>
          <w:rFonts w:cstheme="minorHAnsi"/>
          <w:sz w:val="24"/>
          <w:szCs w:val="24"/>
        </w:rPr>
        <w:t xml:space="preserve"> </w:t>
      </w:r>
      <w:r w:rsidR="008A3838" w:rsidRPr="005927F3">
        <w:rPr>
          <w:rFonts w:cstheme="minorHAnsi"/>
          <w:sz w:val="24"/>
          <w:szCs w:val="24"/>
        </w:rPr>
        <w:t>present</w:t>
      </w:r>
      <w:r w:rsidR="002917D2" w:rsidRPr="005927F3">
        <w:rPr>
          <w:rFonts w:cstheme="minorHAnsi"/>
          <w:sz w:val="24"/>
          <w:szCs w:val="24"/>
        </w:rPr>
        <w:t xml:space="preserve"> </w:t>
      </w:r>
      <w:r w:rsidR="00CF669F" w:rsidRPr="005927F3">
        <w:rPr>
          <w:rFonts w:cstheme="minorHAnsi"/>
          <w:sz w:val="24"/>
          <w:szCs w:val="24"/>
        </w:rPr>
        <w:t xml:space="preserve">two </w:t>
      </w:r>
      <w:r w:rsidR="002917D2" w:rsidRPr="005927F3">
        <w:rPr>
          <w:rFonts w:cstheme="minorHAnsi"/>
          <w:sz w:val="24"/>
          <w:szCs w:val="24"/>
        </w:rPr>
        <w:t xml:space="preserve">alternative routes </w:t>
      </w:r>
      <w:r w:rsidR="008A3838" w:rsidRPr="005927F3">
        <w:rPr>
          <w:rFonts w:cstheme="minorHAnsi"/>
          <w:sz w:val="24"/>
          <w:szCs w:val="24"/>
        </w:rPr>
        <w:t xml:space="preserve">in </w:t>
      </w:r>
      <w:r w:rsidR="002917D2" w:rsidRPr="005927F3">
        <w:rPr>
          <w:rFonts w:cstheme="minorHAnsi"/>
          <w:sz w:val="24"/>
          <w:szCs w:val="24"/>
        </w:rPr>
        <w:t>which Art 8 normativity</w:t>
      </w:r>
      <w:r w:rsidR="00301D78" w:rsidRPr="005927F3">
        <w:rPr>
          <w:rFonts w:cstheme="minorHAnsi"/>
          <w:sz w:val="24"/>
          <w:szCs w:val="24"/>
        </w:rPr>
        <w:t xml:space="preserve"> has met </w:t>
      </w:r>
      <w:r w:rsidR="009A5189" w:rsidRPr="005927F3">
        <w:rPr>
          <w:rFonts w:cstheme="minorHAnsi"/>
          <w:sz w:val="24"/>
          <w:szCs w:val="24"/>
        </w:rPr>
        <w:t xml:space="preserve">data protection law: either by </w:t>
      </w:r>
      <w:r w:rsidR="00A73803" w:rsidRPr="005927F3">
        <w:rPr>
          <w:rFonts w:cstheme="minorHAnsi"/>
          <w:sz w:val="24"/>
          <w:szCs w:val="24"/>
        </w:rPr>
        <w:t>incorporating data protection</w:t>
      </w:r>
      <w:r w:rsidR="00CB5EA9" w:rsidRPr="005927F3">
        <w:rPr>
          <w:rFonts w:cstheme="minorHAnsi"/>
          <w:sz w:val="24"/>
          <w:szCs w:val="24"/>
        </w:rPr>
        <w:t xml:space="preserve"> normativity</w:t>
      </w:r>
      <w:r w:rsidR="00A73803" w:rsidRPr="005927F3">
        <w:rPr>
          <w:rFonts w:cstheme="minorHAnsi"/>
          <w:sz w:val="24"/>
          <w:szCs w:val="24"/>
        </w:rPr>
        <w:t xml:space="preserve"> within</w:t>
      </w:r>
      <w:r w:rsidR="009A5189" w:rsidRPr="005927F3">
        <w:rPr>
          <w:rFonts w:cstheme="minorHAnsi"/>
          <w:sz w:val="24"/>
          <w:szCs w:val="24"/>
        </w:rPr>
        <w:t xml:space="preserve"> Art 8 </w:t>
      </w:r>
      <w:r w:rsidR="00A73803" w:rsidRPr="005927F3">
        <w:rPr>
          <w:rFonts w:cstheme="minorHAnsi"/>
          <w:sz w:val="24"/>
          <w:szCs w:val="24"/>
        </w:rPr>
        <w:t>jurisprudence</w:t>
      </w:r>
      <w:r w:rsidR="00CB5EA9" w:rsidRPr="005927F3">
        <w:rPr>
          <w:rFonts w:cstheme="minorHAnsi"/>
          <w:sz w:val="24"/>
          <w:szCs w:val="24"/>
        </w:rPr>
        <w:t>,</w:t>
      </w:r>
      <w:r w:rsidR="00A73803" w:rsidRPr="005927F3">
        <w:rPr>
          <w:rFonts w:cstheme="minorHAnsi"/>
          <w:sz w:val="24"/>
          <w:szCs w:val="24"/>
        </w:rPr>
        <w:t xml:space="preserve"> </w:t>
      </w:r>
      <w:r w:rsidR="009A5189" w:rsidRPr="005927F3">
        <w:rPr>
          <w:rFonts w:cstheme="minorHAnsi"/>
          <w:sz w:val="24"/>
          <w:szCs w:val="24"/>
        </w:rPr>
        <w:t>or</w:t>
      </w:r>
      <w:r w:rsidR="00951135" w:rsidRPr="005927F3">
        <w:rPr>
          <w:rFonts w:cstheme="minorHAnsi"/>
          <w:sz w:val="24"/>
          <w:szCs w:val="24"/>
        </w:rPr>
        <w:t xml:space="preserve"> by</w:t>
      </w:r>
      <w:r w:rsidR="00CB5EA9" w:rsidRPr="005927F3">
        <w:rPr>
          <w:rFonts w:cstheme="minorHAnsi"/>
          <w:sz w:val="24"/>
          <w:szCs w:val="24"/>
        </w:rPr>
        <w:t xml:space="preserve"> developing</w:t>
      </w:r>
      <w:r w:rsidR="00CB5EA9" w:rsidRPr="005927F3">
        <w:rPr>
          <w:rFonts w:cstheme="minorHAnsi"/>
          <w:iCs/>
          <w:sz w:val="24"/>
          <w:szCs w:val="24"/>
        </w:rPr>
        <w:t xml:space="preserve"> data protection jurisprudence </w:t>
      </w:r>
      <w:proofErr w:type="gramStart"/>
      <w:r w:rsidR="00CB5EA9" w:rsidRPr="005927F3">
        <w:rPr>
          <w:rFonts w:cstheme="minorHAnsi"/>
          <w:iCs/>
          <w:sz w:val="24"/>
          <w:szCs w:val="24"/>
        </w:rPr>
        <w:t>in light of</w:t>
      </w:r>
      <w:proofErr w:type="gramEnd"/>
      <w:r w:rsidR="00CB5EA9" w:rsidRPr="005927F3">
        <w:rPr>
          <w:rFonts w:cstheme="minorHAnsi"/>
          <w:iCs/>
          <w:sz w:val="24"/>
          <w:szCs w:val="24"/>
        </w:rPr>
        <w:t xml:space="preserve"> Art 8 </w:t>
      </w:r>
      <w:r w:rsidR="00951135" w:rsidRPr="005927F3">
        <w:rPr>
          <w:rFonts w:cstheme="minorHAnsi"/>
          <w:iCs/>
          <w:sz w:val="24"/>
          <w:szCs w:val="24"/>
        </w:rPr>
        <w:t>jurisprudence</w:t>
      </w:r>
      <w:r w:rsidR="00860BE9" w:rsidRPr="005927F3">
        <w:rPr>
          <w:rFonts w:cstheme="minorHAnsi"/>
          <w:sz w:val="24"/>
          <w:szCs w:val="24"/>
        </w:rPr>
        <w:t>.</w:t>
      </w:r>
      <w:r w:rsidR="00860BE9" w:rsidRPr="005927F3">
        <w:rPr>
          <w:rStyle w:val="FootnoteReference"/>
          <w:rFonts w:cstheme="minorHAnsi"/>
          <w:sz w:val="24"/>
          <w:szCs w:val="24"/>
        </w:rPr>
        <w:footnoteReference w:id="124"/>
      </w:r>
      <w:r w:rsidR="00860BE9" w:rsidRPr="005927F3">
        <w:rPr>
          <w:rFonts w:cstheme="minorHAnsi"/>
          <w:sz w:val="24"/>
          <w:szCs w:val="24"/>
        </w:rPr>
        <w:t xml:space="preserve"> </w:t>
      </w:r>
      <w:r w:rsidR="002917D2" w:rsidRPr="005927F3">
        <w:rPr>
          <w:rFonts w:cstheme="minorHAnsi"/>
          <w:sz w:val="24"/>
          <w:szCs w:val="24"/>
        </w:rPr>
        <w:t xml:space="preserve">Much like </w:t>
      </w:r>
      <w:r w:rsidR="0082584C" w:rsidRPr="005927F3">
        <w:rPr>
          <w:rFonts w:cstheme="minorHAnsi"/>
          <w:i/>
          <w:sz w:val="24"/>
          <w:szCs w:val="24"/>
        </w:rPr>
        <w:t xml:space="preserve">GC and </w:t>
      </w:r>
      <w:proofErr w:type="spellStart"/>
      <w:r w:rsidR="0082584C" w:rsidRPr="005927F3">
        <w:rPr>
          <w:rFonts w:cstheme="minorHAnsi"/>
          <w:i/>
          <w:sz w:val="24"/>
          <w:szCs w:val="24"/>
        </w:rPr>
        <w:t>Or</w:t>
      </w:r>
      <w:r w:rsidR="002917D2" w:rsidRPr="005927F3">
        <w:rPr>
          <w:rFonts w:cstheme="minorHAnsi"/>
          <w:i/>
          <w:sz w:val="24"/>
          <w:szCs w:val="24"/>
        </w:rPr>
        <w:t>s</w:t>
      </w:r>
      <w:proofErr w:type="spellEnd"/>
      <w:r w:rsidR="009A5189" w:rsidRPr="005927F3">
        <w:rPr>
          <w:rFonts w:cstheme="minorHAnsi"/>
          <w:sz w:val="24"/>
          <w:szCs w:val="24"/>
        </w:rPr>
        <w:t>, t</w:t>
      </w:r>
      <w:r w:rsidR="002917D2" w:rsidRPr="005927F3">
        <w:rPr>
          <w:rFonts w:cstheme="minorHAnsi"/>
          <w:sz w:val="24"/>
          <w:szCs w:val="24"/>
        </w:rPr>
        <w:t>he</w:t>
      </w:r>
      <w:r w:rsidR="00967B70" w:rsidRPr="005927F3">
        <w:rPr>
          <w:rStyle w:val="Emphasis"/>
          <w:rFonts w:cstheme="minorHAnsi"/>
          <w:i w:val="0"/>
          <w:sz w:val="24"/>
          <w:szCs w:val="24"/>
        </w:rPr>
        <w:t xml:space="preserve"> </w:t>
      </w:r>
      <w:r w:rsidR="00505FE5" w:rsidRPr="005927F3">
        <w:rPr>
          <w:rStyle w:val="Emphasis"/>
          <w:rFonts w:cstheme="minorHAnsi"/>
          <w:i w:val="0"/>
          <w:sz w:val="24"/>
          <w:szCs w:val="24"/>
        </w:rPr>
        <w:t>two</w:t>
      </w:r>
      <w:r w:rsidR="000B60BD" w:rsidRPr="005927F3">
        <w:rPr>
          <w:rStyle w:val="Emphasis"/>
          <w:rFonts w:cstheme="minorHAnsi"/>
          <w:i w:val="0"/>
          <w:sz w:val="24"/>
          <w:szCs w:val="24"/>
        </w:rPr>
        <w:t xml:space="preserve"> </w:t>
      </w:r>
      <w:r w:rsidR="00DF1F2E" w:rsidRPr="005927F3">
        <w:rPr>
          <w:rStyle w:val="Emphasis"/>
          <w:rFonts w:cstheme="minorHAnsi"/>
          <w:i w:val="0"/>
          <w:sz w:val="24"/>
          <w:szCs w:val="24"/>
        </w:rPr>
        <w:t xml:space="preserve">cases </w:t>
      </w:r>
      <w:r w:rsidR="00E341F6" w:rsidRPr="005927F3">
        <w:rPr>
          <w:rStyle w:val="Emphasis"/>
          <w:rFonts w:cstheme="minorHAnsi"/>
          <w:i w:val="0"/>
          <w:sz w:val="24"/>
          <w:szCs w:val="24"/>
        </w:rPr>
        <w:t>concerned</w:t>
      </w:r>
      <w:r w:rsidR="00587247" w:rsidRPr="005927F3">
        <w:rPr>
          <w:rStyle w:val="Emphasis"/>
          <w:rFonts w:cstheme="minorHAnsi"/>
          <w:i w:val="0"/>
          <w:sz w:val="24"/>
          <w:szCs w:val="24"/>
        </w:rPr>
        <w:t xml:space="preserve"> sensitive personal data, </w:t>
      </w:r>
      <w:r w:rsidR="00CF669F" w:rsidRPr="005927F3">
        <w:rPr>
          <w:rStyle w:val="Emphasis"/>
          <w:rFonts w:cstheme="minorHAnsi"/>
          <w:i w:val="0"/>
          <w:sz w:val="24"/>
          <w:szCs w:val="24"/>
        </w:rPr>
        <w:t>and in particular</w:t>
      </w:r>
      <w:r w:rsidR="00E341F6" w:rsidRPr="005927F3">
        <w:rPr>
          <w:rStyle w:val="Emphasis"/>
          <w:rFonts w:cstheme="minorHAnsi"/>
          <w:i w:val="0"/>
          <w:sz w:val="24"/>
          <w:szCs w:val="24"/>
        </w:rPr>
        <w:t xml:space="preserve"> prior criminal convictions</w:t>
      </w:r>
      <w:r w:rsidR="00412F5B" w:rsidRPr="005927F3">
        <w:rPr>
          <w:rStyle w:val="Emphasis"/>
          <w:rFonts w:cstheme="minorHAnsi"/>
          <w:i w:val="0"/>
          <w:sz w:val="24"/>
          <w:szCs w:val="24"/>
        </w:rPr>
        <w:t>,</w:t>
      </w:r>
      <w:r w:rsidR="00E341F6" w:rsidRPr="005927F3">
        <w:rPr>
          <w:rStyle w:val="Emphasis"/>
          <w:rFonts w:cstheme="minorHAnsi"/>
          <w:i w:val="0"/>
          <w:sz w:val="24"/>
          <w:szCs w:val="24"/>
        </w:rPr>
        <w:t xml:space="preserve"> that were kept fresh in the public</w:t>
      </w:r>
      <w:r w:rsidR="00B162F1" w:rsidRPr="005927F3">
        <w:rPr>
          <w:rStyle w:val="Emphasis"/>
          <w:rFonts w:cstheme="minorHAnsi"/>
          <w:i w:val="0"/>
          <w:sz w:val="24"/>
          <w:szCs w:val="24"/>
        </w:rPr>
        <w:t>’s</w:t>
      </w:r>
      <w:r w:rsidR="00E341F6" w:rsidRPr="005927F3">
        <w:rPr>
          <w:rStyle w:val="Emphasis"/>
          <w:rFonts w:cstheme="minorHAnsi"/>
          <w:i w:val="0"/>
          <w:sz w:val="24"/>
          <w:szCs w:val="24"/>
        </w:rPr>
        <w:t xml:space="preserve"> mind </w:t>
      </w:r>
      <w:r w:rsidR="008E22A5" w:rsidRPr="005927F3">
        <w:rPr>
          <w:rStyle w:val="Emphasis"/>
          <w:rFonts w:cstheme="minorHAnsi"/>
          <w:i w:val="0"/>
          <w:sz w:val="24"/>
          <w:szCs w:val="24"/>
        </w:rPr>
        <w:t>through</w:t>
      </w:r>
      <w:r w:rsidR="008E14D6" w:rsidRPr="005927F3">
        <w:rPr>
          <w:rStyle w:val="Emphasis"/>
          <w:rFonts w:cstheme="minorHAnsi"/>
          <w:i w:val="0"/>
          <w:sz w:val="24"/>
          <w:szCs w:val="24"/>
        </w:rPr>
        <w:t xml:space="preserve"> their online availability. </w:t>
      </w:r>
      <w:r w:rsidR="00210CD9" w:rsidRPr="005927F3">
        <w:rPr>
          <w:rStyle w:val="Emphasis"/>
          <w:rFonts w:cstheme="minorHAnsi"/>
          <w:i w:val="0"/>
          <w:sz w:val="24"/>
          <w:szCs w:val="24"/>
        </w:rPr>
        <w:t xml:space="preserve">As </w:t>
      </w:r>
      <w:r w:rsidR="008E14D6" w:rsidRPr="005927F3">
        <w:rPr>
          <w:rStyle w:val="Emphasis"/>
          <w:rFonts w:cstheme="minorHAnsi"/>
          <w:sz w:val="24"/>
          <w:szCs w:val="24"/>
        </w:rPr>
        <w:t xml:space="preserve">ML &amp; WW </w:t>
      </w:r>
      <w:r w:rsidR="00736F8D" w:rsidRPr="005927F3">
        <w:rPr>
          <w:rStyle w:val="Emphasis"/>
          <w:rFonts w:cstheme="minorHAnsi"/>
          <w:i w:val="0"/>
          <w:sz w:val="24"/>
          <w:szCs w:val="24"/>
        </w:rPr>
        <w:t>dealt with</w:t>
      </w:r>
      <w:r w:rsidR="00156B50" w:rsidRPr="005927F3">
        <w:rPr>
          <w:rStyle w:val="Emphasis"/>
          <w:rFonts w:cstheme="minorHAnsi"/>
          <w:i w:val="0"/>
          <w:sz w:val="24"/>
          <w:szCs w:val="24"/>
        </w:rPr>
        <w:t xml:space="preserve"> </w:t>
      </w:r>
      <w:r w:rsidR="009D5CEE" w:rsidRPr="005927F3">
        <w:rPr>
          <w:rStyle w:val="Emphasis"/>
          <w:rFonts w:cstheme="minorHAnsi"/>
          <w:i w:val="0"/>
          <w:sz w:val="24"/>
          <w:szCs w:val="24"/>
        </w:rPr>
        <w:t>the</w:t>
      </w:r>
      <w:r w:rsidR="00156B50" w:rsidRPr="005927F3">
        <w:rPr>
          <w:rStyle w:val="Emphasis"/>
          <w:rFonts w:cstheme="minorHAnsi"/>
          <w:i w:val="0"/>
          <w:sz w:val="24"/>
          <w:szCs w:val="24"/>
        </w:rPr>
        <w:t xml:space="preserve"> </w:t>
      </w:r>
      <w:r w:rsidR="00736F8D" w:rsidRPr="005927F3">
        <w:rPr>
          <w:rStyle w:val="Emphasis"/>
          <w:rFonts w:cstheme="minorHAnsi"/>
          <w:i w:val="0"/>
          <w:sz w:val="24"/>
          <w:szCs w:val="24"/>
        </w:rPr>
        <w:t xml:space="preserve">claimants’ </w:t>
      </w:r>
      <w:r w:rsidR="00156B50" w:rsidRPr="005927F3">
        <w:rPr>
          <w:rStyle w:val="Emphasis"/>
          <w:rFonts w:cstheme="minorHAnsi"/>
          <w:i w:val="0"/>
          <w:sz w:val="24"/>
          <w:szCs w:val="24"/>
        </w:rPr>
        <w:t>possible</w:t>
      </w:r>
      <w:r w:rsidR="008E14D6" w:rsidRPr="005927F3">
        <w:rPr>
          <w:rStyle w:val="Emphasis"/>
          <w:rFonts w:cstheme="minorHAnsi"/>
          <w:i w:val="0"/>
          <w:sz w:val="24"/>
          <w:szCs w:val="24"/>
        </w:rPr>
        <w:t xml:space="preserve"> right to be anonymised in news articles </w:t>
      </w:r>
      <w:r w:rsidR="00DA6C38" w:rsidRPr="005927F3">
        <w:rPr>
          <w:rStyle w:val="Emphasis"/>
          <w:rFonts w:cstheme="minorHAnsi"/>
          <w:i w:val="0"/>
          <w:sz w:val="24"/>
          <w:szCs w:val="24"/>
        </w:rPr>
        <w:t>(</w:t>
      </w:r>
      <w:r w:rsidR="006314CE" w:rsidRPr="005927F3">
        <w:rPr>
          <w:rStyle w:val="Emphasis"/>
          <w:rFonts w:cstheme="minorHAnsi"/>
          <w:i w:val="0"/>
          <w:sz w:val="24"/>
          <w:szCs w:val="24"/>
        </w:rPr>
        <w:t xml:space="preserve">reporting on their prosecutions and convictions </w:t>
      </w:r>
      <w:r w:rsidR="006314CE" w:rsidRPr="005927F3">
        <w:rPr>
          <w:rFonts w:cstheme="minorHAnsi"/>
          <w:sz w:val="24"/>
          <w:szCs w:val="24"/>
        </w:rPr>
        <w:t>in a murder case</w:t>
      </w:r>
      <w:r w:rsidR="00DA6C38" w:rsidRPr="005927F3">
        <w:rPr>
          <w:rFonts w:cstheme="minorHAnsi"/>
          <w:sz w:val="24"/>
          <w:szCs w:val="24"/>
        </w:rPr>
        <w:t>) i</w:t>
      </w:r>
      <w:r w:rsidR="006314CE" w:rsidRPr="005927F3">
        <w:rPr>
          <w:rStyle w:val="Emphasis"/>
          <w:rFonts w:cstheme="minorHAnsi"/>
          <w:i w:val="0"/>
          <w:sz w:val="24"/>
          <w:szCs w:val="24"/>
        </w:rPr>
        <w:t xml:space="preserve">n the </w:t>
      </w:r>
      <w:r w:rsidR="006314CE" w:rsidRPr="005927F3">
        <w:rPr>
          <w:rFonts w:cstheme="minorHAnsi"/>
          <w:sz w:val="24"/>
          <w:szCs w:val="24"/>
        </w:rPr>
        <w:t xml:space="preserve">online archives </w:t>
      </w:r>
      <w:r w:rsidR="00845FC9" w:rsidRPr="005927F3">
        <w:rPr>
          <w:rFonts w:cstheme="minorHAnsi"/>
          <w:sz w:val="24"/>
          <w:szCs w:val="24"/>
        </w:rPr>
        <w:t>of</w:t>
      </w:r>
      <w:r w:rsidR="006314CE" w:rsidRPr="005927F3">
        <w:rPr>
          <w:rFonts w:cstheme="minorHAnsi"/>
          <w:sz w:val="24"/>
          <w:szCs w:val="24"/>
        </w:rPr>
        <w:t xml:space="preserve"> </w:t>
      </w:r>
      <w:r w:rsidR="000B60BD" w:rsidRPr="005927F3">
        <w:rPr>
          <w:rFonts w:cstheme="minorHAnsi"/>
          <w:sz w:val="24"/>
          <w:szCs w:val="24"/>
        </w:rPr>
        <w:t xml:space="preserve">the </w:t>
      </w:r>
      <w:r w:rsidR="006314CE" w:rsidRPr="005927F3">
        <w:rPr>
          <w:rFonts w:cstheme="minorHAnsi"/>
          <w:sz w:val="24"/>
          <w:szCs w:val="24"/>
        </w:rPr>
        <w:t xml:space="preserve">media </w:t>
      </w:r>
      <w:r w:rsidR="006314CE" w:rsidRPr="005927F3">
        <w:rPr>
          <w:rFonts w:cstheme="minorHAnsi"/>
          <w:sz w:val="24"/>
          <w:szCs w:val="24"/>
        </w:rPr>
        <w:lastRenderedPageBreak/>
        <w:t>organisations</w:t>
      </w:r>
      <w:r w:rsidR="00D46E6C" w:rsidRPr="005927F3">
        <w:rPr>
          <w:rStyle w:val="Emphasis"/>
          <w:rFonts w:cstheme="minorHAnsi"/>
          <w:i w:val="0"/>
          <w:sz w:val="24"/>
          <w:szCs w:val="24"/>
        </w:rPr>
        <w:t>,</w:t>
      </w:r>
      <w:r w:rsidR="00727C73" w:rsidRPr="005927F3">
        <w:rPr>
          <w:rStyle w:val="Emphasis"/>
          <w:rFonts w:cstheme="minorHAnsi"/>
          <w:i w:val="0"/>
          <w:sz w:val="24"/>
          <w:szCs w:val="24"/>
        </w:rPr>
        <w:t xml:space="preserve"> </w:t>
      </w:r>
      <w:r w:rsidR="00210CD9" w:rsidRPr="005927F3">
        <w:rPr>
          <w:rStyle w:val="Emphasis"/>
          <w:rFonts w:cstheme="minorHAnsi"/>
          <w:i w:val="0"/>
          <w:sz w:val="24"/>
          <w:szCs w:val="24"/>
        </w:rPr>
        <w:t>these were claims</w:t>
      </w:r>
      <w:r w:rsidR="00D46E6C" w:rsidRPr="005927F3">
        <w:rPr>
          <w:rStyle w:val="Emphasis"/>
          <w:rFonts w:cstheme="minorHAnsi"/>
          <w:i w:val="0"/>
          <w:sz w:val="24"/>
          <w:szCs w:val="24"/>
        </w:rPr>
        <w:t xml:space="preserve"> </w:t>
      </w:r>
      <w:r w:rsidR="008E14D6" w:rsidRPr="005927F3">
        <w:rPr>
          <w:rStyle w:val="Emphasis"/>
          <w:rFonts w:cstheme="minorHAnsi"/>
          <w:i w:val="0"/>
          <w:sz w:val="24"/>
          <w:szCs w:val="24"/>
        </w:rPr>
        <w:t>against primary publishers</w:t>
      </w:r>
      <w:r w:rsidR="009D5CEE" w:rsidRPr="005927F3">
        <w:rPr>
          <w:rStyle w:val="Emphasis"/>
          <w:rFonts w:cstheme="minorHAnsi"/>
          <w:i w:val="0"/>
          <w:sz w:val="24"/>
          <w:szCs w:val="24"/>
        </w:rPr>
        <w:t xml:space="preserve"> and as such more problematic from a </w:t>
      </w:r>
      <w:r w:rsidR="008E14D6" w:rsidRPr="005927F3">
        <w:rPr>
          <w:rStyle w:val="Emphasis"/>
          <w:rFonts w:cstheme="minorHAnsi"/>
          <w:i w:val="0"/>
          <w:sz w:val="24"/>
          <w:szCs w:val="24"/>
        </w:rPr>
        <w:t xml:space="preserve">public interest </w:t>
      </w:r>
      <w:r w:rsidR="00A11D96" w:rsidRPr="005927F3">
        <w:rPr>
          <w:rStyle w:val="Emphasis"/>
          <w:rFonts w:cstheme="minorHAnsi"/>
          <w:i w:val="0"/>
          <w:sz w:val="24"/>
          <w:szCs w:val="24"/>
        </w:rPr>
        <w:t>perspective</w:t>
      </w:r>
      <w:r w:rsidR="006314CE" w:rsidRPr="005927F3">
        <w:rPr>
          <w:rStyle w:val="Emphasis"/>
          <w:rFonts w:cstheme="minorHAnsi"/>
          <w:i w:val="0"/>
          <w:sz w:val="24"/>
          <w:szCs w:val="24"/>
        </w:rPr>
        <w:t xml:space="preserve"> than ‘normal’ right to be forgotten cases</w:t>
      </w:r>
      <w:r w:rsidR="00585BB2" w:rsidRPr="005927F3">
        <w:rPr>
          <w:rStyle w:val="Emphasis"/>
          <w:rFonts w:cstheme="minorHAnsi"/>
          <w:i w:val="0"/>
          <w:sz w:val="24"/>
          <w:szCs w:val="24"/>
        </w:rPr>
        <w:t xml:space="preserve"> against platforms or search engines</w:t>
      </w:r>
      <w:r w:rsidR="006314CE" w:rsidRPr="005927F3">
        <w:rPr>
          <w:rStyle w:val="Emphasis"/>
          <w:rFonts w:cstheme="minorHAnsi"/>
          <w:i w:val="0"/>
          <w:sz w:val="24"/>
          <w:szCs w:val="24"/>
        </w:rPr>
        <w:t>. The</w:t>
      </w:r>
      <w:r w:rsidR="008E14D6" w:rsidRPr="005927F3">
        <w:rPr>
          <w:rStyle w:val="Emphasis"/>
          <w:rFonts w:cstheme="minorHAnsi"/>
          <w:i w:val="0"/>
          <w:sz w:val="24"/>
          <w:szCs w:val="24"/>
        </w:rPr>
        <w:t xml:space="preserve"> redaction of names in primary sources </w:t>
      </w:r>
      <w:r w:rsidR="009D5CEE" w:rsidRPr="005927F3">
        <w:rPr>
          <w:rStyle w:val="Emphasis"/>
          <w:rFonts w:cstheme="minorHAnsi"/>
          <w:i w:val="0"/>
          <w:sz w:val="24"/>
          <w:szCs w:val="24"/>
        </w:rPr>
        <w:t>signals the</w:t>
      </w:r>
      <w:r w:rsidR="00072095" w:rsidRPr="005927F3">
        <w:rPr>
          <w:rStyle w:val="Emphasis"/>
          <w:rFonts w:cstheme="minorHAnsi"/>
          <w:i w:val="0"/>
          <w:sz w:val="24"/>
          <w:szCs w:val="24"/>
        </w:rPr>
        <w:t xml:space="preserve"> </w:t>
      </w:r>
      <w:r w:rsidR="00A15543" w:rsidRPr="005927F3">
        <w:rPr>
          <w:rStyle w:val="Emphasis"/>
          <w:rFonts w:cstheme="minorHAnsi"/>
          <w:i w:val="0"/>
          <w:sz w:val="24"/>
          <w:szCs w:val="24"/>
        </w:rPr>
        <w:t xml:space="preserve">full </w:t>
      </w:r>
      <w:r w:rsidR="00072095" w:rsidRPr="005927F3">
        <w:rPr>
          <w:rStyle w:val="Emphasis"/>
          <w:rFonts w:cstheme="minorHAnsi"/>
          <w:i w:val="0"/>
          <w:sz w:val="24"/>
          <w:szCs w:val="24"/>
        </w:rPr>
        <w:t>exit of personal</w:t>
      </w:r>
      <w:r w:rsidR="008E14D6" w:rsidRPr="005927F3">
        <w:rPr>
          <w:rStyle w:val="Emphasis"/>
          <w:rFonts w:cstheme="minorHAnsi"/>
          <w:i w:val="0"/>
          <w:sz w:val="24"/>
          <w:szCs w:val="24"/>
        </w:rPr>
        <w:t xml:space="preserve"> information from the public domain</w:t>
      </w:r>
      <w:r w:rsidR="006314CE" w:rsidRPr="005927F3">
        <w:rPr>
          <w:rStyle w:val="Emphasis"/>
          <w:rFonts w:cstheme="minorHAnsi"/>
          <w:i w:val="0"/>
          <w:sz w:val="24"/>
          <w:szCs w:val="24"/>
        </w:rPr>
        <w:t xml:space="preserve"> rather than </w:t>
      </w:r>
      <w:r w:rsidR="00B907CC" w:rsidRPr="005927F3">
        <w:rPr>
          <w:rStyle w:val="Emphasis"/>
          <w:rFonts w:cstheme="minorHAnsi"/>
          <w:i w:val="0"/>
          <w:sz w:val="24"/>
          <w:szCs w:val="24"/>
        </w:rPr>
        <w:t>its</w:t>
      </w:r>
      <w:r w:rsidR="006314CE" w:rsidRPr="005927F3">
        <w:rPr>
          <w:rStyle w:val="Emphasis"/>
          <w:rFonts w:cstheme="minorHAnsi"/>
          <w:i w:val="0"/>
          <w:sz w:val="24"/>
          <w:szCs w:val="24"/>
        </w:rPr>
        <w:t xml:space="preserve"> partial inaccessibility</w:t>
      </w:r>
      <w:r w:rsidR="008E14D6" w:rsidRPr="005927F3">
        <w:rPr>
          <w:rStyle w:val="Emphasis"/>
          <w:rFonts w:cstheme="minorHAnsi"/>
          <w:i w:val="0"/>
          <w:sz w:val="24"/>
          <w:szCs w:val="24"/>
        </w:rPr>
        <w:t>.</w:t>
      </w:r>
      <w:r w:rsidR="004E7355" w:rsidRPr="005927F3">
        <w:rPr>
          <w:rStyle w:val="FootnoteReference"/>
          <w:rFonts w:cstheme="minorHAnsi"/>
          <w:iCs/>
          <w:sz w:val="24"/>
          <w:szCs w:val="24"/>
        </w:rPr>
        <w:footnoteReference w:id="125"/>
      </w:r>
      <w:r w:rsidR="00072095" w:rsidRPr="005927F3">
        <w:rPr>
          <w:rFonts w:cstheme="minorHAnsi"/>
          <w:iCs/>
          <w:sz w:val="24"/>
          <w:szCs w:val="24"/>
        </w:rPr>
        <w:t xml:space="preserve"> </w:t>
      </w:r>
      <w:r w:rsidR="009D5CEE" w:rsidRPr="005927F3">
        <w:rPr>
          <w:rFonts w:cstheme="minorHAnsi"/>
          <w:iCs/>
          <w:sz w:val="24"/>
          <w:szCs w:val="24"/>
        </w:rPr>
        <w:t xml:space="preserve">For </w:t>
      </w:r>
      <w:r w:rsidR="00CF669F" w:rsidRPr="005927F3">
        <w:rPr>
          <w:rFonts w:cstheme="minorHAnsi"/>
          <w:iCs/>
          <w:sz w:val="24"/>
          <w:szCs w:val="24"/>
        </w:rPr>
        <w:t>present</w:t>
      </w:r>
      <w:r w:rsidR="009D5CEE" w:rsidRPr="005927F3">
        <w:rPr>
          <w:rFonts w:cstheme="minorHAnsi"/>
          <w:iCs/>
          <w:sz w:val="24"/>
          <w:szCs w:val="24"/>
        </w:rPr>
        <w:t xml:space="preserve"> purpose</w:t>
      </w:r>
      <w:r w:rsidR="00141202" w:rsidRPr="005927F3">
        <w:rPr>
          <w:rFonts w:cstheme="minorHAnsi"/>
          <w:iCs/>
          <w:sz w:val="24"/>
          <w:szCs w:val="24"/>
        </w:rPr>
        <w:t xml:space="preserve">s, however, the </w:t>
      </w:r>
      <w:r w:rsidR="00CC1FB3" w:rsidRPr="005927F3">
        <w:rPr>
          <w:rFonts w:cstheme="minorHAnsi"/>
          <w:iCs/>
          <w:sz w:val="24"/>
          <w:szCs w:val="24"/>
        </w:rPr>
        <w:t>point</w:t>
      </w:r>
      <w:r w:rsidR="00141202" w:rsidRPr="005927F3">
        <w:rPr>
          <w:rFonts w:cstheme="minorHAnsi"/>
          <w:iCs/>
          <w:sz w:val="24"/>
          <w:szCs w:val="24"/>
        </w:rPr>
        <w:t>s</w:t>
      </w:r>
      <w:r w:rsidR="009D5CEE" w:rsidRPr="005927F3">
        <w:rPr>
          <w:rFonts w:cstheme="minorHAnsi"/>
          <w:iCs/>
          <w:sz w:val="24"/>
          <w:szCs w:val="24"/>
        </w:rPr>
        <w:t xml:space="preserve"> of interest lie in </w:t>
      </w:r>
      <w:r w:rsidR="00D769DB" w:rsidRPr="005927F3">
        <w:rPr>
          <w:rFonts w:cstheme="minorHAnsi"/>
          <w:iCs/>
          <w:sz w:val="24"/>
          <w:szCs w:val="24"/>
        </w:rPr>
        <w:t xml:space="preserve">how </w:t>
      </w:r>
      <w:r w:rsidR="00CF669F" w:rsidRPr="005927F3">
        <w:rPr>
          <w:rFonts w:cstheme="minorHAnsi"/>
          <w:iCs/>
          <w:sz w:val="24"/>
          <w:szCs w:val="24"/>
        </w:rPr>
        <w:t>these</w:t>
      </w:r>
      <w:r w:rsidR="00DA6C38" w:rsidRPr="005927F3">
        <w:rPr>
          <w:rFonts w:cstheme="minorHAnsi"/>
          <w:iCs/>
          <w:sz w:val="24"/>
          <w:szCs w:val="24"/>
        </w:rPr>
        <w:t xml:space="preserve"> judg</w:t>
      </w:r>
      <w:r w:rsidR="002917D2" w:rsidRPr="005927F3">
        <w:rPr>
          <w:rFonts w:cstheme="minorHAnsi"/>
          <w:iCs/>
          <w:sz w:val="24"/>
          <w:szCs w:val="24"/>
        </w:rPr>
        <w:t>ments</w:t>
      </w:r>
      <w:r w:rsidR="00727C73" w:rsidRPr="005927F3">
        <w:rPr>
          <w:rFonts w:cstheme="minorHAnsi"/>
          <w:iCs/>
          <w:sz w:val="24"/>
          <w:szCs w:val="24"/>
        </w:rPr>
        <w:t xml:space="preserve"> </w:t>
      </w:r>
      <w:r w:rsidR="009F6AD3" w:rsidRPr="005927F3">
        <w:rPr>
          <w:rFonts w:cstheme="minorHAnsi"/>
          <w:iCs/>
          <w:sz w:val="24"/>
          <w:szCs w:val="24"/>
        </w:rPr>
        <w:t xml:space="preserve">have sought </w:t>
      </w:r>
      <w:r w:rsidR="008A3838" w:rsidRPr="005927F3">
        <w:rPr>
          <w:rFonts w:cstheme="minorHAnsi"/>
          <w:iCs/>
          <w:sz w:val="24"/>
          <w:szCs w:val="24"/>
        </w:rPr>
        <w:t xml:space="preserve">to </w:t>
      </w:r>
      <w:r w:rsidR="00727C73" w:rsidRPr="005927F3">
        <w:rPr>
          <w:rFonts w:cstheme="minorHAnsi"/>
          <w:iCs/>
          <w:sz w:val="24"/>
          <w:szCs w:val="24"/>
        </w:rPr>
        <w:t xml:space="preserve">bridge </w:t>
      </w:r>
      <w:r w:rsidR="00A73803" w:rsidRPr="005927F3">
        <w:rPr>
          <w:rFonts w:cstheme="minorHAnsi"/>
          <w:iCs/>
          <w:sz w:val="24"/>
          <w:szCs w:val="24"/>
        </w:rPr>
        <w:t xml:space="preserve">the </w:t>
      </w:r>
      <w:r w:rsidR="00CF669F" w:rsidRPr="005927F3">
        <w:rPr>
          <w:rFonts w:cstheme="minorHAnsi"/>
          <w:iCs/>
          <w:sz w:val="24"/>
          <w:szCs w:val="24"/>
        </w:rPr>
        <w:t>divide</w:t>
      </w:r>
      <w:r w:rsidR="00A73803" w:rsidRPr="005927F3">
        <w:rPr>
          <w:rFonts w:cstheme="minorHAnsi"/>
          <w:iCs/>
          <w:sz w:val="24"/>
          <w:szCs w:val="24"/>
        </w:rPr>
        <w:t xml:space="preserve"> between </w:t>
      </w:r>
      <w:r w:rsidR="00CB5EA9" w:rsidRPr="005927F3">
        <w:rPr>
          <w:rFonts w:cstheme="minorHAnsi"/>
          <w:iCs/>
          <w:sz w:val="24"/>
          <w:szCs w:val="24"/>
        </w:rPr>
        <w:t xml:space="preserve">the GDPR and Art 8 – and implicitly between </w:t>
      </w:r>
      <w:r w:rsidR="00A73803" w:rsidRPr="005927F3">
        <w:rPr>
          <w:rFonts w:cstheme="minorHAnsi"/>
          <w:iCs/>
          <w:sz w:val="24"/>
          <w:szCs w:val="24"/>
        </w:rPr>
        <w:t>Anglo-American and Continental European</w:t>
      </w:r>
      <w:r w:rsidR="00CC1FB3" w:rsidRPr="005927F3">
        <w:rPr>
          <w:rFonts w:cstheme="minorHAnsi"/>
          <w:iCs/>
          <w:sz w:val="24"/>
          <w:szCs w:val="24"/>
        </w:rPr>
        <w:t xml:space="preserve"> </w:t>
      </w:r>
      <w:r w:rsidR="00727C73" w:rsidRPr="005927F3">
        <w:rPr>
          <w:rFonts w:cstheme="minorHAnsi"/>
          <w:iCs/>
          <w:sz w:val="24"/>
          <w:szCs w:val="24"/>
        </w:rPr>
        <w:t>conception</w:t>
      </w:r>
      <w:r w:rsidR="00E75EEE" w:rsidRPr="005927F3">
        <w:rPr>
          <w:rFonts w:cstheme="minorHAnsi"/>
          <w:iCs/>
          <w:sz w:val="24"/>
          <w:szCs w:val="24"/>
        </w:rPr>
        <w:t>s</w:t>
      </w:r>
      <w:r w:rsidR="00727C73" w:rsidRPr="005927F3">
        <w:rPr>
          <w:rFonts w:cstheme="minorHAnsi"/>
          <w:iCs/>
          <w:sz w:val="24"/>
          <w:szCs w:val="24"/>
        </w:rPr>
        <w:t xml:space="preserve"> of privacy</w:t>
      </w:r>
      <w:r w:rsidR="00141202" w:rsidRPr="005927F3">
        <w:rPr>
          <w:rFonts w:cstheme="minorHAnsi"/>
          <w:iCs/>
          <w:sz w:val="24"/>
          <w:szCs w:val="24"/>
        </w:rPr>
        <w:t>.</w:t>
      </w:r>
      <w:r w:rsidR="00D816FC" w:rsidRPr="005927F3">
        <w:rPr>
          <w:rFonts w:cstheme="minorHAnsi"/>
          <w:iCs/>
          <w:sz w:val="24"/>
          <w:szCs w:val="24"/>
        </w:rPr>
        <w:t xml:space="preserve"> </w:t>
      </w:r>
      <w:r w:rsidR="008A3838" w:rsidRPr="005927F3">
        <w:rPr>
          <w:rFonts w:cstheme="minorHAnsi"/>
          <w:iCs/>
          <w:sz w:val="24"/>
          <w:szCs w:val="24"/>
        </w:rPr>
        <w:t>Whilst t</w:t>
      </w:r>
      <w:r w:rsidR="0054730C" w:rsidRPr="005927F3">
        <w:rPr>
          <w:rFonts w:cstheme="minorHAnsi"/>
          <w:iCs/>
          <w:sz w:val="24"/>
          <w:szCs w:val="24"/>
        </w:rPr>
        <w:t>he</w:t>
      </w:r>
      <w:r w:rsidR="00412F5B" w:rsidRPr="005927F3">
        <w:rPr>
          <w:rFonts w:cstheme="minorHAnsi"/>
          <w:iCs/>
          <w:sz w:val="24"/>
          <w:szCs w:val="24"/>
        </w:rPr>
        <w:t xml:space="preserve"> </w:t>
      </w:r>
      <w:r w:rsidR="008A3838" w:rsidRPr="005927F3">
        <w:rPr>
          <w:rFonts w:cstheme="minorHAnsi"/>
          <w:iCs/>
          <w:sz w:val="24"/>
          <w:szCs w:val="24"/>
        </w:rPr>
        <w:t>actual</w:t>
      </w:r>
      <w:r w:rsidR="0054730C" w:rsidRPr="005927F3">
        <w:rPr>
          <w:rFonts w:cstheme="minorHAnsi"/>
          <w:iCs/>
          <w:sz w:val="24"/>
          <w:szCs w:val="24"/>
        </w:rPr>
        <w:t xml:space="preserve"> outcomes</w:t>
      </w:r>
      <w:r w:rsidR="00412F5B" w:rsidRPr="005927F3">
        <w:rPr>
          <w:rFonts w:cstheme="minorHAnsi"/>
          <w:iCs/>
          <w:sz w:val="24"/>
          <w:szCs w:val="24"/>
        </w:rPr>
        <w:t xml:space="preserve"> may </w:t>
      </w:r>
      <w:r w:rsidR="00290110" w:rsidRPr="005927F3">
        <w:rPr>
          <w:rFonts w:cstheme="minorHAnsi"/>
          <w:iCs/>
          <w:sz w:val="24"/>
          <w:szCs w:val="24"/>
        </w:rPr>
        <w:t xml:space="preserve">well </w:t>
      </w:r>
      <w:r w:rsidR="00412F5B" w:rsidRPr="005927F3">
        <w:rPr>
          <w:rFonts w:cstheme="minorHAnsi"/>
          <w:iCs/>
          <w:sz w:val="24"/>
          <w:szCs w:val="24"/>
        </w:rPr>
        <w:t>be defensible</w:t>
      </w:r>
      <w:r w:rsidR="008A3838" w:rsidRPr="005927F3">
        <w:rPr>
          <w:rFonts w:cstheme="minorHAnsi"/>
          <w:iCs/>
          <w:sz w:val="24"/>
          <w:szCs w:val="24"/>
        </w:rPr>
        <w:t>,</w:t>
      </w:r>
      <w:r w:rsidR="0054730C" w:rsidRPr="005927F3">
        <w:rPr>
          <w:rFonts w:cstheme="minorHAnsi"/>
          <w:iCs/>
          <w:sz w:val="24"/>
          <w:szCs w:val="24"/>
        </w:rPr>
        <w:t xml:space="preserve"> the reasoning</w:t>
      </w:r>
      <w:r w:rsidR="00DA6C38" w:rsidRPr="005927F3">
        <w:rPr>
          <w:rFonts w:cstheme="minorHAnsi"/>
          <w:iCs/>
          <w:sz w:val="24"/>
          <w:szCs w:val="24"/>
        </w:rPr>
        <w:t xml:space="preserve"> shows that</w:t>
      </w:r>
      <w:r w:rsidR="0054730C" w:rsidRPr="005927F3">
        <w:rPr>
          <w:rFonts w:cstheme="minorHAnsi"/>
          <w:iCs/>
          <w:sz w:val="24"/>
          <w:szCs w:val="24"/>
        </w:rPr>
        <w:t xml:space="preserve"> </w:t>
      </w:r>
      <w:r w:rsidR="00D769DB" w:rsidRPr="005927F3">
        <w:rPr>
          <w:rStyle w:val="Emphasis"/>
          <w:rFonts w:cstheme="minorHAnsi"/>
          <w:i w:val="0"/>
          <w:sz w:val="24"/>
          <w:szCs w:val="24"/>
        </w:rPr>
        <w:t>A</w:t>
      </w:r>
      <w:r w:rsidR="00D769DB" w:rsidRPr="005927F3">
        <w:rPr>
          <w:rFonts w:cstheme="minorHAnsi"/>
          <w:iCs/>
          <w:sz w:val="24"/>
          <w:szCs w:val="24"/>
        </w:rPr>
        <w:t>nglo-American</w:t>
      </w:r>
      <w:r w:rsidR="00D769DB" w:rsidRPr="005927F3">
        <w:rPr>
          <w:rStyle w:val="Emphasis"/>
          <w:rFonts w:cstheme="minorHAnsi"/>
          <w:sz w:val="24"/>
          <w:szCs w:val="24"/>
        </w:rPr>
        <w:t xml:space="preserve"> </w:t>
      </w:r>
      <w:r w:rsidR="00F768B9" w:rsidRPr="005927F3">
        <w:rPr>
          <w:rStyle w:val="Emphasis"/>
          <w:rFonts w:cstheme="minorHAnsi"/>
          <w:i w:val="0"/>
          <w:sz w:val="24"/>
          <w:szCs w:val="24"/>
        </w:rPr>
        <w:t>privacy</w:t>
      </w:r>
      <w:r w:rsidR="00DC0844" w:rsidRPr="005927F3">
        <w:rPr>
          <w:rStyle w:val="Emphasis"/>
          <w:rFonts w:cstheme="minorHAnsi"/>
          <w:i w:val="0"/>
          <w:sz w:val="24"/>
          <w:szCs w:val="24"/>
        </w:rPr>
        <w:t xml:space="preserve"> </w:t>
      </w:r>
      <w:r w:rsidR="009F6AD3" w:rsidRPr="005927F3">
        <w:rPr>
          <w:rStyle w:val="Emphasis"/>
          <w:rFonts w:cstheme="minorHAnsi"/>
          <w:i w:val="0"/>
          <w:sz w:val="24"/>
          <w:szCs w:val="24"/>
        </w:rPr>
        <w:t>ideas are</w:t>
      </w:r>
      <w:r w:rsidR="00072095" w:rsidRPr="005927F3">
        <w:rPr>
          <w:rStyle w:val="Emphasis"/>
          <w:rFonts w:cstheme="minorHAnsi"/>
          <w:i w:val="0"/>
          <w:sz w:val="24"/>
          <w:szCs w:val="24"/>
        </w:rPr>
        <w:t xml:space="preserve"> not easily grafted onto</w:t>
      </w:r>
      <w:r w:rsidR="00F54DD9" w:rsidRPr="005927F3">
        <w:rPr>
          <w:rStyle w:val="Emphasis"/>
          <w:rFonts w:cstheme="minorHAnsi"/>
          <w:i w:val="0"/>
          <w:sz w:val="24"/>
          <w:szCs w:val="24"/>
        </w:rPr>
        <w:t xml:space="preserve"> </w:t>
      </w:r>
      <w:r w:rsidR="00D769DB" w:rsidRPr="005927F3">
        <w:rPr>
          <w:rStyle w:val="Emphasis"/>
          <w:rFonts w:cstheme="minorHAnsi"/>
          <w:i w:val="0"/>
          <w:sz w:val="24"/>
          <w:szCs w:val="24"/>
        </w:rPr>
        <w:t>Continental European</w:t>
      </w:r>
      <w:r w:rsidR="000B60BD" w:rsidRPr="005927F3">
        <w:rPr>
          <w:rStyle w:val="Emphasis"/>
          <w:rFonts w:cstheme="minorHAnsi"/>
          <w:i w:val="0"/>
          <w:sz w:val="24"/>
          <w:szCs w:val="24"/>
        </w:rPr>
        <w:t xml:space="preserve"> privacy</w:t>
      </w:r>
      <w:r w:rsidR="00D769DB" w:rsidRPr="005927F3">
        <w:rPr>
          <w:rStyle w:val="Emphasis"/>
          <w:rFonts w:cstheme="minorHAnsi"/>
          <w:i w:val="0"/>
          <w:sz w:val="24"/>
          <w:szCs w:val="24"/>
        </w:rPr>
        <w:t xml:space="preserve"> </w:t>
      </w:r>
      <w:r w:rsidR="000B60BD" w:rsidRPr="005927F3">
        <w:rPr>
          <w:rStyle w:val="Emphasis"/>
          <w:rFonts w:cstheme="minorHAnsi"/>
          <w:i w:val="0"/>
          <w:sz w:val="24"/>
          <w:szCs w:val="24"/>
        </w:rPr>
        <w:t xml:space="preserve">roots, or </w:t>
      </w:r>
      <w:r w:rsidR="000B60BD" w:rsidRPr="005927F3">
        <w:rPr>
          <w:rStyle w:val="Emphasis"/>
          <w:rFonts w:cstheme="minorHAnsi"/>
          <w:sz w:val="24"/>
          <w:szCs w:val="24"/>
        </w:rPr>
        <w:t>vice versa</w:t>
      </w:r>
      <w:r w:rsidR="000B60BD" w:rsidRPr="005927F3">
        <w:rPr>
          <w:rStyle w:val="Emphasis"/>
          <w:rFonts w:cstheme="minorHAnsi"/>
          <w:i w:val="0"/>
          <w:sz w:val="24"/>
          <w:szCs w:val="24"/>
        </w:rPr>
        <w:t xml:space="preserve">. </w:t>
      </w:r>
      <w:r w:rsidR="00F54DD9" w:rsidRPr="005927F3">
        <w:rPr>
          <w:rStyle w:val="Emphasis"/>
          <w:rFonts w:cstheme="minorHAnsi"/>
          <w:i w:val="0"/>
          <w:sz w:val="24"/>
          <w:szCs w:val="24"/>
        </w:rPr>
        <w:t xml:space="preserve"> </w:t>
      </w:r>
    </w:p>
    <w:p w14:paraId="2AA0BAFC" w14:textId="488F5DEA" w:rsidR="00274D4D" w:rsidRPr="00E96006" w:rsidRDefault="00274D4D" w:rsidP="00B12462">
      <w:pPr>
        <w:autoSpaceDE w:val="0"/>
        <w:autoSpaceDN w:val="0"/>
        <w:adjustRightInd w:val="0"/>
        <w:spacing w:after="0" w:line="240" w:lineRule="auto"/>
        <w:jc w:val="both"/>
        <w:rPr>
          <w:rStyle w:val="Emphasis"/>
          <w:rFonts w:cstheme="minorHAnsi"/>
          <w:i w:val="0"/>
          <w:sz w:val="24"/>
          <w:szCs w:val="24"/>
        </w:rPr>
      </w:pPr>
    </w:p>
    <w:p w14:paraId="76060614" w14:textId="256BEA43" w:rsidR="00144769" w:rsidRPr="005927F3" w:rsidRDefault="00274D4D" w:rsidP="00E96006">
      <w:pPr>
        <w:autoSpaceDE w:val="0"/>
        <w:autoSpaceDN w:val="0"/>
        <w:adjustRightInd w:val="0"/>
        <w:spacing w:after="0" w:line="240" w:lineRule="auto"/>
        <w:jc w:val="both"/>
        <w:rPr>
          <w:rStyle w:val="s7d2086b4"/>
          <w:rFonts w:cstheme="minorHAnsi"/>
          <w:iCs/>
          <w:sz w:val="24"/>
          <w:szCs w:val="24"/>
        </w:rPr>
      </w:pPr>
      <w:r w:rsidRPr="00E96006">
        <w:rPr>
          <w:rStyle w:val="Emphasis"/>
          <w:rFonts w:cstheme="minorHAnsi"/>
          <w:i w:val="0"/>
          <w:sz w:val="24"/>
          <w:szCs w:val="24"/>
        </w:rPr>
        <w:t>The starting point</w:t>
      </w:r>
      <w:r w:rsidR="0061752A">
        <w:rPr>
          <w:rStyle w:val="Emphasis"/>
          <w:rFonts w:cstheme="minorHAnsi"/>
          <w:i w:val="0"/>
          <w:sz w:val="24"/>
          <w:szCs w:val="24"/>
        </w:rPr>
        <w:t xml:space="preserve"> here</w:t>
      </w:r>
      <w:r w:rsidR="007C0756" w:rsidRPr="00E96006">
        <w:rPr>
          <w:rStyle w:val="Emphasis"/>
          <w:rFonts w:cstheme="minorHAnsi"/>
          <w:i w:val="0"/>
          <w:sz w:val="24"/>
          <w:szCs w:val="24"/>
        </w:rPr>
        <w:t xml:space="preserve"> </w:t>
      </w:r>
      <w:r w:rsidRPr="000B1C0F">
        <w:rPr>
          <w:rStyle w:val="Emphasis"/>
          <w:rFonts w:cstheme="minorHAnsi"/>
          <w:i w:val="0"/>
          <w:sz w:val="24"/>
          <w:szCs w:val="24"/>
        </w:rPr>
        <w:t xml:space="preserve">is that Art 8 </w:t>
      </w:r>
      <w:r w:rsidR="00512014" w:rsidRPr="000B1C0F">
        <w:rPr>
          <w:rStyle w:val="Emphasis"/>
          <w:rFonts w:cstheme="minorHAnsi"/>
          <w:i w:val="0"/>
          <w:sz w:val="24"/>
          <w:szCs w:val="24"/>
        </w:rPr>
        <w:t xml:space="preserve">drew </w:t>
      </w:r>
      <w:r w:rsidRPr="000B1C0F">
        <w:rPr>
          <w:rStyle w:val="Emphasis"/>
          <w:rFonts w:cstheme="minorHAnsi"/>
          <w:i w:val="0"/>
          <w:sz w:val="24"/>
          <w:szCs w:val="24"/>
        </w:rPr>
        <w:t xml:space="preserve">– despite its location in the European Convention of Human Rights </w:t>
      </w:r>
      <w:proofErr w:type="gramStart"/>
      <w:r w:rsidRPr="000B1C0F">
        <w:rPr>
          <w:rStyle w:val="Emphasis"/>
          <w:rFonts w:cstheme="minorHAnsi"/>
          <w:i w:val="0"/>
          <w:sz w:val="24"/>
          <w:szCs w:val="24"/>
        </w:rPr>
        <w:t>–</w:t>
      </w:r>
      <w:r w:rsidR="007C21F0" w:rsidRPr="000B1C0F">
        <w:rPr>
          <w:rStyle w:val="Emphasis"/>
          <w:rFonts w:cstheme="minorHAnsi"/>
          <w:i w:val="0"/>
          <w:sz w:val="24"/>
          <w:szCs w:val="24"/>
        </w:rPr>
        <w:t xml:space="preserve"> </w:t>
      </w:r>
      <w:r w:rsidRPr="000B1C0F">
        <w:rPr>
          <w:rStyle w:val="Emphasis"/>
          <w:rFonts w:cstheme="minorHAnsi"/>
          <w:i w:val="0"/>
          <w:sz w:val="24"/>
          <w:szCs w:val="24"/>
        </w:rPr>
        <w:t xml:space="preserve"> in</w:t>
      </w:r>
      <w:proofErr w:type="gramEnd"/>
      <w:r w:rsidRPr="000B1C0F">
        <w:rPr>
          <w:rStyle w:val="Emphasis"/>
          <w:rFonts w:cstheme="minorHAnsi"/>
          <w:i w:val="0"/>
          <w:sz w:val="24"/>
          <w:szCs w:val="24"/>
        </w:rPr>
        <w:t xml:space="preserve"> its inception</w:t>
      </w:r>
      <w:r w:rsidR="00CB5EA9" w:rsidRPr="000B1C0F">
        <w:rPr>
          <w:rStyle w:val="Emphasis"/>
          <w:rFonts w:cstheme="minorHAnsi"/>
          <w:i w:val="0"/>
          <w:sz w:val="24"/>
          <w:szCs w:val="24"/>
        </w:rPr>
        <w:t xml:space="preserve"> </w:t>
      </w:r>
      <w:r w:rsidR="008342A9" w:rsidRPr="000B1C0F">
        <w:rPr>
          <w:rStyle w:val="Emphasis"/>
          <w:rFonts w:cstheme="minorHAnsi"/>
          <w:i w:val="0"/>
          <w:sz w:val="24"/>
          <w:szCs w:val="24"/>
        </w:rPr>
        <w:t>more</w:t>
      </w:r>
      <w:r w:rsidR="00A346B1">
        <w:rPr>
          <w:rStyle w:val="Emphasis"/>
          <w:rFonts w:cstheme="minorHAnsi"/>
          <w:i w:val="0"/>
          <w:sz w:val="24"/>
          <w:szCs w:val="24"/>
        </w:rPr>
        <w:t xml:space="preserve"> </w:t>
      </w:r>
      <w:r w:rsidRPr="00E96006">
        <w:rPr>
          <w:rStyle w:val="Emphasis"/>
          <w:rFonts w:cstheme="minorHAnsi"/>
          <w:i w:val="0"/>
          <w:sz w:val="24"/>
          <w:szCs w:val="24"/>
        </w:rPr>
        <w:t>on</w:t>
      </w:r>
      <w:r w:rsidR="007C21F0" w:rsidRPr="000B1C0F">
        <w:rPr>
          <w:rStyle w:val="Emphasis"/>
          <w:rFonts w:cstheme="minorHAnsi"/>
          <w:i w:val="0"/>
          <w:sz w:val="24"/>
          <w:szCs w:val="24"/>
        </w:rPr>
        <w:t xml:space="preserve"> </w:t>
      </w:r>
      <w:r w:rsidRPr="000B1C0F">
        <w:rPr>
          <w:rStyle w:val="Emphasis"/>
          <w:rFonts w:cstheme="minorHAnsi"/>
          <w:i w:val="0"/>
          <w:sz w:val="24"/>
          <w:szCs w:val="24"/>
        </w:rPr>
        <w:t xml:space="preserve">American </w:t>
      </w:r>
      <w:r w:rsidR="007C21F0" w:rsidRPr="000B1C0F">
        <w:rPr>
          <w:rStyle w:val="Emphasis"/>
          <w:rFonts w:cstheme="minorHAnsi"/>
          <w:i w:val="0"/>
          <w:sz w:val="24"/>
          <w:szCs w:val="24"/>
        </w:rPr>
        <w:t xml:space="preserve">privacy </w:t>
      </w:r>
      <w:r w:rsidR="00A346B1">
        <w:rPr>
          <w:rStyle w:val="Emphasis"/>
          <w:rFonts w:cstheme="minorHAnsi"/>
          <w:i w:val="0"/>
          <w:sz w:val="24"/>
          <w:szCs w:val="24"/>
        </w:rPr>
        <w:t xml:space="preserve">culture and </w:t>
      </w:r>
      <w:r w:rsidR="007C21F0" w:rsidRPr="00E96006">
        <w:rPr>
          <w:rStyle w:val="Emphasis"/>
          <w:rFonts w:cstheme="minorHAnsi"/>
          <w:i w:val="0"/>
          <w:sz w:val="24"/>
          <w:szCs w:val="24"/>
        </w:rPr>
        <w:t xml:space="preserve">law </w:t>
      </w:r>
      <w:r w:rsidR="008342A9" w:rsidRPr="000B1C0F">
        <w:rPr>
          <w:rStyle w:val="Emphasis"/>
          <w:rFonts w:cstheme="minorHAnsi"/>
          <w:i w:val="0"/>
          <w:sz w:val="24"/>
          <w:szCs w:val="24"/>
        </w:rPr>
        <w:t>than</w:t>
      </w:r>
      <w:r w:rsidR="007C21F0" w:rsidRPr="000B1C0F">
        <w:rPr>
          <w:rStyle w:val="Emphasis"/>
          <w:rFonts w:cstheme="minorHAnsi"/>
          <w:i w:val="0"/>
          <w:sz w:val="24"/>
          <w:szCs w:val="24"/>
        </w:rPr>
        <w:t xml:space="preserve"> on the</w:t>
      </w:r>
      <w:r w:rsidR="008342A9" w:rsidRPr="000B1C0F">
        <w:rPr>
          <w:rStyle w:val="Emphasis"/>
          <w:rFonts w:cstheme="minorHAnsi"/>
          <w:i w:val="0"/>
          <w:sz w:val="24"/>
          <w:szCs w:val="24"/>
        </w:rPr>
        <w:t xml:space="preserve"> Continental European </w:t>
      </w:r>
      <w:r w:rsidR="007C21F0" w:rsidRPr="000B1C0F">
        <w:rPr>
          <w:rStyle w:val="Emphasis"/>
          <w:rFonts w:cstheme="minorHAnsi"/>
          <w:i w:val="0"/>
          <w:sz w:val="24"/>
          <w:szCs w:val="24"/>
        </w:rPr>
        <w:t>one</w:t>
      </w:r>
      <w:r w:rsidRPr="000B1C0F">
        <w:rPr>
          <w:rStyle w:val="Emphasis"/>
          <w:rFonts w:cstheme="minorHAnsi"/>
          <w:i w:val="0"/>
          <w:sz w:val="24"/>
          <w:szCs w:val="24"/>
        </w:rPr>
        <w:t xml:space="preserve">. </w:t>
      </w:r>
      <w:r w:rsidR="0000421F">
        <w:rPr>
          <w:rStyle w:val="Emphasis"/>
          <w:rFonts w:cstheme="minorHAnsi"/>
          <w:i w:val="0"/>
          <w:sz w:val="24"/>
          <w:szCs w:val="24"/>
        </w:rPr>
        <w:t xml:space="preserve">Whilst </w:t>
      </w:r>
      <w:r w:rsidR="00F605CC" w:rsidRPr="00E227D9">
        <w:rPr>
          <w:rStyle w:val="Emphasis"/>
          <w:rFonts w:cstheme="minorHAnsi"/>
          <w:i w:val="0"/>
          <w:sz w:val="24"/>
          <w:szCs w:val="24"/>
        </w:rPr>
        <w:t>Art</w:t>
      </w:r>
      <w:r w:rsidR="00515EF2">
        <w:rPr>
          <w:rStyle w:val="Emphasis"/>
          <w:rFonts w:cstheme="minorHAnsi"/>
          <w:i w:val="0"/>
          <w:sz w:val="24"/>
          <w:szCs w:val="24"/>
        </w:rPr>
        <w:t>icle</w:t>
      </w:r>
      <w:r w:rsidR="00F605CC" w:rsidRPr="00E227D9">
        <w:rPr>
          <w:rStyle w:val="Emphasis"/>
          <w:rFonts w:cstheme="minorHAnsi"/>
          <w:i w:val="0"/>
          <w:sz w:val="24"/>
          <w:szCs w:val="24"/>
        </w:rPr>
        <w:t xml:space="preserve"> 8 echoes</w:t>
      </w:r>
      <w:r w:rsidR="00F605CC" w:rsidRPr="00E96006">
        <w:rPr>
          <w:rStyle w:val="Emphasis"/>
          <w:rFonts w:cstheme="minorHAnsi"/>
          <w:i w:val="0"/>
          <w:sz w:val="24"/>
          <w:szCs w:val="24"/>
        </w:rPr>
        <w:t xml:space="preserve"> </w:t>
      </w:r>
      <w:r w:rsidR="00512014" w:rsidRPr="00E96006">
        <w:rPr>
          <w:rStyle w:val="Emphasis"/>
          <w:rFonts w:cstheme="minorHAnsi"/>
          <w:i w:val="0"/>
          <w:sz w:val="24"/>
          <w:szCs w:val="24"/>
        </w:rPr>
        <w:t>Art 12 of the Universal Declaration of Human Rights (1948)</w:t>
      </w:r>
      <w:r w:rsidR="0000421F">
        <w:rPr>
          <w:rStyle w:val="Emphasis"/>
          <w:rFonts w:cstheme="minorHAnsi"/>
          <w:i w:val="0"/>
          <w:sz w:val="24"/>
          <w:szCs w:val="24"/>
        </w:rPr>
        <w:t>, Art 12</w:t>
      </w:r>
      <w:r w:rsidR="00F605CC">
        <w:rPr>
          <w:rStyle w:val="Emphasis"/>
          <w:rFonts w:cstheme="minorHAnsi"/>
          <w:i w:val="0"/>
          <w:sz w:val="24"/>
          <w:szCs w:val="24"/>
        </w:rPr>
        <w:t xml:space="preserve"> in turn</w:t>
      </w:r>
      <w:r w:rsidR="00512014" w:rsidRPr="00E96006">
        <w:rPr>
          <w:rStyle w:val="Emphasis"/>
          <w:rFonts w:cstheme="minorHAnsi"/>
          <w:i w:val="0"/>
          <w:sz w:val="24"/>
          <w:szCs w:val="24"/>
        </w:rPr>
        <w:t xml:space="preserve"> speaks to the </w:t>
      </w:r>
      <w:r w:rsidR="00512014" w:rsidRPr="0067292B">
        <w:rPr>
          <w:rStyle w:val="Emphasis"/>
          <w:rFonts w:cstheme="minorHAnsi"/>
          <w:i w:val="0"/>
          <w:sz w:val="24"/>
          <w:szCs w:val="24"/>
        </w:rPr>
        <w:t xml:space="preserve">American influence in </w:t>
      </w:r>
      <w:r w:rsidR="000B1C0F" w:rsidRPr="0067292B">
        <w:rPr>
          <w:rStyle w:val="Emphasis"/>
          <w:rFonts w:cstheme="minorHAnsi"/>
          <w:i w:val="0"/>
          <w:sz w:val="24"/>
          <w:szCs w:val="24"/>
        </w:rPr>
        <w:t>its</w:t>
      </w:r>
      <w:r w:rsidR="00512014" w:rsidRPr="0067292B">
        <w:rPr>
          <w:rStyle w:val="Emphasis"/>
          <w:rFonts w:cstheme="minorHAnsi"/>
          <w:i w:val="0"/>
          <w:sz w:val="24"/>
          <w:szCs w:val="24"/>
        </w:rPr>
        <w:t xml:space="preserve"> drafting.</w:t>
      </w:r>
      <w:r w:rsidR="00F605CC" w:rsidRPr="00BE0C16">
        <w:rPr>
          <w:rStyle w:val="FootnoteReference"/>
          <w:rFonts w:cstheme="minorHAnsi"/>
          <w:iCs/>
          <w:sz w:val="24"/>
          <w:szCs w:val="24"/>
        </w:rPr>
        <w:footnoteReference w:id="126"/>
      </w:r>
      <w:r w:rsidR="00F605CC">
        <w:rPr>
          <w:rStyle w:val="Emphasis"/>
          <w:rFonts w:cstheme="minorHAnsi"/>
          <w:i w:val="0"/>
          <w:sz w:val="24"/>
          <w:szCs w:val="24"/>
        </w:rPr>
        <w:t xml:space="preserve"> Not only was </w:t>
      </w:r>
      <w:r w:rsidR="00512014" w:rsidRPr="00E96006">
        <w:rPr>
          <w:rStyle w:val="Emphasis"/>
          <w:rFonts w:cstheme="minorHAnsi"/>
          <w:i w:val="0"/>
          <w:sz w:val="24"/>
          <w:szCs w:val="24"/>
        </w:rPr>
        <w:t>the first draft</w:t>
      </w:r>
      <w:r w:rsidR="00512014" w:rsidRPr="0067292B">
        <w:rPr>
          <w:rStyle w:val="Emphasis"/>
          <w:rFonts w:cstheme="minorHAnsi"/>
          <w:i w:val="0"/>
          <w:sz w:val="24"/>
          <w:szCs w:val="24"/>
        </w:rPr>
        <w:t xml:space="preserve"> prepared by John P Humphrey</w:t>
      </w:r>
      <w:r w:rsidR="00512014" w:rsidRPr="00181485">
        <w:rPr>
          <w:rStyle w:val="Emphasis"/>
          <w:rFonts w:cstheme="minorHAnsi"/>
          <w:i w:val="0"/>
          <w:sz w:val="24"/>
          <w:szCs w:val="24"/>
        </w:rPr>
        <w:t xml:space="preserve">, Director of the United </w:t>
      </w:r>
      <w:r w:rsidR="00512014" w:rsidRPr="00202BBA">
        <w:rPr>
          <w:rStyle w:val="Emphasis"/>
          <w:rFonts w:cstheme="minorHAnsi"/>
          <w:i w:val="0"/>
          <w:sz w:val="24"/>
          <w:szCs w:val="24"/>
        </w:rPr>
        <w:t xml:space="preserve">Nation Division of Human Rights, </w:t>
      </w:r>
      <w:r w:rsidR="00F605CC">
        <w:rPr>
          <w:rStyle w:val="Emphasis"/>
          <w:rFonts w:cstheme="minorHAnsi"/>
          <w:i w:val="0"/>
          <w:sz w:val="24"/>
          <w:szCs w:val="24"/>
        </w:rPr>
        <w:t xml:space="preserve">and </w:t>
      </w:r>
      <w:r w:rsidR="00512014" w:rsidRPr="00E96006">
        <w:rPr>
          <w:rStyle w:val="Emphasis"/>
          <w:rFonts w:cstheme="minorHAnsi"/>
          <w:i w:val="0"/>
          <w:sz w:val="24"/>
          <w:szCs w:val="24"/>
        </w:rPr>
        <w:t>framed ‘</w:t>
      </w:r>
      <w:r w:rsidR="00512014" w:rsidRPr="0067292B">
        <w:rPr>
          <w:rStyle w:val="Emphasis"/>
          <w:rFonts w:cstheme="minorHAnsi"/>
          <w:i w:val="0"/>
          <w:sz w:val="24"/>
          <w:szCs w:val="24"/>
        </w:rPr>
        <w:t>in a language obviously borrowed from the US Constitution</w:t>
      </w:r>
      <w:r w:rsidR="00512014" w:rsidRPr="00181485">
        <w:rPr>
          <w:rStyle w:val="Emphasis"/>
          <w:rFonts w:cstheme="minorHAnsi"/>
          <w:i w:val="0"/>
          <w:sz w:val="24"/>
          <w:szCs w:val="24"/>
        </w:rPr>
        <w:t>’</w:t>
      </w:r>
      <w:r w:rsidR="00512014" w:rsidRPr="00E96006">
        <w:rPr>
          <w:rStyle w:val="FootnoteReference"/>
          <w:rFonts w:cstheme="minorHAnsi"/>
          <w:iCs/>
          <w:sz w:val="24"/>
          <w:szCs w:val="24"/>
        </w:rPr>
        <w:footnoteReference w:id="127"/>
      </w:r>
      <w:r w:rsidR="00512014" w:rsidRPr="00E96006">
        <w:rPr>
          <w:rStyle w:val="Emphasis"/>
          <w:rFonts w:cstheme="minorHAnsi"/>
          <w:i w:val="0"/>
          <w:sz w:val="24"/>
          <w:szCs w:val="24"/>
        </w:rPr>
        <w:t xml:space="preserve"> </w:t>
      </w:r>
      <w:r w:rsidR="00F605CC">
        <w:rPr>
          <w:rStyle w:val="Emphasis"/>
          <w:rFonts w:cstheme="minorHAnsi"/>
          <w:i w:val="0"/>
          <w:sz w:val="24"/>
          <w:szCs w:val="24"/>
        </w:rPr>
        <w:t>albeit subsequently</w:t>
      </w:r>
      <w:r w:rsidR="000B1C0F" w:rsidRPr="00E96006">
        <w:rPr>
          <w:rStyle w:val="Emphasis"/>
          <w:rFonts w:cstheme="minorHAnsi"/>
          <w:i w:val="0"/>
          <w:sz w:val="24"/>
          <w:szCs w:val="24"/>
        </w:rPr>
        <w:t xml:space="preserve"> revised</w:t>
      </w:r>
      <w:r w:rsidR="00F605CC">
        <w:rPr>
          <w:rStyle w:val="Emphasis"/>
          <w:rFonts w:cstheme="minorHAnsi"/>
          <w:i w:val="0"/>
          <w:sz w:val="24"/>
          <w:szCs w:val="24"/>
        </w:rPr>
        <w:t>,</w:t>
      </w:r>
      <w:r w:rsidR="00515EF2">
        <w:rPr>
          <w:rStyle w:val="Emphasis"/>
          <w:rFonts w:cstheme="minorHAnsi"/>
          <w:i w:val="0"/>
          <w:sz w:val="24"/>
          <w:szCs w:val="24"/>
        </w:rPr>
        <w:t xml:space="preserve"> </w:t>
      </w:r>
      <w:r w:rsidR="00F605CC">
        <w:rPr>
          <w:rStyle w:val="Emphasis"/>
          <w:rFonts w:cstheme="minorHAnsi"/>
          <w:i w:val="0"/>
          <w:sz w:val="24"/>
          <w:szCs w:val="24"/>
        </w:rPr>
        <w:t xml:space="preserve">on the evidence </w:t>
      </w:r>
      <w:r w:rsidR="000B1C0F" w:rsidRPr="00E96006">
        <w:rPr>
          <w:rStyle w:val="Emphasis"/>
          <w:rFonts w:cstheme="minorHAnsi"/>
          <w:i w:val="0"/>
          <w:sz w:val="24"/>
          <w:szCs w:val="24"/>
        </w:rPr>
        <w:t xml:space="preserve">the final draft </w:t>
      </w:r>
      <w:r w:rsidR="00F605CC">
        <w:rPr>
          <w:rStyle w:val="Emphasis"/>
          <w:rFonts w:cstheme="minorHAnsi"/>
          <w:i w:val="0"/>
          <w:sz w:val="24"/>
          <w:szCs w:val="24"/>
        </w:rPr>
        <w:t>followed</w:t>
      </w:r>
      <w:r w:rsidR="000B1C0F" w:rsidRPr="00E96006">
        <w:rPr>
          <w:rStyle w:val="Emphasis"/>
          <w:rFonts w:cstheme="minorHAnsi"/>
          <w:i w:val="0"/>
          <w:sz w:val="24"/>
          <w:szCs w:val="24"/>
        </w:rPr>
        <w:t xml:space="preserve"> recommendations</w:t>
      </w:r>
      <w:r w:rsidR="000B1C0F" w:rsidRPr="0067292B">
        <w:rPr>
          <w:rStyle w:val="Emphasis"/>
          <w:rFonts w:cstheme="minorHAnsi"/>
          <w:i w:val="0"/>
          <w:sz w:val="24"/>
          <w:szCs w:val="24"/>
        </w:rPr>
        <w:t xml:space="preserve"> by the US </w:t>
      </w:r>
      <w:r w:rsidR="00F605CC">
        <w:rPr>
          <w:rStyle w:val="Emphasis"/>
          <w:rFonts w:cstheme="minorHAnsi"/>
          <w:i w:val="0"/>
          <w:sz w:val="24"/>
          <w:szCs w:val="24"/>
        </w:rPr>
        <w:t>and was</w:t>
      </w:r>
      <w:r w:rsidR="00515EF2">
        <w:rPr>
          <w:rStyle w:val="Emphasis"/>
          <w:rFonts w:cstheme="minorHAnsi"/>
          <w:i w:val="0"/>
          <w:sz w:val="24"/>
          <w:szCs w:val="24"/>
        </w:rPr>
        <w:t xml:space="preserve"> particularly</w:t>
      </w:r>
      <w:r w:rsidR="00F605CC">
        <w:rPr>
          <w:rStyle w:val="Emphasis"/>
          <w:rFonts w:cstheme="minorHAnsi"/>
          <w:i w:val="0"/>
          <w:sz w:val="24"/>
          <w:szCs w:val="24"/>
        </w:rPr>
        <w:t xml:space="preserve"> guided by </w:t>
      </w:r>
      <w:r w:rsidR="000B1C0F" w:rsidRPr="00E96006">
        <w:rPr>
          <w:rStyle w:val="Emphasis"/>
          <w:rFonts w:cstheme="minorHAnsi"/>
          <w:i w:val="0"/>
          <w:sz w:val="24"/>
          <w:szCs w:val="24"/>
        </w:rPr>
        <w:t xml:space="preserve">the </w:t>
      </w:r>
      <w:r w:rsidR="000B1C0F" w:rsidRPr="000B1C0F">
        <w:rPr>
          <w:rStyle w:val="Emphasis"/>
          <w:rFonts w:cstheme="minorHAnsi"/>
          <w:i w:val="0"/>
          <w:sz w:val="24"/>
          <w:szCs w:val="24"/>
        </w:rPr>
        <w:t>‘Statement of Essential Human Rights’ drafted under the auspices of the American Law Institute</w:t>
      </w:r>
      <w:r w:rsidR="00F605CC">
        <w:rPr>
          <w:rStyle w:val="Emphasis"/>
          <w:rFonts w:cstheme="minorHAnsi"/>
          <w:i w:val="0"/>
          <w:sz w:val="24"/>
          <w:szCs w:val="24"/>
        </w:rPr>
        <w:t>.</w:t>
      </w:r>
      <w:r w:rsidR="000B1C0F" w:rsidRPr="00E96006">
        <w:rPr>
          <w:rStyle w:val="FootnoteReference"/>
          <w:rFonts w:cstheme="minorHAnsi"/>
          <w:iCs/>
          <w:sz w:val="24"/>
          <w:szCs w:val="24"/>
        </w:rPr>
        <w:footnoteReference w:id="128"/>
      </w:r>
      <w:r w:rsidR="000B1C0F" w:rsidRPr="00E96006">
        <w:rPr>
          <w:rStyle w:val="Emphasis"/>
          <w:rFonts w:cstheme="minorHAnsi"/>
          <w:i w:val="0"/>
          <w:sz w:val="24"/>
          <w:szCs w:val="24"/>
        </w:rPr>
        <w:t xml:space="preserve"> </w:t>
      </w:r>
      <w:r w:rsidR="00A346B1">
        <w:rPr>
          <w:rStyle w:val="Emphasis"/>
          <w:rFonts w:cstheme="minorHAnsi"/>
          <w:i w:val="0"/>
          <w:sz w:val="24"/>
          <w:szCs w:val="24"/>
        </w:rPr>
        <w:t xml:space="preserve">Of course, </w:t>
      </w:r>
      <w:r w:rsidR="00676A5B">
        <w:rPr>
          <w:rStyle w:val="Emphasis"/>
          <w:rFonts w:cstheme="minorHAnsi"/>
          <w:i w:val="0"/>
          <w:sz w:val="24"/>
          <w:szCs w:val="24"/>
        </w:rPr>
        <w:t>Art</w:t>
      </w:r>
      <w:r w:rsidR="00A346B1">
        <w:rPr>
          <w:rStyle w:val="Emphasis"/>
          <w:rFonts w:cstheme="minorHAnsi"/>
          <w:i w:val="0"/>
          <w:sz w:val="24"/>
          <w:szCs w:val="24"/>
        </w:rPr>
        <w:t xml:space="preserve">icle </w:t>
      </w:r>
      <w:r w:rsidR="00676A5B">
        <w:rPr>
          <w:rStyle w:val="Emphasis"/>
          <w:rFonts w:cstheme="minorHAnsi"/>
          <w:i w:val="0"/>
          <w:sz w:val="24"/>
          <w:szCs w:val="24"/>
        </w:rPr>
        <w:t>12 UDHR is not a carbon copy of the Fourth Amendment</w:t>
      </w:r>
      <w:r w:rsidR="00F605CC">
        <w:rPr>
          <w:rStyle w:val="Emphasis"/>
          <w:rFonts w:cstheme="minorHAnsi"/>
          <w:i w:val="0"/>
          <w:sz w:val="24"/>
          <w:szCs w:val="24"/>
        </w:rPr>
        <w:t>. Yet</w:t>
      </w:r>
      <w:r w:rsidR="00515EF2">
        <w:rPr>
          <w:rStyle w:val="Emphasis"/>
          <w:rFonts w:cstheme="minorHAnsi"/>
          <w:i w:val="0"/>
          <w:sz w:val="24"/>
          <w:szCs w:val="24"/>
        </w:rPr>
        <w:t xml:space="preserve"> undoubtedly,</w:t>
      </w:r>
      <w:r w:rsidR="00676A5B">
        <w:rPr>
          <w:rStyle w:val="Emphasis"/>
          <w:rFonts w:cstheme="minorHAnsi"/>
          <w:i w:val="0"/>
          <w:sz w:val="24"/>
          <w:szCs w:val="24"/>
        </w:rPr>
        <w:t xml:space="preserve"> </w:t>
      </w:r>
      <w:r w:rsidR="000B1C0F" w:rsidRPr="000157FF">
        <w:rPr>
          <w:rStyle w:val="Emphasis"/>
          <w:rFonts w:cstheme="minorHAnsi"/>
          <w:i w:val="0"/>
          <w:sz w:val="24"/>
          <w:szCs w:val="24"/>
        </w:rPr>
        <w:t>there is</w:t>
      </w:r>
      <w:r w:rsidR="00F605CC">
        <w:rPr>
          <w:rStyle w:val="Emphasis"/>
          <w:rFonts w:cstheme="minorHAnsi"/>
          <w:i w:val="0"/>
          <w:sz w:val="24"/>
          <w:szCs w:val="24"/>
        </w:rPr>
        <w:t xml:space="preserve"> </w:t>
      </w:r>
      <w:r w:rsidR="007C21F0" w:rsidRPr="00E96006">
        <w:rPr>
          <w:rStyle w:val="Emphasis"/>
          <w:rFonts w:cstheme="minorHAnsi"/>
          <w:i w:val="0"/>
          <w:sz w:val="24"/>
          <w:szCs w:val="24"/>
        </w:rPr>
        <w:t>a</w:t>
      </w:r>
      <w:r w:rsidR="0006521C">
        <w:rPr>
          <w:rStyle w:val="Emphasis"/>
          <w:rFonts w:cstheme="minorHAnsi"/>
          <w:i w:val="0"/>
          <w:sz w:val="24"/>
          <w:szCs w:val="24"/>
        </w:rPr>
        <w:t xml:space="preserve"> </w:t>
      </w:r>
      <w:r w:rsidR="007C21F0" w:rsidRPr="00E96006">
        <w:rPr>
          <w:rStyle w:val="Emphasis"/>
          <w:rFonts w:cstheme="minorHAnsi"/>
          <w:i w:val="0"/>
          <w:sz w:val="24"/>
          <w:szCs w:val="24"/>
        </w:rPr>
        <w:t>family resem</w:t>
      </w:r>
      <w:r w:rsidR="007C21F0" w:rsidRPr="0067292B">
        <w:rPr>
          <w:rStyle w:val="Emphasis"/>
          <w:rFonts w:cstheme="minorHAnsi"/>
          <w:i w:val="0"/>
          <w:sz w:val="24"/>
          <w:szCs w:val="24"/>
        </w:rPr>
        <w:t>blance between</w:t>
      </w:r>
      <w:r w:rsidR="00676A5B">
        <w:rPr>
          <w:rStyle w:val="Emphasis"/>
          <w:rFonts w:cstheme="minorHAnsi"/>
          <w:i w:val="0"/>
          <w:sz w:val="24"/>
          <w:szCs w:val="24"/>
        </w:rPr>
        <w:t xml:space="preserve"> the two: </w:t>
      </w:r>
      <w:r w:rsidR="007C21F0" w:rsidRPr="00E96006">
        <w:rPr>
          <w:rStyle w:val="Emphasis"/>
          <w:rFonts w:cstheme="minorHAnsi"/>
          <w:i w:val="0"/>
          <w:sz w:val="24"/>
          <w:szCs w:val="24"/>
        </w:rPr>
        <w:t xml:space="preserve"> Art 12 </w:t>
      </w:r>
      <w:r w:rsidR="000B1C0F" w:rsidRPr="0067292B">
        <w:rPr>
          <w:rStyle w:val="Emphasis"/>
          <w:rFonts w:cstheme="minorHAnsi"/>
          <w:i w:val="0"/>
          <w:sz w:val="24"/>
          <w:szCs w:val="24"/>
        </w:rPr>
        <w:t>‘</w:t>
      </w:r>
      <w:r w:rsidR="0006521C">
        <w:rPr>
          <w:rStyle w:val="Emphasis"/>
          <w:rFonts w:cstheme="minorHAnsi"/>
          <w:i w:val="0"/>
          <w:sz w:val="24"/>
          <w:szCs w:val="24"/>
        </w:rPr>
        <w:t xml:space="preserve">No one shall be subject to </w:t>
      </w:r>
      <w:r w:rsidR="000B1C0F" w:rsidRPr="00641E7B">
        <w:rPr>
          <w:sz w:val="24"/>
          <w:szCs w:val="24"/>
        </w:rPr>
        <w:t xml:space="preserve">arbitrary interference with his </w:t>
      </w:r>
      <w:r w:rsidR="000B1C0F" w:rsidRPr="00641E7B">
        <w:rPr>
          <w:i/>
          <w:iCs/>
          <w:sz w:val="24"/>
          <w:szCs w:val="24"/>
        </w:rPr>
        <w:t xml:space="preserve">privacy, family, </w:t>
      </w:r>
      <w:proofErr w:type="gramStart"/>
      <w:r w:rsidR="000B1C0F" w:rsidRPr="00641E7B">
        <w:rPr>
          <w:i/>
          <w:iCs/>
          <w:sz w:val="24"/>
          <w:szCs w:val="24"/>
        </w:rPr>
        <w:t>home</w:t>
      </w:r>
      <w:proofErr w:type="gramEnd"/>
      <w:r w:rsidR="000B1C0F" w:rsidRPr="00641E7B">
        <w:rPr>
          <w:i/>
          <w:iCs/>
          <w:sz w:val="24"/>
          <w:szCs w:val="24"/>
        </w:rPr>
        <w:t xml:space="preserve"> or correspondence</w:t>
      </w:r>
      <w:r w:rsidR="0006521C">
        <w:rPr>
          <w:sz w:val="24"/>
          <w:szCs w:val="24"/>
        </w:rPr>
        <w:t>…’</w:t>
      </w:r>
      <w:r w:rsidR="00676A5B">
        <w:rPr>
          <w:sz w:val="24"/>
          <w:szCs w:val="24"/>
        </w:rPr>
        <w:t xml:space="preserve">; </w:t>
      </w:r>
      <w:r w:rsidR="000B1C0F" w:rsidRPr="00641E7B">
        <w:rPr>
          <w:sz w:val="24"/>
          <w:szCs w:val="24"/>
        </w:rPr>
        <w:t xml:space="preserve">and </w:t>
      </w:r>
      <w:r w:rsidR="000B1C0F" w:rsidRPr="00E96006">
        <w:rPr>
          <w:rStyle w:val="Emphasis"/>
          <w:rFonts w:cstheme="minorHAnsi"/>
          <w:i w:val="0"/>
          <w:sz w:val="24"/>
          <w:szCs w:val="24"/>
        </w:rPr>
        <w:t>the Fourth Amendment</w:t>
      </w:r>
      <w:r w:rsidR="00676A5B">
        <w:rPr>
          <w:rStyle w:val="Emphasis"/>
          <w:rFonts w:cstheme="minorHAnsi"/>
          <w:i w:val="0"/>
          <w:sz w:val="24"/>
          <w:szCs w:val="24"/>
        </w:rPr>
        <w:t xml:space="preserve">: </w:t>
      </w:r>
      <w:r w:rsidR="000B1C0F" w:rsidRPr="00E96006">
        <w:rPr>
          <w:rStyle w:val="Emphasis"/>
          <w:rFonts w:cstheme="minorHAnsi"/>
          <w:i w:val="0"/>
          <w:sz w:val="24"/>
          <w:szCs w:val="24"/>
        </w:rPr>
        <w:t xml:space="preserve">‘the right of the people to be secure in their </w:t>
      </w:r>
      <w:r w:rsidR="000B1C0F" w:rsidRPr="00641E7B">
        <w:rPr>
          <w:rStyle w:val="Emphasis"/>
          <w:rFonts w:cstheme="minorHAnsi"/>
          <w:iCs w:val="0"/>
          <w:sz w:val="24"/>
          <w:szCs w:val="24"/>
        </w:rPr>
        <w:t>persons, houses, papers and effects</w:t>
      </w:r>
      <w:r w:rsidR="000B1C0F" w:rsidRPr="00E96006">
        <w:rPr>
          <w:rStyle w:val="Emphasis"/>
          <w:rFonts w:cstheme="minorHAnsi"/>
          <w:i w:val="0"/>
          <w:sz w:val="24"/>
          <w:szCs w:val="24"/>
        </w:rPr>
        <w:t>, against unreasonable searches, shall not be violated…’</w:t>
      </w:r>
      <w:r w:rsidR="00676A5B">
        <w:rPr>
          <w:rStyle w:val="Emphasis"/>
          <w:rFonts w:cstheme="minorHAnsi"/>
          <w:i w:val="0"/>
          <w:sz w:val="24"/>
          <w:szCs w:val="24"/>
        </w:rPr>
        <w:t>.</w:t>
      </w:r>
      <w:r w:rsidR="00512014" w:rsidRPr="00E96006">
        <w:rPr>
          <w:rStyle w:val="Emphasis"/>
          <w:rFonts w:cstheme="minorHAnsi"/>
          <w:i w:val="0"/>
          <w:sz w:val="24"/>
          <w:szCs w:val="24"/>
        </w:rPr>
        <w:t xml:space="preserve"> </w:t>
      </w:r>
      <w:r w:rsidR="0006521C">
        <w:rPr>
          <w:rStyle w:val="Emphasis"/>
          <w:rFonts w:cstheme="minorHAnsi"/>
          <w:i w:val="0"/>
          <w:sz w:val="24"/>
          <w:szCs w:val="24"/>
        </w:rPr>
        <w:t>B</w:t>
      </w:r>
      <w:r w:rsidR="0006521C" w:rsidRPr="00E96006">
        <w:rPr>
          <w:rStyle w:val="Emphasis"/>
          <w:rFonts w:cstheme="minorHAnsi"/>
          <w:i w:val="0"/>
          <w:sz w:val="24"/>
          <w:szCs w:val="24"/>
        </w:rPr>
        <w:t xml:space="preserve">oth conceive of privacy </w:t>
      </w:r>
      <w:r w:rsidR="004D0CE0">
        <w:rPr>
          <w:rStyle w:val="Emphasis"/>
          <w:rFonts w:cstheme="minorHAnsi"/>
          <w:i w:val="0"/>
          <w:sz w:val="24"/>
          <w:szCs w:val="24"/>
        </w:rPr>
        <w:t>as</w:t>
      </w:r>
      <w:r w:rsidR="0006521C" w:rsidRPr="00E96006">
        <w:rPr>
          <w:rStyle w:val="Emphasis"/>
          <w:rFonts w:cstheme="minorHAnsi"/>
          <w:i w:val="0"/>
          <w:sz w:val="24"/>
          <w:szCs w:val="24"/>
        </w:rPr>
        <w:t xml:space="preserve"> a bundle of related</w:t>
      </w:r>
      <w:r w:rsidR="0006521C" w:rsidRPr="0067292B">
        <w:rPr>
          <w:rStyle w:val="Emphasis"/>
          <w:rFonts w:cstheme="minorHAnsi"/>
          <w:i w:val="0"/>
          <w:sz w:val="24"/>
          <w:szCs w:val="24"/>
        </w:rPr>
        <w:t xml:space="preserve"> (privacy) rights</w:t>
      </w:r>
      <w:r w:rsidR="004D0CE0">
        <w:rPr>
          <w:rStyle w:val="Emphasis"/>
          <w:rFonts w:cstheme="minorHAnsi"/>
          <w:i w:val="0"/>
          <w:sz w:val="24"/>
          <w:szCs w:val="24"/>
        </w:rPr>
        <w:t xml:space="preserve"> grounded in the </w:t>
      </w:r>
      <w:r w:rsidR="0006521C" w:rsidRPr="00641E7B">
        <w:rPr>
          <w:sz w:val="24"/>
          <w:szCs w:val="24"/>
        </w:rPr>
        <w:t xml:space="preserve">overlapping concepts of person/privacy; house/home (family); and papers/correspondence. </w:t>
      </w:r>
      <w:r w:rsidR="0006521C" w:rsidRPr="00641E7B">
        <w:rPr>
          <w:rFonts w:cstheme="minorHAnsi"/>
          <w:sz w:val="24"/>
          <w:szCs w:val="24"/>
        </w:rPr>
        <w:t xml:space="preserve">That family resemblance becomes more </w:t>
      </w:r>
      <w:r w:rsidR="00A346B1">
        <w:rPr>
          <w:rFonts w:cstheme="minorHAnsi"/>
          <w:sz w:val="24"/>
          <w:szCs w:val="24"/>
        </w:rPr>
        <w:t>pronounced</w:t>
      </w:r>
      <w:r w:rsidR="00676A5B">
        <w:rPr>
          <w:rFonts w:cstheme="minorHAnsi"/>
          <w:sz w:val="24"/>
          <w:szCs w:val="24"/>
        </w:rPr>
        <w:t xml:space="preserve"> </w:t>
      </w:r>
      <w:r w:rsidR="0006521C" w:rsidRPr="00641E7B">
        <w:rPr>
          <w:rFonts w:cstheme="minorHAnsi"/>
          <w:sz w:val="24"/>
          <w:szCs w:val="24"/>
        </w:rPr>
        <w:t>in comparison with</w:t>
      </w:r>
      <w:r w:rsidR="00676A5B">
        <w:rPr>
          <w:rFonts w:cstheme="minorHAnsi"/>
          <w:sz w:val="24"/>
          <w:szCs w:val="24"/>
        </w:rPr>
        <w:t xml:space="preserve"> </w:t>
      </w:r>
      <w:r w:rsidR="0006521C" w:rsidRPr="00641E7B">
        <w:rPr>
          <w:rFonts w:cstheme="minorHAnsi"/>
          <w:sz w:val="24"/>
          <w:szCs w:val="24"/>
        </w:rPr>
        <w:t xml:space="preserve">Continental European </w:t>
      </w:r>
      <w:r w:rsidR="00A346B1">
        <w:rPr>
          <w:rFonts w:cstheme="minorHAnsi"/>
          <w:sz w:val="24"/>
          <w:szCs w:val="24"/>
        </w:rPr>
        <w:t xml:space="preserve">constitutional </w:t>
      </w:r>
      <w:r w:rsidR="00676A5B">
        <w:rPr>
          <w:rFonts w:cstheme="minorHAnsi"/>
          <w:sz w:val="24"/>
          <w:szCs w:val="24"/>
        </w:rPr>
        <w:t>grants</w:t>
      </w:r>
      <w:r w:rsidR="0006521C" w:rsidRPr="00641E7B">
        <w:rPr>
          <w:rFonts w:cstheme="minorHAnsi"/>
          <w:sz w:val="24"/>
          <w:szCs w:val="24"/>
        </w:rPr>
        <w:t xml:space="preserve"> of </w:t>
      </w:r>
      <w:r w:rsidR="004D0CE0">
        <w:rPr>
          <w:rFonts w:cstheme="minorHAnsi"/>
          <w:sz w:val="24"/>
          <w:szCs w:val="24"/>
        </w:rPr>
        <w:t>quasi-</w:t>
      </w:r>
      <w:r w:rsidR="0006521C" w:rsidRPr="00641E7B">
        <w:rPr>
          <w:rFonts w:cstheme="minorHAnsi"/>
          <w:sz w:val="24"/>
          <w:szCs w:val="24"/>
        </w:rPr>
        <w:t xml:space="preserve">privacy </w:t>
      </w:r>
      <w:r w:rsidR="0006521C">
        <w:rPr>
          <w:rFonts w:cstheme="minorHAnsi"/>
          <w:sz w:val="24"/>
          <w:szCs w:val="24"/>
        </w:rPr>
        <w:t xml:space="preserve">rights </w:t>
      </w:r>
      <w:r w:rsidR="0006521C" w:rsidRPr="00641E7B">
        <w:rPr>
          <w:rFonts w:cstheme="minorHAnsi"/>
          <w:sz w:val="24"/>
          <w:szCs w:val="24"/>
        </w:rPr>
        <w:t>at the time</w:t>
      </w:r>
      <w:r w:rsidR="00515EF2">
        <w:rPr>
          <w:rFonts w:cstheme="minorHAnsi"/>
          <w:sz w:val="24"/>
          <w:szCs w:val="24"/>
        </w:rPr>
        <w:t xml:space="preserve"> whe</w:t>
      </w:r>
      <w:r w:rsidR="00E74708">
        <w:rPr>
          <w:rFonts w:cstheme="minorHAnsi"/>
          <w:sz w:val="24"/>
          <w:szCs w:val="24"/>
        </w:rPr>
        <w:t>n</w:t>
      </w:r>
      <w:r w:rsidR="00515EF2">
        <w:rPr>
          <w:rFonts w:cstheme="minorHAnsi"/>
          <w:sz w:val="24"/>
          <w:szCs w:val="24"/>
        </w:rPr>
        <w:t xml:space="preserve"> </w:t>
      </w:r>
      <w:r w:rsidR="0006521C" w:rsidRPr="00641E7B">
        <w:rPr>
          <w:rFonts w:cstheme="minorHAnsi"/>
          <w:sz w:val="24"/>
          <w:szCs w:val="24"/>
        </w:rPr>
        <w:t>equality (</w:t>
      </w:r>
      <w:r w:rsidR="004D0CE0">
        <w:rPr>
          <w:rFonts w:cstheme="minorHAnsi"/>
          <w:sz w:val="24"/>
          <w:szCs w:val="24"/>
        </w:rPr>
        <w:t>or equal dignity</w:t>
      </w:r>
      <w:r w:rsidR="0006521C" w:rsidRPr="00641E7B">
        <w:rPr>
          <w:rFonts w:cstheme="minorHAnsi"/>
          <w:sz w:val="24"/>
          <w:szCs w:val="24"/>
        </w:rPr>
        <w:t xml:space="preserve"> in Whitman’s</w:t>
      </w:r>
      <w:r w:rsidR="00676A5B">
        <w:rPr>
          <w:rFonts w:cstheme="minorHAnsi"/>
          <w:sz w:val="24"/>
          <w:szCs w:val="24"/>
        </w:rPr>
        <w:t xml:space="preserve"> terminology</w:t>
      </w:r>
      <w:r w:rsidR="0006521C" w:rsidRPr="00641E7B">
        <w:rPr>
          <w:rFonts w:cstheme="minorHAnsi"/>
          <w:sz w:val="24"/>
          <w:szCs w:val="24"/>
        </w:rPr>
        <w:t>)</w:t>
      </w:r>
      <w:r w:rsidR="0006521C">
        <w:rPr>
          <w:rFonts w:cstheme="minorHAnsi"/>
          <w:sz w:val="24"/>
          <w:szCs w:val="24"/>
        </w:rPr>
        <w:t xml:space="preserve"> figure</w:t>
      </w:r>
      <w:r w:rsidR="004D0CE0">
        <w:rPr>
          <w:rFonts w:cstheme="minorHAnsi"/>
          <w:sz w:val="24"/>
          <w:szCs w:val="24"/>
        </w:rPr>
        <w:t>d</w:t>
      </w:r>
      <w:r w:rsidR="0006521C">
        <w:rPr>
          <w:rFonts w:cstheme="minorHAnsi"/>
          <w:sz w:val="24"/>
          <w:szCs w:val="24"/>
        </w:rPr>
        <w:t xml:space="preserve"> as</w:t>
      </w:r>
      <w:r w:rsidR="004D0CE0">
        <w:rPr>
          <w:rFonts w:cstheme="minorHAnsi"/>
          <w:sz w:val="24"/>
          <w:szCs w:val="24"/>
        </w:rPr>
        <w:t xml:space="preserve"> the </w:t>
      </w:r>
      <w:r w:rsidR="0006521C">
        <w:rPr>
          <w:rFonts w:cstheme="minorHAnsi"/>
          <w:sz w:val="24"/>
          <w:szCs w:val="24"/>
        </w:rPr>
        <w:t xml:space="preserve">primary </w:t>
      </w:r>
      <w:r w:rsidR="00A346B1">
        <w:rPr>
          <w:rFonts w:cstheme="minorHAnsi"/>
          <w:sz w:val="24"/>
          <w:szCs w:val="24"/>
        </w:rPr>
        <w:t xml:space="preserve">constitutional </w:t>
      </w:r>
      <w:r w:rsidR="0006521C">
        <w:rPr>
          <w:rFonts w:cstheme="minorHAnsi"/>
          <w:sz w:val="24"/>
          <w:szCs w:val="24"/>
        </w:rPr>
        <w:t>right, and the inviolability of the home and the secrecy of correspondence appear</w:t>
      </w:r>
      <w:r w:rsidR="004D0CE0">
        <w:rPr>
          <w:rFonts w:cstheme="minorHAnsi"/>
          <w:sz w:val="24"/>
          <w:szCs w:val="24"/>
        </w:rPr>
        <w:t>ed</w:t>
      </w:r>
      <w:r w:rsidR="0006521C">
        <w:rPr>
          <w:rFonts w:cstheme="minorHAnsi"/>
          <w:sz w:val="24"/>
          <w:szCs w:val="24"/>
        </w:rPr>
        <w:t xml:space="preserve"> </w:t>
      </w:r>
      <w:r w:rsidR="00A346B1">
        <w:rPr>
          <w:rFonts w:cstheme="minorHAnsi"/>
          <w:sz w:val="24"/>
          <w:szCs w:val="24"/>
        </w:rPr>
        <w:t>much later</w:t>
      </w:r>
      <w:r w:rsidR="004D0CE0">
        <w:rPr>
          <w:rFonts w:cstheme="minorHAnsi"/>
          <w:sz w:val="24"/>
          <w:szCs w:val="24"/>
        </w:rPr>
        <w:t xml:space="preserve"> </w:t>
      </w:r>
      <w:r w:rsidR="00A346B1">
        <w:rPr>
          <w:rFonts w:cstheme="minorHAnsi"/>
          <w:sz w:val="24"/>
          <w:szCs w:val="24"/>
        </w:rPr>
        <w:t>in the</w:t>
      </w:r>
      <w:r w:rsidR="00515EF2">
        <w:rPr>
          <w:rFonts w:cstheme="minorHAnsi"/>
          <w:sz w:val="24"/>
          <w:szCs w:val="24"/>
        </w:rPr>
        <w:t xml:space="preserve"> </w:t>
      </w:r>
      <w:r w:rsidR="00A346B1">
        <w:rPr>
          <w:rFonts w:cstheme="minorHAnsi"/>
          <w:sz w:val="24"/>
          <w:szCs w:val="24"/>
        </w:rPr>
        <w:t xml:space="preserve">documents </w:t>
      </w:r>
      <w:r w:rsidR="004D0CE0">
        <w:rPr>
          <w:rFonts w:cstheme="minorHAnsi"/>
          <w:sz w:val="24"/>
          <w:szCs w:val="24"/>
        </w:rPr>
        <w:t>as</w:t>
      </w:r>
      <w:r w:rsidR="00676A5B">
        <w:rPr>
          <w:rFonts w:cstheme="minorHAnsi"/>
          <w:sz w:val="24"/>
          <w:szCs w:val="24"/>
        </w:rPr>
        <w:t xml:space="preserve"> </w:t>
      </w:r>
      <w:r w:rsidR="004D0CE0">
        <w:rPr>
          <w:rFonts w:cstheme="minorHAnsi"/>
          <w:sz w:val="24"/>
          <w:szCs w:val="24"/>
        </w:rPr>
        <w:t>separate and distinct rights.</w:t>
      </w:r>
      <w:r w:rsidR="004D0CE0">
        <w:rPr>
          <w:rStyle w:val="FootnoteReference"/>
          <w:rFonts w:cstheme="minorHAnsi"/>
          <w:sz w:val="24"/>
          <w:szCs w:val="24"/>
        </w:rPr>
        <w:footnoteReference w:id="129"/>
      </w:r>
      <w:r w:rsidR="004D0CE0">
        <w:rPr>
          <w:rFonts w:cstheme="minorHAnsi"/>
          <w:sz w:val="24"/>
          <w:szCs w:val="24"/>
        </w:rPr>
        <w:t xml:space="preserve"> </w:t>
      </w:r>
      <w:r w:rsidR="00E74708">
        <w:rPr>
          <w:rStyle w:val="Emphasis"/>
          <w:rFonts w:cstheme="minorHAnsi"/>
          <w:i w:val="0"/>
          <w:sz w:val="24"/>
          <w:szCs w:val="24"/>
        </w:rPr>
        <w:t>Also c</w:t>
      </w:r>
      <w:r w:rsidR="00515EF2">
        <w:rPr>
          <w:rStyle w:val="Emphasis"/>
          <w:rFonts w:cstheme="minorHAnsi"/>
          <w:i w:val="0"/>
          <w:sz w:val="24"/>
          <w:szCs w:val="24"/>
        </w:rPr>
        <w:t xml:space="preserve">onsistent </w:t>
      </w:r>
      <w:r w:rsidR="00A346B1">
        <w:rPr>
          <w:rStyle w:val="Emphasis"/>
          <w:rFonts w:cstheme="minorHAnsi"/>
          <w:i w:val="0"/>
          <w:sz w:val="24"/>
          <w:szCs w:val="24"/>
        </w:rPr>
        <w:t xml:space="preserve">with </w:t>
      </w:r>
      <w:r w:rsidR="007C21F0" w:rsidRPr="005927F3">
        <w:rPr>
          <w:rStyle w:val="Emphasis"/>
          <w:rFonts w:cstheme="minorHAnsi"/>
          <w:i w:val="0"/>
          <w:sz w:val="24"/>
          <w:szCs w:val="24"/>
        </w:rPr>
        <w:t>the American conception</w:t>
      </w:r>
      <w:r w:rsidR="00A346B1">
        <w:rPr>
          <w:rStyle w:val="Emphasis"/>
          <w:rFonts w:cstheme="minorHAnsi"/>
          <w:i w:val="0"/>
          <w:sz w:val="24"/>
          <w:szCs w:val="24"/>
        </w:rPr>
        <w:t xml:space="preserve"> of privacy</w:t>
      </w:r>
      <w:r w:rsidR="00515EF2">
        <w:rPr>
          <w:rStyle w:val="Emphasis"/>
          <w:rFonts w:cstheme="minorHAnsi"/>
          <w:i w:val="0"/>
          <w:sz w:val="24"/>
          <w:szCs w:val="24"/>
        </w:rPr>
        <w:t>,</w:t>
      </w:r>
      <w:r w:rsidR="00A346B1">
        <w:rPr>
          <w:rStyle w:val="Emphasis"/>
          <w:rFonts w:cstheme="minorHAnsi"/>
          <w:i w:val="0"/>
          <w:sz w:val="24"/>
          <w:szCs w:val="24"/>
        </w:rPr>
        <w:t xml:space="preserve"> </w:t>
      </w:r>
      <w:r w:rsidR="007C21F0" w:rsidRPr="005927F3">
        <w:rPr>
          <w:rStyle w:val="Emphasis"/>
          <w:rFonts w:cstheme="minorHAnsi"/>
          <w:i w:val="0"/>
          <w:sz w:val="24"/>
          <w:szCs w:val="24"/>
        </w:rPr>
        <w:t xml:space="preserve">the focus of Art 8 </w:t>
      </w:r>
      <w:r w:rsidR="00A346B1">
        <w:rPr>
          <w:rStyle w:val="Emphasis"/>
          <w:rFonts w:cstheme="minorHAnsi"/>
          <w:i w:val="0"/>
          <w:sz w:val="24"/>
          <w:szCs w:val="24"/>
        </w:rPr>
        <w:t xml:space="preserve">was firmly </w:t>
      </w:r>
      <w:r w:rsidR="007C21F0" w:rsidRPr="005927F3">
        <w:rPr>
          <w:rStyle w:val="Emphasis"/>
          <w:rFonts w:cstheme="minorHAnsi"/>
          <w:i w:val="0"/>
          <w:sz w:val="24"/>
          <w:szCs w:val="24"/>
        </w:rPr>
        <w:t>on State intrusions,</w:t>
      </w:r>
      <w:r w:rsidR="007C21F0">
        <w:rPr>
          <w:rStyle w:val="Emphasis"/>
          <w:rFonts w:cstheme="minorHAnsi"/>
          <w:i w:val="0"/>
          <w:sz w:val="24"/>
          <w:szCs w:val="24"/>
        </w:rPr>
        <w:t xml:space="preserve"> </w:t>
      </w:r>
      <w:r w:rsidR="00D816FC" w:rsidRPr="005927F3">
        <w:rPr>
          <w:rStyle w:val="Emphasis"/>
          <w:rFonts w:cstheme="minorHAnsi"/>
          <w:i w:val="0"/>
          <w:sz w:val="24"/>
          <w:szCs w:val="24"/>
        </w:rPr>
        <w:t xml:space="preserve">with the specific intent of pre-empting </w:t>
      </w:r>
      <w:r w:rsidR="00DE2BA8" w:rsidRPr="005927F3">
        <w:rPr>
          <w:rStyle w:val="Emphasis"/>
          <w:rFonts w:cstheme="minorHAnsi"/>
          <w:i w:val="0"/>
          <w:sz w:val="24"/>
          <w:szCs w:val="24"/>
        </w:rPr>
        <w:t xml:space="preserve">the threat </w:t>
      </w:r>
      <w:r w:rsidR="004E30AF" w:rsidRPr="005927F3">
        <w:rPr>
          <w:rStyle w:val="Emphasis"/>
          <w:rFonts w:cstheme="minorHAnsi"/>
          <w:i w:val="0"/>
          <w:sz w:val="24"/>
          <w:szCs w:val="24"/>
        </w:rPr>
        <w:t xml:space="preserve">of </w:t>
      </w:r>
      <w:r w:rsidR="00D816FC" w:rsidRPr="005927F3">
        <w:rPr>
          <w:rStyle w:val="Emphasis"/>
          <w:rFonts w:cstheme="minorHAnsi"/>
          <w:i w:val="0"/>
          <w:sz w:val="24"/>
          <w:szCs w:val="24"/>
        </w:rPr>
        <w:t>totalitarian governments.</w:t>
      </w:r>
      <w:r w:rsidR="006C7124" w:rsidRPr="005927F3">
        <w:rPr>
          <w:rStyle w:val="FootnoteReference"/>
          <w:rFonts w:cstheme="minorHAnsi"/>
          <w:iCs/>
          <w:sz w:val="24"/>
          <w:szCs w:val="24"/>
        </w:rPr>
        <w:footnoteReference w:id="130"/>
      </w:r>
      <w:r w:rsidR="007C0756" w:rsidRPr="005927F3">
        <w:rPr>
          <w:rStyle w:val="Emphasis"/>
          <w:rFonts w:cstheme="minorHAnsi"/>
          <w:i w:val="0"/>
          <w:sz w:val="24"/>
          <w:szCs w:val="24"/>
        </w:rPr>
        <w:t xml:space="preserve"> </w:t>
      </w:r>
      <w:r w:rsidR="00A346B1">
        <w:rPr>
          <w:rStyle w:val="Emphasis"/>
          <w:rFonts w:cstheme="minorHAnsi"/>
          <w:i w:val="0"/>
          <w:sz w:val="24"/>
          <w:szCs w:val="24"/>
        </w:rPr>
        <w:t>It</w:t>
      </w:r>
      <w:r w:rsidR="004223D7" w:rsidRPr="005927F3">
        <w:rPr>
          <w:rStyle w:val="Emphasis"/>
          <w:rFonts w:cstheme="minorHAnsi"/>
          <w:i w:val="0"/>
          <w:sz w:val="24"/>
          <w:szCs w:val="24"/>
        </w:rPr>
        <w:t xml:space="preserve"> </w:t>
      </w:r>
      <w:r w:rsidR="004C7C1F" w:rsidRPr="005927F3">
        <w:rPr>
          <w:rStyle w:val="Emphasis"/>
          <w:rFonts w:cstheme="minorHAnsi"/>
          <w:i w:val="0"/>
          <w:sz w:val="24"/>
          <w:szCs w:val="24"/>
        </w:rPr>
        <w:t xml:space="preserve">took </w:t>
      </w:r>
      <w:r w:rsidR="00D155AF" w:rsidRPr="005927F3">
        <w:rPr>
          <w:rStyle w:val="Emphasis"/>
          <w:rFonts w:cstheme="minorHAnsi"/>
          <w:i w:val="0"/>
          <w:sz w:val="24"/>
          <w:szCs w:val="24"/>
        </w:rPr>
        <w:t xml:space="preserve">the ECtHR </w:t>
      </w:r>
      <w:r w:rsidR="00CC1FB3" w:rsidRPr="005927F3">
        <w:rPr>
          <w:rStyle w:val="Emphasis"/>
          <w:rFonts w:cstheme="minorHAnsi"/>
          <w:i w:val="0"/>
          <w:sz w:val="24"/>
          <w:szCs w:val="24"/>
        </w:rPr>
        <w:t xml:space="preserve">half a century </w:t>
      </w:r>
      <w:r w:rsidR="005E267E" w:rsidRPr="005927F3">
        <w:rPr>
          <w:rStyle w:val="Emphasis"/>
          <w:rFonts w:cstheme="minorHAnsi"/>
          <w:i w:val="0"/>
          <w:sz w:val="24"/>
          <w:szCs w:val="24"/>
        </w:rPr>
        <w:t xml:space="preserve">to </w:t>
      </w:r>
      <w:r w:rsidR="00B12462" w:rsidRPr="005927F3">
        <w:rPr>
          <w:rStyle w:val="Emphasis"/>
          <w:rFonts w:cstheme="minorHAnsi"/>
          <w:i w:val="0"/>
          <w:sz w:val="24"/>
          <w:szCs w:val="24"/>
        </w:rPr>
        <w:t>r</w:t>
      </w:r>
      <w:r w:rsidR="004223D7" w:rsidRPr="005927F3">
        <w:rPr>
          <w:rStyle w:val="Emphasis"/>
          <w:rFonts w:cstheme="minorHAnsi"/>
          <w:i w:val="0"/>
          <w:sz w:val="24"/>
          <w:szCs w:val="24"/>
        </w:rPr>
        <w:t>ecognise</w:t>
      </w:r>
      <w:r w:rsidR="004C7C1F" w:rsidRPr="005927F3">
        <w:rPr>
          <w:rStyle w:val="Emphasis"/>
          <w:rFonts w:cstheme="minorHAnsi"/>
          <w:i w:val="0"/>
          <w:sz w:val="24"/>
          <w:szCs w:val="24"/>
        </w:rPr>
        <w:t xml:space="preserve"> </w:t>
      </w:r>
      <w:r w:rsidR="00915BD8" w:rsidRPr="005927F3">
        <w:rPr>
          <w:rStyle w:val="Emphasis"/>
          <w:rFonts w:cstheme="minorHAnsi"/>
          <w:i w:val="0"/>
          <w:sz w:val="24"/>
          <w:szCs w:val="24"/>
        </w:rPr>
        <w:t>privacy</w:t>
      </w:r>
      <w:r w:rsidR="00CB5EA9" w:rsidRPr="005927F3">
        <w:rPr>
          <w:rStyle w:val="Emphasis"/>
          <w:rFonts w:cstheme="minorHAnsi"/>
          <w:i w:val="0"/>
          <w:sz w:val="24"/>
          <w:szCs w:val="24"/>
        </w:rPr>
        <w:t xml:space="preserve">-in-public </w:t>
      </w:r>
      <w:r w:rsidR="00915BD8" w:rsidRPr="005927F3">
        <w:rPr>
          <w:rStyle w:val="Emphasis"/>
          <w:rFonts w:cstheme="minorHAnsi"/>
          <w:i w:val="0"/>
          <w:sz w:val="24"/>
          <w:szCs w:val="24"/>
        </w:rPr>
        <w:lastRenderedPageBreak/>
        <w:t xml:space="preserve">entitlements </w:t>
      </w:r>
      <w:r w:rsidR="005E267E" w:rsidRPr="005927F3">
        <w:rPr>
          <w:rStyle w:val="Emphasis"/>
          <w:rFonts w:cstheme="minorHAnsi"/>
          <w:i w:val="0"/>
          <w:sz w:val="24"/>
          <w:szCs w:val="24"/>
        </w:rPr>
        <w:t xml:space="preserve">against </w:t>
      </w:r>
      <w:r w:rsidR="002A26AA" w:rsidRPr="005927F3">
        <w:rPr>
          <w:rStyle w:val="Emphasis"/>
          <w:rFonts w:cstheme="minorHAnsi"/>
          <w:i w:val="0"/>
          <w:sz w:val="24"/>
          <w:szCs w:val="24"/>
        </w:rPr>
        <w:t>private actors</w:t>
      </w:r>
      <w:r w:rsidR="00915BD8" w:rsidRPr="005927F3">
        <w:rPr>
          <w:rStyle w:val="Emphasis"/>
          <w:rFonts w:cstheme="minorHAnsi"/>
          <w:i w:val="0"/>
          <w:sz w:val="24"/>
          <w:szCs w:val="24"/>
        </w:rPr>
        <w:t>.</w:t>
      </w:r>
      <w:r w:rsidR="004223D7" w:rsidRPr="005927F3">
        <w:rPr>
          <w:rStyle w:val="Emphasis"/>
          <w:rFonts w:cstheme="minorHAnsi"/>
          <w:i w:val="0"/>
          <w:sz w:val="24"/>
          <w:szCs w:val="24"/>
        </w:rPr>
        <w:t xml:space="preserve"> I</w:t>
      </w:r>
      <w:r w:rsidR="004C7C1F" w:rsidRPr="005927F3">
        <w:rPr>
          <w:rStyle w:val="Emphasis"/>
          <w:rFonts w:cstheme="minorHAnsi"/>
          <w:i w:val="0"/>
          <w:sz w:val="24"/>
          <w:szCs w:val="24"/>
        </w:rPr>
        <w:t xml:space="preserve">n </w:t>
      </w:r>
      <w:r w:rsidR="004C7C1F" w:rsidRPr="005927F3">
        <w:rPr>
          <w:rStyle w:val="s7d2086b4"/>
          <w:rFonts w:cstheme="minorHAnsi"/>
          <w:i/>
          <w:sz w:val="24"/>
          <w:szCs w:val="24"/>
        </w:rPr>
        <w:t>Von Hannover v Germany</w:t>
      </w:r>
      <w:r w:rsidR="004C7C1F" w:rsidRPr="005927F3">
        <w:rPr>
          <w:rStyle w:val="s7d2086b4"/>
          <w:rFonts w:cstheme="minorHAnsi"/>
          <w:sz w:val="24"/>
          <w:szCs w:val="24"/>
        </w:rPr>
        <w:t xml:space="preserve"> (2004</w:t>
      </w:r>
      <w:r w:rsidR="004223D7" w:rsidRPr="005927F3">
        <w:rPr>
          <w:rStyle w:val="s7d2086b4"/>
          <w:rFonts w:cstheme="minorHAnsi"/>
          <w:sz w:val="24"/>
          <w:szCs w:val="24"/>
        </w:rPr>
        <w:t>)</w:t>
      </w:r>
      <w:r w:rsidR="004223D7" w:rsidRPr="005927F3">
        <w:rPr>
          <w:rStyle w:val="FootnoteReference"/>
          <w:rFonts w:cstheme="minorHAnsi"/>
          <w:sz w:val="24"/>
          <w:szCs w:val="24"/>
        </w:rPr>
        <w:footnoteReference w:id="131"/>
      </w:r>
      <w:r w:rsidR="00DC0844" w:rsidRPr="005927F3">
        <w:rPr>
          <w:rStyle w:val="s7d2086b4"/>
          <w:rFonts w:cstheme="minorHAnsi"/>
          <w:sz w:val="24"/>
          <w:szCs w:val="24"/>
        </w:rPr>
        <w:t xml:space="preserve"> that</w:t>
      </w:r>
      <w:r w:rsidR="00CC1FB3" w:rsidRPr="005927F3">
        <w:rPr>
          <w:rStyle w:val="s7d2086b4"/>
          <w:rFonts w:cstheme="minorHAnsi"/>
          <w:sz w:val="24"/>
          <w:szCs w:val="24"/>
        </w:rPr>
        <w:t xml:space="preserve"> </w:t>
      </w:r>
      <w:r w:rsidR="004223D7" w:rsidRPr="005927F3">
        <w:rPr>
          <w:rStyle w:val="s7d2086b4"/>
          <w:rFonts w:cstheme="minorHAnsi"/>
          <w:sz w:val="24"/>
          <w:szCs w:val="24"/>
        </w:rPr>
        <w:t>shift</w:t>
      </w:r>
      <w:r w:rsidR="00230AA8" w:rsidRPr="005927F3">
        <w:rPr>
          <w:rStyle w:val="s7d2086b4"/>
          <w:rFonts w:cstheme="minorHAnsi"/>
          <w:sz w:val="24"/>
          <w:szCs w:val="24"/>
        </w:rPr>
        <w:t xml:space="preserve"> finally</w:t>
      </w:r>
      <w:r w:rsidR="00CC1FB3" w:rsidRPr="005927F3">
        <w:rPr>
          <w:rStyle w:val="s7d2086b4"/>
          <w:rFonts w:cstheme="minorHAnsi"/>
          <w:sz w:val="24"/>
          <w:szCs w:val="24"/>
        </w:rPr>
        <w:t xml:space="preserve"> </w:t>
      </w:r>
      <w:r w:rsidR="00144769" w:rsidRPr="005927F3">
        <w:rPr>
          <w:rStyle w:val="s7d2086b4"/>
          <w:rFonts w:cstheme="minorHAnsi"/>
          <w:sz w:val="24"/>
          <w:szCs w:val="24"/>
        </w:rPr>
        <w:t xml:space="preserve">occurred and was framed </w:t>
      </w:r>
      <w:r w:rsidR="00144769" w:rsidRPr="005927F3">
        <w:rPr>
          <w:rFonts w:cstheme="minorHAnsi"/>
          <w:sz w:val="24"/>
          <w:szCs w:val="24"/>
        </w:rPr>
        <w:t xml:space="preserve">by </w:t>
      </w:r>
      <w:r w:rsidR="00144769" w:rsidRPr="005927F3">
        <w:rPr>
          <w:rStyle w:val="s7d2086b4"/>
          <w:rFonts w:cstheme="minorHAnsi"/>
          <w:sz w:val="24"/>
          <w:szCs w:val="24"/>
        </w:rPr>
        <w:t xml:space="preserve">Judge </w:t>
      </w:r>
      <w:proofErr w:type="spellStart"/>
      <w:r w:rsidR="00144769" w:rsidRPr="005927F3">
        <w:rPr>
          <w:rFonts w:cstheme="minorHAnsi"/>
          <w:sz w:val="24"/>
          <w:szCs w:val="24"/>
        </w:rPr>
        <w:t>Zupančič</w:t>
      </w:r>
      <w:proofErr w:type="spellEnd"/>
      <w:r w:rsidR="00144769" w:rsidRPr="005927F3">
        <w:rPr>
          <w:rFonts w:cstheme="minorHAnsi"/>
          <w:sz w:val="24"/>
          <w:szCs w:val="24"/>
        </w:rPr>
        <w:t xml:space="preserve"> as follows:</w:t>
      </w:r>
    </w:p>
    <w:p w14:paraId="226F99FA" w14:textId="674D0F0B" w:rsidR="00BC1BA3" w:rsidRPr="005927F3" w:rsidRDefault="00BC1BA3" w:rsidP="00BC1BA3">
      <w:pPr>
        <w:autoSpaceDE w:val="0"/>
        <w:autoSpaceDN w:val="0"/>
        <w:adjustRightInd w:val="0"/>
        <w:spacing w:after="0" w:line="240" w:lineRule="auto"/>
        <w:jc w:val="both"/>
        <w:rPr>
          <w:rFonts w:cstheme="minorHAnsi"/>
        </w:rPr>
      </w:pPr>
    </w:p>
    <w:p w14:paraId="2E72C6F1" w14:textId="77777777" w:rsidR="00BC1BA3" w:rsidRPr="005927F3" w:rsidRDefault="00BC1BA3" w:rsidP="00BC1BA3">
      <w:pPr>
        <w:autoSpaceDE w:val="0"/>
        <w:autoSpaceDN w:val="0"/>
        <w:adjustRightInd w:val="0"/>
        <w:spacing w:after="0" w:line="240" w:lineRule="auto"/>
        <w:ind w:left="720"/>
        <w:jc w:val="both"/>
        <w:rPr>
          <w:rFonts w:cstheme="minorHAnsi"/>
          <w:sz w:val="24"/>
          <w:szCs w:val="24"/>
        </w:rPr>
      </w:pPr>
      <w:r w:rsidRPr="005927F3">
        <w:rPr>
          <w:rFonts w:cstheme="minorHAnsi"/>
          <w:sz w:val="24"/>
          <w:szCs w:val="24"/>
        </w:rPr>
        <w:t xml:space="preserve"> ‘</w:t>
      </w:r>
      <w:proofErr w:type="gramStart"/>
      <w:r w:rsidRPr="005927F3">
        <w:rPr>
          <w:rFonts w:cstheme="minorHAnsi"/>
          <w:sz w:val="24"/>
          <w:szCs w:val="24"/>
        </w:rPr>
        <w:t>i</w:t>
      </w:r>
      <w:r w:rsidRPr="005927F3">
        <w:rPr>
          <w:rStyle w:val="sb8d990e2"/>
          <w:rFonts w:cstheme="minorHAnsi"/>
          <w:sz w:val="24"/>
          <w:szCs w:val="24"/>
        </w:rPr>
        <w:t>t</w:t>
      </w:r>
      <w:proofErr w:type="gramEnd"/>
      <w:r w:rsidRPr="005927F3">
        <w:rPr>
          <w:rStyle w:val="sb8d990e2"/>
          <w:rFonts w:cstheme="minorHAnsi"/>
          <w:sz w:val="24"/>
          <w:szCs w:val="24"/>
        </w:rPr>
        <w:t xml:space="preserve"> is impossible to separate by an iron curtain private life from public performance. The absolute </w:t>
      </w:r>
      <w:r w:rsidRPr="005927F3">
        <w:rPr>
          <w:rStyle w:val="s6b621b36"/>
          <w:rFonts w:cstheme="minorHAnsi"/>
          <w:i/>
          <w:sz w:val="24"/>
          <w:szCs w:val="24"/>
        </w:rPr>
        <w:t>incognito</w:t>
      </w:r>
      <w:r w:rsidRPr="005927F3">
        <w:rPr>
          <w:rStyle w:val="sb8d990e2"/>
          <w:rFonts w:cstheme="minorHAnsi"/>
          <w:sz w:val="24"/>
          <w:szCs w:val="24"/>
        </w:rPr>
        <w:t xml:space="preserve"> existence is the privilege of Robinson; the rest of us all attract to a greater or smaller degree the interest of other people. Privacy… is the right to be left alone. One has the right to be left alone precisely to the degree to which one’s private life does not intersect with other people’s private lives. In their own way, legal concepts such as libel, defamation, slander, etc. testify to this right and to the limits on other people</w:t>
      </w:r>
      <w:r w:rsidR="008846E2" w:rsidRPr="005927F3">
        <w:rPr>
          <w:rStyle w:val="sb8d990e2"/>
          <w:rFonts w:cstheme="minorHAnsi"/>
          <w:sz w:val="24"/>
          <w:szCs w:val="24"/>
        </w:rPr>
        <w:t>’s meddling with it. The German</w:t>
      </w:r>
      <w:r w:rsidR="00CC1FB3" w:rsidRPr="005927F3">
        <w:rPr>
          <w:rStyle w:val="sb8d990e2"/>
          <w:rFonts w:cstheme="minorHAnsi"/>
          <w:sz w:val="24"/>
          <w:szCs w:val="24"/>
        </w:rPr>
        <w:t>…</w:t>
      </w:r>
      <w:r w:rsidR="008846E2" w:rsidRPr="005927F3">
        <w:rPr>
          <w:rStyle w:val="sb8d990e2"/>
          <w:rFonts w:cstheme="minorHAnsi"/>
          <w:sz w:val="24"/>
          <w:szCs w:val="24"/>
        </w:rPr>
        <w:t xml:space="preserve"> </w:t>
      </w:r>
      <w:r w:rsidRPr="005927F3">
        <w:rPr>
          <w:rStyle w:val="sb8d990e2"/>
          <w:rFonts w:cstheme="minorHAnsi"/>
          <w:sz w:val="24"/>
          <w:szCs w:val="24"/>
        </w:rPr>
        <w:t xml:space="preserve">doctrine of </w:t>
      </w:r>
      <w:proofErr w:type="spellStart"/>
      <w:r w:rsidRPr="005927F3">
        <w:rPr>
          <w:rStyle w:val="s6b621b36"/>
          <w:rFonts w:cstheme="minorHAnsi"/>
          <w:i/>
          <w:iCs/>
          <w:sz w:val="24"/>
          <w:szCs w:val="24"/>
        </w:rPr>
        <w:t>Persönlichkeitsrecht</w:t>
      </w:r>
      <w:proofErr w:type="spellEnd"/>
      <w:r w:rsidRPr="005927F3">
        <w:rPr>
          <w:rStyle w:val="sb8d990e2"/>
          <w:rFonts w:cstheme="minorHAnsi"/>
          <w:sz w:val="24"/>
          <w:szCs w:val="24"/>
        </w:rPr>
        <w:t xml:space="preserve"> testifies to a broader concentric circle of protected privacy. Moreover, I believe that the courts have to some extent and </w:t>
      </w:r>
      <w:r w:rsidRPr="005927F3">
        <w:rPr>
          <w:rStyle w:val="sb8d990e2"/>
          <w:rFonts w:cstheme="minorHAnsi"/>
          <w:i/>
          <w:sz w:val="24"/>
          <w:szCs w:val="24"/>
        </w:rPr>
        <w:t>under American influence made a fetish of the freedom of the press</w:t>
      </w:r>
      <w:r w:rsidRPr="005927F3">
        <w:rPr>
          <w:rStyle w:val="sb8d990e2"/>
          <w:rFonts w:cstheme="minorHAnsi"/>
          <w:sz w:val="24"/>
          <w:szCs w:val="24"/>
        </w:rPr>
        <w:t xml:space="preserve">. The </w:t>
      </w:r>
      <w:proofErr w:type="spellStart"/>
      <w:r w:rsidRPr="005927F3">
        <w:rPr>
          <w:rStyle w:val="s6b621b36"/>
          <w:rFonts w:cstheme="minorHAnsi"/>
          <w:i/>
          <w:iCs/>
          <w:sz w:val="24"/>
          <w:szCs w:val="24"/>
        </w:rPr>
        <w:t>Persönlichkeitsrecht</w:t>
      </w:r>
      <w:proofErr w:type="spellEnd"/>
      <w:r w:rsidRPr="005927F3">
        <w:rPr>
          <w:rStyle w:val="sb8d990e2"/>
          <w:rFonts w:cstheme="minorHAnsi"/>
          <w:sz w:val="24"/>
          <w:szCs w:val="24"/>
        </w:rPr>
        <w:t xml:space="preserve"> doctrine imparts a higher level of civilised interpersonal deportment. It is time that </w:t>
      </w:r>
      <w:r w:rsidRPr="005927F3">
        <w:rPr>
          <w:rStyle w:val="sb8d990e2"/>
          <w:rFonts w:cstheme="minorHAnsi"/>
          <w:i/>
          <w:sz w:val="24"/>
          <w:szCs w:val="24"/>
        </w:rPr>
        <w:t xml:space="preserve">the pendulum swung back </w:t>
      </w:r>
      <w:r w:rsidRPr="005927F3">
        <w:rPr>
          <w:rStyle w:val="sb8d990e2"/>
          <w:rFonts w:cstheme="minorHAnsi"/>
          <w:sz w:val="24"/>
          <w:szCs w:val="24"/>
        </w:rPr>
        <w:t>to a different kind of balance...’</w:t>
      </w:r>
      <w:r w:rsidRPr="005927F3">
        <w:rPr>
          <w:rStyle w:val="FootnoteReference"/>
          <w:rFonts w:cstheme="minorHAnsi"/>
          <w:sz w:val="24"/>
          <w:szCs w:val="24"/>
        </w:rPr>
        <w:footnoteReference w:id="132"/>
      </w:r>
    </w:p>
    <w:p w14:paraId="43938017" w14:textId="77777777" w:rsidR="00144769" w:rsidRPr="005927F3" w:rsidRDefault="00144769" w:rsidP="008B308D">
      <w:pPr>
        <w:autoSpaceDE w:val="0"/>
        <w:autoSpaceDN w:val="0"/>
        <w:adjustRightInd w:val="0"/>
        <w:spacing w:after="0" w:line="240" w:lineRule="auto"/>
        <w:jc w:val="both"/>
        <w:rPr>
          <w:rFonts w:cstheme="minorHAnsi"/>
          <w:sz w:val="24"/>
          <w:szCs w:val="24"/>
        </w:rPr>
      </w:pPr>
    </w:p>
    <w:p w14:paraId="2AEA0C65" w14:textId="23737B07" w:rsidR="009130D8" w:rsidRPr="005927F3" w:rsidRDefault="008C30AE" w:rsidP="008B308D">
      <w:pPr>
        <w:autoSpaceDE w:val="0"/>
        <w:autoSpaceDN w:val="0"/>
        <w:adjustRightInd w:val="0"/>
        <w:spacing w:after="0" w:line="240" w:lineRule="auto"/>
        <w:jc w:val="both"/>
        <w:rPr>
          <w:rStyle w:val="s7d2086b4"/>
          <w:rFonts w:cstheme="minorHAnsi"/>
          <w:sz w:val="24"/>
          <w:szCs w:val="24"/>
        </w:rPr>
      </w:pPr>
      <w:r w:rsidRPr="005927F3">
        <w:rPr>
          <w:rFonts w:cstheme="minorHAnsi"/>
          <w:sz w:val="24"/>
          <w:szCs w:val="24"/>
        </w:rPr>
        <w:t>The</w:t>
      </w:r>
      <w:r w:rsidRPr="005927F3">
        <w:rPr>
          <w:rStyle w:val="s7d2086b4"/>
          <w:rFonts w:cstheme="minorHAnsi"/>
          <w:sz w:val="24"/>
          <w:szCs w:val="24"/>
        </w:rPr>
        <w:t xml:space="preserve"> shift in the interpretation of Art 8 towards the recognition of privacy</w:t>
      </w:r>
      <w:r w:rsidR="007C0756" w:rsidRPr="005927F3">
        <w:rPr>
          <w:rStyle w:val="s7d2086b4"/>
          <w:rFonts w:cstheme="minorHAnsi"/>
          <w:sz w:val="24"/>
          <w:szCs w:val="24"/>
        </w:rPr>
        <w:t>-in-public</w:t>
      </w:r>
      <w:r w:rsidRPr="005927F3">
        <w:rPr>
          <w:rStyle w:val="s7d2086b4"/>
          <w:rFonts w:cstheme="minorHAnsi"/>
          <w:sz w:val="24"/>
          <w:szCs w:val="24"/>
        </w:rPr>
        <w:t xml:space="preserve"> and</w:t>
      </w:r>
      <w:r w:rsidR="008D1BA0" w:rsidRPr="005927F3">
        <w:rPr>
          <w:rStyle w:val="s7d2086b4"/>
          <w:rFonts w:cstheme="minorHAnsi"/>
          <w:sz w:val="24"/>
          <w:szCs w:val="24"/>
        </w:rPr>
        <w:t xml:space="preserve">, </w:t>
      </w:r>
      <w:r w:rsidR="00D655C6" w:rsidRPr="005927F3">
        <w:rPr>
          <w:rStyle w:val="s7d2086b4"/>
          <w:rFonts w:cstheme="minorHAnsi"/>
          <w:sz w:val="24"/>
          <w:szCs w:val="24"/>
        </w:rPr>
        <w:t>by implication</w:t>
      </w:r>
      <w:r w:rsidR="008D1BA0" w:rsidRPr="005927F3">
        <w:rPr>
          <w:rStyle w:val="s7d2086b4"/>
          <w:rFonts w:cstheme="minorHAnsi"/>
          <w:sz w:val="24"/>
          <w:szCs w:val="24"/>
        </w:rPr>
        <w:t xml:space="preserve">, </w:t>
      </w:r>
      <w:r w:rsidR="00D655C6" w:rsidRPr="005927F3">
        <w:rPr>
          <w:rStyle w:val="s7d2086b4"/>
          <w:rFonts w:cstheme="minorHAnsi"/>
          <w:sz w:val="24"/>
          <w:szCs w:val="24"/>
        </w:rPr>
        <w:t xml:space="preserve">towards the express recognition </w:t>
      </w:r>
      <w:r w:rsidRPr="005927F3">
        <w:rPr>
          <w:rStyle w:val="s7d2086b4"/>
          <w:rFonts w:cstheme="minorHAnsi"/>
          <w:sz w:val="24"/>
          <w:szCs w:val="24"/>
        </w:rPr>
        <w:t xml:space="preserve">of </w:t>
      </w:r>
      <w:r w:rsidR="000B60BD" w:rsidRPr="005927F3">
        <w:rPr>
          <w:rStyle w:val="s7d2086b4"/>
          <w:rFonts w:cstheme="minorHAnsi"/>
          <w:sz w:val="24"/>
          <w:szCs w:val="24"/>
        </w:rPr>
        <w:t>privacy</w:t>
      </w:r>
      <w:r w:rsidRPr="005927F3">
        <w:rPr>
          <w:rStyle w:val="s7d2086b4"/>
          <w:rFonts w:cstheme="minorHAnsi"/>
          <w:sz w:val="24"/>
          <w:szCs w:val="24"/>
        </w:rPr>
        <w:t xml:space="preserve"> threats emanating from </w:t>
      </w:r>
      <w:r w:rsidR="00DF1F2E" w:rsidRPr="005927F3">
        <w:rPr>
          <w:rStyle w:val="s7d2086b4"/>
          <w:rFonts w:cstheme="minorHAnsi"/>
          <w:sz w:val="24"/>
          <w:szCs w:val="24"/>
        </w:rPr>
        <w:t xml:space="preserve">the </w:t>
      </w:r>
      <w:r w:rsidRPr="005927F3">
        <w:rPr>
          <w:rStyle w:val="s7d2086b4"/>
          <w:rFonts w:cstheme="minorHAnsi"/>
          <w:sz w:val="24"/>
          <w:szCs w:val="24"/>
        </w:rPr>
        <w:t xml:space="preserve">media, </w:t>
      </w:r>
      <w:r w:rsidR="003038EA" w:rsidRPr="005927F3">
        <w:rPr>
          <w:rStyle w:val="s7d2086b4"/>
          <w:rFonts w:cstheme="minorHAnsi"/>
          <w:sz w:val="24"/>
          <w:szCs w:val="24"/>
        </w:rPr>
        <w:t>necessarily</w:t>
      </w:r>
      <w:r w:rsidRPr="005927F3">
        <w:rPr>
          <w:rStyle w:val="s7d2086b4"/>
          <w:rFonts w:cstheme="minorHAnsi"/>
          <w:sz w:val="24"/>
          <w:szCs w:val="24"/>
        </w:rPr>
        <w:t xml:space="preserve"> </w:t>
      </w:r>
      <w:r w:rsidR="003038EA" w:rsidRPr="005927F3">
        <w:rPr>
          <w:rStyle w:val="s7d2086b4"/>
          <w:rFonts w:cstheme="minorHAnsi"/>
          <w:sz w:val="24"/>
          <w:szCs w:val="24"/>
        </w:rPr>
        <w:t xml:space="preserve">also </w:t>
      </w:r>
      <w:r w:rsidRPr="005927F3">
        <w:rPr>
          <w:rStyle w:val="s7d2086b4"/>
          <w:rFonts w:cstheme="minorHAnsi"/>
          <w:sz w:val="24"/>
          <w:szCs w:val="24"/>
        </w:rPr>
        <w:t>prompted a more emphatic endorsement of the State’s</w:t>
      </w:r>
      <w:r w:rsidRPr="005927F3">
        <w:rPr>
          <w:rFonts w:eastAsia="Times New Roman" w:cstheme="minorHAnsi"/>
          <w:sz w:val="24"/>
          <w:szCs w:val="24"/>
          <w:lang w:eastAsia="en-GB"/>
        </w:rPr>
        <w:t xml:space="preserve"> ‘positive obligations…[that] may involve the adoption of measures designed to secure respect for private life even in the sphere of the relations of individuals between themselves.’</w:t>
      </w:r>
      <w:r w:rsidRPr="005927F3">
        <w:rPr>
          <w:rStyle w:val="FootnoteReference"/>
          <w:rFonts w:eastAsia="Times New Roman" w:cstheme="minorHAnsi"/>
          <w:sz w:val="24"/>
          <w:szCs w:val="24"/>
          <w:lang w:eastAsia="en-GB"/>
        </w:rPr>
        <w:footnoteReference w:id="133"/>
      </w:r>
      <w:r w:rsidRPr="005927F3">
        <w:rPr>
          <w:rFonts w:eastAsia="Times New Roman" w:cstheme="minorHAnsi"/>
          <w:sz w:val="24"/>
          <w:szCs w:val="24"/>
          <w:lang w:eastAsia="en-GB"/>
        </w:rPr>
        <w:t xml:space="preserve"> </w:t>
      </w:r>
      <w:r w:rsidR="007C0756" w:rsidRPr="005927F3">
        <w:rPr>
          <w:rStyle w:val="s7d2086b4"/>
          <w:rFonts w:cstheme="minorHAnsi"/>
          <w:sz w:val="24"/>
          <w:szCs w:val="24"/>
        </w:rPr>
        <w:t>Unexpectedly</w:t>
      </w:r>
      <w:r w:rsidR="004E30AF" w:rsidRPr="005927F3">
        <w:rPr>
          <w:rStyle w:val="s7d2086b4"/>
          <w:rFonts w:cstheme="minorHAnsi"/>
          <w:sz w:val="24"/>
          <w:szCs w:val="24"/>
        </w:rPr>
        <w:t>,</w:t>
      </w:r>
      <w:r w:rsidR="00144769" w:rsidRPr="005927F3">
        <w:rPr>
          <w:rFonts w:cstheme="minorHAnsi"/>
          <w:sz w:val="24"/>
          <w:szCs w:val="24"/>
        </w:rPr>
        <w:t xml:space="preserve"> </w:t>
      </w:r>
      <w:r w:rsidR="00412F5B" w:rsidRPr="005927F3">
        <w:rPr>
          <w:rStyle w:val="s7d2086b4"/>
          <w:rFonts w:cstheme="minorHAnsi"/>
          <w:i/>
          <w:sz w:val="24"/>
          <w:szCs w:val="24"/>
        </w:rPr>
        <w:t>Von Han</w:t>
      </w:r>
      <w:r w:rsidR="00141202" w:rsidRPr="005927F3">
        <w:rPr>
          <w:rStyle w:val="s7d2086b4"/>
          <w:rFonts w:cstheme="minorHAnsi"/>
          <w:i/>
          <w:sz w:val="24"/>
          <w:szCs w:val="24"/>
        </w:rPr>
        <w:t xml:space="preserve">nover </w:t>
      </w:r>
      <w:r w:rsidR="00D655C6" w:rsidRPr="005927F3">
        <w:rPr>
          <w:rStyle w:val="s7d2086b4"/>
          <w:rFonts w:cstheme="minorHAnsi"/>
          <w:i/>
          <w:sz w:val="24"/>
          <w:szCs w:val="24"/>
        </w:rPr>
        <w:t>v</w:t>
      </w:r>
      <w:r w:rsidR="004D2753" w:rsidRPr="005927F3">
        <w:rPr>
          <w:rStyle w:val="s7d2086b4"/>
          <w:rFonts w:cstheme="minorHAnsi"/>
          <w:i/>
          <w:sz w:val="24"/>
          <w:szCs w:val="24"/>
        </w:rPr>
        <w:t xml:space="preserve"> Germany </w:t>
      </w:r>
      <w:r w:rsidR="004E30AF" w:rsidRPr="005927F3">
        <w:rPr>
          <w:rFonts w:cstheme="minorHAnsi"/>
          <w:sz w:val="24"/>
          <w:szCs w:val="24"/>
        </w:rPr>
        <w:t xml:space="preserve">arose from </w:t>
      </w:r>
      <w:r w:rsidR="00141202" w:rsidRPr="005927F3">
        <w:rPr>
          <w:rFonts w:cstheme="minorHAnsi"/>
          <w:sz w:val="24"/>
          <w:szCs w:val="24"/>
        </w:rPr>
        <w:t>the refusal by</w:t>
      </w:r>
      <w:r w:rsidR="004D2753" w:rsidRPr="005927F3">
        <w:rPr>
          <w:rFonts w:cstheme="minorHAnsi"/>
          <w:sz w:val="24"/>
          <w:szCs w:val="24"/>
        </w:rPr>
        <w:t xml:space="preserve"> </w:t>
      </w:r>
      <w:r w:rsidR="000B60BD" w:rsidRPr="005927F3">
        <w:rPr>
          <w:rFonts w:cstheme="minorHAnsi"/>
          <w:sz w:val="24"/>
          <w:szCs w:val="24"/>
        </w:rPr>
        <w:t>German</w:t>
      </w:r>
      <w:r w:rsidR="00144769" w:rsidRPr="005927F3">
        <w:rPr>
          <w:rFonts w:cstheme="minorHAnsi"/>
          <w:sz w:val="24"/>
          <w:szCs w:val="24"/>
        </w:rPr>
        <w:t xml:space="preserve"> </w:t>
      </w:r>
      <w:r w:rsidR="000B60BD" w:rsidRPr="005927F3">
        <w:rPr>
          <w:rFonts w:cstheme="minorHAnsi"/>
          <w:sz w:val="24"/>
          <w:szCs w:val="24"/>
        </w:rPr>
        <w:t>c</w:t>
      </w:r>
      <w:r w:rsidR="00927F34" w:rsidRPr="005927F3">
        <w:rPr>
          <w:rFonts w:cstheme="minorHAnsi"/>
          <w:sz w:val="24"/>
          <w:szCs w:val="24"/>
        </w:rPr>
        <w:t>ourt</w:t>
      </w:r>
      <w:r w:rsidR="000B60BD" w:rsidRPr="005927F3">
        <w:rPr>
          <w:rFonts w:cstheme="minorHAnsi"/>
          <w:sz w:val="24"/>
          <w:szCs w:val="24"/>
        </w:rPr>
        <w:t>s</w:t>
      </w:r>
      <w:r w:rsidR="00927F34" w:rsidRPr="005927F3">
        <w:rPr>
          <w:rFonts w:cstheme="minorHAnsi"/>
          <w:sz w:val="24"/>
          <w:szCs w:val="24"/>
        </w:rPr>
        <w:t xml:space="preserve"> </w:t>
      </w:r>
      <w:r w:rsidR="004D2753" w:rsidRPr="005927F3">
        <w:rPr>
          <w:rFonts w:cstheme="minorHAnsi"/>
          <w:sz w:val="24"/>
          <w:szCs w:val="24"/>
        </w:rPr>
        <w:t xml:space="preserve">to recognise </w:t>
      </w:r>
      <w:r w:rsidR="00144769" w:rsidRPr="005927F3">
        <w:rPr>
          <w:rFonts w:cstheme="minorHAnsi"/>
          <w:sz w:val="24"/>
          <w:szCs w:val="24"/>
        </w:rPr>
        <w:t>privacy-in-public entitlements of Princess Caroline of Monaco on the ground that she was a ‘figure of conte</w:t>
      </w:r>
      <w:r w:rsidR="004E30AF" w:rsidRPr="005927F3">
        <w:rPr>
          <w:rFonts w:cstheme="minorHAnsi"/>
          <w:sz w:val="24"/>
          <w:szCs w:val="24"/>
        </w:rPr>
        <w:t>mporary society par excellence’</w:t>
      </w:r>
      <w:r w:rsidR="00144769" w:rsidRPr="005927F3">
        <w:rPr>
          <w:rStyle w:val="FootnoteReference"/>
          <w:rFonts w:cstheme="minorHAnsi"/>
          <w:sz w:val="24"/>
          <w:szCs w:val="24"/>
        </w:rPr>
        <w:footnoteReference w:id="134"/>
      </w:r>
      <w:r w:rsidR="00144769" w:rsidRPr="005927F3">
        <w:rPr>
          <w:rFonts w:cstheme="minorHAnsi"/>
          <w:sz w:val="24"/>
          <w:szCs w:val="24"/>
        </w:rPr>
        <w:t xml:space="preserve"> </w:t>
      </w:r>
      <w:r w:rsidR="00EE0638" w:rsidRPr="005927F3">
        <w:rPr>
          <w:rFonts w:cstheme="minorHAnsi"/>
          <w:sz w:val="24"/>
          <w:szCs w:val="24"/>
        </w:rPr>
        <w:t xml:space="preserve">and it </w:t>
      </w:r>
      <w:r w:rsidR="00412F5B" w:rsidRPr="005927F3">
        <w:rPr>
          <w:rFonts w:cstheme="minorHAnsi"/>
          <w:sz w:val="24"/>
          <w:szCs w:val="24"/>
        </w:rPr>
        <w:t>took the E</w:t>
      </w:r>
      <w:r w:rsidR="00141202" w:rsidRPr="005927F3">
        <w:rPr>
          <w:rFonts w:cstheme="minorHAnsi"/>
          <w:sz w:val="24"/>
          <w:szCs w:val="24"/>
        </w:rPr>
        <w:t xml:space="preserve">CtHR </w:t>
      </w:r>
      <w:r w:rsidR="00412F5B" w:rsidRPr="005927F3">
        <w:rPr>
          <w:rFonts w:cstheme="minorHAnsi"/>
          <w:sz w:val="24"/>
          <w:szCs w:val="24"/>
        </w:rPr>
        <w:t>to ‘swing the pendulum back’</w:t>
      </w:r>
      <w:r w:rsidR="00CB5EA9" w:rsidRPr="005927F3">
        <w:rPr>
          <w:rFonts w:cstheme="minorHAnsi"/>
          <w:sz w:val="24"/>
          <w:szCs w:val="24"/>
        </w:rPr>
        <w:t xml:space="preserve"> and arguably unreasonably so in the particular case.</w:t>
      </w:r>
      <w:r w:rsidR="00EE0638" w:rsidRPr="005927F3">
        <w:rPr>
          <w:rStyle w:val="FootnoteReference"/>
          <w:rFonts w:cstheme="minorHAnsi"/>
          <w:sz w:val="24"/>
          <w:szCs w:val="24"/>
        </w:rPr>
        <w:footnoteReference w:id="135"/>
      </w:r>
      <w:r w:rsidR="00412F5B" w:rsidRPr="005927F3">
        <w:rPr>
          <w:rFonts w:cstheme="minorHAnsi"/>
          <w:sz w:val="24"/>
          <w:szCs w:val="24"/>
        </w:rPr>
        <w:t xml:space="preserve"> </w:t>
      </w:r>
      <w:r w:rsidR="00CB5EA9" w:rsidRPr="005927F3">
        <w:rPr>
          <w:rFonts w:cstheme="minorHAnsi"/>
          <w:sz w:val="24"/>
          <w:szCs w:val="24"/>
        </w:rPr>
        <w:t>Still, t</w:t>
      </w:r>
      <w:r w:rsidR="004D2753" w:rsidRPr="005927F3">
        <w:rPr>
          <w:rFonts w:cstheme="minorHAnsi"/>
          <w:sz w:val="24"/>
          <w:szCs w:val="24"/>
        </w:rPr>
        <w:t>he expansion of Art 8</w:t>
      </w:r>
      <w:r w:rsidR="00141202" w:rsidRPr="005927F3">
        <w:rPr>
          <w:rFonts w:cstheme="minorHAnsi"/>
          <w:sz w:val="24"/>
          <w:szCs w:val="24"/>
        </w:rPr>
        <w:t xml:space="preserve"> to privacy-in-p</w:t>
      </w:r>
      <w:r w:rsidR="00412F5B" w:rsidRPr="005927F3">
        <w:rPr>
          <w:rFonts w:cstheme="minorHAnsi"/>
          <w:sz w:val="24"/>
          <w:szCs w:val="24"/>
        </w:rPr>
        <w:t>ublic</w:t>
      </w:r>
      <w:r w:rsidR="00EE0638" w:rsidRPr="005927F3">
        <w:rPr>
          <w:rFonts w:cstheme="minorHAnsi"/>
          <w:sz w:val="24"/>
          <w:szCs w:val="24"/>
        </w:rPr>
        <w:t xml:space="preserve"> rights</w:t>
      </w:r>
      <w:r w:rsidR="00144769" w:rsidRPr="005927F3">
        <w:rPr>
          <w:rFonts w:cstheme="minorHAnsi"/>
          <w:sz w:val="24"/>
          <w:szCs w:val="24"/>
        </w:rPr>
        <w:t xml:space="preserve"> </w:t>
      </w:r>
      <w:r w:rsidR="003038EA" w:rsidRPr="005927F3">
        <w:rPr>
          <w:rFonts w:cstheme="minorHAnsi"/>
          <w:sz w:val="24"/>
          <w:szCs w:val="24"/>
        </w:rPr>
        <w:t xml:space="preserve"> </w:t>
      </w:r>
      <w:r w:rsidRPr="005927F3">
        <w:rPr>
          <w:rFonts w:cstheme="minorHAnsi"/>
          <w:sz w:val="24"/>
          <w:szCs w:val="24"/>
        </w:rPr>
        <w:t>led</w:t>
      </w:r>
      <w:r w:rsidR="004E30AF" w:rsidRPr="005927F3">
        <w:rPr>
          <w:rFonts w:cstheme="minorHAnsi"/>
          <w:sz w:val="24"/>
          <w:szCs w:val="24"/>
        </w:rPr>
        <w:t xml:space="preserve"> </w:t>
      </w:r>
      <w:r w:rsidR="003038EA" w:rsidRPr="005927F3">
        <w:rPr>
          <w:rFonts w:cstheme="minorHAnsi"/>
          <w:sz w:val="24"/>
          <w:szCs w:val="24"/>
        </w:rPr>
        <w:t>to</w:t>
      </w:r>
      <w:r w:rsidR="00B12D5E" w:rsidRPr="005927F3">
        <w:rPr>
          <w:rFonts w:cstheme="minorHAnsi"/>
          <w:sz w:val="24"/>
          <w:szCs w:val="24"/>
        </w:rPr>
        <w:t xml:space="preserve"> </w:t>
      </w:r>
      <w:r w:rsidR="00505FE5" w:rsidRPr="005927F3">
        <w:rPr>
          <w:rFonts w:cstheme="minorHAnsi"/>
          <w:sz w:val="24"/>
          <w:szCs w:val="24"/>
        </w:rPr>
        <w:t>the creation of</w:t>
      </w:r>
      <w:r w:rsidR="001B311B" w:rsidRPr="005927F3">
        <w:rPr>
          <w:rFonts w:cstheme="minorHAnsi"/>
          <w:sz w:val="24"/>
          <w:szCs w:val="24"/>
        </w:rPr>
        <w:t xml:space="preserve"> a </w:t>
      </w:r>
      <w:r w:rsidR="00AF1087" w:rsidRPr="005927F3">
        <w:rPr>
          <w:rFonts w:cstheme="minorHAnsi"/>
          <w:sz w:val="24"/>
          <w:szCs w:val="24"/>
        </w:rPr>
        <w:t>like</w:t>
      </w:r>
      <w:r w:rsidR="001B311B" w:rsidRPr="005927F3">
        <w:rPr>
          <w:rFonts w:cstheme="minorHAnsi"/>
          <w:sz w:val="24"/>
          <w:szCs w:val="24"/>
        </w:rPr>
        <w:t xml:space="preserve"> </w:t>
      </w:r>
      <w:r w:rsidR="002917D2" w:rsidRPr="005927F3">
        <w:rPr>
          <w:rFonts w:cstheme="minorHAnsi"/>
          <w:sz w:val="24"/>
          <w:szCs w:val="24"/>
        </w:rPr>
        <w:t xml:space="preserve">cause of action in </w:t>
      </w:r>
      <w:r w:rsidR="002917D2" w:rsidRPr="005927F3">
        <w:rPr>
          <w:rFonts w:cstheme="minorHAnsi"/>
          <w:sz w:val="24"/>
          <w:szCs w:val="24"/>
        </w:rPr>
        <w:lastRenderedPageBreak/>
        <w:t>England and Wales,</w:t>
      </w:r>
      <w:r w:rsidR="002917D2" w:rsidRPr="005927F3">
        <w:rPr>
          <w:rStyle w:val="FootnoteReference"/>
          <w:rFonts w:cstheme="minorHAnsi"/>
          <w:sz w:val="24"/>
          <w:szCs w:val="24"/>
        </w:rPr>
        <w:footnoteReference w:id="136"/>
      </w:r>
      <w:r w:rsidR="001B311B" w:rsidRPr="005927F3">
        <w:rPr>
          <w:rFonts w:cstheme="minorHAnsi"/>
          <w:sz w:val="24"/>
          <w:szCs w:val="24"/>
        </w:rPr>
        <w:t xml:space="preserve"> the misuse of private information</w:t>
      </w:r>
      <w:r w:rsidR="00927F34" w:rsidRPr="005927F3">
        <w:rPr>
          <w:rFonts w:cstheme="minorHAnsi"/>
          <w:sz w:val="24"/>
          <w:szCs w:val="24"/>
        </w:rPr>
        <w:t xml:space="preserve"> </w:t>
      </w:r>
      <w:r w:rsidR="00E823BE" w:rsidRPr="005927F3">
        <w:rPr>
          <w:rFonts w:cstheme="minorHAnsi"/>
          <w:sz w:val="24"/>
          <w:szCs w:val="24"/>
        </w:rPr>
        <w:t xml:space="preserve">in </w:t>
      </w:r>
      <w:r w:rsidR="00E823BE" w:rsidRPr="005927F3">
        <w:rPr>
          <w:rFonts w:cstheme="minorHAnsi"/>
          <w:i/>
          <w:iCs/>
          <w:sz w:val="24"/>
          <w:szCs w:val="24"/>
        </w:rPr>
        <w:t xml:space="preserve">Campbell v MGN </w:t>
      </w:r>
      <w:r w:rsidR="00927F34" w:rsidRPr="005927F3">
        <w:rPr>
          <w:rFonts w:cstheme="minorHAnsi"/>
          <w:sz w:val="24"/>
          <w:szCs w:val="24"/>
        </w:rPr>
        <w:t>(2004)</w:t>
      </w:r>
      <w:r w:rsidR="007C0756" w:rsidRPr="005927F3">
        <w:rPr>
          <w:rFonts w:cstheme="minorHAnsi"/>
          <w:sz w:val="24"/>
          <w:szCs w:val="24"/>
        </w:rPr>
        <w:t>,</w:t>
      </w:r>
      <w:r w:rsidR="001B311B" w:rsidRPr="005927F3">
        <w:rPr>
          <w:rStyle w:val="FootnoteReference"/>
          <w:rFonts w:cstheme="minorHAnsi"/>
          <w:sz w:val="24"/>
          <w:szCs w:val="24"/>
        </w:rPr>
        <w:footnoteReference w:id="137"/>
      </w:r>
      <w:r w:rsidR="003038EA" w:rsidRPr="005927F3">
        <w:rPr>
          <w:rFonts w:cstheme="minorHAnsi"/>
          <w:sz w:val="24"/>
          <w:szCs w:val="24"/>
        </w:rPr>
        <w:t xml:space="preserve"> against a historic reluctance to go over and beyond traditional common law quasi-privacy remedies. </w:t>
      </w:r>
      <w:r w:rsidR="007C0756" w:rsidRPr="005927F3">
        <w:rPr>
          <w:rFonts w:cstheme="minorHAnsi"/>
          <w:sz w:val="24"/>
          <w:szCs w:val="24"/>
        </w:rPr>
        <w:t>Tr</w:t>
      </w:r>
      <w:r w:rsidR="00505FE5" w:rsidRPr="005927F3">
        <w:rPr>
          <w:rFonts w:cstheme="minorHAnsi"/>
          <w:sz w:val="24"/>
          <w:szCs w:val="24"/>
        </w:rPr>
        <w:t xml:space="preserve">espass to </w:t>
      </w:r>
      <w:r w:rsidR="00915BD8" w:rsidRPr="005927F3">
        <w:rPr>
          <w:rFonts w:cstheme="minorHAnsi"/>
          <w:sz w:val="24"/>
          <w:szCs w:val="24"/>
        </w:rPr>
        <w:t>land and</w:t>
      </w:r>
      <w:r w:rsidR="00A73803" w:rsidRPr="005927F3">
        <w:rPr>
          <w:rFonts w:cstheme="minorHAnsi"/>
          <w:sz w:val="24"/>
          <w:szCs w:val="24"/>
        </w:rPr>
        <w:t xml:space="preserve"> </w:t>
      </w:r>
      <w:r w:rsidRPr="005927F3">
        <w:rPr>
          <w:rFonts w:cstheme="minorHAnsi"/>
          <w:sz w:val="24"/>
          <w:szCs w:val="24"/>
        </w:rPr>
        <w:t xml:space="preserve">to the </w:t>
      </w:r>
      <w:r w:rsidR="00505FE5" w:rsidRPr="005927F3">
        <w:rPr>
          <w:rFonts w:cstheme="minorHAnsi"/>
          <w:sz w:val="24"/>
          <w:szCs w:val="24"/>
        </w:rPr>
        <w:t>person and</w:t>
      </w:r>
      <w:r w:rsidR="003038EA" w:rsidRPr="005927F3">
        <w:rPr>
          <w:rFonts w:cstheme="minorHAnsi"/>
          <w:sz w:val="24"/>
          <w:szCs w:val="24"/>
        </w:rPr>
        <w:t xml:space="preserve"> actions for </w:t>
      </w:r>
      <w:r w:rsidR="00505FE5" w:rsidRPr="005927F3">
        <w:rPr>
          <w:rFonts w:cstheme="minorHAnsi"/>
          <w:sz w:val="24"/>
          <w:szCs w:val="24"/>
        </w:rPr>
        <w:t>breach of confidence h</w:t>
      </w:r>
      <w:r w:rsidRPr="005927F3">
        <w:rPr>
          <w:rFonts w:cstheme="minorHAnsi"/>
          <w:sz w:val="24"/>
          <w:szCs w:val="24"/>
        </w:rPr>
        <w:t>ad</w:t>
      </w:r>
      <w:r w:rsidR="007B297A" w:rsidRPr="005927F3">
        <w:rPr>
          <w:rFonts w:cstheme="minorHAnsi"/>
          <w:sz w:val="24"/>
          <w:szCs w:val="24"/>
        </w:rPr>
        <w:t xml:space="preserve"> </w:t>
      </w:r>
      <w:r w:rsidR="007C0756" w:rsidRPr="005927F3">
        <w:rPr>
          <w:rFonts w:cstheme="minorHAnsi"/>
          <w:sz w:val="24"/>
          <w:szCs w:val="24"/>
        </w:rPr>
        <w:t xml:space="preserve">until </w:t>
      </w:r>
      <w:r w:rsidR="007C0756" w:rsidRPr="005927F3">
        <w:rPr>
          <w:rFonts w:cstheme="minorHAnsi"/>
          <w:i/>
          <w:iCs/>
          <w:sz w:val="24"/>
          <w:szCs w:val="24"/>
        </w:rPr>
        <w:t>Campbell</w:t>
      </w:r>
      <w:r w:rsidR="007C0756" w:rsidRPr="005927F3">
        <w:rPr>
          <w:rFonts w:cstheme="minorHAnsi"/>
          <w:sz w:val="24"/>
          <w:szCs w:val="24"/>
        </w:rPr>
        <w:t xml:space="preserve"> </w:t>
      </w:r>
      <w:r w:rsidR="00915BD8" w:rsidRPr="005927F3">
        <w:rPr>
          <w:rFonts w:cstheme="minorHAnsi"/>
          <w:sz w:val="24"/>
          <w:szCs w:val="24"/>
        </w:rPr>
        <w:t>secured</w:t>
      </w:r>
      <w:r w:rsidR="00505FE5" w:rsidRPr="005927F3">
        <w:rPr>
          <w:rFonts w:cstheme="minorHAnsi"/>
          <w:sz w:val="24"/>
          <w:szCs w:val="24"/>
        </w:rPr>
        <w:t xml:space="preserve"> the liter</w:t>
      </w:r>
      <w:r w:rsidR="00F53C3E" w:rsidRPr="005927F3">
        <w:rPr>
          <w:rFonts w:cstheme="minorHAnsi"/>
          <w:sz w:val="24"/>
          <w:szCs w:val="24"/>
        </w:rPr>
        <w:t>al inner</w:t>
      </w:r>
      <w:r w:rsidR="00A11D96" w:rsidRPr="005927F3">
        <w:rPr>
          <w:rFonts w:cstheme="minorHAnsi"/>
          <w:sz w:val="24"/>
          <w:szCs w:val="24"/>
        </w:rPr>
        <w:t xml:space="preserve"> space of home and body</w:t>
      </w:r>
      <w:r w:rsidR="00EE0638" w:rsidRPr="005927F3">
        <w:rPr>
          <w:rFonts w:cstheme="minorHAnsi"/>
          <w:sz w:val="24"/>
          <w:szCs w:val="24"/>
        </w:rPr>
        <w:t xml:space="preserve">, </w:t>
      </w:r>
      <w:r w:rsidR="00121011" w:rsidRPr="005927F3">
        <w:rPr>
          <w:rFonts w:cstheme="minorHAnsi"/>
          <w:sz w:val="24"/>
          <w:szCs w:val="24"/>
        </w:rPr>
        <w:t>albeit with a gradually expanded definition</w:t>
      </w:r>
      <w:r w:rsidR="00A11D96" w:rsidRPr="005927F3">
        <w:rPr>
          <w:rFonts w:cstheme="minorHAnsi"/>
          <w:sz w:val="24"/>
          <w:szCs w:val="24"/>
        </w:rPr>
        <w:t xml:space="preserve"> of</w:t>
      </w:r>
      <w:r w:rsidR="00F53C3E" w:rsidRPr="005927F3">
        <w:rPr>
          <w:rFonts w:cstheme="minorHAnsi"/>
          <w:sz w:val="24"/>
          <w:szCs w:val="24"/>
        </w:rPr>
        <w:t xml:space="preserve"> ‘confidential’ </w:t>
      </w:r>
      <w:r w:rsidR="00927F34" w:rsidRPr="005927F3">
        <w:rPr>
          <w:rFonts w:cstheme="minorHAnsi"/>
          <w:sz w:val="24"/>
          <w:szCs w:val="24"/>
        </w:rPr>
        <w:t xml:space="preserve">to </w:t>
      </w:r>
      <w:r w:rsidR="00F53C3E" w:rsidRPr="005927F3">
        <w:rPr>
          <w:rFonts w:cstheme="minorHAnsi"/>
          <w:sz w:val="24"/>
          <w:szCs w:val="24"/>
        </w:rPr>
        <w:t xml:space="preserve">encompass private-public scenarios </w:t>
      </w:r>
      <w:proofErr w:type="gramStart"/>
      <w:r w:rsidR="00F53C3E" w:rsidRPr="005927F3">
        <w:rPr>
          <w:rFonts w:cstheme="minorHAnsi"/>
          <w:i/>
          <w:iCs/>
          <w:sz w:val="24"/>
          <w:szCs w:val="24"/>
        </w:rPr>
        <w:t>e.g.</w:t>
      </w:r>
      <w:proofErr w:type="gramEnd"/>
      <w:r w:rsidR="00F53C3E" w:rsidRPr="005927F3">
        <w:rPr>
          <w:rFonts w:cstheme="minorHAnsi"/>
          <w:sz w:val="24"/>
          <w:szCs w:val="24"/>
        </w:rPr>
        <w:t xml:space="preserve"> a kiss in </w:t>
      </w:r>
      <w:r w:rsidR="004733D6" w:rsidRPr="005927F3">
        <w:rPr>
          <w:rFonts w:cstheme="minorHAnsi"/>
          <w:sz w:val="24"/>
          <w:szCs w:val="24"/>
        </w:rPr>
        <w:t xml:space="preserve">a </w:t>
      </w:r>
      <w:r w:rsidR="00F53C3E" w:rsidRPr="005927F3">
        <w:rPr>
          <w:rFonts w:cstheme="minorHAnsi"/>
          <w:sz w:val="24"/>
          <w:szCs w:val="24"/>
        </w:rPr>
        <w:t>restaurant.</w:t>
      </w:r>
      <w:r w:rsidR="00F53C3E" w:rsidRPr="005927F3">
        <w:rPr>
          <w:rStyle w:val="FootnoteReference"/>
          <w:rFonts w:cstheme="minorHAnsi"/>
          <w:sz w:val="24"/>
          <w:szCs w:val="24"/>
        </w:rPr>
        <w:footnoteReference w:id="138"/>
      </w:r>
      <w:r w:rsidR="00F53C3E" w:rsidRPr="005927F3">
        <w:rPr>
          <w:rFonts w:cstheme="minorHAnsi"/>
          <w:sz w:val="24"/>
          <w:szCs w:val="24"/>
        </w:rPr>
        <w:t xml:space="preserve"> </w:t>
      </w:r>
      <w:r w:rsidR="001B311B" w:rsidRPr="005927F3">
        <w:rPr>
          <w:rFonts w:cstheme="minorHAnsi"/>
          <w:sz w:val="24"/>
          <w:szCs w:val="24"/>
        </w:rPr>
        <w:t xml:space="preserve"> </w:t>
      </w:r>
    </w:p>
    <w:p w14:paraId="6FEA4CC4" w14:textId="77777777" w:rsidR="009130D8" w:rsidRPr="005927F3" w:rsidRDefault="009130D8" w:rsidP="008B308D">
      <w:pPr>
        <w:autoSpaceDE w:val="0"/>
        <w:autoSpaceDN w:val="0"/>
        <w:adjustRightInd w:val="0"/>
        <w:spacing w:after="0" w:line="240" w:lineRule="auto"/>
        <w:jc w:val="both"/>
        <w:rPr>
          <w:rStyle w:val="s7d2086b4"/>
          <w:rFonts w:cstheme="minorHAnsi"/>
          <w:sz w:val="24"/>
          <w:szCs w:val="24"/>
        </w:rPr>
      </w:pPr>
    </w:p>
    <w:p w14:paraId="0A8FDF63" w14:textId="58851EC8" w:rsidR="003C3A05" w:rsidRPr="005927F3" w:rsidRDefault="0051134C" w:rsidP="003C3A05">
      <w:pPr>
        <w:autoSpaceDE w:val="0"/>
        <w:autoSpaceDN w:val="0"/>
        <w:adjustRightInd w:val="0"/>
        <w:spacing w:after="0" w:line="240" w:lineRule="auto"/>
        <w:jc w:val="both"/>
        <w:rPr>
          <w:rFonts w:cstheme="minorHAnsi"/>
          <w:sz w:val="24"/>
          <w:szCs w:val="24"/>
        </w:rPr>
      </w:pPr>
      <w:r w:rsidRPr="005927F3">
        <w:rPr>
          <w:rStyle w:val="s7d2086b4"/>
          <w:rFonts w:cstheme="minorHAnsi"/>
          <w:sz w:val="24"/>
          <w:szCs w:val="24"/>
          <w:u w:val="single"/>
        </w:rPr>
        <w:t>‘</w:t>
      </w:r>
      <w:r w:rsidR="006F3E79" w:rsidRPr="005927F3">
        <w:rPr>
          <w:rStyle w:val="s7d2086b4"/>
          <w:rFonts w:cstheme="minorHAnsi"/>
          <w:sz w:val="24"/>
          <w:szCs w:val="24"/>
          <w:u w:val="single"/>
        </w:rPr>
        <w:t>Private</w:t>
      </w:r>
      <w:r w:rsidRPr="005927F3">
        <w:rPr>
          <w:rStyle w:val="s7d2086b4"/>
          <w:rFonts w:cstheme="minorHAnsi"/>
          <w:sz w:val="24"/>
          <w:szCs w:val="24"/>
          <w:u w:val="single"/>
        </w:rPr>
        <w:t>’</w:t>
      </w:r>
      <w:r w:rsidR="006F3E79" w:rsidRPr="005927F3">
        <w:rPr>
          <w:rStyle w:val="s7d2086b4"/>
          <w:rFonts w:cstheme="minorHAnsi"/>
          <w:sz w:val="24"/>
          <w:szCs w:val="24"/>
          <w:u w:val="single"/>
        </w:rPr>
        <w:t xml:space="preserve"> i</w:t>
      </w:r>
      <w:r w:rsidR="009130D8" w:rsidRPr="005927F3">
        <w:rPr>
          <w:rStyle w:val="s7d2086b4"/>
          <w:rFonts w:cstheme="minorHAnsi"/>
          <w:sz w:val="24"/>
          <w:szCs w:val="24"/>
          <w:u w:val="single"/>
        </w:rPr>
        <w:t>nformation</w:t>
      </w:r>
      <w:r w:rsidR="00804014" w:rsidRPr="005927F3">
        <w:rPr>
          <w:rStyle w:val="s7d2086b4"/>
          <w:rFonts w:cstheme="minorHAnsi"/>
          <w:sz w:val="24"/>
          <w:szCs w:val="24"/>
          <w:u w:val="single"/>
        </w:rPr>
        <w:t xml:space="preserve"> and </w:t>
      </w:r>
      <w:r w:rsidRPr="005927F3">
        <w:rPr>
          <w:rStyle w:val="s7d2086b4"/>
          <w:rFonts w:cstheme="minorHAnsi"/>
          <w:sz w:val="24"/>
          <w:szCs w:val="24"/>
          <w:u w:val="single"/>
        </w:rPr>
        <w:t>‘</w:t>
      </w:r>
      <w:r w:rsidR="00804014" w:rsidRPr="005927F3">
        <w:rPr>
          <w:rStyle w:val="s7d2086b4"/>
          <w:rFonts w:cstheme="minorHAnsi"/>
          <w:sz w:val="24"/>
          <w:szCs w:val="24"/>
          <w:u w:val="single"/>
        </w:rPr>
        <w:t>private</w:t>
      </w:r>
      <w:r w:rsidRPr="005927F3">
        <w:rPr>
          <w:rStyle w:val="s7d2086b4"/>
          <w:rFonts w:cstheme="minorHAnsi"/>
          <w:sz w:val="24"/>
          <w:szCs w:val="24"/>
          <w:u w:val="single"/>
        </w:rPr>
        <w:t>’</w:t>
      </w:r>
      <w:r w:rsidR="00804014" w:rsidRPr="005927F3">
        <w:rPr>
          <w:rStyle w:val="s7d2086b4"/>
          <w:rFonts w:cstheme="minorHAnsi"/>
          <w:sz w:val="24"/>
          <w:szCs w:val="24"/>
          <w:u w:val="single"/>
        </w:rPr>
        <w:t xml:space="preserve"> harms</w:t>
      </w:r>
      <w:r w:rsidR="009130D8" w:rsidRPr="005927F3">
        <w:rPr>
          <w:rStyle w:val="s7d2086b4"/>
          <w:rFonts w:cstheme="minorHAnsi"/>
          <w:sz w:val="24"/>
          <w:szCs w:val="24"/>
        </w:rPr>
        <w:t xml:space="preserve"> </w:t>
      </w:r>
      <w:r w:rsidR="00B616BF" w:rsidRPr="005927F3">
        <w:rPr>
          <w:rStyle w:val="s7d2086b4"/>
          <w:rFonts w:cstheme="minorHAnsi"/>
          <w:sz w:val="24"/>
          <w:szCs w:val="24"/>
        </w:rPr>
        <w:t>D</w:t>
      </w:r>
      <w:r w:rsidR="00230AA8" w:rsidRPr="005927F3">
        <w:rPr>
          <w:rStyle w:val="s7d2086b4"/>
          <w:rFonts w:cstheme="minorHAnsi"/>
          <w:sz w:val="24"/>
          <w:szCs w:val="24"/>
        </w:rPr>
        <w:t xml:space="preserve">espite </w:t>
      </w:r>
      <w:r w:rsidR="00412F5B" w:rsidRPr="005927F3">
        <w:rPr>
          <w:rStyle w:val="s7d2086b4"/>
          <w:rFonts w:cstheme="minorHAnsi"/>
          <w:sz w:val="24"/>
          <w:szCs w:val="24"/>
        </w:rPr>
        <w:t>the</w:t>
      </w:r>
      <w:r w:rsidR="001B311B" w:rsidRPr="005927F3">
        <w:rPr>
          <w:rStyle w:val="s7d2086b4"/>
          <w:rFonts w:cstheme="minorHAnsi"/>
          <w:sz w:val="24"/>
          <w:szCs w:val="24"/>
        </w:rPr>
        <w:t xml:space="preserve"> expanded</w:t>
      </w:r>
      <w:r w:rsidR="009C4C1F" w:rsidRPr="005927F3">
        <w:rPr>
          <w:rStyle w:val="s7d2086b4"/>
          <w:rFonts w:cstheme="minorHAnsi"/>
          <w:sz w:val="24"/>
          <w:szCs w:val="24"/>
        </w:rPr>
        <w:t xml:space="preserve"> reading of Art 8 </w:t>
      </w:r>
      <w:r w:rsidR="00230AA8" w:rsidRPr="005927F3">
        <w:rPr>
          <w:rStyle w:val="s7d2086b4"/>
          <w:rFonts w:cstheme="minorHAnsi"/>
          <w:sz w:val="24"/>
          <w:szCs w:val="24"/>
        </w:rPr>
        <w:t>and</w:t>
      </w:r>
      <w:r w:rsidR="004D2753" w:rsidRPr="005927F3">
        <w:rPr>
          <w:rStyle w:val="s7d2086b4"/>
          <w:rFonts w:cstheme="minorHAnsi"/>
          <w:sz w:val="24"/>
          <w:szCs w:val="24"/>
        </w:rPr>
        <w:t xml:space="preserve"> even</w:t>
      </w:r>
      <w:r w:rsidR="00230AA8" w:rsidRPr="005927F3">
        <w:rPr>
          <w:rStyle w:val="s7d2086b4"/>
          <w:rFonts w:cstheme="minorHAnsi"/>
          <w:sz w:val="24"/>
          <w:szCs w:val="24"/>
        </w:rPr>
        <w:t xml:space="preserve"> </w:t>
      </w:r>
      <w:proofErr w:type="gramStart"/>
      <w:r w:rsidR="00DD1AB9" w:rsidRPr="005927F3">
        <w:rPr>
          <w:rStyle w:val="s7d2086b4"/>
          <w:rFonts w:cstheme="minorHAnsi"/>
          <w:sz w:val="24"/>
          <w:szCs w:val="24"/>
        </w:rPr>
        <w:t>despite the fact that</w:t>
      </w:r>
      <w:proofErr w:type="gramEnd"/>
      <w:r w:rsidR="00DD1AB9" w:rsidRPr="005927F3">
        <w:rPr>
          <w:rStyle w:val="s7d2086b4"/>
          <w:rFonts w:cstheme="minorHAnsi"/>
          <w:sz w:val="24"/>
          <w:szCs w:val="24"/>
        </w:rPr>
        <w:t xml:space="preserve"> the ECt</w:t>
      </w:r>
      <w:r w:rsidR="008C30AE" w:rsidRPr="005927F3">
        <w:rPr>
          <w:rStyle w:val="s7d2086b4"/>
          <w:rFonts w:cstheme="minorHAnsi"/>
          <w:sz w:val="24"/>
          <w:szCs w:val="24"/>
        </w:rPr>
        <w:t>HR</w:t>
      </w:r>
      <w:r w:rsidR="00904701" w:rsidRPr="005927F3">
        <w:rPr>
          <w:rStyle w:val="s7d2086b4"/>
          <w:rFonts w:cstheme="minorHAnsi"/>
          <w:sz w:val="24"/>
          <w:szCs w:val="24"/>
        </w:rPr>
        <w:t xml:space="preserve"> </w:t>
      </w:r>
      <w:r w:rsidR="005C2B8B" w:rsidRPr="005927F3">
        <w:rPr>
          <w:rStyle w:val="s7d2086b4"/>
          <w:rFonts w:cstheme="minorHAnsi"/>
          <w:sz w:val="24"/>
          <w:szCs w:val="24"/>
        </w:rPr>
        <w:t xml:space="preserve">has for some time included data protection </w:t>
      </w:r>
      <w:r w:rsidR="001B311B" w:rsidRPr="005927F3">
        <w:rPr>
          <w:rStyle w:val="s7d2086b4"/>
          <w:rFonts w:cstheme="minorHAnsi"/>
          <w:sz w:val="24"/>
          <w:szCs w:val="24"/>
        </w:rPr>
        <w:t>withi</w:t>
      </w:r>
      <w:r w:rsidR="003953C6" w:rsidRPr="005927F3">
        <w:rPr>
          <w:rStyle w:val="s7d2086b4"/>
          <w:rFonts w:cstheme="minorHAnsi"/>
          <w:sz w:val="24"/>
          <w:szCs w:val="24"/>
        </w:rPr>
        <w:t>n</w:t>
      </w:r>
      <w:r w:rsidR="009C4C1F" w:rsidRPr="005927F3">
        <w:rPr>
          <w:rStyle w:val="s7d2086b4"/>
          <w:rFonts w:cstheme="minorHAnsi"/>
          <w:sz w:val="24"/>
          <w:szCs w:val="24"/>
        </w:rPr>
        <w:t xml:space="preserve"> its ambit,</w:t>
      </w:r>
      <w:r w:rsidR="005C2B8B" w:rsidRPr="005927F3">
        <w:rPr>
          <w:rStyle w:val="FootnoteReference"/>
          <w:rFonts w:cstheme="minorHAnsi"/>
          <w:sz w:val="24"/>
          <w:szCs w:val="24"/>
        </w:rPr>
        <w:footnoteReference w:id="139"/>
      </w:r>
      <w:r w:rsidR="005C2B8B" w:rsidRPr="005927F3">
        <w:rPr>
          <w:rStyle w:val="s7d2086b4"/>
          <w:rFonts w:cstheme="minorHAnsi"/>
          <w:sz w:val="24"/>
          <w:szCs w:val="24"/>
        </w:rPr>
        <w:t xml:space="preserve"> </w:t>
      </w:r>
      <w:r w:rsidR="004B3193" w:rsidRPr="005927F3">
        <w:rPr>
          <w:rStyle w:val="s7d2086b4"/>
          <w:rFonts w:cstheme="minorHAnsi"/>
          <w:sz w:val="24"/>
          <w:szCs w:val="24"/>
        </w:rPr>
        <w:t>Art 8</w:t>
      </w:r>
      <w:r w:rsidR="00412F5B" w:rsidRPr="005927F3">
        <w:rPr>
          <w:rStyle w:val="s7d2086b4"/>
          <w:rFonts w:cstheme="minorHAnsi"/>
          <w:sz w:val="24"/>
          <w:szCs w:val="24"/>
        </w:rPr>
        <w:t xml:space="preserve"> has</w:t>
      </w:r>
      <w:r w:rsidR="00414F50" w:rsidRPr="005927F3">
        <w:rPr>
          <w:rStyle w:val="s7d2086b4"/>
          <w:rFonts w:cstheme="minorHAnsi"/>
          <w:sz w:val="24"/>
          <w:szCs w:val="24"/>
        </w:rPr>
        <w:t xml:space="preserve"> </w:t>
      </w:r>
      <w:r w:rsidR="00412F5B" w:rsidRPr="005927F3">
        <w:rPr>
          <w:rStyle w:val="s7d2086b4"/>
          <w:rFonts w:cstheme="minorHAnsi"/>
          <w:sz w:val="24"/>
          <w:szCs w:val="24"/>
        </w:rPr>
        <w:t>remained</w:t>
      </w:r>
      <w:r w:rsidR="003B05D5" w:rsidRPr="005927F3">
        <w:rPr>
          <w:rStyle w:val="s7d2086b4"/>
          <w:rFonts w:cstheme="minorHAnsi"/>
          <w:sz w:val="24"/>
          <w:szCs w:val="24"/>
        </w:rPr>
        <w:t xml:space="preserve"> firmly </w:t>
      </w:r>
      <w:r w:rsidR="003038EA" w:rsidRPr="005927F3">
        <w:rPr>
          <w:rStyle w:val="s7d2086b4"/>
          <w:rFonts w:cstheme="minorHAnsi"/>
          <w:sz w:val="24"/>
          <w:szCs w:val="24"/>
        </w:rPr>
        <w:t>wedded</w:t>
      </w:r>
      <w:r w:rsidR="004D2753" w:rsidRPr="005927F3">
        <w:rPr>
          <w:rStyle w:val="s7d2086b4"/>
          <w:rFonts w:cstheme="minorHAnsi"/>
          <w:sz w:val="24"/>
          <w:szCs w:val="24"/>
        </w:rPr>
        <w:t xml:space="preserve"> to </w:t>
      </w:r>
      <w:r w:rsidR="00DD1AB9" w:rsidRPr="005927F3">
        <w:rPr>
          <w:rStyle w:val="s7d2086b4"/>
          <w:rFonts w:cstheme="minorHAnsi"/>
          <w:sz w:val="24"/>
          <w:szCs w:val="24"/>
        </w:rPr>
        <w:t xml:space="preserve">the idea that information must be </w:t>
      </w:r>
      <w:r w:rsidR="00342AC7" w:rsidRPr="005927F3">
        <w:rPr>
          <w:rStyle w:val="s7d2086b4"/>
          <w:rFonts w:cstheme="minorHAnsi"/>
          <w:sz w:val="24"/>
          <w:szCs w:val="24"/>
        </w:rPr>
        <w:t>‘</w:t>
      </w:r>
      <w:r w:rsidR="00DD1AB9" w:rsidRPr="005927F3">
        <w:rPr>
          <w:rStyle w:val="s7d2086b4"/>
          <w:rFonts w:cstheme="minorHAnsi"/>
          <w:sz w:val="24"/>
          <w:szCs w:val="24"/>
        </w:rPr>
        <w:t>private’</w:t>
      </w:r>
      <w:r w:rsidR="00640D80" w:rsidRPr="005927F3">
        <w:rPr>
          <w:rStyle w:val="s7d2086b4"/>
          <w:rFonts w:cstheme="minorHAnsi"/>
          <w:sz w:val="24"/>
          <w:szCs w:val="24"/>
        </w:rPr>
        <w:t xml:space="preserve"> to attract protection</w:t>
      </w:r>
      <w:r w:rsidR="007C0756" w:rsidRPr="005927F3">
        <w:rPr>
          <w:rStyle w:val="s7d2086b4"/>
          <w:rFonts w:cstheme="minorHAnsi"/>
          <w:sz w:val="24"/>
          <w:szCs w:val="24"/>
        </w:rPr>
        <w:t xml:space="preserve">. </w:t>
      </w:r>
      <w:r w:rsidR="00753326" w:rsidRPr="005927F3">
        <w:rPr>
          <w:rStyle w:val="s7d2086b4"/>
          <w:rFonts w:cstheme="minorHAnsi"/>
          <w:sz w:val="24"/>
          <w:szCs w:val="24"/>
        </w:rPr>
        <w:t xml:space="preserve">Notably </w:t>
      </w:r>
      <w:r w:rsidR="003038EA" w:rsidRPr="005927F3">
        <w:rPr>
          <w:rStyle w:val="s7d2086b4"/>
          <w:rFonts w:cstheme="minorHAnsi"/>
          <w:sz w:val="24"/>
          <w:szCs w:val="24"/>
        </w:rPr>
        <w:t xml:space="preserve">Juliane </w:t>
      </w:r>
      <w:proofErr w:type="spellStart"/>
      <w:r w:rsidR="003038EA" w:rsidRPr="005927F3">
        <w:rPr>
          <w:rStyle w:val="s7d2086b4"/>
          <w:rFonts w:cstheme="minorHAnsi"/>
          <w:sz w:val="24"/>
          <w:szCs w:val="24"/>
        </w:rPr>
        <w:t>Kokott</w:t>
      </w:r>
      <w:proofErr w:type="spellEnd"/>
      <w:r w:rsidR="003038EA" w:rsidRPr="005927F3">
        <w:rPr>
          <w:rStyle w:val="s7d2086b4"/>
          <w:rFonts w:cstheme="minorHAnsi"/>
          <w:sz w:val="24"/>
          <w:szCs w:val="24"/>
        </w:rPr>
        <w:t>, Advocate General at the CJEU</w:t>
      </w:r>
      <w:r w:rsidR="007C0756" w:rsidRPr="005927F3">
        <w:rPr>
          <w:rStyle w:val="s7d2086b4"/>
          <w:rFonts w:cstheme="minorHAnsi"/>
          <w:sz w:val="24"/>
          <w:szCs w:val="24"/>
        </w:rPr>
        <w:t>, observed that</w:t>
      </w:r>
      <w:r w:rsidR="00DD1AB9" w:rsidRPr="005927F3">
        <w:rPr>
          <w:rStyle w:val="s7d2086b4"/>
          <w:rFonts w:cstheme="minorHAnsi"/>
          <w:sz w:val="24"/>
          <w:szCs w:val="24"/>
        </w:rPr>
        <w:t xml:space="preserve"> </w:t>
      </w:r>
      <w:r w:rsidR="005C2B8B" w:rsidRPr="005927F3">
        <w:rPr>
          <w:rStyle w:val="s7d2086b4"/>
          <w:rFonts w:cstheme="minorHAnsi"/>
          <w:sz w:val="24"/>
          <w:szCs w:val="24"/>
        </w:rPr>
        <w:t>‘</w:t>
      </w:r>
      <w:r w:rsidR="005C2B8B" w:rsidRPr="005927F3">
        <w:rPr>
          <w:rFonts w:cstheme="minorHAnsi"/>
          <w:sz w:val="24"/>
          <w:szCs w:val="24"/>
        </w:rPr>
        <w:t>on closer inspection, it appears that Strasbourg requires an additional element of privacy in order for personal information to be included in the scope of private life.’</w:t>
      </w:r>
      <w:r w:rsidR="005C2B8B" w:rsidRPr="005927F3">
        <w:rPr>
          <w:rStyle w:val="FootnoteReference"/>
          <w:rFonts w:cstheme="minorHAnsi"/>
          <w:sz w:val="24"/>
          <w:szCs w:val="24"/>
        </w:rPr>
        <w:footnoteReference w:id="140"/>
      </w:r>
      <w:r w:rsidR="00640D80" w:rsidRPr="005927F3">
        <w:rPr>
          <w:rFonts w:cstheme="minorHAnsi"/>
          <w:sz w:val="24"/>
          <w:szCs w:val="24"/>
        </w:rPr>
        <w:t xml:space="preserve"> </w:t>
      </w:r>
      <w:r w:rsidR="00C41E51" w:rsidRPr="005927F3">
        <w:rPr>
          <w:rFonts w:cstheme="minorHAnsi"/>
          <w:sz w:val="24"/>
          <w:szCs w:val="24"/>
        </w:rPr>
        <w:t>This</w:t>
      </w:r>
      <w:r w:rsidR="0011424F" w:rsidRPr="005927F3">
        <w:rPr>
          <w:rFonts w:cstheme="minorHAnsi"/>
          <w:sz w:val="24"/>
          <w:szCs w:val="24"/>
        </w:rPr>
        <w:t xml:space="preserve"> </w:t>
      </w:r>
      <w:r w:rsidR="007C0756" w:rsidRPr="005927F3">
        <w:rPr>
          <w:rFonts w:cstheme="minorHAnsi"/>
          <w:sz w:val="24"/>
          <w:szCs w:val="24"/>
        </w:rPr>
        <w:t xml:space="preserve">additional </w:t>
      </w:r>
      <w:r w:rsidR="009130D8" w:rsidRPr="005927F3">
        <w:rPr>
          <w:rFonts w:cstheme="minorHAnsi"/>
          <w:sz w:val="24"/>
          <w:szCs w:val="24"/>
        </w:rPr>
        <w:t xml:space="preserve">‘private’ element </w:t>
      </w:r>
      <w:r w:rsidR="0011424F" w:rsidRPr="005927F3">
        <w:rPr>
          <w:rFonts w:cstheme="minorHAnsi"/>
          <w:sz w:val="24"/>
          <w:szCs w:val="24"/>
        </w:rPr>
        <w:t>requires a contortionist trick in the case</w:t>
      </w:r>
      <w:r w:rsidR="008C30AE" w:rsidRPr="005927F3">
        <w:rPr>
          <w:rFonts w:cstheme="minorHAnsi"/>
          <w:sz w:val="24"/>
          <w:szCs w:val="24"/>
        </w:rPr>
        <w:t xml:space="preserve"> of</w:t>
      </w:r>
      <w:r w:rsidR="00B44719" w:rsidRPr="005927F3">
        <w:rPr>
          <w:rFonts w:cstheme="minorHAnsi"/>
          <w:sz w:val="24"/>
          <w:szCs w:val="24"/>
        </w:rPr>
        <w:t xml:space="preserve"> </w:t>
      </w:r>
      <w:r w:rsidR="008C30AE" w:rsidRPr="005927F3">
        <w:rPr>
          <w:rFonts w:cstheme="minorHAnsi"/>
          <w:i/>
          <w:sz w:val="24"/>
          <w:szCs w:val="24"/>
        </w:rPr>
        <w:t>public</w:t>
      </w:r>
      <w:r w:rsidR="008C30AE" w:rsidRPr="005927F3">
        <w:rPr>
          <w:rFonts w:cstheme="minorHAnsi"/>
          <w:sz w:val="24"/>
          <w:szCs w:val="24"/>
        </w:rPr>
        <w:t xml:space="preserve"> </w:t>
      </w:r>
      <w:r w:rsidR="00B44719" w:rsidRPr="005927F3">
        <w:rPr>
          <w:rFonts w:cstheme="minorHAnsi"/>
          <w:sz w:val="24"/>
          <w:szCs w:val="24"/>
        </w:rPr>
        <w:t>personal</w:t>
      </w:r>
      <w:r w:rsidR="0011424F" w:rsidRPr="005927F3">
        <w:rPr>
          <w:rFonts w:cstheme="minorHAnsi"/>
          <w:sz w:val="24"/>
          <w:szCs w:val="24"/>
        </w:rPr>
        <w:t xml:space="preserve"> </w:t>
      </w:r>
      <w:r w:rsidR="00640D80" w:rsidRPr="005927F3">
        <w:rPr>
          <w:rFonts w:cstheme="minorHAnsi"/>
          <w:sz w:val="24"/>
          <w:szCs w:val="24"/>
        </w:rPr>
        <w:t xml:space="preserve">information </w:t>
      </w:r>
      <w:r w:rsidR="0011424F" w:rsidRPr="005927F3">
        <w:rPr>
          <w:rFonts w:cstheme="minorHAnsi"/>
          <w:sz w:val="24"/>
          <w:szCs w:val="24"/>
        </w:rPr>
        <w:t>such</w:t>
      </w:r>
      <w:r w:rsidR="003C3A05" w:rsidRPr="005927F3">
        <w:rPr>
          <w:rFonts w:cstheme="minorHAnsi"/>
          <w:sz w:val="24"/>
          <w:szCs w:val="24"/>
        </w:rPr>
        <w:t xml:space="preserve"> as a </w:t>
      </w:r>
      <w:r w:rsidR="007C0756" w:rsidRPr="005927F3">
        <w:rPr>
          <w:rFonts w:cstheme="minorHAnsi"/>
          <w:sz w:val="24"/>
          <w:szCs w:val="24"/>
        </w:rPr>
        <w:t xml:space="preserve">past </w:t>
      </w:r>
      <w:r w:rsidR="003C3A05" w:rsidRPr="005927F3">
        <w:rPr>
          <w:rFonts w:cstheme="minorHAnsi"/>
          <w:sz w:val="24"/>
          <w:szCs w:val="24"/>
        </w:rPr>
        <w:t xml:space="preserve">conviction or </w:t>
      </w:r>
      <w:r w:rsidR="00904701" w:rsidRPr="005927F3">
        <w:rPr>
          <w:rFonts w:cstheme="minorHAnsi"/>
          <w:sz w:val="24"/>
          <w:szCs w:val="24"/>
        </w:rPr>
        <w:t xml:space="preserve">police </w:t>
      </w:r>
      <w:r w:rsidR="003C3A05" w:rsidRPr="005927F3">
        <w:rPr>
          <w:rFonts w:cstheme="minorHAnsi"/>
          <w:sz w:val="24"/>
          <w:szCs w:val="24"/>
        </w:rPr>
        <w:t>caution,</w:t>
      </w:r>
      <w:r w:rsidR="007C0756" w:rsidRPr="005927F3">
        <w:rPr>
          <w:rFonts w:cstheme="minorHAnsi"/>
          <w:sz w:val="24"/>
          <w:szCs w:val="24"/>
        </w:rPr>
        <w:t xml:space="preserve"> a trick</w:t>
      </w:r>
      <w:r w:rsidR="003C3A05" w:rsidRPr="005927F3">
        <w:rPr>
          <w:rFonts w:cstheme="minorHAnsi"/>
          <w:sz w:val="24"/>
          <w:szCs w:val="24"/>
        </w:rPr>
        <w:t xml:space="preserve"> which the ECtHR has pulled of</w:t>
      </w:r>
      <w:r w:rsidR="00904701" w:rsidRPr="005927F3">
        <w:rPr>
          <w:rFonts w:cstheme="minorHAnsi"/>
          <w:sz w:val="24"/>
          <w:szCs w:val="24"/>
        </w:rPr>
        <w:t xml:space="preserve">f </w:t>
      </w:r>
      <w:r w:rsidR="006F3E79" w:rsidRPr="005927F3">
        <w:rPr>
          <w:rFonts w:cstheme="minorHAnsi"/>
          <w:sz w:val="24"/>
          <w:szCs w:val="24"/>
        </w:rPr>
        <w:t xml:space="preserve">by </w:t>
      </w:r>
      <w:r w:rsidR="00B478E1" w:rsidRPr="005927F3">
        <w:rPr>
          <w:rFonts w:cstheme="minorHAnsi"/>
          <w:sz w:val="24"/>
          <w:szCs w:val="24"/>
        </w:rPr>
        <w:t>holding</w:t>
      </w:r>
      <w:r w:rsidRPr="005927F3">
        <w:rPr>
          <w:rFonts w:cstheme="minorHAnsi"/>
          <w:sz w:val="24"/>
          <w:szCs w:val="24"/>
        </w:rPr>
        <w:t xml:space="preserve"> </w:t>
      </w:r>
      <w:r w:rsidR="003C3A05" w:rsidRPr="005927F3">
        <w:rPr>
          <w:rFonts w:cstheme="minorHAnsi"/>
          <w:sz w:val="24"/>
          <w:szCs w:val="24"/>
        </w:rPr>
        <w:t>that</w:t>
      </w:r>
      <w:r w:rsidR="00904701" w:rsidRPr="005927F3">
        <w:rPr>
          <w:rFonts w:cstheme="minorHAnsi"/>
          <w:sz w:val="24"/>
          <w:szCs w:val="24"/>
        </w:rPr>
        <w:t xml:space="preserve"> such</w:t>
      </w:r>
      <w:r w:rsidR="003C3A05" w:rsidRPr="005927F3">
        <w:rPr>
          <w:rFonts w:cstheme="minorHAnsi"/>
          <w:sz w:val="24"/>
          <w:szCs w:val="24"/>
        </w:rPr>
        <w:t xml:space="preserve"> information</w:t>
      </w:r>
      <w:r w:rsidR="00904701" w:rsidRPr="005927F3">
        <w:rPr>
          <w:rFonts w:cstheme="minorHAnsi"/>
          <w:sz w:val="24"/>
          <w:szCs w:val="24"/>
        </w:rPr>
        <w:t xml:space="preserve"> when it </w:t>
      </w:r>
      <w:r w:rsidR="003C3A05" w:rsidRPr="005927F3">
        <w:rPr>
          <w:rFonts w:cstheme="minorHAnsi"/>
          <w:sz w:val="24"/>
          <w:szCs w:val="24"/>
        </w:rPr>
        <w:t>‘</w:t>
      </w:r>
      <w:r w:rsidR="00B478E1" w:rsidRPr="005927F3">
        <w:rPr>
          <w:rFonts w:cstheme="minorHAnsi"/>
          <w:sz w:val="24"/>
          <w:szCs w:val="24"/>
        </w:rPr>
        <w:t>recedes into the past,…</w:t>
      </w:r>
      <w:r w:rsidR="009130D8" w:rsidRPr="005927F3">
        <w:rPr>
          <w:rFonts w:cstheme="minorHAnsi"/>
          <w:sz w:val="24"/>
          <w:szCs w:val="24"/>
        </w:rPr>
        <w:t xml:space="preserve"> </w:t>
      </w:r>
      <w:r w:rsidR="0011424F" w:rsidRPr="005927F3">
        <w:rPr>
          <w:rFonts w:cstheme="minorHAnsi"/>
          <w:sz w:val="24"/>
          <w:szCs w:val="24"/>
        </w:rPr>
        <w:t>becomes a part of the person’s private life which must be respected.’</w:t>
      </w:r>
      <w:r w:rsidR="0011424F" w:rsidRPr="005927F3">
        <w:rPr>
          <w:rStyle w:val="FootnoteReference"/>
          <w:rFonts w:cstheme="minorHAnsi"/>
          <w:sz w:val="24"/>
          <w:szCs w:val="24"/>
        </w:rPr>
        <w:footnoteReference w:id="141"/>
      </w:r>
      <w:r w:rsidR="009130D8" w:rsidRPr="005927F3">
        <w:rPr>
          <w:rFonts w:cstheme="minorHAnsi"/>
          <w:sz w:val="24"/>
          <w:szCs w:val="24"/>
        </w:rPr>
        <w:t xml:space="preserve"> </w:t>
      </w:r>
      <w:r w:rsidR="003B05D5" w:rsidRPr="005927F3">
        <w:rPr>
          <w:rFonts w:cstheme="minorHAnsi"/>
          <w:sz w:val="24"/>
          <w:szCs w:val="24"/>
        </w:rPr>
        <w:t>W</w:t>
      </w:r>
      <w:r w:rsidR="003C3A05" w:rsidRPr="005927F3">
        <w:rPr>
          <w:rFonts w:cstheme="minorHAnsi"/>
          <w:sz w:val="24"/>
          <w:szCs w:val="24"/>
        </w:rPr>
        <w:t>hether in such</w:t>
      </w:r>
      <w:r w:rsidR="003B05D5" w:rsidRPr="005927F3">
        <w:rPr>
          <w:rFonts w:cstheme="minorHAnsi"/>
          <w:sz w:val="24"/>
          <w:szCs w:val="24"/>
        </w:rPr>
        <w:t xml:space="preserve"> case</w:t>
      </w:r>
      <w:r w:rsidR="003C3A05" w:rsidRPr="005927F3">
        <w:rPr>
          <w:rFonts w:cstheme="minorHAnsi"/>
          <w:sz w:val="24"/>
          <w:szCs w:val="24"/>
        </w:rPr>
        <w:t>s the ‘private’ categorisation</w:t>
      </w:r>
      <w:r w:rsidR="003B05D5" w:rsidRPr="005927F3">
        <w:rPr>
          <w:rFonts w:cstheme="minorHAnsi"/>
          <w:sz w:val="24"/>
          <w:szCs w:val="24"/>
        </w:rPr>
        <w:t xml:space="preserve"> </w:t>
      </w:r>
      <w:r w:rsidR="003C3A05" w:rsidRPr="005927F3">
        <w:rPr>
          <w:rFonts w:cstheme="minorHAnsi"/>
          <w:sz w:val="24"/>
          <w:szCs w:val="24"/>
        </w:rPr>
        <w:t>is</w:t>
      </w:r>
      <w:r w:rsidR="003B05D5" w:rsidRPr="005927F3">
        <w:rPr>
          <w:rFonts w:cstheme="minorHAnsi"/>
          <w:sz w:val="24"/>
          <w:szCs w:val="24"/>
        </w:rPr>
        <w:t xml:space="preserve"> anything </w:t>
      </w:r>
      <w:r w:rsidR="003C3A05" w:rsidRPr="005927F3">
        <w:rPr>
          <w:rFonts w:cstheme="minorHAnsi"/>
          <w:sz w:val="24"/>
          <w:szCs w:val="24"/>
        </w:rPr>
        <w:t>other</w:t>
      </w:r>
      <w:r w:rsidR="00543894" w:rsidRPr="005927F3">
        <w:rPr>
          <w:rFonts w:cstheme="minorHAnsi"/>
          <w:sz w:val="24"/>
          <w:szCs w:val="24"/>
        </w:rPr>
        <w:t xml:space="preserve"> </w:t>
      </w:r>
      <w:r w:rsidR="005070D4" w:rsidRPr="005927F3">
        <w:rPr>
          <w:rFonts w:cstheme="minorHAnsi"/>
          <w:sz w:val="24"/>
          <w:szCs w:val="24"/>
        </w:rPr>
        <w:t>than t</w:t>
      </w:r>
      <w:r w:rsidR="00543894" w:rsidRPr="005927F3">
        <w:rPr>
          <w:rFonts w:cstheme="minorHAnsi"/>
          <w:sz w:val="24"/>
          <w:szCs w:val="24"/>
        </w:rPr>
        <w:t>he conclusion that the data must be protected rather than a precondition</w:t>
      </w:r>
      <w:r w:rsidR="00587247" w:rsidRPr="005927F3">
        <w:rPr>
          <w:rFonts w:cstheme="minorHAnsi"/>
          <w:sz w:val="24"/>
          <w:szCs w:val="24"/>
        </w:rPr>
        <w:t xml:space="preserve"> for such protection</w:t>
      </w:r>
      <w:r w:rsidR="003C3A05" w:rsidRPr="005927F3">
        <w:rPr>
          <w:rFonts w:cstheme="minorHAnsi"/>
          <w:sz w:val="24"/>
          <w:szCs w:val="24"/>
        </w:rPr>
        <w:t>,</w:t>
      </w:r>
      <w:r w:rsidR="003B05D5" w:rsidRPr="005927F3">
        <w:rPr>
          <w:rFonts w:cstheme="minorHAnsi"/>
          <w:sz w:val="24"/>
          <w:szCs w:val="24"/>
        </w:rPr>
        <w:t xml:space="preserve"> is questionable. </w:t>
      </w:r>
      <w:proofErr w:type="gramStart"/>
      <w:r w:rsidR="009A5189" w:rsidRPr="005927F3">
        <w:rPr>
          <w:rFonts w:cstheme="minorHAnsi"/>
          <w:sz w:val="24"/>
          <w:szCs w:val="24"/>
        </w:rPr>
        <w:t>C</w:t>
      </w:r>
      <w:r w:rsidR="003C3A05" w:rsidRPr="005927F3">
        <w:rPr>
          <w:rFonts w:cstheme="minorHAnsi"/>
          <w:sz w:val="24"/>
          <w:szCs w:val="24"/>
        </w:rPr>
        <w:t>ertainly</w:t>
      </w:r>
      <w:proofErr w:type="gramEnd"/>
      <w:r w:rsidR="009A5189" w:rsidRPr="005927F3">
        <w:rPr>
          <w:rFonts w:cstheme="minorHAnsi"/>
          <w:sz w:val="24"/>
          <w:szCs w:val="24"/>
        </w:rPr>
        <w:t xml:space="preserve"> it</w:t>
      </w:r>
      <w:r w:rsidR="003C3A05" w:rsidRPr="005927F3">
        <w:rPr>
          <w:rFonts w:cstheme="minorHAnsi"/>
          <w:sz w:val="24"/>
          <w:szCs w:val="24"/>
        </w:rPr>
        <w:t xml:space="preserve"> </w:t>
      </w:r>
      <w:r w:rsidR="009D7B3F" w:rsidRPr="005927F3">
        <w:rPr>
          <w:rFonts w:cstheme="minorHAnsi"/>
          <w:sz w:val="24"/>
          <w:szCs w:val="24"/>
        </w:rPr>
        <w:t xml:space="preserve">is </w:t>
      </w:r>
      <w:r w:rsidR="003B05D5" w:rsidRPr="005927F3">
        <w:rPr>
          <w:rFonts w:cstheme="minorHAnsi"/>
          <w:sz w:val="24"/>
          <w:szCs w:val="24"/>
        </w:rPr>
        <w:t xml:space="preserve">a legal </w:t>
      </w:r>
      <w:r w:rsidR="00D126E4" w:rsidRPr="005927F3">
        <w:rPr>
          <w:rFonts w:cstheme="minorHAnsi"/>
          <w:sz w:val="24"/>
          <w:szCs w:val="24"/>
        </w:rPr>
        <w:t>fiction that such personal</w:t>
      </w:r>
      <w:r w:rsidR="003B05D5" w:rsidRPr="005927F3">
        <w:rPr>
          <w:rFonts w:cstheme="minorHAnsi"/>
          <w:sz w:val="24"/>
          <w:szCs w:val="24"/>
        </w:rPr>
        <w:t xml:space="preserve"> information acquires a</w:t>
      </w:r>
      <w:r w:rsidR="003B05D5" w:rsidRPr="005927F3">
        <w:rPr>
          <w:rFonts w:cstheme="minorHAnsi"/>
          <w:i/>
          <w:sz w:val="24"/>
          <w:szCs w:val="24"/>
        </w:rPr>
        <w:t xml:space="preserve"> confidential</w:t>
      </w:r>
      <w:r w:rsidR="00904701" w:rsidRPr="005927F3">
        <w:rPr>
          <w:rFonts w:cstheme="minorHAnsi"/>
          <w:sz w:val="24"/>
          <w:szCs w:val="24"/>
        </w:rPr>
        <w:t xml:space="preserve"> status</w:t>
      </w:r>
      <w:r w:rsidR="003B05D5" w:rsidRPr="005927F3">
        <w:rPr>
          <w:rFonts w:cstheme="minorHAnsi"/>
          <w:sz w:val="24"/>
          <w:szCs w:val="24"/>
        </w:rPr>
        <w:t xml:space="preserve"> </w:t>
      </w:r>
      <w:r w:rsidR="007C0756" w:rsidRPr="005927F3">
        <w:rPr>
          <w:rFonts w:cstheme="minorHAnsi"/>
          <w:sz w:val="24"/>
          <w:szCs w:val="24"/>
        </w:rPr>
        <w:t>considering</w:t>
      </w:r>
      <w:r w:rsidR="00E92511" w:rsidRPr="005927F3">
        <w:rPr>
          <w:rFonts w:cstheme="minorHAnsi"/>
          <w:sz w:val="24"/>
          <w:szCs w:val="24"/>
        </w:rPr>
        <w:t xml:space="preserve"> that</w:t>
      </w:r>
      <w:r w:rsidR="003B05D5" w:rsidRPr="005927F3">
        <w:rPr>
          <w:rFonts w:cstheme="minorHAnsi"/>
          <w:sz w:val="24"/>
          <w:szCs w:val="24"/>
        </w:rPr>
        <w:t xml:space="preserve"> it remains</w:t>
      </w:r>
      <w:r w:rsidR="00904701" w:rsidRPr="005927F3">
        <w:rPr>
          <w:rFonts w:cstheme="minorHAnsi"/>
          <w:sz w:val="24"/>
          <w:szCs w:val="24"/>
        </w:rPr>
        <w:t xml:space="preserve"> </w:t>
      </w:r>
      <w:r w:rsidRPr="005927F3">
        <w:rPr>
          <w:rFonts w:cstheme="minorHAnsi"/>
          <w:sz w:val="24"/>
          <w:szCs w:val="24"/>
        </w:rPr>
        <w:t>in the official police records and</w:t>
      </w:r>
      <w:r w:rsidR="00904701" w:rsidRPr="005927F3">
        <w:rPr>
          <w:rFonts w:cstheme="minorHAnsi"/>
          <w:sz w:val="24"/>
          <w:szCs w:val="24"/>
        </w:rPr>
        <w:t xml:space="preserve"> </w:t>
      </w:r>
      <w:r w:rsidRPr="005927F3">
        <w:rPr>
          <w:rFonts w:cstheme="minorHAnsi"/>
          <w:sz w:val="24"/>
          <w:szCs w:val="24"/>
        </w:rPr>
        <w:t xml:space="preserve">news archives. </w:t>
      </w:r>
      <w:r w:rsidR="00D126E4" w:rsidRPr="005927F3">
        <w:rPr>
          <w:rFonts w:cstheme="minorHAnsi"/>
          <w:sz w:val="24"/>
          <w:szCs w:val="24"/>
        </w:rPr>
        <w:t>A</w:t>
      </w:r>
      <w:r w:rsidR="003C3A05" w:rsidRPr="005927F3">
        <w:rPr>
          <w:rFonts w:cstheme="minorHAnsi"/>
          <w:sz w:val="24"/>
          <w:szCs w:val="24"/>
        </w:rPr>
        <w:t xml:space="preserve">gainst this </w:t>
      </w:r>
      <w:r w:rsidR="0061388B" w:rsidRPr="005927F3">
        <w:rPr>
          <w:rFonts w:cstheme="minorHAnsi"/>
          <w:sz w:val="24"/>
          <w:szCs w:val="24"/>
        </w:rPr>
        <w:t xml:space="preserve">contorted </w:t>
      </w:r>
      <w:r w:rsidR="003C3A05" w:rsidRPr="005927F3">
        <w:rPr>
          <w:rFonts w:cstheme="minorHAnsi"/>
          <w:sz w:val="24"/>
          <w:szCs w:val="24"/>
        </w:rPr>
        <w:t>A</w:t>
      </w:r>
      <w:r w:rsidR="00D126E4" w:rsidRPr="005927F3">
        <w:rPr>
          <w:rFonts w:cstheme="minorHAnsi"/>
          <w:sz w:val="24"/>
          <w:szCs w:val="24"/>
        </w:rPr>
        <w:t xml:space="preserve">rt 8 </w:t>
      </w:r>
      <w:r w:rsidR="003910DA" w:rsidRPr="005927F3">
        <w:rPr>
          <w:rFonts w:cstheme="minorHAnsi"/>
          <w:sz w:val="24"/>
          <w:szCs w:val="24"/>
        </w:rPr>
        <w:t>reading</w:t>
      </w:r>
      <w:r w:rsidR="00D126E4" w:rsidRPr="005927F3">
        <w:rPr>
          <w:rFonts w:cstheme="minorHAnsi"/>
          <w:sz w:val="24"/>
          <w:szCs w:val="24"/>
        </w:rPr>
        <w:t>,</w:t>
      </w:r>
      <w:r w:rsidR="003C3A05" w:rsidRPr="005927F3">
        <w:rPr>
          <w:rFonts w:eastAsia="Times New Roman" w:cstheme="minorHAnsi"/>
          <w:sz w:val="24"/>
          <w:szCs w:val="24"/>
          <w:lang w:eastAsia="en-GB"/>
        </w:rPr>
        <w:t xml:space="preserve"> </w:t>
      </w:r>
      <w:proofErr w:type="spellStart"/>
      <w:r w:rsidR="003C3A05" w:rsidRPr="005927F3">
        <w:rPr>
          <w:rFonts w:eastAsia="Times New Roman" w:cstheme="minorHAnsi"/>
          <w:sz w:val="24"/>
          <w:szCs w:val="24"/>
          <w:lang w:eastAsia="en-GB"/>
        </w:rPr>
        <w:t>Warby</w:t>
      </w:r>
      <w:proofErr w:type="spellEnd"/>
      <w:r w:rsidR="003C3A05" w:rsidRPr="005927F3">
        <w:rPr>
          <w:rFonts w:eastAsia="Times New Roman" w:cstheme="minorHAnsi"/>
          <w:sz w:val="24"/>
          <w:szCs w:val="24"/>
          <w:lang w:eastAsia="en-GB"/>
        </w:rPr>
        <w:t xml:space="preserve"> J</w:t>
      </w:r>
      <w:r w:rsidR="00587247" w:rsidRPr="005927F3">
        <w:rPr>
          <w:rFonts w:eastAsia="Times New Roman" w:cstheme="minorHAnsi"/>
          <w:sz w:val="24"/>
          <w:szCs w:val="24"/>
          <w:lang w:eastAsia="en-GB"/>
        </w:rPr>
        <w:t xml:space="preserve"> </w:t>
      </w:r>
      <w:r w:rsidRPr="005927F3">
        <w:rPr>
          <w:rFonts w:eastAsia="Times New Roman" w:cstheme="minorHAnsi"/>
          <w:sz w:val="24"/>
          <w:szCs w:val="24"/>
          <w:lang w:eastAsia="en-GB"/>
        </w:rPr>
        <w:t>i</w:t>
      </w:r>
      <w:r w:rsidR="00587247" w:rsidRPr="005927F3">
        <w:rPr>
          <w:rFonts w:eastAsia="Times New Roman" w:cstheme="minorHAnsi"/>
          <w:sz w:val="24"/>
          <w:szCs w:val="24"/>
          <w:lang w:eastAsia="en-GB"/>
        </w:rPr>
        <w:t xml:space="preserve">n </w:t>
      </w:r>
      <w:r w:rsidR="00587247" w:rsidRPr="005927F3">
        <w:rPr>
          <w:rStyle w:val="Emphasis"/>
          <w:rFonts w:cstheme="minorHAnsi"/>
          <w:sz w:val="24"/>
          <w:szCs w:val="24"/>
        </w:rPr>
        <w:t>NT1 &amp; NT2</w:t>
      </w:r>
      <w:r w:rsidR="00587247" w:rsidRPr="005927F3">
        <w:rPr>
          <w:rFonts w:eastAsia="Times New Roman" w:cstheme="minorHAnsi"/>
          <w:sz w:val="24"/>
          <w:szCs w:val="24"/>
          <w:lang w:eastAsia="en-GB"/>
        </w:rPr>
        <w:t xml:space="preserve"> </w:t>
      </w:r>
      <w:r w:rsidR="0061388B" w:rsidRPr="005927F3">
        <w:rPr>
          <w:rFonts w:eastAsia="Times New Roman" w:cstheme="minorHAnsi"/>
          <w:sz w:val="24"/>
          <w:szCs w:val="24"/>
          <w:lang w:eastAsia="en-GB"/>
        </w:rPr>
        <w:t xml:space="preserve">went a step further </w:t>
      </w:r>
      <w:r w:rsidR="001D7CEF" w:rsidRPr="005927F3">
        <w:rPr>
          <w:rFonts w:eastAsia="Times New Roman" w:cstheme="minorHAnsi"/>
          <w:sz w:val="24"/>
          <w:szCs w:val="24"/>
          <w:lang w:eastAsia="en-GB"/>
        </w:rPr>
        <w:t xml:space="preserve">by </w:t>
      </w:r>
      <w:r w:rsidR="003C3A05" w:rsidRPr="005927F3">
        <w:rPr>
          <w:rFonts w:eastAsia="Times New Roman" w:cstheme="minorHAnsi"/>
          <w:sz w:val="24"/>
          <w:szCs w:val="24"/>
          <w:lang w:eastAsia="en-GB"/>
        </w:rPr>
        <w:t>liberally</w:t>
      </w:r>
      <w:r w:rsidR="001D7CEF" w:rsidRPr="005927F3">
        <w:rPr>
          <w:rFonts w:eastAsia="Times New Roman" w:cstheme="minorHAnsi"/>
          <w:sz w:val="24"/>
          <w:szCs w:val="24"/>
          <w:lang w:eastAsia="en-GB"/>
        </w:rPr>
        <w:t xml:space="preserve"> adding</w:t>
      </w:r>
      <w:r w:rsidR="003C3A05" w:rsidRPr="005927F3">
        <w:rPr>
          <w:rFonts w:eastAsia="Times New Roman" w:cstheme="minorHAnsi"/>
          <w:sz w:val="24"/>
          <w:szCs w:val="24"/>
          <w:lang w:eastAsia="en-GB"/>
        </w:rPr>
        <w:t xml:space="preserve"> </w:t>
      </w:r>
      <w:r w:rsidR="003910DA" w:rsidRPr="005927F3">
        <w:rPr>
          <w:rFonts w:eastAsia="Times New Roman" w:cstheme="minorHAnsi"/>
          <w:sz w:val="24"/>
          <w:szCs w:val="24"/>
          <w:lang w:eastAsia="en-GB"/>
        </w:rPr>
        <w:t xml:space="preserve">assumptions from </w:t>
      </w:r>
      <w:r w:rsidR="00D126E4" w:rsidRPr="005927F3">
        <w:rPr>
          <w:rFonts w:eastAsia="Times New Roman" w:cstheme="minorHAnsi"/>
          <w:sz w:val="24"/>
          <w:szCs w:val="24"/>
          <w:lang w:eastAsia="en-GB"/>
        </w:rPr>
        <w:t>Anglo-American privacy</w:t>
      </w:r>
      <w:r w:rsidR="003910DA" w:rsidRPr="005927F3">
        <w:rPr>
          <w:rFonts w:eastAsia="Times New Roman" w:cstheme="minorHAnsi"/>
          <w:sz w:val="24"/>
          <w:szCs w:val="24"/>
          <w:lang w:eastAsia="en-GB"/>
        </w:rPr>
        <w:t xml:space="preserve"> cu</w:t>
      </w:r>
      <w:r w:rsidR="00A70DF2" w:rsidRPr="005927F3">
        <w:rPr>
          <w:rFonts w:eastAsia="Times New Roman" w:cstheme="minorHAnsi"/>
          <w:sz w:val="24"/>
          <w:szCs w:val="24"/>
          <w:lang w:eastAsia="en-GB"/>
        </w:rPr>
        <w:t>lture</w:t>
      </w:r>
      <w:r w:rsidR="003C3A05" w:rsidRPr="005927F3">
        <w:rPr>
          <w:rFonts w:eastAsia="Times New Roman" w:cstheme="minorHAnsi"/>
          <w:sz w:val="24"/>
          <w:szCs w:val="24"/>
          <w:lang w:eastAsia="en-GB"/>
        </w:rPr>
        <w:t xml:space="preserve"> to </w:t>
      </w:r>
      <w:r w:rsidR="00D126E4" w:rsidRPr="005927F3">
        <w:rPr>
          <w:rFonts w:eastAsia="Times New Roman" w:cstheme="minorHAnsi"/>
          <w:sz w:val="24"/>
          <w:szCs w:val="24"/>
          <w:lang w:eastAsia="en-GB"/>
        </w:rPr>
        <w:t xml:space="preserve">the </w:t>
      </w:r>
      <w:r w:rsidR="003C3A05" w:rsidRPr="005927F3">
        <w:rPr>
          <w:rFonts w:eastAsia="Times New Roman" w:cstheme="minorHAnsi"/>
          <w:sz w:val="24"/>
          <w:szCs w:val="24"/>
          <w:lang w:eastAsia="en-GB"/>
        </w:rPr>
        <w:t xml:space="preserve">data protection </w:t>
      </w:r>
      <w:r w:rsidR="00BC601B" w:rsidRPr="005927F3">
        <w:rPr>
          <w:rFonts w:eastAsia="Times New Roman" w:cstheme="minorHAnsi"/>
          <w:sz w:val="24"/>
          <w:szCs w:val="24"/>
          <w:lang w:eastAsia="en-GB"/>
        </w:rPr>
        <w:t xml:space="preserve">analysis </w:t>
      </w:r>
      <w:r w:rsidR="003C3A05" w:rsidRPr="005927F3">
        <w:rPr>
          <w:rFonts w:eastAsia="Times New Roman" w:cstheme="minorHAnsi"/>
          <w:sz w:val="24"/>
          <w:szCs w:val="24"/>
          <w:lang w:eastAsia="en-GB"/>
        </w:rPr>
        <w:t xml:space="preserve">on whether the claimant’s criminal record was </w:t>
      </w:r>
      <w:r w:rsidR="006E1241" w:rsidRPr="005927F3">
        <w:rPr>
          <w:rFonts w:eastAsia="Times New Roman" w:cstheme="minorHAnsi"/>
          <w:sz w:val="24"/>
          <w:szCs w:val="24"/>
          <w:lang w:eastAsia="en-GB"/>
        </w:rPr>
        <w:t>‘</w:t>
      </w:r>
      <w:r w:rsidR="003C3A05" w:rsidRPr="005927F3">
        <w:rPr>
          <w:rFonts w:eastAsia="Times New Roman" w:cstheme="minorHAnsi"/>
          <w:sz w:val="24"/>
          <w:szCs w:val="24"/>
          <w:lang w:eastAsia="en-GB"/>
        </w:rPr>
        <w:t>sensitive personal data</w:t>
      </w:r>
      <w:r w:rsidR="006E1241" w:rsidRPr="005927F3">
        <w:rPr>
          <w:rFonts w:eastAsia="Times New Roman" w:cstheme="minorHAnsi"/>
          <w:sz w:val="24"/>
          <w:szCs w:val="24"/>
          <w:lang w:eastAsia="en-GB"/>
        </w:rPr>
        <w:t>’</w:t>
      </w:r>
      <w:r w:rsidR="003C3A05" w:rsidRPr="005927F3">
        <w:rPr>
          <w:rFonts w:eastAsia="Times New Roman" w:cstheme="minorHAnsi"/>
          <w:sz w:val="24"/>
          <w:szCs w:val="24"/>
          <w:lang w:eastAsia="en-GB"/>
        </w:rPr>
        <w:t xml:space="preserve"> as a counterweight to the public</w:t>
      </w:r>
      <w:r w:rsidR="007119E5" w:rsidRPr="005927F3">
        <w:rPr>
          <w:rFonts w:eastAsia="Times New Roman" w:cstheme="minorHAnsi"/>
          <w:sz w:val="24"/>
          <w:szCs w:val="24"/>
          <w:lang w:eastAsia="en-GB"/>
        </w:rPr>
        <w:t>’s</w:t>
      </w:r>
      <w:r w:rsidR="003C3A05" w:rsidRPr="005927F3">
        <w:rPr>
          <w:rFonts w:eastAsia="Times New Roman" w:cstheme="minorHAnsi"/>
          <w:sz w:val="24"/>
          <w:szCs w:val="24"/>
          <w:lang w:eastAsia="en-GB"/>
        </w:rPr>
        <w:t xml:space="preserve"> interest</w:t>
      </w:r>
      <w:r w:rsidR="00587247" w:rsidRPr="005927F3">
        <w:rPr>
          <w:rFonts w:eastAsia="Times New Roman" w:cstheme="minorHAnsi"/>
          <w:sz w:val="24"/>
          <w:szCs w:val="24"/>
          <w:lang w:eastAsia="en-GB"/>
        </w:rPr>
        <w:t xml:space="preserve"> in it</w:t>
      </w:r>
      <w:r w:rsidR="003C3A05" w:rsidRPr="005927F3">
        <w:rPr>
          <w:rFonts w:eastAsia="Times New Roman" w:cstheme="minorHAnsi"/>
          <w:sz w:val="24"/>
          <w:szCs w:val="24"/>
          <w:lang w:eastAsia="en-GB"/>
        </w:rPr>
        <w:t xml:space="preserve">. </w:t>
      </w:r>
      <w:r w:rsidR="009A5189" w:rsidRPr="005927F3">
        <w:rPr>
          <w:rFonts w:eastAsia="Times New Roman" w:cstheme="minorHAnsi"/>
          <w:sz w:val="24"/>
          <w:szCs w:val="24"/>
          <w:lang w:eastAsia="en-GB"/>
        </w:rPr>
        <w:t xml:space="preserve">Not </w:t>
      </w:r>
      <w:r w:rsidR="00A73803" w:rsidRPr="005927F3">
        <w:rPr>
          <w:rFonts w:eastAsia="Times New Roman" w:cstheme="minorHAnsi"/>
          <w:sz w:val="24"/>
          <w:szCs w:val="24"/>
          <w:lang w:eastAsia="en-GB"/>
        </w:rPr>
        <w:t>surprisingly</w:t>
      </w:r>
      <w:r w:rsidR="00D126E4" w:rsidRPr="005927F3">
        <w:rPr>
          <w:rFonts w:eastAsia="Times New Roman" w:cstheme="minorHAnsi"/>
          <w:sz w:val="24"/>
          <w:szCs w:val="24"/>
          <w:lang w:eastAsia="en-GB"/>
        </w:rPr>
        <w:t>, it</w:t>
      </w:r>
      <w:r w:rsidR="001D7CEF" w:rsidRPr="005927F3">
        <w:rPr>
          <w:rFonts w:eastAsia="Times New Roman" w:cstheme="minorHAnsi"/>
          <w:sz w:val="24"/>
          <w:szCs w:val="24"/>
          <w:lang w:eastAsia="en-GB"/>
        </w:rPr>
        <w:t xml:space="preserve"> had</w:t>
      </w:r>
      <w:r w:rsidR="003C3A05" w:rsidRPr="005927F3">
        <w:rPr>
          <w:rFonts w:eastAsia="Times New Roman" w:cstheme="minorHAnsi"/>
          <w:sz w:val="24"/>
          <w:szCs w:val="24"/>
          <w:lang w:eastAsia="en-GB"/>
        </w:rPr>
        <w:t xml:space="preserve"> none of the</w:t>
      </w:r>
      <w:r w:rsidR="00D126E4" w:rsidRPr="005927F3">
        <w:rPr>
          <w:rFonts w:eastAsia="Times New Roman" w:cstheme="minorHAnsi"/>
          <w:sz w:val="24"/>
          <w:szCs w:val="24"/>
          <w:lang w:eastAsia="en-GB"/>
        </w:rPr>
        <w:t xml:space="preserve"> </w:t>
      </w:r>
      <w:r w:rsidR="003C3A05" w:rsidRPr="005927F3">
        <w:rPr>
          <w:rFonts w:eastAsia="Times New Roman" w:cstheme="minorHAnsi"/>
          <w:sz w:val="24"/>
          <w:szCs w:val="24"/>
          <w:lang w:eastAsia="en-GB"/>
        </w:rPr>
        <w:t>‘private’ hallmarks:</w:t>
      </w:r>
    </w:p>
    <w:p w14:paraId="4C7986E5" w14:textId="77777777" w:rsidR="00596567" w:rsidRPr="005927F3" w:rsidRDefault="00596567" w:rsidP="003C3A05">
      <w:pPr>
        <w:autoSpaceDE w:val="0"/>
        <w:autoSpaceDN w:val="0"/>
        <w:adjustRightInd w:val="0"/>
        <w:spacing w:after="0" w:line="240" w:lineRule="auto"/>
        <w:ind w:left="720"/>
        <w:jc w:val="both"/>
        <w:rPr>
          <w:rFonts w:cstheme="minorHAnsi"/>
          <w:sz w:val="24"/>
          <w:szCs w:val="24"/>
        </w:rPr>
      </w:pPr>
    </w:p>
    <w:p w14:paraId="6D38E64A" w14:textId="5F063EF0" w:rsidR="003C3A05" w:rsidRPr="005927F3" w:rsidRDefault="003C3A05" w:rsidP="003C3A05">
      <w:pPr>
        <w:autoSpaceDE w:val="0"/>
        <w:autoSpaceDN w:val="0"/>
        <w:adjustRightInd w:val="0"/>
        <w:spacing w:after="0" w:line="240" w:lineRule="auto"/>
        <w:ind w:left="720"/>
        <w:jc w:val="both"/>
        <w:rPr>
          <w:rFonts w:eastAsia="Times New Roman" w:cstheme="minorHAnsi"/>
          <w:sz w:val="24"/>
          <w:szCs w:val="24"/>
          <w:lang w:eastAsia="en-GB"/>
        </w:rPr>
      </w:pPr>
      <w:r w:rsidRPr="005927F3">
        <w:rPr>
          <w:rFonts w:cstheme="minorHAnsi"/>
          <w:sz w:val="24"/>
          <w:szCs w:val="24"/>
        </w:rPr>
        <w:t xml:space="preserve">The rest of the information (“the crime and punishment information”) is “sensitive”, but </w:t>
      </w:r>
      <w:r w:rsidRPr="005927F3">
        <w:rPr>
          <w:rFonts w:cstheme="minorHAnsi"/>
          <w:i/>
          <w:sz w:val="24"/>
          <w:szCs w:val="24"/>
        </w:rPr>
        <w:t>it is not intrinsically private in nature</w:t>
      </w:r>
      <w:r w:rsidRPr="005927F3">
        <w:rPr>
          <w:rFonts w:cstheme="minorHAnsi"/>
          <w:sz w:val="24"/>
          <w:szCs w:val="24"/>
        </w:rPr>
        <w:t xml:space="preserve">. The criminal behaviour has a private aspect in that it was undertaken </w:t>
      </w:r>
      <w:r w:rsidRPr="005927F3">
        <w:rPr>
          <w:rFonts w:cstheme="minorHAnsi"/>
          <w:i/>
          <w:sz w:val="24"/>
          <w:szCs w:val="24"/>
        </w:rPr>
        <w:t>in secret,</w:t>
      </w:r>
      <w:r w:rsidRPr="005927F3">
        <w:rPr>
          <w:rFonts w:cstheme="minorHAnsi"/>
          <w:sz w:val="24"/>
          <w:szCs w:val="24"/>
        </w:rPr>
        <w:t xml:space="preserve"> and </w:t>
      </w:r>
      <w:r w:rsidRPr="005927F3">
        <w:rPr>
          <w:rFonts w:cstheme="minorHAnsi"/>
          <w:i/>
          <w:sz w:val="24"/>
          <w:szCs w:val="24"/>
        </w:rPr>
        <w:t>not intended for public view.</w:t>
      </w:r>
      <w:r w:rsidRPr="005927F3">
        <w:rPr>
          <w:rFonts w:cstheme="minorHAnsi"/>
          <w:sz w:val="24"/>
          <w:szCs w:val="24"/>
        </w:rPr>
        <w:t xml:space="preserve"> </w:t>
      </w:r>
      <w:r w:rsidRPr="005927F3">
        <w:rPr>
          <w:rFonts w:cstheme="minorHAnsi"/>
          <w:i/>
          <w:sz w:val="24"/>
          <w:szCs w:val="24"/>
        </w:rPr>
        <w:t>But it was not intimate or even personal. It was business conduct, and it was criminal.</w:t>
      </w:r>
      <w:r w:rsidRPr="005927F3">
        <w:rPr>
          <w:rFonts w:cstheme="minorHAnsi"/>
          <w:sz w:val="24"/>
          <w:szCs w:val="24"/>
        </w:rPr>
        <w:t xml:space="preserve"> Having been identified and then made the subject of a public prosecution, </w:t>
      </w:r>
      <w:proofErr w:type="gramStart"/>
      <w:r w:rsidRPr="005927F3">
        <w:rPr>
          <w:rFonts w:cstheme="minorHAnsi"/>
          <w:sz w:val="24"/>
          <w:szCs w:val="24"/>
        </w:rPr>
        <w:t>trial</w:t>
      </w:r>
      <w:proofErr w:type="gramEnd"/>
      <w:r w:rsidRPr="005927F3">
        <w:rPr>
          <w:rFonts w:cstheme="minorHAnsi"/>
          <w:sz w:val="24"/>
          <w:szCs w:val="24"/>
        </w:rPr>
        <w:t xml:space="preserve"> and sentence, it all became essentially public. The authorities do show that information that begins as public may become private, and that Article 8 may be engaged by dealings with information, of whatever kind, that have a grave impact on the conduct of a person’s </w:t>
      </w:r>
      <w:r w:rsidRPr="005927F3">
        <w:rPr>
          <w:rFonts w:cstheme="minorHAnsi"/>
          <w:sz w:val="24"/>
          <w:szCs w:val="24"/>
        </w:rPr>
        <w:lastRenderedPageBreak/>
        <w:t xml:space="preserve">private life </w:t>
      </w:r>
      <w:r w:rsidR="007119E5" w:rsidRPr="005927F3">
        <w:rPr>
          <w:rFonts w:cstheme="minorHAnsi"/>
          <w:sz w:val="24"/>
          <w:szCs w:val="24"/>
        </w:rPr>
        <w:t>–</w:t>
      </w:r>
      <w:r w:rsidRPr="005927F3">
        <w:rPr>
          <w:rFonts w:cstheme="minorHAnsi"/>
          <w:sz w:val="24"/>
          <w:szCs w:val="24"/>
        </w:rPr>
        <w:t xml:space="preserve"> for instance by undermining their “personal integrity” </w:t>
      </w:r>
      <w:r w:rsidR="007119E5" w:rsidRPr="005927F3">
        <w:rPr>
          <w:rFonts w:cstheme="minorHAnsi"/>
          <w:sz w:val="24"/>
          <w:szCs w:val="24"/>
        </w:rPr>
        <w:t>–</w:t>
      </w:r>
      <w:r w:rsidRPr="005927F3">
        <w:rPr>
          <w:rFonts w:cstheme="minorHAnsi"/>
          <w:sz w:val="24"/>
          <w:szCs w:val="24"/>
        </w:rPr>
        <w:t xml:space="preserve"> or by interfering with their family life… But the </w:t>
      </w:r>
      <w:r w:rsidRPr="005927F3">
        <w:rPr>
          <w:rFonts w:cstheme="minorHAnsi"/>
          <w:i/>
          <w:sz w:val="24"/>
          <w:szCs w:val="24"/>
        </w:rPr>
        <w:t>essential nature of the crime and punishment information in th</w:t>
      </w:r>
      <w:r w:rsidR="00D126E4" w:rsidRPr="005927F3">
        <w:rPr>
          <w:rFonts w:cstheme="minorHAnsi"/>
          <w:i/>
          <w:sz w:val="24"/>
          <w:szCs w:val="24"/>
        </w:rPr>
        <w:t>is case was public, not private</w:t>
      </w:r>
      <w:r w:rsidRPr="005927F3">
        <w:rPr>
          <w:rFonts w:cstheme="minorHAnsi"/>
          <w:sz w:val="24"/>
          <w:szCs w:val="24"/>
        </w:rPr>
        <w:t>.</w:t>
      </w:r>
      <w:r w:rsidRPr="005927F3">
        <w:rPr>
          <w:rStyle w:val="FootnoteReference"/>
          <w:rFonts w:cstheme="minorHAnsi"/>
          <w:sz w:val="24"/>
          <w:szCs w:val="24"/>
        </w:rPr>
        <w:footnoteReference w:id="142"/>
      </w:r>
      <w:r w:rsidRPr="005927F3">
        <w:rPr>
          <w:rFonts w:cstheme="minorHAnsi"/>
          <w:sz w:val="24"/>
          <w:szCs w:val="24"/>
        </w:rPr>
        <w:t xml:space="preserve"> </w:t>
      </w:r>
    </w:p>
    <w:p w14:paraId="3AE7A2B0" w14:textId="77777777" w:rsidR="003C3A05" w:rsidRPr="005927F3" w:rsidRDefault="003C3A05" w:rsidP="008B308D">
      <w:pPr>
        <w:autoSpaceDE w:val="0"/>
        <w:autoSpaceDN w:val="0"/>
        <w:adjustRightInd w:val="0"/>
        <w:spacing w:after="0" w:line="240" w:lineRule="auto"/>
        <w:jc w:val="both"/>
        <w:rPr>
          <w:rStyle w:val="Emphasis"/>
          <w:rFonts w:cstheme="minorHAnsi"/>
          <w:i w:val="0"/>
          <w:iCs w:val="0"/>
          <w:sz w:val="24"/>
          <w:szCs w:val="24"/>
          <w:u w:val="single"/>
        </w:rPr>
      </w:pPr>
    </w:p>
    <w:p w14:paraId="635912E0" w14:textId="7DF7D824" w:rsidR="00874CAC" w:rsidRPr="005927F3" w:rsidRDefault="00543894" w:rsidP="001D7CEF">
      <w:pPr>
        <w:autoSpaceDE w:val="0"/>
        <w:autoSpaceDN w:val="0"/>
        <w:adjustRightInd w:val="0"/>
        <w:spacing w:after="0" w:line="240" w:lineRule="auto"/>
        <w:jc w:val="both"/>
        <w:rPr>
          <w:rFonts w:eastAsia="Times New Roman" w:cstheme="minorHAnsi"/>
          <w:sz w:val="24"/>
          <w:szCs w:val="24"/>
          <w:lang w:eastAsia="en-GB"/>
        </w:rPr>
      </w:pPr>
      <w:r w:rsidRPr="005927F3">
        <w:rPr>
          <w:rFonts w:cstheme="minorHAnsi"/>
          <w:iCs/>
          <w:sz w:val="24"/>
          <w:szCs w:val="24"/>
        </w:rPr>
        <w:t>Hi</w:t>
      </w:r>
      <w:r w:rsidR="00D126E4" w:rsidRPr="005927F3">
        <w:rPr>
          <w:rFonts w:cstheme="minorHAnsi"/>
          <w:iCs/>
          <w:sz w:val="24"/>
          <w:szCs w:val="24"/>
        </w:rPr>
        <w:t>s</w:t>
      </w:r>
      <w:r w:rsidR="0061388B" w:rsidRPr="005927F3">
        <w:rPr>
          <w:rFonts w:cstheme="minorHAnsi"/>
          <w:iCs/>
          <w:sz w:val="24"/>
          <w:szCs w:val="24"/>
        </w:rPr>
        <w:t xml:space="preserve"> </w:t>
      </w:r>
      <w:r w:rsidR="00D126E4" w:rsidRPr="005927F3">
        <w:rPr>
          <w:rFonts w:cstheme="minorHAnsi"/>
          <w:iCs/>
          <w:sz w:val="24"/>
          <w:szCs w:val="24"/>
        </w:rPr>
        <w:t>reasoning</w:t>
      </w:r>
      <w:r w:rsidR="00B616BF" w:rsidRPr="005927F3">
        <w:rPr>
          <w:rFonts w:cstheme="minorHAnsi"/>
          <w:iCs/>
          <w:sz w:val="24"/>
          <w:szCs w:val="24"/>
        </w:rPr>
        <w:t xml:space="preserve">, </w:t>
      </w:r>
      <w:r w:rsidR="00D02604" w:rsidRPr="005927F3">
        <w:rPr>
          <w:rFonts w:cstheme="minorHAnsi"/>
          <w:iCs/>
          <w:sz w:val="24"/>
          <w:szCs w:val="24"/>
        </w:rPr>
        <w:t>steeped in</w:t>
      </w:r>
      <w:r w:rsidR="001D7CEF" w:rsidRPr="005927F3">
        <w:rPr>
          <w:rFonts w:cstheme="minorHAnsi"/>
          <w:iCs/>
          <w:sz w:val="24"/>
          <w:szCs w:val="24"/>
        </w:rPr>
        <w:t xml:space="preserve"> </w:t>
      </w:r>
      <w:r w:rsidR="009D7B3F" w:rsidRPr="005927F3">
        <w:rPr>
          <w:rFonts w:cstheme="minorHAnsi"/>
          <w:iCs/>
          <w:sz w:val="24"/>
          <w:szCs w:val="24"/>
        </w:rPr>
        <w:t>Anglo-American privacy</w:t>
      </w:r>
      <w:r w:rsidR="00A73803" w:rsidRPr="005927F3">
        <w:rPr>
          <w:rFonts w:cstheme="minorHAnsi"/>
          <w:iCs/>
          <w:sz w:val="24"/>
          <w:szCs w:val="24"/>
        </w:rPr>
        <w:t xml:space="preserve"> </w:t>
      </w:r>
      <w:r w:rsidR="003910DA" w:rsidRPr="005927F3">
        <w:rPr>
          <w:rFonts w:cstheme="minorHAnsi"/>
          <w:iCs/>
          <w:sz w:val="24"/>
          <w:szCs w:val="24"/>
        </w:rPr>
        <w:t>culture</w:t>
      </w:r>
      <w:r w:rsidR="007C0756" w:rsidRPr="005927F3">
        <w:rPr>
          <w:rFonts w:cstheme="minorHAnsi"/>
          <w:iCs/>
          <w:sz w:val="24"/>
          <w:szCs w:val="24"/>
        </w:rPr>
        <w:t>,</w:t>
      </w:r>
      <w:r w:rsidR="0051134C" w:rsidRPr="005927F3">
        <w:rPr>
          <w:rFonts w:cstheme="minorHAnsi"/>
          <w:iCs/>
          <w:sz w:val="24"/>
          <w:szCs w:val="24"/>
        </w:rPr>
        <w:t xml:space="preserve"> </w:t>
      </w:r>
      <w:r w:rsidR="001D7CEF" w:rsidRPr="005927F3">
        <w:rPr>
          <w:rFonts w:cstheme="minorHAnsi"/>
          <w:iCs/>
          <w:sz w:val="24"/>
          <w:szCs w:val="24"/>
        </w:rPr>
        <w:t xml:space="preserve">as </w:t>
      </w:r>
      <w:r w:rsidR="007C0756" w:rsidRPr="005927F3">
        <w:rPr>
          <w:rFonts w:cstheme="minorHAnsi"/>
          <w:iCs/>
          <w:sz w:val="24"/>
          <w:szCs w:val="24"/>
        </w:rPr>
        <w:t xml:space="preserve">also </w:t>
      </w:r>
      <w:r w:rsidR="009D7B3F" w:rsidRPr="005927F3">
        <w:rPr>
          <w:rFonts w:cstheme="minorHAnsi"/>
          <w:iCs/>
          <w:sz w:val="24"/>
          <w:szCs w:val="24"/>
        </w:rPr>
        <w:t>reflected in</w:t>
      </w:r>
      <w:r w:rsidR="004B3193" w:rsidRPr="005927F3">
        <w:rPr>
          <w:rFonts w:cstheme="minorHAnsi"/>
          <w:iCs/>
          <w:sz w:val="24"/>
          <w:szCs w:val="24"/>
        </w:rPr>
        <w:t xml:space="preserve"> Art 8</w:t>
      </w:r>
      <w:r w:rsidR="00852BF6" w:rsidRPr="005927F3">
        <w:rPr>
          <w:rFonts w:cstheme="minorHAnsi"/>
          <w:iCs/>
          <w:sz w:val="24"/>
          <w:szCs w:val="24"/>
        </w:rPr>
        <w:t xml:space="preserve">, </w:t>
      </w:r>
      <w:r w:rsidR="009D7B3F" w:rsidRPr="005927F3">
        <w:rPr>
          <w:rFonts w:cstheme="minorHAnsi"/>
          <w:iCs/>
          <w:sz w:val="24"/>
          <w:szCs w:val="24"/>
        </w:rPr>
        <w:t>misconstrues</w:t>
      </w:r>
      <w:r w:rsidR="006F3E79" w:rsidRPr="005927F3">
        <w:rPr>
          <w:rFonts w:cstheme="minorHAnsi"/>
          <w:iCs/>
          <w:sz w:val="24"/>
          <w:szCs w:val="24"/>
        </w:rPr>
        <w:t xml:space="preserve"> </w:t>
      </w:r>
      <w:r w:rsidR="006D2513" w:rsidRPr="005927F3">
        <w:rPr>
          <w:rFonts w:cstheme="minorHAnsi"/>
          <w:iCs/>
          <w:sz w:val="24"/>
          <w:szCs w:val="24"/>
        </w:rPr>
        <w:t xml:space="preserve">data protection law. </w:t>
      </w:r>
      <w:r w:rsidRPr="005927F3">
        <w:rPr>
          <w:rFonts w:cstheme="minorHAnsi"/>
          <w:iCs/>
          <w:sz w:val="24"/>
          <w:szCs w:val="24"/>
        </w:rPr>
        <w:t>For the latter,</w:t>
      </w:r>
      <w:r w:rsidR="00753326" w:rsidRPr="005927F3">
        <w:rPr>
          <w:rFonts w:cstheme="minorHAnsi"/>
          <w:iCs/>
          <w:sz w:val="24"/>
          <w:szCs w:val="24"/>
        </w:rPr>
        <w:t xml:space="preserve"> as mentioned above,</w:t>
      </w:r>
      <w:r w:rsidRPr="005927F3">
        <w:rPr>
          <w:rFonts w:cstheme="minorHAnsi"/>
          <w:iCs/>
          <w:sz w:val="24"/>
          <w:szCs w:val="24"/>
        </w:rPr>
        <w:t xml:space="preserve"> in</w:t>
      </w:r>
      <w:r w:rsidR="006D2513" w:rsidRPr="005927F3">
        <w:rPr>
          <w:rFonts w:cstheme="minorHAnsi"/>
          <w:iCs/>
          <w:sz w:val="24"/>
          <w:szCs w:val="24"/>
        </w:rPr>
        <w:t>formation must</w:t>
      </w:r>
      <w:r w:rsidR="00753326" w:rsidRPr="005927F3">
        <w:rPr>
          <w:rFonts w:cstheme="minorHAnsi"/>
          <w:iCs/>
          <w:sz w:val="24"/>
          <w:szCs w:val="24"/>
        </w:rPr>
        <w:t xml:space="preserve"> only</w:t>
      </w:r>
      <w:r w:rsidR="006D2513" w:rsidRPr="005927F3">
        <w:rPr>
          <w:rFonts w:cstheme="minorHAnsi"/>
          <w:iCs/>
          <w:sz w:val="24"/>
          <w:szCs w:val="24"/>
        </w:rPr>
        <w:t xml:space="preserve"> be </w:t>
      </w:r>
      <w:r w:rsidRPr="005927F3">
        <w:rPr>
          <w:rFonts w:cstheme="minorHAnsi"/>
          <w:iCs/>
          <w:sz w:val="24"/>
          <w:szCs w:val="24"/>
        </w:rPr>
        <w:t>‘personal’</w:t>
      </w:r>
      <w:r w:rsidR="007B297A" w:rsidRPr="005927F3">
        <w:rPr>
          <w:rFonts w:cstheme="minorHAnsi"/>
          <w:iCs/>
          <w:sz w:val="24"/>
          <w:szCs w:val="24"/>
        </w:rPr>
        <w:t xml:space="preserve"> meaning </w:t>
      </w:r>
      <w:r w:rsidR="00D02604" w:rsidRPr="005927F3">
        <w:rPr>
          <w:rFonts w:cstheme="minorHAnsi"/>
          <w:iCs/>
          <w:sz w:val="24"/>
          <w:szCs w:val="24"/>
        </w:rPr>
        <w:t>‘relating</w:t>
      </w:r>
      <w:r w:rsidR="007B297A" w:rsidRPr="005927F3">
        <w:rPr>
          <w:rFonts w:cstheme="minorHAnsi"/>
          <w:iCs/>
          <w:sz w:val="24"/>
          <w:szCs w:val="24"/>
        </w:rPr>
        <w:t xml:space="preserve"> t</w:t>
      </w:r>
      <w:r w:rsidRPr="005927F3">
        <w:rPr>
          <w:rFonts w:cstheme="minorHAnsi"/>
          <w:iCs/>
          <w:sz w:val="24"/>
          <w:szCs w:val="24"/>
        </w:rPr>
        <w:t>o an</w:t>
      </w:r>
      <w:r w:rsidRPr="005927F3">
        <w:rPr>
          <w:rFonts w:cstheme="minorHAnsi"/>
          <w:sz w:val="24"/>
          <w:szCs w:val="24"/>
        </w:rPr>
        <w:t xml:space="preserve"> identified </w:t>
      </w:r>
      <w:r w:rsidR="007B297A" w:rsidRPr="005927F3">
        <w:rPr>
          <w:rFonts w:cstheme="minorHAnsi"/>
          <w:sz w:val="24"/>
          <w:szCs w:val="24"/>
        </w:rPr>
        <w:t>or identifiable natural person,</w:t>
      </w:r>
      <w:r w:rsidRPr="005927F3">
        <w:rPr>
          <w:rStyle w:val="FootnoteReference"/>
          <w:rFonts w:cstheme="minorHAnsi"/>
          <w:sz w:val="24"/>
          <w:szCs w:val="24"/>
        </w:rPr>
        <w:footnoteReference w:id="143"/>
      </w:r>
      <w:r w:rsidRPr="005927F3">
        <w:rPr>
          <w:rFonts w:cstheme="minorHAnsi"/>
          <w:sz w:val="24"/>
          <w:szCs w:val="24"/>
        </w:rPr>
        <w:t xml:space="preserve"> not meaning</w:t>
      </w:r>
      <w:r w:rsidR="00224ADD" w:rsidRPr="005927F3">
        <w:rPr>
          <w:rFonts w:cstheme="minorHAnsi"/>
          <w:iCs/>
          <w:sz w:val="24"/>
          <w:szCs w:val="24"/>
        </w:rPr>
        <w:t xml:space="preserve"> secret or confidential,</w:t>
      </w:r>
      <w:r w:rsidR="006D2513" w:rsidRPr="005927F3">
        <w:rPr>
          <w:rFonts w:cstheme="minorHAnsi"/>
          <w:iCs/>
          <w:sz w:val="24"/>
          <w:szCs w:val="24"/>
        </w:rPr>
        <w:t xml:space="preserve"> intimate</w:t>
      </w:r>
      <w:r w:rsidRPr="005927F3">
        <w:rPr>
          <w:rFonts w:cstheme="minorHAnsi"/>
          <w:iCs/>
          <w:sz w:val="24"/>
          <w:szCs w:val="24"/>
        </w:rPr>
        <w:t>,</w:t>
      </w:r>
      <w:r w:rsidR="00E92511" w:rsidRPr="005927F3">
        <w:rPr>
          <w:rFonts w:cstheme="minorHAnsi"/>
          <w:iCs/>
          <w:sz w:val="24"/>
          <w:szCs w:val="24"/>
        </w:rPr>
        <w:t xml:space="preserve"> family-</w:t>
      </w:r>
      <w:r w:rsidRPr="005927F3">
        <w:rPr>
          <w:rFonts w:cstheme="minorHAnsi"/>
          <w:iCs/>
          <w:sz w:val="24"/>
          <w:szCs w:val="24"/>
        </w:rPr>
        <w:t xml:space="preserve"> </w:t>
      </w:r>
      <w:r w:rsidR="00596567" w:rsidRPr="005927F3">
        <w:rPr>
          <w:rFonts w:cstheme="minorHAnsi"/>
          <w:iCs/>
          <w:sz w:val="24"/>
          <w:szCs w:val="24"/>
        </w:rPr>
        <w:t>rather than business-</w:t>
      </w:r>
      <w:r w:rsidRPr="005927F3">
        <w:rPr>
          <w:rFonts w:cstheme="minorHAnsi"/>
          <w:iCs/>
          <w:sz w:val="24"/>
          <w:szCs w:val="24"/>
        </w:rPr>
        <w:t>related</w:t>
      </w:r>
      <w:r w:rsidR="007C0756" w:rsidRPr="005927F3">
        <w:rPr>
          <w:rFonts w:cstheme="minorHAnsi"/>
          <w:iCs/>
          <w:sz w:val="24"/>
          <w:szCs w:val="24"/>
        </w:rPr>
        <w:t>,</w:t>
      </w:r>
      <w:r w:rsidR="005070D4" w:rsidRPr="005927F3">
        <w:rPr>
          <w:rFonts w:cstheme="minorHAnsi"/>
          <w:iCs/>
          <w:sz w:val="24"/>
          <w:szCs w:val="24"/>
        </w:rPr>
        <w:t xml:space="preserve"> or</w:t>
      </w:r>
      <w:r w:rsidR="00874CAC" w:rsidRPr="005927F3">
        <w:rPr>
          <w:rFonts w:cstheme="minorHAnsi"/>
          <w:iCs/>
          <w:sz w:val="24"/>
          <w:szCs w:val="24"/>
        </w:rPr>
        <w:t xml:space="preserve"> </w:t>
      </w:r>
      <w:r w:rsidR="00AE1BCD" w:rsidRPr="005927F3">
        <w:rPr>
          <w:rFonts w:cstheme="minorHAnsi"/>
          <w:iCs/>
          <w:sz w:val="24"/>
          <w:szCs w:val="24"/>
        </w:rPr>
        <w:t>‘</w:t>
      </w:r>
      <w:r w:rsidR="00874CAC" w:rsidRPr="005927F3">
        <w:rPr>
          <w:rFonts w:cstheme="minorHAnsi"/>
          <w:iCs/>
          <w:sz w:val="24"/>
          <w:szCs w:val="24"/>
        </w:rPr>
        <w:t>innocent</w:t>
      </w:r>
      <w:r w:rsidR="00AE1BCD" w:rsidRPr="005927F3">
        <w:rPr>
          <w:rFonts w:cstheme="minorHAnsi"/>
          <w:iCs/>
          <w:sz w:val="24"/>
          <w:szCs w:val="24"/>
        </w:rPr>
        <w:t>’</w:t>
      </w:r>
      <w:r w:rsidRPr="005927F3">
        <w:rPr>
          <w:rFonts w:cstheme="minorHAnsi"/>
          <w:iCs/>
          <w:sz w:val="24"/>
          <w:szCs w:val="24"/>
        </w:rPr>
        <w:t>.</w:t>
      </w:r>
      <w:r w:rsidR="009D7B3F" w:rsidRPr="005927F3">
        <w:rPr>
          <w:rFonts w:cstheme="minorHAnsi"/>
          <w:iCs/>
          <w:sz w:val="24"/>
          <w:szCs w:val="24"/>
        </w:rPr>
        <w:t xml:space="preserve"> </w:t>
      </w:r>
      <w:proofErr w:type="gramStart"/>
      <w:r w:rsidR="00DF1F2E" w:rsidRPr="005927F3">
        <w:rPr>
          <w:rFonts w:cstheme="minorHAnsi"/>
          <w:iCs/>
          <w:sz w:val="24"/>
          <w:szCs w:val="24"/>
        </w:rPr>
        <w:t>Thus</w:t>
      </w:r>
      <w:proofErr w:type="gramEnd"/>
      <w:r w:rsidR="009D7B3F" w:rsidRPr="005927F3">
        <w:rPr>
          <w:rFonts w:cstheme="minorHAnsi"/>
          <w:iCs/>
          <w:sz w:val="24"/>
          <w:szCs w:val="24"/>
        </w:rPr>
        <w:t xml:space="preserve"> w</w:t>
      </w:r>
      <w:r w:rsidR="001D7CEF" w:rsidRPr="005927F3">
        <w:rPr>
          <w:rFonts w:eastAsia="Times New Roman" w:cstheme="minorHAnsi"/>
          <w:sz w:val="24"/>
          <w:szCs w:val="24"/>
          <w:lang w:eastAsia="en-GB"/>
        </w:rPr>
        <w:t xml:space="preserve">hen the right to be forgotten applies, the information </w:t>
      </w:r>
      <w:r w:rsidR="00596567" w:rsidRPr="005927F3">
        <w:rPr>
          <w:rFonts w:eastAsia="Times New Roman" w:cstheme="minorHAnsi"/>
          <w:sz w:val="24"/>
          <w:szCs w:val="24"/>
          <w:lang w:eastAsia="en-GB"/>
        </w:rPr>
        <w:t>need not</w:t>
      </w:r>
      <w:r w:rsidR="001D7CEF" w:rsidRPr="005927F3">
        <w:rPr>
          <w:rFonts w:eastAsia="Times New Roman" w:cstheme="minorHAnsi"/>
          <w:sz w:val="24"/>
          <w:szCs w:val="24"/>
          <w:lang w:eastAsia="en-GB"/>
        </w:rPr>
        <w:t xml:space="preserve"> </w:t>
      </w:r>
      <w:r w:rsidR="00D02604" w:rsidRPr="005927F3">
        <w:rPr>
          <w:rFonts w:eastAsia="Times New Roman" w:cstheme="minorHAnsi"/>
          <w:sz w:val="24"/>
          <w:szCs w:val="24"/>
          <w:lang w:eastAsia="en-GB"/>
        </w:rPr>
        <w:t xml:space="preserve">have </w:t>
      </w:r>
      <w:r w:rsidR="001D7CEF" w:rsidRPr="005927F3">
        <w:rPr>
          <w:rFonts w:eastAsia="Times New Roman" w:cstheme="minorHAnsi"/>
          <w:sz w:val="24"/>
          <w:szCs w:val="24"/>
          <w:lang w:eastAsia="en-GB"/>
        </w:rPr>
        <w:t>become ‘private’ before it can be ‘forgotten’ which would make the right all but redundant. In</w:t>
      </w:r>
      <w:r w:rsidR="00BC601B" w:rsidRPr="005927F3">
        <w:rPr>
          <w:rFonts w:eastAsia="Times New Roman" w:cstheme="minorHAnsi"/>
          <w:sz w:val="24"/>
          <w:szCs w:val="24"/>
          <w:lang w:eastAsia="en-GB"/>
        </w:rPr>
        <w:t>deed</w:t>
      </w:r>
      <w:r w:rsidR="00596567" w:rsidRPr="005927F3">
        <w:rPr>
          <w:rFonts w:eastAsia="Times New Roman" w:cstheme="minorHAnsi"/>
          <w:sz w:val="24"/>
          <w:szCs w:val="24"/>
          <w:lang w:eastAsia="en-GB"/>
        </w:rPr>
        <w:t>, the right to be forgotten</w:t>
      </w:r>
      <w:r w:rsidR="001D7CEF" w:rsidRPr="005927F3">
        <w:rPr>
          <w:rFonts w:eastAsia="Times New Roman" w:cstheme="minorHAnsi"/>
          <w:sz w:val="24"/>
          <w:szCs w:val="24"/>
          <w:lang w:eastAsia="en-GB"/>
        </w:rPr>
        <w:t xml:space="preserve"> envisages that the relevant personal information</w:t>
      </w:r>
      <w:r w:rsidR="00224ADD" w:rsidRPr="005927F3">
        <w:rPr>
          <w:rFonts w:eastAsia="Times New Roman" w:cstheme="minorHAnsi"/>
          <w:sz w:val="24"/>
          <w:szCs w:val="24"/>
          <w:lang w:eastAsia="en-GB"/>
        </w:rPr>
        <w:t xml:space="preserve"> is, </w:t>
      </w:r>
      <w:r w:rsidR="00596567" w:rsidRPr="005927F3">
        <w:rPr>
          <w:rFonts w:eastAsia="Times New Roman" w:cstheme="minorHAnsi"/>
          <w:sz w:val="24"/>
          <w:szCs w:val="24"/>
          <w:lang w:eastAsia="en-GB"/>
        </w:rPr>
        <w:t>and</w:t>
      </w:r>
      <w:r w:rsidR="00224ADD" w:rsidRPr="005927F3">
        <w:rPr>
          <w:rFonts w:eastAsia="Times New Roman" w:cstheme="minorHAnsi"/>
          <w:sz w:val="24"/>
          <w:szCs w:val="24"/>
          <w:lang w:eastAsia="en-GB"/>
        </w:rPr>
        <w:t xml:space="preserve"> will, </w:t>
      </w:r>
      <w:r w:rsidR="001D7CEF" w:rsidRPr="005927F3">
        <w:rPr>
          <w:rFonts w:eastAsia="Times New Roman" w:cstheme="minorHAnsi"/>
          <w:sz w:val="24"/>
          <w:szCs w:val="24"/>
          <w:lang w:eastAsia="en-GB"/>
        </w:rPr>
        <w:t>remain in the public domain,</w:t>
      </w:r>
      <w:r w:rsidR="0050069B" w:rsidRPr="005927F3">
        <w:rPr>
          <w:rFonts w:eastAsia="Times New Roman" w:cstheme="minorHAnsi"/>
          <w:sz w:val="24"/>
          <w:szCs w:val="24"/>
          <w:lang w:eastAsia="en-GB"/>
        </w:rPr>
        <w:t xml:space="preserve"> but </w:t>
      </w:r>
      <w:r w:rsidR="00AE1BCD" w:rsidRPr="005927F3">
        <w:rPr>
          <w:rFonts w:eastAsia="Times New Roman" w:cstheme="minorHAnsi"/>
          <w:sz w:val="24"/>
          <w:szCs w:val="24"/>
          <w:lang w:eastAsia="en-GB"/>
        </w:rPr>
        <w:t xml:space="preserve">should </w:t>
      </w:r>
      <w:r w:rsidR="001D7CEF" w:rsidRPr="005927F3">
        <w:rPr>
          <w:rFonts w:eastAsia="Times New Roman" w:cstheme="minorHAnsi"/>
          <w:sz w:val="24"/>
          <w:szCs w:val="24"/>
          <w:lang w:eastAsia="en-GB"/>
        </w:rPr>
        <w:t xml:space="preserve">not </w:t>
      </w:r>
      <w:r w:rsidR="005070D4" w:rsidRPr="005927F3">
        <w:rPr>
          <w:rFonts w:eastAsia="Times New Roman" w:cstheme="minorHAnsi"/>
          <w:sz w:val="24"/>
          <w:szCs w:val="24"/>
          <w:lang w:eastAsia="en-GB"/>
        </w:rPr>
        <w:t xml:space="preserve">be </w:t>
      </w:r>
      <w:r w:rsidR="0050069B" w:rsidRPr="005927F3">
        <w:rPr>
          <w:rFonts w:eastAsia="Times New Roman" w:cstheme="minorHAnsi"/>
          <w:sz w:val="24"/>
          <w:szCs w:val="24"/>
          <w:lang w:eastAsia="en-GB"/>
        </w:rPr>
        <w:t>so</w:t>
      </w:r>
      <w:r w:rsidR="00596567" w:rsidRPr="005927F3">
        <w:rPr>
          <w:rFonts w:eastAsia="Times New Roman" w:cstheme="minorHAnsi"/>
          <w:sz w:val="24"/>
          <w:szCs w:val="24"/>
          <w:lang w:eastAsia="en-GB"/>
        </w:rPr>
        <w:t xml:space="preserve"> </w:t>
      </w:r>
      <w:r w:rsidR="001D7CEF" w:rsidRPr="005927F3">
        <w:rPr>
          <w:rFonts w:eastAsia="Times New Roman" w:cstheme="minorHAnsi"/>
          <w:sz w:val="24"/>
          <w:szCs w:val="24"/>
          <w:lang w:eastAsia="en-GB"/>
        </w:rPr>
        <w:t>easily traceable to the data subject</w:t>
      </w:r>
      <w:r w:rsidR="00596567" w:rsidRPr="005927F3">
        <w:rPr>
          <w:rFonts w:eastAsia="Times New Roman" w:cstheme="minorHAnsi"/>
          <w:sz w:val="24"/>
          <w:szCs w:val="24"/>
          <w:lang w:eastAsia="en-GB"/>
        </w:rPr>
        <w:t>. T</w:t>
      </w:r>
      <w:r w:rsidR="00BC601B" w:rsidRPr="005927F3">
        <w:rPr>
          <w:rFonts w:eastAsia="Times New Roman" w:cstheme="minorHAnsi"/>
          <w:sz w:val="24"/>
          <w:szCs w:val="24"/>
          <w:lang w:eastAsia="en-GB"/>
        </w:rPr>
        <w:t>he pr</w:t>
      </w:r>
      <w:r w:rsidR="007B297A" w:rsidRPr="005927F3">
        <w:rPr>
          <w:rFonts w:eastAsia="Times New Roman" w:cstheme="minorHAnsi"/>
          <w:sz w:val="24"/>
          <w:szCs w:val="24"/>
          <w:lang w:eastAsia="en-GB"/>
        </w:rPr>
        <w:t>oblem with this Anglo-American inflection</w:t>
      </w:r>
      <w:r w:rsidR="00BC601B" w:rsidRPr="005927F3">
        <w:rPr>
          <w:rFonts w:eastAsia="Times New Roman" w:cstheme="minorHAnsi"/>
          <w:sz w:val="24"/>
          <w:szCs w:val="24"/>
          <w:lang w:eastAsia="en-GB"/>
        </w:rPr>
        <w:t xml:space="preserve"> </w:t>
      </w:r>
      <w:r w:rsidR="00596567" w:rsidRPr="005927F3">
        <w:rPr>
          <w:rFonts w:eastAsia="Times New Roman" w:cstheme="minorHAnsi"/>
          <w:sz w:val="24"/>
          <w:szCs w:val="24"/>
          <w:lang w:eastAsia="en-GB"/>
        </w:rPr>
        <w:t xml:space="preserve">on </w:t>
      </w:r>
      <w:r w:rsidR="00B616BF" w:rsidRPr="005927F3">
        <w:rPr>
          <w:rFonts w:eastAsia="Times New Roman" w:cstheme="minorHAnsi"/>
          <w:sz w:val="24"/>
          <w:szCs w:val="24"/>
          <w:lang w:eastAsia="en-GB"/>
        </w:rPr>
        <w:t>data protection law</w:t>
      </w:r>
      <w:r w:rsidR="00596567" w:rsidRPr="005927F3">
        <w:rPr>
          <w:rFonts w:eastAsia="Times New Roman" w:cstheme="minorHAnsi"/>
          <w:sz w:val="24"/>
          <w:szCs w:val="24"/>
          <w:lang w:eastAsia="en-GB"/>
        </w:rPr>
        <w:t xml:space="preserve"> is</w:t>
      </w:r>
      <w:r w:rsidR="00B616BF" w:rsidRPr="005927F3">
        <w:rPr>
          <w:rFonts w:eastAsia="Times New Roman" w:cstheme="minorHAnsi"/>
          <w:sz w:val="24"/>
          <w:szCs w:val="24"/>
          <w:lang w:eastAsia="en-GB"/>
        </w:rPr>
        <w:t xml:space="preserve"> that</w:t>
      </w:r>
      <w:r w:rsidR="00B01441" w:rsidRPr="005927F3">
        <w:rPr>
          <w:rFonts w:eastAsia="Times New Roman" w:cstheme="minorHAnsi"/>
          <w:sz w:val="24"/>
          <w:szCs w:val="24"/>
          <w:lang w:eastAsia="en-GB"/>
        </w:rPr>
        <w:t xml:space="preserve"> </w:t>
      </w:r>
      <w:r w:rsidR="007119E5" w:rsidRPr="005927F3">
        <w:rPr>
          <w:rFonts w:eastAsia="Times New Roman" w:cstheme="minorHAnsi"/>
          <w:sz w:val="24"/>
          <w:szCs w:val="24"/>
          <w:lang w:eastAsia="en-GB"/>
        </w:rPr>
        <w:t xml:space="preserve">it </w:t>
      </w:r>
      <w:r w:rsidR="00B01441" w:rsidRPr="005927F3">
        <w:rPr>
          <w:rFonts w:eastAsia="Times New Roman" w:cstheme="minorHAnsi"/>
          <w:sz w:val="24"/>
          <w:szCs w:val="24"/>
          <w:lang w:eastAsia="en-GB"/>
        </w:rPr>
        <w:t xml:space="preserve">misdirects </w:t>
      </w:r>
      <w:r w:rsidR="006B3584" w:rsidRPr="005927F3">
        <w:rPr>
          <w:rFonts w:eastAsia="Times New Roman" w:cstheme="minorHAnsi"/>
          <w:sz w:val="24"/>
          <w:szCs w:val="24"/>
          <w:lang w:eastAsia="en-GB"/>
        </w:rPr>
        <w:t>the engagement of the right</w:t>
      </w:r>
      <w:r w:rsidR="00B616BF" w:rsidRPr="005927F3">
        <w:rPr>
          <w:rFonts w:eastAsia="Times New Roman" w:cstheme="minorHAnsi"/>
          <w:sz w:val="24"/>
          <w:szCs w:val="24"/>
          <w:lang w:eastAsia="en-GB"/>
        </w:rPr>
        <w:t xml:space="preserve"> and </w:t>
      </w:r>
      <w:r w:rsidR="00753326" w:rsidRPr="005927F3">
        <w:rPr>
          <w:rFonts w:eastAsia="Times New Roman" w:cstheme="minorHAnsi"/>
          <w:sz w:val="24"/>
          <w:szCs w:val="24"/>
          <w:lang w:eastAsia="en-GB"/>
        </w:rPr>
        <w:t>thereby</w:t>
      </w:r>
      <w:r w:rsidR="00B34297" w:rsidRPr="005927F3">
        <w:rPr>
          <w:rFonts w:eastAsia="Times New Roman" w:cstheme="minorHAnsi"/>
          <w:sz w:val="24"/>
          <w:szCs w:val="24"/>
          <w:lang w:eastAsia="en-GB"/>
        </w:rPr>
        <w:t xml:space="preserve"> </w:t>
      </w:r>
      <w:r w:rsidR="00E823BE" w:rsidRPr="005927F3">
        <w:rPr>
          <w:rFonts w:eastAsia="Times New Roman" w:cstheme="minorHAnsi"/>
          <w:sz w:val="24"/>
          <w:szCs w:val="24"/>
          <w:lang w:eastAsia="en-GB"/>
        </w:rPr>
        <w:t xml:space="preserve">negates </w:t>
      </w:r>
      <w:r w:rsidR="00B01441" w:rsidRPr="005927F3">
        <w:rPr>
          <w:rFonts w:eastAsia="Times New Roman" w:cstheme="minorHAnsi"/>
          <w:sz w:val="24"/>
          <w:szCs w:val="24"/>
          <w:lang w:eastAsia="en-GB"/>
        </w:rPr>
        <w:t>its functionality.</w:t>
      </w:r>
    </w:p>
    <w:p w14:paraId="6B360C84" w14:textId="77777777" w:rsidR="00874CAC" w:rsidRPr="005927F3" w:rsidRDefault="00874CAC" w:rsidP="001D7CEF">
      <w:pPr>
        <w:autoSpaceDE w:val="0"/>
        <w:autoSpaceDN w:val="0"/>
        <w:adjustRightInd w:val="0"/>
        <w:spacing w:after="0" w:line="240" w:lineRule="auto"/>
        <w:jc w:val="both"/>
        <w:rPr>
          <w:rFonts w:eastAsia="Times New Roman" w:cstheme="minorHAnsi"/>
          <w:sz w:val="24"/>
          <w:szCs w:val="24"/>
          <w:lang w:eastAsia="en-GB"/>
        </w:rPr>
      </w:pPr>
    </w:p>
    <w:p w14:paraId="138B086F" w14:textId="018B1709" w:rsidR="001D7CEF" w:rsidRPr="005927F3" w:rsidRDefault="00874CAC" w:rsidP="008B308D">
      <w:pPr>
        <w:autoSpaceDE w:val="0"/>
        <w:autoSpaceDN w:val="0"/>
        <w:adjustRightInd w:val="0"/>
        <w:spacing w:after="0" w:line="240" w:lineRule="auto"/>
        <w:jc w:val="both"/>
        <w:rPr>
          <w:rFonts w:cstheme="minorHAnsi"/>
          <w:iCs/>
          <w:sz w:val="24"/>
          <w:szCs w:val="24"/>
        </w:rPr>
      </w:pPr>
      <w:r w:rsidRPr="005927F3">
        <w:rPr>
          <w:rFonts w:eastAsia="Times New Roman" w:cstheme="minorHAnsi"/>
          <w:sz w:val="24"/>
          <w:szCs w:val="24"/>
          <w:lang w:eastAsia="en-GB"/>
        </w:rPr>
        <w:t xml:space="preserve">This </w:t>
      </w:r>
      <w:r w:rsidR="00BC601B" w:rsidRPr="005927F3">
        <w:rPr>
          <w:rFonts w:eastAsia="Times New Roman" w:cstheme="minorHAnsi"/>
          <w:sz w:val="24"/>
          <w:szCs w:val="24"/>
          <w:lang w:eastAsia="en-GB"/>
        </w:rPr>
        <w:t xml:space="preserve">misdirection </w:t>
      </w:r>
      <w:r w:rsidR="00513686" w:rsidRPr="005927F3">
        <w:rPr>
          <w:rFonts w:eastAsia="Times New Roman" w:cstheme="minorHAnsi"/>
          <w:sz w:val="24"/>
          <w:szCs w:val="24"/>
          <w:lang w:eastAsia="en-GB"/>
        </w:rPr>
        <w:t xml:space="preserve">also </w:t>
      </w:r>
      <w:r w:rsidR="00B907CC" w:rsidRPr="005927F3">
        <w:rPr>
          <w:rFonts w:eastAsia="Times New Roman" w:cstheme="minorHAnsi"/>
          <w:sz w:val="24"/>
          <w:szCs w:val="24"/>
          <w:lang w:eastAsia="en-GB"/>
        </w:rPr>
        <w:t>manifests itself</w:t>
      </w:r>
      <w:r w:rsidRPr="005927F3">
        <w:rPr>
          <w:rFonts w:eastAsia="Times New Roman" w:cstheme="minorHAnsi"/>
          <w:sz w:val="24"/>
          <w:szCs w:val="24"/>
          <w:lang w:eastAsia="en-GB"/>
        </w:rPr>
        <w:t xml:space="preserve"> </w:t>
      </w:r>
      <w:r w:rsidR="007B297A" w:rsidRPr="005927F3">
        <w:rPr>
          <w:rFonts w:eastAsia="Times New Roman" w:cstheme="minorHAnsi"/>
          <w:sz w:val="24"/>
          <w:szCs w:val="24"/>
          <w:lang w:eastAsia="en-GB"/>
        </w:rPr>
        <w:t xml:space="preserve">in </w:t>
      </w:r>
      <w:r w:rsidR="00804014" w:rsidRPr="005927F3">
        <w:rPr>
          <w:rFonts w:eastAsia="Times New Roman" w:cstheme="minorHAnsi"/>
          <w:sz w:val="24"/>
          <w:szCs w:val="24"/>
          <w:lang w:eastAsia="en-GB"/>
        </w:rPr>
        <w:t>the</w:t>
      </w:r>
      <w:r w:rsidR="00B279ED" w:rsidRPr="005927F3">
        <w:rPr>
          <w:rFonts w:eastAsia="Times New Roman" w:cstheme="minorHAnsi"/>
          <w:sz w:val="24"/>
          <w:szCs w:val="24"/>
          <w:lang w:eastAsia="en-GB"/>
        </w:rPr>
        <w:t xml:space="preserve"> different</w:t>
      </w:r>
      <w:r w:rsidRPr="005927F3">
        <w:rPr>
          <w:rFonts w:eastAsia="Times New Roman" w:cstheme="minorHAnsi"/>
          <w:sz w:val="24"/>
          <w:szCs w:val="24"/>
          <w:lang w:eastAsia="en-GB"/>
        </w:rPr>
        <w:t xml:space="preserve"> </w:t>
      </w:r>
      <w:r w:rsidR="00B907CC" w:rsidRPr="005927F3">
        <w:rPr>
          <w:rFonts w:eastAsia="Times New Roman" w:cstheme="minorHAnsi"/>
          <w:sz w:val="24"/>
          <w:szCs w:val="24"/>
          <w:lang w:eastAsia="en-GB"/>
        </w:rPr>
        <w:t xml:space="preserve">types of </w:t>
      </w:r>
      <w:r w:rsidRPr="005927F3">
        <w:rPr>
          <w:rFonts w:eastAsia="Times New Roman" w:cstheme="minorHAnsi"/>
          <w:sz w:val="24"/>
          <w:szCs w:val="24"/>
          <w:lang w:eastAsia="en-GB"/>
        </w:rPr>
        <w:t xml:space="preserve">harms </w:t>
      </w:r>
      <w:proofErr w:type="gramStart"/>
      <w:r w:rsidRPr="005927F3">
        <w:rPr>
          <w:rFonts w:eastAsia="Times New Roman" w:cstheme="minorHAnsi"/>
          <w:sz w:val="24"/>
          <w:szCs w:val="24"/>
          <w:lang w:eastAsia="en-GB"/>
        </w:rPr>
        <w:t>either</w:t>
      </w:r>
      <w:r w:rsidR="00B21882">
        <w:rPr>
          <w:rFonts w:eastAsia="Times New Roman" w:cstheme="minorHAnsi"/>
          <w:sz w:val="24"/>
          <w:szCs w:val="24"/>
          <w:lang w:eastAsia="en-GB"/>
        </w:rPr>
        <w:t xml:space="preserve"> </w:t>
      </w:r>
      <w:r w:rsidRPr="005927F3">
        <w:rPr>
          <w:rFonts w:eastAsia="Times New Roman" w:cstheme="minorHAnsi"/>
          <w:sz w:val="24"/>
          <w:szCs w:val="24"/>
          <w:lang w:eastAsia="en-GB"/>
        </w:rPr>
        <w:t>targets</w:t>
      </w:r>
      <w:proofErr w:type="gramEnd"/>
      <w:r w:rsidRPr="005927F3">
        <w:rPr>
          <w:rFonts w:eastAsia="Times New Roman" w:cstheme="minorHAnsi"/>
          <w:sz w:val="24"/>
          <w:szCs w:val="24"/>
          <w:lang w:eastAsia="en-GB"/>
        </w:rPr>
        <w:t xml:space="preserve">. </w:t>
      </w:r>
      <w:r w:rsidR="001D7CEF" w:rsidRPr="005927F3">
        <w:rPr>
          <w:rFonts w:eastAsia="Times New Roman" w:cstheme="minorHAnsi"/>
          <w:sz w:val="24"/>
          <w:szCs w:val="24"/>
          <w:lang w:eastAsia="en-GB"/>
        </w:rPr>
        <w:t>A</w:t>
      </w:r>
      <w:r w:rsidRPr="005927F3">
        <w:rPr>
          <w:rFonts w:eastAsia="Times New Roman" w:cstheme="minorHAnsi"/>
          <w:sz w:val="24"/>
          <w:szCs w:val="24"/>
          <w:lang w:eastAsia="en-GB"/>
        </w:rPr>
        <w:t>rt 8</w:t>
      </w:r>
      <w:r w:rsidR="001D7CEF" w:rsidRPr="005927F3">
        <w:rPr>
          <w:rFonts w:eastAsia="Times New Roman" w:cstheme="minorHAnsi"/>
          <w:sz w:val="24"/>
          <w:szCs w:val="24"/>
          <w:lang w:eastAsia="en-GB"/>
        </w:rPr>
        <w:t xml:space="preserve"> define</w:t>
      </w:r>
      <w:r w:rsidRPr="005927F3">
        <w:rPr>
          <w:rFonts w:eastAsia="Times New Roman" w:cstheme="minorHAnsi"/>
          <w:sz w:val="24"/>
          <w:szCs w:val="24"/>
          <w:lang w:eastAsia="en-GB"/>
        </w:rPr>
        <w:t>s</w:t>
      </w:r>
      <w:r w:rsidR="005272D4" w:rsidRPr="005927F3">
        <w:rPr>
          <w:rFonts w:eastAsia="Times New Roman" w:cstheme="minorHAnsi"/>
          <w:sz w:val="24"/>
          <w:szCs w:val="24"/>
          <w:lang w:eastAsia="en-GB"/>
        </w:rPr>
        <w:t xml:space="preserve"> privacy with an </w:t>
      </w:r>
      <w:r w:rsidR="001D7CEF" w:rsidRPr="005927F3">
        <w:rPr>
          <w:rFonts w:eastAsia="Times New Roman" w:cstheme="minorHAnsi"/>
          <w:sz w:val="24"/>
          <w:szCs w:val="24"/>
          <w:lang w:eastAsia="en-GB"/>
        </w:rPr>
        <w:t xml:space="preserve">Anglo-American </w:t>
      </w:r>
      <w:r w:rsidR="005272D4" w:rsidRPr="005927F3">
        <w:rPr>
          <w:rFonts w:eastAsia="Times New Roman" w:cstheme="minorHAnsi"/>
          <w:sz w:val="24"/>
          <w:szCs w:val="24"/>
          <w:lang w:eastAsia="en-GB"/>
        </w:rPr>
        <w:t>gravitational</w:t>
      </w:r>
      <w:r w:rsidR="00A5092F" w:rsidRPr="005927F3">
        <w:rPr>
          <w:rFonts w:eastAsia="Times New Roman" w:cstheme="minorHAnsi"/>
          <w:sz w:val="24"/>
          <w:szCs w:val="24"/>
          <w:lang w:eastAsia="en-GB"/>
        </w:rPr>
        <w:t xml:space="preserve"> pull of home and family life. Thus even though professional harms are </w:t>
      </w:r>
      <w:r w:rsidR="009D7B3F" w:rsidRPr="005927F3">
        <w:rPr>
          <w:rFonts w:eastAsia="Times New Roman" w:cstheme="minorHAnsi"/>
          <w:sz w:val="24"/>
          <w:szCs w:val="24"/>
          <w:lang w:eastAsia="en-GB"/>
        </w:rPr>
        <w:t>not in principle</w:t>
      </w:r>
      <w:r w:rsidR="00A5092F" w:rsidRPr="005927F3">
        <w:rPr>
          <w:rFonts w:eastAsia="Times New Roman" w:cstheme="minorHAnsi"/>
          <w:sz w:val="24"/>
          <w:szCs w:val="24"/>
          <w:lang w:eastAsia="en-GB"/>
        </w:rPr>
        <w:t xml:space="preserve"> excluded,</w:t>
      </w:r>
      <w:r w:rsidR="005272D4" w:rsidRPr="005927F3">
        <w:rPr>
          <w:rStyle w:val="FootnoteReference"/>
          <w:rFonts w:eastAsia="Times New Roman" w:cstheme="minorHAnsi"/>
          <w:sz w:val="24"/>
          <w:szCs w:val="24"/>
          <w:lang w:eastAsia="en-GB"/>
        </w:rPr>
        <w:footnoteReference w:id="144"/>
      </w:r>
      <w:r w:rsidR="001D7CEF" w:rsidRPr="005927F3">
        <w:rPr>
          <w:rFonts w:eastAsia="Times New Roman" w:cstheme="minorHAnsi"/>
          <w:sz w:val="24"/>
          <w:szCs w:val="24"/>
          <w:lang w:eastAsia="en-GB"/>
        </w:rPr>
        <w:t xml:space="preserve"> </w:t>
      </w:r>
      <w:r w:rsidR="00A5092F" w:rsidRPr="005927F3">
        <w:rPr>
          <w:rFonts w:eastAsia="Times New Roman" w:cstheme="minorHAnsi"/>
          <w:sz w:val="24"/>
          <w:szCs w:val="24"/>
          <w:lang w:eastAsia="en-GB"/>
        </w:rPr>
        <w:t xml:space="preserve">in </w:t>
      </w:r>
      <w:r w:rsidR="00A5092F" w:rsidRPr="005927F3">
        <w:rPr>
          <w:rStyle w:val="Emphasis"/>
          <w:rFonts w:cstheme="minorHAnsi"/>
          <w:sz w:val="24"/>
          <w:szCs w:val="24"/>
        </w:rPr>
        <w:t xml:space="preserve">ML &amp; WW </w:t>
      </w:r>
      <w:r w:rsidR="00A5092F" w:rsidRPr="005927F3">
        <w:rPr>
          <w:rStyle w:val="Emphasis"/>
          <w:rFonts w:cstheme="minorHAnsi"/>
          <w:i w:val="0"/>
          <w:sz w:val="24"/>
          <w:szCs w:val="24"/>
        </w:rPr>
        <w:t xml:space="preserve">the ECtHR stated that </w:t>
      </w:r>
      <w:r w:rsidR="00A5092F" w:rsidRPr="00E96006">
        <w:rPr>
          <w:rStyle w:val="Emphasis"/>
          <w:rFonts w:cstheme="minorHAnsi"/>
          <w:i w:val="0"/>
          <w:sz w:val="24"/>
          <w:szCs w:val="24"/>
        </w:rPr>
        <w:t>‘[</w:t>
      </w:r>
      <w:proofErr w:type="spellStart"/>
      <w:r w:rsidR="00A5092F" w:rsidRPr="00E96006">
        <w:rPr>
          <w:rStyle w:val="Emphasis"/>
          <w:rFonts w:cstheme="minorHAnsi"/>
          <w:i w:val="0"/>
          <w:sz w:val="24"/>
          <w:szCs w:val="24"/>
        </w:rPr>
        <w:t>i</w:t>
      </w:r>
      <w:proofErr w:type="spellEnd"/>
      <w:r w:rsidR="00A5092F" w:rsidRPr="00E96006">
        <w:rPr>
          <w:rStyle w:val="Emphasis"/>
          <w:rFonts w:cstheme="minorHAnsi"/>
          <w:i w:val="0"/>
          <w:sz w:val="24"/>
          <w:szCs w:val="24"/>
        </w:rPr>
        <w:t>]</w:t>
      </w:r>
      <w:r w:rsidR="00A5092F" w:rsidRPr="00E96006">
        <w:rPr>
          <w:rFonts w:cstheme="minorHAnsi"/>
          <w:sz w:val="24"/>
          <w:szCs w:val="24"/>
        </w:rPr>
        <w:t>n order for Article 8 to come into play… an attack on a</w:t>
      </w:r>
      <w:r w:rsidR="00A5092F" w:rsidRPr="0067292B">
        <w:rPr>
          <w:rFonts w:cstheme="minorHAnsi"/>
          <w:iCs/>
          <w:sz w:val="24"/>
          <w:szCs w:val="24"/>
        </w:rPr>
        <w:t xml:space="preserve"> </w:t>
      </w:r>
      <w:r w:rsidR="00A5092F" w:rsidRPr="0067292B">
        <w:rPr>
          <w:rFonts w:cstheme="minorHAnsi"/>
          <w:i/>
          <w:sz w:val="24"/>
          <w:szCs w:val="24"/>
        </w:rPr>
        <w:t>person’s reputation</w:t>
      </w:r>
      <w:r w:rsidR="00A5092F" w:rsidRPr="0067292B">
        <w:rPr>
          <w:rFonts w:cstheme="minorHAnsi"/>
          <w:sz w:val="24"/>
          <w:szCs w:val="24"/>
        </w:rPr>
        <w:t xml:space="preserve"> must attain a certain level of seriousness and in a</w:t>
      </w:r>
      <w:r w:rsidR="00A5092F" w:rsidRPr="00EA0533">
        <w:rPr>
          <w:rFonts w:cstheme="minorHAnsi"/>
          <w:iCs/>
          <w:sz w:val="24"/>
          <w:szCs w:val="24"/>
        </w:rPr>
        <w:t xml:space="preserve"> </w:t>
      </w:r>
      <w:r w:rsidR="00A5092F" w:rsidRPr="00EA0533">
        <w:rPr>
          <w:rFonts w:cstheme="minorHAnsi"/>
          <w:sz w:val="24"/>
          <w:szCs w:val="24"/>
        </w:rPr>
        <w:t xml:space="preserve">manner causing prejudice to personal enjoyment of the right to respect </w:t>
      </w:r>
      <w:r w:rsidR="00A5092F" w:rsidRPr="00EA0533">
        <w:rPr>
          <w:rFonts w:cstheme="minorHAnsi"/>
          <w:i/>
          <w:sz w:val="24"/>
          <w:szCs w:val="24"/>
        </w:rPr>
        <w:t>for</w:t>
      </w:r>
      <w:r w:rsidR="00A5092F" w:rsidRPr="00EA0533">
        <w:rPr>
          <w:rFonts w:cstheme="minorHAnsi"/>
          <w:i/>
          <w:iCs/>
          <w:sz w:val="24"/>
          <w:szCs w:val="24"/>
        </w:rPr>
        <w:t xml:space="preserve"> </w:t>
      </w:r>
      <w:r w:rsidR="00A5092F" w:rsidRPr="00EA0533">
        <w:rPr>
          <w:rFonts w:cstheme="minorHAnsi"/>
          <w:i/>
          <w:sz w:val="24"/>
          <w:szCs w:val="24"/>
        </w:rPr>
        <w:t>private life</w:t>
      </w:r>
      <w:r w:rsidR="00A5092F" w:rsidRPr="00EA0533">
        <w:rPr>
          <w:rFonts w:cstheme="minorHAnsi"/>
          <w:sz w:val="24"/>
          <w:szCs w:val="24"/>
        </w:rPr>
        <w:t>.’</w:t>
      </w:r>
      <w:r w:rsidR="00A5092F" w:rsidRPr="00E96006">
        <w:rPr>
          <w:rStyle w:val="FootnoteReference"/>
          <w:rFonts w:cstheme="minorHAnsi"/>
          <w:sz w:val="24"/>
          <w:szCs w:val="24"/>
        </w:rPr>
        <w:footnoteReference w:id="145"/>
      </w:r>
      <w:r w:rsidR="00A5092F" w:rsidRPr="00E96006">
        <w:rPr>
          <w:rFonts w:cstheme="minorHAnsi"/>
          <w:sz w:val="24"/>
          <w:szCs w:val="24"/>
        </w:rPr>
        <w:t xml:space="preserve"> Transposed </w:t>
      </w:r>
      <w:r w:rsidR="00B01441" w:rsidRPr="00E96006">
        <w:rPr>
          <w:rFonts w:cstheme="minorHAnsi"/>
          <w:sz w:val="24"/>
          <w:szCs w:val="24"/>
        </w:rPr>
        <w:t>on</w:t>
      </w:r>
      <w:r w:rsidR="00A5092F" w:rsidRPr="0067292B">
        <w:rPr>
          <w:rFonts w:cstheme="minorHAnsi"/>
          <w:sz w:val="24"/>
          <w:szCs w:val="24"/>
        </w:rPr>
        <w:t>to data protection law</w:t>
      </w:r>
      <w:r w:rsidR="009D7B3F" w:rsidRPr="0067292B">
        <w:rPr>
          <w:rFonts w:cstheme="minorHAnsi"/>
          <w:sz w:val="24"/>
          <w:szCs w:val="24"/>
        </w:rPr>
        <w:t>,</w:t>
      </w:r>
      <w:r w:rsidR="00A5092F" w:rsidRPr="0067292B">
        <w:rPr>
          <w:rStyle w:val="Emphasis"/>
          <w:rFonts w:cstheme="minorHAnsi"/>
          <w:i w:val="0"/>
          <w:sz w:val="24"/>
          <w:szCs w:val="24"/>
        </w:rPr>
        <w:t xml:space="preserve"> </w:t>
      </w:r>
      <w:proofErr w:type="spellStart"/>
      <w:r w:rsidR="00513686" w:rsidRPr="00181485">
        <w:rPr>
          <w:rFonts w:cstheme="minorHAnsi"/>
          <w:sz w:val="24"/>
          <w:szCs w:val="24"/>
        </w:rPr>
        <w:t>Warby</w:t>
      </w:r>
      <w:proofErr w:type="spellEnd"/>
      <w:r w:rsidR="00513686" w:rsidRPr="00181485">
        <w:rPr>
          <w:rFonts w:cstheme="minorHAnsi"/>
          <w:sz w:val="24"/>
          <w:szCs w:val="24"/>
        </w:rPr>
        <w:t xml:space="preserve"> J </w:t>
      </w:r>
      <w:r w:rsidR="00513686" w:rsidRPr="00202BBA">
        <w:rPr>
          <w:rFonts w:eastAsia="Times New Roman" w:cstheme="minorHAnsi"/>
          <w:sz w:val="24"/>
          <w:szCs w:val="24"/>
          <w:lang w:eastAsia="en-GB"/>
        </w:rPr>
        <w:t xml:space="preserve">in </w:t>
      </w:r>
      <w:r w:rsidR="00513686" w:rsidRPr="00202BBA">
        <w:rPr>
          <w:rStyle w:val="Emphasis"/>
          <w:rFonts w:cstheme="minorHAnsi"/>
          <w:sz w:val="24"/>
          <w:szCs w:val="24"/>
        </w:rPr>
        <w:t xml:space="preserve">NT1 &amp; NT2 </w:t>
      </w:r>
      <w:r w:rsidR="00513686" w:rsidRPr="00EA0533">
        <w:rPr>
          <w:rStyle w:val="Emphasis"/>
          <w:rFonts w:cstheme="minorHAnsi"/>
          <w:i w:val="0"/>
          <w:sz w:val="24"/>
          <w:szCs w:val="24"/>
        </w:rPr>
        <w:t xml:space="preserve">looked for harms </w:t>
      </w:r>
      <w:r w:rsidR="00BC601B" w:rsidRPr="00EA0533">
        <w:rPr>
          <w:rFonts w:cstheme="minorHAnsi"/>
          <w:sz w:val="24"/>
          <w:szCs w:val="24"/>
        </w:rPr>
        <w:t xml:space="preserve">derivatively suffered by </w:t>
      </w:r>
      <w:r w:rsidR="007119E5" w:rsidRPr="00EA0533">
        <w:rPr>
          <w:rFonts w:cstheme="minorHAnsi"/>
          <w:sz w:val="24"/>
          <w:szCs w:val="24"/>
        </w:rPr>
        <w:t xml:space="preserve">the </w:t>
      </w:r>
      <w:r w:rsidR="00BC601B" w:rsidRPr="00EA0533">
        <w:rPr>
          <w:rFonts w:cstheme="minorHAnsi"/>
          <w:sz w:val="24"/>
          <w:szCs w:val="24"/>
        </w:rPr>
        <w:t>claimant</w:t>
      </w:r>
      <w:r w:rsidR="00513686" w:rsidRPr="00EA0533">
        <w:rPr>
          <w:rFonts w:cstheme="minorHAnsi"/>
          <w:sz w:val="24"/>
          <w:szCs w:val="24"/>
        </w:rPr>
        <w:t>’s innocent</w:t>
      </w:r>
      <w:r w:rsidR="00BC601B" w:rsidRPr="00EA0533">
        <w:rPr>
          <w:rFonts w:cstheme="minorHAnsi"/>
          <w:sz w:val="24"/>
          <w:szCs w:val="24"/>
        </w:rPr>
        <w:t xml:space="preserve"> and thus</w:t>
      </w:r>
      <w:r w:rsidR="00513686" w:rsidRPr="00EA0533">
        <w:rPr>
          <w:rFonts w:cstheme="minorHAnsi"/>
          <w:sz w:val="24"/>
          <w:szCs w:val="24"/>
        </w:rPr>
        <w:t xml:space="preserve"> deserving family members, and in the absence of such derivat</w:t>
      </w:r>
      <w:r w:rsidR="001D5410" w:rsidRPr="00EA0533">
        <w:rPr>
          <w:rFonts w:cstheme="minorHAnsi"/>
          <w:sz w:val="24"/>
          <w:szCs w:val="24"/>
        </w:rPr>
        <w:t>iv</w:t>
      </w:r>
      <w:r w:rsidR="00513686" w:rsidRPr="00EA0533">
        <w:rPr>
          <w:rFonts w:cstheme="minorHAnsi"/>
          <w:sz w:val="24"/>
          <w:szCs w:val="24"/>
        </w:rPr>
        <w:t xml:space="preserve">e interests, the </w:t>
      </w:r>
      <w:r w:rsidR="00CF4F15" w:rsidRPr="00EA0533">
        <w:rPr>
          <w:rFonts w:cstheme="minorHAnsi"/>
          <w:sz w:val="24"/>
          <w:szCs w:val="24"/>
        </w:rPr>
        <w:t>entitlement</w:t>
      </w:r>
      <w:r w:rsidR="00513686" w:rsidRPr="00EA0533">
        <w:rPr>
          <w:rFonts w:cstheme="minorHAnsi"/>
          <w:sz w:val="24"/>
          <w:szCs w:val="24"/>
        </w:rPr>
        <w:t xml:space="preserve"> </w:t>
      </w:r>
      <w:r w:rsidR="006F3E79" w:rsidRPr="00EA0533">
        <w:rPr>
          <w:rFonts w:cstheme="minorHAnsi"/>
          <w:sz w:val="24"/>
          <w:szCs w:val="24"/>
        </w:rPr>
        <w:t>would</w:t>
      </w:r>
      <w:r w:rsidR="00513686" w:rsidRPr="00EA0533">
        <w:rPr>
          <w:rFonts w:cstheme="minorHAnsi"/>
          <w:sz w:val="24"/>
          <w:szCs w:val="24"/>
        </w:rPr>
        <w:t xml:space="preserve"> </w:t>
      </w:r>
      <w:r w:rsidR="00C81BD2" w:rsidRPr="00EA0533">
        <w:rPr>
          <w:rFonts w:cstheme="minorHAnsi"/>
          <w:sz w:val="24"/>
          <w:szCs w:val="24"/>
        </w:rPr>
        <w:t>be more difficult to establish.</w:t>
      </w:r>
      <w:r w:rsidR="00513686" w:rsidRPr="00E96006">
        <w:rPr>
          <w:rStyle w:val="FootnoteReference"/>
          <w:rFonts w:cstheme="minorHAnsi"/>
          <w:sz w:val="24"/>
          <w:szCs w:val="24"/>
        </w:rPr>
        <w:footnoteReference w:id="146"/>
      </w:r>
      <w:r w:rsidR="009D7B3F" w:rsidRPr="00E96006">
        <w:rPr>
          <w:rFonts w:cstheme="minorHAnsi"/>
          <w:sz w:val="24"/>
          <w:szCs w:val="24"/>
        </w:rPr>
        <w:t xml:space="preserve"> </w:t>
      </w:r>
      <w:r w:rsidR="00513686" w:rsidRPr="00E96006">
        <w:rPr>
          <w:rFonts w:eastAsia="Times New Roman" w:cstheme="minorHAnsi"/>
          <w:sz w:val="24"/>
          <w:szCs w:val="24"/>
          <w:lang w:eastAsia="en-GB"/>
        </w:rPr>
        <w:t>Yet</w:t>
      </w:r>
      <w:r w:rsidR="00513686" w:rsidRPr="005927F3">
        <w:rPr>
          <w:rFonts w:eastAsia="Times New Roman" w:cstheme="minorHAnsi"/>
          <w:sz w:val="24"/>
          <w:szCs w:val="24"/>
          <w:lang w:eastAsia="en-GB"/>
        </w:rPr>
        <w:t xml:space="preserve">, </w:t>
      </w:r>
      <w:r w:rsidRPr="005927F3">
        <w:rPr>
          <w:rFonts w:eastAsia="Times New Roman" w:cstheme="minorHAnsi"/>
          <w:sz w:val="24"/>
          <w:szCs w:val="24"/>
          <w:lang w:eastAsia="en-GB"/>
        </w:rPr>
        <w:t>data protection law</w:t>
      </w:r>
      <w:r w:rsidR="001D7CEF" w:rsidRPr="005927F3">
        <w:rPr>
          <w:rFonts w:eastAsia="Times New Roman" w:cstheme="minorHAnsi"/>
          <w:sz w:val="24"/>
          <w:szCs w:val="24"/>
          <w:lang w:eastAsia="en-GB"/>
        </w:rPr>
        <w:t xml:space="preserve"> guards</w:t>
      </w:r>
      <w:r w:rsidR="00804014" w:rsidRPr="005927F3">
        <w:rPr>
          <w:rFonts w:eastAsia="Times New Roman" w:cstheme="minorHAnsi"/>
          <w:sz w:val="24"/>
          <w:szCs w:val="24"/>
          <w:lang w:eastAsia="en-GB"/>
        </w:rPr>
        <w:t xml:space="preserve"> against</w:t>
      </w:r>
      <w:r w:rsidR="001D7CEF" w:rsidRPr="005927F3">
        <w:rPr>
          <w:rFonts w:eastAsia="Times New Roman" w:cstheme="minorHAnsi"/>
          <w:sz w:val="24"/>
          <w:szCs w:val="24"/>
          <w:lang w:eastAsia="en-GB"/>
        </w:rPr>
        <w:t xml:space="preserve"> harms</w:t>
      </w:r>
      <w:r w:rsidR="00804014" w:rsidRPr="005927F3">
        <w:rPr>
          <w:rFonts w:eastAsia="Times New Roman" w:cstheme="minorHAnsi"/>
          <w:sz w:val="24"/>
          <w:szCs w:val="24"/>
          <w:lang w:eastAsia="en-GB"/>
        </w:rPr>
        <w:t xml:space="preserve"> which lie</w:t>
      </w:r>
      <w:r w:rsidR="005272D4" w:rsidRPr="005927F3">
        <w:rPr>
          <w:rFonts w:eastAsia="Times New Roman" w:cstheme="minorHAnsi"/>
          <w:sz w:val="24"/>
          <w:szCs w:val="24"/>
          <w:lang w:eastAsia="en-GB"/>
        </w:rPr>
        <w:t xml:space="preserve"> – in the first instance – </w:t>
      </w:r>
      <w:r w:rsidR="005272D4" w:rsidRPr="005927F3">
        <w:rPr>
          <w:rFonts w:eastAsia="Times New Roman" w:cstheme="minorHAnsi"/>
          <w:i/>
          <w:iCs/>
          <w:sz w:val="24"/>
          <w:szCs w:val="24"/>
          <w:lang w:eastAsia="en-GB"/>
        </w:rPr>
        <w:t xml:space="preserve">in </w:t>
      </w:r>
      <w:r w:rsidR="00804014" w:rsidRPr="005927F3">
        <w:rPr>
          <w:rFonts w:eastAsia="Times New Roman" w:cstheme="minorHAnsi"/>
          <w:i/>
          <w:iCs/>
          <w:sz w:val="24"/>
          <w:szCs w:val="24"/>
          <w:lang w:eastAsia="en-GB"/>
        </w:rPr>
        <w:t>the interference</w:t>
      </w:r>
      <w:r w:rsidR="00B478E1" w:rsidRPr="005927F3">
        <w:rPr>
          <w:rFonts w:eastAsia="Times New Roman" w:cstheme="minorHAnsi"/>
          <w:i/>
          <w:iCs/>
          <w:sz w:val="24"/>
          <w:szCs w:val="24"/>
          <w:lang w:eastAsia="en-GB"/>
        </w:rPr>
        <w:t xml:space="preserve"> </w:t>
      </w:r>
      <w:r w:rsidR="005272D4" w:rsidRPr="005927F3">
        <w:rPr>
          <w:rFonts w:eastAsia="Times New Roman" w:cstheme="minorHAnsi"/>
          <w:i/>
          <w:iCs/>
          <w:sz w:val="24"/>
          <w:szCs w:val="24"/>
          <w:lang w:eastAsia="en-GB"/>
        </w:rPr>
        <w:t>with</w:t>
      </w:r>
      <w:r w:rsidR="006F3E79" w:rsidRPr="005927F3">
        <w:rPr>
          <w:rFonts w:eastAsia="Times New Roman" w:cstheme="minorHAnsi"/>
          <w:i/>
          <w:iCs/>
          <w:sz w:val="24"/>
          <w:szCs w:val="24"/>
          <w:lang w:eastAsia="en-GB"/>
        </w:rPr>
        <w:t xml:space="preserve"> one’s</w:t>
      </w:r>
      <w:r w:rsidR="005272D4" w:rsidRPr="005927F3">
        <w:rPr>
          <w:rFonts w:eastAsia="Times New Roman" w:cstheme="minorHAnsi"/>
          <w:i/>
          <w:iCs/>
          <w:sz w:val="24"/>
          <w:szCs w:val="24"/>
          <w:lang w:eastAsia="en-GB"/>
        </w:rPr>
        <w:t xml:space="preserve"> </w:t>
      </w:r>
      <w:r w:rsidR="00587247" w:rsidRPr="005927F3">
        <w:rPr>
          <w:rFonts w:eastAsia="Times New Roman" w:cstheme="minorHAnsi"/>
          <w:i/>
          <w:iCs/>
          <w:sz w:val="24"/>
          <w:szCs w:val="24"/>
          <w:lang w:eastAsia="en-GB"/>
        </w:rPr>
        <w:t xml:space="preserve">personal, </w:t>
      </w:r>
      <w:r w:rsidR="00CF4F15" w:rsidRPr="005927F3">
        <w:rPr>
          <w:rFonts w:eastAsia="Times New Roman" w:cstheme="minorHAnsi"/>
          <w:i/>
          <w:iCs/>
          <w:sz w:val="24"/>
          <w:szCs w:val="24"/>
          <w:lang w:eastAsia="en-GB"/>
        </w:rPr>
        <w:t>meaning</w:t>
      </w:r>
      <w:r w:rsidR="00587247" w:rsidRPr="005927F3">
        <w:rPr>
          <w:rFonts w:eastAsia="Times New Roman" w:cstheme="minorHAnsi"/>
          <w:i/>
          <w:iCs/>
          <w:sz w:val="24"/>
          <w:szCs w:val="24"/>
          <w:lang w:eastAsia="en-GB"/>
        </w:rPr>
        <w:t xml:space="preserve"> </w:t>
      </w:r>
      <w:r w:rsidR="005272D4" w:rsidRPr="005927F3">
        <w:rPr>
          <w:rFonts w:eastAsia="Times New Roman" w:cstheme="minorHAnsi"/>
          <w:i/>
          <w:iCs/>
          <w:sz w:val="24"/>
          <w:szCs w:val="24"/>
          <w:lang w:eastAsia="en-GB"/>
        </w:rPr>
        <w:t>auto</w:t>
      </w:r>
      <w:r w:rsidR="00B478E1" w:rsidRPr="005927F3">
        <w:rPr>
          <w:rFonts w:eastAsia="Times New Roman" w:cstheme="minorHAnsi"/>
          <w:i/>
          <w:iCs/>
          <w:sz w:val="24"/>
          <w:szCs w:val="24"/>
          <w:lang w:eastAsia="en-GB"/>
        </w:rPr>
        <w:t>nomous</w:t>
      </w:r>
      <w:r w:rsidR="00587247" w:rsidRPr="005927F3">
        <w:rPr>
          <w:rFonts w:eastAsia="Times New Roman" w:cstheme="minorHAnsi"/>
          <w:i/>
          <w:iCs/>
          <w:sz w:val="24"/>
          <w:szCs w:val="24"/>
          <w:lang w:eastAsia="en-GB"/>
        </w:rPr>
        <w:t>,</w:t>
      </w:r>
      <w:r w:rsidR="00B478E1" w:rsidRPr="005927F3">
        <w:rPr>
          <w:rFonts w:eastAsia="Times New Roman" w:cstheme="minorHAnsi"/>
          <w:i/>
          <w:iCs/>
          <w:sz w:val="24"/>
          <w:szCs w:val="24"/>
          <w:lang w:eastAsia="en-GB"/>
        </w:rPr>
        <w:t xml:space="preserve"> </w:t>
      </w:r>
      <w:r w:rsidR="00A5092F" w:rsidRPr="005927F3">
        <w:rPr>
          <w:rFonts w:eastAsia="Times New Roman" w:cstheme="minorHAnsi"/>
          <w:i/>
          <w:iCs/>
          <w:sz w:val="24"/>
          <w:szCs w:val="24"/>
          <w:lang w:eastAsia="en-GB"/>
        </w:rPr>
        <w:t>zone</w:t>
      </w:r>
      <w:r w:rsidR="00A5092F" w:rsidRPr="005927F3">
        <w:rPr>
          <w:rFonts w:eastAsia="Times New Roman" w:cstheme="minorHAnsi"/>
          <w:sz w:val="24"/>
          <w:szCs w:val="24"/>
          <w:lang w:eastAsia="en-GB"/>
        </w:rPr>
        <w:t xml:space="preserve">, and </w:t>
      </w:r>
      <w:r w:rsidR="007119E5" w:rsidRPr="005927F3">
        <w:rPr>
          <w:rFonts w:eastAsia="Times New Roman" w:cstheme="minorHAnsi"/>
          <w:sz w:val="24"/>
          <w:szCs w:val="24"/>
          <w:lang w:eastAsia="en-GB"/>
        </w:rPr>
        <w:t>–</w:t>
      </w:r>
      <w:r w:rsidR="005272D4" w:rsidRPr="005927F3">
        <w:rPr>
          <w:rFonts w:eastAsia="Times New Roman" w:cstheme="minorHAnsi"/>
          <w:sz w:val="24"/>
          <w:szCs w:val="24"/>
          <w:lang w:eastAsia="en-GB"/>
        </w:rPr>
        <w:t xml:space="preserve"> in the second </w:t>
      </w:r>
      <w:r w:rsidR="00A70DF2" w:rsidRPr="005927F3">
        <w:rPr>
          <w:rFonts w:eastAsia="Times New Roman" w:cstheme="minorHAnsi"/>
          <w:sz w:val="24"/>
          <w:szCs w:val="24"/>
          <w:lang w:eastAsia="en-GB"/>
        </w:rPr>
        <w:t>instance</w:t>
      </w:r>
      <w:r w:rsidR="00753326" w:rsidRPr="005927F3">
        <w:rPr>
          <w:rFonts w:eastAsia="Times New Roman" w:cstheme="minorHAnsi"/>
          <w:sz w:val="24"/>
          <w:szCs w:val="24"/>
          <w:lang w:eastAsia="en-GB"/>
        </w:rPr>
        <w:t xml:space="preserve"> </w:t>
      </w:r>
      <w:r w:rsidR="00A5092F" w:rsidRPr="005927F3">
        <w:rPr>
          <w:rFonts w:eastAsia="Times New Roman" w:cstheme="minorHAnsi"/>
          <w:sz w:val="24"/>
          <w:szCs w:val="24"/>
          <w:lang w:eastAsia="en-GB"/>
        </w:rPr>
        <w:t>–</w:t>
      </w:r>
      <w:r w:rsidR="005272D4" w:rsidRPr="005927F3">
        <w:rPr>
          <w:rFonts w:eastAsia="Times New Roman" w:cstheme="minorHAnsi"/>
          <w:sz w:val="24"/>
          <w:szCs w:val="24"/>
          <w:lang w:eastAsia="en-GB"/>
        </w:rPr>
        <w:t xml:space="preserve"> in</w:t>
      </w:r>
      <w:r w:rsidR="00A5092F" w:rsidRPr="005927F3">
        <w:rPr>
          <w:rFonts w:eastAsia="Times New Roman" w:cstheme="minorHAnsi"/>
          <w:sz w:val="24"/>
          <w:szCs w:val="24"/>
          <w:lang w:eastAsia="en-GB"/>
        </w:rPr>
        <w:t xml:space="preserve"> </w:t>
      </w:r>
      <w:r w:rsidR="005272D4" w:rsidRPr="005927F3">
        <w:rPr>
          <w:rFonts w:eastAsia="Times New Roman" w:cstheme="minorHAnsi"/>
          <w:sz w:val="24"/>
          <w:szCs w:val="24"/>
          <w:lang w:eastAsia="en-GB"/>
        </w:rPr>
        <w:t>harms</w:t>
      </w:r>
      <w:r w:rsidR="00A5092F" w:rsidRPr="005927F3">
        <w:rPr>
          <w:rFonts w:eastAsia="Times New Roman" w:cstheme="minorHAnsi"/>
          <w:sz w:val="24"/>
          <w:szCs w:val="24"/>
          <w:lang w:eastAsia="en-GB"/>
        </w:rPr>
        <w:t xml:space="preserve"> widely defined</w:t>
      </w:r>
      <w:r w:rsidR="00804014" w:rsidRPr="005927F3">
        <w:rPr>
          <w:rFonts w:eastAsia="Times New Roman" w:cstheme="minorHAnsi"/>
          <w:sz w:val="24"/>
          <w:szCs w:val="24"/>
          <w:lang w:eastAsia="en-GB"/>
        </w:rPr>
        <w:t xml:space="preserve">, </w:t>
      </w:r>
      <w:r w:rsidR="005070D4" w:rsidRPr="005927F3">
        <w:rPr>
          <w:rFonts w:eastAsia="Times New Roman" w:cstheme="minorHAnsi"/>
          <w:sz w:val="24"/>
          <w:szCs w:val="24"/>
          <w:lang w:eastAsia="en-GB"/>
        </w:rPr>
        <w:t>including</w:t>
      </w:r>
      <w:r w:rsidR="00804014" w:rsidRPr="005927F3">
        <w:rPr>
          <w:rFonts w:eastAsia="Times New Roman" w:cstheme="minorHAnsi"/>
          <w:sz w:val="24"/>
          <w:szCs w:val="24"/>
          <w:lang w:eastAsia="en-GB"/>
        </w:rPr>
        <w:t xml:space="preserve"> </w:t>
      </w:r>
      <w:r w:rsidR="001D7CEF" w:rsidRPr="005927F3">
        <w:rPr>
          <w:rFonts w:eastAsia="Times New Roman" w:cstheme="minorHAnsi"/>
          <w:sz w:val="24"/>
          <w:szCs w:val="24"/>
          <w:lang w:eastAsia="en-GB"/>
        </w:rPr>
        <w:t>professional harms</w:t>
      </w:r>
      <w:r w:rsidR="00B01441" w:rsidRPr="005927F3">
        <w:rPr>
          <w:rFonts w:eastAsia="Times New Roman" w:cstheme="minorHAnsi"/>
          <w:sz w:val="24"/>
          <w:szCs w:val="24"/>
          <w:lang w:eastAsia="en-GB"/>
        </w:rPr>
        <w:t>, that is</w:t>
      </w:r>
      <w:r w:rsidR="007119E5" w:rsidRPr="005927F3">
        <w:rPr>
          <w:rFonts w:eastAsia="Times New Roman" w:cstheme="minorHAnsi"/>
          <w:sz w:val="24"/>
          <w:szCs w:val="24"/>
          <w:lang w:eastAsia="en-GB"/>
        </w:rPr>
        <w:t>,</w:t>
      </w:r>
      <w:r w:rsidR="00B01441" w:rsidRPr="005927F3">
        <w:rPr>
          <w:rFonts w:eastAsia="Times New Roman" w:cstheme="minorHAnsi"/>
          <w:sz w:val="24"/>
          <w:szCs w:val="24"/>
          <w:lang w:eastAsia="en-GB"/>
        </w:rPr>
        <w:t xml:space="preserve"> harms in public</w:t>
      </w:r>
      <w:r w:rsidR="001D7CEF" w:rsidRPr="005927F3">
        <w:rPr>
          <w:rFonts w:eastAsia="Times New Roman" w:cstheme="minorHAnsi"/>
          <w:sz w:val="24"/>
          <w:szCs w:val="24"/>
          <w:lang w:eastAsia="en-GB"/>
        </w:rPr>
        <w:t xml:space="preserve"> that an individual may suffer</w:t>
      </w:r>
      <w:r w:rsidRPr="005927F3">
        <w:rPr>
          <w:rFonts w:eastAsia="Times New Roman" w:cstheme="minorHAnsi"/>
          <w:sz w:val="24"/>
          <w:szCs w:val="24"/>
          <w:lang w:eastAsia="en-GB"/>
        </w:rPr>
        <w:t xml:space="preserve"> at the hand of employers or</w:t>
      </w:r>
      <w:r w:rsidR="0050069B" w:rsidRPr="005927F3">
        <w:rPr>
          <w:rFonts w:eastAsia="Times New Roman" w:cstheme="minorHAnsi"/>
          <w:sz w:val="24"/>
          <w:szCs w:val="24"/>
          <w:lang w:eastAsia="en-GB"/>
        </w:rPr>
        <w:t xml:space="preserve"> </w:t>
      </w:r>
      <w:r w:rsidRPr="005927F3">
        <w:rPr>
          <w:rFonts w:eastAsia="Times New Roman" w:cstheme="minorHAnsi"/>
          <w:sz w:val="24"/>
          <w:szCs w:val="24"/>
          <w:lang w:eastAsia="en-GB"/>
        </w:rPr>
        <w:t>in business</w:t>
      </w:r>
      <w:r w:rsidR="001D7CEF" w:rsidRPr="005927F3">
        <w:rPr>
          <w:rFonts w:eastAsia="Times New Roman" w:cstheme="minorHAnsi"/>
          <w:sz w:val="24"/>
          <w:szCs w:val="24"/>
          <w:lang w:eastAsia="en-GB"/>
        </w:rPr>
        <w:t>.</w:t>
      </w:r>
      <w:r w:rsidR="00804014" w:rsidRPr="005927F3">
        <w:rPr>
          <w:rStyle w:val="FootnoteReference"/>
          <w:rFonts w:eastAsia="Times New Roman" w:cstheme="minorHAnsi"/>
          <w:sz w:val="24"/>
          <w:szCs w:val="24"/>
          <w:lang w:eastAsia="en-GB"/>
        </w:rPr>
        <w:footnoteReference w:id="147"/>
      </w:r>
      <w:r w:rsidR="001D7CEF" w:rsidRPr="005927F3">
        <w:rPr>
          <w:rFonts w:eastAsia="Times New Roman" w:cstheme="minorHAnsi"/>
          <w:sz w:val="24"/>
          <w:szCs w:val="24"/>
          <w:lang w:eastAsia="en-GB"/>
        </w:rPr>
        <w:t xml:space="preserve"> In </w:t>
      </w:r>
      <w:r w:rsidR="001D7CEF" w:rsidRPr="005927F3">
        <w:rPr>
          <w:rFonts w:eastAsia="Times New Roman" w:cstheme="minorHAnsi"/>
          <w:i/>
          <w:sz w:val="24"/>
          <w:szCs w:val="24"/>
          <w:lang w:eastAsia="en-GB"/>
        </w:rPr>
        <w:t>Google Spain</w:t>
      </w:r>
      <w:r w:rsidR="001D7CEF" w:rsidRPr="005927F3">
        <w:rPr>
          <w:rFonts w:eastAsia="Times New Roman" w:cstheme="minorHAnsi"/>
          <w:sz w:val="24"/>
          <w:szCs w:val="24"/>
          <w:lang w:eastAsia="en-GB"/>
        </w:rPr>
        <w:t xml:space="preserve"> Mr Gonzalez’s professional activities as a lawyer suffered</w:t>
      </w:r>
      <w:r w:rsidR="00CF4F15" w:rsidRPr="005927F3">
        <w:rPr>
          <w:rFonts w:eastAsia="Times New Roman" w:cstheme="minorHAnsi"/>
          <w:sz w:val="24"/>
          <w:szCs w:val="24"/>
          <w:lang w:eastAsia="en-GB"/>
        </w:rPr>
        <w:t>,</w:t>
      </w:r>
      <w:r w:rsidR="00804014" w:rsidRPr="005927F3">
        <w:rPr>
          <w:rStyle w:val="FootnoteReference"/>
          <w:rFonts w:eastAsia="Times New Roman" w:cstheme="minorHAnsi"/>
          <w:sz w:val="24"/>
          <w:szCs w:val="24"/>
          <w:lang w:eastAsia="en-GB"/>
        </w:rPr>
        <w:footnoteReference w:id="148"/>
      </w:r>
      <w:r w:rsidR="00804014" w:rsidRPr="005927F3">
        <w:rPr>
          <w:rFonts w:eastAsia="Times New Roman" w:cstheme="minorHAnsi"/>
          <w:sz w:val="24"/>
          <w:szCs w:val="24"/>
          <w:lang w:eastAsia="en-GB"/>
        </w:rPr>
        <w:t xml:space="preserve"> </w:t>
      </w:r>
      <w:r w:rsidR="001D7CEF" w:rsidRPr="005927F3">
        <w:rPr>
          <w:rFonts w:eastAsia="Times New Roman" w:cstheme="minorHAnsi"/>
          <w:sz w:val="24"/>
          <w:szCs w:val="24"/>
          <w:lang w:eastAsia="en-GB"/>
        </w:rPr>
        <w:t xml:space="preserve">and </w:t>
      </w:r>
      <w:r w:rsidR="009D7B3F" w:rsidRPr="005927F3">
        <w:rPr>
          <w:rFonts w:eastAsia="Times New Roman" w:cstheme="minorHAnsi"/>
          <w:sz w:val="24"/>
          <w:szCs w:val="24"/>
          <w:lang w:eastAsia="en-GB"/>
        </w:rPr>
        <w:t xml:space="preserve">in </w:t>
      </w:r>
      <w:r w:rsidR="0082584C" w:rsidRPr="005927F3">
        <w:rPr>
          <w:rFonts w:cstheme="minorHAnsi"/>
          <w:i/>
          <w:sz w:val="24"/>
          <w:szCs w:val="24"/>
        </w:rPr>
        <w:t xml:space="preserve">GC and </w:t>
      </w:r>
      <w:proofErr w:type="spellStart"/>
      <w:r w:rsidR="0082584C" w:rsidRPr="005927F3">
        <w:rPr>
          <w:rFonts w:cstheme="minorHAnsi"/>
          <w:i/>
          <w:sz w:val="24"/>
          <w:szCs w:val="24"/>
        </w:rPr>
        <w:t>Or</w:t>
      </w:r>
      <w:r w:rsidR="001D7CEF" w:rsidRPr="005927F3">
        <w:rPr>
          <w:rFonts w:cstheme="minorHAnsi"/>
          <w:i/>
          <w:sz w:val="24"/>
          <w:szCs w:val="24"/>
        </w:rPr>
        <w:t>s</w:t>
      </w:r>
      <w:proofErr w:type="spellEnd"/>
      <w:r w:rsidR="001D7CEF" w:rsidRPr="005927F3">
        <w:rPr>
          <w:rFonts w:cstheme="minorHAnsi"/>
          <w:i/>
          <w:sz w:val="24"/>
          <w:szCs w:val="24"/>
        </w:rPr>
        <w:t xml:space="preserve">, </w:t>
      </w:r>
      <w:r w:rsidR="001D7CEF" w:rsidRPr="005927F3">
        <w:rPr>
          <w:rFonts w:cstheme="minorHAnsi"/>
          <w:sz w:val="24"/>
          <w:szCs w:val="24"/>
        </w:rPr>
        <w:t xml:space="preserve">the court listed as </w:t>
      </w:r>
      <w:r w:rsidR="007119E5" w:rsidRPr="005927F3">
        <w:rPr>
          <w:rFonts w:cstheme="minorHAnsi"/>
          <w:sz w:val="24"/>
          <w:szCs w:val="24"/>
        </w:rPr>
        <w:t xml:space="preserve">a </w:t>
      </w:r>
      <w:r w:rsidR="001D7CEF" w:rsidRPr="005927F3">
        <w:rPr>
          <w:rFonts w:cstheme="minorHAnsi"/>
          <w:sz w:val="24"/>
          <w:szCs w:val="24"/>
        </w:rPr>
        <w:t>relevant factor in the balancing exercise ‘the consequences of publication for the data subject’</w:t>
      </w:r>
      <w:r w:rsidR="001D7CEF" w:rsidRPr="005927F3">
        <w:rPr>
          <w:rStyle w:val="FootnoteReference"/>
          <w:rFonts w:cstheme="minorHAnsi"/>
          <w:sz w:val="24"/>
          <w:szCs w:val="24"/>
        </w:rPr>
        <w:footnoteReference w:id="149"/>
      </w:r>
      <w:r w:rsidR="001D7CEF" w:rsidRPr="005927F3">
        <w:rPr>
          <w:rFonts w:cstheme="minorHAnsi"/>
          <w:sz w:val="24"/>
          <w:szCs w:val="24"/>
        </w:rPr>
        <w:t xml:space="preserve"> with no mention of home or family life.</w:t>
      </w:r>
      <w:r w:rsidR="0050069B" w:rsidRPr="005927F3">
        <w:rPr>
          <w:rFonts w:cstheme="minorHAnsi"/>
          <w:sz w:val="24"/>
          <w:szCs w:val="24"/>
        </w:rPr>
        <w:t xml:space="preserve"> R</w:t>
      </w:r>
      <w:r w:rsidR="00587247" w:rsidRPr="005927F3">
        <w:rPr>
          <w:rFonts w:cstheme="minorHAnsi"/>
          <w:sz w:val="24"/>
          <w:szCs w:val="24"/>
        </w:rPr>
        <w:t xml:space="preserve">e-integration in society, </w:t>
      </w:r>
      <w:r w:rsidR="001D7CEF" w:rsidRPr="005927F3">
        <w:rPr>
          <w:rFonts w:cstheme="minorHAnsi"/>
          <w:sz w:val="24"/>
          <w:szCs w:val="24"/>
        </w:rPr>
        <w:t>as opposed to social exclusion based on</w:t>
      </w:r>
      <w:r w:rsidR="0050069B" w:rsidRPr="005927F3">
        <w:rPr>
          <w:rFonts w:cstheme="minorHAnsi"/>
          <w:sz w:val="24"/>
          <w:szCs w:val="24"/>
        </w:rPr>
        <w:t xml:space="preserve"> continuing</w:t>
      </w:r>
      <w:r w:rsidR="00587247" w:rsidRPr="005927F3">
        <w:rPr>
          <w:rFonts w:cstheme="minorHAnsi"/>
          <w:sz w:val="24"/>
          <w:szCs w:val="24"/>
        </w:rPr>
        <w:t xml:space="preserve"> stigmatisation, </w:t>
      </w:r>
      <w:r w:rsidR="001D7CEF" w:rsidRPr="005927F3">
        <w:rPr>
          <w:rFonts w:cstheme="minorHAnsi"/>
          <w:sz w:val="24"/>
          <w:szCs w:val="24"/>
        </w:rPr>
        <w:t xml:space="preserve">requires more than anything else a footing in the social or employment sphere. </w:t>
      </w:r>
    </w:p>
    <w:p w14:paraId="57CF5421" w14:textId="77777777" w:rsidR="00C65662" w:rsidRPr="005927F3" w:rsidRDefault="00C65662" w:rsidP="008B308D">
      <w:pPr>
        <w:autoSpaceDE w:val="0"/>
        <w:autoSpaceDN w:val="0"/>
        <w:adjustRightInd w:val="0"/>
        <w:spacing w:after="0" w:line="240" w:lineRule="auto"/>
        <w:jc w:val="both"/>
        <w:rPr>
          <w:rFonts w:cstheme="minorHAnsi"/>
          <w:sz w:val="24"/>
          <w:szCs w:val="24"/>
        </w:rPr>
      </w:pPr>
    </w:p>
    <w:p w14:paraId="561C5111" w14:textId="3747B425" w:rsidR="00224ADD" w:rsidRPr="005927F3" w:rsidRDefault="00F81CF6" w:rsidP="003C3A05">
      <w:pPr>
        <w:autoSpaceDE w:val="0"/>
        <w:autoSpaceDN w:val="0"/>
        <w:adjustRightInd w:val="0"/>
        <w:spacing w:after="0" w:line="240" w:lineRule="auto"/>
        <w:jc w:val="both"/>
        <w:rPr>
          <w:rFonts w:eastAsia="Times New Roman" w:cstheme="minorHAnsi"/>
          <w:sz w:val="24"/>
          <w:szCs w:val="24"/>
          <w:lang w:eastAsia="en-GB"/>
        </w:rPr>
      </w:pPr>
      <w:r w:rsidRPr="005927F3">
        <w:rPr>
          <w:rFonts w:cstheme="minorHAnsi"/>
          <w:sz w:val="24"/>
          <w:szCs w:val="24"/>
          <w:u w:val="single"/>
        </w:rPr>
        <w:lastRenderedPageBreak/>
        <w:t xml:space="preserve">‘Reasonable </w:t>
      </w:r>
      <w:r w:rsidR="00A32BF0" w:rsidRPr="005927F3">
        <w:rPr>
          <w:rFonts w:cstheme="minorHAnsi"/>
          <w:sz w:val="24"/>
          <w:szCs w:val="24"/>
          <w:u w:val="single"/>
        </w:rPr>
        <w:t xml:space="preserve">or legitimate </w:t>
      </w:r>
      <w:r w:rsidR="009A5189" w:rsidRPr="005927F3">
        <w:rPr>
          <w:rFonts w:cstheme="minorHAnsi"/>
          <w:sz w:val="24"/>
          <w:szCs w:val="24"/>
          <w:u w:val="single"/>
        </w:rPr>
        <w:t>expectation of p</w:t>
      </w:r>
      <w:r w:rsidRPr="005927F3">
        <w:rPr>
          <w:rFonts w:cstheme="minorHAnsi"/>
          <w:sz w:val="24"/>
          <w:szCs w:val="24"/>
          <w:u w:val="single"/>
        </w:rPr>
        <w:t>rivacy’</w:t>
      </w:r>
      <w:r w:rsidRPr="005927F3">
        <w:rPr>
          <w:rFonts w:cstheme="minorHAnsi"/>
          <w:sz w:val="24"/>
          <w:szCs w:val="24"/>
        </w:rPr>
        <w:t xml:space="preserve"> </w:t>
      </w:r>
      <w:r w:rsidR="00BC601B" w:rsidRPr="005927F3">
        <w:rPr>
          <w:rFonts w:cstheme="minorHAnsi"/>
          <w:sz w:val="24"/>
          <w:szCs w:val="24"/>
        </w:rPr>
        <w:t>T</w:t>
      </w:r>
      <w:r w:rsidR="001E5F97" w:rsidRPr="005927F3">
        <w:rPr>
          <w:rFonts w:cstheme="minorHAnsi"/>
          <w:sz w:val="24"/>
          <w:szCs w:val="24"/>
        </w:rPr>
        <w:t>he mismatch</w:t>
      </w:r>
      <w:r w:rsidR="005D1C6C" w:rsidRPr="005927F3">
        <w:rPr>
          <w:rFonts w:cstheme="minorHAnsi"/>
          <w:sz w:val="24"/>
          <w:szCs w:val="24"/>
        </w:rPr>
        <w:t xml:space="preserve"> between the two tradition</w:t>
      </w:r>
      <w:r w:rsidR="001E5F97" w:rsidRPr="005927F3">
        <w:rPr>
          <w:rFonts w:cstheme="minorHAnsi"/>
          <w:sz w:val="24"/>
          <w:szCs w:val="24"/>
        </w:rPr>
        <w:t>s</w:t>
      </w:r>
      <w:r w:rsidR="002A4C21" w:rsidRPr="005927F3">
        <w:rPr>
          <w:rFonts w:cstheme="minorHAnsi"/>
          <w:sz w:val="24"/>
          <w:szCs w:val="24"/>
        </w:rPr>
        <w:t xml:space="preserve"> </w:t>
      </w:r>
      <w:r w:rsidR="005D1C6C" w:rsidRPr="005927F3">
        <w:rPr>
          <w:rFonts w:cstheme="minorHAnsi"/>
          <w:sz w:val="24"/>
          <w:szCs w:val="24"/>
        </w:rPr>
        <w:t>is</w:t>
      </w:r>
      <w:r w:rsidR="00DC02A0" w:rsidRPr="005927F3">
        <w:rPr>
          <w:rFonts w:cstheme="minorHAnsi"/>
          <w:sz w:val="24"/>
          <w:szCs w:val="24"/>
        </w:rPr>
        <w:t xml:space="preserve"> </w:t>
      </w:r>
      <w:r w:rsidR="00A70DF2" w:rsidRPr="005927F3">
        <w:rPr>
          <w:rFonts w:cstheme="minorHAnsi"/>
          <w:sz w:val="24"/>
          <w:szCs w:val="24"/>
        </w:rPr>
        <w:t xml:space="preserve">also </w:t>
      </w:r>
      <w:r w:rsidR="002A4C21" w:rsidRPr="005927F3">
        <w:rPr>
          <w:rFonts w:cstheme="minorHAnsi"/>
          <w:sz w:val="24"/>
          <w:szCs w:val="24"/>
        </w:rPr>
        <w:t>pronounced</w:t>
      </w:r>
      <w:r w:rsidR="00456DA4" w:rsidRPr="005927F3">
        <w:rPr>
          <w:rFonts w:cstheme="minorHAnsi"/>
          <w:sz w:val="24"/>
          <w:szCs w:val="24"/>
        </w:rPr>
        <w:t xml:space="preserve"> </w:t>
      </w:r>
      <w:r w:rsidR="002A4C21" w:rsidRPr="005927F3">
        <w:rPr>
          <w:rFonts w:cstheme="minorHAnsi"/>
          <w:sz w:val="24"/>
          <w:szCs w:val="24"/>
        </w:rPr>
        <w:t xml:space="preserve">in so far as </w:t>
      </w:r>
      <w:r w:rsidR="00456DA4" w:rsidRPr="005927F3">
        <w:rPr>
          <w:rFonts w:cstheme="minorHAnsi"/>
          <w:sz w:val="24"/>
          <w:szCs w:val="24"/>
        </w:rPr>
        <w:t>A</w:t>
      </w:r>
      <w:r w:rsidR="009D7B3F" w:rsidRPr="005927F3">
        <w:rPr>
          <w:rFonts w:cstheme="minorHAnsi"/>
          <w:sz w:val="24"/>
          <w:szCs w:val="24"/>
        </w:rPr>
        <w:t xml:space="preserve">rt 8 </w:t>
      </w:r>
      <w:r w:rsidR="00456DA4" w:rsidRPr="005927F3">
        <w:rPr>
          <w:rFonts w:cstheme="minorHAnsi"/>
          <w:sz w:val="24"/>
          <w:szCs w:val="24"/>
        </w:rPr>
        <w:t>jurisprudence</w:t>
      </w:r>
      <w:r w:rsidR="002A4C21" w:rsidRPr="005927F3">
        <w:rPr>
          <w:rFonts w:cstheme="minorHAnsi"/>
          <w:sz w:val="24"/>
          <w:szCs w:val="24"/>
        </w:rPr>
        <w:t xml:space="preserve"> imports</w:t>
      </w:r>
      <w:r w:rsidR="00456DA4" w:rsidRPr="005927F3">
        <w:rPr>
          <w:rFonts w:cstheme="minorHAnsi"/>
          <w:sz w:val="24"/>
          <w:szCs w:val="24"/>
        </w:rPr>
        <w:t xml:space="preserve"> </w:t>
      </w:r>
      <w:r w:rsidR="00BC107E" w:rsidRPr="005927F3">
        <w:rPr>
          <w:rFonts w:cstheme="minorHAnsi"/>
          <w:sz w:val="24"/>
          <w:szCs w:val="24"/>
        </w:rPr>
        <w:t>the</w:t>
      </w:r>
      <w:r w:rsidR="00DA034A" w:rsidRPr="005927F3">
        <w:rPr>
          <w:rFonts w:cstheme="minorHAnsi"/>
          <w:sz w:val="24"/>
          <w:szCs w:val="24"/>
        </w:rPr>
        <w:t xml:space="preserve"> concept of ‘reasonable</w:t>
      </w:r>
      <w:r w:rsidR="005C0984" w:rsidRPr="005927F3">
        <w:rPr>
          <w:rFonts w:cstheme="minorHAnsi"/>
          <w:sz w:val="24"/>
          <w:szCs w:val="24"/>
        </w:rPr>
        <w:t xml:space="preserve"> or legitimate</w:t>
      </w:r>
      <w:r w:rsidR="00DA034A" w:rsidRPr="005927F3">
        <w:rPr>
          <w:rFonts w:cstheme="minorHAnsi"/>
          <w:sz w:val="24"/>
          <w:szCs w:val="24"/>
        </w:rPr>
        <w:t xml:space="preserve"> expectation of privacy</w:t>
      </w:r>
      <w:r w:rsidR="00C52F64" w:rsidRPr="005927F3">
        <w:rPr>
          <w:rFonts w:cstheme="minorHAnsi"/>
          <w:sz w:val="24"/>
          <w:szCs w:val="24"/>
        </w:rPr>
        <w:t>’</w:t>
      </w:r>
      <w:r w:rsidR="00456DA4" w:rsidRPr="005927F3">
        <w:rPr>
          <w:rFonts w:cstheme="minorHAnsi"/>
          <w:sz w:val="24"/>
          <w:szCs w:val="24"/>
        </w:rPr>
        <w:t xml:space="preserve"> </w:t>
      </w:r>
      <w:r w:rsidR="00C52F64" w:rsidRPr="005927F3">
        <w:rPr>
          <w:rFonts w:cstheme="minorHAnsi"/>
          <w:sz w:val="24"/>
          <w:szCs w:val="24"/>
        </w:rPr>
        <w:t>t</w:t>
      </w:r>
      <w:r w:rsidR="009772B4" w:rsidRPr="005927F3">
        <w:rPr>
          <w:rFonts w:cstheme="minorHAnsi"/>
          <w:sz w:val="24"/>
          <w:szCs w:val="24"/>
        </w:rPr>
        <w:t xml:space="preserve">o </w:t>
      </w:r>
      <w:r w:rsidR="001D5410" w:rsidRPr="005927F3">
        <w:rPr>
          <w:rFonts w:cstheme="minorHAnsi"/>
          <w:sz w:val="24"/>
          <w:szCs w:val="24"/>
        </w:rPr>
        <w:t xml:space="preserve">data </w:t>
      </w:r>
      <w:r w:rsidR="00456DA4" w:rsidRPr="005927F3">
        <w:rPr>
          <w:rFonts w:cstheme="minorHAnsi"/>
          <w:sz w:val="24"/>
          <w:szCs w:val="24"/>
        </w:rPr>
        <w:t>protection</w:t>
      </w:r>
      <w:r w:rsidR="005D1C6C" w:rsidRPr="005927F3">
        <w:rPr>
          <w:rFonts w:cstheme="minorHAnsi"/>
          <w:sz w:val="24"/>
          <w:szCs w:val="24"/>
        </w:rPr>
        <w:t xml:space="preserve"> law – either by applying it to perso</w:t>
      </w:r>
      <w:r w:rsidR="005C0984" w:rsidRPr="005927F3">
        <w:rPr>
          <w:rFonts w:cstheme="minorHAnsi"/>
          <w:sz w:val="24"/>
          <w:szCs w:val="24"/>
        </w:rPr>
        <w:t>nal data claims under Art 8 or</w:t>
      </w:r>
      <w:r w:rsidR="00F1536B" w:rsidRPr="005927F3">
        <w:rPr>
          <w:rFonts w:cstheme="minorHAnsi"/>
          <w:sz w:val="24"/>
          <w:szCs w:val="24"/>
        </w:rPr>
        <w:t xml:space="preserve"> alternatively</w:t>
      </w:r>
      <w:r w:rsidR="005C0984" w:rsidRPr="005927F3">
        <w:rPr>
          <w:rFonts w:cstheme="minorHAnsi"/>
          <w:sz w:val="24"/>
          <w:szCs w:val="24"/>
        </w:rPr>
        <w:t xml:space="preserve"> </w:t>
      </w:r>
      <w:r w:rsidR="005D1C6C" w:rsidRPr="005927F3">
        <w:rPr>
          <w:rFonts w:cstheme="minorHAnsi"/>
          <w:sz w:val="24"/>
          <w:szCs w:val="24"/>
        </w:rPr>
        <w:t>t</w:t>
      </w:r>
      <w:r w:rsidR="00F1536B" w:rsidRPr="005927F3">
        <w:rPr>
          <w:rFonts w:cstheme="minorHAnsi"/>
          <w:sz w:val="24"/>
          <w:szCs w:val="24"/>
        </w:rPr>
        <w:t>hrough its</w:t>
      </w:r>
      <w:r w:rsidR="00B279ED" w:rsidRPr="005927F3">
        <w:rPr>
          <w:rFonts w:cstheme="minorHAnsi"/>
          <w:sz w:val="24"/>
          <w:szCs w:val="24"/>
        </w:rPr>
        <w:t xml:space="preserve"> </w:t>
      </w:r>
      <w:r w:rsidR="001E5F97" w:rsidRPr="005927F3">
        <w:rPr>
          <w:rFonts w:cstheme="minorHAnsi"/>
          <w:sz w:val="24"/>
          <w:szCs w:val="24"/>
        </w:rPr>
        <w:t xml:space="preserve">incorporation in data protection </w:t>
      </w:r>
      <w:r w:rsidR="000F32E3" w:rsidRPr="005927F3">
        <w:rPr>
          <w:rFonts w:cstheme="minorHAnsi"/>
          <w:sz w:val="24"/>
          <w:szCs w:val="24"/>
        </w:rPr>
        <w:t>claims</w:t>
      </w:r>
      <w:r w:rsidR="00587247" w:rsidRPr="005927F3">
        <w:rPr>
          <w:rFonts w:cstheme="minorHAnsi"/>
          <w:sz w:val="24"/>
          <w:szCs w:val="24"/>
        </w:rPr>
        <w:t>.</w:t>
      </w:r>
      <w:r w:rsidR="00A32BF0" w:rsidRPr="005927F3">
        <w:rPr>
          <w:rFonts w:cstheme="minorHAnsi"/>
          <w:sz w:val="24"/>
          <w:szCs w:val="24"/>
        </w:rPr>
        <w:t xml:space="preserve"> </w:t>
      </w:r>
      <w:r w:rsidR="005D1C6C" w:rsidRPr="005927F3">
        <w:rPr>
          <w:rFonts w:cstheme="minorHAnsi"/>
          <w:sz w:val="24"/>
          <w:szCs w:val="24"/>
        </w:rPr>
        <w:t xml:space="preserve">The </w:t>
      </w:r>
      <w:r w:rsidR="00737658" w:rsidRPr="005927F3">
        <w:rPr>
          <w:rFonts w:cstheme="minorHAnsi"/>
          <w:sz w:val="24"/>
          <w:szCs w:val="24"/>
        </w:rPr>
        <w:t>concept</w:t>
      </w:r>
      <w:r w:rsidR="00C52F64" w:rsidRPr="005927F3">
        <w:rPr>
          <w:rFonts w:cstheme="minorHAnsi"/>
          <w:sz w:val="24"/>
          <w:szCs w:val="24"/>
        </w:rPr>
        <w:t xml:space="preserve"> </w:t>
      </w:r>
      <w:r w:rsidR="005D1C6C" w:rsidRPr="005927F3">
        <w:rPr>
          <w:rFonts w:cstheme="minorHAnsi"/>
          <w:sz w:val="24"/>
          <w:szCs w:val="24"/>
        </w:rPr>
        <w:t>of ‘reas</w:t>
      </w:r>
      <w:r w:rsidR="00F1536B" w:rsidRPr="005927F3">
        <w:rPr>
          <w:rFonts w:cstheme="minorHAnsi"/>
          <w:sz w:val="24"/>
          <w:szCs w:val="24"/>
        </w:rPr>
        <w:t xml:space="preserve">onable expectation of privacy’ </w:t>
      </w:r>
      <w:r w:rsidR="001D5410" w:rsidRPr="005927F3">
        <w:rPr>
          <w:rFonts w:cstheme="minorHAnsi"/>
          <w:sz w:val="24"/>
          <w:szCs w:val="24"/>
        </w:rPr>
        <w:t xml:space="preserve">has variously </w:t>
      </w:r>
      <w:r w:rsidR="005D1C6C" w:rsidRPr="005927F3">
        <w:rPr>
          <w:rFonts w:cstheme="minorHAnsi"/>
          <w:sz w:val="24"/>
          <w:szCs w:val="24"/>
        </w:rPr>
        <w:t>been described as a touchs</w:t>
      </w:r>
      <w:r w:rsidR="00BB2E8F" w:rsidRPr="005927F3">
        <w:rPr>
          <w:rFonts w:cstheme="minorHAnsi"/>
          <w:sz w:val="24"/>
          <w:szCs w:val="24"/>
        </w:rPr>
        <w:t>tone</w:t>
      </w:r>
      <w:r w:rsidR="00456DA4" w:rsidRPr="005927F3">
        <w:rPr>
          <w:rFonts w:cstheme="minorHAnsi"/>
          <w:sz w:val="24"/>
          <w:szCs w:val="24"/>
        </w:rPr>
        <w:t xml:space="preserve"> for</w:t>
      </w:r>
      <w:r w:rsidR="002A4C21" w:rsidRPr="005927F3">
        <w:rPr>
          <w:rFonts w:cstheme="minorHAnsi"/>
          <w:sz w:val="24"/>
          <w:szCs w:val="24"/>
        </w:rPr>
        <w:t xml:space="preserve"> Art 8 entitlement</w:t>
      </w:r>
      <w:r w:rsidR="00AC58E7" w:rsidRPr="005927F3">
        <w:rPr>
          <w:rFonts w:cstheme="minorHAnsi"/>
          <w:sz w:val="24"/>
          <w:szCs w:val="24"/>
        </w:rPr>
        <w:t xml:space="preserve"> (which it is in the English action of misuse of private information)</w:t>
      </w:r>
      <w:r w:rsidR="001D5410" w:rsidRPr="005927F3">
        <w:rPr>
          <w:rFonts w:cstheme="minorHAnsi"/>
          <w:sz w:val="24"/>
          <w:szCs w:val="24"/>
        </w:rPr>
        <w:t xml:space="preserve"> or </w:t>
      </w:r>
      <w:r w:rsidR="005D1C6C" w:rsidRPr="005927F3">
        <w:rPr>
          <w:rFonts w:cstheme="minorHAnsi"/>
          <w:sz w:val="24"/>
          <w:szCs w:val="24"/>
        </w:rPr>
        <w:t xml:space="preserve">as </w:t>
      </w:r>
      <w:r w:rsidR="00BB2E8F" w:rsidRPr="005927F3">
        <w:rPr>
          <w:rFonts w:cstheme="minorHAnsi"/>
          <w:sz w:val="24"/>
          <w:szCs w:val="24"/>
        </w:rPr>
        <w:t>one</w:t>
      </w:r>
      <w:r w:rsidR="001D5410" w:rsidRPr="005927F3">
        <w:rPr>
          <w:rFonts w:cstheme="minorHAnsi"/>
          <w:sz w:val="24"/>
          <w:szCs w:val="24"/>
        </w:rPr>
        <w:t xml:space="preserve"> available</w:t>
      </w:r>
      <w:r w:rsidR="002A4C21" w:rsidRPr="005927F3">
        <w:rPr>
          <w:rFonts w:cstheme="minorHAnsi"/>
          <w:sz w:val="24"/>
          <w:szCs w:val="24"/>
        </w:rPr>
        <w:t xml:space="preserve"> route to such entitlement</w:t>
      </w:r>
      <w:r w:rsidR="00AC58E7" w:rsidRPr="005927F3">
        <w:rPr>
          <w:rFonts w:cstheme="minorHAnsi"/>
          <w:sz w:val="24"/>
          <w:szCs w:val="24"/>
        </w:rPr>
        <w:t>.</w:t>
      </w:r>
      <w:r w:rsidR="003F6FD8" w:rsidRPr="005927F3">
        <w:rPr>
          <w:rStyle w:val="FootnoteReference"/>
          <w:rFonts w:cstheme="minorHAnsi"/>
          <w:sz w:val="24"/>
          <w:szCs w:val="24"/>
        </w:rPr>
        <w:footnoteReference w:id="150"/>
      </w:r>
      <w:r w:rsidR="00012B1B" w:rsidRPr="005927F3">
        <w:rPr>
          <w:rFonts w:cstheme="minorHAnsi"/>
          <w:sz w:val="24"/>
          <w:szCs w:val="24"/>
        </w:rPr>
        <w:t xml:space="preserve"> </w:t>
      </w:r>
      <w:r w:rsidR="00BB0A53" w:rsidRPr="005927F3">
        <w:rPr>
          <w:rFonts w:cstheme="minorHAnsi"/>
          <w:sz w:val="24"/>
          <w:szCs w:val="24"/>
        </w:rPr>
        <w:t>It</w:t>
      </w:r>
      <w:r w:rsidR="00AC58E7" w:rsidRPr="005927F3">
        <w:rPr>
          <w:rFonts w:cstheme="minorHAnsi"/>
          <w:sz w:val="24"/>
          <w:szCs w:val="24"/>
        </w:rPr>
        <w:t xml:space="preserve"> has its</w:t>
      </w:r>
      <w:r w:rsidR="00012B1B" w:rsidRPr="005927F3">
        <w:rPr>
          <w:rFonts w:cstheme="minorHAnsi"/>
          <w:sz w:val="24"/>
          <w:szCs w:val="24"/>
        </w:rPr>
        <w:t xml:space="preserve"> </w:t>
      </w:r>
      <w:r w:rsidR="00C52F64" w:rsidRPr="005927F3">
        <w:rPr>
          <w:rFonts w:cstheme="minorHAnsi"/>
          <w:sz w:val="24"/>
          <w:szCs w:val="24"/>
        </w:rPr>
        <w:t>origin</w:t>
      </w:r>
      <w:r w:rsidR="00012B1B" w:rsidRPr="005927F3">
        <w:rPr>
          <w:rFonts w:cstheme="minorHAnsi"/>
          <w:sz w:val="24"/>
          <w:szCs w:val="24"/>
        </w:rPr>
        <w:t xml:space="preserve">s </w:t>
      </w:r>
      <w:r w:rsidR="00C52F64" w:rsidRPr="005927F3">
        <w:rPr>
          <w:rFonts w:cstheme="minorHAnsi"/>
          <w:sz w:val="24"/>
          <w:szCs w:val="24"/>
        </w:rPr>
        <w:t xml:space="preserve">in </w:t>
      </w:r>
      <w:r w:rsidR="001D5410" w:rsidRPr="005927F3">
        <w:rPr>
          <w:rFonts w:cstheme="minorHAnsi"/>
          <w:sz w:val="24"/>
          <w:szCs w:val="24"/>
        </w:rPr>
        <w:t>the US</w:t>
      </w:r>
      <w:r w:rsidR="00012B1B" w:rsidRPr="005927F3">
        <w:rPr>
          <w:rFonts w:cstheme="minorHAnsi"/>
          <w:sz w:val="24"/>
          <w:szCs w:val="24"/>
        </w:rPr>
        <w:t xml:space="preserve"> case</w:t>
      </w:r>
      <w:r w:rsidR="00C52F64" w:rsidRPr="005927F3">
        <w:rPr>
          <w:rFonts w:cstheme="minorHAnsi"/>
          <w:sz w:val="24"/>
          <w:szCs w:val="24"/>
        </w:rPr>
        <w:t xml:space="preserve"> </w:t>
      </w:r>
      <w:r w:rsidR="001D5410" w:rsidRPr="005927F3">
        <w:rPr>
          <w:rFonts w:cstheme="minorHAnsi"/>
          <w:sz w:val="24"/>
          <w:szCs w:val="24"/>
        </w:rPr>
        <w:t xml:space="preserve">of </w:t>
      </w:r>
      <w:r w:rsidR="00C52F64" w:rsidRPr="005927F3">
        <w:rPr>
          <w:rFonts w:eastAsia="Times New Roman" w:cstheme="minorHAnsi"/>
          <w:i/>
          <w:sz w:val="24"/>
          <w:szCs w:val="24"/>
          <w:lang w:eastAsia="en-GB"/>
        </w:rPr>
        <w:t xml:space="preserve">Katz v </w:t>
      </w:r>
      <w:r w:rsidR="00CF4F15" w:rsidRPr="005927F3">
        <w:rPr>
          <w:rFonts w:eastAsia="Times New Roman" w:cstheme="minorHAnsi"/>
          <w:i/>
          <w:sz w:val="24"/>
          <w:szCs w:val="24"/>
          <w:lang w:eastAsia="en-GB"/>
        </w:rPr>
        <w:t>US</w:t>
      </w:r>
      <w:r w:rsidR="00C52F64" w:rsidRPr="005927F3">
        <w:rPr>
          <w:rFonts w:eastAsia="Times New Roman" w:cstheme="minorHAnsi"/>
          <w:sz w:val="24"/>
          <w:szCs w:val="24"/>
          <w:lang w:eastAsia="en-GB"/>
        </w:rPr>
        <w:t xml:space="preserve"> (1967)</w:t>
      </w:r>
      <w:r w:rsidR="00852BF6" w:rsidRPr="005927F3">
        <w:rPr>
          <w:rFonts w:eastAsia="Times New Roman" w:cstheme="minorHAnsi"/>
          <w:sz w:val="24"/>
          <w:szCs w:val="24"/>
          <w:lang w:eastAsia="en-GB"/>
        </w:rPr>
        <w:t>,</w:t>
      </w:r>
      <w:r w:rsidR="00C52F64" w:rsidRPr="005927F3">
        <w:rPr>
          <w:rStyle w:val="FootnoteReference"/>
          <w:rFonts w:eastAsia="Times New Roman" w:cstheme="minorHAnsi"/>
          <w:sz w:val="24"/>
          <w:szCs w:val="24"/>
          <w:lang w:eastAsia="en-GB"/>
        </w:rPr>
        <w:footnoteReference w:id="151"/>
      </w:r>
      <w:r w:rsidR="00541240" w:rsidRPr="005927F3">
        <w:rPr>
          <w:rFonts w:eastAsia="Times New Roman" w:cstheme="minorHAnsi"/>
          <w:sz w:val="24"/>
          <w:szCs w:val="24"/>
          <w:lang w:eastAsia="en-GB"/>
        </w:rPr>
        <w:t xml:space="preserve"> </w:t>
      </w:r>
      <w:r w:rsidR="00D474A5" w:rsidRPr="005927F3">
        <w:rPr>
          <w:rFonts w:eastAsia="Times New Roman" w:cstheme="minorHAnsi"/>
          <w:sz w:val="24"/>
          <w:szCs w:val="24"/>
          <w:lang w:eastAsia="en-GB"/>
        </w:rPr>
        <w:t xml:space="preserve">and </w:t>
      </w:r>
      <w:r w:rsidR="006E7B54" w:rsidRPr="005927F3">
        <w:rPr>
          <w:rFonts w:eastAsia="Times New Roman" w:cstheme="minorHAnsi"/>
          <w:sz w:val="24"/>
          <w:szCs w:val="24"/>
          <w:lang w:eastAsia="en-GB"/>
        </w:rPr>
        <w:t xml:space="preserve">has </w:t>
      </w:r>
      <w:r w:rsidR="00DF1F2E" w:rsidRPr="005927F3">
        <w:rPr>
          <w:rFonts w:eastAsia="Times New Roman" w:cstheme="minorHAnsi"/>
          <w:sz w:val="24"/>
          <w:szCs w:val="24"/>
          <w:lang w:eastAsia="en-GB"/>
        </w:rPr>
        <w:t xml:space="preserve">subsequently </w:t>
      </w:r>
      <w:r w:rsidR="00CF4F15" w:rsidRPr="005927F3">
        <w:rPr>
          <w:rFonts w:eastAsia="Times New Roman" w:cstheme="minorHAnsi"/>
          <w:sz w:val="24"/>
          <w:szCs w:val="24"/>
          <w:lang w:eastAsia="en-GB"/>
        </w:rPr>
        <w:t xml:space="preserve">been </w:t>
      </w:r>
      <w:r w:rsidR="00D474A5" w:rsidRPr="005927F3">
        <w:rPr>
          <w:rFonts w:eastAsia="Times New Roman" w:cstheme="minorHAnsi"/>
          <w:sz w:val="24"/>
          <w:szCs w:val="24"/>
          <w:lang w:eastAsia="en-GB"/>
        </w:rPr>
        <w:t xml:space="preserve">adopted </w:t>
      </w:r>
      <w:r w:rsidR="00224ADD" w:rsidRPr="005927F3">
        <w:rPr>
          <w:rFonts w:eastAsia="Times New Roman" w:cstheme="minorHAnsi"/>
          <w:sz w:val="24"/>
          <w:szCs w:val="24"/>
          <w:lang w:eastAsia="en-GB"/>
        </w:rPr>
        <w:t xml:space="preserve">with variations in </w:t>
      </w:r>
      <w:r w:rsidR="00CF4F15" w:rsidRPr="005927F3">
        <w:rPr>
          <w:rFonts w:eastAsia="Times New Roman" w:cstheme="minorHAnsi"/>
          <w:sz w:val="24"/>
          <w:szCs w:val="24"/>
          <w:lang w:eastAsia="en-GB"/>
        </w:rPr>
        <w:t xml:space="preserve">other </w:t>
      </w:r>
      <w:r w:rsidR="00D474A5" w:rsidRPr="005927F3">
        <w:rPr>
          <w:rFonts w:eastAsia="Times New Roman" w:cstheme="minorHAnsi"/>
          <w:sz w:val="24"/>
          <w:szCs w:val="24"/>
          <w:lang w:eastAsia="en-GB"/>
        </w:rPr>
        <w:t>common law jurisdiction</w:t>
      </w:r>
      <w:r w:rsidR="00CF4F15" w:rsidRPr="005927F3">
        <w:rPr>
          <w:rFonts w:eastAsia="Times New Roman" w:cstheme="minorHAnsi"/>
          <w:sz w:val="24"/>
          <w:szCs w:val="24"/>
          <w:lang w:eastAsia="en-GB"/>
        </w:rPr>
        <w:t>s</w:t>
      </w:r>
      <w:r w:rsidR="00D474A5" w:rsidRPr="005927F3">
        <w:rPr>
          <w:rFonts w:eastAsia="Times New Roman" w:cstheme="minorHAnsi"/>
          <w:sz w:val="24"/>
          <w:szCs w:val="24"/>
          <w:lang w:eastAsia="en-GB"/>
        </w:rPr>
        <w:t>.</w:t>
      </w:r>
      <w:r w:rsidR="00D474A5" w:rsidRPr="005927F3">
        <w:rPr>
          <w:rStyle w:val="FootnoteReference"/>
          <w:rFonts w:eastAsia="Times New Roman" w:cstheme="minorHAnsi"/>
          <w:sz w:val="24"/>
          <w:szCs w:val="24"/>
          <w:lang w:eastAsia="en-GB"/>
        </w:rPr>
        <w:footnoteReference w:id="152"/>
      </w:r>
      <w:r w:rsidR="00D474A5" w:rsidRPr="005927F3">
        <w:rPr>
          <w:rFonts w:eastAsia="Times New Roman" w:cstheme="minorHAnsi"/>
          <w:sz w:val="24"/>
          <w:szCs w:val="24"/>
          <w:lang w:eastAsia="en-GB"/>
        </w:rPr>
        <w:t xml:space="preserve"> In </w:t>
      </w:r>
      <w:r w:rsidR="00D474A5" w:rsidRPr="005927F3">
        <w:rPr>
          <w:rFonts w:eastAsia="Times New Roman" w:cstheme="minorHAnsi"/>
          <w:i/>
          <w:sz w:val="24"/>
          <w:szCs w:val="24"/>
          <w:lang w:eastAsia="en-GB"/>
        </w:rPr>
        <w:t>Katz</w:t>
      </w:r>
      <w:r w:rsidR="00BB2E8F" w:rsidRPr="005927F3">
        <w:rPr>
          <w:rFonts w:eastAsia="Times New Roman" w:cstheme="minorHAnsi"/>
          <w:i/>
          <w:sz w:val="24"/>
          <w:szCs w:val="24"/>
          <w:lang w:eastAsia="en-GB"/>
        </w:rPr>
        <w:t xml:space="preserve"> </w:t>
      </w:r>
      <w:r w:rsidR="00BB2E8F" w:rsidRPr="005927F3">
        <w:rPr>
          <w:rFonts w:eastAsia="Times New Roman" w:cstheme="minorHAnsi"/>
          <w:sz w:val="24"/>
          <w:szCs w:val="24"/>
          <w:lang w:eastAsia="en-GB"/>
        </w:rPr>
        <w:t>the</w:t>
      </w:r>
      <w:r w:rsidR="005D1C6C" w:rsidRPr="005927F3">
        <w:rPr>
          <w:rFonts w:eastAsia="Times New Roman" w:cstheme="minorHAnsi"/>
          <w:sz w:val="24"/>
          <w:szCs w:val="24"/>
          <w:lang w:eastAsia="en-GB"/>
        </w:rPr>
        <w:t xml:space="preserve"> US Supreme Court </w:t>
      </w:r>
      <w:r w:rsidR="00F85AA4" w:rsidRPr="005927F3">
        <w:rPr>
          <w:rFonts w:eastAsia="Times New Roman" w:cstheme="minorHAnsi"/>
          <w:sz w:val="24"/>
          <w:szCs w:val="24"/>
          <w:lang w:eastAsia="en-GB"/>
        </w:rPr>
        <w:t>extend</w:t>
      </w:r>
      <w:r w:rsidR="00012B1B" w:rsidRPr="005927F3">
        <w:rPr>
          <w:rFonts w:eastAsia="Times New Roman" w:cstheme="minorHAnsi"/>
          <w:sz w:val="24"/>
          <w:szCs w:val="24"/>
          <w:lang w:eastAsia="en-GB"/>
        </w:rPr>
        <w:t>ed</w:t>
      </w:r>
      <w:r w:rsidR="00F85AA4" w:rsidRPr="005927F3">
        <w:rPr>
          <w:rFonts w:eastAsia="Times New Roman" w:cstheme="minorHAnsi"/>
          <w:sz w:val="24"/>
          <w:szCs w:val="24"/>
          <w:lang w:eastAsia="en-GB"/>
        </w:rPr>
        <w:t xml:space="preserve"> </w:t>
      </w:r>
      <w:r w:rsidR="006D5951" w:rsidRPr="005927F3">
        <w:rPr>
          <w:rFonts w:eastAsia="Times New Roman" w:cstheme="minorHAnsi"/>
          <w:sz w:val="24"/>
          <w:szCs w:val="24"/>
          <w:lang w:eastAsia="en-GB"/>
        </w:rPr>
        <w:t>the ambit of</w:t>
      </w:r>
      <w:r w:rsidR="00541240" w:rsidRPr="005927F3">
        <w:rPr>
          <w:rFonts w:eastAsia="Times New Roman" w:cstheme="minorHAnsi"/>
          <w:sz w:val="24"/>
          <w:szCs w:val="24"/>
          <w:lang w:eastAsia="en-GB"/>
        </w:rPr>
        <w:t xml:space="preserve"> </w:t>
      </w:r>
      <w:r w:rsidR="006D5951" w:rsidRPr="005927F3">
        <w:rPr>
          <w:rFonts w:eastAsia="Times New Roman" w:cstheme="minorHAnsi"/>
          <w:sz w:val="24"/>
          <w:szCs w:val="24"/>
          <w:lang w:eastAsia="en-GB"/>
        </w:rPr>
        <w:t>the Fourth Amendment prohibition of warrantless ‘searches and seizures’ to eavesdropping beyond the</w:t>
      </w:r>
      <w:r w:rsidR="00B52E0B" w:rsidRPr="005927F3">
        <w:rPr>
          <w:rFonts w:eastAsia="Times New Roman" w:cstheme="minorHAnsi"/>
          <w:sz w:val="24"/>
          <w:szCs w:val="24"/>
          <w:lang w:eastAsia="en-GB"/>
        </w:rPr>
        <w:t xml:space="preserve"> strict enclosures of the</w:t>
      </w:r>
      <w:r w:rsidR="006D5951" w:rsidRPr="005927F3">
        <w:rPr>
          <w:rFonts w:eastAsia="Times New Roman" w:cstheme="minorHAnsi"/>
          <w:sz w:val="24"/>
          <w:szCs w:val="24"/>
          <w:lang w:eastAsia="en-GB"/>
        </w:rPr>
        <w:t xml:space="preserve"> </w:t>
      </w:r>
      <w:r w:rsidR="00B52E0B" w:rsidRPr="005927F3">
        <w:rPr>
          <w:rFonts w:eastAsia="Times New Roman" w:cstheme="minorHAnsi"/>
          <w:sz w:val="24"/>
          <w:szCs w:val="24"/>
          <w:lang w:eastAsia="en-GB"/>
        </w:rPr>
        <w:t>home</w:t>
      </w:r>
      <w:r w:rsidR="001D5410" w:rsidRPr="005927F3">
        <w:rPr>
          <w:rFonts w:eastAsia="Times New Roman" w:cstheme="minorHAnsi"/>
          <w:sz w:val="24"/>
          <w:szCs w:val="24"/>
          <w:lang w:eastAsia="en-GB"/>
        </w:rPr>
        <w:t xml:space="preserve"> to other spaces</w:t>
      </w:r>
      <w:r w:rsidR="00456DA4" w:rsidRPr="005927F3">
        <w:rPr>
          <w:rFonts w:eastAsia="Times New Roman" w:cstheme="minorHAnsi"/>
          <w:sz w:val="24"/>
          <w:szCs w:val="24"/>
          <w:lang w:eastAsia="en-GB"/>
        </w:rPr>
        <w:t xml:space="preserve"> where one may have</w:t>
      </w:r>
      <w:r w:rsidR="001D5410" w:rsidRPr="005927F3">
        <w:rPr>
          <w:rFonts w:eastAsia="Times New Roman" w:cstheme="minorHAnsi"/>
          <w:sz w:val="24"/>
          <w:szCs w:val="24"/>
          <w:lang w:eastAsia="en-GB"/>
        </w:rPr>
        <w:t xml:space="preserve"> </w:t>
      </w:r>
      <w:r w:rsidR="00587247" w:rsidRPr="005927F3">
        <w:rPr>
          <w:rFonts w:eastAsia="Times New Roman" w:cstheme="minorHAnsi"/>
          <w:sz w:val="24"/>
          <w:szCs w:val="24"/>
          <w:lang w:eastAsia="en-GB"/>
        </w:rPr>
        <w:t>‘</w:t>
      </w:r>
      <w:r w:rsidR="001D5410" w:rsidRPr="005927F3">
        <w:rPr>
          <w:rFonts w:eastAsia="Times New Roman" w:cstheme="minorHAnsi"/>
          <w:sz w:val="24"/>
          <w:szCs w:val="24"/>
          <w:lang w:eastAsia="en-GB"/>
        </w:rPr>
        <w:t>reasonable expectation</w:t>
      </w:r>
      <w:r w:rsidR="00456DA4" w:rsidRPr="005927F3">
        <w:rPr>
          <w:rFonts w:eastAsia="Times New Roman" w:cstheme="minorHAnsi"/>
          <w:sz w:val="24"/>
          <w:szCs w:val="24"/>
          <w:lang w:eastAsia="en-GB"/>
        </w:rPr>
        <w:t>s</w:t>
      </w:r>
      <w:r w:rsidR="00587247" w:rsidRPr="005927F3">
        <w:rPr>
          <w:rFonts w:eastAsia="Times New Roman" w:cstheme="minorHAnsi"/>
          <w:sz w:val="24"/>
          <w:szCs w:val="24"/>
          <w:lang w:eastAsia="en-GB"/>
        </w:rPr>
        <w:t xml:space="preserve"> of privacy’,</w:t>
      </w:r>
      <w:r w:rsidR="001D5410" w:rsidRPr="005927F3">
        <w:rPr>
          <w:rFonts w:eastAsia="Times New Roman" w:cstheme="minorHAnsi"/>
          <w:sz w:val="24"/>
          <w:szCs w:val="24"/>
          <w:lang w:eastAsia="en-GB"/>
        </w:rPr>
        <w:t xml:space="preserve"> here </w:t>
      </w:r>
      <w:r w:rsidR="00012B1B" w:rsidRPr="005927F3">
        <w:rPr>
          <w:rFonts w:eastAsia="Times New Roman" w:cstheme="minorHAnsi"/>
          <w:sz w:val="24"/>
          <w:szCs w:val="24"/>
          <w:lang w:eastAsia="en-GB"/>
        </w:rPr>
        <w:t>a</w:t>
      </w:r>
      <w:r w:rsidR="005B1959" w:rsidRPr="005927F3">
        <w:rPr>
          <w:rFonts w:eastAsia="Times New Roman" w:cstheme="minorHAnsi"/>
          <w:sz w:val="24"/>
          <w:szCs w:val="24"/>
          <w:lang w:eastAsia="en-GB"/>
        </w:rPr>
        <w:t>n enclosed</w:t>
      </w:r>
      <w:r w:rsidR="00012B1B" w:rsidRPr="005927F3">
        <w:rPr>
          <w:rFonts w:eastAsia="Times New Roman" w:cstheme="minorHAnsi"/>
          <w:sz w:val="24"/>
          <w:szCs w:val="24"/>
          <w:lang w:eastAsia="en-GB"/>
        </w:rPr>
        <w:t xml:space="preserve"> public telephone booth</w:t>
      </w:r>
      <w:r w:rsidR="00141E3F" w:rsidRPr="005927F3">
        <w:rPr>
          <w:rFonts w:eastAsia="Times New Roman" w:cstheme="minorHAnsi"/>
          <w:sz w:val="24"/>
          <w:szCs w:val="24"/>
          <w:lang w:eastAsia="en-GB"/>
        </w:rPr>
        <w:t>.</w:t>
      </w:r>
      <w:r w:rsidR="00846B83" w:rsidRPr="005927F3">
        <w:rPr>
          <w:rFonts w:eastAsia="Times New Roman" w:cstheme="minorHAnsi"/>
          <w:sz w:val="24"/>
          <w:szCs w:val="24"/>
          <w:lang w:eastAsia="en-GB"/>
        </w:rPr>
        <w:t xml:space="preserve"> The case thus concerned a covert intrusion, rather than a disclosure.</w:t>
      </w:r>
      <w:r w:rsidR="00846B83" w:rsidRPr="005927F3">
        <w:rPr>
          <w:rStyle w:val="FootnoteReference"/>
          <w:rFonts w:eastAsia="Times New Roman" w:cstheme="minorHAnsi"/>
          <w:sz w:val="24"/>
          <w:szCs w:val="24"/>
          <w:lang w:eastAsia="en-GB"/>
        </w:rPr>
        <w:footnoteReference w:id="153"/>
      </w:r>
      <w:r w:rsidR="00846B83" w:rsidRPr="005927F3">
        <w:rPr>
          <w:rFonts w:eastAsia="Times New Roman" w:cstheme="minorHAnsi"/>
          <w:sz w:val="24"/>
          <w:szCs w:val="24"/>
          <w:lang w:eastAsia="en-GB"/>
        </w:rPr>
        <w:t xml:space="preserve"> </w:t>
      </w:r>
      <w:r w:rsidR="00141E3F" w:rsidRPr="005927F3">
        <w:rPr>
          <w:rFonts w:eastAsia="Times New Roman" w:cstheme="minorHAnsi"/>
          <w:sz w:val="24"/>
          <w:szCs w:val="24"/>
          <w:lang w:eastAsia="en-GB"/>
        </w:rPr>
        <w:t xml:space="preserve">Pursuant to </w:t>
      </w:r>
      <w:r w:rsidR="00141E3F" w:rsidRPr="005927F3">
        <w:rPr>
          <w:rFonts w:eastAsia="Times New Roman" w:cstheme="minorHAnsi"/>
          <w:i/>
          <w:sz w:val="24"/>
          <w:szCs w:val="24"/>
          <w:lang w:eastAsia="en-GB"/>
        </w:rPr>
        <w:t>Katz</w:t>
      </w:r>
      <w:r w:rsidR="00141E3F" w:rsidRPr="005927F3">
        <w:rPr>
          <w:rFonts w:eastAsia="Times New Roman" w:cstheme="minorHAnsi"/>
          <w:sz w:val="24"/>
          <w:szCs w:val="24"/>
          <w:lang w:eastAsia="en-GB"/>
        </w:rPr>
        <w:t>, the test requires ‘first that a person… [has] exhibited an actual (subjective) expectation of privacy and, second, that the expectation be one that society is prepared to recognise as reasonable’</w:t>
      </w:r>
      <w:r w:rsidR="00141E3F" w:rsidRPr="005927F3">
        <w:rPr>
          <w:rStyle w:val="FootnoteReference"/>
          <w:rFonts w:eastAsia="Times New Roman" w:cstheme="minorHAnsi"/>
          <w:sz w:val="24"/>
          <w:szCs w:val="24"/>
          <w:lang w:eastAsia="en-GB"/>
        </w:rPr>
        <w:footnoteReference w:id="154"/>
      </w:r>
      <w:r w:rsidR="00141E3F" w:rsidRPr="005927F3">
        <w:rPr>
          <w:rFonts w:eastAsia="Times New Roman" w:cstheme="minorHAnsi"/>
          <w:sz w:val="24"/>
          <w:szCs w:val="24"/>
          <w:lang w:eastAsia="en-GB"/>
        </w:rPr>
        <w:t xml:space="preserve"> </w:t>
      </w:r>
      <w:r w:rsidR="00DF0D33" w:rsidRPr="005927F3">
        <w:rPr>
          <w:rFonts w:eastAsia="Times New Roman" w:cstheme="minorHAnsi"/>
          <w:sz w:val="24"/>
          <w:szCs w:val="24"/>
          <w:lang w:eastAsia="en-GB"/>
        </w:rPr>
        <w:t xml:space="preserve"> and, as </w:t>
      </w:r>
      <w:r w:rsidR="00CF4F15" w:rsidRPr="005927F3">
        <w:rPr>
          <w:rFonts w:eastAsia="Times New Roman" w:cstheme="minorHAnsi"/>
          <w:sz w:val="24"/>
          <w:szCs w:val="24"/>
          <w:lang w:eastAsia="en-GB"/>
        </w:rPr>
        <w:t xml:space="preserve">argued </w:t>
      </w:r>
      <w:r w:rsidR="00DF0D33" w:rsidRPr="005927F3">
        <w:rPr>
          <w:rFonts w:eastAsia="Times New Roman" w:cstheme="minorHAnsi"/>
          <w:sz w:val="24"/>
          <w:szCs w:val="24"/>
          <w:lang w:eastAsia="en-GB"/>
        </w:rPr>
        <w:t xml:space="preserve">above, the latter is tied to an offensiveness standard. </w:t>
      </w:r>
    </w:p>
    <w:p w14:paraId="46D4D0A2" w14:textId="77777777" w:rsidR="00224ADD" w:rsidRPr="005927F3" w:rsidRDefault="00224ADD" w:rsidP="003C3A05">
      <w:pPr>
        <w:autoSpaceDE w:val="0"/>
        <w:autoSpaceDN w:val="0"/>
        <w:adjustRightInd w:val="0"/>
        <w:spacing w:after="0" w:line="240" w:lineRule="auto"/>
        <w:jc w:val="both"/>
        <w:rPr>
          <w:rFonts w:eastAsia="Times New Roman" w:cstheme="minorHAnsi"/>
          <w:sz w:val="24"/>
          <w:szCs w:val="24"/>
          <w:lang w:eastAsia="en-GB"/>
        </w:rPr>
      </w:pPr>
    </w:p>
    <w:p w14:paraId="4316AF40" w14:textId="4FB5382A" w:rsidR="00EA1BD9" w:rsidRPr="005927F3" w:rsidRDefault="000F32E3" w:rsidP="003C3A05">
      <w:pPr>
        <w:autoSpaceDE w:val="0"/>
        <w:autoSpaceDN w:val="0"/>
        <w:adjustRightInd w:val="0"/>
        <w:spacing w:after="0" w:line="240" w:lineRule="auto"/>
        <w:jc w:val="both"/>
        <w:rPr>
          <w:rFonts w:cstheme="minorHAnsi"/>
          <w:sz w:val="24"/>
          <w:szCs w:val="24"/>
        </w:rPr>
      </w:pPr>
      <w:r w:rsidRPr="005927F3">
        <w:rPr>
          <w:rFonts w:eastAsia="Times New Roman" w:cstheme="minorHAnsi"/>
          <w:sz w:val="24"/>
          <w:szCs w:val="24"/>
          <w:lang w:eastAsia="en-GB"/>
        </w:rPr>
        <w:t xml:space="preserve">Whilst </w:t>
      </w:r>
      <w:r w:rsidRPr="005927F3">
        <w:rPr>
          <w:rFonts w:eastAsia="Times New Roman" w:cstheme="minorHAnsi"/>
          <w:i/>
          <w:sz w:val="24"/>
          <w:szCs w:val="24"/>
          <w:lang w:eastAsia="en-GB"/>
        </w:rPr>
        <w:t>Katz</w:t>
      </w:r>
      <w:r w:rsidR="00B52E0B" w:rsidRPr="005927F3">
        <w:rPr>
          <w:rFonts w:eastAsia="Times New Roman" w:cstheme="minorHAnsi"/>
          <w:sz w:val="24"/>
          <w:szCs w:val="24"/>
          <w:lang w:eastAsia="en-GB"/>
        </w:rPr>
        <w:t xml:space="preserve"> enlarged traditional American privacy</w:t>
      </w:r>
      <w:r w:rsidR="00737658" w:rsidRPr="005927F3">
        <w:rPr>
          <w:rFonts w:eastAsia="Times New Roman" w:cstheme="minorHAnsi"/>
          <w:sz w:val="24"/>
          <w:szCs w:val="24"/>
          <w:lang w:eastAsia="en-GB"/>
        </w:rPr>
        <w:t xml:space="preserve"> beyond </w:t>
      </w:r>
      <w:r w:rsidR="00B52E0B" w:rsidRPr="005927F3">
        <w:rPr>
          <w:rFonts w:eastAsia="Times New Roman" w:cstheme="minorHAnsi"/>
          <w:sz w:val="24"/>
          <w:szCs w:val="24"/>
          <w:lang w:eastAsia="en-GB"/>
        </w:rPr>
        <w:t>the</w:t>
      </w:r>
      <w:r w:rsidR="00F85AA4" w:rsidRPr="005927F3">
        <w:rPr>
          <w:rFonts w:eastAsia="Times New Roman" w:cstheme="minorHAnsi"/>
          <w:sz w:val="24"/>
          <w:szCs w:val="24"/>
          <w:lang w:eastAsia="en-GB"/>
        </w:rPr>
        <w:t xml:space="preserve"> four walls of the</w:t>
      </w:r>
      <w:r w:rsidR="00B52E0B" w:rsidRPr="005927F3">
        <w:rPr>
          <w:rFonts w:eastAsia="Times New Roman" w:cstheme="minorHAnsi"/>
          <w:sz w:val="24"/>
          <w:szCs w:val="24"/>
          <w:lang w:eastAsia="en-GB"/>
        </w:rPr>
        <w:t xml:space="preserve"> home</w:t>
      </w:r>
      <w:r w:rsidR="00737658" w:rsidRPr="005927F3">
        <w:rPr>
          <w:rFonts w:eastAsia="Times New Roman" w:cstheme="minorHAnsi"/>
          <w:sz w:val="24"/>
          <w:szCs w:val="24"/>
          <w:lang w:eastAsia="en-GB"/>
        </w:rPr>
        <w:t xml:space="preserve">, </w:t>
      </w:r>
      <w:r w:rsidR="00BB2E8F" w:rsidRPr="005927F3">
        <w:rPr>
          <w:rFonts w:eastAsia="Times New Roman" w:cstheme="minorHAnsi"/>
          <w:sz w:val="24"/>
          <w:szCs w:val="24"/>
          <w:lang w:eastAsia="en-GB"/>
        </w:rPr>
        <w:t>it is</w:t>
      </w:r>
      <w:r w:rsidR="00A2105D" w:rsidRPr="005927F3">
        <w:rPr>
          <w:rFonts w:eastAsia="Times New Roman" w:cstheme="minorHAnsi"/>
          <w:sz w:val="24"/>
          <w:szCs w:val="24"/>
          <w:lang w:eastAsia="en-GB"/>
        </w:rPr>
        <w:t xml:space="preserve"> at odds with</w:t>
      </w:r>
      <w:r w:rsidR="00CF4F15" w:rsidRPr="005927F3">
        <w:rPr>
          <w:rFonts w:eastAsia="Times New Roman" w:cstheme="minorHAnsi"/>
          <w:sz w:val="24"/>
          <w:szCs w:val="24"/>
          <w:lang w:eastAsia="en-GB"/>
        </w:rPr>
        <w:t xml:space="preserve"> the</w:t>
      </w:r>
      <w:r w:rsidR="00F14AA2" w:rsidRPr="005927F3">
        <w:rPr>
          <w:rFonts w:eastAsia="Times New Roman" w:cstheme="minorHAnsi"/>
          <w:sz w:val="24"/>
          <w:szCs w:val="24"/>
          <w:lang w:eastAsia="en-GB"/>
        </w:rPr>
        <w:t xml:space="preserve"> </w:t>
      </w:r>
      <w:r w:rsidR="00642D58" w:rsidRPr="005927F3">
        <w:rPr>
          <w:rFonts w:eastAsia="Times New Roman" w:cstheme="minorHAnsi"/>
          <w:sz w:val="24"/>
          <w:szCs w:val="24"/>
          <w:lang w:eastAsia="en-GB"/>
        </w:rPr>
        <w:t>Continental</w:t>
      </w:r>
      <w:r w:rsidR="00D45E0F" w:rsidRPr="005927F3">
        <w:rPr>
          <w:rFonts w:eastAsia="Times New Roman" w:cstheme="minorHAnsi"/>
          <w:sz w:val="24"/>
          <w:szCs w:val="24"/>
          <w:lang w:eastAsia="en-GB"/>
        </w:rPr>
        <w:t xml:space="preserve"> European</w:t>
      </w:r>
      <w:r w:rsidR="00C52F64" w:rsidRPr="005927F3">
        <w:rPr>
          <w:rFonts w:eastAsia="Times New Roman" w:cstheme="minorHAnsi"/>
          <w:sz w:val="24"/>
          <w:szCs w:val="24"/>
          <w:lang w:eastAsia="en-GB"/>
        </w:rPr>
        <w:t xml:space="preserve"> privacy</w:t>
      </w:r>
      <w:r w:rsidR="00CF4F15" w:rsidRPr="005927F3">
        <w:rPr>
          <w:rFonts w:eastAsia="Times New Roman" w:cstheme="minorHAnsi"/>
          <w:sz w:val="24"/>
          <w:szCs w:val="24"/>
          <w:lang w:eastAsia="en-GB"/>
        </w:rPr>
        <w:t xml:space="preserve"> as instantiated in the right to be forgotten</w:t>
      </w:r>
      <w:r w:rsidR="00A2105D" w:rsidRPr="005927F3">
        <w:rPr>
          <w:rFonts w:eastAsia="Times New Roman" w:cstheme="minorHAnsi"/>
          <w:sz w:val="24"/>
          <w:szCs w:val="24"/>
          <w:lang w:eastAsia="en-GB"/>
        </w:rPr>
        <w:t>.</w:t>
      </w:r>
      <w:r w:rsidR="00B52E0B" w:rsidRPr="005927F3">
        <w:rPr>
          <w:rFonts w:eastAsia="Times New Roman" w:cstheme="minorHAnsi"/>
          <w:sz w:val="24"/>
          <w:szCs w:val="24"/>
          <w:lang w:eastAsia="en-GB"/>
        </w:rPr>
        <w:t xml:space="preserve"> </w:t>
      </w:r>
      <w:r w:rsidR="0019603E" w:rsidRPr="005927F3">
        <w:rPr>
          <w:rFonts w:eastAsia="Times New Roman" w:cstheme="minorHAnsi"/>
          <w:sz w:val="24"/>
          <w:szCs w:val="24"/>
          <w:lang w:eastAsia="en-GB"/>
        </w:rPr>
        <w:t xml:space="preserve">To </w:t>
      </w:r>
      <w:r w:rsidRPr="005927F3">
        <w:rPr>
          <w:rFonts w:eastAsia="Times New Roman" w:cstheme="minorHAnsi"/>
          <w:sz w:val="24"/>
          <w:szCs w:val="24"/>
          <w:lang w:eastAsia="en-GB"/>
        </w:rPr>
        <w:t xml:space="preserve">start with, considering that </w:t>
      </w:r>
      <w:r w:rsidR="00A2105D" w:rsidRPr="005927F3">
        <w:rPr>
          <w:rFonts w:eastAsia="Times New Roman" w:cstheme="minorHAnsi"/>
          <w:sz w:val="24"/>
          <w:szCs w:val="24"/>
          <w:lang w:eastAsia="en-GB"/>
        </w:rPr>
        <w:t>the right to be forgotten</w:t>
      </w:r>
      <w:r w:rsidRPr="005927F3">
        <w:rPr>
          <w:rFonts w:eastAsia="Times New Roman" w:cstheme="minorHAnsi"/>
          <w:sz w:val="24"/>
          <w:szCs w:val="24"/>
          <w:lang w:eastAsia="en-GB"/>
        </w:rPr>
        <w:t xml:space="preserve"> is invariably</w:t>
      </w:r>
      <w:r w:rsidR="00A2105D" w:rsidRPr="005927F3">
        <w:rPr>
          <w:rFonts w:eastAsia="Times New Roman" w:cstheme="minorHAnsi"/>
          <w:sz w:val="24"/>
          <w:szCs w:val="24"/>
          <w:lang w:eastAsia="en-GB"/>
        </w:rPr>
        <w:t xml:space="preserve"> directed </w:t>
      </w:r>
      <w:r w:rsidR="00CF4F15" w:rsidRPr="005927F3">
        <w:rPr>
          <w:rFonts w:eastAsia="Times New Roman" w:cstheme="minorHAnsi"/>
          <w:sz w:val="24"/>
          <w:szCs w:val="24"/>
          <w:lang w:eastAsia="en-GB"/>
        </w:rPr>
        <w:t>at</w:t>
      </w:r>
      <w:r w:rsidR="00A2105D" w:rsidRPr="005927F3">
        <w:rPr>
          <w:rFonts w:eastAsia="Times New Roman" w:cstheme="minorHAnsi"/>
          <w:sz w:val="24"/>
          <w:szCs w:val="24"/>
          <w:lang w:eastAsia="en-GB"/>
        </w:rPr>
        <w:t xml:space="preserve"> personal</w:t>
      </w:r>
      <w:r w:rsidR="00A2105D" w:rsidRPr="005927F3">
        <w:rPr>
          <w:rFonts w:eastAsia="Times New Roman" w:cstheme="minorHAnsi"/>
          <w:i/>
          <w:sz w:val="24"/>
          <w:szCs w:val="24"/>
          <w:lang w:eastAsia="en-GB"/>
        </w:rPr>
        <w:t xml:space="preserve"> public</w:t>
      </w:r>
      <w:r w:rsidR="00A2105D" w:rsidRPr="005927F3">
        <w:rPr>
          <w:rFonts w:eastAsia="Times New Roman" w:cstheme="minorHAnsi"/>
          <w:sz w:val="24"/>
          <w:szCs w:val="24"/>
          <w:lang w:eastAsia="en-GB"/>
        </w:rPr>
        <w:t xml:space="preserve"> information, i</w:t>
      </w:r>
      <w:r w:rsidR="00DA712D" w:rsidRPr="005927F3">
        <w:rPr>
          <w:rFonts w:eastAsia="Times New Roman" w:cstheme="minorHAnsi"/>
          <w:sz w:val="24"/>
          <w:szCs w:val="24"/>
          <w:lang w:eastAsia="en-GB"/>
        </w:rPr>
        <w:t>t would often</w:t>
      </w:r>
      <w:r w:rsidR="00A2105D" w:rsidRPr="005927F3">
        <w:rPr>
          <w:rFonts w:eastAsia="Times New Roman" w:cstheme="minorHAnsi"/>
          <w:sz w:val="24"/>
          <w:szCs w:val="24"/>
          <w:lang w:eastAsia="en-GB"/>
        </w:rPr>
        <w:t xml:space="preserve"> be difficult to satisfy </w:t>
      </w:r>
      <w:r w:rsidRPr="005927F3">
        <w:rPr>
          <w:rFonts w:eastAsia="Times New Roman" w:cstheme="minorHAnsi"/>
          <w:sz w:val="24"/>
          <w:szCs w:val="24"/>
          <w:lang w:eastAsia="en-GB"/>
        </w:rPr>
        <w:t xml:space="preserve">that there was </w:t>
      </w:r>
      <w:r w:rsidR="00DF0D33" w:rsidRPr="005927F3">
        <w:rPr>
          <w:rFonts w:eastAsia="Times New Roman" w:cstheme="minorHAnsi"/>
          <w:sz w:val="24"/>
          <w:szCs w:val="24"/>
          <w:lang w:eastAsia="en-GB"/>
        </w:rPr>
        <w:t xml:space="preserve">an actual or </w:t>
      </w:r>
      <w:r w:rsidR="00A32BF0" w:rsidRPr="005927F3">
        <w:rPr>
          <w:rFonts w:eastAsia="Times New Roman" w:cstheme="minorHAnsi"/>
          <w:sz w:val="24"/>
          <w:szCs w:val="24"/>
          <w:lang w:eastAsia="en-GB"/>
        </w:rPr>
        <w:t xml:space="preserve">legitimate </w:t>
      </w:r>
      <w:r w:rsidR="00AF2AE3" w:rsidRPr="005927F3">
        <w:rPr>
          <w:rFonts w:eastAsia="Times New Roman" w:cstheme="minorHAnsi"/>
          <w:sz w:val="24"/>
          <w:szCs w:val="24"/>
          <w:lang w:eastAsia="en-GB"/>
        </w:rPr>
        <w:t>expectation of privacy</w:t>
      </w:r>
      <w:r w:rsidR="00224ADD" w:rsidRPr="005927F3">
        <w:rPr>
          <w:rFonts w:eastAsia="Times New Roman" w:cstheme="minorHAnsi"/>
          <w:sz w:val="24"/>
          <w:szCs w:val="24"/>
          <w:lang w:eastAsia="en-GB"/>
        </w:rPr>
        <w:t>,</w:t>
      </w:r>
      <w:r w:rsidR="00DF0D33" w:rsidRPr="005927F3">
        <w:rPr>
          <w:rFonts w:eastAsia="Times New Roman" w:cstheme="minorHAnsi"/>
          <w:sz w:val="24"/>
          <w:szCs w:val="24"/>
          <w:lang w:eastAsia="en-GB"/>
        </w:rPr>
        <w:t xml:space="preserve"> </w:t>
      </w:r>
      <w:r w:rsidR="00846B83" w:rsidRPr="005927F3">
        <w:rPr>
          <w:rFonts w:eastAsia="Times New Roman" w:cstheme="minorHAnsi"/>
          <w:sz w:val="24"/>
          <w:szCs w:val="24"/>
          <w:lang w:eastAsia="en-GB"/>
        </w:rPr>
        <w:t xml:space="preserve">particularly </w:t>
      </w:r>
      <w:r w:rsidR="00143B13" w:rsidRPr="005927F3">
        <w:rPr>
          <w:rFonts w:eastAsia="Times New Roman" w:cstheme="minorHAnsi"/>
          <w:i/>
          <w:sz w:val="24"/>
          <w:szCs w:val="24"/>
          <w:lang w:eastAsia="en-GB"/>
        </w:rPr>
        <w:t>if</w:t>
      </w:r>
      <w:r w:rsidR="00B232DB" w:rsidRPr="005927F3">
        <w:rPr>
          <w:rFonts w:eastAsia="Times New Roman" w:cstheme="minorHAnsi"/>
          <w:i/>
          <w:sz w:val="24"/>
          <w:szCs w:val="24"/>
          <w:lang w:eastAsia="en-GB"/>
        </w:rPr>
        <w:t xml:space="preserve"> </w:t>
      </w:r>
      <w:r w:rsidR="006E7B54" w:rsidRPr="005927F3">
        <w:rPr>
          <w:rFonts w:eastAsia="Times New Roman" w:cstheme="minorHAnsi"/>
          <w:i/>
          <w:sz w:val="24"/>
          <w:szCs w:val="24"/>
          <w:lang w:eastAsia="en-GB"/>
        </w:rPr>
        <w:t>–</w:t>
      </w:r>
      <w:r w:rsidR="00143B13" w:rsidRPr="005927F3">
        <w:rPr>
          <w:rFonts w:eastAsia="Times New Roman" w:cstheme="minorHAnsi"/>
          <w:sz w:val="24"/>
          <w:szCs w:val="24"/>
          <w:lang w:eastAsia="en-GB"/>
        </w:rPr>
        <w:t xml:space="preserve"> </w:t>
      </w:r>
      <w:r w:rsidR="00B232DB" w:rsidRPr="005927F3">
        <w:rPr>
          <w:rFonts w:eastAsia="Times New Roman" w:cstheme="minorHAnsi"/>
          <w:sz w:val="24"/>
          <w:szCs w:val="24"/>
          <w:lang w:eastAsia="en-GB"/>
        </w:rPr>
        <w:t xml:space="preserve">as has been the case </w:t>
      </w:r>
      <w:r w:rsidR="00846B83" w:rsidRPr="005927F3">
        <w:rPr>
          <w:rFonts w:eastAsia="Times New Roman" w:cstheme="minorHAnsi"/>
          <w:sz w:val="24"/>
          <w:szCs w:val="24"/>
          <w:lang w:eastAsia="en-GB"/>
        </w:rPr>
        <w:t>–</w:t>
      </w:r>
      <w:r w:rsidR="00B232DB" w:rsidRPr="005927F3">
        <w:rPr>
          <w:rFonts w:eastAsia="Times New Roman" w:cstheme="minorHAnsi"/>
          <w:sz w:val="24"/>
          <w:szCs w:val="24"/>
          <w:lang w:eastAsia="en-GB"/>
        </w:rPr>
        <w:t xml:space="preserve"> </w:t>
      </w:r>
      <w:r w:rsidR="00FC6FC8" w:rsidRPr="005927F3">
        <w:rPr>
          <w:rFonts w:eastAsia="Times New Roman" w:cstheme="minorHAnsi"/>
          <w:sz w:val="24"/>
          <w:szCs w:val="24"/>
          <w:lang w:eastAsia="en-GB"/>
        </w:rPr>
        <w:t>the test</w:t>
      </w:r>
      <w:r w:rsidR="00846B83" w:rsidRPr="005927F3">
        <w:rPr>
          <w:rFonts w:eastAsia="Times New Roman" w:cstheme="minorHAnsi"/>
          <w:sz w:val="24"/>
          <w:szCs w:val="24"/>
          <w:lang w:eastAsia="en-GB"/>
        </w:rPr>
        <w:t xml:space="preserve"> is </w:t>
      </w:r>
      <w:r w:rsidR="00FC6FC8" w:rsidRPr="005927F3">
        <w:rPr>
          <w:rFonts w:eastAsia="Times New Roman" w:cstheme="minorHAnsi"/>
          <w:sz w:val="24"/>
          <w:szCs w:val="24"/>
          <w:lang w:eastAsia="en-GB"/>
        </w:rPr>
        <w:t xml:space="preserve">also </w:t>
      </w:r>
      <w:r w:rsidR="00846B83" w:rsidRPr="005927F3">
        <w:rPr>
          <w:rFonts w:eastAsia="Times New Roman" w:cstheme="minorHAnsi"/>
          <w:sz w:val="24"/>
          <w:szCs w:val="24"/>
          <w:lang w:eastAsia="en-GB"/>
        </w:rPr>
        <w:t>conditional upon proof of</w:t>
      </w:r>
      <w:r w:rsidR="00224ADD" w:rsidRPr="005927F3">
        <w:rPr>
          <w:rFonts w:eastAsia="Times New Roman" w:cstheme="minorHAnsi"/>
          <w:sz w:val="24"/>
          <w:szCs w:val="24"/>
          <w:lang w:eastAsia="en-GB"/>
        </w:rPr>
        <w:t xml:space="preserve"> the</w:t>
      </w:r>
      <w:r w:rsidR="00846B83" w:rsidRPr="005927F3">
        <w:rPr>
          <w:rFonts w:eastAsia="Times New Roman" w:cstheme="minorHAnsi"/>
          <w:sz w:val="24"/>
          <w:szCs w:val="24"/>
          <w:lang w:eastAsia="en-GB"/>
        </w:rPr>
        <w:t xml:space="preserve"> </w:t>
      </w:r>
      <w:r w:rsidR="001E5F97" w:rsidRPr="005927F3">
        <w:rPr>
          <w:rFonts w:eastAsia="Times New Roman" w:cstheme="minorHAnsi"/>
          <w:sz w:val="24"/>
          <w:szCs w:val="24"/>
          <w:lang w:eastAsia="en-GB"/>
        </w:rPr>
        <w:t>‘private’</w:t>
      </w:r>
      <w:r w:rsidR="00224ADD" w:rsidRPr="005927F3">
        <w:rPr>
          <w:rFonts w:eastAsia="Times New Roman" w:cstheme="minorHAnsi"/>
          <w:sz w:val="24"/>
          <w:szCs w:val="24"/>
          <w:lang w:eastAsia="en-GB"/>
        </w:rPr>
        <w:t xml:space="preserve"> </w:t>
      </w:r>
      <w:r w:rsidR="00CF4F15" w:rsidRPr="005927F3">
        <w:rPr>
          <w:rFonts w:eastAsia="Times New Roman" w:cstheme="minorHAnsi"/>
          <w:sz w:val="24"/>
          <w:szCs w:val="24"/>
          <w:lang w:eastAsia="en-GB"/>
        </w:rPr>
        <w:t xml:space="preserve">or confidential </w:t>
      </w:r>
      <w:r w:rsidR="00224ADD" w:rsidRPr="005927F3">
        <w:rPr>
          <w:rFonts w:eastAsia="Times New Roman" w:cstheme="minorHAnsi"/>
          <w:sz w:val="24"/>
          <w:szCs w:val="24"/>
          <w:lang w:eastAsia="en-GB"/>
        </w:rPr>
        <w:t>nature of the information</w:t>
      </w:r>
      <w:r w:rsidR="00143B13" w:rsidRPr="005927F3">
        <w:rPr>
          <w:rFonts w:eastAsia="Times New Roman" w:cstheme="minorHAnsi"/>
          <w:sz w:val="24"/>
          <w:szCs w:val="24"/>
          <w:lang w:eastAsia="en-GB"/>
        </w:rPr>
        <w:t>.</w:t>
      </w:r>
      <w:r w:rsidR="00FF31EC" w:rsidRPr="005927F3">
        <w:rPr>
          <w:rStyle w:val="FootnoteReference"/>
          <w:rFonts w:eastAsia="Times New Roman" w:cstheme="minorHAnsi"/>
          <w:sz w:val="24"/>
          <w:szCs w:val="24"/>
          <w:lang w:eastAsia="en-GB"/>
        </w:rPr>
        <w:footnoteReference w:id="155"/>
      </w:r>
      <w:r w:rsidR="0019603E" w:rsidRPr="005927F3">
        <w:rPr>
          <w:rFonts w:eastAsia="Times New Roman" w:cstheme="minorHAnsi"/>
          <w:sz w:val="24"/>
          <w:szCs w:val="24"/>
          <w:lang w:eastAsia="en-GB"/>
        </w:rPr>
        <w:t xml:space="preserve"> </w:t>
      </w:r>
      <w:r w:rsidR="00A32BF0" w:rsidRPr="005927F3">
        <w:rPr>
          <w:rFonts w:eastAsia="Times New Roman" w:cstheme="minorHAnsi"/>
          <w:sz w:val="24"/>
          <w:szCs w:val="24"/>
          <w:lang w:eastAsia="en-GB"/>
        </w:rPr>
        <w:t xml:space="preserve">In </w:t>
      </w:r>
      <w:r w:rsidR="00A32BF0" w:rsidRPr="005927F3">
        <w:rPr>
          <w:rStyle w:val="Emphasis"/>
          <w:rFonts w:cstheme="minorHAnsi"/>
          <w:sz w:val="24"/>
          <w:szCs w:val="24"/>
        </w:rPr>
        <w:t>ML &amp; WW</w:t>
      </w:r>
      <w:r w:rsidR="00A32BF0" w:rsidRPr="005927F3">
        <w:rPr>
          <w:rStyle w:val="Emphasis"/>
          <w:rFonts w:cstheme="minorHAnsi"/>
          <w:i w:val="0"/>
          <w:sz w:val="24"/>
          <w:szCs w:val="24"/>
        </w:rPr>
        <w:t xml:space="preserve"> the ECtHR found the initiatives taken by the claimants to prove their innocence through reopening</w:t>
      </w:r>
      <w:r w:rsidR="00AC58E7" w:rsidRPr="005927F3">
        <w:rPr>
          <w:rStyle w:val="Emphasis"/>
          <w:rFonts w:cstheme="minorHAnsi"/>
          <w:i w:val="0"/>
          <w:sz w:val="24"/>
          <w:szCs w:val="24"/>
        </w:rPr>
        <w:t xml:space="preserve"> the proceeding</w:t>
      </w:r>
      <w:r w:rsidR="009F3276" w:rsidRPr="005927F3">
        <w:rPr>
          <w:rStyle w:val="Emphasis"/>
          <w:rFonts w:cstheme="minorHAnsi"/>
          <w:i w:val="0"/>
          <w:sz w:val="24"/>
          <w:szCs w:val="24"/>
        </w:rPr>
        <w:t>s</w:t>
      </w:r>
      <w:r w:rsidR="00A32BF0" w:rsidRPr="005927F3">
        <w:rPr>
          <w:rStyle w:val="Emphasis"/>
          <w:rFonts w:cstheme="minorHAnsi"/>
          <w:i w:val="0"/>
          <w:sz w:val="24"/>
          <w:szCs w:val="24"/>
        </w:rPr>
        <w:t xml:space="preserve"> </w:t>
      </w:r>
      <w:r w:rsidR="009F3276" w:rsidRPr="005927F3">
        <w:rPr>
          <w:rStyle w:val="Emphasis"/>
          <w:rFonts w:cstheme="minorHAnsi"/>
          <w:i w:val="0"/>
          <w:sz w:val="24"/>
          <w:szCs w:val="24"/>
        </w:rPr>
        <w:t xml:space="preserve">and </w:t>
      </w:r>
      <w:r w:rsidR="006E7B54" w:rsidRPr="005927F3">
        <w:rPr>
          <w:rStyle w:val="Emphasis"/>
          <w:rFonts w:cstheme="minorHAnsi"/>
          <w:i w:val="0"/>
          <w:sz w:val="24"/>
          <w:szCs w:val="24"/>
        </w:rPr>
        <w:t xml:space="preserve">to </w:t>
      </w:r>
      <w:r w:rsidR="009F3276" w:rsidRPr="005927F3">
        <w:rPr>
          <w:rStyle w:val="Emphasis"/>
          <w:rFonts w:cstheme="minorHAnsi"/>
          <w:i w:val="0"/>
          <w:sz w:val="24"/>
          <w:szCs w:val="24"/>
        </w:rPr>
        <w:t>enlist</w:t>
      </w:r>
      <w:r w:rsidR="00A32BF0" w:rsidRPr="005927F3">
        <w:rPr>
          <w:rStyle w:val="Emphasis"/>
          <w:rFonts w:cstheme="minorHAnsi"/>
          <w:i w:val="0"/>
          <w:sz w:val="24"/>
          <w:szCs w:val="24"/>
        </w:rPr>
        <w:t xml:space="preserve"> the support of the press </w:t>
      </w:r>
      <w:r w:rsidR="005C0984" w:rsidRPr="005927F3">
        <w:rPr>
          <w:rStyle w:val="Emphasis"/>
          <w:rFonts w:cstheme="minorHAnsi"/>
          <w:i w:val="0"/>
          <w:sz w:val="24"/>
          <w:szCs w:val="24"/>
        </w:rPr>
        <w:t>for that purpose</w:t>
      </w:r>
      <w:r w:rsidR="00A32BF0" w:rsidRPr="005927F3">
        <w:rPr>
          <w:rStyle w:val="Emphasis"/>
          <w:rFonts w:cstheme="minorHAnsi"/>
          <w:i w:val="0"/>
          <w:sz w:val="24"/>
          <w:szCs w:val="24"/>
        </w:rPr>
        <w:t xml:space="preserve"> meant that they ‘had only a limited legitimate expectation… of </w:t>
      </w:r>
      <w:r w:rsidR="00A32BF0" w:rsidRPr="005927F3">
        <w:rPr>
          <w:rFonts w:cstheme="minorHAnsi"/>
          <w:sz w:val="24"/>
          <w:szCs w:val="24"/>
        </w:rPr>
        <w:t>obtaining anonymity in the reports or even a right to be forgotten online.’</w:t>
      </w:r>
      <w:r w:rsidR="00A32BF0" w:rsidRPr="005927F3">
        <w:rPr>
          <w:rStyle w:val="FootnoteReference"/>
          <w:rFonts w:cstheme="minorHAnsi"/>
          <w:sz w:val="24"/>
          <w:szCs w:val="24"/>
        </w:rPr>
        <w:footnoteReference w:id="156"/>
      </w:r>
      <w:r w:rsidR="00AC58E7" w:rsidRPr="005927F3">
        <w:rPr>
          <w:rFonts w:cstheme="minorHAnsi"/>
          <w:sz w:val="24"/>
          <w:szCs w:val="24"/>
        </w:rPr>
        <w:t xml:space="preserve"> </w:t>
      </w:r>
      <w:r w:rsidR="009F3276" w:rsidRPr="005927F3">
        <w:rPr>
          <w:rFonts w:cstheme="minorHAnsi"/>
          <w:sz w:val="24"/>
          <w:szCs w:val="24"/>
        </w:rPr>
        <w:t xml:space="preserve">Similarly, for </w:t>
      </w:r>
      <w:proofErr w:type="spellStart"/>
      <w:r w:rsidR="009F3276" w:rsidRPr="005927F3">
        <w:rPr>
          <w:rFonts w:cstheme="minorHAnsi"/>
          <w:sz w:val="24"/>
          <w:szCs w:val="24"/>
        </w:rPr>
        <w:t>Warby</w:t>
      </w:r>
      <w:proofErr w:type="spellEnd"/>
      <w:r w:rsidR="009F3276" w:rsidRPr="005927F3">
        <w:rPr>
          <w:rFonts w:cstheme="minorHAnsi"/>
          <w:sz w:val="24"/>
          <w:szCs w:val="24"/>
        </w:rPr>
        <w:t xml:space="preserve"> J N</w:t>
      </w:r>
      <w:r w:rsidR="006E7B54" w:rsidRPr="005927F3">
        <w:rPr>
          <w:rFonts w:cstheme="minorHAnsi"/>
          <w:sz w:val="24"/>
          <w:szCs w:val="24"/>
        </w:rPr>
        <w:t>T</w:t>
      </w:r>
      <w:r w:rsidR="009F3276" w:rsidRPr="005927F3">
        <w:rPr>
          <w:rFonts w:cstheme="minorHAnsi"/>
          <w:sz w:val="24"/>
          <w:szCs w:val="24"/>
        </w:rPr>
        <w:t xml:space="preserve">1’s </w:t>
      </w:r>
      <w:r w:rsidR="005D38E7" w:rsidRPr="005927F3">
        <w:rPr>
          <w:rFonts w:cstheme="minorHAnsi"/>
          <w:sz w:val="24"/>
          <w:szCs w:val="24"/>
        </w:rPr>
        <w:t>engagement of</w:t>
      </w:r>
      <w:r w:rsidR="009F3276" w:rsidRPr="005927F3">
        <w:rPr>
          <w:rFonts w:cstheme="minorHAnsi"/>
          <w:sz w:val="24"/>
          <w:szCs w:val="24"/>
        </w:rPr>
        <w:t xml:space="preserve"> a reputation management business two months after his conviction became spent</w:t>
      </w:r>
      <w:r w:rsidR="009F3276" w:rsidRPr="005927F3">
        <w:rPr>
          <w:rStyle w:val="FootnoteReference"/>
          <w:rFonts w:cstheme="minorHAnsi"/>
          <w:sz w:val="24"/>
          <w:szCs w:val="24"/>
        </w:rPr>
        <w:footnoteReference w:id="157"/>
      </w:r>
      <w:r w:rsidR="009F3276" w:rsidRPr="005927F3">
        <w:rPr>
          <w:rFonts w:cstheme="minorHAnsi"/>
          <w:sz w:val="24"/>
          <w:szCs w:val="24"/>
        </w:rPr>
        <w:t xml:space="preserve"> </w:t>
      </w:r>
      <w:r w:rsidR="000F165D" w:rsidRPr="005927F3">
        <w:rPr>
          <w:rFonts w:cstheme="minorHAnsi"/>
          <w:sz w:val="24"/>
          <w:szCs w:val="24"/>
        </w:rPr>
        <w:t xml:space="preserve">in order </w:t>
      </w:r>
      <w:r w:rsidR="009F3276" w:rsidRPr="005927F3">
        <w:rPr>
          <w:rFonts w:cstheme="minorHAnsi"/>
          <w:sz w:val="24"/>
          <w:szCs w:val="24"/>
        </w:rPr>
        <w:t>to ‘put forward such clear and gross misrepresentations of his business history and his actual or reputed integrity’</w:t>
      </w:r>
      <w:r w:rsidR="009F3276" w:rsidRPr="005927F3">
        <w:rPr>
          <w:rStyle w:val="FootnoteReference"/>
          <w:rFonts w:cstheme="minorHAnsi"/>
          <w:sz w:val="24"/>
          <w:szCs w:val="24"/>
        </w:rPr>
        <w:footnoteReference w:id="158"/>
      </w:r>
      <w:r w:rsidR="009F3276" w:rsidRPr="005927F3">
        <w:rPr>
          <w:rFonts w:cstheme="minorHAnsi"/>
          <w:sz w:val="24"/>
          <w:szCs w:val="24"/>
        </w:rPr>
        <w:t xml:space="preserve"> was one of the reasons why </w:t>
      </w:r>
      <w:r w:rsidR="005D38E7" w:rsidRPr="005927F3">
        <w:rPr>
          <w:rFonts w:cstheme="minorHAnsi"/>
          <w:sz w:val="24"/>
          <w:szCs w:val="24"/>
        </w:rPr>
        <w:t xml:space="preserve">he </w:t>
      </w:r>
      <w:r w:rsidR="00DF0D33" w:rsidRPr="005927F3">
        <w:rPr>
          <w:rFonts w:cstheme="minorHAnsi"/>
          <w:sz w:val="24"/>
          <w:szCs w:val="24"/>
        </w:rPr>
        <w:t xml:space="preserve">could </w:t>
      </w:r>
      <w:r w:rsidR="000F165D" w:rsidRPr="005927F3">
        <w:rPr>
          <w:rFonts w:cstheme="minorHAnsi"/>
          <w:sz w:val="24"/>
          <w:szCs w:val="24"/>
        </w:rPr>
        <w:t xml:space="preserve">not possibly </w:t>
      </w:r>
      <w:r w:rsidR="00CF4F15" w:rsidRPr="005927F3">
        <w:rPr>
          <w:rFonts w:cstheme="minorHAnsi"/>
          <w:sz w:val="24"/>
          <w:szCs w:val="24"/>
        </w:rPr>
        <w:t>entertain a</w:t>
      </w:r>
      <w:r w:rsidR="009F3276" w:rsidRPr="005927F3">
        <w:rPr>
          <w:rFonts w:cstheme="minorHAnsi"/>
          <w:sz w:val="24"/>
          <w:szCs w:val="24"/>
        </w:rPr>
        <w:t xml:space="preserve"> legitimate expectation of </w:t>
      </w:r>
      <w:r w:rsidR="009F3276" w:rsidRPr="005927F3">
        <w:rPr>
          <w:rFonts w:cstheme="minorHAnsi"/>
          <w:sz w:val="24"/>
          <w:szCs w:val="24"/>
        </w:rPr>
        <w:lastRenderedPageBreak/>
        <w:t>privacy</w:t>
      </w:r>
      <w:r w:rsidR="005D38E7" w:rsidRPr="005927F3">
        <w:rPr>
          <w:rFonts w:cstheme="minorHAnsi"/>
          <w:sz w:val="24"/>
          <w:szCs w:val="24"/>
        </w:rPr>
        <w:t xml:space="preserve">. </w:t>
      </w:r>
      <w:r w:rsidR="00143B13" w:rsidRPr="005927F3">
        <w:rPr>
          <w:rFonts w:cstheme="minorHAnsi"/>
          <w:sz w:val="24"/>
          <w:szCs w:val="24"/>
        </w:rPr>
        <w:t xml:space="preserve">American privacy encourages self-help </w:t>
      </w:r>
      <w:r w:rsidR="005D38E7" w:rsidRPr="005927F3">
        <w:rPr>
          <w:rFonts w:cstheme="minorHAnsi"/>
          <w:sz w:val="24"/>
          <w:szCs w:val="24"/>
        </w:rPr>
        <w:t>as a mean</w:t>
      </w:r>
      <w:r w:rsidR="006E7B54" w:rsidRPr="005927F3">
        <w:rPr>
          <w:rFonts w:cstheme="minorHAnsi"/>
          <w:sz w:val="24"/>
          <w:szCs w:val="24"/>
        </w:rPr>
        <w:t>s</w:t>
      </w:r>
      <w:r w:rsidR="005D38E7" w:rsidRPr="005927F3">
        <w:rPr>
          <w:rFonts w:cstheme="minorHAnsi"/>
          <w:sz w:val="24"/>
          <w:szCs w:val="24"/>
        </w:rPr>
        <w:t xml:space="preserve"> for rehabilitation, </w:t>
      </w:r>
      <w:r w:rsidR="00143B13" w:rsidRPr="005927F3">
        <w:rPr>
          <w:rFonts w:cstheme="minorHAnsi"/>
          <w:sz w:val="24"/>
          <w:szCs w:val="24"/>
        </w:rPr>
        <w:t xml:space="preserve">Continental European privacy gives legal remedies for </w:t>
      </w:r>
      <w:r w:rsidR="00221A4E" w:rsidRPr="005927F3">
        <w:rPr>
          <w:rFonts w:cstheme="minorHAnsi"/>
          <w:sz w:val="24"/>
          <w:szCs w:val="24"/>
        </w:rPr>
        <w:t>that</w:t>
      </w:r>
      <w:r w:rsidR="00143B13" w:rsidRPr="005927F3">
        <w:rPr>
          <w:rFonts w:cstheme="minorHAnsi"/>
          <w:sz w:val="24"/>
          <w:szCs w:val="24"/>
        </w:rPr>
        <w:t xml:space="preserve"> purpose</w:t>
      </w:r>
      <w:r w:rsidR="000F165D" w:rsidRPr="005927F3">
        <w:rPr>
          <w:rFonts w:cstheme="minorHAnsi"/>
          <w:sz w:val="24"/>
          <w:szCs w:val="24"/>
        </w:rPr>
        <w:t xml:space="preserve">. </w:t>
      </w:r>
      <w:r w:rsidR="00CF4F15" w:rsidRPr="005927F3">
        <w:rPr>
          <w:rFonts w:cstheme="minorHAnsi"/>
          <w:sz w:val="24"/>
          <w:szCs w:val="24"/>
        </w:rPr>
        <w:t xml:space="preserve">Yet, </w:t>
      </w:r>
      <w:r w:rsidR="00143B13" w:rsidRPr="005927F3">
        <w:rPr>
          <w:rFonts w:cstheme="minorHAnsi"/>
          <w:sz w:val="24"/>
          <w:szCs w:val="24"/>
        </w:rPr>
        <w:t>Art 8</w:t>
      </w:r>
      <w:r w:rsidR="005D38E7" w:rsidRPr="005927F3">
        <w:rPr>
          <w:rFonts w:cstheme="minorHAnsi"/>
          <w:sz w:val="24"/>
          <w:szCs w:val="24"/>
        </w:rPr>
        <w:t xml:space="preserve"> falls between the two chairs as </w:t>
      </w:r>
      <w:r w:rsidR="00143B13" w:rsidRPr="005927F3">
        <w:rPr>
          <w:rFonts w:cstheme="minorHAnsi"/>
          <w:sz w:val="24"/>
          <w:szCs w:val="24"/>
        </w:rPr>
        <w:t xml:space="preserve">claimants risk foregoing </w:t>
      </w:r>
      <w:r w:rsidR="005D38E7" w:rsidRPr="005927F3">
        <w:rPr>
          <w:rFonts w:cstheme="minorHAnsi"/>
          <w:sz w:val="24"/>
          <w:szCs w:val="24"/>
        </w:rPr>
        <w:t>a legal remedy</w:t>
      </w:r>
      <w:r w:rsidR="00143B13" w:rsidRPr="005927F3">
        <w:rPr>
          <w:rFonts w:cstheme="minorHAnsi"/>
          <w:sz w:val="24"/>
          <w:szCs w:val="24"/>
        </w:rPr>
        <w:t xml:space="preserve"> should </w:t>
      </w:r>
      <w:r w:rsidR="005D38E7" w:rsidRPr="005927F3">
        <w:rPr>
          <w:rFonts w:cstheme="minorHAnsi"/>
          <w:sz w:val="24"/>
          <w:szCs w:val="24"/>
        </w:rPr>
        <w:t xml:space="preserve">they take their </w:t>
      </w:r>
      <w:r w:rsidR="00611FB8" w:rsidRPr="005927F3">
        <w:rPr>
          <w:rFonts w:cstheme="minorHAnsi"/>
          <w:sz w:val="24"/>
          <w:szCs w:val="24"/>
        </w:rPr>
        <w:t>online r</w:t>
      </w:r>
      <w:r w:rsidR="005D38E7" w:rsidRPr="005927F3">
        <w:rPr>
          <w:rFonts w:cstheme="minorHAnsi"/>
          <w:sz w:val="24"/>
          <w:szCs w:val="24"/>
        </w:rPr>
        <w:t>eputation into their own hands but are exposed to</w:t>
      </w:r>
      <w:r w:rsidR="009C7946" w:rsidRPr="005927F3">
        <w:rPr>
          <w:rFonts w:cstheme="minorHAnsi"/>
          <w:sz w:val="24"/>
          <w:szCs w:val="24"/>
        </w:rPr>
        <w:t xml:space="preserve"> a</w:t>
      </w:r>
      <w:r w:rsidR="00611FB8" w:rsidRPr="005927F3">
        <w:rPr>
          <w:rFonts w:cstheme="minorHAnsi"/>
          <w:sz w:val="24"/>
          <w:szCs w:val="24"/>
        </w:rPr>
        <w:t xml:space="preserve"> </w:t>
      </w:r>
      <w:r w:rsidR="005D38E7" w:rsidRPr="005927F3">
        <w:rPr>
          <w:rFonts w:cstheme="minorHAnsi"/>
          <w:sz w:val="24"/>
          <w:szCs w:val="24"/>
        </w:rPr>
        <w:t xml:space="preserve">jurisprudence that remains </w:t>
      </w:r>
      <w:r w:rsidR="00EA1BD9" w:rsidRPr="005927F3">
        <w:rPr>
          <w:rFonts w:cstheme="minorHAnsi"/>
          <w:sz w:val="24"/>
          <w:szCs w:val="24"/>
        </w:rPr>
        <w:t xml:space="preserve">suspicious </w:t>
      </w:r>
      <w:r w:rsidR="005D38E7" w:rsidRPr="005927F3">
        <w:rPr>
          <w:rFonts w:cstheme="minorHAnsi"/>
          <w:sz w:val="24"/>
          <w:szCs w:val="24"/>
        </w:rPr>
        <w:t>of</w:t>
      </w:r>
      <w:r w:rsidR="00EA1BD9" w:rsidRPr="005927F3">
        <w:rPr>
          <w:rFonts w:cstheme="minorHAnsi"/>
          <w:sz w:val="24"/>
          <w:szCs w:val="24"/>
        </w:rPr>
        <w:t xml:space="preserve"> the</w:t>
      </w:r>
      <w:r w:rsidR="004E30AF" w:rsidRPr="005927F3">
        <w:rPr>
          <w:rFonts w:cstheme="minorHAnsi"/>
          <w:sz w:val="24"/>
          <w:szCs w:val="24"/>
        </w:rPr>
        <w:t xml:space="preserve"> idea of</w:t>
      </w:r>
      <w:r w:rsidR="00EA1BD9" w:rsidRPr="005927F3">
        <w:rPr>
          <w:rFonts w:cstheme="minorHAnsi"/>
          <w:sz w:val="24"/>
          <w:szCs w:val="24"/>
        </w:rPr>
        <w:t xml:space="preserve"> </w:t>
      </w:r>
      <w:r w:rsidR="005D38E7" w:rsidRPr="005927F3">
        <w:rPr>
          <w:rFonts w:cstheme="minorHAnsi"/>
          <w:sz w:val="24"/>
          <w:szCs w:val="24"/>
        </w:rPr>
        <w:t>privacy</w:t>
      </w:r>
      <w:r w:rsidR="00CF15CF" w:rsidRPr="005927F3">
        <w:rPr>
          <w:rFonts w:cstheme="minorHAnsi"/>
          <w:sz w:val="24"/>
          <w:szCs w:val="24"/>
        </w:rPr>
        <w:t>-in-</w:t>
      </w:r>
      <w:r w:rsidR="00221A4E" w:rsidRPr="005927F3">
        <w:rPr>
          <w:rFonts w:cstheme="minorHAnsi"/>
          <w:sz w:val="24"/>
          <w:szCs w:val="24"/>
        </w:rPr>
        <w:t>public.</w:t>
      </w:r>
      <w:r w:rsidR="005D38E7" w:rsidRPr="005927F3">
        <w:rPr>
          <w:rStyle w:val="FootnoteReference"/>
          <w:rFonts w:cstheme="minorHAnsi"/>
          <w:sz w:val="24"/>
          <w:szCs w:val="24"/>
        </w:rPr>
        <w:footnoteReference w:id="159"/>
      </w:r>
      <w:r w:rsidR="00221A4E" w:rsidRPr="005927F3">
        <w:rPr>
          <w:rFonts w:cstheme="minorHAnsi"/>
          <w:sz w:val="24"/>
          <w:szCs w:val="24"/>
        </w:rPr>
        <w:t xml:space="preserve"> </w:t>
      </w:r>
      <w:r w:rsidR="00B01441" w:rsidRPr="005927F3">
        <w:rPr>
          <w:rFonts w:cstheme="minorHAnsi"/>
          <w:sz w:val="24"/>
          <w:szCs w:val="24"/>
        </w:rPr>
        <w:t>So f</w:t>
      </w:r>
      <w:r w:rsidR="00EA1BD9" w:rsidRPr="005927F3">
        <w:rPr>
          <w:rFonts w:cstheme="minorHAnsi"/>
          <w:sz w:val="24"/>
          <w:szCs w:val="24"/>
        </w:rPr>
        <w:t xml:space="preserve">or </w:t>
      </w:r>
      <w:proofErr w:type="spellStart"/>
      <w:r w:rsidR="00221A4E" w:rsidRPr="005927F3">
        <w:rPr>
          <w:rFonts w:cstheme="minorHAnsi"/>
          <w:sz w:val="24"/>
          <w:szCs w:val="24"/>
        </w:rPr>
        <w:t>Warby</w:t>
      </w:r>
      <w:proofErr w:type="spellEnd"/>
      <w:r w:rsidR="00EA1BD9" w:rsidRPr="005927F3">
        <w:rPr>
          <w:rFonts w:cstheme="minorHAnsi"/>
          <w:sz w:val="24"/>
          <w:szCs w:val="24"/>
        </w:rPr>
        <w:t xml:space="preserve"> J the public nature of the information remained the main stumbling block:</w:t>
      </w:r>
    </w:p>
    <w:p w14:paraId="584DF507" w14:textId="77777777" w:rsidR="005C0984" w:rsidRPr="005927F3" w:rsidRDefault="00143B13" w:rsidP="00EA1BD9">
      <w:pPr>
        <w:autoSpaceDE w:val="0"/>
        <w:autoSpaceDN w:val="0"/>
        <w:adjustRightInd w:val="0"/>
        <w:spacing w:after="0" w:line="240" w:lineRule="auto"/>
        <w:ind w:left="720"/>
        <w:jc w:val="both"/>
        <w:rPr>
          <w:rFonts w:cstheme="minorHAnsi"/>
          <w:sz w:val="24"/>
          <w:szCs w:val="24"/>
        </w:rPr>
      </w:pPr>
      <w:r w:rsidRPr="005927F3">
        <w:rPr>
          <w:rFonts w:cstheme="minorHAnsi"/>
          <w:sz w:val="24"/>
          <w:szCs w:val="24"/>
        </w:rPr>
        <w:t xml:space="preserve"> ‘It was i</w:t>
      </w:r>
      <w:r w:rsidR="005C0984" w:rsidRPr="005927F3">
        <w:rPr>
          <w:rFonts w:cstheme="minorHAnsi"/>
          <w:sz w:val="24"/>
          <w:szCs w:val="24"/>
        </w:rPr>
        <w:t xml:space="preserve">nformation about business crime, its prosecution, and its punishment. It was and is </w:t>
      </w:r>
      <w:r w:rsidR="005C0984" w:rsidRPr="005927F3">
        <w:rPr>
          <w:rFonts w:cstheme="minorHAnsi"/>
          <w:i/>
          <w:iCs/>
          <w:sz w:val="24"/>
          <w:szCs w:val="24"/>
        </w:rPr>
        <w:t>essentially public in its character</w:t>
      </w:r>
      <w:r w:rsidR="005C0984" w:rsidRPr="005927F3">
        <w:rPr>
          <w:rFonts w:cstheme="minorHAnsi"/>
          <w:sz w:val="24"/>
          <w:szCs w:val="24"/>
        </w:rPr>
        <w:t xml:space="preserve">. NT1 did not enjoy any reasonable expectation of privacy in respect of the information at the time of his prosecution, </w:t>
      </w:r>
      <w:proofErr w:type="gramStart"/>
      <w:r w:rsidR="005C0984" w:rsidRPr="005927F3">
        <w:rPr>
          <w:rFonts w:cstheme="minorHAnsi"/>
          <w:sz w:val="24"/>
          <w:szCs w:val="24"/>
        </w:rPr>
        <w:t>conviction</w:t>
      </w:r>
      <w:proofErr w:type="gramEnd"/>
      <w:r w:rsidR="005C0984" w:rsidRPr="005927F3">
        <w:rPr>
          <w:rFonts w:cstheme="minorHAnsi"/>
          <w:sz w:val="24"/>
          <w:szCs w:val="24"/>
        </w:rPr>
        <w:t xml:space="preserve"> and sentence. My conclusion is that he is not entitled to have it delisted now.</w:t>
      </w:r>
      <w:r w:rsidR="00221A4E" w:rsidRPr="005927F3">
        <w:rPr>
          <w:rFonts w:cstheme="minorHAnsi"/>
          <w:sz w:val="24"/>
          <w:szCs w:val="24"/>
        </w:rPr>
        <w:t xml:space="preserve"> It has not been shown to be inaccurate in any material way. It relates to his business life, not his personal life…</w:t>
      </w:r>
      <w:r w:rsidR="005C0984" w:rsidRPr="005927F3">
        <w:rPr>
          <w:rFonts w:cstheme="minorHAnsi"/>
          <w:sz w:val="24"/>
          <w:szCs w:val="24"/>
        </w:rPr>
        <w:t>’</w:t>
      </w:r>
      <w:r w:rsidRPr="005927F3">
        <w:rPr>
          <w:rStyle w:val="FootnoteReference"/>
          <w:rFonts w:cstheme="minorHAnsi"/>
          <w:sz w:val="24"/>
          <w:szCs w:val="24"/>
        </w:rPr>
        <w:footnoteReference w:id="160"/>
      </w:r>
    </w:p>
    <w:p w14:paraId="41BDF206" w14:textId="77777777" w:rsidR="003A323C" w:rsidRPr="005927F3" w:rsidRDefault="003A323C" w:rsidP="003C3A05">
      <w:pPr>
        <w:autoSpaceDE w:val="0"/>
        <w:autoSpaceDN w:val="0"/>
        <w:adjustRightInd w:val="0"/>
        <w:spacing w:after="0" w:line="240" w:lineRule="auto"/>
        <w:jc w:val="both"/>
        <w:rPr>
          <w:rFonts w:eastAsia="Times New Roman" w:cstheme="minorHAnsi"/>
          <w:sz w:val="24"/>
          <w:szCs w:val="24"/>
          <w:lang w:eastAsia="en-GB"/>
        </w:rPr>
      </w:pPr>
    </w:p>
    <w:p w14:paraId="2EFA99E9" w14:textId="787DA449" w:rsidR="00B01441" w:rsidRPr="005927F3" w:rsidRDefault="00197A16" w:rsidP="00836B19">
      <w:pPr>
        <w:autoSpaceDE w:val="0"/>
        <w:autoSpaceDN w:val="0"/>
        <w:adjustRightInd w:val="0"/>
        <w:spacing w:after="0" w:line="240" w:lineRule="auto"/>
        <w:jc w:val="both"/>
        <w:rPr>
          <w:rFonts w:eastAsia="Times New Roman" w:cstheme="minorHAnsi"/>
          <w:sz w:val="24"/>
          <w:szCs w:val="24"/>
          <w:lang w:eastAsia="en-GB"/>
        </w:rPr>
      </w:pPr>
      <w:r w:rsidRPr="005927F3">
        <w:rPr>
          <w:rFonts w:eastAsia="Times New Roman" w:cstheme="minorHAnsi"/>
          <w:sz w:val="24"/>
          <w:szCs w:val="24"/>
          <w:lang w:eastAsia="en-GB"/>
        </w:rPr>
        <w:t>D</w:t>
      </w:r>
      <w:r w:rsidR="005D1C6C" w:rsidRPr="005927F3">
        <w:rPr>
          <w:rFonts w:eastAsia="Times New Roman" w:cstheme="minorHAnsi"/>
          <w:sz w:val="24"/>
          <w:szCs w:val="24"/>
          <w:lang w:eastAsia="en-GB"/>
        </w:rPr>
        <w:t>ata protection</w:t>
      </w:r>
      <w:r w:rsidR="00F90AED" w:rsidRPr="005927F3">
        <w:rPr>
          <w:rFonts w:eastAsia="Times New Roman" w:cstheme="minorHAnsi"/>
          <w:sz w:val="24"/>
          <w:szCs w:val="24"/>
          <w:lang w:eastAsia="en-GB"/>
        </w:rPr>
        <w:t xml:space="preserve"> law</w:t>
      </w:r>
      <w:r w:rsidR="00BB0A53" w:rsidRPr="005927F3">
        <w:rPr>
          <w:rFonts w:eastAsia="Times New Roman" w:cstheme="minorHAnsi"/>
          <w:sz w:val="24"/>
          <w:szCs w:val="24"/>
          <w:lang w:eastAsia="en-GB"/>
        </w:rPr>
        <w:t xml:space="preserve"> does not </w:t>
      </w:r>
      <w:r w:rsidR="00CF4F15" w:rsidRPr="005927F3">
        <w:rPr>
          <w:rFonts w:eastAsia="Times New Roman" w:cstheme="minorHAnsi"/>
          <w:sz w:val="24"/>
          <w:szCs w:val="24"/>
          <w:lang w:eastAsia="en-GB"/>
        </w:rPr>
        <w:t xml:space="preserve">require a </w:t>
      </w:r>
      <w:r w:rsidR="00EA1BD9" w:rsidRPr="005927F3">
        <w:rPr>
          <w:rFonts w:eastAsia="Times New Roman" w:cstheme="minorHAnsi"/>
          <w:sz w:val="24"/>
          <w:szCs w:val="24"/>
          <w:lang w:eastAsia="en-GB"/>
        </w:rPr>
        <w:t>‘</w:t>
      </w:r>
      <w:r w:rsidR="00A2105D" w:rsidRPr="005927F3">
        <w:rPr>
          <w:rFonts w:eastAsia="Times New Roman" w:cstheme="minorHAnsi"/>
          <w:sz w:val="24"/>
          <w:szCs w:val="24"/>
          <w:lang w:eastAsia="en-GB"/>
        </w:rPr>
        <w:t>reasonable expectation to privacy</w:t>
      </w:r>
      <w:r w:rsidR="00EA1BD9" w:rsidRPr="005927F3">
        <w:rPr>
          <w:rFonts w:eastAsia="Times New Roman" w:cstheme="minorHAnsi"/>
          <w:sz w:val="24"/>
          <w:szCs w:val="24"/>
          <w:lang w:eastAsia="en-GB"/>
        </w:rPr>
        <w:t>’</w:t>
      </w:r>
      <w:r w:rsidRPr="005927F3">
        <w:rPr>
          <w:rFonts w:eastAsia="Times New Roman" w:cstheme="minorHAnsi"/>
          <w:sz w:val="24"/>
          <w:szCs w:val="24"/>
          <w:lang w:eastAsia="en-GB"/>
        </w:rPr>
        <w:t xml:space="preserve"> </w:t>
      </w:r>
      <w:r w:rsidR="00F62BBD" w:rsidRPr="005927F3">
        <w:rPr>
          <w:rFonts w:eastAsia="Times New Roman" w:cstheme="minorHAnsi"/>
          <w:sz w:val="24"/>
          <w:szCs w:val="24"/>
          <w:lang w:eastAsia="en-GB"/>
        </w:rPr>
        <w:t xml:space="preserve">as a precondition for entitlement, but creates </w:t>
      </w:r>
      <w:r w:rsidR="00CF15CF" w:rsidRPr="005927F3">
        <w:rPr>
          <w:rFonts w:eastAsia="Times New Roman" w:cstheme="minorHAnsi"/>
          <w:sz w:val="24"/>
          <w:szCs w:val="24"/>
          <w:lang w:eastAsia="en-GB"/>
        </w:rPr>
        <w:t xml:space="preserve">by and large </w:t>
      </w:r>
      <w:r w:rsidR="00F62BBD" w:rsidRPr="005927F3">
        <w:rPr>
          <w:rFonts w:eastAsia="Times New Roman" w:cstheme="minorHAnsi"/>
          <w:sz w:val="24"/>
          <w:szCs w:val="24"/>
          <w:lang w:eastAsia="en-GB"/>
        </w:rPr>
        <w:t>th</w:t>
      </w:r>
      <w:r w:rsidR="00CF4F15" w:rsidRPr="005927F3">
        <w:rPr>
          <w:rFonts w:eastAsia="Times New Roman" w:cstheme="minorHAnsi"/>
          <w:sz w:val="24"/>
          <w:szCs w:val="24"/>
          <w:lang w:eastAsia="en-GB"/>
        </w:rPr>
        <w:t>at expectation</w:t>
      </w:r>
      <w:r w:rsidR="00F62BBD" w:rsidRPr="005927F3">
        <w:rPr>
          <w:rFonts w:eastAsia="Times New Roman" w:cstheme="minorHAnsi"/>
          <w:i/>
          <w:sz w:val="24"/>
          <w:szCs w:val="24"/>
          <w:lang w:eastAsia="en-GB"/>
        </w:rPr>
        <w:t xml:space="preserve"> </w:t>
      </w:r>
      <w:r w:rsidR="00F62BBD" w:rsidRPr="005927F3">
        <w:rPr>
          <w:rFonts w:eastAsia="Times New Roman" w:cstheme="minorHAnsi"/>
          <w:sz w:val="24"/>
          <w:szCs w:val="24"/>
          <w:lang w:eastAsia="en-GB"/>
        </w:rPr>
        <w:t>by tying entitlements</w:t>
      </w:r>
      <w:r w:rsidR="00F53C3E" w:rsidRPr="005927F3">
        <w:rPr>
          <w:rFonts w:eastAsia="Times New Roman" w:cstheme="minorHAnsi"/>
          <w:sz w:val="24"/>
          <w:szCs w:val="24"/>
          <w:lang w:eastAsia="en-GB"/>
        </w:rPr>
        <w:t xml:space="preserve"> to</w:t>
      </w:r>
      <w:r w:rsidRPr="005927F3">
        <w:rPr>
          <w:rFonts w:eastAsia="Times New Roman" w:cstheme="minorHAnsi"/>
          <w:sz w:val="24"/>
          <w:szCs w:val="24"/>
          <w:lang w:eastAsia="en-GB"/>
        </w:rPr>
        <w:t xml:space="preserve"> </w:t>
      </w:r>
      <w:r w:rsidR="00A2105D" w:rsidRPr="005927F3">
        <w:rPr>
          <w:rFonts w:eastAsia="Times New Roman" w:cstheme="minorHAnsi"/>
          <w:sz w:val="24"/>
          <w:szCs w:val="24"/>
          <w:lang w:eastAsia="en-GB"/>
        </w:rPr>
        <w:t>the</w:t>
      </w:r>
      <w:r w:rsidR="00F53C3E" w:rsidRPr="005927F3">
        <w:rPr>
          <w:rFonts w:eastAsia="Times New Roman" w:cstheme="minorHAnsi"/>
          <w:sz w:val="24"/>
          <w:szCs w:val="24"/>
          <w:lang w:eastAsia="en-GB"/>
        </w:rPr>
        <w:t xml:space="preserve"> </w:t>
      </w:r>
      <w:r w:rsidR="00F53C3E" w:rsidRPr="005927F3">
        <w:rPr>
          <w:rFonts w:eastAsia="Times New Roman" w:cstheme="minorHAnsi"/>
          <w:i/>
          <w:sz w:val="24"/>
          <w:szCs w:val="24"/>
          <w:lang w:eastAsia="en-GB"/>
        </w:rPr>
        <w:t xml:space="preserve">context </w:t>
      </w:r>
      <w:r w:rsidR="00F53C3E" w:rsidRPr="005927F3">
        <w:rPr>
          <w:rFonts w:eastAsia="Times New Roman" w:cstheme="minorHAnsi"/>
          <w:sz w:val="24"/>
          <w:szCs w:val="24"/>
          <w:lang w:eastAsia="en-GB"/>
        </w:rPr>
        <w:t>or</w:t>
      </w:r>
      <w:r w:rsidR="00A2105D" w:rsidRPr="005927F3">
        <w:rPr>
          <w:rFonts w:eastAsia="Times New Roman" w:cstheme="minorHAnsi"/>
          <w:sz w:val="24"/>
          <w:szCs w:val="24"/>
          <w:lang w:eastAsia="en-GB"/>
        </w:rPr>
        <w:t xml:space="preserve"> </w:t>
      </w:r>
      <w:r w:rsidR="00A2105D" w:rsidRPr="005927F3">
        <w:rPr>
          <w:rFonts w:eastAsia="Times New Roman" w:cstheme="minorHAnsi"/>
          <w:i/>
          <w:sz w:val="24"/>
          <w:szCs w:val="24"/>
          <w:lang w:eastAsia="en-GB"/>
        </w:rPr>
        <w:t>purpose</w:t>
      </w:r>
      <w:r w:rsidR="00A2105D" w:rsidRPr="005927F3">
        <w:rPr>
          <w:rFonts w:eastAsia="Times New Roman" w:cstheme="minorHAnsi"/>
          <w:sz w:val="24"/>
          <w:szCs w:val="24"/>
          <w:lang w:eastAsia="en-GB"/>
        </w:rPr>
        <w:t xml:space="preserve"> for which personal information is </w:t>
      </w:r>
      <w:r w:rsidR="000F32E3" w:rsidRPr="005927F3">
        <w:rPr>
          <w:rFonts w:eastAsia="Times New Roman" w:cstheme="minorHAnsi"/>
          <w:sz w:val="24"/>
          <w:szCs w:val="24"/>
          <w:lang w:eastAsia="en-GB"/>
        </w:rPr>
        <w:t xml:space="preserve">taken or </w:t>
      </w:r>
      <w:r w:rsidR="00CF15CF" w:rsidRPr="005927F3">
        <w:rPr>
          <w:rFonts w:eastAsia="Times New Roman" w:cstheme="minorHAnsi"/>
          <w:sz w:val="24"/>
          <w:szCs w:val="24"/>
          <w:lang w:eastAsia="en-GB"/>
        </w:rPr>
        <w:t>given</w:t>
      </w:r>
      <w:r w:rsidR="00A2105D" w:rsidRPr="005927F3">
        <w:rPr>
          <w:rFonts w:eastAsia="Times New Roman" w:cstheme="minorHAnsi"/>
          <w:sz w:val="24"/>
          <w:szCs w:val="24"/>
          <w:lang w:eastAsia="en-GB"/>
        </w:rPr>
        <w:t xml:space="preserve"> in the first place</w:t>
      </w:r>
      <w:r w:rsidRPr="005927F3">
        <w:rPr>
          <w:rFonts w:eastAsia="Times New Roman" w:cstheme="minorHAnsi"/>
          <w:sz w:val="24"/>
          <w:szCs w:val="24"/>
          <w:lang w:eastAsia="en-GB"/>
        </w:rPr>
        <w:t xml:space="preserve"> </w:t>
      </w:r>
      <w:r w:rsidRPr="005927F3">
        <w:rPr>
          <w:rFonts w:eastAsia="Times New Roman" w:cstheme="minorHAnsi"/>
          <w:i/>
          <w:iCs/>
          <w:sz w:val="24"/>
          <w:szCs w:val="24"/>
          <w:lang w:eastAsia="en-GB"/>
        </w:rPr>
        <w:t>e.g.</w:t>
      </w:r>
      <w:r w:rsidRPr="005927F3">
        <w:rPr>
          <w:rFonts w:eastAsia="Times New Roman" w:cstheme="minorHAnsi"/>
          <w:sz w:val="24"/>
          <w:szCs w:val="24"/>
          <w:lang w:eastAsia="en-GB"/>
        </w:rPr>
        <w:t xml:space="preserve"> crime reporting</w:t>
      </w:r>
      <w:r w:rsidR="00A73803" w:rsidRPr="005927F3">
        <w:rPr>
          <w:rFonts w:eastAsia="Times New Roman" w:cstheme="minorHAnsi"/>
          <w:sz w:val="24"/>
          <w:szCs w:val="24"/>
          <w:lang w:eastAsia="en-GB"/>
        </w:rPr>
        <w:t>.</w:t>
      </w:r>
      <w:r w:rsidR="00A2105D" w:rsidRPr="005927F3">
        <w:rPr>
          <w:rStyle w:val="FootnoteReference"/>
          <w:rFonts w:eastAsia="Times New Roman" w:cstheme="minorHAnsi"/>
          <w:sz w:val="24"/>
          <w:szCs w:val="24"/>
          <w:lang w:eastAsia="en-GB"/>
        </w:rPr>
        <w:footnoteReference w:id="161"/>
      </w:r>
      <w:r w:rsidR="00A2105D" w:rsidRPr="005927F3">
        <w:rPr>
          <w:rFonts w:eastAsia="Times New Roman" w:cstheme="minorHAnsi"/>
          <w:sz w:val="24"/>
          <w:szCs w:val="24"/>
          <w:lang w:eastAsia="en-GB"/>
        </w:rPr>
        <w:t xml:space="preserve"> </w:t>
      </w:r>
      <w:r w:rsidR="00DF0D33" w:rsidRPr="005927F3">
        <w:rPr>
          <w:rFonts w:eastAsia="Times New Roman" w:cstheme="minorHAnsi"/>
          <w:sz w:val="24"/>
          <w:szCs w:val="24"/>
          <w:lang w:eastAsia="en-GB"/>
        </w:rPr>
        <w:t xml:space="preserve">If access to </w:t>
      </w:r>
      <w:r w:rsidR="00BA59D8" w:rsidRPr="005927F3">
        <w:rPr>
          <w:rFonts w:eastAsia="Times New Roman" w:cstheme="minorHAnsi"/>
          <w:sz w:val="24"/>
          <w:szCs w:val="24"/>
          <w:lang w:eastAsia="en-GB"/>
        </w:rPr>
        <w:t>personal information was given</w:t>
      </w:r>
      <w:r w:rsidR="00DF0D33" w:rsidRPr="005927F3">
        <w:rPr>
          <w:rFonts w:eastAsia="Times New Roman" w:cstheme="minorHAnsi"/>
          <w:sz w:val="24"/>
          <w:szCs w:val="24"/>
          <w:lang w:eastAsia="en-GB"/>
        </w:rPr>
        <w:t xml:space="preserve"> </w:t>
      </w:r>
      <w:r w:rsidR="00BA59D8" w:rsidRPr="005927F3">
        <w:rPr>
          <w:rFonts w:eastAsia="Times New Roman" w:cstheme="minorHAnsi"/>
          <w:sz w:val="24"/>
          <w:szCs w:val="24"/>
          <w:lang w:eastAsia="en-GB"/>
        </w:rPr>
        <w:t>in a particular context</w:t>
      </w:r>
      <w:r w:rsidR="00DF0D33" w:rsidRPr="005927F3">
        <w:rPr>
          <w:rFonts w:eastAsia="Times New Roman" w:cstheme="minorHAnsi"/>
          <w:sz w:val="24"/>
          <w:szCs w:val="24"/>
          <w:lang w:eastAsia="en-GB"/>
        </w:rPr>
        <w:t xml:space="preserve"> </w:t>
      </w:r>
      <w:r w:rsidR="00F53C3E" w:rsidRPr="005927F3">
        <w:rPr>
          <w:rFonts w:eastAsia="Times New Roman" w:cstheme="minorHAnsi"/>
          <w:sz w:val="24"/>
          <w:szCs w:val="24"/>
          <w:lang w:eastAsia="en-GB"/>
        </w:rPr>
        <w:t xml:space="preserve">or </w:t>
      </w:r>
      <w:r w:rsidR="00836B19" w:rsidRPr="005927F3">
        <w:rPr>
          <w:rFonts w:eastAsia="Times New Roman" w:cstheme="minorHAnsi"/>
          <w:sz w:val="24"/>
          <w:szCs w:val="24"/>
          <w:lang w:eastAsia="en-GB"/>
        </w:rPr>
        <w:t xml:space="preserve">for a </w:t>
      </w:r>
      <w:r w:rsidR="00F53C3E" w:rsidRPr="005927F3">
        <w:rPr>
          <w:rFonts w:eastAsia="Times New Roman" w:cstheme="minorHAnsi"/>
          <w:sz w:val="24"/>
          <w:szCs w:val="24"/>
          <w:lang w:eastAsia="en-GB"/>
        </w:rPr>
        <w:t xml:space="preserve">particular purpose </w:t>
      </w:r>
      <w:r w:rsidR="00CF4F15" w:rsidRPr="005927F3">
        <w:rPr>
          <w:rFonts w:eastAsia="Times New Roman" w:cstheme="minorHAnsi"/>
          <w:sz w:val="24"/>
          <w:szCs w:val="24"/>
          <w:lang w:eastAsia="en-GB"/>
        </w:rPr>
        <w:t>(</w:t>
      </w:r>
      <w:r w:rsidR="00DF0D33" w:rsidRPr="005927F3">
        <w:rPr>
          <w:rFonts w:eastAsia="Times New Roman" w:cstheme="minorHAnsi"/>
          <w:i/>
          <w:iCs/>
          <w:sz w:val="24"/>
          <w:szCs w:val="24"/>
          <w:lang w:eastAsia="en-GB"/>
        </w:rPr>
        <w:t>e.g.</w:t>
      </w:r>
      <w:r w:rsidR="00DF0D33" w:rsidRPr="005927F3">
        <w:rPr>
          <w:rFonts w:eastAsia="Times New Roman" w:cstheme="minorHAnsi"/>
          <w:sz w:val="24"/>
          <w:szCs w:val="24"/>
          <w:lang w:eastAsia="en-GB"/>
        </w:rPr>
        <w:t xml:space="preserve"> purchase, medical treatment, or employment</w:t>
      </w:r>
      <w:r w:rsidR="00CF4F15" w:rsidRPr="005927F3">
        <w:rPr>
          <w:rFonts w:eastAsia="Times New Roman" w:cstheme="minorHAnsi"/>
          <w:sz w:val="24"/>
          <w:szCs w:val="24"/>
          <w:lang w:eastAsia="en-GB"/>
        </w:rPr>
        <w:t>)</w:t>
      </w:r>
      <w:r w:rsidR="00DF0D33" w:rsidRPr="005927F3">
        <w:rPr>
          <w:rFonts w:eastAsia="Times New Roman" w:cstheme="minorHAnsi"/>
          <w:sz w:val="24"/>
          <w:szCs w:val="24"/>
          <w:lang w:eastAsia="en-GB"/>
        </w:rPr>
        <w:t>, the</w:t>
      </w:r>
      <w:r w:rsidR="00F53C3E" w:rsidRPr="005927F3">
        <w:rPr>
          <w:rFonts w:eastAsia="Times New Roman" w:cstheme="minorHAnsi"/>
          <w:sz w:val="24"/>
          <w:szCs w:val="24"/>
          <w:lang w:eastAsia="en-GB"/>
        </w:rPr>
        <w:t xml:space="preserve"> </w:t>
      </w:r>
      <w:r w:rsidR="00CF15CF" w:rsidRPr="005927F3">
        <w:rPr>
          <w:rFonts w:eastAsia="Times New Roman" w:cstheme="minorHAnsi"/>
          <w:sz w:val="24"/>
          <w:szCs w:val="24"/>
          <w:lang w:eastAsia="en-GB"/>
        </w:rPr>
        <w:t xml:space="preserve">reasonable </w:t>
      </w:r>
      <w:r w:rsidR="00DF0D33" w:rsidRPr="005927F3">
        <w:rPr>
          <w:rFonts w:eastAsia="Times New Roman" w:cstheme="minorHAnsi"/>
          <w:sz w:val="24"/>
          <w:szCs w:val="24"/>
          <w:lang w:eastAsia="en-GB"/>
        </w:rPr>
        <w:t>expectation</w:t>
      </w:r>
      <w:r w:rsidR="00836B19" w:rsidRPr="005927F3">
        <w:rPr>
          <w:rFonts w:eastAsia="Times New Roman" w:cstheme="minorHAnsi"/>
          <w:sz w:val="24"/>
          <w:szCs w:val="24"/>
          <w:lang w:eastAsia="en-GB"/>
        </w:rPr>
        <w:t xml:space="preserve"> created by </w:t>
      </w:r>
      <w:r w:rsidR="00713FF1" w:rsidRPr="005927F3">
        <w:rPr>
          <w:rFonts w:eastAsia="Times New Roman" w:cstheme="minorHAnsi"/>
          <w:sz w:val="24"/>
          <w:szCs w:val="24"/>
          <w:lang w:eastAsia="en-GB"/>
        </w:rPr>
        <w:t>data protection</w:t>
      </w:r>
      <w:r w:rsidR="004F35C9" w:rsidRPr="005927F3">
        <w:rPr>
          <w:rFonts w:eastAsia="Times New Roman" w:cstheme="minorHAnsi"/>
          <w:sz w:val="24"/>
          <w:szCs w:val="24"/>
          <w:lang w:eastAsia="en-GB"/>
        </w:rPr>
        <w:t xml:space="preserve"> law</w:t>
      </w:r>
      <w:r w:rsidR="00F53C3E" w:rsidRPr="005927F3">
        <w:rPr>
          <w:rFonts w:eastAsia="Times New Roman" w:cstheme="minorHAnsi"/>
          <w:sz w:val="24"/>
          <w:szCs w:val="24"/>
          <w:lang w:eastAsia="en-GB"/>
        </w:rPr>
        <w:t xml:space="preserve"> is that the</w:t>
      </w:r>
      <w:r w:rsidR="00DF0D33" w:rsidRPr="005927F3">
        <w:rPr>
          <w:rFonts w:eastAsia="Times New Roman" w:cstheme="minorHAnsi"/>
          <w:sz w:val="24"/>
          <w:szCs w:val="24"/>
          <w:lang w:eastAsia="en-GB"/>
        </w:rPr>
        <w:t xml:space="preserve"> information is not used </w:t>
      </w:r>
      <w:r w:rsidR="00836B19" w:rsidRPr="005927F3">
        <w:rPr>
          <w:rFonts w:eastAsia="Times New Roman" w:cstheme="minorHAnsi"/>
          <w:sz w:val="24"/>
          <w:szCs w:val="24"/>
          <w:lang w:eastAsia="en-GB"/>
        </w:rPr>
        <w:t>otherwise</w:t>
      </w:r>
      <w:r w:rsidR="00713FF1" w:rsidRPr="005927F3">
        <w:rPr>
          <w:rFonts w:eastAsia="Times New Roman" w:cstheme="minorHAnsi"/>
          <w:sz w:val="24"/>
          <w:szCs w:val="24"/>
          <w:lang w:eastAsia="en-GB"/>
        </w:rPr>
        <w:t>.</w:t>
      </w:r>
      <w:r w:rsidR="00DF0D33" w:rsidRPr="005927F3">
        <w:rPr>
          <w:rFonts w:eastAsia="Times New Roman" w:cstheme="minorHAnsi"/>
          <w:sz w:val="24"/>
          <w:szCs w:val="24"/>
          <w:lang w:eastAsia="en-GB"/>
        </w:rPr>
        <w:t xml:space="preserve"> </w:t>
      </w:r>
      <w:r w:rsidR="009D6094" w:rsidRPr="005927F3">
        <w:rPr>
          <w:rFonts w:eastAsia="Times New Roman" w:cstheme="minorHAnsi"/>
          <w:sz w:val="24"/>
          <w:szCs w:val="24"/>
          <w:lang w:eastAsia="en-GB"/>
        </w:rPr>
        <w:t>Arguably this</w:t>
      </w:r>
      <w:r w:rsidR="00EA1BD9" w:rsidRPr="005927F3">
        <w:rPr>
          <w:rFonts w:eastAsia="Times New Roman" w:cstheme="minorHAnsi"/>
          <w:sz w:val="24"/>
          <w:szCs w:val="24"/>
          <w:lang w:eastAsia="en-GB"/>
        </w:rPr>
        <w:t xml:space="preserve"> </w:t>
      </w:r>
      <w:r w:rsidR="00836B19" w:rsidRPr="005927F3">
        <w:rPr>
          <w:rFonts w:eastAsia="Times New Roman" w:cstheme="minorHAnsi"/>
          <w:sz w:val="24"/>
          <w:szCs w:val="24"/>
          <w:lang w:eastAsia="en-GB"/>
        </w:rPr>
        <w:t>privacy</w:t>
      </w:r>
      <w:r w:rsidR="009D6094" w:rsidRPr="005927F3">
        <w:rPr>
          <w:rFonts w:eastAsia="Times New Roman" w:cstheme="minorHAnsi"/>
          <w:sz w:val="24"/>
          <w:szCs w:val="24"/>
          <w:lang w:eastAsia="en-GB"/>
        </w:rPr>
        <w:t xml:space="preserve"> approach</w:t>
      </w:r>
      <w:r w:rsidR="00C510E1" w:rsidRPr="005927F3">
        <w:rPr>
          <w:rFonts w:eastAsia="Times New Roman" w:cstheme="minorHAnsi"/>
          <w:sz w:val="24"/>
          <w:szCs w:val="24"/>
          <w:lang w:eastAsia="en-GB"/>
        </w:rPr>
        <w:t xml:space="preserve"> tied to purpose</w:t>
      </w:r>
      <w:r w:rsidR="00B232DB" w:rsidRPr="005927F3">
        <w:rPr>
          <w:rFonts w:eastAsia="Times New Roman" w:cstheme="minorHAnsi"/>
          <w:sz w:val="24"/>
          <w:szCs w:val="24"/>
          <w:lang w:eastAsia="en-GB"/>
        </w:rPr>
        <w:t xml:space="preserve"> or context</w:t>
      </w:r>
      <w:r w:rsidR="00DA712D" w:rsidRPr="005927F3">
        <w:rPr>
          <w:rStyle w:val="FootnoteReference"/>
          <w:rFonts w:eastAsia="Times New Roman" w:cstheme="minorHAnsi"/>
          <w:sz w:val="24"/>
          <w:szCs w:val="24"/>
          <w:lang w:eastAsia="en-GB"/>
        </w:rPr>
        <w:footnoteReference w:id="162"/>
      </w:r>
      <w:r w:rsidR="00B13415" w:rsidRPr="005927F3">
        <w:rPr>
          <w:rFonts w:eastAsia="Times New Roman" w:cstheme="minorHAnsi"/>
          <w:sz w:val="24"/>
          <w:szCs w:val="24"/>
          <w:lang w:eastAsia="en-GB"/>
        </w:rPr>
        <w:t xml:space="preserve"> </w:t>
      </w:r>
      <w:r w:rsidR="00371FF5" w:rsidRPr="005927F3">
        <w:rPr>
          <w:rFonts w:eastAsia="Times New Roman" w:cstheme="minorHAnsi"/>
          <w:sz w:val="24"/>
          <w:szCs w:val="24"/>
          <w:lang w:eastAsia="en-GB"/>
        </w:rPr>
        <w:t>helps</w:t>
      </w:r>
      <w:r w:rsidR="00210CD9" w:rsidRPr="005927F3">
        <w:rPr>
          <w:rFonts w:eastAsia="Times New Roman" w:cstheme="minorHAnsi"/>
          <w:sz w:val="24"/>
          <w:szCs w:val="24"/>
          <w:lang w:eastAsia="en-GB"/>
        </w:rPr>
        <w:t xml:space="preserve"> to</w:t>
      </w:r>
      <w:r w:rsidR="00B232DB" w:rsidRPr="005927F3">
        <w:rPr>
          <w:rFonts w:eastAsia="Times New Roman" w:cstheme="minorHAnsi"/>
          <w:sz w:val="24"/>
          <w:szCs w:val="24"/>
          <w:lang w:eastAsia="en-GB"/>
        </w:rPr>
        <w:t xml:space="preserve"> explain various disclosure cases decided under Art </w:t>
      </w:r>
      <w:r w:rsidR="00C510E1" w:rsidRPr="005927F3">
        <w:rPr>
          <w:rFonts w:eastAsia="Times New Roman" w:cstheme="minorHAnsi"/>
          <w:sz w:val="24"/>
          <w:szCs w:val="24"/>
          <w:lang w:eastAsia="en-GB"/>
        </w:rPr>
        <w:t>8</w:t>
      </w:r>
      <w:r w:rsidR="00846B83" w:rsidRPr="005927F3">
        <w:rPr>
          <w:rFonts w:eastAsia="Times New Roman" w:cstheme="minorHAnsi"/>
          <w:sz w:val="24"/>
          <w:szCs w:val="24"/>
          <w:lang w:eastAsia="en-GB"/>
        </w:rPr>
        <w:t xml:space="preserve"> privacy</w:t>
      </w:r>
      <w:r w:rsidR="009D6094" w:rsidRPr="005927F3">
        <w:rPr>
          <w:rFonts w:eastAsia="Times New Roman" w:cstheme="minorHAnsi"/>
          <w:sz w:val="24"/>
          <w:szCs w:val="24"/>
          <w:lang w:eastAsia="en-GB"/>
        </w:rPr>
        <w:t>,</w:t>
      </w:r>
      <w:r w:rsidR="00B232DB" w:rsidRPr="005927F3">
        <w:rPr>
          <w:rStyle w:val="FootnoteReference"/>
          <w:rFonts w:eastAsia="Times New Roman" w:cstheme="minorHAnsi"/>
          <w:sz w:val="24"/>
          <w:szCs w:val="24"/>
          <w:lang w:eastAsia="en-GB"/>
        </w:rPr>
        <w:footnoteReference w:id="163"/>
      </w:r>
      <w:r w:rsidR="009D6094" w:rsidRPr="005927F3">
        <w:rPr>
          <w:rFonts w:eastAsia="Times New Roman" w:cstheme="minorHAnsi"/>
          <w:sz w:val="24"/>
          <w:szCs w:val="24"/>
          <w:lang w:eastAsia="en-GB"/>
        </w:rPr>
        <w:t xml:space="preserve"> </w:t>
      </w:r>
      <w:proofErr w:type="gramStart"/>
      <w:r w:rsidR="009D6094" w:rsidRPr="005927F3">
        <w:rPr>
          <w:rFonts w:eastAsia="Times New Roman" w:cstheme="minorHAnsi"/>
          <w:sz w:val="24"/>
          <w:szCs w:val="24"/>
          <w:lang w:eastAsia="en-GB"/>
        </w:rPr>
        <w:t>and also</w:t>
      </w:r>
      <w:proofErr w:type="gramEnd"/>
      <w:r w:rsidR="009D6094" w:rsidRPr="005927F3">
        <w:rPr>
          <w:rFonts w:eastAsia="Times New Roman" w:cstheme="minorHAnsi"/>
          <w:sz w:val="24"/>
          <w:szCs w:val="24"/>
          <w:lang w:eastAsia="en-GB"/>
        </w:rPr>
        <w:t xml:space="preserve"> chimes wi</w:t>
      </w:r>
      <w:r w:rsidR="00972C4B" w:rsidRPr="005927F3">
        <w:rPr>
          <w:rFonts w:eastAsia="Times New Roman" w:cstheme="minorHAnsi"/>
          <w:sz w:val="24"/>
          <w:szCs w:val="24"/>
          <w:lang w:eastAsia="en-GB"/>
        </w:rPr>
        <w:t>th Helen Nissenbaum’s argument for</w:t>
      </w:r>
      <w:r w:rsidR="009D6094" w:rsidRPr="005927F3">
        <w:rPr>
          <w:rFonts w:eastAsia="Times New Roman" w:cstheme="minorHAnsi"/>
          <w:sz w:val="24"/>
          <w:szCs w:val="24"/>
          <w:lang w:eastAsia="en-GB"/>
        </w:rPr>
        <w:t xml:space="preserve"> </w:t>
      </w:r>
      <w:r w:rsidR="00371FF5" w:rsidRPr="005927F3">
        <w:rPr>
          <w:rFonts w:eastAsia="Times New Roman" w:cstheme="minorHAnsi"/>
          <w:sz w:val="24"/>
          <w:szCs w:val="24"/>
          <w:lang w:eastAsia="en-GB"/>
        </w:rPr>
        <w:t xml:space="preserve">a </w:t>
      </w:r>
      <w:r w:rsidR="009D6094" w:rsidRPr="005927F3">
        <w:rPr>
          <w:rFonts w:eastAsia="Times New Roman" w:cstheme="minorHAnsi"/>
          <w:sz w:val="24"/>
          <w:szCs w:val="24"/>
          <w:lang w:eastAsia="en-GB"/>
        </w:rPr>
        <w:t>context-based understanding</w:t>
      </w:r>
      <w:r w:rsidR="00972C4B" w:rsidRPr="005927F3">
        <w:rPr>
          <w:rFonts w:eastAsia="Times New Roman" w:cstheme="minorHAnsi"/>
          <w:sz w:val="24"/>
          <w:szCs w:val="24"/>
          <w:lang w:eastAsia="en-GB"/>
        </w:rPr>
        <w:t xml:space="preserve"> of privacy.</w:t>
      </w:r>
      <w:r w:rsidR="00972C4B" w:rsidRPr="005927F3">
        <w:rPr>
          <w:rStyle w:val="FootnoteReference"/>
          <w:rFonts w:eastAsia="Times New Roman" w:cstheme="minorHAnsi"/>
          <w:sz w:val="24"/>
          <w:szCs w:val="24"/>
          <w:lang w:eastAsia="en-GB"/>
        </w:rPr>
        <w:footnoteReference w:id="164"/>
      </w:r>
      <w:r w:rsidR="009D6094" w:rsidRPr="005927F3">
        <w:rPr>
          <w:rFonts w:eastAsia="Times New Roman" w:cstheme="minorHAnsi"/>
          <w:sz w:val="24"/>
          <w:szCs w:val="24"/>
          <w:lang w:eastAsia="en-GB"/>
        </w:rPr>
        <w:t xml:space="preserve"> </w:t>
      </w:r>
    </w:p>
    <w:p w14:paraId="5EEF4F4B" w14:textId="0E6F9FD6" w:rsidR="00B01441" w:rsidRPr="005927F3" w:rsidRDefault="00F62BBD" w:rsidP="00836B19">
      <w:pPr>
        <w:autoSpaceDE w:val="0"/>
        <w:autoSpaceDN w:val="0"/>
        <w:adjustRightInd w:val="0"/>
        <w:spacing w:after="0" w:line="240" w:lineRule="auto"/>
        <w:jc w:val="both"/>
        <w:rPr>
          <w:rFonts w:eastAsia="Times New Roman" w:cstheme="minorHAnsi"/>
          <w:sz w:val="24"/>
          <w:szCs w:val="24"/>
          <w:lang w:eastAsia="en-GB"/>
        </w:rPr>
      </w:pPr>
      <w:r w:rsidRPr="005927F3">
        <w:rPr>
          <w:rFonts w:eastAsia="Times New Roman" w:cstheme="minorHAnsi"/>
          <w:sz w:val="24"/>
          <w:szCs w:val="24"/>
          <w:lang w:eastAsia="en-GB"/>
        </w:rPr>
        <w:t xml:space="preserve"> </w:t>
      </w:r>
    </w:p>
    <w:p w14:paraId="1DC1CD4F" w14:textId="76387514" w:rsidR="00836B19" w:rsidRPr="005927F3" w:rsidRDefault="00852BF6" w:rsidP="00836B19">
      <w:pPr>
        <w:autoSpaceDE w:val="0"/>
        <w:autoSpaceDN w:val="0"/>
        <w:adjustRightInd w:val="0"/>
        <w:spacing w:after="0" w:line="240" w:lineRule="auto"/>
        <w:jc w:val="both"/>
        <w:rPr>
          <w:rFonts w:eastAsia="Times New Roman" w:cstheme="minorHAnsi"/>
          <w:sz w:val="24"/>
          <w:szCs w:val="24"/>
          <w:lang w:eastAsia="en-GB"/>
        </w:rPr>
      </w:pPr>
      <w:r w:rsidRPr="005927F3">
        <w:rPr>
          <w:rFonts w:eastAsia="Times New Roman" w:cstheme="minorHAnsi"/>
          <w:sz w:val="24"/>
          <w:szCs w:val="24"/>
          <w:lang w:eastAsia="en-GB"/>
        </w:rPr>
        <w:t>Furthermore,</w:t>
      </w:r>
      <w:r w:rsidR="00836B19" w:rsidRPr="005927F3">
        <w:rPr>
          <w:rFonts w:eastAsia="Times New Roman" w:cstheme="minorHAnsi"/>
          <w:sz w:val="24"/>
          <w:szCs w:val="24"/>
          <w:lang w:eastAsia="en-GB"/>
        </w:rPr>
        <w:t xml:space="preserve"> Continental European privacy see</w:t>
      </w:r>
      <w:r w:rsidR="00B01441" w:rsidRPr="005927F3">
        <w:rPr>
          <w:rFonts w:eastAsia="Times New Roman" w:cstheme="minorHAnsi"/>
          <w:sz w:val="24"/>
          <w:szCs w:val="24"/>
          <w:lang w:eastAsia="en-GB"/>
        </w:rPr>
        <w:t>s</w:t>
      </w:r>
      <w:r w:rsidR="00836B19" w:rsidRPr="005927F3">
        <w:rPr>
          <w:rFonts w:eastAsia="Times New Roman" w:cstheme="minorHAnsi"/>
          <w:sz w:val="24"/>
          <w:szCs w:val="24"/>
          <w:lang w:eastAsia="en-GB"/>
        </w:rPr>
        <w:t xml:space="preserve"> the individual as being </w:t>
      </w:r>
      <w:r w:rsidR="00836B19" w:rsidRPr="005927F3">
        <w:rPr>
          <w:rFonts w:eastAsia="Times New Roman" w:cstheme="minorHAnsi"/>
          <w:i/>
          <w:sz w:val="24"/>
          <w:szCs w:val="24"/>
          <w:lang w:eastAsia="en-GB"/>
        </w:rPr>
        <w:t>in control</w:t>
      </w:r>
      <w:r w:rsidR="00836B19" w:rsidRPr="005927F3">
        <w:rPr>
          <w:rFonts w:eastAsia="Times New Roman" w:cstheme="minorHAnsi"/>
          <w:sz w:val="24"/>
          <w:szCs w:val="24"/>
          <w:lang w:eastAsia="en-GB"/>
        </w:rPr>
        <w:t xml:space="preserve">, </w:t>
      </w:r>
      <w:r w:rsidR="00CF4F15" w:rsidRPr="005927F3">
        <w:rPr>
          <w:rFonts w:eastAsia="Times New Roman" w:cstheme="minorHAnsi"/>
          <w:sz w:val="24"/>
          <w:szCs w:val="24"/>
          <w:lang w:eastAsia="en-GB"/>
        </w:rPr>
        <w:t xml:space="preserve">or </w:t>
      </w:r>
      <w:r w:rsidR="00836B19" w:rsidRPr="005927F3">
        <w:rPr>
          <w:rFonts w:eastAsia="Times New Roman" w:cstheme="minorHAnsi"/>
          <w:sz w:val="24"/>
          <w:szCs w:val="24"/>
          <w:lang w:eastAsia="en-GB"/>
        </w:rPr>
        <w:t>as the key arbiter for delimitating the acceptable boundaries of his or her metaphorical inner space</w:t>
      </w:r>
      <w:r w:rsidRPr="005927F3">
        <w:rPr>
          <w:rFonts w:eastAsia="Times New Roman" w:cstheme="minorHAnsi"/>
          <w:sz w:val="24"/>
          <w:szCs w:val="24"/>
          <w:lang w:eastAsia="en-GB"/>
        </w:rPr>
        <w:t>, of granting or denying access to relevant information</w:t>
      </w:r>
      <w:r w:rsidR="00836B19" w:rsidRPr="005927F3">
        <w:rPr>
          <w:rFonts w:eastAsia="Times New Roman" w:cstheme="minorHAnsi"/>
          <w:sz w:val="24"/>
          <w:szCs w:val="24"/>
          <w:lang w:eastAsia="en-GB"/>
        </w:rPr>
        <w:t>. Privacy sensitivities vary from person to person,</w:t>
      </w:r>
      <w:r w:rsidR="00CF4F15" w:rsidRPr="005927F3">
        <w:rPr>
          <w:rFonts w:eastAsia="Times New Roman" w:cstheme="minorHAnsi"/>
          <w:sz w:val="24"/>
          <w:szCs w:val="24"/>
          <w:lang w:eastAsia="en-GB"/>
        </w:rPr>
        <w:t xml:space="preserve"> and</w:t>
      </w:r>
      <w:r w:rsidR="00836B19" w:rsidRPr="005927F3">
        <w:rPr>
          <w:rFonts w:eastAsia="Times New Roman" w:cstheme="minorHAnsi"/>
          <w:sz w:val="24"/>
          <w:szCs w:val="24"/>
          <w:lang w:eastAsia="en-GB"/>
        </w:rPr>
        <w:t xml:space="preserve"> thus the particularised content of privacy really </w:t>
      </w:r>
      <w:r w:rsidR="00836B19" w:rsidRPr="005927F3">
        <w:rPr>
          <w:rFonts w:eastAsia="Times New Roman" w:cstheme="minorHAnsi"/>
          <w:i/>
          <w:sz w:val="24"/>
          <w:szCs w:val="24"/>
          <w:lang w:eastAsia="en-GB"/>
        </w:rPr>
        <w:t xml:space="preserve">is </w:t>
      </w:r>
      <w:r w:rsidR="00836B19" w:rsidRPr="005927F3">
        <w:rPr>
          <w:rFonts w:eastAsia="Times New Roman" w:cstheme="minorHAnsi"/>
          <w:sz w:val="24"/>
          <w:szCs w:val="24"/>
          <w:lang w:eastAsia="en-GB"/>
        </w:rPr>
        <w:t>within the eye of the beholder. Consi</w:t>
      </w:r>
      <w:r w:rsidR="00972C4B" w:rsidRPr="005927F3">
        <w:rPr>
          <w:rFonts w:eastAsia="Times New Roman" w:cstheme="minorHAnsi"/>
          <w:sz w:val="24"/>
          <w:szCs w:val="24"/>
          <w:lang w:eastAsia="en-GB"/>
        </w:rPr>
        <w:t xml:space="preserve">stently, </w:t>
      </w:r>
      <w:r w:rsidR="00836B19" w:rsidRPr="005927F3">
        <w:rPr>
          <w:rFonts w:eastAsia="Times New Roman" w:cstheme="minorHAnsi"/>
          <w:sz w:val="24"/>
          <w:szCs w:val="24"/>
          <w:lang w:eastAsia="en-GB"/>
        </w:rPr>
        <w:t>consent is the touchstone of informational privacy under data protection law, and even for uses of personal information that are permitted without consent, individuals retain or regain some control through the right to object or the right to be forgotten as tools for their informational self-determination.</w:t>
      </w:r>
      <w:r w:rsidR="00836B19" w:rsidRPr="005927F3">
        <w:rPr>
          <w:rStyle w:val="FootnoteReference"/>
          <w:rFonts w:eastAsia="Times New Roman" w:cstheme="minorHAnsi"/>
          <w:sz w:val="24"/>
          <w:szCs w:val="24"/>
          <w:lang w:eastAsia="en-GB"/>
        </w:rPr>
        <w:footnoteReference w:id="165"/>
      </w:r>
      <w:r w:rsidR="00836B19" w:rsidRPr="005927F3">
        <w:rPr>
          <w:rFonts w:eastAsia="Times New Roman" w:cstheme="minorHAnsi"/>
          <w:sz w:val="24"/>
          <w:szCs w:val="24"/>
          <w:lang w:eastAsia="en-GB"/>
        </w:rPr>
        <w:t xml:space="preserve"> This means that a</w:t>
      </w:r>
      <w:r w:rsidR="00371FF5" w:rsidRPr="005927F3">
        <w:rPr>
          <w:rFonts w:eastAsia="Times New Roman" w:cstheme="minorHAnsi"/>
          <w:sz w:val="24"/>
          <w:szCs w:val="24"/>
          <w:lang w:eastAsia="en-GB"/>
        </w:rPr>
        <w:t>n</w:t>
      </w:r>
      <w:r w:rsidR="00836B19" w:rsidRPr="005927F3">
        <w:rPr>
          <w:rFonts w:eastAsia="Times New Roman" w:cstheme="minorHAnsi"/>
          <w:sz w:val="24"/>
          <w:szCs w:val="24"/>
          <w:lang w:eastAsia="en-GB"/>
        </w:rPr>
        <w:t xml:space="preserve"> objective test based on ‘reasonable expectati</w:t>
      </w:r>
      <w:r w:rsidR="00BB0A53" w:rsidRPr="005927F3">
        <w:rPr>
          <w:rFonts w:eastAsia="Times New Roman" w:cstheme="minorHAnsi"/>
          <w:sz w:val="24"/>
          <w:szCs w:val="24"/>
          <w:lang w:eastAsia="en-GB"/>
        </w:rPr>
        <w:t>on of privacy’ which</w:t>
      </w:r>
      <w:r w:rsidR="00C510E1" w:rsidRPr="005927F3">
        <w:rPr>
          <w:rFonts w:eastAsia="Times New Roman" w:cstheme="minorHAnsi"/>
          <w:sz w:val="24"/>
          <w:szCs w:val="24"/>
          <w:lang w:eastAsia="en-GB"/>
        </w:rPr>
        <w:t xml:space="preserve"> necessarily</w:t>
      </w:r>
      <w:r w:rsidR="00BB0A53" w:rsidRPr="005927F3">
        <w:rPr>
          <w:rFonts w:eastAsia="Times New Roman" w:cstheme="minorHAnsi"/>
          <w:sz w:val="24"/>
          <w:szCs w:val="24"/>
          <w:lang w:eastAsia="en-GB"/>
        </w:rPr>
        <w:t xml:space="preserve"> imports</w:t>
      </w:r>
      <w:r w:rsidR="00C510E1" w:rsidRPr="005927F3">
        <w:rPr>
          <w:rFonts w:eastAsia="Times New Roman" w:cstheme="minorHAnsi"/>
          <w:sz w:val="24"/>
          <w:szCs w:val="24"/>
          <w:lang w:eastAsia="en-GB"/>
        </w:rPr>
        <w:t xml:space="preserve"> actual or </w:t>
      </w:r>
      <w:r w:rsidR="000C53EB" w:rsidRPr="005927F3">
        <w:rPr>
          <w:rFonts w:eastAsia="Times New Roman" w:cstheme="minorHAnsi"/>
          <w:sz w:val="24"/>
          <w:szCs w:val="24"/>
          <w:lang w:eastAsia="en-GB"/>
        </w:rPr>
        <w:t>desired</w:t>
      </w:r>
      <w:r w:rsidR="00BB0A53" w:rsidRPr="005927F3">
        <w:rPr>
          <w:rFonts w:eastAsia="Times New Roman" w:cstheme="minorHAnsi"/>
          <w:sz w:val="24"/>
          <w:szCs w:val="24"/>
          <w:lang w:eastAsia="en-GB"/>
        </w:rPr>
        <w:t xml:space="preserve"> </w:t>
      </w:r>
      <w:r w:rsidR="00836B19" w:rsidRPr="005927F3">
        <w:rPr>
          <w:rFonts w:eastAsia="Times New Roman" w:cstheme="minorHAnsi"/>
          <w:sz w:val="24"/>
          <w:szCs w:val="24"/>
          <w:lang w:eastAsia="en-GB"/>
        </w:rPr>
        <w:t>community norms</w:t>
      </w:r>
      <w:r w:rsidR="00836B19" w:rsidRPr="005927F3">
        <w:rPr>
          <w:rStyle w:val="FootnoteReference"/>
          <w:rFonts w:eastAsia="Times New Roman" w:cstheme="minorHAnsi"/>
          <w:sz w:val="24"/>
          <w:szCs w:val="24"/>
          <w:lang w:eastAsia="en-GB"/>
        </w:rPr>
        <w:footnoteReference w:id="166"/>
      </w:r>
      <w:r w:rsidR="00836B19" w:rsidRPr="005927F3">
        <w:rPr>
          <w:rFonts w:eastAsia="Times New Roman" w:cstheme="minorHAnsi"/>
          <w:sz w:val="24"/>
          <w:szCs w:val="24"/>
          <w:lang w:eastAsia="en-GB"/>
        </w:rPr>
        <w:t xml:space="preserve"> is </w:t>
      </w:r>
      <w:r w:rsidR="00713FF1" w:rsidRPr="005927F3">
        <w:rPr>
          <w:rFonts w:eastAsia="Times New Roman" w:cstheme="minorHAnsi"/>
          <w:sz w:val="24"/>
          <w:szCs w:val="24"/>
          <w:lang w:eastAsia="en-GB"/>
        </w:rPr>
        <w:t>profoundly</w:t>
      </w:r>
      <w:r w:rsidR="00836B19" w:rsidRPr="005927F3">
        <w:rPr>
          <w:rFonts w:eastAsia="Times New Roman" w:cstheme="minorHAnsi"/>
          <w:sz w:val="24"/>
          <w:szCs w:val="24"/>
          <w:lang w:eastAsia="en-GB"/>
        </w:rPr>
        <w:t xml:space="preserve"> at odds with </w:t>
      </w:r>
      <w:r w:rsidR="00713FF1" w:rsidRPr="005927F3">
        <w:rPr>
          <w:rFonts w:eastAsia="Times New Roman" w:cstheme="minorHAnsi"/>
          <w:sz w:val="24"/>
          <w:szCs w:val="24"/>
          <w:lang w:eastAsia="en-GB"/>
        </w:rPr>
        <w:t xml:space="preserve">the  Continental European </w:t>
      </w:r>
      <w:r w:rsidR="00F77CBC" w:rsidRPr="005927F3">
        <w:rPr>
          <w:rFonts w:eastAsia="Times New Roman" w:cstheme="minorHAnsi"/>
          <w:sz w:val="24"/>
          <w:szCs w:val="24"/>
          <w:lang w:eastAsia="en-GB"/>
        </w:rPr>
        <w:t xml:space="preserve">culture </w:t>
      </w:r>
      <w:r w:rsidR="00713FF1" w:rsidRPr="005927F3">
        <w:rPr>
          <w:rFonts w:eastAsia="Times New Roman" w:cstheme="minorHAnsi"/>
          <w:sz w:val="24"/>
          <w:szCs w:val="24"/>
          <w:lang w:eastAsia="en-GB"/>
        </w:rPr>
        <w:t>of privacy</w:t>
      </w:r>
      <w:r w:rsidR="00F77CBC" w:rsidRPr="005927F3">
        <w:rPr>
          <w:rFonts w:eastAsia="Times New Roman" w:cstheme="minorHAnsi"/>
          <w:sz w:val="24"/>
          <w:szCs w:val="24"/>
          <w:lang w:eastAsia="en-GB"/>
        </w:rPr>
        <w:t>, and GDPR normativity</w:t>
      </w:r>
      <w:r w:rsidR="00713FF1" w:rsidRPr="005927F3">
        <w:rPr>
          <w:rFonts w:eastAsia="Times New Roman" w:cstheme="minorHAnsi"/>
          <w:sz w:val="24"/>
          <w:szCs w:val="24"/>
          <w:lang w:eastAsia="en-GB"/>
        </w:rPr>
        <w:t xml:space="preserve">. </w:t>
      </w:r>
      <w:r w:rsidR="00836B19" w:rsidRPr="005927F3">
        <w:rPr>
          <w:rFonts w:eastAsia="Times New Roman" w:cstheme="minorHAnsi"/>
          <w:sz w:val="24"/>
          <w:szCs w:val="24"/>
          <w:lang w:eastAsia="en-GB"/>
        </w:rPr>
        <w:t xml:space="preserve"> </w:t>
      </w:r>
      <w:r w:rsidR="00C510E1" w:rsidRPr="005927F3">
        <w:rPr>
          <w:rFonts w:eastAsia="Times New Roman" w:cstheme="minorHAnsi"/>
          <w:sz w:val="24"/>
          <w:szCs w:val="24"/>
          <w:lang w:eastAsia="en-GB"/>
        </w:rPr>
        <w:t>Arguably</w:t>
      </w:r>
      <w:r w:rsidR="000C53EB" w:rsidRPr="005927F3">
        <w:rPr>
          <w:rFonts w:eastAsia="Times New Roman" w:cstheme="minorHAnsi"/>
          <w:sz w:val="24"/>
          <w:szCs w:val="24"/>
          <w:lang w:eastAsia="en-GB"/>
        </w:rPr>
        <w:t>,</w:t>
      </w:r>
      <w:r w:rsidR="00C510E1" w:rsidRPr="005927F3">
        <w:rPr>
          <w:rFonts w:eastAsia="Times New Roman" w:cstheme="minorHAnsi"/>
          <w:sz w:val="24"/>
          <w:szCs w:val="24"/>
          <w:lang w:eastAsia="en-GB"/>
        </w:rPr>
        <w:t xml:space="preserve"> for the same reason, any test that seeks to define ‘private’</w:t>
      </w:r>
      <w:r w:rsidR="000C53EB" w:rsidRPr="005927F3">
        <w:rPr>
          <w:rFonts w:eastAsia="Times New Roman" w:cstheme="minorHAnsi"/>
          <w:sz w:val="24"/>
          <w:szCs w:val="24"/>
          <w:lang w:eastAsia="en-GB"/>
        </w:rPr>
        <w:t xml:space="preserve"> and thereby</w:t>
      </w:r>
      <w:r w:rsidR="00C510E1" w:rsidRPr="005927F3">
        <w:rPr>
          <w:rFonts w:eastAsia="Times New Roman" w:cstheme="minorHAnsi"/>
          <w:sz w:val="24"/>
          <w:szCs w:val="24"/>
          <w:lang w:eastAsia="en-GB"/>
        </w:rPr>
        <w:t xml:space="preserve"> imports notions of what </w:t>
      </w:r>
      <w:r w:rsidR="00C510E1" w:rsidRPr="005927F3">
        <w:rPr>
          <w:rFonts w:eastAsia="Times New Roman" w:cstheme="minorHAnsi"/>
          <w:i/>
          <w:sz w:val="24"/>
          <w:szCs w:val="24"/>
          <w:lang w:eastAsia="en-GB"/>
        </w:rPr>
        <w:t>‘</w:t>
      </w:r>
      <w:r w:rsidR="000C53EB" w:rsidRPr="005927F3">
        <w:rPr>
          <w:rFonts w:eastAsia="Times New Roman" w:cstheme="minorHAnsi"/>
          <w:i/>
          <w:sz w:val="24"/>
          <w:szCs w:val="24"/>
          <w:lang w:eastAsia="en-GB"/>
        </w:rPr>
        <w:t>most</w:t>
      </w:r>
      <w:r w:rsidR="000C53EB" w:rsidRPr="005927F3">
        <w:rPr>
          <w:rFonts w:eastAsia="Times New Roman" w:cstheme="minorHAnsi"/>
          <w:sz w:val="24"/>
          <w:szCs w:val="24"/>
          <w:lang w:eastAsia="en-GB"/>
        </w:rPr>
        <w:t xml:space="preserve"> individuals </w:t>
      </w:r>
      <w:proofErr w:type="gramStart"/>
      <w:r w:rsidR="000C53EB" w:rsidRPr="005927F3">
        <w:rPr>
          <w:rFonts w:eastAsia="Times New Roman" w:cstheme="minorHAnsi"/>
          <w:sz w:val="24"/>
          <w:szCs w:val="24"/>
          <w:lang w:eastAsia="en-GB"/>
        </w:rPr>
        <w:t>in a given</w:t>
      </w:r>
      <w:proofErr w:type="gramEnd"/>
      <w:r w:rsidR="000C53EB" w:rsidRPr="005927F3">
        <w:rPr>
          <w:rFonts w:eastAsia="Times New Roman" w:cstheme="minorHAnsi"/>
          <w:sz w:val="24"/>
          <w:szCs w:val="24"/>
          <w:lang w:eastAsia="en-GB"/>
        </w:rPr>
        <w:t xml:space="preserve"> time do not want widely </w:t>
      </w:r>
      <w:r w:rsidR="000C53EB" w:rsidRPr="005927F3">
        <w:rPr>
          <w:rFonts w:eastAsia="Times New Roman" w:cstheme="minorHAnsi"/>
          <w:sz w:val="24"/>
          <w:szCs w:val="24"/>
          <w:lang w:eastAsia="en-GB"/>
        </w:rPr>
        <w:lastRenderedPageBreak/>
        <w:t>known about themselves’</w:t>
      </w:r>
      <w:r w:rsidR="000C53EB" w:rsidRPr="005927F3">
        <w:rPr>
          <w:rStyle w:val="FootnoteReference"/>
          <w:rFonts w:eastAsia="Times New Roman" w:cstheme="minorHAnsi"/>
          <w:sz w:val="24"/>
          <w:szCs w:val="24"/>
          <w:lang w:eastAsia="en-GB"/>
        </w:rPr>
        <w:footnoteReference w:id="167"/>
      </w:r>
      <w:r w:rsidR="00C510E1" w:rsidRPr="005927F3">
        <w:rPr>
          <w:rFonts w:eastAsia="Times New Roman" w:cstheme="minorHAnsi"/>
          <w:sz w:val="24"/>
          <w:szCs w:val="24"/>
          <w:lang w:eastAsia="en-GB"/>
        </w:rPr>
        <w:t xml:space="preserve"> is </w:t>
      </w:r>
      <w:r w:rsidR="00210CD9" w:rsidRPr="005927F3">
        <w:rPr>
          <w:rFonts w:eastAsia="Times New Roman" w:cstheme="minorHAnsi"/>
          <w:sz w:val="24"/>
          <w:szCs w:val="24"/>
          <w:lang w:eastAsia="en-GB"/>
        </w:rPr>
        <w:t xml:space="preserve">also </w:t>
      </w:r>
      <w:r w:rsidR="00C510E1" w:rsidRPr="005927F3">
        <w:rPr>
          <w:rFonts w:eastAsia="Times New Roman" w:cstheme="minorHAnsi"/>
          <w:sz w:val="24"/>
          <w:szCs w:val="24"/>
          <w:lang w:eastAsia="en-GB"/>
        </w:rPr>
        <w:t>irreconcilable with an understanding of privacy as informational autonomy.</w:t>
      </w:r>
      <w:r w:rsidR="000C53EB" w:rsidRPr="005927F3">
        <w:rPr>
          <w:rFonts w:eastAsia="Times New Roman" w:cstheme="minorHAnsi"/>
          <w:sz w:val="24"/>
          <w:szCs w:val="24"/>
          <w:lang w:eastAsia="en-GB"/>
        </w:rPr>
        <w:t xml:space="preserve"> </w:t>
      </w:r>
    </w:p>
    <w:p w14:paraId="2EEE1A1B" w14:textId="77777777" w:rsidR="007E1576" w:rsidRPr="005927F3" w:rsidRDefault="007E1576" w:rsidP="008B308D">
      <w:pPr>
        <w:autoSpaceDE w:val="0"/>
        <w:autoSpaceDN w:val="0"/>
        <w:adjustRightInd w:val="0"/>
        <w:spacing w:after="0" w:line="240" w:lineRule="auto"/>
        <w:jc w:val="both"/>
        <w:rPr>
          <w:rFonts w:eastAsia="Times New Roman" w:cstheme="minorHAnsi"/>
          <w:sz w:val="24"/>
          <w:szCs w:val="24"/>
          <w:lang w:eastAsia="en-GB"/>
        </w:rPr>
      </w:pPr>
    </w:p>
    <w:p w14:paraId="4E51C39B" w14:textId="348241C2" w:rsidR="00012E08" w:rsidRPr="005927F3" w:rsidRDefault="00F81CF6" w:rsidP="008B308D">
      <w:pPr>
        <w:autoSpaceDE w:val="0"/>
        <w:autoSpaceDN w:val="0"/>
        <w:adjustRightInd w:val="0"/>
        <w:spacing w:after="0" w:line="240" w:lineRule="auto"/>
        <w:jc w:val="both"/>
        <w:rPr>
          <w:rStyle w:val="Emphasis"/>
          <w:rFonts w:cstheme="minorHAnsi"/>
          <w:i w:val="0"/>
          <w:sz w:val="24"/>
          <w:szCs w:val="24"/>
        </w:rPr>
      </w:pPr>
      <w:r w:rsidRPr="005927F3">
        <w:rPr>
          <w:rFonts w:eastAsia="Times New Roman" w:cstheme="minorHAnsi"/>
          <w:sz w:val="24"/>
          <w:szCs w:val="24"/>
          <w:u w:val="single"/>
          <w:lang w:eastAsia="en-GB"/>
        </w:rPr>
        <w:t>‘Fores</w:t>
      </w:r>
      <w:r w:rsidR="004E019B" w:rsidRPr="005927F3">
        <w:rPr>
          <w:rFonts w:eastAsia="Times New Roman" w:cstheme="minorHAnsi"/>
          <w:sz w:val="24"/>
          <w:szCs w:val="24"/>
          <w:u w:val="single"/>
          <w:lang w:eastAsia="en-GB"/>
        </w:rPr>
        <w:t>eeable consequences of one’s a</w:t>
      </w:r>
      <w:r w:rsidRPr="005927F3">
        <w:rPr>
          <w:rFonts w:eastAsia="Times New Roman" w:cstheme="minorHAnsi"/>
          <w:sz w:val="24"/>
          <w:szCs w:val="24"/>
          <w:u w:val="single"/>
          <w:lang w:eastAsia="en-GB"/>
        </w:rPr>
        <w:t>ctions’</w:t>
      </w:r>
      <w:r w:rsidRPr="005927F3">
        <w:rPr>
          <w:rFonts w:eastAsia="Times New Roman" w:cstheme="minorHAnsi"/>
          <w:sz w:val="24"/>
          <w:szCs w:val="24"/>
          <w:lang w:eastAsia="en-GB"/>
        </w:rPr>
        <w:t xml:space="preserve"> </w:t>
      </w:r>
      <w:r w:rsidR="002F3C36" w:rsidRPr="005927F3">
        <w:rPr>
          <w:rFonts w:cstheme="minorHAnsi"/>
          <w:sz w:val="24"/>
          <w:szCs w:val="24"/>
        </w:rPr>
        <w:t>A</w:t>
      </w:r>
      <w:r w:rsidR="00961C29" w:rsidRPr="005927F3">
        <w:rPr>
          <w:rFonts w:cstheme="minorHAnsi"/>
          <w:sz w:val="24"/>
          <w:szCs w:val="24"/>
        </w:rPr>
        <w:t>rt</w:t>
      </w:r>
      <w:r w:rsidR="00867322" w:rsidRPr="005927F3">
        <w:rPr>
          <w:rFonts w:cstheme="minorHAnsi"/>
          <w:sz w:val="24"/>
          <w:szCs w:val="24"/>
        </w:rPr>
        <w:t>icle</w:t>
      </w:r>
      <w:r w:rsidR="00961C29" w:rsidRPr="005927F3">
        <w:rPr>
          <w:rFonts w:cstheme="minorHAnsi"/>
          <w:sz w:val="24"/>
          <w:szCs w:val="24"/>
        </w:rPr>
        <w:t xml:space="preserve"> 8 p</w:t>
      </w:r>
      <w:r w:rsidR="000F3335" w:rsidRPr="005927F3">
        <w:rPr>
          <w:rStyle w:val="Emphasis"/>
          <w:rFonts w:cstheme="minorHAnsi"/>
          <w:i w:val="0"/>
          <w:sz w:val="24"/>
          <w:szCs w:val="24"/>
        </w:rPr>
        <w:t>rivacy</w:t>
      </w:r>
      <w:r w:rsidR="00961C29" w:rsidRPr="005927F3">
        <w:rPr>
          <w:rStyle w:val="Emphasis"/>
          <w:rFonts w:cstheme="minorHAnsi"/>
          <w:i w:val="0"/>
          <w:sz w:val="24"/>
          <w:szCs w:val="24"/>
        </w:rPr>
        <w:t xml:space="preserve"> does not </w:t>
      </w:r>
      <w:r w:rsidR="00A91EC8" w:rsidRPr="005927F3">
        <w:rPr>
          <w:rStyle w:val="Emphasis"/>
          <w:rFonts w:cstheme="minorHAnsi"/>
          <w:i w:val="0"/>
          <w:sz w:val="24"/>
          <w:szCs w:val="24"/>
        </w:rPr>
        <w:t xml:space="preserve">shield individuals </w:t>
      </w:r>
      <w:r w:rsidR="000F3335" w:rsidRPr="005927F3">
        <w:rPr>
          <w:rStyle w:val="Emphasis"/>
          <w:rFonts w:cstheme="minorHAnsi"/>
          <w:i w:val="0"/>
          <w:sz w:val="24"/>
          <w:szCs w:val="24"/>
        </w:rPr>
        <w:t>from</w:t>
      </w:r>
      <w:r w:rsidR="001C7EEF" w:rsidRPr="005927F3">
        <w:rPr>
          <w:rStyle w:val="Emphasis"/>
          <w:rFonts w:cstheme="minorHAnsi"/>
          <w:i w:val="0"/>
          <w:sz w:val="24"/>
          <w:szCs w:val="24"/>
        </w:rPr>
        <w:t xml:space="preserve"> </w:t>
      </w:r>
      <w:r w:rsidR="004534D3" w:rsidRPr="005927F3">
        <w:rPr>
          <w:rStyle w:val="Emphasis"/>
          <w:rFonts w:cstheme="minorHAnsi"/>
          <w:i w:val="0"/>
          <w:sz w:val="24"/>
          <w:szCs w:val="24"/>
        </w:rPr>
        <w:t>‘</w:t>
      </w:r>
      <w:r w:rsidR="001C7EEF" w:rsidRPr="005927F3">
        <w:rPr>
          <w:rStyle w:val="Emphasis"/>
          <w:rFonts w:cstheme="minorHAnsi"/>
          <w:i w:val="0"/>
          <w:sz w:val="24"/>
          <w:szCs w:val="24"/>
        </w:rPr>
        <w:t xml:space="preserve">the </w:t>
      </w:r>
      <w:r w:rsidR="001C7EEF" w:rsidRPr="005927F3">
        <w:rPr>
          <w:rFonts w:cstheme="minorHAnsi"/>
          <w:iCs/>
          <w:sz w:val="24"/>
          <w:szCs w:val="24"/>
        </w:rPr>
        <w:t>foreseeable consequence of</w:t>
      </w:r>
      <w:r w:rsidR="000F3335" w:rsidRPr="005927F3">
        <w:rPr>
          <w:rFonts w:cstheme="minorHAnsi"/>
          <w:iCs/>
          <w:sz w:val="24"/>
          <w:szCs w:val="24"/>
        </w:rPr>
        <w:t>… [their]</w:t>
      </w:r>
      <w:r w:rsidR="001C7EEF" w:rsidRPr="005927F3">
        <w:rPr>
          <w:rFonts w:cstheme="minorHAnsi"/>
          <w:iCs/>
          <w:sz w:val="24"/>
          <w:szCs w:val="24"/>
        </w:rPr>
        <w:t xml:space="preserve"> own actions </w:t>
      </w:r>
      <w:r w:rsidR="001C7EEF" w:rsidRPr="005927F3">
        <w:rPr>
          <w:rFonts w:cstheme="minorHAnsi"/>
          <w:sz w:val="24"/>
          <w:szCs w:val="24"/>
        </w:rPr>
        <w:t>such as</w:t>
      </w:r>
      <w:r w:rsidR="00C65662" w:rsidRPr="005927F3">
        <w:rPr>
          <w:rFonts w:cstheme="minorHAnsi"/>
          <w:sz w:val="24"/>
          <w:szCs w:val="24"/>
        </w:rPr>
        <w:t xml:space="preserve">… </w:t>
      </w:r>
      <w:r w:rsidR="001C7EEF" w:rsidRPr="005927F3">
        <w:rPr>
          <w:rFonts w:cstheme="minorHAnsi"/>
          <w:sz w:val="24"/>
          <w:szCs w:val="24"/>
        </w:rPr>
        <w:t>the co</w:t>
      </w:r>
      <w:r w:rsidR="00F90AED" w:rsidRPr="005927F3">
        <w:rPr>
          <w:rFonts w:cstheme="minorHAnsi"/>
          <w:sz w:val="24"/>
          <w:szCs w:val="24"/>
        </w:rPr>
        <w:t>mmission of a criminal offence</w:t>
      </w:r>
      <w:r w:rsidR="00AE1BCD" w:rsidRPr="005927F3">
        <w:rPr>
          <w:rFonts w:cstheme="minorHAnsi"/>
          <w:sz w:val="24"/>
          <w:szCs w:val="24"/>
        </w:rPr>
        <w:t>.</w:t>
      </w:r>
      <w:r w:rsidR="004534D3" w:rsidRPr="005927F3">
        <w:rPr>
          <w:rFonts w:cstheme="minorHAnsi"/>
          <w:sz w:val="24"/>
          <w:szCs w:val="24"/>
        </w:rPr>
        <w:t>’</w:t>
      </w:r>
      <w:r w:rsidR="004534D3" w:rsidRPr="005927F3">
        <w:rPr>
          <w:rStyle w:val="FootnoteReference"/>
          <w:rFonts w:cstheme="minorHAnsi"/>
          <w:sz w:val="24"/>
          <w:szCs w:val="24"/>
        </w:rPr>
        <w:footnoteReference w:id="168"/>
      </w:r>
      <w:r w:rsidR="00241A9B" w:rsidRPr="005927F3">
        <w:rPr>
          <w:rFonts w:cstheme="minorHAnsi"/>
          <w:sz w:val="24"/>
          <w:szCs w:val="24"/>
        </w:rPr>
        <w:t xml:space="preserve"> </w:t>
      </w:r>
      <w:r w:rsidR="00800099" w:rsidRPr="005927F3">
        <w:rPr>
          <w:rFonts w:cstheme="minorHAnsi"/>
          <w:sz w:val="24"/>
          <w:szCs w:val="24"/>
        </w:rPr>
        <w:t xml:space="preserve"> </w:t>
      </w:r>
      <w:r w:rsidR="005C32AA" w:rsidRPr="005927F3">
        <w:rPr>
          <w:rFonts w:cstheme="minorHAnsi"/>
          <w:sz w:val="24"/>
          <w:szCs w:val="24"/>
        </w:rPr>
        <w:t>T</w:t>
      </w:r>
      <w:r w:rsidR="007E35C6" w:rsidRPr="005927F3">
        <w:rPr>
          <w:rFonts w:cstheme="minorHAnsi"/>
          <w:sz w:val="24"/>
          <w:szCs w:val="24"/>
        </w:rPr>
        <w:t>his</w:t>
      </w:r>
      <w:r w:rsidR="003F67A5" w:rsidRPr="005927F3">
        <w:rPr>
          <w:rFonts w:cstheme="minorHAnsi"/>
          <w:sz w:val="24"/>
          <w:szCs w:val="24"/>
        </w:rPr>
        <w:t xml:space="preserve"> </w:t>
      </w:r>
      <w:r w:rsidR="005C32AA" w:rsidRPr="005927F3">
        <w:rPr>
          <w:rFonts w:cstheme="minorHAnsi"/>
          <w:sz w:val="24"/>
          <w:szCs w:val="24"/>
        </w:rPr>
        <w:t xml:space="preserve">privacy </w:t>
      </w:r>
      <w:r w:rsidR="00131C7F" w:rsidRPr="005927F3">
        <w:rPr>
          <w:rFonts w:cstheme="minorHAnsi"/>
          <w:sz w:val="24"/>
          <w:szCs w:val="24"/>
        </w:rPr>
        <w:t xml:space="preserve">conception </w:t>
      </w:r>
      <w:r w:rsidR="005C32AA" w:rsidRPr="005927F3">
        <w:rPr>
          <w:rFonts w:cstheme="minorHAnsi"/>
          <w:sz w:val="24"/>
          <w:szCs w:val="24"/>
        </w:rPr>
        <w:t>does</w:t>
      </w:r>
      <w:r w:rsidR="00241A9B" w:rsidRPr="005927F3">
        <w:rPr>
          <w:rFonts w:cstheme="minorHAnsi"/>
          <w:sz w:val="24"/>
          <w:szCs w:val="24"/>
        </w:rPr>
        <w:t xml:space="preserve"> not </w:t>
      </w:r>
      <w:r w:rsidR="00CC05CA" w:rsidRPr="005927F3">
        <w:rPr>
          <w:rFonts w:cstheme="minorHAnsi"/>
          <w:sz w:val="24"/>
          <w:szCs w:val="24"/>
        </w:rPr>
        <w:t xml:space="preserve">protect an individual </w:t>
      </w:r>
      <w:r w:rsidR="00852BF6" w:rsidRPr="005927F3">
        <w:rPr>
          <w:rFonts w:cstheme="minorHAnsi"/>
          <w:sz w:val="24"/>
          <w:szCs w:val="24"/>
        </w:rPr>
        <w:t>from</w:t>
      </w:r>
      <w:r w:rsidR="00CC05CA" w:rsidRPr="005927F3">
        <w:rPr>
          <w:rFonts w:cstheme="minorHAnsi"/>
          <w:sz w:val="24"/>
          <w:szCs w:val="24"/>
        </w:rPr>
        <w:t xml:space="preserve"> her</w:t>
      </w:r>
      <w:r w:rsidR="00852BF6" w:rsidRPr="005927F3">
        <w:rPr>
          <w:rFonts w:cstheme="minorHAnsi"/>
          <w:sz w:val="24"/>
          <w:szCs w:val="24"/>
        </w:rPr>
        <w:t xml:space="preserve">self, </w:t>
      </w:r>
      <w:r w:rsidR="00CC05CA" w:rsidRPr="005927F3">
        <w:rPr>
          <w:rFonts w:cstheme="minorHAnsi"/>
          <w:sz w:val="24"/>
          <w:szCs w:val="24"/>
        </w:rPr>
        <w:t xml:space="preserve">which </w:t>
      </w:r>
      <w:r w:rsidR="00030D10" w:rsidRPr="005927F3">
        <w:rPr>
          <w:rFonts w:cstheme="minorHAnsi"/>
          <w:sz w:val="24"/>
          <w:szCs w:val="24"/>
        </w:rPr>
        <w:t xml:space="preserve">echoes the </w:t>
      </w:r>
      <w:r w:rsidR="00F90AED" w:rsidRPr="005927F3">
        <w:rPr>
          <w:rFonts w:cstheme="minorHAnsi"/>
          <w:sz w:val="24"/>
          <w:szCs w:val="24"/>
        </w:rPr>
        <w:t>American</w:t>
      </w:r>
      <w:r w:rsidR="004E019B" w:rsidRPr="005927F3">
        <w:rPr>
          <w:rFonts w:cstheme="minorHAnsi"/>
          <w:sz w:val="24"/>
          <w:szCs w:val="24"/>
        </w:rPr>
        <w:t xml:space="preserve"> </w:t>
      </w:r>
      <w:r w:rsidR="007E35C6" w:rsidRPr="005927F3">
        <w:rPr>
          <w:rFonts w:cstheme="minorHAnsi"/>
          <w:i/>
          <w:sz w:val="24"/>
          <w:szCs w:val="24"/>
        </w:rPr>
        <w:t>laissez-faire</w:t>
      </w:r>
      <w:r w:rsidR="00131C7F" w:rsidRPr="005927F3">
        <w:rPr>
          <w:rFonts w:cstheme="minorHAnsi"/>
          <w:sz w:val="24"/>
          <w:szCs w:val="24"/>
        </w:rPr>
        <w:t xml:space="preserve"> </w:t>
      </w:r>
      <w:r w:rsidR="00D53704" w:rsidRPr="005927F3">
        <w:rPr>
          <w:rFonts w:cstheme="minorHAnsi"/>
          <w:sz w:val="24"/>
          <w:szCs w:val="24"/>
        </w:rPr>
        <w:t xml:space="preserve">attitude </w:t>
      </w:r>
      <w:r w:rsidR="00F90AED" w:rsidRPr="005927F3">
        <w:rPr>
          <w:rFonts w:cstheme="minorHAnsi"/>
          <w:sz w:val="24"/>
          <w:szCs w:val="24"/>
        </w:rPr>
        <w:t xml:space="preserve">to </w:t>
      </w:r>
      <w:r w:rsidR="00852BF6" w:rsidRPr="005927F3">
        <w:rPr>
          <w:rFonts w:cstheme="minorHAnsi"/>
          <w:sz w:val="24"/>
          <w:szCs w:val="24"/>
        </w:rPr>
        <w:t>social</w:t>
      </w:r>
      <w:r w:rsidR="00F90AED" w:rsidRPr="005927F3">
        <w:rPr>
          <w:rFonts w:cstheme="minorHAnsi"/>
          <w:sz w:val="24"/>
          <w:szCs w:val="24"/>
        </w:rPr>
        <w:t xml:space="preserve"> consequences of </w:t>
      </w:r>
      <w:r w:rsidR="007E35C6" w:rsidRPr="005927F3">
        <w:rPr>
          <w:rFonts w:cstheme="minorHAnsi"/>
          <w:sz w:val="24"/>
          <w:szCs w:val="24"/>
        </w:rPr>
        <w:t>an individual</w:t>
      </w:r>
      <w:r w:rsidR="00012E08" w:rsidRPr="005927F3">
        <w:rPr>
          <w:rFonts w:cstheme="minorHAnsi"/>
          <w:sz w:val="24"/>
          <w:szCs w:val="24"/>
        </w:rPr>
        <w:t>’s</w:t>
      </w:r>
      <w:r w:rsidR="00F90AED" w:rsidRPr="005927F3">
        <w:rPr>
          <w:rFonts w:cstheme="minorHAnsi"/>
          <w:sz w:val="24"/>
          <w:szCs w:val="24"/>
        </w:rPr>
        <w:t xml:space="preserve"> action</w:t>
      </w:r>
      <w:r w:rsidR="00833354" w:rsidRPr="005927F3">
        <w:rPr>
          <w:rFonts w:cstheme="minorHAnsi"/>
          <w:sz w:val="24"/>
          <w:szCs w:val="24"/>
        </w:rPr>
        <w:t>s</w:t>
      </w:r>
      <w:r w:rsidR="005C32AA" w:rsidRPr="005927F3">
        <w:rPr>
          <w:rFonts w:cstheme="minorHAnsi"/>
          <w:sz w:val="24"/>
          <w:szCs w:val="24"/>
        </w:rPr>
        <w:t>. It is not for the State to intervene in social relations</w:t>
      </w:r>
      <w:r w:rsidR="00BB0A53" w:rsidRPr="005927F3">
        <w:rPr>
          <w:rFonts w:cstheme="minorHAnsi"/>
          <w:sz w:val="24"/>
          <w:szCs w:val="24"/>
        </w:rPr>
        <w:t xml:space="preserve"> </w:t>
      </w:r>
      <w:r w:rsidR="00A710C1" w:rsidRPr="005927F3">
        <w:rPr>
          <w:rFonts w:cstheme="minorHAnsi"/>
          <w:sz w:val="24"/>
          <w:szCs w:val="24"/>
        </w:rPr>
        <w:t xml:space="preserve">on dignity grounds </w:t>
      </w:r>
      <w:r w:rsidR="00012E08" w:rsidRPr="005927F3">
        <w:rPr>
          <w:rFonts w:cstheme="minorHAnsi"/>
          <w:sz w:val="24"/>
          <w:szCs w:val="24"/>
        </w:rPr>
        <w:t>and</w:t>
      </w:r>
      <w:r w:rsidR="005C32AA" w:rsidRPr="005927F3">
        <w:rPr>
          <w:rFonts w:cstheme="minorHAnsi"/>
          <w:sz w:val="24"/>
          <w:szCs w:val="24"/>
        </w:rPr>
        <w:t xml:space="preserve"> protect individuals from </w:t>
      </w:r>
      <w:r w:rsidR="00CC05CA" w:rsidRPr="005927F3">
        <w:rPr>
          <w:rFonts w:cstheme="minorHAnsi"/>
          <w:sz w:val="24"/>
          <w:szCs w:val="24"/>
        </w:rPr>
        <w:t xml:space="preserve">communal judgment. </w:t>
      </w:r>
      <w:r w:rsidR="00131C7F" w:rsidRPr="005927F3">
        <w:rPr>
          <w:rFonts w:cstheme="minorHAnsi"/>
          <w:sz w:val="24"/>
          <w:szCs w:val="24"/>
        </w:rPr>
        <w:t>T</w:t>
      </w:r>
      <w:r w:rsidR="000E7C6F" w:rsidRPr="005927F3">
        <w:rPr>
          <w:rFonts w:cstheme="minorHAnsi"/>
          <w:sz w:val="24"/>
          <w:szCs w:val="24"/>
        </w:rPr>
        <w:t xml:space="preserve">his </w:t>
      </w:r>
      <w:r w:rsidR="00BB0A53" w:rsidRPr="005927F3">
        <w:rPr>
          <w:rFonts w:cstheme="minorHAnsi"/>
          <w:sz w:val="24"/>
          <w:szCs w:val="24"/>
        </w:rPr>
        <w:t>idea</w:t>
      </w:r>
      <w:r w:rsidR="000E7C6F" w:rsidRPr="005927F3">
        <w:rPr>
          <w:rFonts w:cstheme="minorHAnsi"/>
          <w:sz w:val="24"/>
          <w:szCs w:val="24"/>
        </w:rPr>
        <w:t xml:space="preserve"> </w:t>
      </w:r>
      <w:r w:rsidR="00D53704" w:rsidRPr="005927F3">
        <w:rPr>
          <w:rFonts w:cstheme="minorHAnsi"/>
          <w:sz w:val="24"/>
          <w:szCs w:val="24"/>
        </w:rPr>
        <w:t xml:space="preserve">has </w:t>
      </w:r>
      <w:r w:rsidR="000E7C6F" w:rsidRPr="005927F3">
        <w:rPr>
          <w:rFonts w:cstheme="minorHAnsi"/>
          <w:sz w:val="24"/>
          <w:szCs w:val="24"/>
        </w:rPr>
        <w:t>found expression in</w:t>
      </w:r>
      <w:r w:rsidR="00BB0A53" w:rsidRPr="005927F3">
        <w:rPr>
          <w:rFonts w:cstheme="minorHAnsi"/>
          <w:sz w:val="24"/>
          <w:szCs w:val="24"/>
        </w:rPr>
        <w:t xml:space="preserve"> the distinction drawn </w:t>
      </w:r>
      <w:r w:rsidR="00131C7F" w:rsidRPr="005927F3">
        <w:rPr>
          <w:rFonts w:cstheme="minorHAnsi"/>
          <w:sz w:val="24"/>
          <w:szCs w:val="24"/>
        </w:rPr>
        <w:t>between voluntar</w:t>
      </w:r>
      <w:r w:rsidR="00D53704" w:rsidRPr="005927F3">
        <w:rPr>
          <w:rFonts w:cstheme="minorHAnsi"/>
          <w:sz w:val="24"/>
          <w:szCs w:val="24"/>
        </w:rPr>
        <w:t xml:space="preserve">y and involuntary events as </w:t>
      </w:r>
      <w:r w:rsidR="00BB0A53" w:rsidRPr="005927F3">
        <w:rPr>
          <w:rFonts w:cstheme="minorHAnsi"/>
          <w:sz w:val="24"/>
          <w:szCs w:val="24"/>
        </w:rPr>
        <w:t xml:space="preserve">in </w:t>
      </w:r>
      <w:r w:rsidR="00131C7F" w:rsidRPr="005927F3">
        <w:rPr>
          <w:rFonts w:cstheme="minorHAnsi"/>
          <w:sz w:val="24"/>
          <w:szCs w:val="24"/>
        </w:rPr>
        <w:t xml:space="preserve">the US case of </w:t>
      </w:r>
      <w:r w:rsidR="00131C7F" w:rsidRPr="005927F3">
        <w:rPr>
          <w:rFonts w:cstheme="minorHAnsi"/>
          <w:i/>
          <w:sz w:val="24"/>
          <w:szCs w:val="24"/>
        </w:rPr>
        <w:t>Daily Times Democrat v Graham</w:t>
      </w:r>
      <w:r w:rsidR="00131C7F" w:rsidRPr="005927F3">
        <w:rPr>
          <w:rFonts w:cstheme="minorHAnsi"/>
          <w:sz w:val="24"/>
          <w:szCs w:val="24"/>
        </w:rPr>
        <w:t xml:space="preserve"> (1964)</w:t>
      </w:r>
      <w:r w:rsidR="00131C7F" w:rsidRPr="005927F3">
        <w:rPr>
          <w:rStyle w:val="FootnoteReference"/>
          <w:rFonts w:cstheme="minorHAnsi"/>
          <w:sz w:val="24"/>
          <w:szCs w:val="24"/>
        </w:rPr>
        <w:footnoteReference w:id="169"/>
      </w:r>
      <w:r w:rsidR="00972C4B" w:rsidRPr="005927F3">
        <w:rPr>
          <w:rFonts w:cstheme="minorHAnsi"/>
          <w:sz w:val="24"/>
          <w:szCs w:val="24"/>
        </w:rPr>
        <w:t xml:space="preserve"> concerning </w:t>
      </w:r>
      <w:r w:rsidR="007D3C2C" w:rsidRPr="005927F3">
        <w:rPr>
          <w:rFonts w:cstheme="minorHAnsi"/>
          <w:sz w:val="24"/>
          <w:szCs w:val="24"/>
        </w:rPr>
        <w:t>a wind gust blowing up the dress of an ordinary woman exposing her body waist down,</w:t>
      </w:r>
      <w:r w:rsidR="00131C7F" w:rsidRPr="005927F3">
        <w:rPr>
          <w:rFonts w:cstheme="minorHAnsi"/>
          <w:sz w:val="24"/>
          <w:szCs w:val="24"/>
        </w:rPr>
        <w:t xml:space="preserve"> and</w:t>
      </w:r>
      <w:r w:rsidR="00D53704" w:rsidRPr="005927F3">
        <w:rPr>
          <w:rFonts w:cstheme="minorHAnsi"/>
          <w:sz w:val="24"/>
          <w:szCs w:val="24"/>
        </w:rPr>
        <w:t xml:space="preserve"> also</w:t>
      </w:r>
      <w:r w:rsidR="00131C7F" w:rsidRPr="005927F3">
        <w:rPr>
          <w:rFonts w:cstheme="minorHAnsi"/>
          <w:sz w:val="24"/>
          <w:szCs w:val="24"/>
        </w:rPr>
        <w:t xml:space="preserve"> </w:t>
      </w:r>
      <w:r w:rsidR="000E7C6F" w:rsidRPr="005927F3">
        <w:rPr>
          <w:rFonts w:cstheme="minorHAnsi"/>
          <w:sz w:val="24"/>
          <w:szCs w:val="24"/>
        </w:rPr>
        <w:t xml:space="preserve">in </w:t>
      </w:r>
      <w:r w:rsidR="004D6DB7" w:rsidRPr="005927F3">
        <w:rPr>
          <w:rFonts w:cstheme="minorHAnsi"/>
          <w:sz w:val="24"/>
          <w:szCs w:val="24"/>
        </w:rPr>
        <w:t>the concept of implied consent or waiver of privacy entitlements.</w:t>
      </w:r>
      <w:r w:rsidR="00131C7F" w:rsidRPr="005927F3">
        <w:rPr>
          <w:rStyle w:val="FootnoteReference"/>
          <w:rFonts w:cstheme="minorHAnsi"/>
          <w:sz w:val="24"/>
          <w:szCs w:val="24"/>
        </w:rPr>
        <w:footnoteReference w:id="170"/>
      </w:r>
      <w:r w:rsidR="00131C7F" w:rsidRPr="005927F3">
        <w:rPr>
          <w:rFonts w:cstheme="minorHAnsi"/>
          <w:sz w:val="24"/>
          <w:szCs w:val="24"/>
        </w:rPr>
        <w:t xml:space="preserve"> </w:t>
      </w:r>
      <w:r w:rsidR="00833354" w:rsidRPr="005927F3">
        <w:rPr>
          <w:rFonts w:cstheme="minorHAnsi"/>
          <w:sz w:val="24"/>
          <w:szCs w:val="24"/>
        </w:rPr>
        <w:t>Art 8</w:t>
      </w:r>
      <w:r w:rsidR="005C32AA" w:rsidRPr="005927F3">
        <w:rPr>
          <w:rFonts w:cstheme="minorHAnsi"/>
          <w:sz w:val="24"/>
          <w:szCs w:val="24"/>
        </w:rPr>
        <w:t>’s</w:t>
      </w:r>
      <w:r w:rsidR="00470458" w:rsidRPr="005927F3">
        <w:rPr>
          <w:rFonts w:cstheme="minorHAnsi"/>
          <w:sz w:val="24"/>
          <w:szCs w:val="24"/>
        </w:rPr>
        <w:t xml:space="preserve"> </w:t>
      </w:r>
      <w:r w:rsidR="00470458" w:rsidRPr="005927F3">
        <w:rPr>
          <w:rFonts w:cstheme="minorHAnsi"/>
          <w:i/>
          <w:sz w:val="24"/>
          <w:szCs w:val="24"/>
        </w:rPr>
        <w:t>prima facie</w:t>
      </w:r>
      <w:r w:rsidR="00833354" w:rsidRPr="005927F3">
        <w:rPr>
          <w:rFonts w:cstheme="minorHAnsi"/>
          <w:sz w:val="24"/>
          <w:szCs w:val="24"/>
        </w:rPr>
        <w:t xml:space="preserve"> indifference </w:t>
      </w:r>
      <w:r w:rsidR="005972F2" w:rsidRPr="005927F3">
        <w:rPr>
          <w:rFonts w:cstheme="minorHAnsi"/>
          <w:sz w:val="24"/>
          <w:szCs w:val="24"/>
        </w:rPr>
        <w:t xml:space="preserve">to </w:t>
      </w:r>
      <w:r w:rsidR="005972F2" w:rsidRPr="005927F3">
        <w:rPr>
          <w:rFonts w:cstheme="minorHAnsi"/>
          <w:i/>
          <w:sz w:val="24"/>
          <w:szCs w:val="24"/>
        </w:rPr>
        <w:t>self-inflicted</w:t>
      </w:r>
      <w:r w:rsidR="00917C70" w:rsidRPr="005927F3">
        <w:rPr>
          <w:rFonts w:cstheme="minorHAnsi"/>
          <w:sz w:val="24"/>
          <w:szCs w:val="24"/>
        </w:rPr>
        <w:t xml:space="preserve"> </w:t>
      </w:r>
      <w:r w:rsidR="005972F2" w:rsidRPr="005927F3">
        <w:rPr>
          <w:rFonts w:cstheme="minorHAnsi"/>
          <w:sz w:val="24"/>
          <w:szCs w:val="24"/>
        </w:rPr>
        <w:t>reputational damage provided</w:t>
      </w:r>
      <w:r w:rsidR="002C1412" w:rsidRPr="005927F3">
        <w:rPr>
          <w:rFonts w:cstheme="minorHAnsi"/>
          <w:sz w:val="24"/>
          <w:szCs w:val="24"/>
        </w:rPr>
        <w:t xml:space="preserve"> the background to the assessment of the </w:t>
      </w:r>
      <w:r w:rsidR="00756416" w:rsidRPr="005927F3">
        <w:rPr>
          <w:rFonts w:cstheme="minorHAnsi"/>
          <w:sz w:val="24"/>
          <w:szCs w:val="24"/>
        </w:rPr>
        <w:t xml:space="preserve">anonymity claims in </w:t>
      </w:r>
      <w:r w:rsidR="00756416" w:rsidRPr="005927F3">
        <w:rPr>
          <w:rStyle w:val="Emphasis"/>
          <w:rFonts w:cstheme="minorHAnsi"/>
          <w:sz w:val="24"/>
          <w:szCs w:val="24"/>
        </w:rPr>
        <w:t>ML &amp; WW</w:t>
      </w:r>
      <w:r w:rsidR="007C112D" w:rsidRPr="005927F3">
        <w:rPr>
          <w:rStyle w:val="Emphasis"/>
          <w:rFonts w:cstheme="minorHAnsi"/>
          <w:i w:val="0"/>
          <w:sz w:val="24"/>
          <w:szCs w:val="24"/>
        </w:rPr>
        <w:t>,</w:t>
      </w:r>
      <w:r w:rsidR="00A41219" w:rsidRPr="005927F3">
        <w:rPr>
          <w:rStyle w:val="FootnoteReference"/>
          <w:rFonts w:cstheme="minorHAnsi"/>
          <w:iCs/>
          <w:sz w:val="24"/>
          <w:szCs w:val="24"/>
        </w:rPr>
        <w:footnoteReference w:id="171"/>
      </w:r>
      <w:r w:rsidR="007C112D" w:rsidRPr="005927F3">
        <w:rPr>
          <w:rStyle w:val="Emphasis"/>
          <w:rFonts w:cstheme="minorHAnsi"/>
          <w:sz w:val="24"/>
          <w:szCs w:val="24"/>
        </w:rPr>
        <w:t xml:space="preserve"> </w:t>
      </w:r>
      <w:r w:rsidR="002C1412" w:rsidRPr="005927F3">
        <w:rPr>
          <w:rStyle w:val="Emphasis"/>
          <w:rFonts w:cstheme="minorHAnsi"/>
          <w:i w:val="0"/>
          <w:sz w:val="24"/>
          <w:szCs w:val="24"/>
        </w:rPr>
        <w:t>and</w:t>
      </w:r>
      <w:r w:rsidR="00C65662" w:rsidRPr="005927F3">
        <w:rPr>
          <w:rStyle w:val="Emphasis"/>
          <w:rFonts w:cstheme="minorHAnsi"/>
          <w:i w:val="0"/>
          <w:sz w:val="24"/>
          <w:szCs w:val="24"/>
        </w:rPr>
        <w:t xml:space="preserve"> </w:t>
      </w:r>
      <w:r w:rsidR="00917C70" w:rsidRPr="005927F3">
        <w:rPr>
          <w:rStyle w:val="Emphasis"/>
          <w:rFonts w:cstheme="minorHAnsi"/>
          <w:i w:val="0"/>
          <w:sz w:val="24"/>
          <w:szCs w:val="24"/>
        </w:rPr>
        <w:t xml:space="preserve">was </w:t>
      </w:r>
      <w:r w:rsidR="00260277" w:rsidRPr="005927F3">
        <w:rPr>
          <w:rStyle w:val="Emphasis"/>
          <w:rFonts w:cstheme="minorHAnsi"/>
          <w:i w:val="0"/>
          <w:sz w:val="24"/>
          <w:szCs w:val="24"/>
        </w:rPr>
        <w:t>injected</w:t>
      </w:r>
      <w:r w:rsidR="00A91EC8" w:rsidRPr="005927F3">
        <w:rPr>
          <w:rStyle w:val="Emphasis"/>
          <w:rFonts w:cstheme="minorHAnsi"/>
          <w:i w:val="0"/>
          <w:sz w:val="24"/>
          <w:szCs w:val="24"/>
        </w:rPr>
        <w:t xml:space="preserve"> into</w:t>
      </w:r>
      <w:r w:rsidR="00C65662" w:rsidRPr="005927F3">
        <w:rPr>
          <w:rStyle w:val="Emphasis"/>
          <w:rFonts w:cstheme="minorHAnsi"/>
          <w:i w:val="0"/>
          <w:sz w:val="24"/>
          <w:szCs w:val="24"/>
        </w:rPr>
        <w:t xml:space="preserve"> the</w:t>
      </w:r>
      <w:r w:rsidR="00917C70" w:rsidRPr="005927F3">
        <w:rPr>
          <w:rStyle w:val="Emphasis"/>
          <w:rFonts w:cstheme="minorHAnsi"/>
          <w:i w:val="0"/>
          <w:sz w:val="24"/>
          <w:szCs w:val="24"/>
        </w:rPr>
        <w:t xml:space="preserve"> data protection claims</w:t>
      </w:r>
      <w:r w:rsidR="002C1412" w:rsidRPr="005927F3">
        <w:rPr>
          <w:rStyle w:val="Emphasis"/>
          <w:rFonts w:cstheme="minorHAnsi"/>
          <w:i w:val="0"/>
          <w:sz w:val="24"/>
          <w:szCs w:val="24"/>
        </w:rPr>
        <w:t xml:space="preserve"> </w:t>
      </w:r>
      <w:r w:rsidR="00260277" w:rsidRPr="005927F3">
        <w:rPr>
          <w:rFonts w:cstheme="minorHAnsi"/>
          <w:sz w:val="24"/>
          <w:szCs w:val="24"/>
        </w:rPr>
        <w:t xml:space="preserve">in </w:t>
      </w:r>
      <w:r w:rsidR="00260277" w:rsidRPr="005927F3">
        <w:rPr>
          <w:rStyle w:val="Emphasis"/>
          <w:rFonts w:cstheme="minorHAnsi"/>
          <w:sz w:val="24"/>
          <w:szCs w:val="24"/>
        </w:rPr>
        <w:t>NT1 &amp; NT2</w:t>
      </w:r>
      <w:r w:rsidR="00131C7F" w:rsidRPr="005927F3">
        <w:rPr>
          <w:rStyle w:val="Emphasis"/>
          <w:rFonts w:cstheme="minorHAnsi"/>
          <w:i w:val="0"/>
          <w:sz w:val="24"/>
          <w:szCs w:val="24"/>
        </w:rPr>
        <w:t>.</w:t>
      </w:r>
      <w:r w:rsidR="003F67A5" w:rsidRPr="005927F3">
        <w:rPr>
          <w:rStyle w:val="Emphasis"/>
          <w:rFonts w:cstheme="minorHAnsi"/>
          <w:i w:val="0"/>
          <w:sz w:val="24"/>
          <w:szCs w:val="24"/>
        </w:rPr>
        <w:t xml:space="preserve"> </w:t>
      </w:r>
      <w:proofErr w:type="spellStart"/>
      <w:r w:rsidR="00260277" w:rsidRPr="005927F3">
        <w:rPr>
          <w:rStyle w:val="Emphasis"/>
          <w:rFonts w:cstheme="minorHAnsi"/>
          <w:i w:val="0"/>
          <w:sz w:val="24"/>
          <w:szCs w:val="24"/>
        </w:rPr>
        <w:t>Warby</w:t>
      </w:r>
      <w:proofErr w:type="spellEnd"/>
      <w:r w:rsidR="00260277" w:rsidRPr="005927F3">
        <w:rPr>
          <w:rStyle w:val="Emphasis"/>
          <w:rFonts w:cstheme="minorHAnsi"/>
          <w:i w:val="0"/>
          <w:sz w:val="24"/>
          <w:szCs w:val="24"/>
        </w:rPr>
        <w:t xml:space="preserve"> </w:t>
      </w:r>
      <w:r w:rsidR="00917C70" w:rsidRPr="005927F3">
        <w:rPr>
          <w:rStyle w:val="Emphasis"/>
          <w:rFonts w:cstheme="minorHAnsi"/>
          <w:i w:val="0"/>
          <w:sz w:val="24"/>
          <w:szCs w:val="24"/>
        </w:rPr>
        <w:t>J</w:t>
      </w:r>
      <w:r w:rsidR="003F67A5" w:rsidRPr="005927F3">
        <w:rPr>
          <w:rStyle w:val="Emphasis"/>
          <w:rFonts w:cstheme="minorHAnsi"/>
          <w:i w:val="0"/>
          <w:sz w:val="24"/>
          <w:szCs w:val="24"/>
        </w:rPr>
        <w:t xml:space="preserve"> held</w:t>
      </w:r>
      <w:r w:rsidR="00917C70" w:rsidRPr="005927F3">
        <w:rPr>
          <w:rStyle w:val="Emphasis"/>
          <w:rFonts w:cstheme="minorHAnsi"/>
          <w:i w:val="0"/>
          <w:sz w:val="24"/>
          <w:szCs w:val="24"/>
        </w:rPr>
        <w:t xml:space="preserve"> </w:t>
      </w:r>
      <w:r w:rsidR="00714112" w:rsidRPr="005927F3">
        <w:rPr>
          <w:rStyle w:val="Emphasis"/>
          <w:rFonts w:cstheme="minorHAnsi"/>
          <w:i w:val="0"/>
          <w:sz w:val="24"/>
          <w:szCs w:val="24"/>
        </w:rPr>
        <w:t>that individuals</w:t>
      </w:r>
      <w:r w:rsidR="00A41219" w:rsidRPr="005927F3">
        <w:rPr>
          <w:rStyle w:val="Emphasis"/>
          <w:rFonts w:cstheme="minorHAnsi"/>
          <w:i w:val="0"/>
          <w:sz w:val="24"/>
          <w:szCs w:val="24"/>
        </w:rPr>
        <w:t xml:space="preserve"> </w:t>
      </w:r>
      <w:r w:rsidR="00902523" w:rsidRPr="005927F3">
        <w:rPr>
          <w:rStyle w:val="Emphasis"/>
          <w:rFonts w:cstheme="minorHAnsi"/>
          <w:i w:val="0"/>
          <w:sz w:val="24"/>
          <w:szCs w:val="24"/>
        </w:rPr>
        <w:t>who commit crimes may be assume</w:t>
      </w:r>
      <w:r w:rsidR="00C65662" w:rsidRPr="005927F3">
        <w:rPr>
          <w:rStyle w:val="Emphasis"/>
          <w:rFonts w:cstheme="minorHAnsi"/>
          <w:i w:val="0"/>
          <w:sz w:val="24"/>
          <w:szCs w:val="24"/>
        </w:rPr>
        <w:t>d</w:t>
      </w:r>
      <w:r w:rsidR="00902523" w:rsidRPr="005927F3">
        <w:rPr>
          <w:rStyle w:val="Emphasis"/>
          <w:rFonts w:cstheme="minorHAnsi"/>
          <w:i w:val="0"/>
          <w:sz w:val="24"/>
          <w:szCs w:val="24"/>
        </w:rPr>
        <w:t xml:space="preserve"> to have </w:t>
      </w:r>
      <w:r w:rsidR="00902523" w:rsidRPr="005927F3">
        <w:rPr>
          <w:rStyle w:val="Emphasis"/>
          <w:rFonts w:cstheme="minorHAnsi"/>
          <w:sz w:val="24"/>
          <w:szCs w:val="24"/>
        </w:rPr>
        <w:t>taken deliberate steps</w:t>
      </w:r>
      <w:r w:rsidR="005C32AA" w:rsidRPr="005927F3">
        <w:rPr>
          <w:rStyle w:val="Emphasis"/>
          <w:rFonts w:cstheme="minorHAnsi"/>
          <w:i w:val="0"/>
          <w:sz w:val="24"/>
          <w:szCs w:val="24"/>
        </w:rPr>
        <w:t xml:space="preserve"> to be in the l</w:t>
      </w:r>
      <w:r w:rsidR="00131C7F" w:rsidRPr="005927F3">
        <w:rPr>
          <w:rStyle w:val="Emphasis"/>
          <w:rFonts w:cstheme="minorHAnsi"/>
          <w:i w:val="0"/>
          <w:sz w:val="24"/>
          <w:szCs w:val="24"/>
        </w:rPr>
        <w:t>imelight</w:t>
      </w:r>
      <w:r w:rsidR="00902523" w:rsidRPr="005927F3">
        <w:rPr>
          <w:rStyle w:val="FootnoteReference"/>
          <w:rFonts w:cstheme="minorHAnsi"/>
          <w:iCs/>
          <w:sz w:val="24"/>
          <w:szCs w:val="24"/>
        </w:rPr>
        <w:footnoteReference w:id="172"/>
      </w:r>
      <w:r w:rsidR="005C32AA" w:rsidRPr="005927F3">
        <w:rPr>
          <w:rStyle w:val="Emphasis"/>
          <w:rFonts w:cstheme="minorHAnsi"/>
          <w:i w:val="0"/>
          <w:sz w:val="24"/>
          <w:szCs w:val="24"/>
        </w:rPr>
        <w:t xml:space="preserve"> </w:t>
      </w:r>
      <w:r w:rsidR="00131C7F" w:rsidRPr="005927F3">
        <w:rPr>
          <w:rStyle w:val="Emphasis"/>
          <w:rFonts w:cstheme="minorHAnsi"/>
          <w:i w:val="0"/>
          <w:sz w:val="24"/>
          <w:szCs w:val="24"/>
        </w:rPr>
        <w:t xml:space="preserve">and </w:t>
      </w:r>
      <w:r w:rsidR="000E7C6F" w:rsidRPr="005927F3">
        <w:rPr>
          <w:rStyle w:val="Emphasis"/>
          <w:rFonts w:cstheme="minorHAnsi"/>
          <w:i w:val="0"/>
          <w:sz w:val="24"/>
          <w:szCs w:val="24"/>
        </w:rPr>
        <w:t xml:space="preserve">so </w:t>
      </w:r>
      <w:r w:rsidR="00012E08" w:rsidRPr="005927F3">
        <w:rPr>
          <w:rStyle w:val="Emphasis"/>
          <w:rFonts w:cstheme="minorHAnsi"/>
          <w:i w:val="0"/>
          <w:sz w:val="24"/>
          <w:szCs w:val="24"/>
        </w:rPr>
        <w:t>can</w:t>
      </w:r>
      <w:r w:rsidR="000E7C6F" w:rsidRPr="005927F3">
        <w:rPr>
          <w:rStyle w:val="Emphasis"/>
          <w:rFonts w:cstheme="minorHAnsi"/>
          <w:i w:val="0"/>
          <w:sz w:val="24"/>
          <w:szCs w:val="24"/>
        </w:rPr>
        <w:t>not complain about the availability of the information that</w:t>
      </w:r>
      <w:r w:rsidR="00A710C1" w:rsidRPr="005927F3">
        <w:rPr>
          <w:rStyle w:val="Emphasis"/>
          <w:rFonts w:cstheme="minorHAnsi"/>
          <w:i w:val="0"/>
          <w:sz w:val="24"/>
          <w:szCs w:val="24"/>
        </w:rPr>
        <w:t xml:space="preserve"> had been</w:t>
      </w:r>
      <w:r w:rsidR="000E7C6F" w:rsidRPr="005927F3">
        <w:rPr>
          <w:rFonts w:cstheme="minorHAnsi"/>
          <w:sz w:val="24"/>
          <w:szCs w:val="24"/>
        </w:rPr>
        <w:t xml:space="preserve"> ‘manifestly made public’ by them.</w:t>
      </w:r>
      <w:r w:rsidR="000E7C6F" w:rsidRPr="005927F3">
        <w:rPr>
          <w:rFonts w:cstheme="minorHAnsi"/>
        </w:rPr>
        <w:t xml:space="preserve"> </w:t>
      </w:r>
      <w:r w:rsidR="003F67A5" w:rsidRPr="005927F3">
        <w:rPr>
          <w:rStyle w:val="Emphasis"/>
          <w:rFonts w:cstheme="minorHAnsi"/>
          <w:i w:val="0"/>
          <w:sz w:val="24"/>
          <w:szCs w:val="24"/>
        </w:rPr>
        <w:t xml:space="preserve">Citing Stephen J in </w:t>
      </w:r>
      <w:r w:rsidR="003F67A5" w:rsidRPr="005927F3">
        <w:rPr>
          <w:rStyle w:val="Emphasis"/>
          <w:rFonts w:cstheme="minorHAnsi"/>
          <w:sz w:val="24"/>
          <w:szCs w:val="24"/>
        </w:rPr>
        <w:t>Townsend v Google Inc</w:t>
      </w:r>
      <w:r w:rsidR="003F67A5" w:rsidRPr="005927F3">
        <w:rPr>
          <w:rStyle w:val="Emphasis"/>
          <w:rFonts w:cstheme="minorHAnsi"/>
          <w:i w:val="0"/>
          <w:sz w:val="24"/>
          <w:szCs w:val="24"/>
        </w:rPr>
        <w:t xml:space="preserve"> (2017)</w:t>
      </w:r>
      <w:r w:rsidR="004111C7" w:rsidRPr="005927F3">
        <w:rPr>
          <w:rStyle w:val="Emphasis"/>
          <w:rFonts w:cstheme="minorHAnsi"/>
          <w:i w:val="0"/>
          <w:sz w:val="24"/>
          <w:szCs w:val="24"/>
        </w:rPr>
        <w:t>,</w:t>
      </w:r>
      <w:r w:rsidR="007E35C6" w:rsidRPr="005927F3">
        <w:rPr>
          <w:rStyle w:val="FootnoteReference"/>
          <w:rFonts w:cstheme="minorHAnsi"/>
          <w:iCs/>
          <w:sz w:val="24"/>
          <w:szCs w:val="24"/>
        </w:rPr>
        <w:footnoteReference w:id="173"/>
      </w:r>
      <w:r w:rsidR="005C32AA" w:rsidRPr="005927F3">
        <w:rPr>
          <w:rStyle w:val="Emphasis"/>
          <w:rFonts w:cstheme="minorHAnsi"/>
          <w:i w:val="0"/>
          <w:sz w:val="24"/>
          <w:szCs w:val="24"/>
        </w:rPr>
        <w:t xml:space="preserve"> </w:t>
      </w:r>
      <w:r w:rsidR="000E7C6F" w:rsidRPr="005927F3">
        <w:rPr>
          <w:rStyle w:val="Emphasis"/>
          <w:rFonts w:cstheme="minorHAnsi"/>
          <w:i w:val="0"/>
          <w:sz w:val="24"/>
          <w:szCs w:val="24"/>
        </w:rPr>
        <w:t xml:space="preserve">he reasoned </w:t>
      </w:r>
      <w:r w:rsidR="003F67A5" w:rsidRPr="005927F3">
        <w:rPr>
          <w:rStyle w:val="Emphasis"/>
          <w:rFonts w:cstheme="minorHAnsi"/>
          <w:i w:val="0"/>
          <w:sz w:val="24"/>
          <w:szCs w:val="24"/>
        </w:rPr>
        <w:t xml:space="preserve">that ‘legally as a consequences of the open justice </w:t>
      </w:r>
      <w:r w:rsidR="00C70AA4" w:rsidRPr="005927F3">
        <w:rPr>
          <w:rStyle w:val="Emphasis"/>
          <w:rFonts w:cstheme="minorHAnsi"/>
          <w:i w:val="0"/>
          <w:sz w:val="24"/>
          <w:szCs w:val="24"/>
        </w:rPr>
        <w:t xml:space="preserve">principle by committing an offence he </w:t>
      </w:r>
      <w:r w:rsidR="003F67A5" w:rsidRPr="005927F3">
        <w:rPr>
          <w:rStyle w:val="Emphasis"/>
          <w:rFonts w:cstheme="minorHAnsi"/>
          <w:i w:val="0"/>
          <w:sz w:val="24"/>
          <w:szCs w:val="24"/>
        </w:rPr>
        <w:t>[the offender] is deliberately taking steps to make the information public.’</w:t>
      </w:r>
      <w:r w:rsidR="003F67A5" w:rsidRPr="005927F3">
        <w:rPr>
          <w:rStyle w:val="FootnoteReference"/>
          <w:rFonts w:cstheme="minorHAnsi"/>
          <w:iCs/>
          <w:sz w:val="24"/>
          <w:szCs w:val="24"/>
        </w:rPr>
        <w:footnoteReference w:id="174"/>
      </w:r>
      <w:r w:rsidR="003F67A5" w:rsidRPr="005927F3">
        <w:rPr>
          <w:rStyle w:val="Emphasis"/>
          <w:rFonts w:cstheme="minorHAnsi"/>
          <w:i w:val="0"/>
          <w:sz w:val="24"/>
          <w:szCs w:val="24"/>
        </w:rPr>
        <w:t xml:space="preserve"> Considering that most offenders hope not to get caught and many</w:t>
      </w:r>
      <w:r w:rsidR="007E35C6" w:rsidRPr="005927F3">
        <w:rPr>
          <w:rStyle w:val="Emphasis"/>
          <w:rFonts w:cstheme="minorHAnsi"/>
          <w:i w:val="0"/>
          <w:sz w:val="24"/>
          <w:szCs w:val="24"/>
        </w:rPr>
        <w:t xml:space="preserve"> </w:t>
      </w:r>
      <w:r w:rsidR="003F67A5" w:rsidRPr="005927F3">
        <w:rPr>
          <w:rStyle w:val="Emphasis"/>
          <w:rFonts w:cstheme="minorHAnsi"/>
          <w:i w:val="0"/>
          <w:sz w:val="24"/>
          <w:szCs w:val="24"/>
        </w:rPr>
        <w:t>do not,</w:t>
      </w:r>
      <w:r w:rsidR="007E35C6" w:rsidRPr="005927F3">
        <w:rPr>
          <w:rStyle w:val="Emphasis"/>
          <w:rFonts w:cstheme="minorHAnsi"/>
          <w:i w:val="0"/>
          <w:sz w:val="24"/>
          <w:szCs w:val="24"/>
        </w:rPr>
        <w:t xml:space="preserve"> </w:t>
      </w:r>
      <w:r w:rsidR="005C32AA" w:rsidRPr="005927F3">
        <w:rPr>
          <w:rStyle w:val="Emphasis"/>
          <w:rFonts w:cstheme="minorHAnsi"/>
          <w:i w:val="0"/>
          <w:sz w:val="24"/>
          <w:szCs w:val="24"/>
        </w:rPr>
        <w:t>this</w:t>
      </w:r>
      <w:r w:rsidR="007E35C6" w:rsidRPr="005927F3">
        <w:rPr>
          <w:rStyle w:val="Emphasis"/>
          <w:rFonts w:cstheme="minorHAnsi"/>
          <w:i w:val="0"/>
          <w:sz w:val="24"/>
          <w:szCs w:val="24"/>
        </w:rPr>
        <w:t xml:space="preserve"> </w:t>
      </w:r>
      <w:r w:rsidR="003F67A5" w:rsidRPr="005927F3">
        <w:rPr>
          <w:rStyle w:val="Emphasis"/>
          <w:rFonts w:cstheme="minorHAnsi"/>
          <w:i w:val="0"/>
          <w:sz w:val="24"/>
          <w:szCs w:val="24"/>
        </w:rPr>
        <w:t xml:space="preserve">interpretation </w:t>
      </w:r>
      <w:r w:rsidR="007E35C6" w:rsidRPr="005927F3">
        <w:rPr>
          <w:rStyle w:val="Emphasis"/>
          <w:rFonts w:cstheme="minorHAnsi"/>
          <w:i w:val="0"/>
          <w:sz w:val="24"/>
          <w:szCs w:val="24"/>
        </w:rPr>
        <w:t xml:space="preserve">of ‘deliberately’ </w:t>
      </w:r>
      <w:r w:rsidR="003F67A5" w:rsidRPr="005927F3">
        <w:rPr>
          <w:rStyle w:val="Emphasis"/>
          <w:rFonts w:cstheme="minorHAnsi"/>
          <w:i w:val="0"/>
          <w:sz w:val="24"/>
          <w:szCs w:val="24"/>
        </w:rPr>
        <w:t>stret</w:t>
      </w:r>
      <w:r w:rsidR="007E35C6" w:rsidRPr="005927F3">
        <w:rPr>
          <w:rStyle w:val="Emphasis"/>
          <w:rFonts w:cstheme="minorHAnsi"/>
          <w:i w:val="0"/>
          <w:sz w:val="24"/>
          <w:szCs w:val="24"/>
        </w:rPr>
        <w:t>ches</w:t>
      </w:r>
      <w:r w:rsidR="00CC05CA" w:rsidRPr="005927F3">
        <w:rPr>
          <w:rStyle w:val="Emphasis"/>
          <w:rFonts w:cstheme="minorHAnsi"/>
          <w:i w:val="0"/>
          <w:sz w:val="24"/>
          <w:szCs w:val="24"/>
        </w:rPr>
        <w:t xml:space="preserve"> not only</w:t>
      </w:r>
      <w:r w:rsidR="007E35C6" w:rsidRPr="005927F3">
        <w:rPr>
          <w:rStyle w:val="Emphasis"/>
          <w:rFonts w:cstheme="minorHAnsi"/>
          <w:i w:val="0"/>
          <w:sz w:val="24"/>
          <w:szCs w:val="24"/>
        </w:rPr>
        <w:t xml:space="preserve"> its natural</w:t>
      </w:r>
      <w:r w:rsidR="003F67A5" w:rsidRPr="005927F3">
        <w:rPr>
          <w:rStyle w:val="Emphasis"/>
          <w:rFonts w:cstheme="minorHAnsi"/>
          <w:i w:val="0"/>
          <w:sz w:val="24"/>
          <w:szCs w:val="24"/>
        </w:rPr>
        <w:t xml:space="preserve"> meaning </w:t>
      </w:r>
      <w:r w:rsidR="00CC05CA" w:rsidRPr="005927F3">
        <w:rPr>
          <w:rStyle w:val="Emphasis"/>
          <w:rFonts w:cstheme="minorHAnsi"/>
          <w:i w:val="0"/>
          <w:sz w:val="24"/>
          <w:szCs w:val="24"/>
        </w:rPr>
        <w:t xml:space="preserve">but also </w:t>
      </w:r>
      <w:r w:rsidR="00A710C1" w:rsidRPr="005927F3">
        <w:rPr>
          <w:rStyle w:val="Emphasis"/>
          <w:rFonts w:cstheme="minorHAnsi"/>
          <w:i w:val="0"/>
          <w:sz w:val="24"/>
          <w:szCs w:val="24"/>
        </w:rPr>
        <w:t>the</w:t>
      </w:r>
      <w:r w:rsidR="007E35C6" w:rsidRPr="005927F3">
        <w:rPr>
          <w:rStyle w:val="Emphasis"/>
          <w:rFonts w:cstheme="minorHAnsi"/>
          <w:i w:val="0"/>
          <w:sz w:val="24"/>
          <w:szCs w:val="24"/>
        </w:rPr>
        <w:t xml:space="preserve"> </w:t>
      </w:r>
      <w:r w:rsidR="005776E0" w:rsidRPr="005927F3">
        <w:rPr>
          <w:rStyle w:val="Emphasis"/>
          <w:rFonts w:cstheme="minorHAnsi"/>
          <w:i w:val="0"/>
          <w:sz w:val="24"/>
          <w:szCs w:val="24"/>
        </w:rPr>
        <w:t>legal understanding</w:t>
      </w:r>
      <w:r w:rsidR="004E019B" w:rsidRPr="005927F3">
        <w:rPr>
          <w:rStyle w:val="Emphasis"/>
          <w:rFonts w:cstheme="minorHAnsi"/>
          <w:i w:val="0"/>
          <w:sz w:val="24"/>
          <w:szCs w:val="24"/>
        </w:rPr>
        <w:t xml:space="preserve"> of intentionality</w:t>
      </w:r>
      <w:r w:rsidR="000E7C6F" w:rsidRPr="005927F3">
        <w:rPr>
          <w:rStyle w:val="Emphasis"/>
          <w:rFonts w:cstheme="minorHAnsi"/>
          <w:i w:val="0"/>
          <w:sz w:val="24"/>
          <w:szCs w:val="24"/>
        </w:rPr>
        <w:t>.</w:t>
      </w:r>
      <w:r w:rsidR="005776E0" w:rsidRPr="005927F3">
        <w:rPr>
          <w:rStyle w:val="FootnoteReference"/>
          <w:rFonts w:cstheme="minorHAnsi"/>
          <w:iCs/>
          <w:sz w:val="24"/>
          <w:szCs w:val="24"/>
        </w:rPr>
        <w:footnoteReference w:id="175"/>
      </w:r>
      <w:r w:rsidR="00833354" w:rsidRPr="005927F3">
        <w:rPr>
          <w:rStyle w:val="Emphasis"/>
          <w:rFonts w:cstheme="minorHAnsi"/>
          <w:i w:val="0"/>
          <w:sz w:val="24"/>
          <w:szCs w:val="24"/>
        </w:rPr>
        <w:t xml:space="preserve"> </w:t>
      </w:r>
      <w:r w:rsidR="002423F5" w:rsidRPr="005927F3">
        <w:rPr>
          <w:rStyle w:val="Emphasis"/>
          <w:rFonts w:cstheme="minorHAnsi"/>
          <w:i w:val="0"/>
          <w:sz w:val="24"/>
          <w:szCs w:val="24"/>
        </w:rPr>
        <w:t>It</w:t>
      </w:r>
      <w:r w:rsidR="000E7C6F" w:rsidRPr="005927F3">
        <w:rPr>
          <w:rStyle w:val="Emphasis"/>
          <w:rFonts w:cstheme="minorHAnsi"/>
          <w:i w:val="0"/>
          <w:sz w:val="24"/>
          <w:szCs w:val="24"/>
        </w:rPr>
        <w:t xml:space="preserve"> is, however,</w:t>
      </w:r>
      <w:r w:rsidR="002423F5" w:rsidRPr="005927F3">
        <w:rPr>
          <w:rStyle w:val="Emphasis"/>
          <w:rFonts w:cstheme="minorHAnsi"/>
          <w:i w:val="0"/>
          <w:sz w:val="24"/>
          <w:szCs w:val="24"/>
        </w:rPr>
        <w:t xml:space="preserve"> </w:t>
      </w:r>
      <w:r w:rsidR="005776E0" w:rsidRPr="005927F3">
        <w:rPr>
          <w:rStyle w:val="Emphasis"/>
          <w:rFonts w:cstheme="minorHAnsi"/>
          <w:i w:val="0"/>
          <w:sz w:val="24"/>
          <w:szCs w:val="24"/>
        </w:rPr>
        <w:t xml:space="preserve">explicable against the Anglo-American expectation that individuals </w:t>
      </w:r>
      <w:r w:rsidR="004E019B" w:rsidRPr="005927F3">
        <w:rPr>
          <w:rStyle w:val="Emphasis"/>
          <w:rFonts w:cstheme="minorHAnsi"/>
          <w:i w:val="0"/>
          <w:sz w:val="24"/>
          <w:szCs w:val="24"/>
        </w:rPr>
        <w:t xml:space="preserve">ought to </w:t>
      </w:r>
      <w:r w:rsidR="000E7C6F" w:rsidRPr="005927F3">
        <w:rPr>
          <w:rStyle w:val="Emphasis"/>
          <w:rFonts w:cstheme="minorHAnsi"/>
          <w:i w:val="0"/>
          <w:sz w:val="24"/>
          <w:szCs w:val="24"/>
        </w:rPr>
        <w:t xml:space="preserve">bear the </w:t>
      </w:r>
      <w:r w:rsidR="005E6361" w:rsidRPr="005927F3">
        <w:rPr>
          <w:rStyle w:val="Emphasis"/>
          <w:rFonts w:cstheme="minorHAnsi"/>
          <w:i w:val="0"/>
          <w:sz w:val="24"/>
          <w:szCs w:val="24"/>
        </w:rPr>
        <w:t>reputational</w:t>
      </w:r>
      <w:r w:rsidR="000E7C6F" w:rsidRPr="005927F3">
        <w:rPr>
          <w:rStyle w:val="Emphasis"/>
          <w:rFonts w:cstheme="minorHAnsi"/>
          <w:i w:val="0"/>
          <w:sz w:val="24"/>
          <w:szCs w:val="24"/>
        </w:rPr>
        <w:t xml:space="preserve"> </w:t>
      </w:r>
      <w:r w:rsidR="005776E0" w:rsidRPr="005927F3">
        <w:rPr>
          <w:rStyle w:val="Emphasis"/>
          <w:rFonts w:cstheme="minorHAnsi"/>
          <w:i w:val="0"/>
          <w:sz w:val="24"/>
          <w:szCs w:val="24"/>
        </w:rPr>
        <w:t>consequences of their actions</w:t>
      </w:r>
      <w:r w:rsidR="007E35C6" w:rsidRPr="005927F3">
        <w:rPr>
          <w:rStyle w:val="Emphasis"/>
          <w:rFonts w:cstheme="minorHAnsi"/>
          <w:i w:val="0"/>
          <w:sz w:val="24"/>
          <w:szCs w:val="24"/>
        </w:rPr>
        <w:t xml:space="preserve">. </w:t>
      </w:r>
    </w:p>
    <w:p w14:paraId="432678CE" w14:textId="77777777" w:rsidR="00012E08" w:rsidRPr="005927F3" w:rsidRDefault="00012E08" w:rsidP="008B308D">
      <w:pPr>
        <w:autoSpaceDE w:val="0"/>
        <w:autoSpaceDN w:val="0"/>
        <w:adjustRightInd w:val="0"/>
        <w:spacing w:after="0" w:line="240" w:lineRule="auto"/>
        <w:jc w:val="both"/>
        <w:rPr>
          <w:rStyle w:val="Emphasis"/>
          <w:rFonts w:cstheme="minorHAnsi"/>
          <w:i w:val="0"/>
          <w:sz w:val="24"/>
          <w:szCs w:val="24"/>
        </w:rPr>
      </w:pPr>
    </w:p>
    <w:p w14:paraId="5E9D5199" w14:textId="61A1A9D5" w:rsidR="009130D8" w:rsidRPr="005927F3" w:rsidRDefault="000D65B1" w:rsidP="008B308D">
      <w:pPr>
        <w:autoSpaceDE w:val="0"/>
        <w:autoSpaceDN w:val="0"/>
        <w:adjustRightInd w:val="0"/>
        <w:spacing w:after="0" w:line="240" w:lineRule="auto"/>
        <w:jc w:val="both"/>
        <w:rPr>
          <w:rStyle w:val="Emphasis"/>
          <w:rFonts w:cstheme="minorHAnsi"/>
          <w:i w:val="0"/>
          <w:sz w:val="24"/>
          <w:szCs w:val="24"/>
        </w:rPr>
      </w:pPr>
      <w:r w:rsidRPr="005927F3">
        <w:rPr>
          <w:rStyle w:val="Emphasis"/>
          <w:rFonts w:cstheme="minorHAnsi"/>
          <w:i w:val="0"/>
          <w:sz w:val="24"/>
          <w:szCs w:val="24"/>
        </w:rPr>
        <w:t>I</w:t>
      </w:r>
      <w:r w:rsidR="00833354" w:rsidRPr="005927F3">
        <w:rPr>
          <w:rStyle w:val="Emphasis"/>
          <w:rFonts w:cstheme="minorHAnsi"/>
          <w:i w:val="0"/>
          <w:sz w:val="24"/>
          <w:szCs w:val="24"/>
        </w:rPr>
        <w:t xml:space="preserve">n contrast, </w:t>
      </w:r>
      <w:r w:rsidR="001D2911" w:rsidRPr="005927F3">
        <w:rPr>
          <w:rStyle w:val="Emphasis"/>
          <w:rFonts w:cstheme="minorHAnsi"/>
          <w:i w:val="0"/>
          <w:sz w:val="24"/>
          <w:szCs w:val="24"/>
        </w:rPr>
        <w:t>data protection</w:t>
      </w:r>
      <w:r w:rsidR="002C1412" w:rsidRPr="005927F3">
        <w:rPr>
          <w:rStyle w:val="Emphasis"/>
          <w:rFonts w:cstheme="minorHAnsi"/>
          <w:i w:val="0"/>
          <w:sz w:val="24"/>
          <w:szCs w:val="24"/>
        </w:rPr>
        <w:t xml:space="preserve"> law</w:t>
      </w:r>
      <w:r w:rsidR="002423F5" w:rsidRPr="005927F3">
        <w:rPr>
          <w:rStyle w:val="Emphasis"/>
          <w:rFonts w:cstheme="minorHAnsi"/>
          <w:i w:val="0"/>
          <w:sz w:val="24"/>
          <w:szCs w:val="24"/>
        </w:rPr>
        <w:t xml:space="preserve"> and in particular the right to be forgotten</w:t>
      </w:r>
      <w:r w:rsidR="00C65662" w:rsidRPr="005927F3">
        <w:rPr>
          <w:rStyle w:val="FootnoteReference"/>
          <w:rFonts w:cstheme="minorHAnsi"/>
          <w:iCs/>
          <w:sz w:val="24"/>
          <w:szCs w:val="24"/>
        </w:rPr>
        <w:t xml:space="preserve"> </w:t>
      </w:r>
      <w:r w:rsidR="00A91EC8" w:rsidRPr="005927F3">
        <w:rPr>
          <w:rStyle w:val="Emphasis"/>
          <w:rFonts w:cstheme="minorHAnsi"/>
          <w:i w:val="0"/>
          <w:sz w:val="24"/>
          <w:szCs w:val="24"/>
        </w:rPr>
        <w:t xml:space="preserve"> </w:t>
      </w:r>
      <w:r w:rsidR="005C32AA" w:rsidRPr="005927F3">
        <w:rPr>
          <w:rStyle w:val="Emphasis"/>
          <w:rFonts w:cstheme="minorHAnsi"/>
          <w:i w:val="0"/>
          <w:sz w:val="24"/>
          <w:szCs w:val="24"/>
        </w:rPr>
        <w:t>seeks to protect</w:t>
      </w:r>
      <w:r w:rsidR="007C112D" w:rsidRPr="005927F3">
        <w:rPr>
          <w:rStyle w:val="Emphasis"/>
          <w:rFonts w:cstheme="minorHAnsi"/>
          <w:i w:val="0"/>
          <w:sz w:val="24"/>
          <w:szCs w:val="24"/>
        </w:rPr>
        <w:t xml:space="preserve"> </w:t>
      </w:r>
      <w:r w:rsidR="00A91EC8" w:rsidRPr="005927F3">
        <w:rPr>
          <w:rStyle w:val="Emphasis"/>
          <w:rFonts w:cstheme="minorHAnsi"/>
          <w:i w:val="0"/>
          <w:sz w:val="24"/>
          <w:szCs w:val="24"/>
        </w:rPr>
        <w:t xml:space="preserve">individuals from undeserved </w:t>
      </w:r>
      <w:r w:rsidR="00A91EC8" w:rsidRPr="005927F3">
        <w:rPr>
          <w:rStyle w:val="Emphasis"/>
          <w:rFonts w:cstheme="minorHAnsi"/>
          <w:sz w:val="24"/>
          <w:szCs w:val="24"/>
        </w:rPr>
        <w:t xml:space="preserve">and </w:t>
      </w:r>
      <w:r w:rsidR="00A91EC8" w:rsidRPr="005927F3">
        <w:rPr>
          <w:rStyle w:val="Emphasis"/>
          <w:rFonts w:cstheme="minorHAnsi"/>
          <w:i w:val="0"/>
          <w:sz w:val="24"/>
          <w:szCs w:val="24"/>
        </w:rPr>
        <w:t>deserved pillorying or stigmatisation</w:t>
      </w:r>
      <w:r w:rsidR="007C112D" w:rsidRPr="005927F3">
        <w:rPr>
          <w:rStyle w:val="Emphasis"/>
          <w:rFonts w:cstheme="minorHAnsi"/>
          <w:i w:val="0"/>
          <w:sz w:val="24"/>
          <w:szCs w:val="24"/>
        </w:rPr>
        <w:t>, and acts as a restra</w:t>
      </w:r>
      <w:r w:rsidR="004E019B" w:rsidRPr="005927F3">
        <w:rPr>
          <w:rStyle w:val="Emphasis"/>
          <w:rFonts w:cstheme="minorHAnsi"/>
          <w:i w:val="0"/>
          <w:sz w:val="24"/>
          <w:szCs w:val="24"/>
        </w:rPr>
        <w:t xml:space="preserve">int on </w:t>
      </w:r>
      <w:r w:rsidR="00800099" w:rsidRPr="005927F3">
        <w:rPr>
          <w:rStyle w:val="Emphasis"/>
          <w:rFonts w:cstheme="minorHAnsi"/>
          <w:i w:val="0"/>
          <w:sz w:val="24"/>
          <w:szCs w:val="24"/>
        </w:rPr>
        <w:t xml:space="preserve">prolonged </w:t>
      </w:r>
      <w:r w:rsidR="004E019B" w:rsidRPr="005927F3">
        <w:rPr>
          <w:rStyle w:val="Emphasis"/>
          <w:rFonts w:cstheme="minorHAnsi"/>
          <w:i w:val="0"/>
          <w:sz w:val="24"/>
          <w:szCs w:val="24"/>
        </w:rPr>
        <w:t>communal disapprobation</w:t>
      </w:r>
      <w:r w:rsidR="004111C7" w:rsidRPr="005927F3">
        <w:rPr>
          <w:rStyle w:val="Emphasis"/>
          <w:rFonts w:cstheme="minorHAnsi"/>
          <w:i w:val="0"/>
          <w:sz w:val="24"/>
          <w:szCs w:val="24"/>
        </w:rPr>
        <w:t xml:space="preserve">, </w:t>
      </w:r>
      <w:r w:rsidR="00833354" w:rsidRPr="005927F3">
        <w:rPr>
          <w:rStyle w:val="Emphasis"/>
          <w:rFonts w:cstheme="minorHAnsi"/>
          <w:i w:val="0"/>
          <w:sz w:val="24"/>
          <w:szCs w:val="24"/>
        </w:rPr>
        <w:t>bar countervailing public interests.</w:t>
      </w:r>
      <w:r w:rsidR="004E019B" w:rsidRPr="005927F3">
        <w:rPr>
          <w:rStyle w:val="Emphasis"/>
          <w:rFonts w:cstheme="minorHAnsi"/>
          <w:i w:val="0"/>
          <w:sz w:val="24"/>
          <w:szCs w:val="24"/>
        </w:rPr>
        <w:t xml:space="preserve"> </w:t>
      </w:r>
      <w:r w:rsidR="007E35C6" w:rsidRPr="005927F3">
        <w:rPr>
          <w:rStyle w:val="Emphasis"/>
          <w:rFonts w:cstheme="minorHAnsi"/>
          <w:i w:val="0"/>
          <w:sz w:val="24"/>
          <w:szCs w:val="24"/>
        </w:rPr>
        <w:t>Such</w:t>
      </w:r>
      <w:r w:rsidR="004E019B" w:rsidRPr="005927F3">
        <w:rPr>
          <w:rStyle w:val="Emphasis"/>
          <w:rFonts w:cstheme="minorHAnsi"/>
          <w:i w:val="0"/>
          <w:sz w:val="24"/>
          <w:szCs w:val="24"/>
        </w:rPr>
        <w:t xml:space="preserve"> countervailing public interests</w:t>
      </w:r>
      <w:r w:rsidR="007E35C6" w:rsidRPr="005927F3">
        <w:rPr>
          <w:rStyle w:val="Emphasis"/>
          <w:rFonts w:cstheme="minorHAnsi"/>
          <w:i w:val="0"/>
          <w:sz w:val="24"/>
          <w:szCs w:val="24"/>
        </w:rPr>
        <w:t xml:space="preserve"> may lie</w:t>
      </w:r>
      <w:r w:rsidR="00C65662" w:rsidRPr="005927F3">
        <w:rPr>
          <w:rStyle w:val="Emphasis"/>
          <w:rFonts w:cstheme="minorHAnsi"/>
          <w:i w:val="0"/>
          <w:sz w:val="24"/>
          <w:szCs w:val="24"/>
        </w:rPr>
        <w:t xml:space="preserve"> in open justice </w:t>
      </w:r>
      <w:r w:rsidR="004111C7" w:rsidRPr="005927F3">
        <w:rPr>
          <w:rStyle w:val="Emphasis"/>
          <w:rFonts w:cstheme="minorHAnsi"/>
          <w:i w:val="0"/>
          <w:sz w:val="24"/>
          <w:szCs w:val="24"/>
        </w:rPr>
        <w:t>or</w:t>
      </w:r>
      <w:r w:rsidR="00C65662" w:rsidRPr="005927F3">
        <w:rPr>
          <w:rStyle w:val="Emphasis"/>
          <w:rFonts w:cstheme="minorHAnsi"/>
          <w:i w:val="0"/>
          <w:sz w:val="24"/>
          <w:szCs w:val="24"/>
        </w:rPr>
        <w:t xml:space="preserve"> crime reporting, but</w:t>
      </w:r>
      <w:r w:rsidR="00917C70" w:rsidRPr="005927F3">
        <w:rPr>
          <w:rStyle w:val="Emphasis"/>
          <w:rFonts w:cstheme="minorHAnsi"/>
          <w:i w:val="0"/>
          <w:sz w:val="24"/>
          <w:szCs w:val="24"/>
        </w:rPr>
        <w:t xml:space="preserve"> </w:t>
      </w:r>
      <w:r w:rsidR="004E019B" w:rsidRPr="005927F3">
        <w:rPr>
          <w:rStyle w:val="Emphasis"/>
          <w:rFonts w:cstheme="minorHAnsi"/>
          <w:i w:val="0"/>
          <w:sz w:val="24"/>
          <w:szCs w:val="24"/>
        </w:rPr>
        <w:t>once those interests are expended</w:t>
      </w:r>
      <w:r w:rsidR="005776E0" w:rsidRPr="005927F3">
        <w:rPr>
          <w:rStyle w:val="Emphasis"/>
          <w:rFonts w:cstheme="minorHAnsi"/>
          <w:i w:val="0"/>
          <w:sz w:val="24"/>
          <w:szCs w:val="24"/>
        </w:rPr>
        <w:t xml:space="preserve">, there is a public </w:t>
      </w:r>
      <w:r w:rsidR="004E019B" w:rsidRPr="005927F3">
        <w:rPr>
          <w:rStyle w:val="Emphasis"/>
          <w:rFonts w:cstheme="minorHAnsi"/>
          <w:i w:val="0"/>
          <w:sz w:val="24"/>
          <w:szCs w:val="24"/>
        </w:rPr>
        <w:t xml:space="preserve">interest in </w:t>
      </w:r>
      <w:r w:rsidR="005776E0" w:rsidRPr="005927F3">
        <w:rPr>
          <w:rStyle w:val="Emphasis"/>
          <w:rFonts w:cstheme="minorHAnsi"/>
          <w:i w:val="0"/>
          <w:sz w:val="24"/>
          <w:szCs w:val="24"/>
        </w:rPr>
        <w:t>granting</w:t>
      </w:r>
      <w:r w:rsidR="00C65662" w:rsidRPr="005927F3">
        <w:rPr>
          <w:rStyle w:val="Emphasis"/>
          <w:rFonts w:cstheme="minorHAnsi"/>
          <w:i w:val="0"/>
          <w:sz w:val="24"/>
          <w:szCs w:val="24"/>
        </w:rPr>
        <w:t xml:space="preserve"> individuals</w:t>
      </w:r>
      <w:r w:rsidR="005776E0" w:rsidRPr="005927F3">
        <w:rPr>
          <w:rStyle w:val="Emphasis"/>
          <w:rFonts w:cstheme="minorHAnsi"/>
          <w:i w:val="0"/>
          <w:sz w:val="24"/>
          <w:szCs w:val="24"/>
        </w:rPr>
        <w:t xml:space="preserve"> reprieve </w:t>
      </w:r>
      <w:r w:rsidR="004111C7" w:rsidRPr="005927F3">
        <w:rPr>
          <w:rStyle w:val="Emphasis"/>
          <w:rFonts w:cstheme="minorHAnsi"/>
          <w:i w:val="0"/>
          <w:sz w:val="24"/>
          <w:szCs w:val="24"/>
        </w:rPr>
        <w:t xml:space="preserve">even </w:t>
      </w:r>
      <w:r w:rsidR="005776E0" w:rsidRPr="005927F3">
        <w:rPr>
          <w:rStyle w:val="Emphasis"/>
          <w:rFonts w:cstheme="minorHAnsi"/>
          <w:i w:val="0"/>
          <w:sz w:val="24"/>
          <w:szCs w:val="24"/>
        </w:rPr>
        <w:t xml:space="preserve">from </w:t>
      </w:r>
      <w:r w:rsidR="005776E0" w:rsidRPr="005927F3">
        <w:rPr>
          <w:rStyle w:val="Emphasis"/>
          <w:rFonts w:cstheme="minorHAnsi"/>
          <w:i w:val="0"/>
          <w:sz w:val="24"/>
          <w:szCs w:val="24"/>
        </w:rPr>
        <w:lastRenderedPageBreak/>
        <w:t xml:space="preserve">the </w:t>
      </w:r>
      <w:r w:rsidR="00C65662" w:rsidRPr="005927F3">
        <w:rPr>
          <w:rStyle w:val="Emphasis"/>
          <w:rFonts w:cstheme="minorHAnsi"/>
          <w:i w:val="0"/>
          <w:sz w:val="24"/>
          <w:szCs w:val="24"/>
        </w:rPr>
        <w:t xml:space="preserve">foreseeable consequences of their actions. </w:t>
      </w:r>
      <w:r w:rsidR="00B01441" w:rsidRPr="005927F3">
        <w:rPr>
          <w:rFonts w:eastAsia="Times New Roman" w:cstheme="minorHAnsi"/>
          <w:sz w:val="24"/>
          <w:szCs w:val="24"/>
          <w:lang w:eastAsia="en-GB"/>
        </w:rPr>
        <w:t xml:space="preserve">By the same token, where the public interest </w:t>
      </w:r>
      <w:r w:rsidR="00713FF1" w:rsidRPr="005927F3">
        <w:rPr>
          <w:rFonts w:cstheme="minorHAnsi"/>
          <w:sz w:val="24"/>
          <w:szCs w:val="24"/>
        </w:rPr>
        <w:t>legitimise</w:t>
      </w:r>
      <w:r w:rsidR="00B01441" w:rsidRPr="005927F3">
        <w:rPr>
          <w:rFonts w:cstheme="minorHAnsi"/>
          <w:sz w:val="24"/>
          <w:szCs w:val="24"/>
        </w:rPr>
        <w:t>s</w:t>
      </w:r>
      <w:r w:rsidR="00713FF1" w:rsidRPr="005927F3">
        <w:rPr>
          <w:rFonts w:cstheme="minorHAnsi"/>
          <w:sz w:val="24"/>
          <w:szCs w:val="24"/>
        </w:rPr>
        <w:t xml:space="preserve"> the continued presence of personal information in the public domain over and beyond what was necessary for the purposes of its initial lawful processing, the current ‘role played by the data subject in public life’  </w:t>
      </w:r>
      <w:r w:rsidR="00B01441" w:rsidRPr="005927F3">
        <w:rPr>
          <w:rFonts w:cstheme="minorHAnsi"/>
          <w:sz w:val="24"/>
          <w:szCs w:val="24"/>
        </w:rPr>
        <w:t>is invariably</w:t>
      </w:r>
      <w:r w:rsidR="00713FF1" w:rsidRPr="005927F3">
        <w:rPr>
          <w:rFonts w:cstheme="minorHAnsi"/>
          <w:sz w:val="24"/>
          <w:szCs w:val="24"/>
        </w:rPr>
        <w:t xml:space="preserve"> derivatively significant to determine the public interest.</w:t>
      </w:r>
      <w:r w:rsidR="00BB0A53" w:rsidRPr="005927F3">
        <w:rPr>
          <w:rStyle w:val="FootnoteReference"/>
          <w:rFonts w:cstheme="minorHAnsi"/>
          <w:sz w:val="24"/>
          <w:szCs w:val="24"/>
        </w:rPr>
        <w:footnoteReference w:id="176"/>
      </w:r>
      <w:r w:rsidR="00713FF1" w:rsidRPr="005927F3">
        <w:rPr>
          <w:rFonts w:cstheme="minorHAnsi"/>
          <w:sz w:val="24"/>
          <w:szCs w:val="24"/>
        </w:rPr>
        <w:t xml:space="preserve"> Otherwise the fame or infamy of the individual does </w:t>
      </w:r>
      <w:r w:rsidR="00012E08" w:rsidRPr="005927F3">
        <w:rPr>
          <w:rFonts w:cstheme="minorHAnsi"/>
          <w:sz w:val="24"/>
          <w:szCs w:val="24"/>
        </w:rPr>
        <w:t xml:space="preserve">not, of </w:t>
      </w:r>
      <w:r w:rsidR="00B01441" w:rsidRPr="005927F3">
        <w:rPr>
          <w:rFonts w:cstheme="minorHAnsi"/>
          <w:sz w:val="24"/>
          <w:szCs w:val="24"/>
        </w:rPr>
        <w:t>itself,</w:t>
      </w:r>
      <w:r w:rsidR="00713FF1" w:rsidRPr="005927F3">
        <w:rPr>
          <w:rFonts w:cstheme="minorHAnsi"/>
          <w:sz w:val="24"/>
          <w:szCs w:val="24"/>
        </w:rPr>
        <w:t xml:space="preserve"> signal </w:t>
      </w:r>
      <w:r w:rsidR="00B01441" w:rsidRPr="005927F3">
        <w:rPr>
          <w:rFonts w:cstheme="minorHAnsi"/>
          <w:sz w:val="24"/>
          <w:szCs w:val="24"/>
        </w:rPr>
        <w:t xml:space="preserve">his or her </w:t>
      </w:r>
      <w:r w:rsidR="00012E08" w:rsidRPr="005927F3">
        <w:rPr>
          <w:rFonts w:cstheme="minorHAnsi"/>
          <w:sz w:val="24"/>
          <w:szCs w:val="24"/>
        </w:rPr>
        <w:t>‘implied consent’ to</w:t>
      </w:r>
      <w:r w:rsidR="00713FF1" w:rsidRPr="005927F3">
        <w:rPr>
          <w:rFonts w:cstheme="minorHAnsi"/>
          <w:sz w:val="24"/>
          <w:szCs w:val="24"/>
        </w:rPr>
        <w:t xml:space="preserve"> public exposure for all times.</w:t>
      </w:r>
      <w:r w:rsidR="00713FF1" w:rsidRPr="005927F3">
        <w:rPr>
          <w:rFonts w:eastAsia="Times New Roman" w:cstheme="minorHAnsi"/>
          <w:sz w:val="24"/>
          <w:szCs w:val="24"/>
          <w:lang w:eastAsia="en-GB"/>
        </w:rPr>
        <w:t xml:space="preserve"> </w:t>
      </w:r>
      <w:r w:rsidR="00DD491A" w:rsidRPr="005927F3">
        <w:rPr>
          <w:rFonts w:eastAsia="Times New Roman" w:cstheme="minorHAnsi"/>
          <w:sz w:val="24"/>
          <w:szCs w:val="24"/>
          <w:lang w:eastAsia="en-GB"/>
        </w:rPr>
        <w:t>I</w:t>
      </w:r>
      <w:r w:rsidR="00DD491A" w:rsidRPr="005927F3">
        <w:rPr>
          <w:rStyle w:val="Emphasis"/>
          <w:rFonts w:cstheme="minorHAnsi"/>
          <w:i w:val="0"/>
          <w:sz w:val="24"/>
          <w:szCs w:val="24"/>
        </w:rPr>
        <w:t>n short,</w:t>
      </w:r>
      <w:r w:rsidR="001117F6" w:rsidRPr="005927F3">
        <w:rPr>
          <w:rStyle w:val="Emphasis"/>
          <w:rFonts w:cstheme="minorHAnsi"/>
          <w:i w:val="0"/>
          <w:sz w:val="24"/>
          <w:szCs w:val="24"/>
        </w:rPr>
        <w:t xml:space="preserve"> </w:t>
      </w:r>
      <w:r w:rsidR="00EC016C" w:rsidRPr="005927F3">
        <w:rPr>
          <w:rStyle w:val="Emphasis"/>
          <w:rFonts w:cstheme="minorHAnsi"/>
          <w:i w:val="0"/>
          <w:sz w:val="24"/>
          <w:szCs w:val="24"/>
        </w:rPr>
        <w:t>t</w:t>
      </w:r>
      <w:r w:rsidR="007E35C6" w:rsidRPr="005927F3">
        <w:rPr>
          <w:rStyle w:val="Emphasis"/>
          <w:rFonts w:cstheme="minorHAnsi"/>
          <w:i w:val="0"/>
          <w:sz w:val="24"/>
          <w:szCs w:val="24"/>
        </w:rPr>
        <w:t>he right to be forgotten</w:t>
      </w:r>
      <w:r w:rsidR="00800099" w:rsidRPr="005927F3">
        <w:rPr>
          <w:rStyle w:val="Emphasis"/>
          <w:rFonts w:cstheme="minorHAnsi"/>
          <w:i w:val="0"/>
          <w:sz w:val="24"/>
          <w:szCs w:val="24"/>
        </w:rPr>
        <w:t xml:space="preserve"> intervenes in what would otherwise be the </w:t>
      </w:r>
      <w:r w:rsidR="007E35C6" w:rsidRPr="005927F3">
        <w:rPr>
          <w:rStyle w:val="Emphasis"/>
          <w:rFonts w:cstheme="minorHAnsi"/>
          <w:i w:val="0"/>
          <w:sz w:val="24"/>
          <w:szCs w:val="24"/>
        </w:rPr>
        <w:t>foreseeable consequences of one’s actions</w:t>
      </w:r>
      <w:r w:rsidR="00DD491A" w:rsidRPr="005927F3">
        <w:rPr>
          <w:rStyle w:val="Emphasis"/>
          <w:rFonts w:cstheme="minorHAnsi"/>
          <w:i w:val="0"/>
          <w:sz w:val="24"/>
          <w:szCs w:val="24"/>
        </w:rPr>
        <w:t>.</w:t>
      </w:r>
      <w:r w:rsidR="00EC016C" w:rsidRPr="005927F3">
        <w:rPr>
          <w:rStyle w:val="Emphasis"/>
          <w:rFonts w:cstheme="minorHAnsi"/>
          <w:i w:val="0"/>
          <w:sz w:val="24"/>
          <w:szCs w:val="24"/>
        </w:rPr>
        <w:t xml:space="preserve"> </w:t>
      </w:r>
    </w:p>
    <w:p w14:paraId="5450504B" w14:textId="77777777" w:rsidR="007E35C6" w:rsidRPr="005927F3" w:rsidRDefault="007E35C6" w:rsidP="008B308D">
      <w:pPr>
        <w:autoSpaceDE w:val="0"/>
        <w:autoSpaceDN w:val="0"/>
        <w:adjustRightInd w:val="0"/>
        <w:spacing w:after="0" w:line="240" w:lineRule="auto"/>
        <w:jc w:val="both"/>
        <w:rPr>
          <w:rStyle w:val="Emphasis"/>
          <w:rFonts w:cstheme="minorHAnsi"/>
          <w:i w:val="0"/>
          <w:sz w:val="24"/>
          <w:szCs w:val="24"/>
        </w:rPr>
      </w:pPr>
    </w:p>
    <w:p w14:paraId="1E2B4351" w14:textId="0F76C464" w:rsidR="00AF6706" w:rsidRPr="005927F3" w:rsidRDefault="009130D8" w:rsidP="008B6131">
      <w:pPr>
        <w:spacing w:after="0" w:line="240" w:lineRule="auto"/>
        <w:jc w:val="both"/>
        <w:rPr>
          <w:rFonts w:cstheme="minorHAnsi"/>
          <w:sz w:val="24"/>
          <w:szCs w:val="24"/>
        </w:rPr>
      </w:pPr>
      <w:r w:rsidRPr="005927F3">
        <w:rPr>
          <w:rFonts w:cstheme="minorHAnsi"/>
          <w:sz w:val="24"/>
          <w:szCs w:val="24"/>
          <w:u w:val="single"/>
        </w:rPr>
        <w:t>Priv</w:t>
      </w:r>
      <w:r w:rsidR="004E019B" w:rsidRPr="005927F3">
        <w:rPr>
          <w:rFonts w:cstheme="minorHAnsi"/>
          <w:sz w:val="24"/>
          <w:szCs w:val="24"/>
          <w:u w:val="single"/>
        </w:rPr>
        <w:t xml:space="preserve">acy versus </w:t>
      </w:r>
      <w:r w:rsidR="0037183E" w:rsidRPr="005927F3">
        <w:rPr>
          <w:rFonts w:cstheme="minorHAnsi"/>
          <w:sz w:val="24"/>
          <w:szCs w:val="24"/>
          <w:u w:val="single"/>
        </w:rPr>
        <w:t>freedom of expression</w:t>
      </w:r>
      <w:r w:rsidR="00867322" w:rsidRPr="005927F3">
        <w:rPr>
          <w:rFonts w:cstheme="minorHAnsi"/>
          <w:sz w:val="24"/>
          <w:szCs w:val="24"/>
        </w:rPr>
        <w:t xml:space="preserve"> </w:t>
      </w:r>
      <w:proofErr w:type="gramStart"/>
      <w:r w:rsidR="00F758C8" w:rsidRPr="005927F3">
        <w:rPr>
          <w:rFonts w:cstheme="minorHAnsi"/>
          <w:sz w:val="24"/>
          <w:szCs w:val="24"/>
        </w:rPr>
        <w:t>The</w:t>
      </w:r>
      <w:proofErr w:type="gramEnd"/>
      <w:r w:rsidR="002F3D5D" w:rsidRPr="005927F3">
        <w:rPr>
          <w:rFonts w:cstheme="minorHAnsi"/>
          <w:sz w:val="24"/>
          <w:szCs w:val="24"/>
        </w:rPr>
        <w:t xml:space="preserve"> </w:t>
      </w:r>
      <w:r w:rsidR="00012E08" w:rsidRPr="005927F3">
        <w:rPr>
          <w:rFonts w:cstheme="minorHAnsi"/>
          <w:sz w:val="24"/>
          <w:szCs w:val="24"/>
        </w:rPr>
        <w:t>legal concepts</w:t>
      </w:r>
      <w:r w:rsidR="00AF6706" w:rsidRPr="005927F3">
        <w:rPr>
          <w:rFonts w:cstheme="minorHAnsi"/>
          <w:sz w:val="24"/>
          <w:szCs w:val="24"/>
        </w:rPr>
        <w:t xml:space="preserve"> compared above </w:t>
      </w:r>
      <w:r w:rsidR="00F758C8" w:rsidRPr="005927F3">
        <w:rPr>
          <w:rFonts w:cstheme="minorHAnsi"/>
          <w:sz w:val="24"/>
          <w:szCs w:val="24"/>
        </w:rPr>
        <w:t>instantiate</w:t>
      </w:r>
      <w:r w:rsidR="00AF6706" w:rsidRPr="005927F3">
        <w:rPr>
          <w:rFonts w:cstheme="minorHAnsi"/>
          <w:sz w:val="24"/>
          <w:szCs w:val="24"/>
        </w:rPr>
        <w:t xml:space="preserve"> different perspectives on where</w:t>
      </w:r>
      <w:r w:rsidR="00875A2A" w:rsidRPr="005927F3">
        <w:rPr>
          <w:rFonts w:cstheme="minorHAnsi"/>
          <w:sz w:val="24"/>
          <w:szCs w:val="24"/>
        </w:rPr>
        <w:t xml:space="preserve"> and how</w:t>
      </w:r>
      <w:r w:rsidR="00AF6706" w:rsidRPr="005927F3">
        <w:rPr>
          <w:rFonts w:cstheme="minorHAnsi"/>
          <w:sz w:val="24"/>
          <w:szCs w:val="24"/>
        </w:rPr>
        <w:t xml:space="preserve"> to strike the balance between privacy and </w:t>
      </w:r>
      <w:r w:rsidR="00B83BB5" w:rsidRPr="005927F3">
        <w:rPr>
          <w:rFonts w:cstheme="minorHAnsi"/>
          <w:sz w:val="24"/>
          <w:szCs w:val="24"/>
        </w:rPr>
        <w:t xml:space="preserve">free </w:t>
      </w:r>
      <w:r w:rsidR="004B58C8" w:rsidRPr="005927F3">
        <w:rPr>
          <w:rFonts w:cstheme="minorHAnsi"/>
          <w:sz w:val="24"/>
          <w:szCs w:val="24"/>
        </w:rPr>
        <w:t xml:space="preserve">speech. Both </w:t>
      </w:r>
      <w:r w:rsidR="00012E08" w:rsidRPr="005927F3">
        <w:rPr>
          <w:rFonts w:cstheme="minorHAnsi"/>
          <w:sz w:val="24"/>
          <w:szCs w:val="24"/>
        </w:rPr>
        <w:t xml:space="preserve">are important values in </w:t>
      </w:r>
      <w:r w:rsidR="004B58C8" w:rsidRPr="005927F3">
        <w:rPr>
          <w:rFonts w:cstheme="minorHAnsi"/>
          <w:sz w:val="24"/>
          <w:szCs w:val="24"/>
        </w:rPr>
        <w:t>each privacy</w:t>
      </w:r>
      <w:r w:rsidR="003D1984" w:rsidRPr="005927F3">
        <w:rPr>
          <w:rFonts w:cstheme="minorHAnsi"/>
          <w:sz w:val="24"/>
          <w:szCs w:val="24"/>
        </w:rPr>
        <w:t xml:space="preserve"> culture</w:t>
      </w:r>
      <w:r w:rsidR="00012E08" w:rsidRPr="005927F3">
        <w:rPr>
          <w:rFonts w:cstheme="minorHAnsi"/>
          <w:sz w:val="24"/>
          <w:szCs w:val="24"/>
        </w:rPr>
        <w:t xml:space="preserve">, albeit with </w:t>
      </w:r>
      <w:r w:rsidR="002F3D5D" w:rsidRPr="005927F3">
        <w:rPr>
          <w:rFonts w:cstheme="minorHAnsi"/>
          <w:sz w:val="24"/>
          <w:szCs w:val="24"/>
        </w:rPr>
        <w:t xml:space="preserve">different </w:t>
      </w:r>
      <w:r w:rsidR="00012E08" w:rsidRPr="005927F3">
        <w:rPr>
          <w:rFonts w:cstheme="minorHAnsi"/>
          <w:sz w:val="24"/>
          <w:szCs w:val="24"/>
        </w:rPr>
        <w:t xml:space="preserve">accents. </w:t>
      </w:r>
      <w:r w:rsidR="004B58C8" w:rsidRPr="005927F3">
        <w:rPr>
          <w:rFonts w:cstheme="minorHAnsi"/>
          <w:sz w:val="24"/>
          <w:szCs w:val="24"/>
        </w:rPr>
        <w:t>The</w:t>
      </w:r>
      <w:r w:rsidR="002F3D5D" w:rsidRPr="005927F3">
        <w:rPr>
          <w:rFonts w:cstheme="minorHAnsi"/>
          <w:sz w:val="24"/>
          <w:szCs w:val="24"/>
        </w:rPr>
        <w:t xml:space="preserve">se </w:t>
      </w:r>
      <w:r w:rsidR="00F758C8" w:rsidRPr="005927F3">
        <w:rPr>
          <w:rFonts w:cstheme="minorHAnsi"/>
          <w:sz w:val="24"/>
          <w:szCs w:val="24"/>
        </w:rPr>
        <w:t xml:space="preserve">accents </w:t>
      </w:r>
      <w:r w:rsidR="00E449C8" w:rsidRPr="005927F3">
        <w:rPr>
          <w:rFonts w:cstheme="minorHAnsi"/>
          <w:sz w:val="24"/>
          <w:szCs w:val="24"/>
        </w:rPr>
        <w:t>already</w:t>
      </w:r>
      <w:r w:rsidR="00F758C8" w:rsidRPr="005927F3">
        <w:rPr>
          <w:rFonts w:cstheme="minorHAnsi"/>
          <w:sz w:val="24"/>
          <w:szCs w:val="24"/>
        </w:rPr>
        <w:t xml:space="preserve"> emerge </w:t>
      </w:r>
      <w:r w:rsidR="00D14554" w:rsidRPr="005927F3">
        <w:rPr>
          <w:rFonts w:cstheme="minorHAnsi"/>
          <w:sz w:val="24"/>
          <w:szCs w:val="24"/>
        </w:rPr>
        <w:t>–</w:t>
      </w:r>
      <w:r w:rsidR="00F758C8" w:rsidRPr="005927F3">
        <w:rPr>
          <w:rFonts w:cstheme="minorHAnsi"/>
          <w:sz w:val="24"/>
          <w:szCs w:val="24"/>
        </w:rPr>
        <w:t xml:space="preserve"> regardless of any formal constitutional hierarchy</w:t>
      </w:r>
      <w:r w:rsidR="00DD491A" w:rsidRPr="005927F3">
        <w:rPr>
          <w:rStyle w:val="FootnoteReference"/>
          <w:rFonts w:cstheme="minorHAnsi"/>
          <w:sz w:val="24"/>
          <w:szCs w:val="24"/>
        </w:rPr>
        <w:footnoteReference w:id="177"/>
      </w:r>
      <w:r w:rsidR="00DD491A" w:rsidRPr="005927F3">
        <w:rPr>
          <w:rFonts w:cstheme="minorHAnsi"/>
          <w:sz w:val="24"/>
          <w:szCs w:val="24"/>
        </w:rPr>
        <w:t xml:space="preserve"> </w:t>
      </w:r>
      <w:r w:rsidR="00F758C8" w:rsidRPr="005927F3">
        <w:rPr>
          <w:rFonts w:cstheme="minorHAnsi"/>
          <w:sz w:val="24"/>
          <w:szCs w:val="24"/>
        </w:rPr>
        <w:t xml:space="preserve"> – from </w:t>
      </w:r>
      <w:r w:rsidR="00E449C8" w:rsidRPr="005927F3">
        <w:rPr>
          <w:rFonts w:cstheme="minorHAnsi"/>
          <w:sz w:val="24"/>
          <w:szCs w:val="24"/>
        </w:rPr>
        <w:t>the very nature of each</w:t>
      </w:r>
      <w:r w:rsidR="00F758C8" w:rsidRPr="005927F3">
        <w:rPr>
          <w:rFonts w:cstheme="minorHAnsi"/>
          <w:sz w:val="24"/>
          <w:szCs w:val="24"/>
        </w:rPr>
        <w:t xml:space="preserve"> privacy conception and their respective places of engagement. L</w:t>
      </w:r>
      <w:r w:rsidR="00AF6706" w:rsidRPr="005927F3">
        <w:rPr>
          <w:rFonts w:cstheme="minorHAnsi"/>
          <w:sz w:val="24"/>
          <w:szCs w:val="24"/>
        </w:rPr>
        <w:t xml:space="preserve">ocating </w:t>
      </w:r>
      <w:r w:rsidR="00C77F91" w:rsidRPr="005927F3">
        <w:rPr>
          <w:rFonts w:cstheme="minorHAnsi"/>
          <w:sz w:val="24"/>
          <w:szCs w:val="24"/>
        </w:rPr>
        <w:t>privacy</w:t>
      </w:r>
      <w:r w:rsidR="00AF6706" w:rsidRPr="005927F3">
        <w:rPr>
          <w:rFonts w:cstheme="minorHAnsi"/>
          <w:sz w:val="24"/>
          <w:szCs w:val="24"/>
        </w:rPr>
        <w:t xml:space="preserve"> entitlements</w:t>
      </w:r>
      <w:r w:rsidR="00C77F91" w:rsidRPr="005927F3">
        <w:rPr>
          <w:rFonts w:cstheme="minorHAnsi"/>
          <w:sz w:val="24"/>
          <w:szCs w:val="24"/>
        </w:rPr>
        <w:t xml:space="preserve"> </w:t>
      </w:r>
      <w:r w:rsidR="00F758C8" w:rsidRPr="005927F3">
        <w:rPr>
          <w:rFonts w:cstheme="minorHAnsi"/>
          <w:sz w:val="24"/>
          <w:szCs w:val="24"/>
        </w:rPr>
        <w:t>primarily</w:t>
      </w:r>
      <w:r w:rsidR="00C77F91" w:rsidRPr="005927F3">
        <w:rPr>
          <w:rFonts w:cstheme="minorHAnsi"/>
          <w:sz w:val="24"/>
          <w:szCs w:val="24"/>
        </w:rPr>
        <w:t xml:space="preserve"> in the </w:t>
      </w:r>
      <w:r w:rsidR="000167E0" w:rsidRPr="005927F3">
        <w:rPr>
          <w:rFonts w:cstheme="minorHAnsi"/>
          <w:sz w:val="24"/>
          <w:szCs w:val="24"/>
        </w:rPr>
        <w:t xml:space="preserve">sphere of the </w:t>
      </w:r>
      <w:r w:rsidR="00C77F91" w:rsidRPr="005927F3">
        <w:rPr>
          <w:rFonts w:cstheme="minorHAnsi"/>
          <w:sz w:val="24"/>
          <w:szCs w:val="24"/>
        </w:rPr>
        <w:t>home</w:t>
      </w:r>
      <w:r w:rsidR="00592A8B" w:rsidRPr="005927F3">
        <w:rPr>
          <w:rFonts w:cstheme="minorHAnsi"/>
          <w:sz w:val="24"/>
          <w:szCs w:val="24"/>
        </w:rPr>
        <w:t xml:space="preserve"> </w:t>
      </w:r>
      <w:r w:rsidR="00C77F91" w:rsidRPr="005927F3">
        <w:rPr>
          <w:rFonts w:cstheme="minorHAnsi"/>
          <w:sz w:val="24"/>
          <w:szCs w:val="24"/>
        </w:rPr>
        <w:t>minimises the potential for clashes between the two values</w:t>
      </w:r>
      <w:r w:rsidR="00D14554" w:rsidRPr="005927F3">
        <w:rPr>
          <w:rFonts w:cstheme="minorHAnsi"/>
          <w:sz w:val="24"/>
          <w:szCs w:val="24"/>
        </w:rPr>
        <w:t>,</w:t>
      </w:r>
      <w:r w:rsidR="00F758C8" w:rsidRPr="005927F3">
        <w:rPr>
          <w:rFonts w:cstheme="minorHAnsi"/>
          <w:sz w:val="24"/>
          <w:szCs w:val="24"/>
        </w:rPr>
        <w:t xml:space="preserve"> with each occupying separate and d</w:t>
      </w:r>
      <w:r w:rsidR="004B58C8" w:rsidRPr="005927F3">
        <w:rPr>
          <w:rFonts w:cstheme="minorHAnsi"/>
          <w:sz w:val="24"/>
          <w:szCs w:val="24"/>
        </w:rPr>
        <w:t xml:space="preserve">istinct social spheres. It </w:t>
      </w:r>
      <w:r w:rsidR="00F758C8" w:rsidRPr="005927F3">
        <w:rPr>
          <w:rFonts w:cstheme="minorHAnsi"/>
          <w:sz w:val="24"/>
          <w:szCs w:val="24"/>
        </w:rPr>
        <w:t xml:space="preserve">creates </w:t>
      </w:r>
      <w:r w:rsidR="006D1068" w:rsidRPr="005927F3">
        <w:rPr>
          <w:rFonts w:cstheme="minorHAnsi"/>
          <w:sz w:val="24"/>
          <w:szCs w:val="24"/>
        </w:rPr>
        <w:t xml:space="preserve">a framework within which privacy claims </w:t>
      </w:r>
      <w:r w:rsidR="006D1068" w:rsidRPr="005927F3">
        <w:rPr>
          <w:rFonts w:cstheme="minorHAnsi"/>
          <w:i/>
          <w:iCs/>
          <w:sz w:val="24"/>
          <w:szCs w:val="24"/>
        </w:rPr>
        <w:t>beyond</w:t>
      </w:r>
      <w:r w:rsidR="006D1068" w:rsidRPr="005927F3">
        <w:rPr>
          <w:rFonts w:cstheme="minorHAnsi"/>
          <w:sz w:val="24"/>
          <w:szCs w:val="24"/>
        </w:rPr>
        <w:t xml:space="preserve"> the home</w:t>
      </w:r>
      <w:r w:rsidR="008B6131" w:rsidRPr="005927F3">
        <w:rPr>
          <w:rFonts w:cstheme="minorHAnsi"/>
          <w:sz w:val="24"/>
          <w:szCs w:val="24"/>
        </w:rPr>
        <w:t xml:space="preserve"> </w:t>
      </w:r>
      <w:r w:rsidR="0052580E" w:rsidRPr="005927F3">
        <w:rPr>
          <w:rFonts w:cstheme="minorHAnsi"/>
          <w:sz w:val="24"/>
          <w:szCs w:val="24"/>
        </w:rPr>
        <w:t>–</w:t>
      </w:r>
      <w:r w:rsidR="008B6131" w:rsidRPr="005927F3">
        <w:rPr>
          <w:rFonts w:cstheme="minorHAnsi"/>
          <w:sz w:val="24"/>
          <w:szCs w:val="24"/>
        </w:rPr>
        <w:t xml:space="preserve"> </w:t>
      </w:r>
      <w:r w:rsidR="0052580E" w:rsidRPr="005927F3">
        <w:rPr>
          <w:rFonts w:cstheme="minorHAnsi"/>
          <w:sz w:val="24"/>
          <w:szCs w:val="24"/>
        </w:rPr>
        <w:t xml:space="preserve">such as </w:t>
      </w:r>
      <w:r w:rsidR="0037183E" w:rsidRPr="005927F3">
        <w:rPr>
          <w:rFonts w:cstheme="minorHAnsi"/>
          <w:sz w:val="24"/>
          <w:szCs w:val="24"/>
        </w:rPr>
        <w:t>Prosser’s category of ‘</w:t>
      </w:r>
      <w:r w:rsidR="006D1068" w:rsidRPr="005927F3">
        <w:rPr>
          <w:rFonts w:cstheme="minorHAnsi"/>
          <w:sz w:val="24"/>
          <w:szCs w:val="24"/>
        </w:rPr>
        <w:t>public disclosure of private facts</w:t>
      </w:r>
      <w:r w:rsidR="0037183E" w:rsidRPr="005927F3">
        <w:rPr>
          <w:rFonts w:cstheme="minorHAnsi"/>
          <w:sz w:val="24"/>
          <w:szCs w:val="24"/>
        </w:rPr>
        <w:t>’</w:t>
      </w:r>
      <w:r w:rsidR="008B6131" w:rsidRPr="005927F3">
        <w:rPr>
          <w:rFonts w:cstheme="minorHAnsi"/>
          <w:sz w:val="24"/>
          <w:szCs w:val="24"/>
        </w:rPr>
        <w:t xml:space="preserve"> -</w:t>
      </w:r>
      <w:r w:rsidR="00CF15CF" w:rsidRPr="005927F3">
        <w:rPr>
          <w:rFonts w:cstheme="minorHAnsi"/>
          <w:sz w:val="24"/>
          <w:szCs w:val="24"/>
        </w:rPr>
        <w:t xml:space="preserve"> </w:t>
      </w:r>
      <w:r w:rsidR="0037183E" w:rsidRPr="005927F3">
        <w:rPr>
          <w:rFonts w:cstheme="minorHAnsi"/>
          <w:sz w:val="24"/>
          <w:szCs w:val="24"/>
        </w:rPr>
        <w:t xml:space="preserve">require </w:t>
      </w:r>
      <w:r w:rsidR="0052580E" w:rsidRPr="005927F3">
        <w:rPr>
          <w:rFonts w:cstheme="minorHAnsi"/>
          <w:sz w:val="24"/>
          <w:szCs w:val="24"/>
        </w:rPr>
        <w:t>very special circumstances</w:t>
      </w:r>
      <w:r w:rsidR="00F94DAD" w:rsidRPr="005927F3">
        <w:rPr>
          <w:rFonts w:cstheme="minorHAnsi"/>
          <w:sz w:val="24"/>
          <w:szCs w:val="24"/>
        </w:rPr>
        <w:t xml:space="preserve"> indeed</w:t>
      </w:r>
      <w:r w:rsidR="0052580E" w:rsidRPr="005927F3">
        <w:rPr>
          <w:rFonts w:cstheme="minorHAnsi"/>
          <w:sz w:val="24"/>
          <w:szCs w:val="24"/>
        </w:rPr>
        <w:t xml:space="preserve"> </w:t>
      </w:r>
      <w:r w:rsidR="00833354" w:rsidRPr="005927F3">
        <w:rPr>
          <w:rFonts w:cstheme="minorHAnsi"/>
          <w:sz w:val="24"/>
          <w:szCs w:val="24"/>
        </w:rPr>
        <w:t xml:space="preserve">to </w:t>
      </w:r>
      <w:r w:rsidR="004111C7" w:rsidRPr="005927F3">
        <w:rPr>
          <w:rFonts w:cstheme="minorHAnsi"/>
          <w:sz w:val="24"/>
          <w:szCs w:val="24"/>
        </w:rPr>
        <w:t xml:space="preserve">justify curtailing </w:t>
      </w:r>
      <w:r w:rsidR="00AD72DF" w:rsidRPr="005927F3">
        <w:rPr>
          <w:rFonts w:cstheme="minorHAnsi"/>
          <w:sz w:val="24"/>
          <w:szCs w:val="24"/>
        </w:rPr>
        <w:t>free speech</w:t>
      </w:r>
      <w:r w:rsidR="00DD491A" w:rsidRPr="005927F3">
        <w:rPr>
          <w:rFonts w:cstheme="minorHAnsi"/>
          <w:sz w:val="24"/>
          <w:szCs w:val="24"/>
        </w:rPr>
        <w:t>.</w:t>
      </w:r>
      <w:r w:rsidR="00F94DAD" w:rsidRPr="005927F3">
        <w:rPr>
          <w:rFonts w:cstheme="minorHAnsi"/>
          <w:sz w:val="24"/>
          <w:szCs w:val="24"/>
        </w:rPr>
        <w:t xml:space="preserve"> </w:t>
      </w:r>
      <w:r w:rsidR="000167E0" w:rsidRPr="005927F3">
        <w:rPr>
          <w:rFonts w:cstheme="minorHAnsi"/>
          <w:sz w:val="24"/>
          <w:szCs w:val="24"/>
        </w:rPr>
        <w:t>In contrast</w:t>
      </w:r>
      <w:r w:rsidR="00F94DAD" w:rsidRPr="005927F3">
        <w:rPr>
          <w:rFonts w:cstheme="minorHAnsi"/>
          <w:sz w:val="24"/>
          <w:szCs w:val="24"/>
        </w:rPr>
        <w:t>,</w:t>
      </w:r>
      <w:r w:rsidR="0037183E" w:rsidRPr="005927F3">
        <w:rPr>
          <w:rFonts w:cstheme="minorHAnsi"/>
          <w:sz w:val="24"/>
          <w:szCs w:val="24"/>
        </w:rPr>
        <w:t xml:space="preserve"> where privacy has its principal field of engagement in the </w:t>
      </w:r>
      <w:r w:rsidR="000167E0" w:rsidRPr="005927F3">
        <w:rPr>
          <w:rFonts w:cstheme="minorHAnsi"/>
          <w:sz w:val="24"/>
          <w:szCs w:val="24"/>
        </w:rPr>
        <w:t xml:space="preserve">social or </w:t>
      </w:r>
      <w:r w:rsidR="0037183E" w:rsidRPr="005927F3">
        <w:rPr>
          <w:rFonts w:cstheme="minorHAnsi"/>
          <w:sz w:val="24"/>
          <w:szCs w:val="24"/>
        </w:rPr>
        <w:t>public domain</w:t>
      </w:r>
      <w:r w:rsidR="00AF6706" w:rsidRPr="005927F3">
        <w:rPr>
          <w:rFonts w:cstheme="minorHAnsi"/>
          <w:sz w:val="24"/>
          <w:szCs w:val="24"/>
        </w:rPr>
        <w:t xml:space="preserve"> and is concerned with the levelling up of dignity in public</w:t>
      </w:r>
      <w:r w:rsidR="0037183E" w:rsidRPr="005927F3">
        <w:rPr>
          <w:rFonts w:cstheme="minorHAnsi"/>
          <w:sz w:val="24"/>
          <w:szCs w:val="24"/>
        </w:rPr>
        <w:t xml:space="preserve">, it acts routinely and </w:t>
      </w:r>
      <w:r w:rsidR="001117F6" w:rsidRPr="005927F3">
        <w:rPr>
          <w:rFonts w:cstheme="minorHAnsi"/>
          <w:sz w:val="24"/>
          <w:szCs w:val="24"/>
        </w:rPr>
        <w:t>deliberately</w:t>
      </w:r>
      <w:r w:rsidR="0037183E" w:rsidRPr="005927F3">
        <w:rPr>
          <w:rFonts w:cstheme="minorHAnsi"/>
          <w:sz w:val="24"/>
          <w:szCs w:val="24"/>
        </w:rPr>
        <w:t xml:space="preserve"> as a restraint on freedom of expression</w:t>
      </w:r>
      <w:r w:rsidR="00AF6706" w:rsidRPr="005927F3">
        <w:rPr>
          <w:rFonts w:cstheme="minorHAnsi"/>
          <w:sz w:val="24"/>
          <w:szCs w:val="24"/>
        </w:rPr>
        <w:t>,</w:t>
      </w:r>
      <w:r w:rsidR="0037183E" w:rsidRPr="005927F3">
        <w:rPr>
          <w:rFonts w:cstheme="minorHAnsi"/>
          <w:sz w:val="24"/>
          <w:szCs w:val="24"/>
        </w:rPr>
        <w:t xml:space="preserve"> which explains why for the CJEU in </w:t>
      </w:r>
      <w:r w:rsidR="0037183E" w:rsidRPr="005927F3">
        <w:rPr>
          <w:rFonts w:cstheme="minorHAnsi"/>
          <w:i/>
          <w:sz w:val="24"/>
          <w:szCs w:val="24"/>
        </w:rPr>
        <w:t xml:space="preserve">GC &amp; </w:t>
      </w:r>
      <w:proofErr w:type="spellStart"/>
      <w:r w:rsidR="0037183E" w:rsidRPr="005927F3">
        <w:rPr>
          <w:rFonts w:cstheme="minorHAnsi"/>
          <w:i/>
          <w:sz w:val="24"/>
          <w:szCs w:val="24"/>
        </w:rPr>
        <w:t>Ors</w:t>
      </w:r>
      <w:proofErr w:type="spellEnd"/>
      <w:r w:rsidR="0037183E" w:rsidRPr="005927F3">
        <w:rPr>
          <w:rFonts w:cstheme="minorHAnsi"/>
          <w:i/>
          <w:sz w:val="24"/>
          <w:szCs w:val="24"/>
        </w:rPr>
        <w:t xml:space="preserve"> </w:t>
      </w:r>
      <w:r w:rsidR="00AD72DF" w:rsidRPr="005927F3">
        <w:rPr>
          <w:rFonts w:cstheme="minorHAnsi"/>
          <w:sz w:val="24"/>
          <w:szCs w:val="24"/>
        </w:rPr>
        <w:t xml:space="preserve">and </w:t>
      </w:r>
      <w:r w:rsidR="00AD72DF" w:rsidRPr="005927F3">
        <w:rPr>
          <w:rFonts w:cstheme="minorHAnsi"/>
          <w:i/>
          <w:sz w:val="24"/>
          <w:szCs w:val="24"/>
        </w:rPr>
        <w:t xml:space="preserve">Google Spain </w:t>
      </w:r>
      <w:r w:rsidR="0037183E" w:rsidRPr="005927F3">
        <w:rPr>
          <w:rFonts w:cstheme="minorHAnsi"/>
          <w:sz w:val="24"/>
          <w:szCs w:val="24"/>
        </w:rPr>
        <w:t>the privacy interest</w:t>
      </w:r>
      <w:r w:rsidR="00AD72DF" w:rsidRPr="005927F3">
        <w:rPr>
          <w:rFonts w:cstheme="minorHAnsi"/>
          <w:sz w:val="24"/>
          <w:szCs w:val="24"/>
        </w:rPr>
        <w:t>s</w:t>
      </w:r>
      <w:r w:rsidR="0037183E" w:rsidRPr="005927F3">
        <w:rPr>
          <w:rFonts w:cstheme="minorHAnsi"/>
          <w:sz w:val="24"/>
          <w:szCs w:val="24"/>
        </w:rPr>
        <w:t xml:space="preserve"> of the data subject</w:t>
      </w:r>
      <w:r w:rsidR="008B6131" w:rsidRPr="005927F3">
        <w:rPr>
          <w:rFonts w:cstheme="minorHAnsi"/>
          <w:sz w:val="24"/>
          <w:szCs w:val="24"/>
        </w:rPr>
        <w:t xml:space="preserve"> would</w:t>
      </w:r>
      <w:r w:rsidR="0037183E" w:rsidRPr="005927F3">
        <w:rPr>
          <w:rFonts w:cstheme="minorHAnsi"/>
          <w:sz w:val="24"/>
          <w:szCs w:val="24"/>
        </w:rPr>
        <w:t xml:space="preserve"> ‘</w:t>
      </w:r>
      <w:proofErr w:type="gramStart"/>
      <w:r w:rsidR="0037183E" w:rsidRPr="005927F3">
        <w:rPr>
          <w:rFonts w:cstheme="minorHAnsi"/>
          <w:sz w:val="24"/>
          <w:szCs w:val="24"/>
        </w:rPr>
        <w:t xml:space="preserve">as a </w:t>
      </w:r>
      <w:r w:rsidR="00DD491A" w:rsidRPr="005927F3">
        <w:rPr>
          <w:rFonts w:cstheme="minorHAnsi"/>
          <w:sz w:val="24"/>
          <w:szCs w:val="24"/>
        </w:rPr>
        <w:t xml:space="preserve">general </w:t>
      </w:r>
      <w:r w:rsidR="0037183E" w:rsidRPr="005927F3">
        <w:rPr>
          <w:rFonts w:cstheme="minorHAnsi"/>
          <w:sz w:val="24"/>
          <w:szCs w:val="24"/>
        </w:rPr>
        <w:t>rule</w:t>
      </w:r>
      <w:proofErr w:type="gramEnd"/>
      <w:r w:rsidR="0037183E" w:rsidRPr="005927F3">
        <w:rPr>
          <w:rFonts w:cstheme="minorHAnsi"/>
          <w:sz w:val="24"/>
          <w:szCs w:val="24"/>
        </w:rPr>
        <w:t xml:space="preserve">’ </w:t>
      </w:r>
      <w:r w:rsidR="00432B6E" w:rsidRPr="005927F3">
        <w:rPr>
          <w:rFonts w:cstheme="minorHAnsi"/>
          <w:sz w:val="24"/>
          <w:szCs w:val="24"/>
        </w:rPr>
        <w:t>override</w:t>
      </w:r>
      <w:r w:rsidR="00AD72DF" w:rsidRPr="005927F3">
        <w:rPr>
          <w:rFonts w:cstheme="minorHAnsi"/>
          <w:sz w:val="24"/>
          <w:szCs w:val="24"/>
        </w:rPr>
        <w:t xml:space="preserve"> </w:t>
      </w:r>
      <w:r w:rsidR="0037183E" w:rsidRPr="005927F3">
        <w:rPr>
          <w:rFonts w:cstheme="minorHAnsi"/>
          <w:sz w:val="24"/>
          <w:szCs w:val="24"/>
        </w:rPr>
        <w:t>the</w:t>
      </w:r>
      <w:r w:rsidR="00AD72DF" w:rsidRPr="005927F3">
        <w:rPr>
          <w:rFonts w:cstheme="minorHAnsi"/>
          <w:sz w:val="24"/>
          <w:szCs w:val="24"/>
        </w:rPr>
        <w:t xml:space="preserve"> collective</w:t>
      </w:r>
      <w:r w:rsidR="0037183E" w:rsidRPr="005927F3">
        <w:rPr>
          <w:rFonts w:cstheme="minorHAnsi"/>
          <w:sz w:val="24"/>
          <w:szCs w:val="24"/>
        </w:rPr>
        <w:t xml:space="preserve"> interest of the public in accessing the information</w:t>
      </w:r>
      <w:r w:rsidR="00432B6E" w:rsidRPr="005927F3">
        <w:rPr>
          <w:rFonts w:cstheme="minorHAnsi"/>
          <w:sz w:val="24"/>
          <w:szCs w:val="24"/>
        </w:rPr>
        <w:t>.</w:t>
      </w:r>
      <w:r w:rsidR="001C60FD" w:rsidRPr="005927F3">
        <w:rPr>
          <w:rFonts w:cstheme="minorHAnsi"/>
          <w:sz w:val="24"/>
          <w:szCs w:val="24"/>
        </w:rPr>
        <w:t xml:space="preserve"> </w:t>
      </w:r>
      <w:proofErr w:type="spellStart"/>
      <w:r w:rsidR="001C60FD" w:rsidRPr="005927F3">
        <w:rPr>
          <w:rFonts w:cstheme="minorHAnsi"/>
          <w:sz w:val="24"/>
          <w:szCs w:val="24"/>
        </w:rPr>
        <w:t>Warby</w:t>
      </w:r>
      <w:proofErr w:type="spellEnd"/>
      <w:r w:rsidR="001C60FD" w:rsidRPr="005927F3">
        <w:rPr>
          <w:rFonts w:cstheme="minorHAnsi"/>
          <w:sz w:val="24"/>
          <w:szCs w:val="24"/>
        </w:rPr>
        <w:t xml:space="preserve"> J’s insistence in</w:t>
      </w:r>
      <w:r w:rsidR="001C60FD" w:rsidRPr="005927F3">
        <w:rPr>
          <w:rFonts w:cstheme="minorHAnsi"/>
          <w:i/>
          <w:sz w:val="24"/>
          <w:szCs w:val="24"/>
        </w:rPr>
        <w:t xml:space="preserve"> N</w:t>
      </w:r>
      <w:r w:rsidR="00D14554" w:rsidRPr="005927F3">
        <w:rPr>
          <w:rFonts w:cstheme="minorHAnsi"/>
          <w:i/>
          <w:sz w:val="24"/>
          <w:szCs w:val="24"/>
        </w:rPr>
        <w:t>T</w:t>
      </w:r>
      <w:r w:rsidR="001C60FD" w:rsidRPr="005927F3">
        <w:rPr>
          <w:rFonts w:cstheme="minorHAnsi"/>
          <w:i/>
          <w:sz w:val="24"/>
          <w:szCs w:val="24"/>
        </w:rPr>
        <w:t>1 &amp; N</w:t>
      </w:r>
      <w:r w:rsidR="00D14554" w:rsidRPr="005927F3">
        <w:rPr>
          <w:rFonts w:cstheme="minorHAnsi"/>
          <w:i/>
          <w:sz w:val="24"/>
          <w:szCs w:val="24"/>
        </w:rPr>
        <w:t>T</w:t>
      </w:r>
      <w:r w:rsidR="001C60FD" w:rsidRPr="005927F3">
        <w:rPr>
          <w:rFonts w:cstheme="minorHAnsi"/>
          <w:i/>
          <w:sz w:val="24"/>
          <w:szCs w:val="24"/>
        </w:rPr>
        <w:t xml:space="preserve">2 </w:t>
      </w:r>
      <w:r w:rsidR="001C60FD" w:rsidRPr="005927F3">
        <w:rPr>
          <w:rFonts w:cstheme="minorHAnsi"/>
          <w:sz w:val="24"/>
          <w:szCs w:val="24"/>
        </w:rPr>
        <w:t xml:space="preserve">that ‘the “general rule” to which the court </w:t>
      </w:r>
      <w:r w:rsidR="00432B6E" w:rsidRPr="005927F3">
        <w:rPr>
          <w:rFonts w:cstheme="minorHAnsi"/>
          <w:sz w:val="24"/>
          <w:szCs w:val="24"/>
        </w:rPr>
        <w:t xml:space="preserve">[the CJEU in </w:t>
      </w:r>
      <w:r w:rsidR="00432B6E" w:rsidRPr="005927F3">
        <w:rPr>
          <w:rFonts w:cstheme="minorHAnsi"/>
          <w:i/>
          <w:sz w:val="24"/>
          <w:szCs w:val="24"/>
        </w:rPr>
        <w:t>Google Spain</w:t>
      </w:r>
      <w:r w:rsidR="00432B6E" w:rsidRPr="005927F3">
        <w:rPr>
          <w:rFonts w:cstheme="minorHAnsi"/>
          <w:sz w:val="24"/>
          <w:szCs w:val="24"/>
        </w:rPr>
        <w:t xml:space="preserve">] </w:t>
      </w:r>
      <w:r w:rsidR="001C60FD" w:rsidRPr="005927F3">
        <w:rPr>
          <w:rFonts w:cstheme="minorHAnsi"/>
          <w:sz w:val="24"/>
          <w:szCs w:val="24"/>
        </w:rPr>
        <w:t>was referring was a desc</w:t>
      </w:r>
      <w:r w:rsidR="00432B6E" w:rsidRPr="005927F3">
        <w:rPr>
          <w:rFonts w:cstheme="minorHAnsi"/>
          <w:sz w:val="24"/>
          <w:szCs w:val="24"/>
        </w:rPr>
        <w:t>riptive, not a prescriptive one</w:t>
      </w:r>
      <w:r w:rsidR="001C60FD" w:rsidRPr="005927F3">
        <w:rPr>
          <w:rFonts w:cstheme="minorHAnsi"/>
          <w:sz w:val="24"/>
          <w:szCs w:val="24"/>
        </w:rPr>
        <w:t>’</w:t>
      </w:r>
      <w:r w:rsidR="001C60FD" w:rsidRPr="005927F3">
        <w:rPr>
          <w:rStyle w:val="FootnoteReference"/>
          <w:rFonts w:cstheme="minorHAnsi"/>
          <w:sz w:val="24"/>
          <w:szCs w:val="24"/>
        </w:rPr>
        <w:footnoteReference w:id="178"/>
      </w:r>
      <w:r w:rsidR="004B58C8" w:rsidRPr="005927F3">
        <w:rPr>
          <w:rFonts w:cstheme="minorHAnsi"/>
          <w:sz w:val="24"/>
          <w:szCs w:val="24"/>
        </w:rPr>
        <w:t xml:space="preserve"> </w:t>
      </w:r>
      <w:r w:rsidR="004E2A00" w:rsidRPr="005927F3">
        <w:rPr>
          <w:rFonts w:cstheme="minorHAnsi"/>
          <w:sz w:val="24"/>
          <w:szCs w:val="24"/>
        </w:rPr>
        <w:t xml:space="preserve">misunderstands the essential </w:t>
      </w:r>
      <w:r w:rsidR="0052580E" w:rsidRPr="005927F3">
        <w:rPr>
          <w:rFonts w:cstheme="minorHAnsi"/>
          <w:sz w:val="24"/>
          <w:szCs w:val="24"/>
        </w:rPr>
        <w:t>speech-</w:t>
      </w:r>
      <w:r w:rsidR="00432B6E" w:rsidRPr="005927F3">
        <w:rPr>
          <w:rFonts w:cstheme="minorHAnsi"/>
          <w:sz w:val="24"/>
          <w:szCs w:val="24"/>
        </w:rPr>
        <w:t>editing function of the right to be forgotten, and the informatio</w:t>
      </w:r>
      <w:r w:rsidR="001117F6" w:rsidRPr="005927F3">
        <w:rPr>
          <w:rFonts w:cstheme="minorHAnsi"/>
          <w:sz w:val="24"/>
          <w:szCs w:val="24"/>
        </w:rPr>
        <w:t>nal self-determination that it</w:t>
      </w:r>
      <w:r w:rsidR="00432B6E" w:rsidRPr="005927F3">
        <w:rPr>
          <w:rFonts w:cstheme="minorHAnsi"/>
          <w:sz w:val="24"/>
          <w:szCs w:val="24"/>
        </w:rPr>
        <w:t xml:space="preserve"> f</w:t>
      </w:r>
      <w:r w:rsidR="004E2A00" w:rsidRPr="005927F3">
        <w:rPr>
          <w:rFonts w:cstheme="minorHAnsi"/>
          <w:sz w:val="24"/>
          <w:szCs w:val="24"/>
        </w:rPr>
        <w:t>acilitate</w:t>
      </w:r>
      <w:r w:rsidR="001117F6" w:rsidRPr="005927F3">
        <w:rPr>
          <w:rFonts w:cstheme="minorHAnsi"/>
          <w:sz w:val="24"/>
          <w:szCs w:val="24"/>
        </w:rPr>
        <w:t>s</w:t>
      </w:r>
      <w:r w:rsidR="004E2A00" w:rsidRPr="005927F3">
        <w:rPr>
          <w:rFonts w:cstheme="minorHAnsi"/>
          <w:sz w:val="24"/>
          <w:szCs w:val="24"/>
        </w:rPr>
        <w:t xml:space="preserve"> in the public realm.</w:t>
      </w:r>
      <w:r w:rsidR="00972C4B" w:rsidRPr="005927F3">
        <w:rPr>
          <w:rStyle w:val="FootnoteReference"/>
          <w:rFonts w:cstheme="minorHAnsi"/>
          <w:sz w:val="24"/>
          <w:szCs w:val="24"/>
        </w:rPr>
        <w:footnoteReference w:id="179"/>
      </w:r>
      <w:r w:rsidR="004E2A00" w:rsidRPr="005927F3">
        <w:rPr>
          <w:rFonts w:cstheme="minorHAnsi"/>
          <w:sz w:val="24"/>
          <w:szCs w:val="24"/>
        </w:rPr>
        <w:t xml:space="preserve"> </w:t>
      </w:r>
      <w:r w:rsidR="005E6361" w:rsidRPr="005927F3">
        <w:rPr>
          <w:rFonts w:cstheme="minorHAnsi"/>
          <w:sz w:val="24"/>
          <w:szCs w:val="24"/>
        </w:rPr>
        <w:t xml:space="preserve"> </w:t>
      </w:r>
    </w:p>
    <w:p w14:paraId="75013B73" w14:textId="77777777" w:rsidR="002F11A8" w:rsidRPr="005927F3" w:rsidRDefault="002F11A8" w:rsidP="008B6131">
      <w:pPr>
        <w:spacing w:after="0" w:line="240" w:lineRule="auto"/>
        <w:jc w:val="both"/>
        <w:rPr>
          <w:rFonts w:cstheme="minorHAnsi"/>
          <w:sz w:val="24"/>
          <w:szCs w:val="24"/>
        </w:rPr>
      </w:pPr>
    </w:p>
    <w:p w14:paraId="36675100" w14:textId="2BB1E58E" w:rsidR="008B6131" w:rsidRDefault="00F94DAD" w:rsidP="008B6131">
      <w:pPr>
        <w:spacing w:after="0" w:line="240" w:lineRule="auto"/>
        <w:jc w:val="both"/>
        <w:rPr>
          <w:rFonts w:cstheme="minorHAnsi"/>
          <w:sz w:val="24"/>
          <w:szCs w:val="24"/>
        </w:rPr>
      </w:pPr>
      <w:proofErr w:type="spellStart"/>
      <w:r w:rsidRPr="005927F3">
        <w:rPr>
          <w:rFonts w:cstheme="minorHAnsi"/>
          <w:sz w:val="24"/>
          <w:szCs w:val="24"/>
        </w:rPr>
        <w:t>Warby</w:t>
      </w:r>
      <w:proofErr w:type="spellEnd"/>
      <w:r w:rsidRPr="005927F3">
        <w:rPr>
          <w:rFonts w:cstheme="minorHAnsi"/>
          <w:sz w:val="24"/>
          <w:szCs w:val="24"/>
        </w:rPr>
        <w:t xml:space="preserve"> J’s </w:t>
      </w:r>
      <w:r w:rsidR="00C10492" w:rsidRPr="005927F3">
        <w:rPr>
          <w:rFonts w:cstheme="minorHAnsi"/>
          <w:sz w:val="24"/>
          <w:szCs w:val="24"/>
        </w:rPr>
        <w:t xml:space="preserve">approach is not inconsistent with </w:t>
      </w:r>
      <w:r w:rsidR="00733F2C" w:rsidRPr="005927F3">
        <w:rPr>
          <w:rFonts w:cstheme="minorHAnsi"/>
          <w:sz w:val="24"/>
          <w:szCs w:val="24"/>
        </w:rPr>
        <w:t>Art 8</w:t>
      </w:r>
      <w:r w:rsidR="00C10492" w:rsidRPr="005927F3">
        <w:rPr>
          <w:rFonts w:cstheme="minorHAnsi"/>
          <w:sz w:val="24"/>
          <w:szCs w:val="24"/>
        </w:rPr>
        <w:t xml:space="preserve"> </w:t>
      </w:r>
      <w:r w:rsidR="00B4593E" w:rsidRPr="005927F3">
        <w:rPr>
          <w:rFonts w:cstheme="minorHAnsi"/>
          <w:sz w:val="24"/>
          <w:szCs w:val="24"/>
        </w:rPr>
        <w:t>where</w:t>
      </w:r>
      <w:r w:rsidR="00733F2C" w:rsidRPr="005927F3">
        <w:rPr>
          <w:rFonts w:cstheme="minorHAnsi"/>
          <w:sz w:val="24"/>
          <w:szCs w:val="24"/>
        </w:rPr>
        <w:t xml:space="preserve"> privacy and freedom of expression</w:t>
      </w:r>
      <w:r w:rsidR="00B4593E" w:rsidRPr="005927F3">
        <w:rPr>
          <w:rFonts w:cstheme="minorHAnsi"/>
          <w:sz w:val="24"/>
          <w:szCs w:val="24"/>
        </w:rPr>
        <w:t xml:space="preserve"> have formally been placed</w:t>
      </w:r>
      <w:r w:rsidR="00733F2C" w:rsidRPr="005927F3">
        <w:rPr>
          <w:rFonts w:cstheme="minorHAnsi"/>
          <w:sz w:val="24"/>
          <w:szCs w:val="24"/>
        </w:rPr>
        <w:t xml:space="preserve"> on an equal footing: ‘as a matter of principle these rights deserve equal respect.’</w:t>
      </w:r>
      <w:r w:rsidR="00733F2C" w:rsidRPr="005927F3">
        <w:rPr>
          <w:rStyle w:val="FootnoteReference"/>
          <w:rFonts w:cstheme="minorHAnsi"/>
          <w:sz w:val="24"/>
          <w:szCs w:val="24"/>
        </w:rPr>
        <w:footnoteReference w:id="180"/>
      </w:r>
      <w:r w:rsidR="00733F2C" w:rsidRPr="005927F3">
        <w:rPr>
          <w:rFonts w:cstheme="minorHAnsi"/>
          <w:sz w:val="24"/>
          <w:szCs w:val="24"/>
        </w:rPr>
        <w:t xml:space="preserve"> It thereby follows other jurisdictions that also </w:t>
      </w:r>
      <w:r w:rsidR="00B4593E" w:rsidRPr="005927F3">
        <w:rPr>
          <w:rFonts w:cstheme="minorHAnsi"/>
          <w:sz w:val="24"/>
          <w:szCs w:val="24"/>
        </w:rPr>
        <w:t>accord</w:t>
      </w:r>
      <w:r w:rsidR="00733F2C" w:rsidRPr="005927F3">
        <w:rPr>
          <w:rFonts w:cstheme="minorHAnsi"/>
          <w:sz w:val="24"/>
          <w:szCs w:val="24"/>
        </w:rPr>
        <w:t xml:space="preserve"> equal standing to privacy and free speech, such as Germany, France or Israel, rather than</w:t>
      </w:r>
      <w:r w:rsidR="00B4593E" w:rsidRPr="005927F3">
        <w:rPr>
          <w:rFonts w:cstheme="minorHAnsi"/>
          <w:sz w:val="24"/>
          <w:szCs w:val="24"/>
        </w:rPr>
        <w:t>, for example,</w:t>
      </w:r>
      <w:r w:rsidR="00733F2C" w:rsidRPr="005927F3">
        <w:rPr>
          <w:rFonts w:cstheme="minorHAnsi"/>
          <w:sz w:val="24"/>
          <w:szCs w:val="24"/>
        </w:rPr>
        <w:t xml:space="preserve"> the ‘brutal simplicity of the First Amendment.’</w:t>
      </w:r>
      <w:r w:rsidR="00733F2C" w:rsidRPr="005927F3">
        <w:rPr>
          <w:rStyle w:val="FootnoteReference"/>
          <w:rFonts w:cstheme="minorHAnsi"/>
          <w:sz w:val="24"/>
          <w:szCs w:val="24"/>
        </w:rPr>
        <w:footnoteReference w:id="181"/>
      </w:r>
      <w:r w:rsidR="002F11A8" w:rsidRPr="005927F3">
        <w:rPr>
          <w:rFonts w:cstheme="minorHAnsi"/>
          <w:sz w:val="24"/>
          <w:szCs w:val="24"/>
        </w:rPr>
        <w:t xml:space="preserve"> </w:t>
      </w:r>
      <w:r w:rsidR="00733F2C" w:rsidRPr="005927F3">
        <w:rPr>
          <w:rFonts w:cstheme="minorHAnsi"/>
          <w:sz w:val="24"/>
          <w:szCs w:val="24"/>
        </w:rPr>
        <w:t>On closer inspection, however, this equality of rights m</w:t>
      </w:r>
      <w:r w:rsidR="00C10492" w:rsidRPr="005927F3">
        <w:rPr>
          <w:rFonts w:cstheme="minorHAnsi"/>
          <w:sz w:val="24"/>
          <w:szCs w:val="24"/>
        </w:rPr>
        <w:t>ay</w:t>
      </w:r>
      <w:r w:rsidR="00733F2C" w:rsidRPr="005927F3">
        <w:rPr>
          <w:rFonts w:cstheme="minorHAnsi"/>
          <w:sz w:val="24"/>
          <w:szCs w:val="24"/>
        </w:rPr>
        <w:t xml:space="preserve"> be understood as no more than the requirement to balance the respective rights against each other, rather than the idea that </w:t>
      </w:r>
      <w:r w:rsidR="00D14554" w:rsidRPr="005927F3">
        <w:rPr>
          <w:rFonts w:cstheme="minorHAnsi"/>
          <w:sz w:val="24"/>
          <w:szCs w:val="24"/>
        </w:rPr>
        <w:t xml:space="preserve">there </w:t>
      </w:r>
      <w:r w:rsidR="00733F2C" w:rsidRPr="005927F3">
        <w:rPr>
          <w:rFonts w:cstheme="minorHAnsi"/>
          <w:sz w:val="24"/>
          <w:szCs w:val="24"/>
        </w:rPr>
        <w:t xml:space="preserve">are no presumptive preferences in </w:t>
      </w:r>
      <w:r w:rsidR="003D1984" w:rsidRPr="005927F3">
        <w:rPr>
          <w:rFonts w:cstheme="minorHAnsi"/>
          <w:sz w:val="24"/>
          <w:szCs w:val="24"/>
        </w:rPr>
        <w:t xml:space="preserve">particular </w:t>
      </w:r>
      <w:r w:rsidR="00733F2C" w:rsidRPr="005927F3">
        <w:rPr>
          <w:rFonts w:cstheme="minorHAnsi"/>
          <w:sz w:val="24"/>
          <w:szCs w:val="24"/>
        </w:rPr>
        <w:t>cases.</w:t>
      </w:r>
      <w:r w:rsidR="00733F2C" w:rsidRPr="005927F3">
        <w:rPr>
          <w:rStyle w:val="FootnoteReference"/>
          <w:rFonts w:cstheme="minorHAnsi"/>
          <w:sz w:val="24"/>
          <w:szCs w:val="24"/>
        </w:rPr>
        <w:footnoteReference w:id="182"/>
      </w:r>
      <w:r w:rsidR="00B4593E" w:rsidRPr="005927F3">
        <w:rPr>
          <w:rFonts w:cstheme="minorHAnsi"/>
          <w:sz w:val="24"/>
          <w:szCs w:val="24"/>
        </w:rPr>
        <w:t xml:space="preserve"> </w:t>
      </w:r>
      <w:r w:rsidR="00733F2C" w:rsidRPr="005927F3">
        <w:rPr>
          <w:rFonts w:cstheme="minorHAnsi"/>
          <w:sz w:val="24"/>
          <w:szCs w:val="24"/>
        </w:rPr>
        <w:t>Thus</w:t>
      </w:r>
      <w:r w:rsidR="00E97980" w:rsidRPr="005927F3">
        <w:rPr>
          <w:rFonts w:cstheme="minorHAnsi"/>
          <w:sz w:val="24"/>
          <w:szCs w:val="24"/>
        </w:rPr>
        <w:t>, for example,</w:t>
      </w:r>
      <w:r w:rsidR="00733F2C" w:rsidRPr="005927F3">
        <w:rPr>
          <w:rFonts w:cstheme="minorHAnsi"/>
          <w:sz w:val="24"/>
          <w:szCs w:val="24"/>
        </w:rPr>
        <w:t xml:space="preserve"> in German </w:t>
      </w:r>
      <w:r w:rsidR="00C10492" w:rsidRPr="005927F3">
        <w:rPr>
          <w:rFonts w:cstheme="minorHAnsi"/>
          <w:sz w:val="24"/>
          <w:szCs w:val="24"/>
        </w:rPr>
        <w:t xml:space="preserve">privacy </w:t>
      </w:r>
      <w:r w:rsidR="00733F2C" w:rsidRPr="005927F3">
        <w:rPr>
          <w:rFonts w:cstheme="minorHAnsi"/>
          <w:sz w:val="24"/>
          <w:szCs w:val="24"/>
        </w:rPr>
        <w:t>jurisprudence</w:t>
      </w:r>
      <w:r w:rsidR="00E97980" w:rsidRPr="005927F3">
        <w:rPr>
          <w:rFonts w:cstheme="minorHAnsi"/>
          <w:sz w:val="24"/>
          <w:szCs w:val="24"/>
        </w:rPr>
        <w:t xml:space="preserve"> </w:t>
      </w:r>
      <w:r w:rsidR="00733F2C" w:rsidRPr="005927F3">
        <w:rPr>
          <w:rFonts w:cstheme="minorHAnsi"/>
          <w:sz w:val="24"/>
          <w:szCs w:val="24"/>
        </w:rPr>
        <w:t xml:space="preserve">in cases </w:t>
      </w:r>
      <w:r w:rsidR="00C10492" w:rsidRPr="005927F3">
        <w:rPr>
          <w:rFonts w:cstheme="minorHAnsi"/>
          <w:sz w:val="24"/>
          <w:szCs w:val="24"/>
        </w:rPr>
        <w:t xml:space="preserve">of </w:t>
      </w:r>
      <w:r w:rsidR="00733F2C" w:rsidRPr="005927F3">
        <w:rPr>
          <w:rFonts w:cstheme="minorHAnsi"/>
          <w:sz w:val="24"/>
          <w:szCs w:val="24"/>
        </w:rPr>
        <w:t>speech</w:t>
      </w:r>
      <w:r w:rsidRPr="005927F3">
        <w:rPr>
          <w:rFonts w:cstheme="minorHAnsi"/>
          <w:sz w:val="24"/>
          <w:szCs w:val="24"/>
        </w:rPr>
        <w:t xml:space="preserve"> </w:t>
      </w:r>
      <w:r w:rsidR="00733F2C" w:rsidRPr="005927F3">
        <w:rPr>
          <w:rFonts w:cstheme="minorHAnsi"/>
          <w:sz w:val="24"/>
          <w:szCs w:val="24"/>
        </w:rPr>
        <w:t xml:space="preserve">targeted </w:t>
      </w:r>
      <w:r w:rsidR="00C10492" w:rsidRPr="005927F3">
        <w:rPr>
          <w:rFonts w:cstheme="minorHAnsi"/>
          <w:sz w:val="24"/>
          <w:szCs w:val="24"/>
        </w:rPr>
        <w:t xml:space="preserve">at </w:t>
      </w:r>
      <w:r w:rsidR="00733F2C" w:rsidRPr="005927F3">
        <w:rPr>
          <w:rFonts w:cstheme="minorHAnsi"/>
          <w:sz w:val="24"/>
          <w:szCs w:val="24"/>
        </w:rPr>
        <w:t xml:space="preserve">private individuals, privacy rights have generally won out, </w:t>
      </w:r>
      <w:r w:rsidR="00C10492" w:rsidRPr="005927F3">
        <w:rPr>
          <w:rFonts w:cstheme="minorHAnsi"/>
          <w:sz w:val="24"/>
          <w:szCs w:val="24"/>
        </w:rPr>
        <w:t>whilst in case</w:t>
      </w:r>
      <w:r w:rsidR="007E4ED0" w:rsidRPr="005927F3">
        <w:rPr>
          <w:rFonts w:cstheme="minorHAnsi"/>
          <w:sz w:val="24"/>
          <w:szCs w:val="24"/>
        </w:rPr>
        <w:t>s</w:t>
      </w:r>
      <w:r w:rsidR="00C10492" w:rsidRPr="005927F3">
        <w:rPr>
          <w:rFonts w:cstheme="minorHAnsi"/>
          <w:sz w:val="24"/>
          <w:szCs w:val="24"/>
        </w:rPr>
        <w:t xml:space="preserve"> of</w:t>
      </w:r>
      <w:r w:rsidR="00733F2C" w:rsidRPr="005927F3">
        <w:rPr>
          <w:rFonts w:cstheme="minorHAnsi"/>
          <w:sz w:val="24"/>
          <w:szCs w:val="24"/>
        </w:rPr>
        <w:t xml:space="preserve"> </w:t>
      </w:r>
      <w:r w:rsidR="00C10492" w:rsidRPr="005927F3">
        <w:rPr>
          <w:rFonts w:cstheme="minorHAnsi"/>
          <w:sz w:val="24"/>
          <w:szCs w:val="24"/>
        </w:rPr>
        <w:t xml:space="preserve">harm </w:t>
      </w:r>
      <w:r w:rsidR="00C10492" w:rsidRPr="005927F3">
        <w:rPr>
          <w:rFonts w:cstheme="minorHAnsi"/>
          <w:sz w:val="24"/>
          <w:szCs w:val="24"/>
        </w:rPr>
        <w:lastRenderedPageBreak/>
        <w:t xml:space="preserve">to more </w:t>
      </w:r>
      <w:r w:rsidR="00733F2C" w:rsidRPr="005927F3">
        <w:rPr>
          <w:rFonts w:cstheme="minorHAnsi"/>
          <w:sz w:val="24"/>
          <w:szCs w:val="24"/>
        </w:rPr>
        <w:t>diffuse dignit</w:t>
      </w:r>
      <w:r w:rsidR="00C10492" w:rsidRPr="005927F3">
        <w:rPr>
          <w:rFonts w:cstheme="minorHAnsi"/>
          <w:sz w:val="24"/>
          <w:szCs w:val="24"/>
        </w:rPr>
        <w:t>ary</w:t>
      </w:r>
      <w:r w:rsidR="00733F2C" w:rsidRPr="005927F3">
        <w:rPr>
          <w:rFonts w:cstheme="minorHAnsi"/>
          <w:sz w:val="24"/>
          <w:szCs w:val="24"/>
        </w:rPr>
        <w:t xml:space="preserve"> interests, </w:t>
      </w:r>
      <w:r w:rsidR="00C10492" w:rsidRPr="005927F3">
        <w:rPr>
          <w:rFonts w:cstheme="minorHAnsi"/>
          <w:sz w:val="24"/>
          <w:szCs w:val="24"/>
        </w:rPr>
        <w:t xml:space="preserve">freedom of expression </w:t>
      </w:r>
      <w:r w:rsidR="00733F2C" w:rsidRPr="005927F3">
        <w:rPr>
          <w:rFonts w:cstheme="minorHAnsi"/>
          <w:sz w:val="24"/>
          <w:szCs w:val="24"/>
        </w:rPr>
        <w:t>has carried the day.</w:t>
      </w:r>
      <w:r w:rsidR="00733F2C" w:rsidRPr="005927F3">
        <w:rPr>
          <w:rStyle w:val="FootnoteReference"/>
          <w:rFonts w:cstheme="minorHAnsi"/>
          <w:sz w:val="24"/>
          <w:szCs w:val="24"/>
        </w:rPr>
        <w:footnoteReference w:id="183"/>
      </w:r>
      <w:r w:rsidR="00C10492" w:rsidRPr="005927F3">
        <w:rPr>
          <w:rFonts w:cstheme="minorHAnsi"/>
          <w:sz w:val="24"/>
          <w:szCs w:val="24"/>
        </w:rPr>
        <w:t xml:space="preserve"> </w:t>
      </w:r>
      <w:r w:rsidR="00A82ED6" w:rsidRPr="005927F3">
        <w:rPr>
          <w:rFonts w:cstheme="minorHAnsi"/>
          <w:sz w:val="24"/>
          <w:szCs w:val="24"/>
        </w:rPr>
        <w:t xml:space="preserve">It </w:t>
      </w:r>
      <w:r w:rsidR="00E97980" w:rsidRPr="005927F3">
        <w:rPr>
          <w:rFonts w:cstheme="minorHAnsi"/>
          <w:sz w:val="24"/>
          <w:szCs w:val="24"/>
        </w:rPr>
        <w:t xml:space="preserve">has also </w:t>
      </w:r>
      <w:r w:rsidR="007E4ED0" w:rsidRPr="005927F3">
        <w:rPr>
          <w:rFonts w:cstheme="minorHAnsi"/>
          <w:sz w:val="24"/>
          <w:szCs w:val="24"/>
        </w:rPr>
        <w:t>meant that</w:t>
      </w:r>
      <w:r w:rsidR="002F3D5D" w:rsidRPr="005927F3">
        <w:rPr>
          <w:rFonts w:cstheme="minorHAnsi"/>
          <w:sz w:val="24"/>
          <w:szCs w:val="24"/>
        </w:rPr>
        <w:t xml:space="preserve"> ‘pictures can only be disseminated or exposed to the public eye with the express approval of the person represented</w:t>
      </w:r>
      <w:r w:rsidRPr="005927F3">
        <w:rPr>
          <w:rFonts w:cstheme="minorHAnsi"/>
          <w:sz w:val="24"/>
          <w:szCs w:val="24"/>
        </w:rPr>
        <w:t>,</w:t>
      </w:r>
      <w:r w:rsidR="002F3D5D" w:rsidRPr="005927F3">
        <w:rPr>
          <w:rFonts w:cstheme="minorHAnsi"/>
          <w:sz w:val="24"/>
          <w:szCs w:val="24"/>
        </w:rPr>
        <w:t>’</w:t>
      </w:r>
      <w:r w:rsidR="002F3D5D" w:rsidRPr="005927F3">
        <w:rPr>
          <w:rStyle w:val="FootnoteReference"/>
          <w:rFonts w:cstheme="minorHAnsi"/>
          <w:sz w:val="24"/>
          <w:szCs w:val="24"/>
        </w:rPr>
        <w:footnoteReference w:id="184"/>
      </w:r>
      <w:r w:rsidR="002F3D5D" w:rsidRPr="005927F3">
        <w:rPr>
          <w:rFonts w:cstheme="minorHAnsi"/>
          <w:sz w:val="24"/>
          <w:szCs w:val="24"/>
        </w:rPr>
        <w:t xml:space="preserve"> unless</w:t>
      </w:r>
      <w:r w:rsidR="002F11A8" w:rsidRPr="005927F3">
        <w:rPr>
          <w:rFonts w:cstheme="minorHAnsi"/>
          <w:sz w:val="24"/>
          <w:szCs w:val="24"/>
        </w:rPr>
        <w:t xml:space="preserve"> the photo is generally depicting contemporary society</w:t>
      </w:r>
      <w:r w:rsidR="002F11A8" w:rsidRPr="005927F3">
        <w:rPr>
          <w:rStyle w:val="FootnoteReference"/>
          <w:rFonts w:cstheme="minorHAnsi"/>
          <w:sz w:val="24"/>
          <w:szCs w:val="24"/>
        </w:rPr>
        <w:footnoteReference w:id="185"/>
      </w:r>
      <w:r w:rsidR="002F11A8" w:rsidRPr="005927F3">
        <w:rPr>
          <w:rFonts w:cstheme="minorHAnsi"/>
          <w:sz w:val="24"/>
          <w:szCs w:val="24"/>
        </w:rPr>
        <w:t xml:space="preserve"> or</w:t>
      </w:r>
      <w:r w:rsidR="002F3D5D" w:rsidRPr="005927F3">
        <w:rPr>
          <w:rFonts w:cstheme="minorHAnsi"/>
          <w:sz w:val="24"/>
          <w:szCs w:val="24"/>
        </w:rPr>
        <w:t xml:space="preserve"> </w:t>
      </w:r>
      <w:r w:rsidR="002F11A8" w:rsidRPr="005927F3">
        <w:rPr>
          <w:rFonts w:cstheme="minorHAnsi"/>
          <w:sz w:val="24"/>
          <w:szCs w:val="24"/>
        </w:rPr>
        <w:t>it</w:t>
      </w:r>
      <w:r w:rsidR="002F3D5D" w:rsidRPr="005927F3">
        <w:rPr>
          <w:rFonts w:cstheme="minorHAnsi"/>
          <w:sz w:val="24"/>
          <w:szCs w:val="24"/>
        </w:rPr>
        <w:t xml:space="preserve"> is of a public figure, that is ‘a figure of contemporary society’, and even then her legitimate interest in privacy may still trump the public interest in the information.</w:t>
      </w:r>
      <w:r w:rsidR="002F3D5D" w:rsidRPr="005927F3">
        <w:rPr>
          <w:rStyle w:val="FootnoteReference"/>
          <w:rFonts w:cstheme="minorHAnsi"/>
          <w:sz w:val="24"/>
          <w:szCs w:val="24"/>
        </w:rPr>
        <w:footnoteReference w:id="186"/>
      </w:r>
      <w:r w:rsidR="002F3D5D" w:rsidRPr="005927F3">
        <w:rPr>
          <w:rFonts w:cstheme="minorHAnsi"/>
          <w:sz w:val="24"/>
          <w:szCs w:val="24"/>
        </w:rPr>
        <w:t xml:space="preserve"> </w:t>
      </w:r>
      <w:r w:rsidRPr="005927F3">
        <w:rPr>
          <w:rFonts w:cstheme="minorHAnsi"/>
          <w:sz w:val="24"/>
          <w:szCs w:val="24"/>
        </w:rPr>
        <w:t>By extension,</w:t>
      </w:r>
      <w:r w:rsidR="00C10492" w:rsidRPr="005927F3">
        <w:rPr>
          <w:rFonts w:cstheme="minorHAnsi"/>
          <w:sz w:val="24"/>
          <w:szCs w:val="24"/>
        </w:rPr>
        <w:t xml:space="preserve"> in data protection claims </w:t>
      </w:r>
      <w:r w:rsidR="002F3D5D" w:rsidRPr="005927F3">
        <w:rPr>
          <w:rFonts w:cstheme="minorHAnsi"/>
          <w:sz w:val="24"/>
          <w:szCs w:val="24"/>
        </w:rPr>
        <w:t xml:space="preserve">where </w:t>
      </w:r>
      <w:r w:rsidR="00C10492" w:rsidRPr="005927F3">
        <w:rPr>
          <w:rFonts w:cstheme="minorHAnsi"/>
          <w:sz w:val="24"/>
          <w:szCs w:val="24"/>
        </w:rPr>
        <w:t>the conflict between</w:t>
      </w:r>
      <w:r w:rsidR="002F3D5D" w:rsidRPr="005927F3">
        <w:rPr>
          <w:rFonts w:cstheme="minorHAnsi"/>
          <w:sz w:val="24"/>
          <w:szCs w:val="24"/>
        </w:rPr>
        <w:t xml:space="preserve"> privacy and freedom of expression necessarily</w:t>
      </w:r>
      <w:r w:rsidR="00C10492" w:rsidRPr="005927F3">
        <w:rPr>
          <w:rFonts w:cstheme="minorHAnsi"/>
          <w:sz w:val="24"/>
          <w:szCs w:val="24"/>
        </w:rPr>
        <w:t xml:space="preserve"> </w:t>
      </w:r>
      <w:r w:rsidR="003D1984" w:rsidRPr="005927F3">
        <w:rPr>
          <w:rFonts w:cstheme="minorHAnsi"/>
          <w:sz w:val="24"/>
          <w:szCs w:val="24"/>
        </w:rPr>
        <w:t>involves</w:t>
      </w:r>
      <w:r w:rsidR="00C10492" w:rsidRPr="005927F3">
        <w:rPr>
          <w:rFonts w:cstheme="minorHAnsi"/>
          <w:sz w:val="24"/>
          <w:szCs w:val="24"/>
        </w:rPr>
        <w:t xml:space="preserve"> an identified or identifiable individual (as part and parcel of the definition of personal data)</w:t>
      </w:r>
      <w:r w:rsidR="007176BA" w:rsidRPr="005927F3">
        <w:rPr>
          <w:rFonts w:cstheme="minorHAnsi"/>
          <w:sz w:val="24"/>
          <w:szCs w:val="24"/>
        </w:rPr>
        <w:t>,</w:t>
      </w:r>
      <w:r w:rsidR="00C10492" w:rsidRPr="005927F3">
        <w:rPr>
          <w:rFonts w:cstheme="minorHAnsi"/>
          <w:sz w:val="24"/>
          <w:szCs w:val="24"/>
        </w:rPr>
        <w:t xml:space="preserve"> it make</w:t>
      </w:r>
      <w:r w:rsidR="00D14554" w:rsidRPr="005927F3">
        <w:rPr>
          <w:rFonts w:cstheme="minorHAnsi"/>
          <w:sz w:val="24"/>
          <w:szCs w:val="24"/>
        </w:rPr>
        <w:t>s</w:t>
      </w:r>
      <w:r w:rsidR="00C10492" w:rsidRPr="005927F3">
        <w:rPr>
          <w:rFonts w:cstheme="minorHAnsi"/>
          <w:sz w:val="24"/>
          <w:szCs w:val="24"/>
        </w:rPr>
        <w:t xml:space="preserve"> sense that ‘as a general rule’ freedom of expression </w:t>
      </w:r>
      <w:r w:rsidR="002F3D5D" w:rsidRPr="005927F3">
        <w:rPr>
          <w:rFonts w:cstheme="minorHAnsi"/>
          <w:sz w:val="24"/>
          <w:szCs w:val="24"/>
        </w:rPr>
        <w:t xml:space="preserve">should </w:t>
      </w:r>
      <w:r w:rsidR="00C10492" w:rsidRPr="005927F3">
        <w:rPr>
          <w:rFonts w:cstheme="minorHAnsi"/>
          <w:sz w:val="24"/>
          <w:szCs w:val="24"/>
        </w:rPr>
        <w:t xml:space="preserve">yield to </w:t>
      </w:r>
      <w:r w:rsidR="007176BA" w:rsidRPr="005927F3">
        <w:rPr>
          <w:rFonts w:cstheme="minorHAnsi"/>
          <w:sz w:val="24"/>
          <w:szCs w:val="24"/>
        </w:rPr>
        <w:t xml:space="preserve">a grounded </w:t>
      </w:r>
      <w:r w:rsidR="00531460" w:rsidRPr="005927F3">
        <w:rPr>
          <w:rFonts w:cstheme="minorHAnsi"/>
          <w:sz w:val="24"/>
          <w:szCs w:val="24"/>
        </w:rPr>
        <w:t xml:space="preserve">claim of a </w:t>
      </w:r>
      <w:r w:rsidR="00C10492" w:rsidRPr="005927F3">
        <w:rPr>
          <w:rFonts w:cstheme="minorHAnsi"/>
          <w:sz w:val="24"/>
          <w:szCs w:val="24"/>
        </w:rPr>
        <w:t xml:space="preserve">right to be forgotten. Consistently, </w:t>
      </w:r>
      <w:r w:rsidR="00CF15CF" w:rsidRPr="005927F3">
        <w:rPr>
          <w:rFonts w:cstheme="minorHAnsi"/>
          <w:sz w:val="24"/>
          <w:szCs w:val="24"/>
        </w:rPr>
        <w:t>whilst under the Directive a de-referencing request depended on an individual making out ‘</w:t>
      </w:r>
      <w:r w:rsidR="00CF15CF" w:rsidRPr="005927F3">
        <w:rPr>
          <w:rFonts w:cstheme="minorHAnsi"/>
          <w:i/>
          <w:sz w:val="24"/>
          <w:szCs w:val="24"/>
        </w:rPr>
        <w:t>compelling legitimate</w:t>
      </w:r>
      <w:r w:rsidR="00CF15CF" w:rsidRPr="005927F3">
        <w:rPr>
          <w:rFonts w:cstheme="minorHAnsi"/>
          <w:sz w:val="24"/>
          <w:szCs w:val="24"/>
        </w:rPr>
        <w:t xml:space="preserve"> grounds relating to his particular situation</w:t>
      </w:r>
      <w:r w:rsidR="00C10492" w:rsidRPr="005927F3">
        <w:rPr>
          <w:rFonts w:cstheme="minorHAnsi"/>
          <w:sz w:val="24"/>
          <w:szCs w:val="24"/>
        </w:rPr>
        <w:t>’</w:t>
      </w:r>
      <w:r w:rsidR="003D1984" w:rsidRPr="005927F3">
        <w:rPr>
          <w:rFonts w:cstheme="minorHAnsi"/>
          <w:sz w:val="24"/>
          <w:szCs w:val="24"/>
        </w:rPr>
        <w:t>,</w:t>
      </w:r>
      <w:r w:rsidR="00CF15CF" w:rsidRPr="005927F3">
        <w:rPr>
          <w:rStyle w:val="FootnoteReference"/>
          <w:rFonts w:cstheme="minorHAnsi"/>
          <w:sz w:val="24"/>
          <w:szCs w:val="24"/>
        </w:rPr>
        <w:footnoteReference w:id="187"/>
      </w:r>
      <w:r w:rsidR="00CF15CF" w:rsidRPr="005927F3">
        <w:rPr>
          <w:rFonts w:cstheme="minorHAnsi"/>
          <w:sz w:val="24"/>
          <w:szCs w:val="24"/>
        </w:rPr>
        <w:t xml:space="preserve"> under the GDPR the data subject only needs ‘grounds relating to his or her particular situation’</w:t>
      </w:r>
      <w:r w:rsidR="002F3D5D" w:rsidRPr="005927F3">
        <w:rPr>
          <w:rFonts w:cstheme="minorHAnsi"/>
          <w:sz w:val="24"/>
          <w:szCs w:val="24"/>
        </w:rPr>
        <w:t xml:space="preserve"> to assert </w:t>
      </w:r>
      <w:r w:rsidR="00D14554" w:rsidRPr="005927F3">
        <w:rPr>
          <w:rFonts w:cstheme="minorHAnsi"/>
          <w:sz w:val="24"/>
          <w:szCs w:val="24"/>
        </w:rPr>
        <w:t xml:space="preserve">their </w:t>
      </w:r>
      <w:r w:rsidR="002F3D5D" w:rsidRPr="005927F3">
        <w:rPr>
          <w:rFonts w:cstheme="minorHAnsi"/>
          <w:sz w:val="24"/>
          <w:szCs w:val="24"/>
        </w:rPr>
        <w:t>right to be forgotten</w:t>
      </w:r>
      <w:r w:rsidR="00531460" w:rsidRPr="005927F3">
        <w:rPr>
          <w:rFonts w:cstheme="minorHAnsi"/>
          <w:sz w:val="24"/>
          <w:szCs w:val="24"/>
        </w:rPr>
        <w:t xml:space="preserve">, </w:t>
      </w:r>
      <w:r w:rsidR="00CF15CF" w:rsidRPr="005927F3">
        <w:rPr>
          <w:rFonts w:cstheme="minorHAnsi"/>
          <w:sz w:val="24"/>
          <w:szCs w:val="24"/>
        </w:rPr>
        <w:t>and it is the controller who has to demonstrate ‘</w:t>
      </w:r>
      <w:r w:rsidR="00CF15CF" w:rsidRPr="005927F3">
        <w:rPr>
          <w:rFonts w:cstheme="minorHAnsi"/>
          <w:i/>
          <w:sz w:val="24"/>
          <w:szCs w:val="24"/>
        </w:rPr>
        <w:t>compelling legitimate</w:t>
      </w:r>
      <w:r w:rsidR="00CF15CF" w:rsidRPr="005927F3">
        <w:rPr>
          <w:rFonts w:cstheme="minorHAnsi"/>
          <w:sz w:val="24"/>
          <w:szCs w:val="24"/>
        </w:rPr>
        <w:t xml:space="preserve"> grounds for </w:t>
      </w:r>
      <w:r w:rsidR="002F3D5D" w:rsidRPr="005927F3">
        <w:rPr>
          <w:rFonts w:cstheme="minorHAnsi"/>
          <w:sz w:val="24"/>
          <w:szCs w:val="24"/>
        </w:rPr>
        <w:t xml:space="preserve">[continued] </w:t>
      </w:r>
      <w:r w:rsidR="00CF15CF" w:rsidRPr="005927F3">
        <w:rPr>
          <w:rFonts w:cstheme="minorHAnsi"/>
          <w:sz w:val="24"/>
          <w:szCs w:val="24"/>
        </w:rPr>
        <w:t>processing.’</w:t>
      </w:r>
      <w:r w:rsidR="00CF15CF" w:rsidRPr="005927F3">
        <w:rPr>
          <w:rStyle w:val="FootnoteReference"/>
          <w:rFonts w:cstheme="minorHAnsi"/>
          <w:sz w:val="24"/>
          <w:szCs w:val="24"/>
        </w:rPr>
        <w:footnoteReference w:id="188"/>
      </w:r>
      <w:r w:rsidR="00CF15CF" w:rsidRPr="005927F3">
        <w:rPr>
          <w:rFonts w:cstheme="minorHAnsi"/>
          <w:sz w:val="24"/>
          <w:szCs w:val="24"/>
        </w:rPr>
        <w:t xml:space="preserve"> </w:t>
      </w:r>
      <w:r w:rsidR="00531460" w:rsidRPr="005927F3">
        <w:rPr>
          <w:rFonts w:cstheme="minorHAnsi"/>
          <w:sz w:val="24"/>
          <w:szCs w:val="24"/>
        </w:rPr>
        <w:t>So</w:t>
      </w:r>
      <w:r w:rsidR="007176BA" w:rsidRPr="005927F3">
        <w:rPr>
          <w:rFonts w:cstheme="minorHAnsi"/>
          <w:sz w:val="24"/>
          <w:szCs w:val="24"/>
        </w:rPr>
        <w:t xml:space="preserve"> </w:t>
      </w:r>
      <w:r w:rsidR="002F3D5D" w:rsidRPr="005927F3">
        <w:rPr>
          <w:rFonts w:cstheme="minorHAnsi"/>
          <w:sz w:val="24"/>
          <w:szCs w:val="24"/>
        </w:rPr>
        <w:t xml:space="preserve">the GDPR </w:t>
      </w:r>
      <w:r w:rsidR="007176BA" w:rsidRPr="005927F3">
        <w:rPr>
          <w:rFonts w:cstheme="minorHAnsi"/>
          <w:sz w:val="24"/>
          <w:szCs w:val="24"/>
        </w:rPr>
        <w:t xml:space="preserve">shows a presumptive </w:t>
      </w:r>
      <w:r w:rsidR="002F3D5D" w:rsidRPr="005927F3">
        <w:rPr>
          <w:rFonts w:cstheme="minorHAnsi"/>
          <w:sz w:val="24"/>
          <w:szCs w:val="24"/>
        </w:rPr>
        <w:t xml:space="preserve">preference for accepting an </w:t>
      </w:r>
      <w:r w:rsidR="00CF15CF" w:rsidRPr="005927F3">
        <w:rPr>
          <w:rFonts w:cstheme="minorHAnsi"/>
          <w:sz w:val="24"/>
          <w:szCs w:val="24"/>
        </w:rPr>
        <w:t xml:space="preserve">individual’s </w:t>
      </w:r>
      <w:r w:rsidR="003D1984" w:rsidRPr="005927F3">
        <w:rPr>
          <w:rFonts w:cstheme="minorHAnsi"/>
          <w:sz w:val="24"/>
          <w:szCs w:val="24"/>
        </w:rPr>
        <w:t xml:space="preserve">justified </w:t>
      </w:r>
      <w:r w:rsidR="002F3D5D" w:rsidRPr="005927F3">
        <w:rPr>
          <w:rFonts w:cstheme="minorHAnsi"/>
          <w:sz w:val="24"/>
          <w:szCs w:val="24"/>
        </w:rPr>
        <w:t xml:space="preserve">take-down </w:t>
      </w:r>
      <w:r w:rsidR="00CF15CF" w:rsidRPr="005927F3">
        <w:rPr>
          <w:rFonts w:cstheme="minorHAnsi"/>
          <w:sz w:val="24"/>
          <w:szCs w:val="24"/>
        </w:rPr>
        <w:t>request</w:t>
      </w:r>
      <w:r w:rsidR="007176BA" w:rsidRPr="005927F3">
        <w:rPr>
          <w:rFonts w:cstheme="minorHAnsi"/>
          <w:sz w:val="24"/>
          <w:szCs w:val="24"/>
        </w:rPr>
        <w:t>,</w:t>
      </w:r>
      <w:r w:rsidR="00CF15CF" w:rsidRPr="005927F3">
        <w:rPr>
          <w:rFonts w:cstheme="minorHAnsi"/>
          <w:sz w:val="24"/>
          <w:szCs w:val="24"/>
        </w:rPr>
        <w:t xml:space="preserve"> putting the onus on controllers to justify the continued accessibility of the data</w:t>
      </w:r>
      <w:r w:rsidR="007176BA" w:rsidRPr="005927F3">
        <w:rPr>
          <w:rFonts w:cstheme="minorHAnsi"/>
          <w:sz w:val="24"/>
          <w:szCs w:val="24"/>
        </w:rPr>
        <w:t xml:space="preserve"> on a compelling legitimate basis. </w:t>
      </w:r>
      <w:r w:rsidR="00CF15CF" w:rsidRPr="005927F3">
        <w:rPr>
          <w:rFonts w:cstheme="minorHAnsi"/>
          <w:sz w:val="24"/>
          <w:szCs w:val="24"/>
        </w:rPr>
        <w:t xml:space="preserve"> </w:t>
      </w:r>
      <w:bookmarkStart w:id="25" w:name="_Toc61449447"/>
    </w:p>
    <w:p w14:paraId="62C04828" w14:textId="77777777" w:rsidR="002558A7" w:rsidRPr="005927F3" w:rsidRDefault="002558A7" w:rsidP="008B6131">
      <w:pPr>
        <w:spacing w:after="0" w:line="240" w:lineRule="auto"/>
        <w:jc w:val="both"/>
        <w:rPr>
          <w:rFonts w:cstheme="minorHAnsi"/>
          <w:sz w:val="24"/>
          <w:szCs w:val="24"/>
        </w:rPr>
      </w:pPr>
    </w:p>
    <w:p w14:paraId="349B2D24" w14:textId="15F65196" w:rsidR="00796719" w:rsidRPr="005927F3" w:rsidRDefault="00796719" w:rsidP="005927F3">
      <w:pPr>
        <w:pStyle w:val="Heading1"/>
        <w:numPr>
          <w:ilvl w:val="0"/>
          <w:numId w:val="31"/>
        </w:numPr>
        <w:spacing w:before="0" w:line="240" w:lineRule="auto"/>
        <w:rPr>
          <w:rFonts w:asciiTheme="minorHAnsi" w:hAnsiTheme="minorHAnsi" w:cstheme="minorHAnsi"/>
        </w:rPr>
      </w:pPr>
      <w:bookmarkStart w:id="26" w:name="_Toc116306483"/>
      <w:r w:rsidRPr="005927F3">
        <w:rPr>
          <w:rFonts w:asciiTheme="minorHAnsi" w:hAnsiTheme="minorHAnsi" w:cstheme="minorHAnsi"/>
        </w:rPr>
        <w:t>Conclusion</w:t>
      </w:r>
      <w:bookmarkEnd w:id="25"/>
      <w:bookmarkEnd w:id="26"/>
      <w:r w:rsidRPr="005927F3">
        <w:rPr>
          <w:rFonts w:asciiTheme="minorHAnsi" w:hAnsiTheme="minorHAnsi" w:cstheme="minorHAnsi"/>
        </w:rPr>
        <w:t xml:space="preserve"> </w:t>
      </w:r>
    </w:p>
    <w:p w14:paraId="141D0630" w14:textId="25F29CAD" w:rsidR="00AF5513" w:rsidRPr="005927F3" w:rsidRDefault="00AF5513" w:rsidP="00C0298E">
      <w:pPr>
        <w:tabs>
          <w:tab w:val="left" w:pos="3326"/>
        </w:tabs>
        <w:spacing w:after="0" w:line="240" w:lineRule="auto"/>
        <w:jc w:val="both"/>
        <w:rPr>
          <w:rFonts w:cstheme="minorHAnsi"/>
          <w:sz w:val="24"/>
          <w:szCs w:val="24"/>
        </w:rPr>
      </w:pPr>
    </w:p>
    <w:p w14:paraId="4E8747B5" w14:textId="58508B69" w:rsidR="001C5B34" w:rsidRPr="005927F3" w:rsidRDefault="00DB2E07" w:rsidP="00C0298E">
      <w:pPr>
        <w:tabs>
          <w:tab w:val="left" w:pos="3326"/>
        </w:tabs>
        <w:spacing w:after="0" w:line="240" w:lineRule="auto"/>
        <w:jc w:val="both"/>
        <w:rPr>
          <w:rFonts w:cstheme="minorHAnsi"/>
          <w:sz w:val="24"/>
          <w:szCs w:val="24"/>
        </w:rPr>
      </w:pPr>
      <w:r w:rsidRPr="005927F3">
        <w:rPr>
          <w:rFonts w:cstheme="minorHAnsi"/>
          <w:sz w:val="24"/>
          <w:szCs w:val="24"/>
        </w:rPr>
        <w:t xml:space="preserve">It is uncanny how the technical regulatory regime of data protection law should so comfortably embody the values of Continental European culture of privacy </w:t>
      </w:r>
      <w:r w:rsidR="006B21E0" w:rsidRPr="005927F3">
        <w:rPr>
          <w:rFonts w:cstheme="minorHAnsi"/>
          <w:sz w:val="24"/>
          <w:szCs w:val="24"/>
        </w:rPr>
        <w:t>with</w:t>
      </w:r>
      <w:r w:rsidRPr="005927F3">
        <w:rPr>
          <w:rFonts w:cstheme="minorHAnsi"/>
          <w:sz w:val="24"/>
          <w:szCs w:val="24"/>
        </w:rPr>
        <w:t xml:space="preserve"> its focus on protecti</w:t>
      </w:r>
      <w:r w:rsidR="006B21E0" w:rsidRPr="005927F3">
        <w:rPr>
          <w:rFonts w:cstheme="minorHAnsi"/>
          <w:sz w:val="24"/>
          <w:szCs w:val="24"/>
        </w:rPr>
        <w:t>ng</w:t>
      </w:r>
      <w:r w:rsidRPr="005927F3">
        <w:rPr>
          <w:rFonts w:cstheme="minorHAnsi"/>
          <w:sz w:val="24"/>
          <w:szCs w:val="24"/>
        </w:rPr>
        <w:t xml:space="preserve"> one’s public image – a tradition which Whitman described as ‘vague and grandiose</w:t>
      </w:r>
      <w:proofErr w:type="gramStart"/>
      <w:r w:rsidRPr="005927F3">
        <w:rPr>
          <w:rFonts w:cstheme="minorHAnsi"/>
          <w:sz w:val="24"/>
          <w:szCs w:val="24"/>
        </w:rPr>
        <w:t>’</w:t>
      </w:r>
      <w:proofErr w:type="gramEnd"/>
      <w:r w:rsidRPr="005927F3">
        <w:rPr>
          <w:rFonts w:cstheme="minorHAnsi"/>
          <w:sz w:val="24"/>
          <w:szCs w:val="24"/>
        </w:rPr>
        <w:t xml:space="preserve"> and which has its philosophical roots in Kantian idealism and inalienable personal autonomy. Yet, the evidence is incontrovertible: using the new right to be forgotten in the context </w:t>
      </w:r>
      <w:r w:rsidR="003C3475" w:rsidRPr="005927F3">
        <w:rPr>
          <w:rFonts w:cstheme="minorHAnsi"/>
          <w:sz w:val="24"/>
          <w:szCs w:val="24"/>
        </w:rPr>
        <w:t>of</w:t>
      </w:r>
      <w:r w:rsidRPr="005927F3">
        <w:rPr>
          <w:rFonts w:cstheme="minorHAnsi"/>
          <w:sz w:val="24"/>
          <w:szCs w:val="24"/>
        </w:rPr>
        <w:t xml:space="preserve"> spent convictions as a </w:t>
      </w:r>
      <w:r w:rsidR="006B21E0" w:rsidRPr="005927F3">
        <w:rPr>
          <w:rFonts w:cstheme="minorHAnsi"/>
          <w:sz w:val="24"/>
          <w:szCs w:val="24"/>
        </w:rPr>
        <w:t xml:space="preserve">testing </w:t>
      </w:r>
      <w:r w:rsidRPr="005927F3">
        <w:rPr>
          <w:rFonts w:cstheme="minorHAnsi"/>
          <w:sz w:val="24"/>
          <w:szCs w:val="24"/>
        </w:rPr>
        <w:t xml:space="preserve">case study </w:t>
      </w:r>
      <w:r w:rsidR="000D3C04" w:rsidRPr="005927F3">
        <w:rPr>
          <w:rFonts w:cstheme="minorHAnsi"/>
          <w:sz w:val="24"/>
          <w:szCs w:val="24"/>
        </w:rPr>
        <w:t>of</w:t>
      </w:r>
      <w:r w:rsidRPr="005927F3">
        <w:rPr>
          <w:rFonts w:cstheme="minorHAnsi"/>
          <w:sz w:val="24"/>
          <w:szCs w:val="24"/>
        </w:rPr>
        <w:t xml:space="preserve"> privacy-in-public, the discussion showed its solid standing in the GDPR and CJEU jurisprudence since</w:t>
      </w:r>
      <w:r w:rsidR="00C1384B" w:rsidRPr="005927F3">
        <w:rPr>
          <w:rFonts w:cstheme="minorHAnsi"/>
          <w:sz w:val="24"/>
          <w:szCs w:val="24"/>
        </w:rPr>
        <w:t xml:space="preserve"> its</w:t>
      </w:r>
      <w:r w:rsidRPr="005927F3">
        <w:rPr>
          <w:rFonts w:cstheme="minorHAnsi"/>
          <w:sz w:val="24"/>
          <w:szCs w:val="24"/>
        </w:rPr>
        <w:t xml:space="preserve"> inception in </w:t>
      </w:r>
      <w:r w:rsidRPr="005927F3">
        <w:rPr>
          <w:rFonts w:cstheme="minorHAnsi"/>
          <w:i/>
          <w:iCs/>
          <w:sz w:val="24"/>
          <w:szCs w:val="24"/>
        </w:rPr>
        <w:t>Google Spain</w:t>
      </w:r>
      <w:r w:rsidRPr="005927F3">
        <w:rPr>
          <w:rFonts w:cstheme="minorHAnsi"/>
          <w:sz w:val="24"/>
          <w:szCs w:val="24"/>
        </w:rPr>
        <w:t xml:space="preserve">, its outright rejection by the US judiciary against free speech constitutional demands, and its </w:t>
      </w:r>
      <w:r w:rsidR="003C3475" w:rsidRPr="005927F3">
        <w:rPr>
          <w:rFonts w:cstheme="minorHAnsi"/>
          <w:sz w:val="24"/>
          <w:szCs w:val="24"/>
        </w:rPr>
        <w:t xml:space="preserve">contorted </w:t>
      </w:r>
      <w:r w:rsidRPr="005927F3">
        <w:rPr>
          <w:rFonts w:cstheme="minorHAnsi"/>
          <w:sz w:val="24"/>
          <w:szCs w:val="24"/>
        </w:rPr>
        <w:t>transform</w:t>
      </w:r>
      <w:r w:rsidR="00B402FF" w:rsidRPr="005927F3">
        <w:rPr>
          <w:rFonts w:cstheme="minorHAnsi"/>
          <w:sz w:val="24"/>
          <w:szCs w:val="24"/>
        </w:rPr>
        <w:t xml:space="preserve">ation </w:t>
      </w:r>
      <w:r w:rsidRPr="005927F3">
        <w:rPr>
          <w:rFonts w:cstheme="minorHAnsi"/>
          <w:sz w:val="24"/>
          <w:szCs w:val="24"/>
        </w:rPr>
        <w:t xml:space="preserve">by the ECtHR </w:t>
      </w:r>
      <w:r w:rsidR="003C3475" w:rsidRPr="005927F3">
        <w:rPr>
          <w:rFonts w:cstheme="minorHAnsi"/>
          <w:sz w:val="24"/>
          <w:szCs w:val="24"/>
        </w:rPr>
        <w:t xml:space="preserve">against </w:t>
      </w:r>
      <w:r w:rsidR="00C1384B" w:rsidRPr="005927F3">
        <w:rPr>
          <w:rFonts w:cstheme="minorHAnsi"/>
          <w:sz w:val="24"/>
          <w:szCs w:val="24"/>
        </w:rPr>
        <w:t xml:space="preserve">Art 8 jurisprudence that has been exposed to both Western cultures of privacy. What is instructive about the case study is not just how the definition of ‘private’ as meaning ‘personal’ rather than ‘personal and confidential’ necessarily </w:t>
      </w:r>
      <w:r w:rsidR="000D3C04" w:rsidRPr="005927F3">
        <w:rPr>
          <w:rFonts w:cstheme="minorHAnsi"/>
          <w:sz w:val="24"/>
          <w:szCs w:val="24"/>
        </w:rPr>
        <w:t>opens</w:t>
      </w:r>
      <w:r w:rsidR="00C1384B" w:rsidRPr="005927F3">
        <w:rPr>
          <w:rFonts w:cstheme="minorHAnsi"/>
          <w:sz w:val="24"/>
          <w:szCs w:val="24"/>
        </w:rPr>
        <w:t xml:space="preserve"> the protective regime</w:t>
      </w:r>
      <w:r w:rsidR="000D3C04" w:rsidRPr="005927F3">
        <w:rPr>
          <w:rFonts w:cstheme="minorHAnsi"/>
          <w:sz w:val="24"/>
          <w:szCs w:val="24"/>
        </w:rPr>
        <w:t xml:space="preserve"> up</w:t>
      </w:r>
      <w:r w:rsidR="00C1384B" w:rsidRPr="005927F3">
        <w:rPr>
          <w:rFonts w:cstheme="minorHAnsi"/>
          <w:sz w:val="24"/>
          <w:szCs w:val="24"/>
        </w:rPr>
        <w:t xml:space="preserve"> to the public realm, but the significant consequences that flow from </w:t>
      </w:r>
      <w:r w:rsidR="00C819A7" w:rsidRPr="005927F3">
        <w:rPr>
          <w:rFonts w:cstheme="minorHAnsi"/>
          <w:sz w:val="24"/>
          <w:szCs w:val="24"/>
        </w:rPr>
        <w:t>it</w:t>
      </w:r>
      <w:r w:rsidR="003C3475" w:rsidRPr="005927F3">
        <w:rPr>
          <w:rFonts w:cstheme="minorHAnsi"/>
          <w:sz w:val="24"/>
          <w:szCs w:val="24"/>
        </w:rPr>
        <w:t xml:space="preserve"> </w:t>
      </w:r>
      <w:r w:rsidR="00C1384B" w:rsidRPr="005927F3">
        <w:rPr>
          <w:rFonts w:cstheme="minorHAnsi"/>
          <w:sz w:val="24"/>
          <w:szCs w:val="24"/>
        </w:rPr>
        <w:t>for the types of harm that may be recognised</w:t>
      </w:r>
      <w:r w:rsidR="00B402FF" w:rsidRPr="005927F3">
        <w:rPr>
          <w:rFonts w:cstheme="minorHAnsi"/>
          <w:sz w:val="24"/>
          <w:szCs w:val="24"/>
        </w:rPr>
        <w:t xml:space="preserve">, the behaviours that </w:t>
      </w:r>
      <w:r w:rsidR="00C819A7" w:rsidRPr="005927F3">
        <w:rPr>
          <w:rFonts w:cstheme="minorHAnsi"/>
          <w:sz w:val="24"/>
          <w:szCs w:val="24"/>
        </w:rPr>
        <w:t xml:space="preserve">may not </w:t>
      </w:r>
      <w:r w:rsidR="00B402FF" w:rsidRPr="005927F3">
        <w:rPr>
          <w:rFonts w:cstheme="minorHAnsi"/>
          <w:sz w:val="24"/>
          <w:szCs w:val="24"/>
        </w:rPr>
        <w:t>be disentitling,</w:t>
      </w:r>
      <w:r w:rsidR="001C5B34" w:rsidRPr="005927F3">
        <w:rPr>
          <w:rFonts w:cstheme="minorHAnsi"/>
          <w:sz w:val="24"/>
          <w:szCs w:val="24"/>
        </w:rPr>
        <w:t xml:space="preserve"> </w:t>
      </w:r>
      <w:r w:rsidR="000D3C04" w:rsidRPr="005927F3">
        <w:rPr>
          <w:rFonts w:cstheme="minorHAnsi"/>
          <w:sz w:val="24"/>
          <w:szCs w:val="24"/>
        </w:rPr>
        <w:t xml:space="preserve">or </w:t>
      </w:r>
      <w:r w:rsidR="00C1384B" w:rsidRPr="005927F3">
        <w:rPr>
          <w:rFonts w:cstheme="minorHAnsi"/>
          <w:sz w:val="24"/>
          <w:szCs w:val="24"/>
        </w:rPr>
        <w:t xml:space="preserve">the competing values that may be triggered. </w:t>
      </w:r>
      <w:r w:rsidR="003C3475" w:rsidRPr="005927F3">
        <w:rPr>
          <w:rFonts w:cstheme="minorHAnsi"/>
          <w:sz w:val="24"/>
          <w:szCs w:val="24"/>
        </w:rPr>
        <w:t>As</w:t>
      </w:r>
      <w:r w:rsidR="00C1384B" w:rsidRPr="005927F3">
        <w:rPr>
          <w:rFonts w:cstheme="minorHAnsi"/>
          <w:sz w:val="24"/>
          <w:szCs w:val="24"/>
        </w:rPr>
        <w:t xml:space="preserve"> aligned with the Continental European culture of privacy, </w:t>
      </w:r>
      <w:r w:rsidR="00B402FF" w:rsidRPr="005927F3">
        <w:rPr>
          <w:rFonts w:cstheme="minorHAnsi"/>
          <w:sz w:val="24"/>
          <w:szCs w:val="24"/>
        </w:rPr>
        <w:t xml:space="preserve">data protection </w:t>
      </w:r>
      <w:r w:rsidR="00C1384B" w:rsidRPr="005927F3">
        <w:rPr>
          <w:rFonts w:cstheme="minorHAnsi"/>
          <w:sz w:val="24"/>
          <w:szCs w:val="24"/>
        </w:rPr>
        <w:t xml:space="preserve">constructs the fundamentally vulnerable </w:t>
      </w:r>
      <w:r w:rsidR="006B21E0" w:rsidRPr="005927F3">
        <w:rPr>
          <w:rFonts w:cstheme="minorHAnsi"/>
          <w:sz w:val="24"/>
          <w:szCs w:val="24"/>
        </w:rPr>
        <w:t>individual</w:t>
      </w:r>
      <w:r w:rsidR="00C1384B" w:rsidRPr="005927F3">
        <w:rPr>
          <w:rFonts w:cstheme="minorHAnsi"/>
          <w:sz w:val="24"/>
          <w:szCs w:val="24"/>
        </w:rPr>
        <w:t xml:space="preserve"> not just </w:t>
      </w:r>
      <w:r w:rsidR="001C5B34" w:rsidRPr="005927F3">
        <w:rPr>
          <w:rFonts w:cstheme="minorHAnsi"/>
          <w:sz w:val="24"/>
          <w:szCs w:val="24"/>
        </w:rPr>
        <w:t xml:space="preserve">in </w:t>
      </w:r>
      <w:r w:rsidR="009A5FDF" w:rsidRPr="005927F3">
        <w:rPr>
          <w:rFonts w:cstheme="minorHAnsi"/>
          <w:sz w:val="24"/>
          <w:szCs w:val="24"/>
        </w:rPr>
        <w:t>her</w:t>
      </w:r>
      <w:r w:rsidR="001C5B34" w:rsidRPr="005927F3">
        <w:rPr>
          <w:rFonts w:cstheme="minorHAnsi"/>
          <w:sz w:val="24"/>
          <w:szCs w:val="24"/>
        </w:rPr>
        <w:t xml:space="preserve"> private setting</w:t>
      </w:r>
      <w:r w:rsidR="00B402FF" w:rsidRPr="005927F3">
        <w:rPr>
          <w:rFonts w:cstheme="minorHAnsi"/>
          <w:sz w:val="24"/>
          <w:szCs w:val="24"/>
        </w:rPr>
        <w:t xml:space="preserve"> of the home</w:t>
      </w:r>
      <w:r w:rsidR="001C5B34" w:rsidRPr="005927F3">
        <w:rPr>
          <w:rFonts w:cstheme="minorHAnsi"/>
          <w:sz w:val="24"/>
          <w:szCs w:val="24"/>
        </w:rPr>
        <w:t>, but in the public domain of employment</w:t>
      </w:r>
      <w:r w:rsidR="00C819A7" w:rsidRPr="005927F3">
        <w:rPr>
          <w:rFonts w:cstheme="minorHAnsi"/>
          <w:sz w:val="24"/>
          <w:szCs w:val="24"/>
        </w:rPr>
        <w:t>,</w:t>
      </w:r>
      <w:r w:rsidR="001C5B34" w:rsidRPr="005927F3">
        <w:rPr>
          <w:rFonts w:cstheme="minorHAnsi"/>
          <w:sz w:val="24"/>
          <w:szCs w:val="24"/>
        </w:rPr>
        <w:t xml:space="preserve"> community</w:t>
      </w:r>
      <w:r w:rsidR="00C819A7" w:rsidRPr="005927F3">
        <w:rPr>
          <w:rFonts w:cstheme="minorHAnsi"/>
          <w:sz w:val="24"/>
          <w:szCs w:val="24"/>
        </w:rPr>
        <w:t xml:space="preserve"> and polity</w:t>
      </w:r>
      <w:r w:rsidR="00BC5667" w:rsidRPr="005927F3">
        <w:rPr>
          <w:rFonts w:cstheme="minorHAnsi"/>
          <w:sz w:val="24"/>
          <w:szCs w:val="24"/>
        </w:rPr>
        <w:t xml:space="preserve"> </w:t>
      </w:r>
      <w:r w:rsidR="003C3475" w:rsidRPr="005927F3">
        <w:rPr>
          <w:rFonts w:cstheme="minorHAnsi"/>
          <w:sz w:val="24"/>
          <w:szCs w:val="24"/>
        </w:rPr>
        <w:t xml:space="preserve">and extends </w:t>
      </w:r>
      <w:r w:rsidR="009A5FDF" w:rsidRPr="005927F3">
        <w:rPr>
          <w:rFonts w:cstheme="minorHAnsi"/>
          <w:sz w:val="24"/>
          <w:szCs w:val="24"/>
        </w:rPr>
        <w:t xml:space="preserve">an entitlement to </w:t>
      </w:r>
      <w:r w:rsidR="00BC5667" w:rsidRPr="005927F3">
        <w:rPr>
          <w:rFonts w:cstheme="minorHAnsi"/>
          <w:sz w:val="24"/>
          <w:szCs w:val="24"/>
        </w:rPr>
        <w:t>basic human dignity</w:t>
      </w:r>
      <w:r w:rsidR="003C3475" w:rsidRPr="005927F3">
        <w:rPr>
          <w:rFonts w:cstheme="minorHAnsi"/>
          <w:sz w:val="24"/>
          <w:szCs w:val="24"/>
        </w:rPr>
        <w:t xml:space="preserve"> to th</w:t>
      </w:r>
      <w:r w:rsidR="00C819A7" w:rsidRPr="005927F3">
        <w:rPr>
          <w:rFonts w:cstheme="minorHAnsi"/>
          <w:sz w:val="24"/>
          <w:szCs w:val="24"/>
        </w:rPr>
        <w:t>ose public</w:t>
      </w:r>
      <w:r w:rsidR="003C3475" w:rsidRPr="005927F3">
        <w:rPr>
          <w:rFonts w:cstheme="minorHAnsi"/>
          <w:sz w:val="24"/>
          <w:szCs w:val="24"/>
        </w:rPr>
        <w:t xml:space="preserve"> realm</w:t>
      </w:r>
      <w:r w:rsidR="00C819A7" w:rsidRPr="005927F3">
        <w:rPr>
          <w:rFonts w:cstheme="minorHAnsi"/>
          <w:sz w:val="24"/>
          <w:szCs w:val="24"/>
        </w:rPr>
        <w:t>s</w:t>
      </w:r>
      <w:r w:rsidR="00BC5667" w:rsidRPr="005927F3">
        <w:rPr>
          <w:rFonts w:cstheme="minorHAnsi"/>
          <w:sz w:val="24"/>
          <w:szCs w:val="24"/>
        </w:rPr>
        <w:t>. This</w:t>
      </w:r>
      <w:r w:rsidR="00C819A7" w:rsidRPr="005927F3">
        <w:rPr>
          <w:rFonts w:cstheme="minorHAnsi"/>
          <w:sz w:val="24"/>
          <w:szCs w:val="24"/>
        </w:rPr>
        <w:t xml:space="preserve"> also</w:t>
      </w:r>
      <w:r w:rsidR="00BC5667" w:rsidRPr="005927F3">
        <w:rPr>
          <w:rFonts w:cstheme="minorHAnsi"/>
          <w:sz w:val="24"/>
          <w:szCs w:val="24"/>
        </w:rPr>
        <w:t xml:space="preserve"> explains why superimposing Art 8 jurisprudence based on Anglo-American privacy roots</w:t>
      </w:r>
      <w:r w:rsidR="009A5FDF" w:rsidRPr="005927F3">
        <w:rPr>
          <w:rFonts w:cstheme="minorHAnsi"/>
          <w:sz w:val="24"/>
          <w:szCs w:val="24"/>
        </w:rPr>
        <w:t xml:space="preserve"> on data protection law</w:t>
      </w:r>
      <w:r w:rsidR="00BC5667" w:rsidRPr="005927F3">
        <w:rPr>
          <w:rFonts w:cstheme="minorHAnsi"/>
          <w:sz w:val="24"/>
          <w:szCs w:val="24"/>
        </w:rPr>
        <w:t xml:space="preserve"> short-changes the right to be forgotten </w:t>
      </w:r>
      <w:r w:rsidR="00BC5667" w:rsidRPr="005927F3">
        <w:rPr>
          <w:rFonts w:cstheme="minorHAnsi"/>
          <w:sz w:val="24"/>
          <w:szCs w:val="24"/>
        </w:rPr>
        <w:lastRenderedPageBreak/>
        <w:t>and</w:t>
      </w:r>
      <w:r w:rsidR="009A5FDF" w:rsidRPr="005927F3">
        <w:rPr>
          <w:rFonts w:cstheme="minorHAnsi"/>
          <w:sz w:val="24"/>
          <w:szCs w:val="24"/>
        </w:rPr>
        <w:t xml:space="preserve"> severely</w:t>
      </w:r>
      <w:r w:rsidR="00BC5667" w:rsidRPr="005927F3">
        <w:rPr>
          <w:rFonts w:cstheme="minorHAnsi"/>
          <w:sz w:val="24"/>
          <w:szCs w:val="24"/>
        </w:rPr>
        <w:t xml:space="preserve"> restricts </w:t>
      </w:r>
      <w:r w:rsidR="00C819A7" w:rsidRPr="005927F3">
        <w:rPr>
          <w:rFonts w:cstheme="minorHAnsi"/>
          <w:sz w:val="24"/>
          <w:szCs w:val="24"/>
        </w:rPr>
        <w:t>it</w:t>
      </w:r>
      <w:r w:rsidR="009A5FDF" w:rsidRPr="005927F3">
        <w:rPr>
          <w:rFonts w:cstheme="minorHAnsi"/>
          <w:sz w:val="24"/>
          <w:szCs w:val="24"/>
        </w:rPr>
        <w:t>s operation</w:t>
      </w:r>
      <w:r w:rsidR="00BC5667" w:rsidRPr="005927F3">
        <w:rPr>
          <w:rFonts w:cstheme="minorHAnsi"/>
          <w:sz w:val="24"/>
          <w:szCs w:val="24"/>
        </w:rPr>
        <w:t xml:space="preserve"> to private information </w:t>
      </w:r>
      <w:r w:rsidR="00C819A7" w:rsidRPr="005927F3">
        <w:rPr>
          <w:rFonts w:cstheme="minorHAnsi"/>
          <w:sz w:val="24"/>
          <w:szCs w:val="24"/>
        </w:rPr>
        <w:t>and</w:t>
      </w:r>
      <w:r w:rsidR="00BC5667" w:rsidRPr="005927F3">
        <w:rPr>
          <w:rFonts w:cstheme="minorHAnsi"/>
          <w:sz w:val="24"/>
          <w:szCs w:val="24"/>
        </w:rPr>
        <w:t xml:space="preserve"> the private sphere</w:t>
      </w:r>
      <w:r w:rsidR="003C3475" w:rsidRPr="005927F3">
        <w:rPr>
          <w:rFonts w:cstheme="minorHAnsi"/>
          <w:sz w:val="24"/>
          <w:szCs w:val="24"/>
        </w:rPr>
        <w:t xml:space="preserve">, which is not </w:t>
      </w:r>
      <w:r w:rsidR="00BC5667" w:rsidRPr="005927F3">
        <w:rPr>
          <w:rFonts w:cstheme="minorHAnsi"/>
          <w:sz w:val="24"/>
          <w:szCs w:val="24"/>
        </w:rPr>
        <w:t xml:space="preserve">where </w:t>
      </w:r>
      <w:r w:rsidR="00C819A7" w:rsidRPr="005927F3">
        <w:rPr>
          <w:rFonts w:cstheme="minorHAnsi"/>
          <w:sz w:val="24"/>
          <w:szCs w:val="24"/>
        </w:rPr>
        <w:t>it</w:t>
      </w:r>
      <w:r w:rsidR="00BC5667" w:rsidRPr="005927F3">
        <w:rPr>
          <w:rFonts w:cstheme="minorHAnsi"/>
          <w:sz w:val="24"/>
          <w:szCs w:val="24"/>
        </w:rPr>
        <w:t xml:space="preserve"> </w:t>
      </w:r>
      <w:r w:rsidR="003C3475" w:rsidRPr="005927F3">
        <w:rPr>
          <w:rFonts w:cstheme="minorHAnsi"/>
          <w:sz w:val="24"/>
          <w:szCs w:val="24"/>
        </w:rPr>
        <w:t xml:space="preserve">is </w:t>
      </w:r>
      <w:r w:rsidR="00BC5667" w:rsidRPr="005927F3">
        <w:rPr>
          <w:rFonts w:cstheme="minorHAnsi"/>
          <w:sz w:val="24"/>
          <w:szCs w:val="24"/>
        </w:rPr>
        <w:t xml:space="preserve">meant to do </w:t>
      </w:r>
      <w:r w:rsidR="003C3475" w:rsidRPr="005927F3">
        <w:rPr>
          <w:rFonts w:cstheme="minorHAnsi"/>
          <w:sz w:val="24"/>
          <w:szCs w:val="24"/>
        </w:rPr>
        <w:t>its</w:t>
      </w:r>
      <w:r w:rsidR="00BC5667" w:rsidRPr="005927F3">
        <w:rPr>
          <w:rFonts w:cstheme="minorHAnsi"/>
          <w:sz w:val="24"/>
          <w:szCs w:val="24"/>
        </w:rPr>
        <w:t xml:space="preserve"> wor</w:t>
      </w:r>
      <w:r w:rsidR="00C819A7" w:rsidRPr="005927F3">
        <w:rPr>
          <w:rFonts w:cstheme="minorHAnsi"/>
          <w:sz w:val="24"/>
          <w:szCs w:val="24"/>
        </w:rPr>
        <w:t xml:space="preserve">k. </w:t>
      </w:r>
    </w:p>
    <w:p w14:paraId="6A041896" w14:textId="77777777" w:rsidR="001C5B34" w:rsidRPr="005927F3" w:rsidRDefault="001C5B34" w:rsidP="00C0298E">
      <w:pPr>
        <w:tabs>
          <w:tab w:val="left" w:pos="3326"/>
        </w:tabs>
        <w:spacing w:after="0" w:line="240" w:lineRule="auto"/>
        <w:jc w:val="both"/>
        <w:rPr>
          <w:rFonts w:cstheme="minorHAnsi"/>
          <w:sz w:val="24"/>
          <w:szCs w:val="24"/>
        </w:rPr>
      </w:pPr>
    </w:p>
    <w:p w14:paraId="6E6E66CA" w14:textId="5DD3D6ED" w:rsidR="008739B8" w:rsidRPr="00B34297" w:rsidRDefault="00BC5667" w:rsidP="004F1F56">
      <w:pPr>
        <w:tabs>
          <w:tab w:val="left" w:pos="3326"/>
        </w:tabs>
        <w:spacing w:after="0" w:line="240" w:lineRule="auto"/>
        <w:jc w:val="both"/>
        <w:rPr>
          <w:rFonts w:cstheme="minorHAnsi"/>
          <w:sz w:val="24"/>
          <w:szCs w:val="24"/>
        </w:rPr>
      </w:pPr>
      <w:r w:rsidRPr="005927F3">
        <w:rPr>
          <w:rFonts w:cstheme="minorHAnsi"/>
          <w:sz w:val="24"/>
          <w:szCs w:val="24"/>
        </w:rPr>
        <w:t>James Whitman’s comparative study o</w:t>
      </w:r>
      <w:r w:rsidR="000C4CA7" w:rsidRPr="005927F3">
        <w:rPr>
          <w:rFonts w:cstheme="minorHAnsi"/>
          <w:sz w:val="24"/>
          <w:szCs w:val="24"/>
        </w:rPr>
        <w:t>f</w:t>
      </w:r>
      <w:r w:rsidRPr="005927F3">
        <w:rPr>
          <w:rFonts w:cstheme="minorHAnsi"/>
          <w:sz w:val="24"/>
          <w:szCs w:val="24"/>
        </w:rPr>
        <w:t xml:space="preserve"> privacy</w:t>
      </w:r>
      <w:r w:rsidR="00774D8E" w:rsidRPr="005927F3">
        <w:rPr>
          <w:rFonts w:cstheme="minorHAnsi"/>
          <w:sz w:val="24"/>
          <w:szCs w:val="24"/>
        </w:rPr>
        <w:t xml:space="preserve"> </w:t>
      </w:r>
      <w:r w:rsidR="000C4CA7" w:rsidRPr="005927F3">
        <w:rPr>
          <w:rFonts w:cstheme="minorHAnsi"/>
          <w:sz w:val="24"/>
          <w:szCs w:val="24"/>
        </w:rPr>
        <w:t xml:space="preserve">cultures </w:t>
      </w:r>
      <w:r w:rsidR="00C819A7" w:rsidRPr="005927F3">
        <w:rPr>
          <w:rFonts w:cstheme="minorHAnsi"/>
          <w:sz w:val="24"/>
          <w:szCs w:val="24"/>
        </w:rPr>
        <w:t xml:space="preserve">does </w:t>
      </w:r>
      <w:r w:rsidRPr="005927F3">
        <w:rPr>
          <w:rFonts w:cstheme="minorHAnsi"/>
          <w:sz w:val="24"/>
          <w:szCs w:val="24"/>
        </w:rPr>
        <w:t xml:space="preserve">heavy explicatory </w:t>
      </w:r>
      <w:r w:rsidR="003C3475" w:rsidRPr="005927F3">
        <w:rPr>
          <w:rFonts w:cstheme="minorHAnsi"/>
          <w:sz w:val="24"/>
          <w:szCs w:val="24"/>
        </w:rPr>
        <w:t xml:space="preserve">lifting </w:t>
      </w:r>
      <w:r w:rsidR="001E6961" w:rsidRPr="005927F3">
        <w:rPr>
          <w:rFonts w:cstheme="minorHAnsi"/>
          <w:sz w:val="24"/>
          <w:szCs w:val="24"/>
        </w:rPr>
        <w:t>of</w:t>
      </w:r>
      <w:r w:rsidRPr="005927F3">
        <w:rPr>
          <w:rFonts w:cstheme="minorHAnsi"/>
          <w:sz w:val="24"/>
          <w:szCs w:val="24"/>
        </w:rPr>
        <w:t xml:space="preserve"> the</w:t>
      </w:r>
      <w:r w:rsidR="003C3475" w:rsidRPr="005927F3">
        <w:rPr>
          <w:rFonts w:cstheme="minorHAnsi"/>
          <w:sz w:val="24"/>
          <w:szCs w:val="24"/>
        </w:rPr>
        <w:t xml:space="preserve"> fundamental</w:t>
      </w:r>
      <w:r w:rsidRPr="005927F3">
        <w:rPr>
          <w:rFonts w:cstheme="minorHAnsi"/>
          <w:sz w:val="24"/>
          <w:szCs w:val="24"/>
        </w:rPr>
        <w:t xml:space="preserve"> differen</w:t>
      </w:r>
      <w:r w:rsidR="007D002F" w:rsidRPr="005927F3">
        <w:rPr>
          <w:rFonts w:cstheme="minorHAnsi"/>
          <w:sz w:val="24"/>
          <w:szCs w:val="24"/>
        </w:rPr>
        <w:t>ce in the</w:t>
      </w:r>
      <w:r w:rsidRPr="005927F3">
        <w:rPr>
          <w:rFonts w:cstheme="minorHAnsi"/>
          <w:sz w:val="24"/>
          <w:szCs w:val="24"/>
        </w:rPr>
        <w:t xml:space="preserve"> privacy </w:t>
      </w:r>
      <w:r w:rsidR="003C3475" w:rsidRPr="005927F3">
        <w:rPr>
          <w:rFonts w:cstheme="minorHAnsi"/>
          <w:sz w:val="24"/>
          <w:szCs w:val="24"/>
        </w:rPr>
        <w:t>regimes in Continental Europe and the US</w:t>
      </w:r>
      <w:r w:rsidR="000C4CA7" w:rsidRPr="005927F3">
        <w:rPr>
          <w:rFonts w:cstheme="minorHAnsi"/>
          <w:sz w:val="24"/>
          <w:szCs w:val="24"/>
        </w:rPr>
        <w:t xml:space="preserve"> (and other common law jurisdictions)</w:t>
      </w:r>
      <w:r w:rsidR="00C819A7" w:rsidRPr="005927F3">
        <w:rPr>
          <w:rFonts w:cstheme="minorHAnsi"/>
          <w:sz w:val="24"/>
          <w:szCs w:val="24"/>
        </w:rPr>
        <w:t>. Data protection law manifests as an odd privacy creature until it is positioned within Whitman’s comparison</w:t>
      </w:r>
      <w:r w:rsidR="007D002F" w:rsidRPr="005927F3">
        <w:rPr>
          <w:rFonts w:cstheme="minorHAnsi"/>
          <w:sz w:val="24"/>
          <w:szCs w:val="24"/>
        </w:rPr>
        <w:t xml:space="preserve"> </w:t>
      </w:r>
      <w:r w:rsidR="00593FBD" w:rsidRPr="005927F3">
        <w:rPr>
          <w:rFonts w:cstheme="minorHAnsi"/>
          <w:sz w:val="24"/>
          <w:szCs w:val="24"/>
        </w:rPr>
        <w:t>when</w:t>
      </w:r>
      <w:r w:rsidR="002260D0" w:rsidRPr="005927F3">
        <w:rPr>
          <w:rFonts w:cstheme="minorHAnsi"/>
          <w:sz w:val="24"/>
          <w:szCs w:val="24"/>
        </w:rPr>
        <w:t xml:space="preserve"> it emerges as</w:t>
      </w:r>
      <w:r w:rsidR="007D002F" w:rsidRPr="005927F3">
        <w:rPr>
          <w:rFonts w:cstheme="minorHAnsi"/>
          <w:sz w:val="24"/>
          <w:szCs w:val="24"/>
        </w:rPr>
        <w:t xml:space="preserve"> a</w:t>
      </w:r>
      <w:r w:rsidR="009A5FDF" w:rsidRPr="005927F3">
        <w:rPr>
          <w:rFonts w:cstheme="minorHAnsi"/>
          <w:sz w:val="24"/>
          <w:szCs w:val="24"/>
        </w:rPr>
        <w:t xml:space="preserve"> fine</w:t>
      </w:r>
      <w:r w:rsidR="007D002F" w:rsidRPr="005927F3">
        <w:rPr>
          <w:rFonts w:cstheme="minorHAnsi"/>
          <w:sz w:val="24"/>
          <w:szCs w:val="24"/>
        </w:rPr>
        <w:t xml:space="preserve"> </w:t>
      </w:r>
      <w:r w:rsidR="00593FBD" w:rsidRPr="005927F3">
        <w:rPr>
          <w:rFonts w:cstheme="minorHAnsi"/>
          <w:sz w:val="24"/>
          <w:szCs w:val="24"/>
        </w:rPr>
        <w:t>example</w:t>
      </w:r>
      <w:r w:rsidR="007D002F" w:rsidRPr="005927F3">
        <w:rPr>
          <w:rFonts w:cstheme="minorHAnsi"/>
          <w:sz w:val="24"/>
          <w:szCs w:val="24"/>
        </w:rPr>
        <w:t xml:space="preserve"> of Continental European privacy culture. Yet, much as Whitman’s cultural approach presents as a detached non</w:t>
      </w:r>
      <w:r w:rsidR="00774D8E" w:rsidRPr="005927F3">
        <w:rPr>
          <w:rFonts w:cstheme="minorHAnsi"/>
          <w:sz w:val="24"/>
          <w:szCs w:val="24"/>
        </w:rPr>
        <w:t>-critical</w:t>
      </w:r>
      <w:r w:rsidR="007D002F" w:rsidRPr="005927F3">
        <w:rPr>
          <w:rFonts w:cstheme="minorHAnsi"/>
          <w:sz w:val="24"/>
          <w:szCs w:val="24"/>
        </w:rPr>
        <w:t xml:space="preserve"> assessment of culturally grounded privacy sensibilities, it </w:t>
      </w:r>
      <w:r w:rsidR="000C4CA7" w:rsidRPr="005927F3">
        <w:rPr>
          <w:rFonts w:cstheme="minorHAnsi"/>
          <w:sz w:val="24"/>
          <w:szCs w:val="24"/>
        </w:rPr>
        <w:t xml:space="preserve">also </w:t>
      </w:r>
      <w:r w:rsidR="007D002F" w:rsidRPr="005927F3">
        <w:rPr>
          <w:rFonts w:cstheme="minorHAnsi"/>
          <w:sz w:val="24"/>
          <w:szCs w:val="24"/>
        </w:rPr>
        <w:t xml:space="preserve">invites criticisms of the validity of the resultant regimes against their cultural myths. So one might argue </w:t>
      </w:r>
      <w:r w:rsidR="002260D0" w:rsidRPr="005927F3">
        <w:rPr>
          <w:rFonts w:cstheme="minorHAnsi"/>
          <w:sz w:val="24"/>
          <w:szCs w:val="24"/>
        </w:rPr>
        <w:t>that contemporary social and economic relations in the US are so beset by</w:t>
      </w:r>
      <w:r w:rsidR="009A5FDF" w:rsidRPr="005927F3">
        <w:rPr>
          <w:rFonts w:cstheme="minorHAnsi"/>
          <w:sz w:val="24"/>
          <w:szCs w:val="24"/>
        </w:rPr>
        <w:t xml:space="preserve"> </w:t>
      </w:r>
      <w:r w:rsidR="002260D0" w:rsidRPr="005927F3">
        <w:rPr>
          <w:rFonts w:cstheme="minorHAnsi"/>
          <w:sz w:val="24"/>
          <w:szCs w:val="24"/>
        </w:rPr>
        <w:t xml:space="preserve">inequalities that a privacy regime which is </w:t>
      </w:r>
      <w:r w:rsidR="009A5FDF" w:rsidRPr="005927F3">
        <w:rPr>
          <w:rFonts w:cstheme="minorHAnsi"/>
          <w:sz w:val="24"/>
          <w:szCs w:val="24"/>
        </w:rPr>
        <w:t xml:space="preserve">- in its essence - </w:t>
      </w:r>
      <w:r w:rsidR="002260D0" w:rsidRPr="005927F3">
        <w:rPr>
          <w:rFonts w:cstheme="minorHAnsi"/>
          <w:sz w:val="24"/>
          <w:szCs w:val="24"/>
        </w:rPr>
        <w:t xml:space="preserve">based on the cultural myths of the equal settler with equal dignity and of the State as the </w:t>
      </w:r>
      <w:r w:rsidR="00774D8E" w:rsidRPr="005927F3">
        <w:rPr>
          <w:rFonts w:cstheme="minorHAnsi"/>
          <w:sz w:val="24"/>
          <w:szCs w:val="24"/>
        </w:rPr>
        <w:t xml:space="preserve">main </w:t>
      </w:r>
      <w:r w:rsidR="002260D0" w:rsidRPr="005927F3">
        <w:rPr>
          <w:rFonts w:cstheme="minorHAnsi"/>
          <w:sz w:val="24"/>
          <w:szCs w:val="24"/>
        </w:rPr>
        <w:t xml:space="preserve">enemy </w:t>
      </w:r>
      <w:r w:rsidR="00774D8E" w:rsidRPr="005927F3">
        <w:rPr>
          <w:rFonts w:cstheme="minorHAnsi"/>
          <w:sz w:val="24"/>
          <w:szCs w:val="24"/>
        </w:rPr>
        <w:t>of</w:t>
      </w:r>
      <w:r w:rsidR="002260D0" w:rsidRPr="005927F3">
        <w:rPr>
          <w:rFonts w:cstheme="minorHAnsi"/>
          <w:sz w:val="24"/>
          <w:szCs w:val="24"/>
        </w:rPr>
        <w:t xml:space="preserve"> liberty profoundly fails in its corrective mission</w:t>
      </w:r>
      <w:r w:rsidR="00593FBD" w:rsidRPr="005927F3">
        <w:rPr>
          <w:rFonts w:cstheme="minorHAnsi"/>
          <w:sz w:val="24"/>
          <w:szCs w:val="24"/>
        </w:rPr>
        <w:t xml:space="preserve"> today</w:t>
      </w:r>
      <w:r w:rsidR="002260D0" w:rsidRPr="005927F3">
        <w:rPr>
          <w:rFonts w:cstheme="minorHAnsi"/>
          <w:sz w:val="24"/>
          <w:szCs w:val="24"/>
        </w:rPr>
        <w:t>.</w:t>
      </w:r>
      <w:r w:rsidR="0095285C" w:rsidRPr="005927F3">
        <w:rPr>
          <w:rStyle w:val="FootnoteReference"/>
          <w:rFonts w:cstheme="minorHAnsi"/>
          <w:sz w:val="24"/>
          <w:szCs w:val="24"/>
        </w:rPr>
        <w:footnoteReference w:id="189"/>
      </w:r>
      <w:r w:rsidR="002260D0" w:rsidRPr="005927F3">
        <w:rPr>
          <w:rFonts w:cstheme="minorHAnsi"/>
          <w:sz w:val="24"/>
          <w:szCs w:val="24"/>
        </w:rPr>
        <w:t xml:space="preserve"> Meanwhile</w:t>
      </w:r>
      <w:r w:rsidR="009A5FDF" w:rsidRPr="005927F3">
        <w:rPr>
          <w:rFonts w:cstheme="minorHAnsi"/>
          <w:sz w:val="24"/>
          <w:szCs w:val="24"/>
        </w:rPr>
        <w:t xml:space="preserve"> there may also be</w:t>
      </w:r>
      <w:r w:rsidR="00774D8E" w:rsidRPr="005927F3">
        <w:rPr>
          <w:rFonts w:cstheme="minorHAnsi"/>
          <w:sz w:val="24"/>
          <w:szCs w:val="24"/>
        </w:rPr>
        <w:t xml:space="preserve"> critical</w:t>
      </w:r>
      <w:r w:rsidR="009A5FDF" w:rsidRPr="005927F3">
        <w:rPr>
          <w:rFonts w:cstheme="minorHAnsi"/>
          <w:sz w:val="24"/>
          <w:szCs w:val="24"/>
        </w:rPr>
        <w:t xml:space="preserve"> </w:t>
      </w:r>
      <w:r w:rsidR="00774D8E" w:rsidRPr="005927F3">
        <w:rPr>
          <w:rFonts w:cstheme="minorHAnsi"/>
          <w:sz w:val="24"/>
          <w:szCs w:val="24"/>
        </w:rPr>
        <w:t>reflection</w:t>
      </w:r>
      <w:r w:rsidR="009A5FDF" w:rsidRPr="005927F3">
        <w:rPr>
          <w:rFonts w:cstheme="minorHAnsi"/>
          <w:sz w:val="24"/>
          <w:szCs w:val="24"/>
        </w:rPr>
        <w:t>s on</w:t>
      </w:r>
      <w:r w:rsidR="00774D8E" w:rsidRPr="005927F3">
        <w:rPr>
          <w:rFonts w:cstheme="minorHAnsi"/>
          <w:sz w:val="24"/>
          <w:szCs w:val="24"/>
        </w:rPr>
        <w:t xml:space="preserve"> </w:t>
      </w:r>
      <w:r w:rsidR="002260D0" w:rsidRPr="005927F3">
        <w:rPr>
          <w:rFonts w:cstheme="minorHAnsi"/>
          <w:sz w:val="24"/>
          <w:szCs w:val="24"/>
        </w:rPr>
        <w:t>Continental European privacy</w:t>
      </w:r>
      <w:r w:rsidR="00774D8E" w:rsidRPr="005927F3">
        <w:rPr>
          <w:rFonts w:cstheme="minorHAnsi"/>
          <w:sz w:val="24"/>
          <w:szCs w:val="24"/>
        </w:rPr>
        <w:t xml:space="preserve"> regimes premised on the myth of the trustworthiness of the State, especially in the era of mass surveillance and its possibilities </w:t>
      </w:r>
      <w:r w:rsidR="006B21E0" w:rsidRPr="005927F3">
        <w:rPr>
          <w:rFonts w:cstheme="minorHAnsi"/>
          <w:sz w:val="24"/>
          <w:szCs w:val="24"/>
        </w:rPr>
        <w:t xml:space="preserve">for governmental </w:t>
      </w:r>
      <w:r w:rsidR="00774D8E" w:rsidRPr="005927F3">
        <w:rPr>
          <w:rFonts w:cstheme="minorHAnsi"/>
          <w:sz w:val="24"/>
          <w:szCs w:val="24"/>
        </w:rPr>
        <w:t>abuse</w:t>
      </w:r>
      <w:r w:rsidR="000C4CA7" w:rsidRPr="005927F3">
        <w:rPr>
          <w:rFonts w:cstheme="minorHAnsi"/>
          <w:sz w:val="24"/>
          <w:szCs w:val="24"/>
        </w:rPr>
        <w:t>,</w:t>
      </w:r>
      <w:r w:rsidR="006B21E0" w:rsidRPr="005927F3">
        <w:rPr>
          <w:rFonts w:cstheme="minorHAnsi"/>
          <w:sz w:val="24"/>
          <w:szCs w:val="24"/>
        </w:rPr>
        <w:t xml:space="preserve"> albeit</w:t>
      </w:r>
      <w:r w:rsidR="000C4CA7" w:rsidRPr="005927F3">
        <w:rPr>
          <w:rFonts w:cstheme="minorHAnsi"/>
          <w:sz w:val="24"/>
          <w:szCs w:val="24"/>
        </w:rPr>
        <w:t xml:space="preserve"> not discussed in this paper</w:t>
      </w:r>
      <w:r w:rsidR="00774D8E" w:rsidRPr="005927F3">
        <w:rPr>
          <w:rFonts w:cstheme="minorHAnsi"/>
          <w:sz w:val="24"/>
          <w:szCs w:val="24"/>
        </w:rPr>
        <w:t xml:space="preserve">. </w:t>
      </w:r>
      <w:r w:rsidR="00593FBD" w:rsidRPr="005927F3">
        <w:rPr>
          <w:rFonts w:cstheme="minorHAnsi"/>
          <w:sz w:val="24"/>
          <w:szCs w:val="24"/>
        </w:rPr>
        <w:t xml:space="preserve">By the same token, </w:t>
      </w:r>
      <w:r w:rsidR="000C4CA7" w:rsidRPr="005927F3">
        <w:rPr>
          <w:rFonts w:cstheme="minorHAnsi"/>
          <w:sz w:val="24"/>
          <w:szCs w:val="24"/>
        </w:rPr>
        <w:t xml:space="preserve">Whitman’s approach </w:t>
      </w:r>
      <w:r w:rsidR="00593FBD" w:rsidRPr="005927F3">
        <w:rPr>
          <w:rFonts w:cstheme="minorHAnsi"/>
          <w:sz w:val="24"/>
          <w:szCs w:val="24"/>
        </w:rPr>
        <w:t>focusing on</w:t>
      </w:r>
      <w:r w:rsidR="000C4CA7" w:rsidRPr="005927F3">
        <w:rPr>
          <w:rFonts w:cstheme="minorHAnsi"/>
          <w:sz w:val="24"/>
          <w:szCs w:val="24"/>
        </w:rPr>
        <w:t xml:space="preserve"> the historic</w:t>
      </w:r>
      <w:r w:rsidR="00593FBD" w:rsidRPr="005927F3">
        <w:rPr>
          <w:rFonts w:cstheme="minorHAnsi"/>
          <w:sz w:val="24"/>
          <w:szCs w:val="24"/>
        </w:rPr>
        <w:t xml:space="preserve"> cultural</w:t>
      </w:r>
      <w:r w:rsidR="000C4CA7" w:rsidRPr="005927F3">
        <w:rPr>
          <w:rFonts w:cstheme="minorHAnsi"/>
          <w:sz w:val="24"/>
          <w:szCs w:val="24"/>
        </w:rPr>
        <w:t xml:space="preserve"> contingencies of the </w:t>
      </w:r>
      <w:r w:rsidR="006B21E0" w:rsidRPr="005927F3">
        <w:rPr>
          <w:rFonts w:cstheme="minorHAnsi"/>
          <w:sz w:val="24"/>
          <w:szCs w:val="24"/>
        </w:rPr>
        <w:t xml:space="preserve">privacy </w:t>
      </w:r>
      <w:r w:rsidR="000C4CA7" w:rsidRPr="005927F3">
        <w:rPr>
          <w:rFonts w:cstheme="minorHAnsi"/>
          <w:sz w:val="24"/>
          <w:szCs w:val="24"/>
        </w:rPr>
        <w:t>difference</w:t>
      </w:r>
      <w:r w:rsidR="00593FBD" w:rsidRPr="005927F3">
        <w:rPr>
          <w:rFonts w:cstheme="minorHAnsi"/>
          <w:sz w:val="24"/>
          <w:szCs w:val="24"/>
        </w:rPr>
        <w:t>s</w:t>
      </w:r>
      <w:r w:rsidR="000C4CA7" w:rsidRPr="005927F3">
        <w:rPr>
          <w:rFonts w:cstheme="minorHAnsi"/>
          <w:sz w:val="24"/>
          <w:szCs w:val="24"/>
        </w:rPr>
        <w:t xml:space="preserve"> also </w:t>
      </w:r>
      <w:r w:rsidR="0095285C" w:rsidRPr="005927F3">
        <w:rPr>
          <w:rFonts w:cstheme="minorHAnsi"/>
          <w:sz w:val="24"/>
          <w:szCs w:val="24"/>
        </w:rPr>
        <w:t xml:space="preserve">(deliberately) </w:t>
      </w:r>
      <w:r w:rsidR="000C4CA7" w:rsidRPr="005927F3">
        <w:rPr>
          <w:rFonts w:cstheme="minorHAnsi"/>
          <w:sz w:val="24"/>
          <w:szCs w:val="24"/>
        </w:rPr>
        <w:t>understates</w:t>
      </w:r>
      <w:r w:rsidR="0095285C" w:rsidRPr="005927F3">
        <w:rPr>
          <w:rFonts w:cstheme="minorHAnsi"/>
          <w:sz w:val="24"/>
          <w:szCs w:val="24"/>
        </w:rPr>
        <w:t xml:space="preserve"> </w:t>
      </w:r>
      <w:r w:rsidR="000C4CA7" w:rsidRPr="005927F3">
        <w:rPr>
          <w:rFonts w:cstheme="minorHAnsi"/>
          <w:sz w:val="24"/>
          <w:szCs w:val="24"/>
        </w:rPr>
        <w:t>the</w:t>
      </w:r>
      <w:r w:rsidR="00593FBD" w:rsidRPr="005927F3">
        <w:rPr>
          <w:rFonts w:cstheme="minorHAnsi"/>
          <w:sz w:val="24"/>
          <w:szCs w:val="24"/>
        </w:rPr>
        <w:t xml:space="preserve"> continuing</w:t>
      </w:r>
      <w:r w:rsidR="000C4CA7" w:rsidRPr="005927F3">
        <w:rPr>
          <w:rFonts w:cstheme="minorHAnsi"/>
          <w:sz w:val="24"/>
          <w:szCs w:val="24"/>
        </w:rPr>
        <w:t xml:space="preserve"> dynamic nature of </w:t>
      </w:r>
      <w:r w:rsidR="00593FBD" w:rsidRPr="005927F3">
        <w:rPr>
          <w:rFonts w:cstheme="minorHAnsi"/>
          <w:sz w:val="24"/>
          <w:szCs w:val="24"/>
        </w:rPr>
        <w:t>privacy</w:t>
      </w:r>
      <w:r w:rsidR="000C4CA7" w:rsidRPr="005927F3">
        <w:rPr>
          <w:rFonts w:cstheme="minorHAnsi"/>
          <w:sz w:val="24"/>
          <w:szCs w:val="24"/>
        </w:rPr>
        <w:t xml:space="preserve"> regimes in their conversations with the Other, </w:t>
      </w:r>
      <w:r w:rsidR="00593FBD" w:rsidRPr="005927F3">
        <w:rPr>
          <w:rFonts w:cstheme="minorHAnsi"/>
          <w:sz w:val="24"/>
          <w:szCs w:val="24"/>
        </w:rPr>
        <w:t xml:space="preserve">that is </w:t>
      </w:r>
      <w:r w:rsidR="000C4CA7" w:rsidRPr="005927F3">
        <w:rPr>
          <w:rFonts w:cstheme="minorHAnsi"/>
          <w:sz w:val="24"/>
          <w:szCs w:val="24"/>
        </w:rPr>
        <w:t>other economic</w:t>
      </w:r>
      <w:r w:rsidR="0095285C" w:rsidRPr="005927F3">
        <w:rPr>
          <w:rFonts w:cstheme="minorHAnsi"/>
          <w:sz w:val="24"/>
          <w:szCs w:val="24"/>
        </w:rPr>
        <w:t>,</w:t>
      </w:r>
      <w:r w:rsidR="000C4CA7" w:rsidRPr="005927F3">
        <w:rPr>
          <w:rFonts w:cstheme="minorHAnsi"/>
          <w:sz w:val="24"/>
          <w:szCs w:val="24"/>
        </w:rPr>
        <w:t xml:space="preserve"> </w:t>
      </w:r>
      <w:proofErr w:type="gramStart"/>
      <w:r w:rsidR="000C4CA7" w:rsidRPr="005927F3">
        <w:rPr>
          <w:rFonts w:cstheme="minorHAnsi"/>
          <w:sz w:val="24"/>
          <w:szCs w:val="24"/>
        </w:rPr>
        <w:t>legal</w:t>
      </w:r>
      <w:proofErr w:type="gramEnd"/>
      <w:r w:rsidR="000C4CA7" w:rsidRPr="005927F3">
        <w:rPr>
          <w:rFonts w:cstheme="minorHAnsi"/>
          <w:sz w:val="24"/>
          <w:szCs w:val="24"/>
        </w:rPr>
        <w:t xml:space="preserve"> and cultural orders. </w:t>
      </w:r>
      <w:r w:rsidR="002B2269" w:rsidRPr="005927F3">
        <w:rPr>
          <w:rFonts w:cstheme="minorHAnsi"/>
          <w:sz w:val="24"/>
          <w:szCs w:val="24"/>
        </w:rPr>
        <w:t xml:space="preserve">Most notably, </w:t>
      </w:r>
      <w:r w:rsidR="000C4CA7" w:rsidRPr="005927F3">
        <w:rPr>
          <w:rFonts w:cstheme="minorHAnsi"/>
          <w:sz w:val="24"/>
          <w:szCs w:val="24"/>
        </w:rPr>
        <w:t xml:space="preserve">Article 8 of the ECHR </w:t>
      </w:r>
      <w:r w:rsidR="002B2269" w:rsidRPr="005927F3">
        <w:rPr>
          <w:rFonts w:cstheme="minorHAnsi"/>
          <w:sz w:val="24"/>
          <w:szCs w:val="24"/>
        </w:rPr>
        <w:t>which is</w:t>
      </w:r>
      <w:r w:rsidR="00593FBD" w:rsidRPr="005927F3">
        <w:rPr>
          <w:rFonts w:cstheme="minorHAnsi"/>
          <w:sz w:val="24"/>
          <w:szCs w:val="24"/>
        </w:rPr>
        <w:t xml:space="preserve"> </w:t>
      </w:r>
      <w:r w:rsidR="004F1F56" w:rsidRPr="005927F3">
        <w:rPr>
          <w:rFonts w:cstheme="minorHAnsi"/>
          <w:sz w:val="24"/>
          <w:szCs w:val="24"/>
        </w:rPr>
        <w:t>traceable</w:t>
      </w:r>
      <w:r w:rsidR="001643CA" w:rsidRPr="005927F3">
        <w:rPr>
          <w:rFonts w:cstheme="minorHAnsi"/>
          <w:sz w:val="24"/>
          <w:szCs w:val="24"/>
        </w:rPr>
        <w:t xml:space="preserve"> to Art 12 of the Universal Declaration and</w:t>
      </w:r>
      <w:r w:rsidR="004457DA" w:rsidRPr="005927F3">
        <w:rPr>
          <w:rFonts w:cstheme="minorHAnsi"/>
          <w:sz w:val="24"/>
          <w:szCs w:val="24"/>
        </w:rPr>
        <w:t xml:space="preserve"> </w:t>
      </w:r>
      <w:r w:rsidR="001643CA" w:rsidRPr="005927F3">
        <w:rPr>
          <w:rFonts w:cstheme="minorHAnsi"/>
          <w:sz w:val="24"/>
          <w:szCs w:val="24"/>
        </w:rPr>
        <w:t>the 4</w:t>
      </w:r>
      <w:r w:rsidR="001643CA" w:rsidRPr="005927F3">
        <w:rPr>
          <w:rFonts w:cstheme="minorHAnsi"/>
          <w:sz w:val="24"/>
          <w:szCs w:val="24"/>
          <w:vertAlign w:val="superscript"/>
        </w:rPr>
        <w:t>th</w:t>
      </w:r>
      <w:r w:rsidR="001643CA" w:rsidRPr="005927F3">
        <w:rPr>
          <w:rFonts w:cstheme="minorHAnsi"/>
          <w:sz w:val="24"/>
          <w:szCs w:val="24"/>
        </w:rPr>
        <w:t xml:space="preserve"> Amendment of the US</w:t>
      </w:r>
      <w:r w:rsidR="001643CA" w:rsidRPr="005927F3">
        <w:rPr>
          <w:rFonts w:cstheme="minorHAnsi"/>
          <w:i/>
          <w:sz w:val="24"/>
          <w:szCs w:val="24"/>
        </w:rPr>
        <w:t xml:space="preserve"> </w:t>
      </w:r>
      <w:r w:rsidR="001643CA" w:rsidRPr="005927F3">
        <w:rPr>
          <w:rFonts w:cstheme="minorHAnsi"/>
          <w:sz w:val="24"/>
          <w:szCs w:val="24"/>
        </w:rPr>
        <w:t xml:space="preserve">Constitution </w:t>
      </w:r>
      <w:r w:rsidR="002B2269" w:rsidRPr="005927F3">
        <w:rPr>
          <w:rFonts w:cstheme="minorHAnsi"/>
          <w:sz w:val="24"/>
          <w:szCs w:val="24"/>
        </w:rPr>
        <w:t>(</w:t>
      </w:r>
      <w:r w:rsidR="001643CA" w:rsidRPr="005927F3">
        <w:rPr>
          <w:rFonts w:cstheme="minorHAnsi"/>
          <w:sz w:val="24"/>
          <w:szCs w:val="24"/>
        </w:rPr>
        <w:t>whic</w:t>
      </w:r>
      <w:r w:rsidR="004F1F56" w:rsidRPr="005927F3">
        <w:rPr>
          <w:rFonts w:cstheme="minorHAnsi"/>
          <w:sz w:val="24"/>
          <w:szCs w:val="24"/>
        </w:rPr>
        <w:t>h in turn</w:t>
      </w:r>
      <w:r w:rsidR="0073512E" w:rsidRPr="005927F3">
        <w:rPr>
          <w:rFonts w:cstheme="minorHAnsi"/>
          <w:sz w:val="24"/>
          <w:szCs w:val="24"/>
        </w:rPr>
        <w:t xml:space="preserve"> reflects</w:t>
      </w:r>
      <w:r w:rsidR="004F1F56" w:rsidRPr="005927F3">
        <w:rPr>
          <w:rFonts w:cstheme="minorHAnsi"/>
          <w:sz w:val="24"/>
          <w:szCs w:val="24"/>
        </w:rPr>
        <w:t xml:space="preserve"> </w:t>
      </w:r>
      <w:r w:rsidR="008E1AD5" w:rsidRPr="005927F3">
        <w:rPr>
          <w:rFonts w:cstheme="minorHAnsi"/>
          <w:sz w:val="24"/>
          <w:szCs w:val="24"/>
        </w:rPr>
        <w:t>English</w:t>
      </w:r>
      <w:r w:rsidR="0007227B" w:rsidRPr="005927F3">
        <w:rPr>
          <w:rFonts w:cstheme="minorHAnsi"/>
          <w:sz w:val="24"/>
          <w:szCs w:val="24"/>
        </w:rPr>
        <w:t xml:space="preserve"> common law </w:t>
      </w:r>
      <w:r w:rsidR="008E1AD5" w:rsidRPr="005927F3">
        <w:rPr>
          <w:rFonts w:cstheme="minorHAnsi"/>
          <w:sz w:val="24"/>
          <w:szCs w:val="24"/>
        </w:rPr>
        <w:t>on</w:t>
      </w:r>
      <w:r w:rsidR="001643CA" w:rsidRPr="005927F3">
        <w:rPr>
          <w:rFonts w:cstheme="minorHAnsi"/>
          <w:sz w:val="24"/>
          <w:szCs w:val="24"/>
        </w:rPr>
        <w:t xml:space="preserve"> the inviolability of </w:t>
      </w:r>
      <w:r w:rsidR="008E1AD5" w:rsidRPr="005927F3">
        <w:rPr>
          <w:rFonts w:cstheme="minorHAnsi"/>
          <w:sz w:val="24"/>
          <w:szCs w:val="24"/>
        </w:rPr>
        <w:t xml:space="preserve">the </w:t>
      </w:r>
      <w:r w:rsidR="001643CA" w:rsidRPr="005927F3">
        <w:rPr>
          <w:rFonts w:cstheme="minorHAnsi"/>
          <w:sz w:val="24"/>
          <w:szCs w:val="24"/>
        </w:rPr>
        <w:t>hom</w:t>
      </w:r>
      <w:r w:rsidR="00593FBD" w:rsidRPr="005927F3">
        <w:rPr>
          <w:rFonts w:cstheme="minorHAnsi"/>
          <w:sz w:val="24"/>
          <w:szCs w:val="24"/>
        </w:rPr>
        <w:t>e</w:t>
      </w:r>
      <w:r w:rsidR="002B2269" w:rsidRPr="005927F3">
        <w:rPr>
          <w:rFonts w:cstheme="minorHAnsi"/>
          <w:sz w:val="24"/>
          <w:szCs w:val="24"/>
        </w:rPr>
        <w:t xml:space="preserve">) </w:t>
      </w:r>
      <w:r w:rsidR="004F1F56" w:rsidRPr="005927F3">
        <w:rPr>
          <w:rFonts w:cstheme="minorHAnsi"/>
          <w:sz w:val="24"/>
          <w:szCs w:val="24"/>
        </w:rPr>
        <w:t xml:space="preserve">belatedly </w:t>
      </w:r>
      <w:r w:rsidR="00FF334D" w:rsidRPr="005927F3">
        <w:rPr>
          <w:rFonts w:cstheme="minorHAnsi"/>
          <w:sz w:val="24"/>
          <w:szCs w:val="24"/>
        </w:rPr>
        <w:t>g</w:t>
      </w:r>
      <w:r w:rsidR="002B2269" w:rsidRPr="005927F3">
        <w:rPr>
          <w:rFonts w:cstheme="minorHAnsi"/>
          <w:sz w:val="24"/>
          <w:szCs w:val="24"/>
        </w:rPr>
        <w:t>ot</w:t>
      </w:r>
      <w:r w:rsidR="00FF334D" w:rsidRPr="005927F3">
        <w:rPr>
          <w:rFonts w:cstheme="minorHAnsi"/>
          <w:sz w:val="24"/>
          <w:szCs w:val="24"/>
        </w:rPr>
        <w:t xml:space="preserve"> </w:t>
      </w:r>
      <w:r w:rsidR="004F1F56" w:rsidRPr="005927F3">
        <w:rPr>
          <w:rFonts w:cstheme="minorHAnsi"/>
          <w:sz w:val="24"/>
          <w:szCs w:val="24"/>
        </w:rPr>
        <w:t>a Continental European</w:t>
      </w:r>
      <w:r w:rsidR="002B2269" w:rsidRPr="005927F3">
        <w:rPr>
          <w:rFonts w:cstheme="minorHAnsi"/>
          <w:sz w:val="24"/>
          <w:szCs w:val="24"/>
        </w:rPr>
        <w:t xml:space="preserve"> privacy</w:t>
      </w:r>
      <w:r w:rsidR="004F1F56" w:rsidRPr="005927F3">
        <w:rPr>
          <w:rFonts w:cstheme="minorHAnsi"/>
          <w:sz w:val="24"/>
          <w:szCs w:val="24"/>
        </w:rPr>
        <w:t xml:space="preserve"> make-over in response to </w:t>
      </w:r>
      <w:r w:rsidR="002B5739" w:rsidRPr="005927F3">
        <w:rPr>
          <w:rFonts w:cstheme="minorHAnsi"/>
          <w:sz w:val="24"/>
          <w:szCs w:val="24"/>
        </w:rPr>
        <w:t xml:space="preserve">the </w:t>
      </w:r>
      <w:r w:rsidR="00593FBD" w:rsidRPr="005927F3">
        <w:rPr>
          <w:rFonts w:cstheme="minorHAnsi"/>
          <w:sz w:val="24"/>
          <w:szCs w:val="24"/>
        </w:rPr>
        <w:t xml:space="preserve">refusal of </w:t>
      </w:r>
      <w:r w:rsidR="004F1F56" w:rsidRPr="005927F3">
        <w:rPr>
          <w:rFonts w:cstheme="minorHAnsi"/>
          <w:sz w:val="24"/>
          <w:szCs w:val="24"/>
        </w:rPr>
        <w:t xml:space="preserve">German Constitutional </w:t>
      </w:r>
      <w:r w:rsidR="00371FF5" w:rsidRPr="005927F3">
        <w:rPr>
          <w:rFonts w:cstheme="minorHAnsi"/>
          <w:sz w:val="24"/>
          <w:szCs w:val="24"/>
        </w:rPr>
        <w:t>Court</w:t>
      </w:r>
      <w:r w:rsidR="0095285C" w:rsidRPr="005927F3">
        <w:rPr>
          <w:rFonts w:cstheme="minorHAnsi"/>
          <w:sz w:val="24"/>
          <w:szCs w:val="24"/>
        </w:rPr>
        <w:t xml:space="preserve"> (of all courts)</w:t>
      </w:r>
      <w:r w:rsidR="00371FF5" w:rsidRPr="005927F3">
        <w:rPr>
          <w:rFonts w:cstheme="minorHAnsi"/>
          <w:sz w:val="24"/>
          <w:szCs w:val="24"/>
        </w:rPr>
        <w:t xml:space="preserve"> to recognise</w:t>
      </w:r>
      <w:r w:rsidR="004F1F56" w:rsidRPr="005927F3">
        <w:rPr>
          <w:rFonts w:cstheme="minorHAnsi"/>
          <w:sz w:val="24"/>
          <w:szCs w:val="24"/>
        </w:rPr>
        <w:t xml:space="preserve"> privacy-in-public</w:t>
      </w:r>
      <w:r w:rsidR="002B2269" w:rsidRPr="005927F3">
        <w:rPr>
          <w:rFonts w:cstheme="minorHAnsi"/>
          <w:sz w:val="24"/>
          <w:szCs w:val="24"/>
        </w:rPr>
        <w:t xml:space="preserve"> in the particular case, </w:t>
      </w:r>
      <w:r w:rsidR="00593FBD" w:rsidRPr="005927F3">
        <w:rPr>
          <w:rFonts w:cstheme="minorHAnsi"/>
          <w:sz w:val="24"/>
          <w:szCs w:val="24"/>
        </w:rPr>
        <w:t xml:space="preserve">and this </w:t>
      </w:r>
      <w:r w:rsidR="002B2269" w:rsidRPr="005927F3">
        <w:rPr>
          <w:rFonts w:cstheme="minorHAnsi"/>
          <w:sz w:val="24"/>
          <w:szCs w:val="24"/>
        </w:rPr>
        <w:t>expanded</w:t>
      </w:r>
      <w:r w:rsidR="00593FBD" w:rsidRPr="005927F3">
        <w:rPr>
          <w:rFonts w:cstheme="minorHAnsi"/>
          <w:sz w:val="24"/>
          <w:szCs w:val="24"/>
        </w:rPr>
        <w:t xml:space="preserve"> definition </w:t>
      </w:r>
      <w:r w:rsidR="000321A3" w:rsidRPr="005927F3">
        <w:rPr>
          <w:rFonts w:cstheme="minorHAnsi"/>
          <w:sz w:val="24"/>
          <w:szCs w:val="24"/>
        </w:rPr>
        <w:t xml:space="preserve">then </w:t>
      </w:r>
      <w:r w:rsidR="002B2269" w:rsidRPr="005927F3">
        <w:rPr>
          <w:rFonts w:cstheme="minorHAnsi"/>
          <w:sz w:val="24"/>
          <w:szCs w:val="24"/>
        </w:rPr>
        <w:t>once more</w:t>
      </w:r>
      <w:r w:rsidR="0095285C" w:rsidRPr="005927F3">
        <w:rPr>
          <w:rFonts w:cstheme="minorHAnsi"/>
          <w:sz w:val="24"/>
          <w:szCs w:val="24"/>
        </w:rPr>
        <w:t xml:space="preserve"> made itself back to </w:t>
      </w:r>
      <w:r w:rsidR="0073512E" w:rsidRPr="005927F3">
        <w:rPr>
          <w:rFonts w:cstheme="minorHAnsi"/>
          <w:sz w:val="24"/>
          <w:szCs w:val="24"/>
        </w:rPr>
        <w:t>England</w:t>
      </w:r>
      <w:r w:rsidR="002B2269" w:rsidRPr="005927F3">
        <w:rPr>
          <w:rFonts w:cstheme="minorHAnsi"/>
          <w:sz w:val="24"/>
          <w:szCs w:val="24"/>
        </w:rPr>
        <w:t>,</w:t>
      </w:r>
      <w:r w:rsidR="0073512E" w:rsidRPr="005927F3">
        <w:rPr>
          <w:rFonts w:cstheme="minorHAnsi"/>
          <w:sz w:val="24"/>
          <w:szCs w:val="24"/>
        </w:rPr>
        <w:t xml:space="preserve"> t</w:t>
      </w:r>
      <w:r w:rsidR="004F1F56" w:rsidRPr="005927F3">
        <w:rPr>
          <w:rFonts w:cstheme="minorHAnsi"/>
          <w:sz w:val="24"/>
          <w:szCs w:val="24"/>
        </w:rPr>
        <w:t xml:space="preserve">he cradle of </w:t>
      </w:r>
      <w:r w:rsidR="002B2269" w:rsidRPr="005927F3">
        <w:rPr>
          <w:rFonts w:cstheme="minorHAnsi"/>
          <w:sz w:val="24"/>
          <w:szCs w:val="24"/>
        </w:rPr>
        <w:t xml:space="preserve">its </w:t>
      </w:r>
      <w:r w:rsidR="00F65198" w:rsidRPr="005927F3">
        <w:rPr>
          <w:rFonts w:cstheme="minorHAnsi"/>
          <w:sz w:val="24"/>
          <w:szCs w:val="24"/>
        </w:rPr>
        <w:t>c</w:t>
      </w:r>
      <w:r w:rsidR="004F1F56" w:rsidRPr="005927F3">
        <w:rPr>
          <w:rFonts w:cstheme="minorHAnsi"/>
          <w:sz w:val="24"/>
          <w:szCs w:val="24"/>
        </w:rPr>
        <w:t>ommon law</w:t>
      </w:r>
      <w:r w:rsidR="00F65198" w:rsidRPr="005927F3">
        <w:rPr>
          <w:rFonts w:cstheme="minorHAnsi"/>
          <w:sz w:val="24"/>
          <w:szCs w:val="24"/>
        </w:rPr>
        <w:t xml:space="preserve"> </w:t>
      </w:r>
      <w:r w:rsidR="002B2269" w:rsidRPr="005927F3">
        <w:rPr>
          <w:rFonts w:cstheme="minorHAnsi"/>
          <w:sz w:val="24"/>
          <w:szCs w:val="24"/>
        </w:rPr>
        <w:t>understanding</w:t>
      </w:r>
      <w:r w:rsidR="00593FBD" w:rsidRPr="005927F3">
        <w:rPr>
          <w:rFonts w:cstheme="minorHAnsi"/>
          <w:sz w:val="24"/>
          <w:szCs w:val="24"/>
        </w:rPr>
        <w:t xml:space="preserve">. In short, the </w:t>
      </w:r>
      <w:r w:rsidR="0073512E" w:rsidRPr="005927F3">
        <w:rPr>
          <w:rFonts w:cstheme="minorHAnsi"/>
          <w:sz w:val="24"/>
          <w:szCs w:val="24"/>
        </w:rPr>
        <w:t>evolution of privacy</w:t>
      </w:r>
      <w:r w:rsidR="00593FBD" w:rsidRPr="005927F3">
        <w:rPr>
          <w:rFonts w:cstheme="minorHAnsi"/>
          <w:sz w:val="24"/>
          <w:szCs w:val="24"/>
        </w:rPr>
        <w:t xml:space="preserve"> regimes</w:t>
      </w:r>
      <w:r w:rsidR="00853B5D" w:rsidRPr="005927F3">
        <w:rPr>
          <w:rFonts w:cstheme="minorHAnsi"/>
          <w:sz w:val="24"/>
          <w:szCs w:val="24"/>
        </w:rPr>
        <w:t xml:space="preserve"> </w:t>
      </w:r>
      <w:r w:rsidR="00C41E51" w:rsidRPr="005927F3">
        <w:rPr>
          <w:rFonts w:cstheme="minorHAnsi"/>
          <w:sz w:val="24"/>
          <w:szCs w:val="24"/>
        </w:rPr>
        <w:t>is</w:t>
      </w:r>
      <w:r w:rsidR="004F1F56" w:rsidRPr="005927F3">
        <w:rPr>
          <w:rFonts w:cstheme="minorHAnsi"/>
          <w:sz w:val="24"/>
          <w:szCs w:val="24"/>
        </w:rPr>
        <w:t xml:space="preserve"> neither</w:t>
      </w:r>
      <w:r w:rsidR="0073512E" w:rsidRPr="005927F3">
        <w:rPr>
          <w:rFonts w:cstheme="minorHAnsi"/>
          <w:sz w:val="24"/>
          <w:szCs w:val="24"/>
        </w:rPr>
        <w:t xml:space="preserve"> </w:t>
      </w:r>
      <w:r w:rsidR="004F1F56" w:rsidRPr="005927F3">
        <w:rPr>
          <w:rFonts w:cstheme="minorHAnsi"/>
          <w:sz w:val="24"/>
          <w:szCs w:val="24"/>
        </w:rPr>
        <w:t>linear nor pur</w:t>
      </w:r>
      <w:r w:rsidR="00593FBD" w:rsidRPr="005927F3">
        <w:rPr>
          <w:rFonts w:cstheme="minorHAnsi"/>
          <w:sz w:val="24"/>
          <w:szCs w:val="24"/>
        </w:rPr>
        <w:t>e – nor over.</w:t>
      </w:r>
      <w:r w:rsidR="00593FBD">
        <w:rPr>
          <w:rFonts w:cstheme="minorHAnsi"/>
          <w:sz w:val="24"/>
          <w:szCs w:val="24"/>
        </w:rPr>
        <w:t xml:space="preserve">  </w:t>
      </w:r>
    </w:p>
    <w:sectPr w:rsidR="008739B8" w:rsidRPr="00B3429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80FF4" w14:textId="77777777" w:rsidR="00445C5E" w:rsidRDefault="00445C5E" w:rsidP="005273CB">
      <w:pPr>
        <w:spacing w:after="0" w:line="240" w:lineRule="auto"/>
      </w:pPr>
      <w:r>
        <w:separator/>
      </w:r>
    </w:p>
  </w:endnote>
  <w:endnote w:type="continuationSeparator" w:id="0">
    <w:p w14:paraId="4F4A09DF" w14:textId="77777777" w:rsidR="00445C5E" w:rsidRDefault="00445C5E" w:rsidP="00527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de">
    <w:altName w:val="Calibri"/>
    <w:panose1 w:val="00000000000000000000"/>
    <w:charset w:val="00"/>
    <w:family w:val="swiss"/>
    <w:notTrueType/>
    <w:pitch w:val="default"/>
    <w:sig w:usb0="00000003" w:usb1="00000000" w:usb2="00000000" w:usb3="00000000" w:csb0="00000001" w:csb1="00000000"/>
  </w:font>
  <w:font w:name="TimesNewRomanPSMT">
    <w:altName w:val="MS Gothic"/>
    <w:panose1 w:val="00000000000000000000"/>
    <w:charset w:val="00"/>
    <w:family w:val="swiss"/>
    <w:notTrueType/>
    <w:pitch w:val="default"/>
    <w:sig w:usb0="00000003" w:usb1="00000000" w:usb2="00000000" w:usb3="00000000" w:csb0="00000001" w:csb1="00000000"/>
  </w:font>
  <w:font w:name="ArialMT">
    <w:altName w:val="MS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Verdana-Italic">
    <w:altName w:val="Verdan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0604359"/>
      <w:docPartObj>
        <w:docPartGallery w:val="Page Numbers (Bottom of Page)"/>
        <w:docPartUnique/>
      </w:docPartObj>
    </w:sdtPr>
    <w:sdtEndPr>
      <w:rPr>
        <w:noProof/>
      </w:rPr>
    </w:sdtEndPr>
    <w:sdtContent>
      <w:p w14:paraId="7DEA589F" w14:textId="39F8568D" w:rsidR="00C75CA9" w:rsidRDefault="00C75CA9">
        <w:pPr>
          <w:pStyle w:val="Footer"/>
          <w:jc w:val="right"/>
        </w:pPr>
        <w:r>
          <w:fldChar w:fldCharType="begin"/>
        </w:r>
        <w:r>
          <w:instrText xml:space="preserve"> PAGE   \* MERGEFORMAT </w:instrText>
        </w:r>
        <w:r>
          <w:fldChar w:fldCharType="separate"/>
        </w:r>
        <w:r w:rsidR="00B751AB">
          <w:rPr>
            <w:noProof/>
          </w:rPr>
          <w:t>27</w:t>
        </w:r>
        <w:r>
          <w:rPr>
            <w:noProof/>
          </w:rPr>
          <w:fldChar w:fldCharType="end"/>
        </w:r>
      </w:p>
    </w:sdtContent>
  </w:sdt>
  <w:p w14:paraId="2256CB97" w14:textId="77777777" w:rsidR="00C75CA9" w:rsidRDefault="00C75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C3AA5" w14:textId="77777777" w:rsidR="00445C5E" w:rsidRDefault="00445C5E" w:rsidP="005273CB">
      <w:pPr>
        <w:spacing w:after="0" w:line="240" w:lineRule="auto"/>
      </w:pPr>
      <w:r>
        <w:separator/>
      </w:r>
    </w:p>
  </w:footnote>
  <w:footnote w:type="continuationSeparator" w:id="0">
    <w:p w14:paraId="370FD532" w14:textId="77777777" w:rsidR="00445C5E" w:rsidRDefault="00445C5E" w:rsidP="005273CB">
      <w:pPr>
        <w:spacing w:after="0" w:line="240" w:lineRule="auto"/>
      </w:pPr>
      <w:r>
        <w:continuationSeparator/>
      </w:r>
    </w:p>
  </w:footnote>
  <w:footnote w:id="1">
    <w:p w14:paraId="3EF79A08" w14:textId="5729A1E9" w:rsidR="004672E4" w:rsidRPr="00207115" w:rsidRDefault="004672E4" w:rsidP="0000421F">
      <w:pPr>
        <w:pStyle w:val="FootnoteText"/>
        <w:jc w:val="both"/>
        <w:rPr>
          <w:rFonts w:cstheme="minorHAnsi"/>
        </w:rPr>
      </w:pPr>
      <w:r w:rsidRPr="00EA15BC">
        <w:rPr>
          <w:rStyle w:val="FootnoteReference"/>
          <w:rFonts w:cstheme="minorHAnsi"/>
        </w:rPr>
        <w:footnoteRef/>
      </w:r>
      <w:r w:rsidRPr="00EA15BC">
        <w:rPr>
          <w:rFonts w:cstheme="minorHAnsi"/>
        </w:rPr>
        <w:t xml:space="preserve"> James Whitman, ’The Two Western Cultures of Privacy: Dignity versus Liberty’ (2004) 113 </w:t>
      </w:r>
      <w:r w:rsidRPr="00EA15BC">
        <w:rPr>
          <w:rFonts w:cstheme="minorHAnsi"/>
          <w:i/>
        </w:rPr>
        <w:t>Yale Law Journal</w:t>
      </w:r>
      <w:r w:rsidRPr="00EA15BC">
        <w:rPr>
          <w:rFonts w:cstheme="minorHAnsi"/>
        </w:rPr>
        <w:t xml:space="preserve"> 1151; </w:t>
      </w:r>
      <w:r w:rsidR="00776642" w:rsidRPr="00EA15BC">
        <w:rPr>
          <w:rFonts w:cstheme="minorHAnsi"/>
        </w:rPr>
        <w:t xml:space="preserve">for an engagement with Whitman’s cultural approach, as opposed to a functional approach to comparative methodology, see Special Issue of </w:t>
      </w:r>
      <w:r w:rsidR="00776642" w:rsidRPr="00EA15BC">
        <w:rPr>
          <w:rFonts w:cstheme="minorHAnsi"/>
          <w:i/>
          <w:iCs/>
        </w:rPr>
        <w:t xml:space="preserve">The American Journal of Comparative Law </w:t>
      </w:r>
      <w:r w:rsidR="00776642" w:rsidRPr="00EA15BC">
        <w:rPr>
          <w:rFonts w:cstheme="minorHAnsi"/>
        </w:rPr>
        <w:t>(2017) Vol</w:t>
      </w:r>
      <w:r w:rsidR="00776642">
        <w:rPr>
          <w:rFonts w:cstheme="minorHAnsi"/>
        </w:rPr>
        <w:t xml:space="preserve"> 65; see </w:t>
      </w:r>
      <w:proofErr w:type="spellStart"/>
      <w:r w:rsidR="00776642">
        <w:rPr>
          <w:rFonts w:cstheme="minorHAnsi"/>
        </w:rPr>
        <w:t>esp</w:t>
      </w:r>
      <w:proofErr w:type="spellEnd"/>
      <w:r w:rsidR="00776642">
        <w:rPr>
          <w:rFonts w:cstheme="minorHAnsi"/>
        </w:rPr>
        <w:t xml:space="preserve">: James </w:t>
      </w:r>
      <w:proofErr w:type="spellStart"/>
      <w:r w:rsidR="00776642">
        <w:rPr>
          <w:rFonts w:cstheme="minorHAnsi"/>
        </w:rPr>
        <w:t>Gordley</w:t>
      </w:r>
      <w:proofErr w:type="spellEnd"/>
      <w:r w:rsidR="00776642">
        <w:rPr>
          <w:rFonts w:cstheme="minorHAnsi"/>
        </w:rPr>
        <w:t xml:space="preserve">, ‘Comparison, Law, and Culture: A Response to Pierre Legrand’ (2017) 65 </w:t>
      </w:r>
      <w:r w:rsidR="00776642">
        <w:rPr>
          <w:rFonts w:cstheme="minorHAnsi"/>
          <w:i/>
          <w:iCs/>
        </w:rPr>
        <w:t>T</w:t>
      </w:r>
      <w:r w:rsidR="00776642" w:rsidRPr="00B5328D">
        <w:rPr>
          <w:rFonts w:cstheme="minorHAnsi"/>
          <w:i/>
          <w:iCs/>
        </w:rPr>
        <w:t>he American Journal of Comparative Law</w:t>
      </w:r>
      <w:r w:rsidR="00776642">
        <w:rPr>
          <w:rFonts w:cstheme="minorHAnsi"/>
          <w:i/>
          <w:iCs/>
        </w:rPr>
        <w:t xml:space="preserve"> </w:t>
      </w:r>
      <w:r w:rsidR="00776642" w:rsidRPr="005927F3">
        <w:rPr>
          <w:rFonts w:cstheme="minorHAnsi"/>
        </w:rPr>
        <w:t>133</w:t>
      </w:r>
      <w:r w:rsidR="00776642">
        <w:rPr>
          <w:rFonts w:cstheme="minorHAnsi"/>
          <w:i/>
          <w:iCs/>
        </w:rPr>
        <w:t xml:space="preserve">; </w:t>
      </w:r>
      <w:r w:rsidR="00776642">
        <w:rPr>
          <w:rFonts w:cstheme="minorHAnsi"/>
        </w:rPr>
        <w:t xml:space="preserve">Peer </w:t>
      </w:r>
      <w:proofErr w:type="spellStart"/>
      <w:r w:rsidR="00776642">
        <w:rPr>
          <w:rFonts w:cstheme="minorHAnsi"/>
        </w:rPr>
        <w:t>Zumbansen</w:t>
      </w:r>
      <w:proofErr w:type="spellEnd"/>
      <w:r w:rsidR="00776642">
        <w:rPr>
          <w:rFonts w:cstheme="minorHAnsi"/>
        </w:rPr>
        <w:t xml:space="preserve">, ‘Les Jeux </w:t>
      </w:r>
      <w:proofErr w:type="spellStart"/>
      <w:r w:rsidR="00776642">
        <w:rPr>
          <w:rFonts w:cstheme="minorHAnsi"/>
        </w:rPr>
        <w:t>Sont</w:t>
      </w:r>
      <w:proofErr w:type="spellEnd"/>
      <w:r w:rsidR="00776642">
        <w:rPr>
          <w:rFonts w:cstheme="minorHAnsi"/>
        </w:rPr>
        <w:t xml:space="preserve"> Faits: Comparative Law – As It Really Was Meant to Be?’ (2017) 65 </w:t>
      </w:r>
      <w:r w:rsidR="00776642">
        <w:rPr>
          <w:rFonts w:cstheme="minorHAnsi"/>
          <w:i/>
          <w:iCs/>
        </w:rPr>
        <w:t>T</w:t>
      </w:r>
      <w:r w:rsidR="00776642" w:rsidRPr="00B5328D">
        <w:rPr>
          <w:rFonts w:cstheme="minorHAnsi"/>
          <w:i/>
          <w:iCs/>
        </w:rPr>
        <w:t>he American Journal of Comparative Law</w:t>
      </w:r>
      <w:r w:rsidR="00776642">
        <w:rPr>
          <w:rFonts w:cstheme="minorHAnsi"/>
          <w:i/>
          <w:iCs/>
        </w:rPr>
        <w:t xml:space="preserve"> </w:t>
      </w:r>
      <w:r w:rsidR="00776642">
        <w:rPr>
          <w:rFonts w:cstheme="minorHAnsi"/>
        </w:rPr>
        <w:t>237. S</w:t>
      </w:r>
      <w:r w:rsidRPr="00207115">
        <w:rPr>
          <w:rFonts w:cstheme="minorHAnsi"/>
        </w:rPr>
        <w:t xml:space="preserve">ee also Robert C Post, ‘Three Concepts of Privacy’ (2001) 89 </w:t>
      </w:r>
      <w:r w:rsidRPr="00207115">
        <w:rPr>
          <w:rFonts w:cstheme="minorHAnsi"/>
          <w:i/>
        </w:rPr>
        <w:t>The Georgetown Law Journal</w:t>
      </w:r>
      <w:r w:rsidRPr="00207115">
        <w:rPr>
          <w:rFonts w:cstheme="minorHAnsi"/>
        </w:rPr>
        <w:t xml:space="preserve"> 2087; Edward J Eberle, </w:t>
      </w:r>
      <w:r w:rsidRPr="00207115">
        <w:rPr>
          <w:rFonts w:cstheme="minorHAnsi"/>
          <w:i/>
        </w:rPr>
        <w:t>Dignity and Liberty: Constitutional Visions in Germany and the United States</w:t>
      </w:r>
      <w:r w:rsidRPr="00207115">
        <w:rPr>
          <w:rFonts w:cstheme="minorHAnsi"/>
        </w:rPr>
        <w:t xml:space="preserve"> (Praeger 2001); Guy E Carmi, ‘Dignity Versus Liberty: The Two Western Cultures of Free Speech’ (2008) 26 </w:t>
      </w:r>
      <w:r w:rsidRPr="00207115">
        <w:rPr>
          <w:rFonts w:cstheme="minorHAnsi"/>
          <w:i/>
        </w:rPr>
        <w:t xml:space="preserve">Boston University International Law Journal </w:t>
      </w:r>
      <w:r w:rsidRPr="00207115">
        <w:rPr>
          <w:rFonts w:cstheme="minorHAnsi"/>
        </w:rPr>
        <w:t xml:space="preserve">277; Basil </w:t>
      </w:r>
      <w:proofErr w:type="spellStart"/>
      <w:r w:rsidRPr="00207115">
        <w:rPr>
          <w:rFonts w:cstheme="minorHAnsi"/>
        </w:rPr>
        <w:t>Markesinis</w:t>
      </w:r>
      <w:proofErr w:type="spellEnd"/>
      <w:r w:rsidRPr="00207115">
        <w:rPr>
          <w:rFonts w:cstheme="minorHAnsi"/>
        </w:rPr>
        <w:t xml:space="preserve">, Colm </w:t>
      </w:r>
      <w:proofErr w:type="spellStart"/>
      <w:r w:rsidRPr="00207115">
        <w:rPr>
          <w:rFonts w:cstheme="minorHAnsi"/>
        </w:rPr>
        <w:t>O’Cinneide</w:t>
      </w:r>
      <w:proofErr w:type="spellEnd"/>
      <w:r w:rsidRPr="00207115">
        <w:rPr>
          <w:rFonts w:cstheme="minorHAnsi"/>
        </w:rPr>
        <w:t xml:space="preserve">, </w:t>
      </w:r>
      <w:proofErr w:type="spellStart"/>
      <w:r w:rsidRPr="00207115">
        <w:rPr>
          <w:rFonts w:cstheme="minorHAnsi"/>
        </w:rPr>
        <w:t>Jorg</w:t>
      </w:r>
      <w:proofErr w:type="spellEnd"/>
      <w:r w:rsidRPr="00207115">
        <w:rPr>
          <w:rFonts w:cstheme="minorHAnsi"/>
        </w:rPr>
        <w:t xml:space="preserve"> </w:t>
      </w:r>
      <w:proofErr w:type="spellStart"/>
      <w:r w:rsidRPr="00207115">
        <w:rPr>
          <w:rFonts w:cstheme="minorHAnsi"/>
        </w:rPr>
        <w:t>Fedtke</w:t>
      </w:r>
      <w:proofErr w:type="spellEnd"/>
      <w:r w:rsidRPr="00207115">
        <w:rPr>
          <w:rFonts w:cstheme="minorHAnsi"/>
        </w:rPr>
        <w:t xml:space="preserve">, Myriam Hunter-Henin, ‘Concerns and Ideas about the Developing English Law of Privacy (and How Knowledge of Foreign Law Might be of Help)’ (2004) 52 </w:t>
      </w:r>
      <w:r w:rsidRPr="00207115">
        <w:rPr>
          <w:rFonts w:cstheme="minorHAnsi"/>
          <w:i/>
        </w:rPr>
        <w:t xml:space="preserve">The American Journal of Comparative Law </w:t>
      </w:r>
      <w:r w:rsidRPr="00207115">
        <w:rPr>
          <w:rFonts w:cstheme="minorHAnsi"/>
        </w:rPr>
        <w:t>133.</w:t>
      </w:r>
    </w:p>
  </w:footnote>
  <w:footnote w:id="2">
    <w:p w14:paraId="57A18446" w14:textId="460DC657" w:rsidR="004672E4" w:rsidRPr="00207115" w:rsidRDefault="004672E4" w:rsidP="0000421F">
      <w:pPr>
        <w:autoSpaceDE w:val="0"/>
        <w:autoSpaceDN w:val="0"/>
        <w:adjustRightInd w:val="0"/>
        <w:spacing w:after="0" w:line="240" w:lineRule="auto"/>
        <w:jc w:val="both"/>
        <w:rPr>
          <w:rFonts w:eastAsia="TimesNewRomanPSMT" w:cstheme="minorHAnsi"/>
          <w:i/>
          <w:iCs/>
          <w:sz w:val="20"/>
          <w:szCs w:val="20"/>
        </w:rPr>
      </w:pPr>
      <w:r w:rsidRPr="00207115">
        <w:rPr>
          <w:rStyle w:val="FootnoteReference"/>
          <w:rFonts w:cstheme="minorHAnsi"/>
          <w:sz w:val="20"/>
          <w:szCs w:val="20"/>
        </w:rPr>
        <w:footnoteRef/>
      </w:r>
      <w:r w:rsidRPr="00207115">
        <w:rPr>
          <w:rFonts w:cstheme="minorHAnsi"/>
          <w:sz w:val="20"/>
          <w:szCs w:val="20"/>
        </w:rPr>
        <w:t xml:space="preserve"> For reflection on space and privacy, see Irwin </w:t>
      </w:r>
      <w:r w:rsidRPr="00207115">
        <w:rPr>
          <w:rFonts w:eastAsia="TimesNewRomanPSMT" w:cstheme="minorHAnsi"/>
          <w:sz w:val="20"/>
          <w:szCs w:val="20"/>
        </w:rPr>
        <w:t>Altman,</w:t>
      </w:r>
      <w:r w:rsidR="00315107" w:rsidRPr="00207115">
        <w:rPr>
          <w:rFonts w:eastAsia="TimesNewRomanPSMT" w:cstheme="minorHAnsi"/>
          <w:sz w:val="20"/>
          <w:szCs w:val="20"/>
        </w:rPr>
        <w:t xml:space="preserve"> </w:t>
      </w:r>
      <w:r w:rsidRPr="00207115">
        <w:rPr>
          <w:rFonts w:eastAsia="TimesNewRomanPSMT" w:cstheme="minorHAnsi"/>
          <w:i/>
          <w:iCs/>
          <w:sz w:val="20"/>
          <w:szCs w:val="20"/>
        </w:rPr>
        <w:t xml:space="preserve">The Environment and Social Behavior: Privacy, Personal Space, Territory, Crowding </w:t>
      </w:r>
      <w:r w:rsidRPr="00207115">
        <w:rPr>
          <w:rFonts w:eastAsia="TimesNewRomanPSMT" w:cstheme="minorHAnsi"/>
          <w:sz w:val="20"/>
          <w:szCs w:val="20"/>
        </w:rPr>
        <w:t>(Brooks/Cole 1975);</w:t>
      </w:r>
      <w:r w:rsidRPr="00207115">
        <w:rPr>
          <w:rFonts w:cstheme="minorHAnsi"/>
          <w:sz w:val="20"/>
          <w:szCs w:val="20"/>
        </w:rPr>
        <w:t xml:space="preserve"> Mireille Hildebrandt ‘Privacy and Identity’ in Erik Claes, Antony Duff, Serge </w:t>
      </w:r>
      <w:proofErr w:type="spellStart"/>
      <w:r w:rsidRPr="00207115">
        <w:rPr>
          <w:rFonts w:cstheme="minorHAnsi"/>
          <w:sz w:val="20"/>
          <w:szCs w:val="20"/>
        </w:rPr>
        <w:t>Gurwirth</w:t>
      </w:r>
      <w:proofErr w:type="spellEnd"/>
      <w:r w:rsidRPr="00207115">
        <w:rPr>
          <w:rFonts w:cstheme="minorHAnsi"/>
          <w:sz w:val="20"/>
          <w:szCs w:val="20"/>
        </w:rPr>
        <w:t xml:space="preserve"> (eds), </w:t>
      </w:r>
      <w:r w:rsidRPr="00207115">
        <w:rPr>
          <w:rFonts w:cstheme="minorHAnsi"/>
          <w:i/>
          <w:sz w:val="20"/>
          <w:szCs w:val="20"/>
        </w:rPr>
        <w:t xml:space="preserve">Privacy and the Criminal Law </w:t>
      </w:r>
      <w:r w:rsidRPr="00207115">
        <w:rPr>
          <w:rFonts w:cstheme="minorHAnsi"/>
          <w:sz w:val="20"/>
          <w:szCs w:val="20"/>
        </w:rPr>
        <w:t>(Hart 2006) 43, 46, where the author comments: ‘</w:t>
      </w:r>
      <w:r w:rsidRPr="00207115">
        <w:rPr>
          <w:rFonts w:eastAsia="TimesNewRomanPSMT" w:cstheme="minorHAnsi"/>
          <w:sz w:val="20"/>
          <w:szCs w:val="20"/>
        </w:rPr>
        <w:t>the concept of space is important for privacy, though not in a naturalistic sense. Space is a crucial source of perceptual information that allows a person to move around and fit into her environment, to interact with it or even to reshape it.’</w:t>
      </w:r>
      <w:r w:rsidRPr="00207115">
        <w:rPr>
          <w:rFonts w:cstheme="minorHAnsi"/>
          <w:sz w:val="20"/>
          <w:szCs w:val="20"/>
        </w:rPr>
        <w:t xml:space="preserve"> See also Joel Feinberg, ‘Autonomy, Sovereignty, and Privacy: Moral Ideals in the Constitution’ (1983) 58 </w:t>
      </w:r>
      <w:r w:rsidRPr="00207115">
        <w:rPr>
          <w:rFonts w:cstheme="minorHAnsi"/>
          <w:i/>
          <w:sz w:val="20"/>
          <w:szCs w:val="20"/>
        </w:rPr>
        <w:t xml:space="preserve">The Notre Dame Law Review </w:t>
      </w:r>
      <w:r w:rsidRPr="00207115">
        <w:rPr>
          <w:rFonts w:cstheme="minorHAnsi"/>
          <w:sz w:val="20"/>
          <w:szCs w:val="20"/>
        </w:rPr>
        <w:t>445.</w:t>
      </w:r>
    </w:p>
  </w:footnote>
  <w:footnote w:id="3">
    <w:p w14:paraId="4B297AE4" w14:textId="2AE132EF" w:rsidR="00C75CA9" w:rsidRPr="00207115" w:rsidRDefault="00C75CA9" w:rsidP="0000421F">
      <w:pPr>
        <w:pStyle w:val="FootnoteText"/>
        <w:jc w:val="both"/>
        <w:rPr>
          <w:rFonts w:cstheme="minorHAnsi"/>
        </w:rPr>
      </w:pPr>
      <w:r w:rsidRPr="00207115">
        <w:rPr>
          <w:rStyle w:val="FootnoteReference"/>
          <w:rFonts w:cstheme="minorHAnsi"/>
        </w:rPr>
        <w:footnoteRef/>
      </w:r>
      <w:r w:rsidRPr="00207115">
        <w:rPr>
          <w:rFonts w:cstheme="minorHAnsi"/>
        </w:rPr>
        <w:t xml:space="preserve"> Helen Nissenbaum, </w:t>
      </w:r>
      <w:r w:rsidRPr="00207115">
        <w:rPr>
          <w:rFonts w:cstheme="minorHAnsi"/>
          <w:i/>
          <w:iCs/>
        </w:rPr>
        <w:t>Privacy in Context: Technology, Policy, and the Integrity of Social Life</w:t>
      </w:r>
      <w:r w:rsidRPr="00207115">
        <w:rPr>
          <w:rFonts w:cstheme="minorHAnsi"/>
        </w:rPr>
        <w:t xml:space="preserve"> (Stanford University Press 2009) 11, where the author maps privacy against information technologies by distinguishing between three technological capacities: ‘(1) tracking and monitoring, (2) aggregation and analysis, and (3) dissemination and publication.’</w:t>
      </w:r>
    </w:p>
  </w:footnote>
  <w:footnote w:id="4">
    <w:p w14:paraId="4DDC7257" w14:textId="1C6BCAB3" w:rsidR="00C75CA9" w:rsidRPr="00207115" w:rsidRDefault="00C75CA9" w:rsidP="0000421F">
      <w:pPr>
        <w:pStyle w:val="FootnoteText"/>
        <w:jc w:val="both"/>
        <w:rPr>
          <w:rFonts w:cstheme="minorHAnsi"/>
        </w:rPr>
      </w:pPr>
      <w:r w:rsidRPr="00207115">
        <w:rPr>
          <w:rStyle w:val="FootnoteReference"/>
          <w:rFonts w:cstheme="minorHAnsi"/>
        </w:rPr>
        <w:footnoteRef/>
      </w:r>
      <w:r w:rsidRPr="00207115">
        <w:rPr>
          <w:rFonts w:cstheme="minorHAnsi"/>
        </w:rPr>
        <w:t xml:space="preserve"> J D </w:t>
      </w:r>
      <w:proofErr w:type="spellStart"/>
      <w:r w:rsidRPr="00207115">
        <w:rPr>
          <w:rFonts w:cstheme="minorHAnsi"/>
        </w:rPr>
        <w:t>Lasica</w:t>
      </w:r>
      <w:proofErr w:type="spellEnd"/>
      <w:r w:rsidRPr="00207115">
        <w:rPr>
          <w:rFonts w:cstheme="minorHAnsi"/>
        </w:rPr>
        <w:t>, ‘The Net never forgets’ (</w:t>
      </w:r>
      <w:r w:rsidRPr="00207115">
        <w:rPr>
          <w:rFonts w:cstheme="minorHAnsi"/>
          <w:i/>
        </w:rPr>
        <w:t>Salon</w:t>
      </w:r>
      <w:r w:rsidRPr="00207115">
        <w:rPr>
          <w:rFonts w:cstheme="minorHAnsi"/>
        </w:rPr>
        <w:t>, 26 November 1998) &lt;</w:t>
      </w:r>
      <w:r w:rsidRPr="00A14C14">
        <w:rPr>
          <w:rFonts w:cstheme="minorHAnsi"/>
        </w:rPr>
        <w:t xml:space="preserve"> </w:t>
      </w:r>
      <w:r w:rsidRPr="00207115">
        <w:rPr>
          <w:rFonts w:cstheme="minorHAnsi"/>
        </w:rPr>
        <w:t>https://www.salon.com/1998/11/25/feature_253/&gt;</w:t>
      </w:r>
    </w:p>
  </w:footnote>
  <w:footnote w:id="5">
    <w:p w14:paraId="5269A9F9" w14:textId="74C104E4" w:rsidR="00C75CA9" w:rsidRPr="00207115" w:rsidRDefault="00C75CA9" w:rsidP="0000421F">
      <w:pPr>
        <w:autoSpaceDE w:val="0"/>
        <w:autoSpaceDN w:val="0"/>
        <w:adjustRightInd w:val="0"/>
        <w:spacing w:after="0" w:line="240" w:lineRule="auto"/>
        <w:jc w:val="both"/>
        <w:rPr>
          <w:rFonts w:eastAsia="ArialMT" w:cstheme="minorHAnsi"/>
          <w:sz w:val="20"/>
          <w:szCs w:val="20"/>
        </w:rPr>
      </w:pPr>
      <w:r w:rsidRPr="00207115">
        <w:rPr>
          <w:rStyle w:val="FootnoteReference"/>
          <w:rFonts w:cstheme="minorHAnsi"/>
          <w:sz w:val="20"/>
          <w:szCs w:val="20"/>
        </w:rPr>
        <w:footnoteRef/>
      </w:r>
      <w:r w:rsidRPr="00207115">
        <w:rPr>
          <w:rFonts w:cstheme="minorHAnsi"/>
          <w:sz w:val="20"/>
          <w:szCs w:val="20"/>
        </w:rPr>
        <w:t xml:space="preserve"> </w:t>
      </w:r>
      <w:r w:rsidRPr="00207115">
        <w:rPr>
          <w:rFonts w:eastAsia="ArialMT" w:cstheme="minorHAnsi"/>
          <w:sz w:val="20"/>
          <w:szCs w:val="20"/>
        </w:rPr>
        <w:t xml:space="preserve">Jeffrey Rosen, ‘The Web Means the End of Forgetting’ </w:t>
      </w:r>
      <w:r w:rsidRPr="00207115">
        <w:rPr>
          <w:rFonts w:eastAsia="ArialMT" w:cstheme="minorHAnsi"/>
          <w:i/>
          <w:sz w:val="20"/>
          <w:szCs w:val="20"/>
        </w:rPr>
        <w:t>The New York Times</w:t>
      </w:r>
      <w:r w:rsidRPr="00207115">
        <w:rPr>
          <w:rFonts w:eastAsia="ArialMT" w:cstheme="minorHAnsi"/>
          <w:sz w:val="20"/>
          <w:szCs w:val="20"/>
        </w:rPr>
        <w:t xml:space="preserve"> (21 July 2010,); </w:t>
      </w:r>
      <w:r w:rsidRPr="00207115">
        <w:rPr>
          <w:rFonts w:cstheme="minorHAnsi"/>
          <w:sz w:val="20"/>
          <w:szCs w:val="20"/>
        </w:rPr>
        <w:t>Jeffrey Rosen, ‘</w:t>
      </w:r>
      <w:r w:rsidRPr="00207115">
        <w:rPr>
          <w:rFonts w:cstheme="minorHAnsi"/>
          <w:iCs/>
          <w:sz w:val="20"/>
          <w:szCs w:val="20"/>
        </w:rPr>
        <w:t>The Purposes of Privacy:</w:t>
      </w:r>
      <w:r w:rsidRPr="00207115">
        <w:rPr>
          <w:rFonts w:eastAsia="ArialMT" w:cstheme="minorHAnsi"/>
          <w:sz w:val="20"/>
          <w:szCs w:val="20"/>
        </w:rPr>
        <w:t xml:space="preserve"> </w:t>
      </w:r>
      <w:r w:rsidRPr="00207115">
        <w:rPr>
          <w:rFonts w:cstheme="minorHAnsi"/>
          <w:iCs/>
          <w:sz w:val="20"/>
          <w:szCs w:val="20"/>
        </w:rPr>
        <w:t xml:space="preserve">A Response’ (2001) </w:t>
      </w:r>
      <w:r w:rsidRPr="00207115">
        <w:rPr>
          <w:rFonts w:cstheme="minorHAnsi"/>
          <w:sz w:val="20"/>
          <w:szCs w:val="20"/>
        </w:rPr>
        <w:t xml:space="preserve">89 </w:t>
      </w:r>
      <w:r w:rsidRPr="00207115">
        <w:rPr>
          <w:rFonts w:cstheme="minorHAnsi"/>
          <w:i/>
          <w:sz w:val="20"/>
          <w:szCs w:val="20"/>
        </w:rPr>
        <w:t>Georgetown Law Journal</w:t>
      </w:r>
      <w:r w:rsidRPr="00207115">
        <w:rPr>
          <w:rFonts w:cstheme="minorHAnsi"/>
          <w:sz w:val="20"/>
          <w:szCs w:val="20"/>
        </w:rPr>
        <w:t xml:space="preserve"> 2117. </w:t>
      </w:r>
    </w:p>
  </w:footnote>
  <w:footnote w:id="6">
    <w:p w14:paraId="3B3926DC" w14:textId="2BE587F4" w:rsidR="00C75CA9" w:rsidRPr="00207115" w:rsidRDefault="00C75CA9" w:rsidP="0000421F">
      <w:pPr>
        <w:spacing w:after="0" w:line="240" w:lineRule="auto"/>
        <w:jc w:val="both"/>
        <w:rPr>
          <w:rFonts w:eastAsia="ArialMT" w:cstheme="minorHAnsi"/>
          <w:sz w:val="20"/>
          <w:szCs w:val="20"/>
          <w:u w:val="single"/>
        </w:rPr>
      </w:pPr>
      <w:r w:rsidRPr="00207115">
        <w:rPr>
          <w:rStyle w:val="FootnoteReference"/>
          <w:rFonts w:cstheme="minorHAnsi"/>
          <w:sz w:val="20"/>
          <w:szCs w:val="20"/>
        </w:rPr>
        <w:footnoteRef/>
      </w:r>
      <w:r w:rsidRPr="00207115">
        <w:rPr>
          <w:rFonts w:cstheme="minorHAnsi"/>
          <w:sz w:val="20"/>
          <w:szCs w:val="20"/>
        </w:rPr>
        <w:t xml:space="preserve"> Viktor Mayer Schönberger, </w:t>
      </w:r>
      <w:proofErr w:type="gramStart"/>
      <w:r w:rsidRPr="00207115">
        <w:rPr>
          <w:rFonts w:cstheme="minorHAnsi"/>
          <w:i/>
          <w:sz w:val="20"/>
          <w:szCs w:val="20"/>
        </w:rPr>
        <w:t>Delete</w:t>
      </w:r>
      <w:proofErr w:type="gramEnd"/>
      <w:r w:rsidRPr="00207115">
        <w:rPr>
          <w:rFonts w:cstheme="minorHAnsi"/>
          <w:i/>
          <w:sz w:val="20"/>
          <w:szCs w:val="20"/>
        </w:rPr>
        <w:t xml:space="preserve">: the Virtues of Forgetting in the Digital Age </w:t>
      </w:r>
      <w:r w:rsidRPr="00207115">
        <w:rPr>
          <w:rFonts w:cstheme="minorHAnsi"/>
          <w:sz w:val="20"/>
          <w:szCs w:val="20"/>
        </w:rPr>
        <w:t>(Princeton University Press, 2009) 99f.</w:t>
      </w:r>
    </w:p>
  </w:footnote>
  <w:footnote w:id="7">
    <w:p w14:paraId="2B0FE1CF" w14:textId="336EE5D0" w:rsidR="00C75CA9" w:rsidRPr="00207115" w:rsidRDefault="00C75CA9" w:rsidP="0000421F">
      <w:pPr>
        <w:pStyle w:val="FootnoteText"/>
        <w:jc w:val="both"/>
        <w:rPr>
          <w:rFonts w:cstheme="minorHAnsi"/>
        </w:rPr>
      </w:pPr>
      <w:r w:rsidRPr="00207115">
        <w:rPr>
          <w:rStyle w:val="FootnoteReference"/>
          <w:rFonts w:cstheme="minorHAnsi"/>
        </w:rPr>
        <w:footnoteRef/>
      </w:r>
      <w:r w:rsidRPr="00207115">
        <w:rPr>
          <w:rFonts w:cstheme="minorHAnsi"/>
        </w:rPr>
        <w:t xml:space="preserve"> </w:t>
      </w:r>
      <w:r w:rsidRPr="00207115">
        <w:rPr>
          <w:rFonts w:cstheme="minorHAnsi"/>
          <w:i/>
          <w:iCs/>
        </w:rPr>
        <w:t xml:space="preserve">Google Spain SL and Google Inc v </w:t>
      </w:r>
      <w:proofErr w:type="spellStart"/>
      <w:r w:rsidRPr="00207115">
        <w:rPr>
          <w:rFonts w:cstheme="minorHAnsi"/>
          <w:i/>
          <w:iCs/>
        </w:rPr>
        <w:t>Agencia</w:t>
      </w:r>
      <w:proofErr w:type="spellEnd"/>
      <w:r w:rsidRPr="00207115">
        <w:rPr>
          <w:rFonts w:cstheme="minorHAnsi"/>
          <w:i/>
          <w:iCs/>
        </w:rPr>
        <w:t xml:space="preserve"> Española de </w:t>
      </w:r>
      <w:proofErr w:type="spellStart"/>
      <w:r w:rsidRPr="00207115">
        <w:rPr>
          <w:rFonts w:cstheme="minorHAnsi"/>
          <w:i/>
          <w:iCs/>
        </w:rPr>
        <w:t>Protección</w:t>
      </w:r>
      <w:proofErr w:type="spellEnd"/>
      <w:r w:rsidRPr="00207115">
        <w:rPr>
          <w:rFonts w:cstheme="minorHAnsi"/>
          <w:i/>
          <w:iCs/>
        </w:rPr>
        <w:t xml:space="preserve"> de </w:t>
      </w:r>
      <w:proofErr w:type="spellStart"/>
      <w:r w:rsidRPr="00207115">
        <w:rPr>
          <w:rFonts w:cstheme="minorHAnsi"/>
          <w:i/>
          <w:iCs/>
        </w:rPr>
        <w:t>Datos</w:t>
      </w:r>
      <w:proofErr w:type="spellEnd"/>
      <w:r w:rsidRPr="00207115">
        <w:rPr>
          <w:rFonts w:cstheme="minorHAnsi"/>
          <w:i/>
          <w:iCs/>
        </w:rPr>
        <w:t xml:space="preserve"> (AEPD) and Mario Costeja </w:t>
      </w:r>
      <w:r w:rsidRPr="00207115">
        <w:rPr>
          <w:rFonts w:cstheme="minorHAnsi"/>
          <w:i/>
        </w:rPr>
        <w:t>González</w:t>
      </w:r>
      <w:r w:rsidRPr="00207115">
        <w:rPr>
          <w:rFonts w:cstheme="minorHAnsi"/>
        </w:rPr>
        <w:t xml:space="preserve"> C-131/12 (CJEU, GC, 13 May 2014, ECLI:EU:C:2014:317).  </w:t>
      </w:r>
    </w:p>
  </w:footnote>
  <w:footnote w:id="8">
    <w:p w14:paraId="1B569DEA" w14:textId="5D83F4C0" w:rsidR="00C75CA9" w:rsidRPr="00207115" w:rsidRDefault="00C75CA9" w:rsidP="0000421F">
      <w:pPr>
        <w:pStyle w:val="FootnoteText"/>
        <w:jc w:val="both"/>
        <w:rPr>
          <w:rFonts w:cstheme="minorHAnsi"/>
        </w:rPr>
      </w:pPr>
      <w:r w:rsidRPr="00207115">
        <w:rPr>
          <w:rStyle w:val="FootnoteReference"/>
          <w:rFonts w:cstheme="minorHAnsi"/>
        </w:rPr>
        <w:footnoteRef/>
      </w:r>
      <w:r w:rsidRPr="00207115">
        <w:rPr>
          <w:rFonts w:cstheme="minorHAnsi"/>
        </w:rPr>
        <w:t xml:space="preserve"> Art 17 of the Regulation (EU) 2016/679 of the European Parliament and of the Council of 27 April 2016 on the protection of natural persons </w:t>
      </w:r>
      <w:proofErr w:type="gramStart"/>
      <w:r w:rsidRPr="00207115">
        <w:rPr>
          <w:rFonts w:cstheme="minorHAnsi"/>
        </w:rPr>
        <w:t>with regard to</w:t>
      </w:r>
      <w:proofErr w:type="gramEnd"/>
      <w:r w:rsidRPr="00207115">
        <w:rPr>
          <w:rFonts w:cstheme="minorHAnsi"/>
        </w:rPr>
        <w:t xml:space="preserve"> the processing of personal data and on the free movement of such data.</w:t>
      </w:r>
    </w:p>
  </w:footnote>
  <w:footnote w:id="9">
    <w:p w14:paraId="64F4DA12" w14:textId="22E93617" w:rsidR="00C75CA9" w:rsidRPr="00207115" w:rsidRDefault="00C75CA9" w:rsidP="0000421F">
      <w:pPr>
        <w:pStyle w:val="FootnoteText"/>
        <w:jc w:val="both"/>
        <w:rPr>
          <w:rFonts w:cstheme="minorHAnsi"/>
        </w:rPr>
      </w:pPr>
      <w:r w:rsidRPr="00207115">
        <w:rPr>
          <w:rStyle w:val="FootnoteReference"/>
          <w:rFonts w:cstheme="minorHAnsi"/>
        </w:rPr>
        <w:footnoteRef/>
      </w:r>
      <w:r w:rsidRPr="00207115">
        <w:rPr>
          <w:rFonts w:cstheme="minorHAnsi"/>
        </w:rPr>
        <w:t xml:space="preserve"> </w:t>
      </w:r>
      <w:r w:rsidRPr="00207115">
        <w:rPr>
          <w:rFonts w:cstheme="minorHAnsi"/>
          <w:i/>
        </w:rPr>
        <w:t xml:space="preserve">Google Spain </w:t>
      </w:r>
      <w:r w:rsidRPr="00207115">
        <w:rPr>
          <w:rFonts w:cstheme="minorHAnsi"/>
          <w:iCs/>
        </w:rPr>
        <w:t>(</w:t>
      </w:r>
      <w:r w:rsidRPr="00207115">
        <w:rPr>
          <w:rFonts w:cstheme="minorHAnsi"/>
        </w:rPr>
        <w:t xml:space="preserve">n </w:t>
      </w:r>
      <w:r w:rsidR="001F5F2B" w:rsidRPr="00207115">
        <w:rPr>
          <w:rFonts w:cstheme="minorHAnsi"/>
        </w:rPr>
        <w:t>7</w:t>
      </w:r>
      <w:r w:rsidRPr="00207115">
        <w:rPr>
          <w:rFonts w:cstheme="minorHAnsi"/>
        </w:rPr>
        <w:t xml:space="preserve">) para 93. </w:t>
      </w:r>
    </w:p>
  </w:footnote>
  <w:footnote w:id="10">
    <w:p w14:paraId="205EC9FF" w14:textId="36BBD2D9" w:rsidR="00C75CA9" w:rsidRPr="00207115" w:rsidRDefault="00C75CA9" w:rsidP="0000421F">
      <w:pPr>
        <w:pStyle w:val="FootnoteText"/>
        <w:jc w:val="both"/>
        <w:rPr>
          <w:rFonts w:cstheme="minorHAnsi"/>
        </w:rPr>
      </w:pPr>
      <w:r w:rsidRPr="00207115">
        <w:rPr>
          <w:rStyle w:val="FootnoteReference"/>
          <w:rFonts w:cstheme="minorHAnsi"/>
        </w:rPr>
        <w:footnoteRef/>
      </w:r>
      <w:r w:rsidRPr="00207115">
        <w:rPr>
          <w:rFonts w:cstheme="minorHAnsi"/>
        </w:rPr>
        <w:t xml:space="preserve"> European Council, ‘Council Resolution on Encryption – Security through encryption and security despite encryption’ (Brussels, 24 November 2020, 13084/1/20).</w:t>
      </w:r>
    </w:p>
  </w:footnote>
  <w:footnote w:id="11">
    <w:p w14:paraId="34776B99" w14:textId="249DF923" w:rsidR="00C75CA9" w:rsidRPr="00207115" w:rsidRDefault="00C75CA9" w:rsidP="0000421F">
      <w:pPr>
        <w:pStyle w:val="FootnoteText"/>
        <w:jc w:val="both"/>
        <w:rPr>
          <w:rFonts w:cstheme="minorHAnsi"/>
        </w:rPr>
      </w:pPr>
      <w:r w:rsidRPr="00207115">
        <w:rPr>
          <w:rStyle w:val="FootnoteReference"/>
          <w:rFonts w:cstheme="minorHAnsi"/>
        </w:rPr>
        <w:footnoteRef/>
      </w:r>
      <w:r w:rsidRPr="00207115">
        <w:rPr>
          <w:rFonts w:cstheme="minorHAnsi"/>
        </w:rPr>
        <w:t xml:space="preserve"> </w:t>
      </w:r>
      <w:r w:rsidRPr="00207115">
        <w:rPr>
          <w:rFonts w:cstheme="minorHAnsi"/>
          <w:i/>
        </w:rPr>
        <w:t>Big Brother Watch and Others v United Kingdom</w:t>
      </w:r>
      <w:r w:rsidRPr="00207115">
        <w:rPr>
          <w:rFonts w:cstheme="minorHAnsi"/>
        </w:rPr>
        <w:t xml:space="preserve"> [2021] ECHR 165; in contrast to earlier authority that insisted on targeted surveillance based on ‘reasonable suspicion’ </w:t>
      </w:r>
      <w:proofErr w:type="gramStart"/>
      <w:r w:rsidRPr="00207115">
        <w:rPr>
          <w:rFonts w:cstheme="minorHAnsi"/>
        </w:rPr>
        <w:t>e.g.</w:t>
      </w:r>
      <w:proofErr w:type="gramEnd"/>
      <w:r w:rsidRPr="00207115">
        <w:rPr>
          <w:rFonts w:cstheme="minorHAnsi"/>
        </w:rPr>
        <w:t xml:space="preserve"> </w:t>
      </w:r>
      <w:r w:rsidRPr="00207115">
        <w:rPr>
          <w:rFonts w:cstheme="minorHAnsi"/>
          <w:i/>
          <w:iCs/>
        </w:rPr>
        <w:t xml:space="preserve">Weber and Saravia v Germany </w:t>
      </w:r>
      <w:r w:rsidRPr="00207115">
        <w:rPr>
          <w:rFonts w:cstheme="minorHAnsi"/>
        </w:rPr>
        <w:t xml:space="preserve">[2006] ECHR 1173; </w:t>
      </w:r>
      <w:r w:rsidRPr="00207115">
        <w:rPr>
          <w:rFonts w:cstheme="minorHAnsi"/>
          <w:i/>
        </w:rPr>
        <w:t xml:space="preserve">Liberty and Others v United Kingdom </w:t>
      </w:r>
      <w:r w:rsidRPr="00207115">
        <w:rPr>
          <w:rFonts w:cstheme="minorHAnsi"/>
        </w:rPr>
        <w:t xml:space="preserve">[2008] ECHR 568; </w:t>
      </w:r>
      <w:r w:rsidRPr="00207115">
        <w:rPr>
          <w:rFonts w:cstheme="minorHAnsi"/>
          <w:i/>
          <w:iCs/>
        </w:rPr>
        <w:t>Kennedy v United Kingdom</w:t>
      </w:r>
      <w:r w:rsidRPr="00207115">
        <w:rPr>
          <w:rFonts w:cstheme="minorHAnsi"/>
        </w:rPr>
        <w:t xml:space="preserve"> [2010] ECHR 682.</w:t>
      </w:r>
    </w:p>
  </w:footnote>
  <w:footnote w:id="12">
    <w:p w14:paraId="6F77ECDD" w14:textId="08908EDC" w:rsidR="00C75CA9" w:rsidRPr="00207115" w:rsidRDefault="00C75CA9" w:rsidP="0000421F">
      <w:pPr>
        <w:pStyle w:val="FootnoteText"/>
        <w:jc w:val="both"/>
        <w:rPr>
          <w:rFonts w:cstheme="minorHAnsi"/>
        </w:rPr>
      </w:pPr>
      <w:r w:rsidRPr="00207115">
        <w:rPr>
          <w:rStyle w:val="FootnoteReference"/>
          <w:rFonts w:cstheme="minorHAnsi"/>
        </w:rPr>
        <w:footnoteRef/>
      </w:r>
      <w:r w:rsidRPr="00207115">
        <w:rPr>
          <w:rFonts w:cstheme="minorHAnsi"/>
        </w:rPr>
        <w:t xml:space="preserve">  </w:t>
      </w:r>
      <w:r w:rsidRPr="00207115">
        <w:rPr>
          <w:rFonts w:cstheme="minorHAnsi"/>
          <w:i/>
        </w:rPr>
        <w:t>Big Brother Watch</w:t>
      </w:r>
      <w:r w:rsidRPr="00207115">
        <w:rPr>
          <w:rFonts w:cstheme="minorHAnsi"/>
        </w:rPr>
        <w:t xml:space="preserve"> (n 9)</w:t>
      </w:r>
      <w:r w:rsidRPr="00207115">
        <w:rPr>
          <w:rFonts w:cstheme="minorHAnsi"/>
          <w:i/>
        </w:rPr>
        <w:t xml:space="preserve"> </w:t>
      </w:r>
      <w:r w:rsidRPr="00207115">
        <w:rPr>
          <w:rFonts w:cstheme="minorHAnsi"/>
        </w:rPr>
        <w:t xml:space="preserve">para 348-350 (majority judgment). </w:t>
      </w:r>
    </w:p>
  </w:footnote>
  <w:footnote w:id="13">
    <w:p w14:paraId="71112FC7" w14:textId="67CCCAB9" w:rsidR="00C75CA9" w:rsidRPr="00207115" w:rsidRDefault="00C75CA9" w:rsidP="0000421F">
      <w:pPr>
        <w:pStyle w:val="FootnoteText"/>
        <w:jc w:val="both"/>
        <w:rPr>
          <w:rFonts w:cstheme="minorHAnsi"/>
        </w:rPr>
      </w:pPr>
      <w:r w:rsidRPr="00207115">
        <w:rPr>
          <w:rStyle w:val="FootnoteReference"/>
          <w:rFonts w:cstheme="minorHAnsi"/>
        </w:rPr>
        <w:footnoteRef/>
      </w:r>
      <w:r w:rsidRPr="00207115">
        <w:rPr>
          <w:rFonts w:cstheme="minorHAnsi"/>
        </w:rPr>
        <w:t xml:space="preserve"> ibid para 22 (partly dissenting judgment by Pinto de Albuquerque). </w:t>
      </w:r>
    </w:p>
  </w:footnote>
  <w:footnote w:id="14">
    <w:p w14:paraId="0DCEE63C" w14:textId="32A4BFED" w:rsidR="00C75CA9" w:rsidRPr="00207115" w:rsidRDefault="00C75CA9" w:rsidP="0000421F">
      <w:pPr>
        <w:pStyle w:val="FootnoteText"/>
        <w:jc w:val="both"/>
        <w:rPr>
          <w:rFonts w:cstheme="minorHAnsi"/>
          <w:lang w:val="fr-FR"/>
        </w:rPr>
      </w:pPr>
      <w:r w:rsidRPr="00207115">
        <w:rPr>
          <w:rStyle w:val="FootnoteReference"/>
          <w:rFonts w:cstheme="minorHAnsi"/>
        </w:rPr>
        <w:footnoteRef/>
      </w:r>
      <w:r w:rsidRPr="00207115">
        <w:rPr>
          <w:rFonts w:cstheme="minorHAnsi"/>
          <w:lang w:val="fr-FR"/>
        </w:rPr>
        <w:t xml:space="preserve"> </w:t>
      </w:r>
      <w:r w:rsidRPr="00207115">
        <w:rPr>
          <w:rStyle w:val="Emphasis"/>
          <w:rFonts w:cstheme="minorHAnsi"/>
          <w:lang w:val="fr-FR"/>
        </w:rPr>
        <w:t xml:space="preserve">La Quadrature du Net and </w:t>
      </w:r>
      <w:proofErr w:type="spellStart"/>
      <w:r w:rsidRPr="00207115">
        <w:rPr>
          <w:rStyle w:val="Emphasis"/>
          <w:rFonts w:cstheme="minorHAnsi"/>
          <w:lang w:val="fr-FR"/>
        </w:rPr>
        <w:t>Other</w:t>
      </w:r>
      <w:proofErr w:type="spellEnd"/>
      <w:r w:rsidRPr="00207115">
        <w:rPr>
          <w:rStyle w:val="Emphasis"/>
          <w:rFonts w:cstheme="minorHAnsi"/>
          <w:lang w:val="fr-FR"/>
        </w:rPr>
        <w:t xml:space="preserve"> v France </w:t>
      </w:r>
      <w:r w:rsidRPr="00207115">
        <w:rPr>
          <w:rFonts w:cstheme="minorHAnsi"/>
          <w:lang w:val="fr-FR"/>
        </w:rPr>
        <w:t xml:space="preserve">C-511/18, C-512/18 (CJEU, GC, 6 </w:t>
      </w:r>
      <w:proofErr w:type="spellStart"/>
      <w:r w:rsidRPr="00207115">
        <w:rPr>
          <w:rFonts w:cstheme="minorHAnsi"/>
          <w:lang w:val="fr-FR"/>
        </w:rPr>
        <w:t>October</w:t>
      </w:r>
      <w:proofErr w:type="spellEnd"/>
      <w:r w:rsidRPr="00207115">
        <w:rPr>
          <w:rFonts w:cstheme="minorHAnsi"/>
          <w:lang w:val="fr-FR"/>
        </w:rPr>
        <w:t xml:space="preserve"> 2020, </w:t>
      </w:r>
      <w:proofErr w:type="gramStart"/>
      <w:r w:rsidRPr="00207115">
        <w:rPr>
          <w:rStyle w:val="outputecli"/>
          <w:rFonts w:cstheme="minorHAnsi"/>
          <w:lang w:val="fr-FR"/>
        </w:rPr>
        <w:t>ECLI:</w:t>
      </w:r>
      <w:proofErr w:type="gramEnd"/>
      <w:r w:rsidRPr="00207115">
        <w:rPr>
          <w:rStyle w:val="outputecli"/>
          <w:rFonts w:cstheme="minorHAnsi"/>
          <w:lang w:val="fr-FR"/>
        </w:rPr>
        <w:t>EU:C:2020:791).</w:t>
      </w:r>
    </w:p>
  </w:footnote>
  <w:footnote w:id="15">
    <w:p w14:paraId="09165206" w14:textId="0742B60A" w:rsidR="00C75CA9" w:rsidRPr="00207115" w:rsidRDefault="00C75CA9" w:rsidP="0000421F">
      <w:pPr>
        <w:pStyle w:val="FootnoteText"/>
        <w:jc w:val="both"/>
        <w:rPr>
          <w:rFonts w:cstheme="minorHAnsi"/>
        </w:rPr>
      </w:pPr>
      <w:r w:rsidRPr="00207115">
        <w:rPr>
          <w:rStyle w:val="FootnoteReference"/>
          <w:rFonts w:cstheme="minorHAnsi"/>
        </w:rPr>
        <w:footnoteRef/>
      </w:r>
      <w:r w:rsidRPr="00207115">
        <w:rPr>
          <w:rFonts w:cstheme="minorHAnsi"/>
        </w:rPr>
        <w:t xml:space="preserve"> </w:t>
      </w:r>
      <w:r w:rsidRPr="00207115">
        <w:rPr>
          <w:rStyle w:val="Emphasis"/>
          <w:rFonts w:cstheme="minorHAnsi"/>
        </w:rPr>
        <w:t xml:space="preserve">Privacy International v. United Kingdom </w:t>
      </w:r>
      <w:r w:rsidRPr="00207115">
        <w:rPr>
          <w:rStyle w:val="Emphasis"/>
          <w:rFonts w:cstheme="minorHAnsi"/>
          <w:i w:val="0"/>
        </w:rPr>
        <w:t>C-623/17 (</w:t>
      </w:r>
      <w:r w:rsidRPr="00207115">
        <w:rPr>
          <w:rFonts w:cstheme="minorHAnsi"/>
        </w:rPr>
        <w:t xml:space="preserve">CJEU, </w:t>
      </w:r>
      <w:r w:rsidRPr="00207115">
        <w:rPr>
          <w:rStyle w:val="Emphasis"/>
          <w:rFonts w:cstheme="minorHAnsi"/>
          <w:i w:val="0"/>
        </w:rPr>
        <w:t xml:space="preserve">GC, 6 October 2020, </w:t>
      </w:r>
      <w:r w:rsidRPr="00207115">
        <w:rPr>
          <w:rStyle w:val="outputecli"/>
          <w:rFonts w:cstheme="minorHAnsi"/>
        </w:rPr>
        <w:t>ECLI:EU:C:2020:790).</w:t>
      </w:r>
    </w:p>
  </w:footnote>
  <w:footnote w:id="16">
    <w:p w14:paraId="3C292CD7" w14:textId="3EE462F1" w:rsidR="00C75CA9" w:rsidRPr="00207115" w:rsidRDefault="00C75CA9" w:rsidP="0000421F">
      <w:pPr>
        <w:pStyle w:val="FootnoteText"/>
        <w:jc w:val="both"/>
        <w:rPr>
          <w:rFonts w:cstheme="minorHAnsi"/>
        </w:rPr>
      </w:pPr>
      <w:r w:rsidRPr="00207115">
        <w:rPr>
          <w:rStyle w:val="FootnoteReference"/>
          <w:rFonts w:cstheme="minorHAnsi"/>
        </w:rPr>
        <w:footnoteRef/>
      </w:r>
      <w:r w:rsidRPr="00207115">
        <w:rPr>
          <w:rFonts w:cstheme="minorHAnsi"/>
        </w:rPr>
        <w:t xml:space="preserve"> Art 7 (privacy), Art 8 (data protection) and Art 11 (freedom of expression) of the Charter of Fundamental Rights of the European Union (</w:t>
      </w:r>
      <w:r w:rsidRPr="00207115">
        <w:rPr>
          <w:rStyle w:val="Emphasis"/>
          <w:rFonts w:cstheme="minorHAnsi"/>
          <w:i w:val="0"/>
        </w:rPr>
        <w:t>OJ C 326, 26 October 2012).</w:t>
      </w:r>
    </w:p>
  </w:footnote>
  <w:footnote w:id="17">
    <w:p w14:paraId="69C893CC" w14:textId="3615D6C3" w:rsidR="00C75CA9" w:rsidRPr="00207115" w:rsidRDefault="00C75CA9" w:rsidP="0000421F">
      <w:pPr>
        <w:pStyle w:val="FootnoteText"/>
        <w:jc w:val="both"/>
        <w:rPr>
          <w:rFonts w:cstheme="minorHAnsi"/>
        </w:rPr>
      </w:pPr>
      <w:r w:rsidRPr="00207115">
        <w:rPr>
          <w:rStyle w:val="FootnoteReference"/>
          <w:rFonts w:cstheme="minorHAnsi"/>
        </w:rPr>
        <w:footnoteRef/>
      </w:r>
      <w:r w:rsidRPr="00207115">
        <w:rPr>
          <w:rFonts w:cstheme="minorHAnsi"/>
        </w:rPr>
        <w:t xml:space="preserve"> </w:t>
      </w:r>
      <w:r w:rsidRPr="00207115">
        <w:rPr>
          <w:rStyle w:val="Emphasis"/>
          <w:rFonts w:cstheme="minorHAnsi"/>
        </w:rPr>
        <w:t xml:space="preserve">La Quadrature du Net and Other </w:t>
      </w:r>
      <w:r w:rsidRPr="00207115">
        <w:rPr>
          <w:rStyle w:val="Emphasis"/>
          <w:rFonts w:cstheme="minorHAnsi"/>
          <w:i w:val="0"/>
        </w:rPr>
        <w:t xml:space="preserve">(n 12) </w:t>
      </w:r>
      <w:r w:rsidRPr="00207115">
        <w:rPr>
          <w:rFonts w:cstheme="minorHAnsi"/>
        </w:rPr>
        <w:t xml:space="preserve">para 134-139, specifically para 135; contrast to </w:t>
      </w:r>
      <w:r w:rsidRPr="00207115">
        <w:rPr>
          <w:rStyle w:val="Emphasis"/>
          <w:rFonts w:cstheme="minorHAnsi"/>
        </w:rPr>
        <w:t xml:space="preserve">Tele2 Sverige and Watson and Others </w:t>
      </w:r>
      <w:r w:rsidRPr="00207115">
        <w:rPr>
          <w:rFonts w:cstheme="minorHAnsi"/>
        </w:rPr>
        <w:t xml:space="preserve">C-203/15 and C-698/15 (CJEU, GC, 21 December 2016, </w:t>
      </w:r>
      <w:r w:rsidRPr="00207115">
        <w:rPr>
          <w:rStyle w:val="outputecliaff"/>
          <w:rFonts w:cstheme="minorHAnsi"/>
        </w:rPr>
        <w:t>ECLI:EU:C:2016:970</w:t>
      </w:r>
      <w:r w:rsidRPr="00207115">
        <w:rPr>
          <w:rFonts w:cstheme="minorHAnsi"/>
        </w:rPr>
        <w:t>).</w:t>
      </w:r>
    </w:p>
  </w:footnote>
  <w:footnote w:id="18">
    <w:p w14:paraId="44492915" w14:textId="2417641F" w:rsidR="00C75CA9" w:rsidRPr="00207115" w:rsidRDefault="00C75CA9" w:rsidP="0000421F">
      <w:pPr>
        <w:pStyle w:val="FootnoteText"/>
        <w:jc w:val="both"/>
        <w:rPr>
          <w:rFonts w:cstheme="minorHAnsi"/>
        </w:rPr>
      </w:pPr>
      <w:r w:rsidRPr="00207115">
        <w:rPr>
          <w:rStyle w:val="FootnoteReference"/>
          <w:rFonts w:cstheme="minorHAnsi"/>
        </w:rPr>
        <w:footnoteRef/>
      </w:r>
      <w:r w:rsidRPr="00207115">
        <w:rPr>
          <w:rFonts w:cstheme="minorHAnsi"/>
        </w:rPr>
        <w:t xml:space="preserve"> Uniting and Strengthening America by Fulfilling Rights and Ensuring Effective Discipline over Monitoring Act of 2015 114-23, 2 June 2015; see </w:t>
      </w:r>
      <w:r w:rsidRPr="00207115">
        <w:rPr>
          <w:rFonts w:cstheme="minorHAnsi"/>
          <w:i/>
        </w:rPr>
        <w:t xml:space="preserve">United States v </w:t>
      </w:r>
      <w:proofErr w:type="spellStart"/>
      <w:r w:rsidRPr="00207115">
        <w:rPr>
          <w:rFonts w:cstheme="minorHAnsi"/>
          <w:i/>
        </w:rPr>
        <w:t>Moalin</w:t>
      </w:r>
      <w:proofErr w:type="spellEnd"/>
      <w:r w:rsidRPr="00207115">
        <w:rPr>
          <w:rFonts w:cstheme="minorHAnsi"/>
        </w:rPr>
        <w:t xml:space="preserve"> (9</w:t>
      </w:r>
      <w:r w:rsidRPr="00207115">
        <w:rPr>
          <w:rFonts w:cstheme="minorHAnsi"/>
          <w:vertAlign w:val="superscript"/>
        </w:rPr>
        <w:t>th</w:t>
      </w:r>
      <w:r w:rsidRPr="00207115">
        <w:rPr>
          <w:rFonts w:cstheme="minorHAnsi"/>
        </w:rPr>
        <w:t xml:space="preserve"> Cir SD Cal, 2 September 2020).</w:t>
      </w:r>
    </w:p>
  </w:footnote>
  <w:footnote w:id="19">
    <w:p w14:paraId="45B9F374" w14:textId="54D6BCFF" w:rsidR="00C75CA9" w:rsidRPr="00207115" w:rsidRDefault="00C75CA9" w:rsidP="0000421F">
      <w:pPr>
        <w:pStyle w:val="FootnoteText"/>
        <w:jc w:val="both"/>
        <w:rPr>
          <w:rFonts w:cstheme="minorHAnsi"/>
        </w:rPr>
      </w:pPr>
      <w:r w:rsidRPr="00207115">
        <w:rPr>
          <w:rStyle w:val="FootnoteReference"/>
          <w:rFonts w:cstheme="minorHAnsi"/>
        </w:rPr>
        <w:footnoteRef/>
      </w:r>
      <w:r w:rsidRPr="00207115">
        <w:rPr>
          <w:rFonts w:cstheme="minorHAnsi"/>
        </w:rPr>
        <w:t xml:space="preserve"> Daniel Solove, ‘’I’ve got Nothing to Hide’ and Other Misunderstandings of Privacy’ (2007) 44 </w:t>
      </w:r>
      <w:r w:rsidRPr="00207115">
        <w:rPr>
          <w:rFonts w:cstheme="minorHAnsi"/>
          <w:i/>
        </w:rPr>
        <w:t>San Diego Law Review</w:t>
      </w:r>
      <w:r w:rsidRPr="00207115">
        <w:rPr>
          <w:rFonts w:cstheme="minorHAnsi"/>
        </w:rPr>
        <w:t xml:space="preserve"> 745, 768, discussing the structural shifts and power imbalances that occur </w:t>
      </w:r>
      <w:proofErr w:type="gramStart"/>
      <w:r w:rsidRPr="00207115">
        <w:rPr>
          <w:rFonts w:cstheme="minorHAnsi"/>
        </w:rPr>
        <w:t>as a result of</w:t>
      </w:r>
      <w:proofErr w:type="gramEnd"/>
      <w:r w:rsidRPr="00207115">
        <w:rPr>
          <w:rFonts w:cstheme="minorHAnsi"/>
        </w:rPr>
        <w:t xml:space="preserve"> surveillance.</w:t>
      </w:r>
    </w:p>
  </w:footnote>
  <w:footnote w:id="20">
    <w:p w14:paraId="4700413A" w14:textId="68679E0D" w:rsidR="00C75CA9" w:rsidRPr="00207115" w:rsidRDefault="00C75CA9" w:rsidP="0000421F">
      <w:pPr>
        <w:pStyle w:val="FootnoteText"/>
        <w:jc w:val="both"/>
        <w:rPr>
          <w:rFonts w:cstheme="minorHAnsi"/>
        </w:rPr>
      </w:pPr>
      <w:r w:rsidRPr="00207115">
        <w:rPr>
          <w:rStyle w:val="FootnoteReference"/>
          <w:rFonts w:cstheme="minorHAnsi"/>
        </w:rPr>
        <w:footnoteRef/>
      </w:r>
      <w:r w:rsidRPr="00207115">
        <w:rPr>
          <w:rFonts w:cstheme="minorHAnsi"/>
        </w:rPr>
        <w:t xml:space="preserve"> Council of Europe, </w:t>
      </w:r>
      <w:r w:rsidRPr="00207115">
        <w:rPr>
          <w:rFonts w:cstheme="minorHAnsi"/>
          <w:i/>
        </w:rPr>
        <w:t xml:space="preserve">Guide on Article 8 of the European Convention on Human Rights </w:t>
      </w:r>
      <w:r w:rsidRPr="00207115">
        <w:rPr>
          <w:rFonts w:cstheme="minorHAnsi"/>
        </w:rPr>
        <w:t>(Updated 31 August 2020,)</w:t>
      </w:r>
    </w:p>
  </w:footnote>
  <w:footnote w:id="21">
    <w:p w14:paraId="6FD31A7F" w14:textId="461D35BF" w:rsidR="00C75CA9" w:rsidRPr="00207115" w:rsidRDefault="00C75CA9" w:rsidP="0000421F">
      <w:pPr>
        <w:pStyle w:val="FootnoteText"/>
        <w:jc w:val="both"/>
        <w:rPr>
          <w:rFonts w:cstheme="minorHAnsi"/>
        </w:rPr>
      </w:pPr>
      <w:r w:rsidRPr="00207115">
        <w:rPr>
          <w:rStyle w:val="FootnoteReference"/>
          <w:rFonts w:cstheme="minorHAnsi"/>
        </w:rPr>
        <w:footnoteRef/>
      </w:r>
      <w:r w:rsidRPr="00207115">
        <w:rPr>
          <w:rFonts w:cstheme="minorHAnsi"/>
        </w:rPr>
        <w:t xml:space="preserve"> Ferdinand Schoeman, ’Privacy: Philosophical Dimensions’ (1984) 21 </w:t>
      </w:r>
      <w:r w:rsidRPr="00207115">
        <w:rPr>
          <w:rFonts w:cstheme="minorHAnsi"/>
          <w:i/>
        </w:rPr>
        <w:t>American Philosophical Quarterly</w:t>
      </w:r>
      <w:r w:rsidRPr="00207115">
        <w:rPr>
          <w:rFonts w:cstheme="minorHAnsi"/>
        </w:rPr>
        <w:t xml:space="preserve"> 199. </w:t>
      </w:r>
    </w:p>
  </w:footnote>
  <w:footnote w:id="22">
    <w:p w14:paraId="10AC5E78" w14:textId="3806C6A3" w:rsidR="00C75CA9" w:rsidRPr="00207115" w:rsidRDefault="00C75CA9" w:rsidP="0000421F">
      <w:pPr>
        <w:pStyle w:val="FootnoteText"/>
        <w:jc w:val="both"/>
        <w:rPr>
          <w:rFonts w:cstheme="minorHAnsi"/>
        </w:rPr>
      </w:pPr>
      <w:r w:rsidRPr="00207115">
        <w:rPr>
          <w:rStyle w:val="FootnoteReference"/>
          <w:rFonts w:cstheme="minorHAnsi"/>
        </w:rPr>
        <w:footnoteRef/>
      </w:r>
      <w:r w:rsidRPr="00207115">
        <w:rPr>
          <w:rFonts w:cstheme="minorHAnsi"/>
        </w:rPr>
        <w:t xml:space="preserve"> Whitman (n 1), 1160</w:t>
      </w:r>
      <w:r w:rsidR="00933A6B">
        <w:rPr>
          <w:rFonts w:cstheme="minorHAnsi"/>
        </w:rPr>
        <w:t>,</w:t>
      </w:r>
      <w:r w:rsidR="00933A6B" w:rsidRPr="00933A6B">
        <w:rPr>
          <w:rFonts w:cstheme="minorHAnsi"/>
        </w:rPr>
        <w:t xml:space="preserve"> </w:t>
      </w:r>
      <w:r w:rsidR="00933A6B" w:rsidRPr="00207115">
        <w:rPr>
          <w:rFonts w:cstheme="minorHAnsi"/>
        </w:rPr>
        <w:t xml:space="preserve">see also Post and Eberle (n 1), whose comparative analysis based on dignity and liberty preceded Whitman.  </w:t>
      </w:r>
    </w:p>
  </w:footnote>
  <w:footnote w:id="23">
    <w:p w14:paraId="3FB0DD76" w14:textId="458DC522" w:rsidR="00C75CA9" w:rsidRPr="00207115" w:rsidRDefault="00C75CA9" w:rsidP="00E96006">
      <w:pPr>
        <w:pStyle w:val="FootnoteText"/>
        <w:jc w:val="both"/>
        <w:rPr>
          <w:rFonts w:cstheme="minorHAnsi"/>
        </w:rPr>
      </w:pPr>
      <w:r w:rsidRPr="00207115">
        <w:rPr>
          <w:rStyle w:val="FootnoteReference"/>
          <w:rFonts w:cstheme="minorHAnsi"/>
        </w:rPr>
        <w:footnoteRef/>
      </w:r>
      <w:r w:rsidRPr="00207115">
        <w:rPr>
          <w:rFonts w:cstheme="minorHAnsi"/>
        </w:rPr>
        <w:t xml:space="preserve"> </w:t>
      </w:r>
      <w:r w:rsidR="00933A6B">
        <w:rPr>
          <w:rFonts w:cstheme="minorHAnsi"/>
        </w:rPr>
        <w:t xml:space="preserve">For </w:t>
      </w:r>
      <w:r w:rsidR="00202BBA">
        <w:rPr>
          <w:rFonts w:cstheme="minorHAnsi"/>
        </w:rPr>
        <w:t xml:space="preserve">a comprehensive </w:t>
      </w:r>
      <w:r w:rsidR="00933A6B">
        <w:rPr>
          <w:rFonts w:cstheme="minorHAnsi"/>
        </w:rPr>
        <w:t xml:space="preserve">empirical </w:t>
      </w:r>
      <w:r w:rsidR="00202BBA">
        <w:rPr>
          <w:rFonts w:cstheme="minorHAnsi"/>
        </w:rPr>
        <w:t>study</w:t>
      </w:r>
      <w:r w:rsidR="00933A6B">
        <w:rPr>
          <w:rFonts w:cstheme="minorHAnsi"/>
        </w:rPr>
        <w:t xml:space="preserve"> of the </w:t>
      </w:r>
      <w:r w:rsidR="00202BBA">
        <w:rPr>
          <w:rFonts w:cstheme="minorHAnsi"/>
        </w:rPr>
        <w:t xml:space="preserve">histories of </w:t>
      </w:r>
      <w:r w:rsidR="00933A6B">
        <w:rPr>
          <w:rFonts w:cstheme="minorHAnsi"/>
        </w:rPr>
        <w:t xml:space="preserve">privacy </w:t>
      </w:r>
      <w:r w:rsidR="00202BBA">
        <w:rPr>
          <w:rFonts w:cstheme="minorHAnsi"/>
        </w:rPr>
        <w:t>recognition of</w:t>
      </w:r>
      <w:r w:rsidR="00933A6B">
        <w:rPr>
          <w:rFonts w:cstheme="minorHAnsi"/>
        </w:rPr>
        <w:t xml:space="preserve"> EU Member States, see David </w:t>
      </w:r>
      <w:proofErr w:type="spellStart"/>
      <w:r w:rsidR="00933A6B">
        <w:rPr>
          <w:rFonts w:cstheme="minorHAnsi"/>
        </w:rPr>
        <w:t>Erdos</w:t>
      </w:r>
      <w:proofErr w:type="spellEnd"/>
      <w:r w:rsidR="00933A6B">
        <w:rPr>
          <w:rFonts w:cstheme="minorHAnsi"/>
        </w:rPr>
        <w:t>, ‘</w:t>
      </w:r>
      <w:r w:rsidR="00933A6B">
        <w:t xml:space="preserve">Comparing Constitutional Privacy and Data Protection Rights within the EU’ (2022) 47 </w:t>
      </w:r>
      <w:r w:rsidR="00933A6B" w:rsidRPr="00641E7B">
        <w:rPr>
          <w:i/>
          <w:iCs/>
        </w:rPr>
        <w:t>European Law Review</w:t>
      </w:r>
      <w:r w:rsidR="00933A6B">
        <w:t xml:space="preserve"> 482.</w:t>
      </w:r>
    </w:p>
  </w:footnote>
  <w:footnote w:id="24">
    <w:p w14:paraId="0C13FD7D" w14:textId="77777777" w:rsidR="007F2030" w:rsidRPr="00207115" w:rsidRDefault="007F2030">
      <w:pPr>
        <w:pStyle w:val="FootnoteText"/>
        <w:jc w:val="both"/>
        <w:rPr>
          <w:rFonts w:cstheme="minorHAnsi"/>
        </w:rPr>
      </w:pPr>
      <w:r w:rsidRPr="00207115">
        <w:rPr>
          <w:rStyle w:val="FootnoteReference"/>
          <w:rFonts w:cstheme="minorHAnsi"/>
        </w:rPr>
        <w:footnoteRef/>
      </w:r>
      <w:r w:rsidRPr="00207115">
        <w:rPr>
          <w:rFonts w:cstheme="minorHAnsi"/>
        </w:rPr>
        <w:t xml:space="preserve"> </w:t>
      </w:r>
      <w:proofErr w:type="spellStart"/>
      <w:r w:rsidRPr="00207115">
        <w:rPr>
          <w:rFonts w:cstheme="minorHAnsi"/>
          <w:bCs/>
          <w:i/>
          <w:iCs/>
        </w:rPr>
        <w:t>Semayne's</w:t>
      </w:r>
      <w:proofErr w:type="spellEnd"/>
      <w:r w:rsidRPr="00207115">
        <w:rPr>
          <w:rFonts w:cstheme="minorHAnsi"/>
          <w:bCs/>
          <w:i/>
          <w:iCs/>
        </w:rPr>
        <w:t xml:space="preserve"> Case</w:t>
      </w:r>
      <w:r w:rsidRPr="00207115">
        <w:rPr>
          <w:rFonts w:cstheme="minorHAnsi"/>
        </w:rPr>
        <w:t xml:space="preserve"> (1604) 5 Co Rep 91a, 77 </w:t>
      </w:r>
      <w:proofErr w:type="spellStart"/>
      <w:r w:rsidRPr="00207115">
        <w:rPr>
          <w:rFonts w:cstheme="minorHAnsi"/>
        </w:rPr>
        <w:t>Eng</w:t>
      </w:r>
      <w:proofErr w:type="spellEnd"/>
      <w:r w:rsidRPr="00207115">
        <w:rPr>
          <w:rFonts w:cstheme="minorHAnsi"/>
        </w:rPr>
        <w:t xml:space="preserve"> Rep 194. </w:t>
      </w:r>
    </w:p>
  </w:footnote>
  <w:footnote w:id="25">
    <w:p w14:paraId="75F04C32" w14:textId="775AB2EA" w:rsidR="007F2030" w:rsidRPr="00207115" w:rsidRDefault="007F2030">
      <w:pPr>
        <w:pStyle w:val="FootnoteText"/>
        <w:jc w:val="both"/>
        <w:rPr>
          <w:rFonts w:cstheme="minorHAnsi"/>
        </w:rPr>
      </w:pPr>
      <w:r w:rsidRPr="00207115">
        <w:rPr>
          <w:rStyle w:val="FootnoteReference"/>
          <w:rFonts w:cstheme="minorHAnsi"/>
        </w:rPr>
        <w:footnoteRef/>
      </w:r>
      <w:r w:rsidRPr="00207115">
        <w:rPr>
          <w:rFonts w:cstheme="minorHAnsi"/>
        </w:rPr>
        <w:t xml:space="preserve"> As discussed in </w:t>
      </w:r>
      <w:r w:rsidRPr="00207115">
        <w:rPr>
          <w:rFonts w:cstheme="minorHAnsi"/>
          <w:i/>
        </w:rPr>
        <w:t>Wilson v Arkansas</w:t>
      </w:r>
      <w:r w:rsidRPr="00207115">
        <w:rPr>
          <w:rFonts w:cstheme="minorHAnsi"/>
        </w:rPr>
        <w:t xml:space="preserve"> 514 US 927, 932 (1995): ‘This “knock and announce” principle appears to predate even </w:t>
      </w:r>
      <w:proofErr w:type="spellStart"/>
      <w:r w:rsidRPr="00207115">
        <w:rPr>
          <w:rFonts w:cstheme="minorHAnsi"/>
        </w:rPr>
        <w:t>Semayne’s</w:t>
      </w:r>
      <w:proofErr w:type="spellEnd"/>
      <w:r w:rsidRPr="00207115">
        <w:rPr>
          <w:rFonts w:cstheme="minorHAnsi"/>
        </w:rPr>
        <w:t xml:space="preserve"> Case… [which] itself indicates that the doctrine may be traced to a statute i</w:t>
      </w:r>
      <w:r w:rsidR="00D90FF2" w:rsidRPr="00207115">
        <w:rPr>
          <w:rFonts w:cstheme="minorHAnsi"/>
        </w:rPr>
        <w:t>n 129</w:t>
      </w:r>
      <w:r w:rsidRPr="00207115">
        <w:rPr>
          <w:rFonts w:cstheme="minorHAnsi"/>
        </w:rPr>
        <w:t>5, and that at that time the statute was “but an affirmance of the common law.”’</w:t>
      </w:r>
    </w:p>
  </w:footnote>
  <w:footnote w:id="26">
    <w:p w14:paraId="0A5D63F6" w14:textId="0A43B898"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t>
      </w:r>
      <w:proofErr w:type="spellStart"/>
      <w:r w:rsidRPr="00207115">
        <w:rPr>
          <w:rFonts w:cstheme="minorHAnsi"/>
          <w:bCs/>
          <w:i/>
          <w:iCs/>
        </w:rPr>
        <w:t>Semayne's</w:t>
      </w:r>
      <w:proofErr w:type="spellEnd"/>
      <w:r w:rsidRPr="00207115">
        <w:rPr>
          <w:rFonts w:cstheme="minorHAnsi"/>
          <w:bCs/>
          <w:i/>
          <w:iCs/>
        </w:rPr>
        <w:t xml:space="preserve"> Case</w:t>
      </w:r>
      <w:r w:rsidRPr="00207115">
        <w:rPr>
          <w:rFonts w:cstheme="minorHAnsi"/>
        </w:rPr>
        <w:t xml:space="preserve"> (n 2</w:t>
      </w:r>
      <w:r w:rsidR="001F5F2B" w:rsidRPr="00207115">
        <w:rPr>
          <w:rFonts w:cstheme="minorHAnsi"/>
        </w:rPr>
        <w:t>6</w:t>
      </w:r>
      <w:r w:rsidRPr="00207115">
        <w:rPr>
          <w:rFonts w:cstheme="minorHAnsi"/>
        </w:rPr>
        <w:t xml:space="preserve">) 195. </w:t>
      </w:r>
    </w:p>
  </w:footnote>
  <w:footnote w:id="27">
    <w:p w14:paraId="34AEBF3A" w14:textId="56B634B5"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Belatedly, the </w:t>
      </w:r>
      <w:proofErr w:type="spellStart"/>
      <w:r w:rsidRPr="00207115">
        <w:rPr>
          <w:rFonts w:cstheme="minorHAnsi"/>
          <w:i/>
        </w:rPr>
        <w:t>Semayne’s</w:t>
      </w:r>
      <w:proofErr w:type="spellEnd"/>
      <w:r w:rsidRPr="00207115">
        <w:rPr>
          <w:rFonts w:cstheme="minorHAnsi"/>
          <w:i/>
        </w:rPr>
        <w:t xml:space="preserve"> Case</w:t>
      </w:r>
      <w:r w:rsidRPr="00207115">
        <w:rPr>
          <w:rFonts w:cstheme="minorHAnsi"/>
        </w:rPr>
        <w:t xml:space="preserve"> has been linked to Art 8 ECHR (privacy) in, for example, </w:t>
      </w:r>
      <w:proofErr w:type="spellStart"/>
      <w:r w:rsidRPr="00207115">
        <w:rPr>
          <w:rFonts w:cstheme="minorHAnsi"/>
          <w:i/>
        </w:rPr>
        <w:t>Bempoa</w:t>
      </w:r>
      <w:proofErr w:type="spellEnd"/>
      <w:r w:rsidRPr="00207115">
        <w:rPr>
          <w:rFonts w:cstheme="minorHAnsi"/>
          <w:i/>
        </w:rPr>
        <w:t>, R (on the application of) v London Borough of</w:t>
      </w:r>
      <w:r w:rsidRPr="00207115">
        <w:rPr>
          <w:rFonts w:cstheme="minorHAnsi"/>
        </w:rPr>
        <w:t xml:space="preserve"> </w:t>
      </w:r>
      <w:r w:rsidRPr="00207115">
        <w:rPr>
          <w:rFonts w:cstheme="minorHAnsi"/>
          <w:i/>
        </w:rPr>
        <w:t>Southwark</w:t>
      </w:r>
      <w:r w:rsidRPr="00207115">
        <w:rPr>
          <w:rFonts w:cstheme="minorHAnsi"/>
        </w:rPr>
        <w:t xml:space="preserve"> [2002] EWHC 153, para 13. </w:t>
      </w:r>
      <w:r w:rsidR="00933A6B">
        <w:rPr>
          <w:rFonts w:cstheme="minorHAnsi"/>
        </w:rPr>
        <w:t xml:space="preserve">See </w:t>
      </w:r>
      <w:proofErr w:type="spellStart"/>
      <w:r w:rsidR="00933A6B">
        <w:rPr>
          <w:rFonts w:cstheme="minorHAnsi"/>
        </w:rPr>
        <w:t>Erdos</w:t>
      </w:r>
      <w:proofErr w:type="spellEnd"/>
      <w:r w:rsidR="00933A6B">
        <w:rPr>
          <w:rFonts w:cstheme="minorHAnsi"/>
        </w:rPr>
        <w:t xml:space="preserve"> (n 23) where the author shows that the protection of the home is also of long-standing in many </w:t>
      </w:r>
      <w:r w:rsidR="002558A7">
        <w:rPr>
          <w:rFonts w:cstheme="minorHAnsi"/>
        </w:rPr>
        <w:t xml:space="preserve">Continental European jurisdiction. </w:t>
      </w:r>
      <w:r w:rsidR="00933A6B">
        <w:rPr>
          <w:rFonts w:cstheme="minorHAnsi"/>
        </w:rPr>
        <w:t xml:space="preserve">   </w:t>
      </w:r>
    </w:p>
  </w:footnote>
  <w:footnote w:id="28">
    <w:p w14:paraId="763675C2" w14:textId="77777777"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t>
      </w:r>
      <w:r w:rsidRPr="00207115">
        <w:rPr>
          <w:rFonts w:eastAsia="Times New Roman" w:cstheme="minorHAnsi"/>
          <w:i/>
          <w:lang w:eastAsia="en-GB"/>
        </w:rPr>
        <w:t>Katz v United States</w:t>
      </w:r>
      <w:r w:rsidRPr="00207115">
        <w:rPr>
          <w:rFonts w:eastAsia="Times New Roman" w:cstheme="minorHAnsi"/>
          <w:lang w:eastAsia="en-GB"/>
        </w:rPr>
        <w:t xml:space="preserve"> 389 US 347, 361 (1967).</w:t>
      </w:r>
    </w:p>
  </w:footnote>
  <w:footnote w:id="29">
    <w:p w14:paraId="22508BBD" w14:textId="4C1D21CA" w:rsidR="00C75CA9" w:rsidRPr="00207115" w:rsidRDefault="00C75CA9">
      <w:pPr>
        <w:spacing w:after="0" w:line="240" w:lineRule="auto"/>
        <w:jc w:val="both"/>
        <w:rPr>
          <w:rFonts w:eastAsia="Times New Roman" w:cstheme="minorHAnsi"/>
          <w:bCs/>
          <w:sz w:val="20"/>
          <w:szCs w:val="20"/>
          <w:lang w:eastAsia="en-GB"/>
        </w:rPr>
      </w:pPr>
      <w:r w:rsidRPr="00207115">
        <w:rPr>
          <w:rStyle w:val="FootnoteReference"/>
          <w:rFonts w:cstheme="minorHAnsi"/>
          <w:sz w:val="20"/>
          <w:szCs w:val="20"/>
        </w:rPr>
        <w:footnoteRef/>
      </w:r>
      <w:r w:rsidRPr="00207115">
        <w:rPr>
          <w:rFonts w:cstheme="minorHAnsi"/>
          <w:sz w:val="20"/>
          <w:szCs w:val="20"/>
        </w:rPr>
        <w:t xml:space="preserve"> </w:t>
      </w:r>
      <w:r w:rsidRPr="00207115">
        <w:rPr>
          <w:rFonts w:eastAsia="Times New Roman" w:cstheme="minorHAnsi"/>
          <w:sz w:val="20"/>
          <w:szCs w:val="20"/>
          <w:lang w:eastAsia="en-GB"/>
        </w:rPr>
        <w:t xml:space="preserve">William Blackstone, </w:t>
      </w:r>
      <w:r w:rsidRPr="00207115">
        <w:rPr>
          <w:rFonts w:cstheme="minorHAnsi"/>
          <w:i/>
          <w:iCs/>
          <w:sz w:val="20"/>
          <w:szCs w:val="20"/>
        </w:rPr>
        <w:t>Commentaries on the Laws of England: A Facsimile of the First Edition of 1765—1769</w:t>
      </w:r>
      <w:r w:rsidRPr="00207115">
        <w:rPr>
          <w:rFonts w:cstheme="minorHAnsi"/>
          <w:sz w:val="20"/>
          <w:szCs w:val="20"/>
        </w:rPr>
        <w:t xml:space="preserve"> (University of Chicago Press 1979) vol 5, amendment IV, document 8:</w:t>
      </w:r>
      <w:r w:rsidRPr="00207115">
        <w:rPr>
          <w:rFonts w:eastAsia="Times New Roman" w:cstheme="minorHAnsi"/>
          <w:sz w:val="20"/>
          <w:szCs w:val="20"/>
          <w:lang w:eastAsia="en-GB"/>
        </w:rPr>
        <w:t xml:space="preserve"> ‘For every man’s house is looked upon by the law to be his castle of defence and asylum, wherein he should suffer no violence’; </w:t>
      </w:r>
      <w:r w:rsidRPr="00207115">
        <w:rPr>
          <w:rFonts w:cstheme="minorHAnsi"/>
          <w:i/>
          <w:sz w:val="20"/>
          <w:szCs w:val="20"/>
        </w:rPr>
        <w:t xml:space="preserve">R </w:t>
      </w:r>
      <w:r w:rsidRPr="00207115">
        <w:rPr>
          <w:rFonts w:cstheme="minorHAnsi"/>
          <w:sz w:val="20"/>
          <w:szCs w:val="20"/>
        </w:rPr>
        <w:t xml:space="preserve">v </w:t>
      </w:r>
      <w:r w:rsidRPr="00207115">
        <w:rPr>
          <w:rStyle w:val="Emphasis"/>
          <w:rFonts w:cstheme="minorHAnsi"/>
          <w:sz w:val="20"/>
          <w:szCs w:val="20"/>
        </w:rPr>
        <w:t>Meade</w:t>
      </w:r>
      <w:r w:rsidRPr="00207115">
        <w:rPr>
          <w:rFonts w:cstheme="minorHAnsi"/>
          <w:sz w:val="20"/>
          <w:szCs w:val="20"/>
        </w:rPr>
        <w:t xml:space="preserve"> and </w:t>
      </w:r>
      <w:r w:rsidRPr="00207115">
        <w:rPr>
          <w:rStyle w:val="Emphasis"/>
          <w:rFonts w:cstheme="minorHAnsi"/>
          <w:sz w:val="20"/>
          <w:szCs w:val="20"/>
        </w:rPr>
        <w:t>Belt</w:t>
      </w:r>
      <w:r w:rsidRPr="00207115">
        <w:rPr>
          <w:rFonts w:cstheme="minorHAnsi"/>
          <w:sz w:val="20"/>
          <w:szCs w:val="20"/>
        </w:rPr>
        <w:t xml:space="preserve"> (1823) 1 Lew CC 184: </w:t>
      </w:r>
      <w:r w:rsidRPr="00207115">
        <w:rPr>
          <w:rFonts w:eastAsia="Times New Roman" w:cstheme="minorHAnsi"/>
          <w:bCs/>
          <w:sz w:val="20"/>
          <w:szCs w:val="20"/>
          <w:lang w:eastAsia="en-GB"/>
        </w:rPr>
        <w:t xml:space="preserve">‘the making of an attack upon the dwelling, and especially at night, the law requires as equivalent to an assault on a man’s person; for a man’s house is his castle, and therefore, in the eye of the law, it is equivalent to an assault…’ </w:t>
      </w:r>
      <w:r w:rsidRPr="00207115">
        <w:rPr>
          <w:rFonts w:cstheme="minorHAnsi"/>
          <w:sz w:val="20"/>
          <w:szCs w:val="20"/>
        </w:rPr>
        <w:t xml:space="preserve">For paradigmatic US cases on the body as a private sphere, see </w:t>
      </w:r>
      <w:r w:rsidRPr="00207115">
        <w:rPr>
          <w:rFonts w:cstheme="minorHAnsi"/>
          <w:i/>
          <w:sz w:val="20"/>
          <w:szCs w:val="20"/>
        </w:rPr>
        <w:t>Griswold v Connecticut</w:t>
      </w:r>
      <w:r w:rsidRPr="00207115">
        <w:rPr>
          <w:rFonts w:cstheme="minorHAnsi"/>
          <w:sz w:val="20"/>
          <w:szCs w:val="20"/>
        </w:rPr>
        <w:t xml:space="preserve"> 381 US 479 (1965) which recognises an implicit right to privacy in the US constitution, here applied to the use of contraception by a couple, and </w:t>
      </w:r>
      <w:r w:rsidRPr="00207115">
        <w:rPr>
          <w:rFonts w:cstheme="minorHAnsi"/>
          <w:i/>
          <w:sz w:val="20"/>
          <w:szCs w:val="20"/>
        </w:rPr>
        <w:t xml:space="preserve">Roe v Wade </w:t>
      </w:r>
      <w:r w:rsidRPr="00207115">
        <w:rPr>
          <w:rFonts w:cstheme="minorHAnsi"/>
          <w:sz w:val="20"/>
          <w:szCs w:val="20"/>
        </w:rPr>
        <w:t xml:space="preserve">410 US 113 (1973) (concerning the right to abortion). </w:t>
      </w:r>
    </w:p>
  </w:footnote>
  <w:footnote w:id="30">
    <w:p w14:paraId="66374265" w14:textId="14A61BDA"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Gavin Phillipson, ‘Transforming Breach of Confidence? Towards a Common Law Right of Privacy under the Human Rights Act’ (2003) 66</w:t>
      </w:r>
      <w:r w:rsidRPr="00207115">
        <w:rPr>
          <w:rFonts w:cstheme="minorHAnsi"/>
          <w:i/>
        </w:rPr>
        <w:t xml:space="preserve"> Modern Law Review</w:t>
      </w:r>
      <w:r w:rsidRPr="00207115">
        <w:rPr>
          <w:rFonts w:cstheme="minorHAnsi"/>
        </w:rPr>
        <w:t xml:space="preserve"> 726, 733.</w:t>
      </w:r>
    </w:p>
  </w:footnote>
  <w:footnote w:id="31">
    <w:p w14:paraId="011CA6F3" w14:textId="333DB92D"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Raymond Wacks, ‘The Poverty of Privacy’ (1980) 96 </w:t>
      </w:r>
      <w:r w:rsidRPr="00207115">
        <w:rPr>
          <w:rFonts w:cstheme="minorHAnsi"/>
          <w:i/>
        </w:rPr>
        <w:t>Law Quarterly Review</w:t>
      </w:r>
      <w:r w:rsidRPr="00207115">
        <w:rPr>
          <w:rFonts w:cstheme="minorHAnsi"/>
        </w:rPr>
        <w:t xml:space="preserve"> 73; Julie C Innes</w:t>
      </w:r>
      <w:r w:rsidRPr="00207115">
        <w:rPr>
          <w:rFonts w:cstheme="minorHAnsi"/>
          <w:i/>
        </w:rPr>
        <w:t>, Privacy, Intimacy, and Isolation</w:t>
      </w:r>
      <w:r w:rsidRPr="00207115">
        <w:rPr>
          <w:rFonts w:cstheme="minorHAnsi"/>
        </w:rPr>
        <w:t xml:space="preserve"> (OUP 1992).</w:t>
      </w:r>
    </w:p>
  </w:footnote>
  <w:footnote w:id="32">
    <w:p w14:paraId="7D9A8C50" w14:textId="4A2AAD00"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Samuel D Warren, Louis D Brandeis, ‘The Right to Privacy’ (1890) 4 </w:t>
      </w:r>
      <w:r w:rsidRPr="00207115">
        <w:rPr>
          <w:rFonts w:cstheme="minorHAnsi"/>
          <w:i/>
        </w:rPr>
        <w:t>Harvard Law Review</w:t>
      </w:r>
      <w:r w:rsidRPr="00207115">
        <w:rPr>
          <w:rFonts w:cstheme="minorHAnsi"/>
        </w:rPr>
        <w:t xml:space="preserve"> 193. </w:t>
      </w:r>
    </w:p>
  </w:footnote>
  <w:footnote w:id="33">
    <w:p w14:paraId="70FB04D7" w14:textId="2E87473A" w:rsidR="00C75CA9" w:rsidRPr="00207115" w:rsidRDefault="00C75CA9">
      <w:pPr>
        <w:pStyle w:val="Default"/>
        <w:jc w:val="both"/>
        <w:rPr>
          <w:rFonts w:asciiTheme="minorHAnsi" w:hAnsiTheme="minorHAnsi" w:cstheme="minorHAnsi"/>
          <w:sz w:val="20"/>
          <w:szCs w:val="20"/>
        </w:rPr>
      </w:pPr>
      <w:r w:rsidRPr="00207115">
        <w:rPr>
          <w:rStyle w:val="FootnoteReference"/>
          <w:rFonts w:asciiTheme="minorHAnsi" w:hAnsiTheme="minorHAnsi" w:cstheme="minorHAnsi"/>
          <w:sz w:val="20"/>
          <w:szCs w:val="20"/>
        </w:rPr>
        <w:footnoteRef/>
      </w:r>
      <w:r w:rsidRPr="00207115">
        <w:rPr>
          <w:rFonts w:asciiTheme="minorHAnsi" w:hAnsiTheme="minorHAnsi" w:cstheme="minorHAnsi"/>
          <w:sz w:val="20"/>
          <w:szCs w:val="20"/>
        </w:rPr>
        <w:t xml:space="preserve"> This traditional position has changed in </w:t>
      </w:r>
      <w:proofErr w:type="gramStart"/>
      <w:r w:rsidRPr="00207115">
        <w:rPr>
          <w:rFonts w:asciiTheme="minorHAnsi" w:hAnsiTheme="minorHAnsi" w:cstheme="minorHAnsi"/>
          <w:sz w:val="20"/>
          <w:szCs w:val="20"/>
        </w:rPr>
        <w:t>a number of</w:t>
      </w:r>
      <w:proofErr w:type="gramEnd"/>
      <w:r w:rsidRPr="00207115">
        <w:rPr>
          <w:rFonts w:asciiTheme="minorHAnsi" w:hAnsiTheme="minorHAnsi" w:cstheme="minorHAnsi"/>
          <w:sz w:val="20"/>
          <w:szCs w:val="20"/>
        </w:rPr>
        <w:t xml:space="preserve"> common law jurisdictions, including England and Wales in </w:t>
      </w:r>
      <w:r w:rsidRPr="00207115">
        <w:rPr>
          <w:rFonts w:asciiTheme="minorHAnsi" w:hAnsiTheme="minorHAnsi" w:cstheme="minorHAnsi"/>
          <w:i/>
          <w:sz w:val="20"/>
          <w:szCs w:val="20"/>
        </w:rPr>
        <w:t>Campbell v MGN Ltd</w:t>
      </w:r>
      <w:r w:rsidRPr="00207115">
        <w:rPr>
          <w:rFonts w:asciiTheme="minorHAnsi" w:hAnsiTheme="minorHAnsi" w:cstheme="minorHAnsi"/>
          <w:sz w:val="20"/>
          <w:szCs w:val="20"/>
        </w:rPr>
        <w:t xml:space="preserve"> [2004] UKHL 22 (6 May 2004); see also Canada in</w:t>
      </w:r>
      <w:r w:rsidRPr="00207115">
        <w:rPr>
          <w:rFonts w:asciiTheme="minorHAnsi" w:hAnsiTheme="minorHAnsi" w:cstheme="minorHAnsi"/>
          <w:i/>
          <w:sz w:val="20"/>
          <w:szCs w:val="20"/>
        </w:rPr>
        <w:t xml:space="preserve"> Les Editions Vice Versa Inc v </w:t>
      </w:r>
      <w:proofErr w:type="spellStart"/>
      <w:r w:rsidRPr="00207115">
        <w:rPr>
          <w:rFonts w:asciiTheme="minorHAnsi" w:hAnsiTheme="minorHAnsi" w:cstheme="minorHAnsi"/>
          <w:i/>
          <w:sz w:val="20"/>
          <w:szCs w:val="20"/>
        </w:rPr>
        <w:t>Aubry</w:t>
      </w:r>
      <w:proofErr w:type="spellEnd"/>
      <w:r w:rsidRPr="00207115">
        <w:rPr>
          <w:rFonts w:asciiTheme="minorHAnsi" w:hAnsiTheme="minorHAnsi" w:cstheme="minorHAnsi"/>
          <w:sz w:val="20"/>
          <w:szCs w:val="20"/>
        </w:rPr>
        <w:t xml:space="preserve"> [1999] BHRC 437.</w:t>
      </w:r>
    </w:p>
  </w:footnote>
  <w:footnote w:id="34">
    <w:p w14:paraId="68F59860" w14:textId="630D4642" w:rsidR="00C75CA9" w:rsidRPr="00207115" w:rsidRDefault="00C75CA9">
      <w:pPr>
        <w:autoSpaceDE w:val="0"/>
        <w:autoSpaceDN w:val="0"/>
        <w:adjustRightInd w:val="0"/>
        <w:spacing w:after="0" w:line="240" w:lineRule="auto"/>
        <w:jc w:val="both"/>
        <w:rPr>
          <w:rFonts w:cstheme="minorHAnsi"/>
          <w:sz w:val="20"/>
          <w:szCs w:val="20"/>
        </w:rPr>
      </w:pPr>
      <w:r w:rsidRPr="00207115">
        <w:rPr>
          <w:rStyle w:val="FootnoteReference"/>
          <w:rFonts w:cstheme="minorHAnsi"/>
          <w:sz w:val="20"/>
          <w:szCs w:val="20"/>
        </w:rPr>
        <w:footnoteRef/>
      </w:r>
      <w:r w:rsidRPr="00207115">
        <w:rPr>
          <w:rFonts w:cstheme="minorHAnsi"/>
          <w:sz w:val="20"/>
          <w:szCs w:val="20"/>
        </w:rPr>
        <w:t xml:space="preserve"> Feinberg (</w:t>
      </w:r>
      <w:r w:rsidR="001F5F2B" w:rsidRPr="00207115">
        <w:rPr>
          <w:rFonts w:cstheme="minorHAnsi"/>
          <w:sz w:val="20"/>
          <w:szCs w:val="20"/>
        </w:rPr>
        <w:t>n 2</w:t>
      </w:r>
      <w:r w:rsidRPr="00207115">
        <w:rPr>
          <w:rFonts w:cstheme="minorHAnsi"/>
          <w:sz w:val="20"/>
          <w:szCs w:val="20"/>
        </w:rPr>
        <w:t>) 454, see also: ‘Where one has one's domicile, however, and where one owns land, there one has space that is entirely one's own, where uninvited intruders (with certain necessary and well understood exceptions) may not enter.’</w:t>
      </w:r>
    </w:p>
  </w:footnote>
  <w:footnote w:id="35">
    <w:p w14:paraId="4DFED0DA" w14:textId="0F4D2C2F"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t>
      </w:r>
      <w:proofErr w:type="spellStart"/>
      <w:r w:rsidRPr="00207115">
        <w:rPr>
          <w:rFonts w:cstheme="minorHAnsi"/>
          <w:bCs/>
          <w:i/>
          <w:iCs/>
        </w:rPr>
        <w:t>Semayne's</w:t>
      </w:r>
      <w:proofErr w:type="spellEnd"/>
      <w:r w:rsidRPr="00207115">
        <w:rPr>
          <w:rFonts w:cstheme="minorHAnsi"/>
          <w:bCs/>
          <w:i/>
          <w:iCs/>
        </w:rPr>
        <w:t xml:space="preserve"> Case</w:t>
      </w:r>
      <w:r w:rsidRPr="00207115">
        <w:rPr>
          <w:rFonts w:cstheme="minorHAnsi"/>
        </w:rPr>
        <w:t xml:space="preserve"> (n 2</w:t>
      </w:r>
      <w:r w:rsidR="001F5F2B" w:rsidRPr="00207115">
        <w:rPr>
          <w:rFonts w:cstheme="minorHAnsi"/>
        </w:rPr>
        <w:t>6</w:t>
      </w:r>
      <w:r w:rsidRPr="00207115">
        <w:rPr>
          <w:rFonts w:cstheme="minorHAnsi"/>
        </w:rPr>
        <w:t xml:space="preserve">) </w:t>
      </w:r>
      <w:bookmarkStart w:id="10" w:name="para12"/>
      <w:r w:rsidRPr="00207115">
        <w:rPr>
          <w:rFonts w:cstheme="minorHAnsi"/>
        </w:rPr>
        <w:t>197</w:t>
      </w:r>
      <w:bookmarkEnd w:id="10"/>
      <w:r w:rsidRPr="00207115">
        <w:rPr>
          <w:rFonts w:cstheme="minorHAnsi"/>
        </w:rPr>
        <w:t>.</w:t>
      </w:r>
    </w:p>
  </w:footnote>
  <w:footnote w:id="36">
    <w:p w14:paraId="4F65D2FB" w14:textId="1EA4C5F1"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In Henry Brougham, </w:t>
      </w:r>
      <w:r w:rsidRPr="00207115">
        <w:rPr>
          <w:rStyle w:val="Emphasis"/>
          <w:rFonts w:cstheme="minorHAnsi"/>
        </w:rPr>
        <w:t>Historical Sketches of Statesmen who Flourished in the Time of George III</w:t>
      </w:r>
      <w:r w:rsidRPr="00207115">
        <w:rPr>
          <w:rFonts w:cstheme="minorHAnsi"/>
        </w:rPr>
        <w:t xml:space="preserve"> (First Series, </w:t>
      </w:r>
      <w:proofErr w:type="spellStart"/>
      <w:proofErr w:type="gramStart"/>
      <w:r w:rsidRPr="00207115">
        <w:rPr>
          <w:rFonts w:cstheme="minorHAnsi"/>
        </w:rPr>
        <w:t>C.Cox</w:t>
      </w:r>
      <w:proofErr w:type="spellEnd"/>
      <w:proofErr w:type="gramEnd"/>
      <w:r w:rsidRPr="00207115">
        <w:rPr>
          <w:rFonts w:cstheme="minorHAnsi"/>
        </w:rPr>
        <w:t xml:space="preserve"> 1845) vol 1, quoted, for example, in </w:t>
      </w:r>
      <w:r w:rsidRPr="00207115">
        <w:rPr>
          <w:rFonts w:cstheme="minorHAnsi"/>
          <w:i/>
          <w:iCs/>
        </w:rPr>
        <w:t xml:space="preserve">Southam v </w:t>
      </w:r>
      <w:proofErr w:type="spellStart"/>
      <w:r w:rsidRPr="00207115">
        <w:rPr>
          <w:rFonts w:cstheme="minorHAnsi"/>
          <w:i/>
          <w:iCs/>
        </w:rPr>
        <w:t>Smout</w:t>
      </w:r>
      <w:proofErr w:type="spellEnd"/>
      <w:r w:rsidRPr="00207115">
        <w:rPr>
          <w:rFonts w:cstheme="minorHAnsi"/>
        </w:rPr>
        <w:t xml:space="preserve"> [1964] 1 QB 308, 320. This extension of the prohibition to the King has, of course, been subject to exceptions, as provided by law, </w:t>
      </w:r>
      <w:proofErr w:type="gramStart"/>
      <w:r w:rsidRPr="00207115">
        <w:rPr>
          <w:rFonts w:cstheme="minorHAnsi"/>
        </w:rPr>
        <w:t>e.g.</w:t>
      </w:r>
      <w:proofErr w:type="gramEnd"/>
      <w:r w:rsidRPr="00207115">
        <w:rPr>
          <w:rFonts w:cstheme="minorHAnsi"/>
        </w:rPr>
        <w:t xml:space="preserve"> search warrants.</w:t>
      </w:r>
    </w:p>
  </w:footnote>
  <w:footnote w:id="37">
    <w:p w14:paraId="4B35509B" w14:textId="5D2460F7"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t>
      </w:r>
      <w:r w:rsidRPr="00207115">
        <w:rPr>
          <w:rFonts w:cstheme="minorHAnsi"/>
          <w:i/>
        </w:rPr>
        <w:t xml:space="preserve">Boyd v United States </w:t>
      </w:r>
      <w:r w:rsidRPr="00207115">
        <w:rPr>
          <w:rFonts w:cstheme="minorHAnsi"/>
        </w:rPr>
        <w:t xml:space="preserve">116 US 616 (1886). </w:t>
      </w:r>
    </w:p>
  </w:footnote>
  <w:footnote w:id="38">
    <w:p w14:paraId="23B902DC" w14:textId="731FBC00"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ibid.</w:t>
      </w:r>
    </w:p>
  </w:footnote>
  <w:footnote w:id="39">
    <w:p w14:paraId="0BAF651A" w14:textId="324A713D"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Whitman (</w:t>
      </w:r>
      <w:r w:rsidR="001F5F2B" w:rsidRPr="00207115">
        <w:rPr>
          <w:rFonts w:cstheme="minorHAnsi"/>
        </w:rPr>
        <w:t>n 1</w:t>
      </w:r>
      <w:r w:rsidRPr="00207115">
        <w:rPr>
          <w:rFonts w:cstheme="minorHAnsi"/>
        </w:rPr>
        <w:t>) 1212.</w:t>
      </w:r>
    </w:p>
  </w:footnote>
  <w:footnote w:id="40">
    <w:p w14:paraId="62C64C3E" w14:textId="28416C98"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ibid 1212f. </w:t>
      </w:r>
      <w:r w:rsidR="003910DA" w:rsidRPr="00207115">
        <w:rPr>
          <w:rFonts w:cstheme="minorHAnsi"/>
        </w:rPr>
        <w:t xml:space="preserve"> </w:t>
      </w:r>
    </w:p>
  </w:footnote>
  <w:footnote w:id="41">
    <w:p w14:paraId="0CE2BEAD" w14:textId="6CE6FDF6" w:rsidR="00C75CA9" w:rsidRPr="005927F3" w:rsidRDefault="00C75CA9">
      <w:pPr>
        <w:pStyle w:val="FootnoteText"/>
        <w:jc w:val="both"/>
        <w:rPr>
          <w:rFonts w:cstheme="minorHAnsi"/>
          <w:lang w:val="de-DE"/>
        </w:rPr>
      </w:pPr>
      <w:r w:rsidRPr="00207115">
        <w:rPr>
          <w:rStyle w:val="FootnoteReference"/>
          <w:rFonts w:cstheme="minorHAnsi"/>
        </w:rPr>
        <w:footnoteRef/>
      </w:r>
      <w:r w:rsidRPr="00207115">
        <w:rPr>
          <w:rFonts w:cstheme="minorHAnsi"/>
          <w:lang w:val="de-AT"/>
        </w:rPr>
        <w:t xml:space="preserve"> ibid 1161, 1189ff; see also Joseph Kohler, </w:t>
      </w:r>
      <w:r w:rsidRPr="00207115">
        <w:rPr>
          <w:rFonts w:cstheme="minorHAnsi"/>
          <w:i/>
          <w:lang w:val="de-AT"/>
        </w:rPr>
        <w:t xml:space="preserve">Das Eigenbild im Recht </w:t>
      </w:r>
      <w:r w:rsidRPr="00207115">
        <w:rPr>
          <w:rFonts w:cstheme="minorHAnsi"/>
          <w:lang w:val="de-AT"/>
        </w:rPr>
        <w:t>(J Guttentag 1903);</w:t>
      </w:r>
      <w:r w:rsidRPr="005927F3">
        <w:rPr>
          <w:rFonts w:cstheme="minorHAnsi"/>
          <w:lang w:val="de-DE"/>
        </w:rPr>
        <w:t>Warren and Brandeis (n 3</w:t>
      </w:r>
      <w:r w:rsidR="003910DA" w:rsidRPr="00207115">
        <w:rPr>
          <w:rFonts w:cstheme="minorHAnsi"/>
          <w:lang w:val="de-DE"/>
        </w:rPr>
        <w:t>6</w:t>
      </w:r>
      <w:r w:rsidRPr="005927F3">
        <w:rPr>
          <w:rFonts w:cstheme="minorHAnsi"/>
          <w:lang w:val="de-DE"/>
        </w:rPr>
        <w:t>).</w:t>
      </w:r>
    </w:p>
  </w:footnote>
  <w:footnote w:id="42">
    <w:p w14:paraId="55652187" w14:textId="74A9A72C"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Kohler</w:t>
      </w:r>
      <w:r w:rsidR="001F5F2B" w:rsidRPr="00207115">
        <w:rPr>
          <w:rFonts w:cstheme="minorHAnsi"/>
        </w:rPr>
        <w:t xml:space="preserve"> ibid, </w:t>
      </w:r>
      <w:r w:rsidRPr="00207115">
        <w:rPr>
          <w:rFonts w:cstheme="minorHAnsi"/>
        </w:rPr>
        <w:t>10 [translation by author].</w:t>
      </w:r>
    </w:p>
  </w:footnote>
  <w:footnote w:id="43">
    <w:p w14:paraId="118EC380" w14:textId="1D5E4A37" w:rsidR="00C75CA9" w:rsidRPr="00207115" w:rsidRDefault="00C75CA9">
      <w:pPr>
        <w:autoSpaceDE w:val="0"/>
        <w:autoSpaceDN w:val="0"/>
        <w:adjustRightInd w:val="0"/>
        <w:spacing w:after="0" w:line="240" w:lineRule="auto"/>
        <w:jc w:val="both"/>
        <w:rPr>
          <w:rFonts w:cstheme="minorHAnsi"/>
          <w:i/>
          <w:sz w:val="20"/>
          <w:szCs w:val="20"/>
        </w:rPr>
      </w:pPr>
      <w:r w:rsidRPr="00207115">
        <w:rPr>
          <w:rStyle w:val="FootnoteReference"/>
          <w:rFonts w:cstheme="minorHAnsi"/>
          <w:sz w:val="20"/>
          <w:szCs w:val="20"/>
        </w:rPr>
        <w:footnoteRef/>
      </w:r>
      <w:r w:rsidRPr="00207115">
        <w:rPr>
          <w:rFonts w:cstheme="minorHAnsi"/>
          <w:sz w:val="20"/>
          <w:szCs w:val="20"/>
        </w:rPr>
        <w:t xml:space="preserve"> Typically, see Art 2(1) of the German Basic Law on the right to free development of one’s personality, which includes as part of right to personal dignity (Art1(1)) the right to control the use of one’s image or word </w:t>
      </w:r>
      <w:proofErr w:type="gramStart"/>
      <w:r w:rsidRPr="00207115">
        <w:rPr>
          <w:rFonts w:cstheme="minorHAnsi"/>
          <w:sz w:val="20"/>
          <w:szCs w:val="20"/>
        </w:rPr>
        <w:t>e.g.</w:t>
      </w:r>
      <w:proofErr w:type="gramEnd"/>
      <w:r w:rsidRPr="00207115">
        <w:rPr>
          <w:rFonts w:cstheme="minorHAnsi"/>
          <w:sz w:val="20"/>
          <w:szCs w:val="20"/>
        </w:rPr>
        <w:t xml:space="preserve"> in a news story. </w:t>
      </w:r>
      <w:r w:rsidRPr="00207115">
        <w:rPr>
          <w:rFonts w:cstheme="minorHAnsi"/>
          <w:sz w:val="20"/>
          <w:szCs w:val="20"/>
          <w:lang w:val="de-AT"/>
        </w:rPr>
        <w:t>Wolfgang Kahl</w:t>
      </w:r>
      <w:r w:rsidRPr="00207115">
        <w:rPr>
          <w:rFonts w:cstheme="minorHAnsi"/>
          <w:i/>
          <w:sz w:val="20"/>
          <w:szCs w:val="20"/>
          <w:lang w:val="de-AT"/>
        </w:rPr>
        <w:t>, Die Schutzergänzungsfunktion von Art. 2 Abs. 1 Grundgesetz</w:t>
      </w:r>
      <w:r w:rsidRPr="00207115">
        <w:rPr>
          <w:rFonts w:cstheme="minorHAnsi"/>
          <w:sz w:val="20"/>
          <w:szCs w:val="20"/>
          <w:lang w:val="de-AT"/>
        </w:rPr>
        <w:t xml:space="preserve"> (Mohr Siebeck 2000) 8. </w:t>
      </w:r>
      <w:r w:rsidRPr="00207115">
        <w:rPr>
          <w:rFonts w:cstheme="minorHAnsi"/>
          <w:sz w:val="20"/>
          <w:szCs w:val="20"/>
        </w:rPr>
        <w:t xml:space="preserve">See also </w:t>
      </w:r>
      <w:proofErr w:type="spellStart"/>
      <w:r w:rsidRPr="00207115">
        <w:rPr>
          <w:rFonts w:cstheme="minorHAnsi"/>
          <w:i/>
          <w:sz w:val="20"/>
          <w:szCs w:val="20"/>
        </w:rPr>
        <w:t>Tonband</w:t>
      </w:r>
      <w:proofErr w:type="spellEnd"/>
      <w:r w:rsidRPr="00207115">
        <w:rPr>
          <w:rFonts w:cstheme="minorHAnsi"/>
          <w:i/>
          <w:sz w:val="20"/>
          <w:szCs w:val="20"/>
        </w:rPr>
        <w:t xml:space="preserve">/Recording </w:t>
      </w:r>
      <w:r w:rsidRPr="00207115">
        <w:rPr>
          <w:rStyle w:val="Emphasis"/>
          <w:rFonts w:cstheme="minorHAnsi"/>
          <w:i w:val="0"/>
          <w:sz w:val="20"/>
          <w:szCs w:val="20"/>
        </w:rPr>
        <w:t>(German Constitutional Court, 31 January 1973</w:t>
      </w:r>
      <w:r w:rsidRPr="00207115">
        <w:rPr>
          <w:rStyle w:val="Emphasis"/>
          <w:rFonts w:cstheme="minorHAnsi"/>
          <w:sz w:val="20"/>
          <w:szCs w:val="20"/>
        </w:rPr>
        <w:t xml:space="preserve">, </w:t>
      </w:r>
      <w:r w:rsidRPr="00207115">
        <w:rPr>
          <w:rFonts w:cstheme="minorHAnsi"/>
          <w:bCs/>
          <w:sz w:val="20"/>
          <w:szCs w:val="20"/>
        </w:rPr>
        <w:t xml:space="preserve">2 </w:t>
      </w:r>
      <w:proofErr w:type="spellStart"/>
      <w:r w:rsidRPr="00207115">
        <w:rPr>
          <w:rFonts w:cstheme="minorHAnsi"/>
          <w:bCs/>
          <w:sz w:val="20"/>
          <w:szCs w:val="20"/>
        </w:rPr>
        <w:t>BvR</w:t>
      </w:r>
      <w:proofErr w:type="spellEnd"/>
      <w:r w:rsidRPr="00207115">
        <w:rPr>
          <w:rFonts w:cstheme="minorHAnsi"/>
          <w:bCs/>
          <w:sz w:val="20"/>
          <w:szCs w:val="20"/>
        </w:rPr>
        <w:t xml:space="preserve"> 454/71, </w:t>
      </w:r>
      <w:proofErr w:type="spellStart"/>
      <w:r w:rsidRPr="00207115">
        <w:rPr>
          <w:rStyle w:val="Emphasis"/>
          <w:rFonts w:cstheme="minorHAnsi"/>
          <w:i w:val="0"/>
          <w:sz w:val="20"/>
          <w:szCs w:val="20"/>
        </w:rPr>
        <w:t>BVerfGE</w:t>
      </w:r>
      <w:proofErr w:type="spellEnd"/>
      <w:r w:rsidRPr="00207115">
        <w:rPr>
          <w:rStyle w:val="Emphasis"/>
          <w:rFonts w:cstheme="minorHAnsi"/>
          <w:i w:val="0"/>
          <w:sz w:val="20"/>
          <w:szCs w:val="20"/>
        </w:rPr>
        <w:t xml:space="preserve"> 34</w:t>
      </w:r>
      <w:r w:rsidRPr="00207115">
        <w:rPr>
          <w:rFonts w:cstheme="minorHAnsi"/>
          <w:i/>
          <w:sz w:val="20"/>
          <w:szCs w:val="20"/>
        </w:rPr>
        <w:t xml:space="preserve">, </w:t>
      </w:r>
      <w:r w:rsidRPr="00207115">
        <w:rPr>
          <w:rStyle w:val="Emphasis"/>
          <w:rFonts w:cstheme="minorHAnsi"/>
          <w:i w:val="0"/>
          <w:sz w:val="20"/>
          <w:szCs w:val="20"/>
        </w:rPr>
        <w:t xml:space="preserve">238). </w:t>
      </w:r>
    </w:p>
  </w:footnote>
  <w:footnote w:id="44">
    <w:p w14:paraId="6A83E1A3" w14:textId="4A69EF65" w:rsidR="00C75CA9" w:rsidRPr="00207115" w:rsidRDefault="00C75CA9">
      <w:pPr>
        <w:autoSpaceDE w:val="0"/>
        <w:autoSpaceDN w:val="0"/>
        <w:adjustRightInd w:val="0"/>
        <w:spacing w:after="0" w:line="240" w:lineRule="auto"/>
        <w:jc w:val="both"/>
        <w:rPr>
          <w:rFonts w:cstheme="minorHAnsi"/>
          <w:i/>
          <w:sz w:val="20"/>
          <w:szCs w:val="20"/>
        </w:rPr>
      </w:pPr>
      <w:r w:rsidRPr="00207115">
        <w:rPr>
          <w:rStyle w:val="FootnoteReference"/>
          <w:rFonts w:cstheme="minorHAnsi"/>
          <w:sz w:val="20"/>
          <w:szCs w:val="20"/>
        </w:rPr>
        <w:footnoteRef/>
      </w:r>
      <w:r w:rsidRPr="00207115">
        <w:rPr>
          <w:rFonts w:cstheme="minorHAnsi"/>
          <w:sz w:val="20"/>
          <w:szCs w:val="20"/>
        </w:rPr>
        <w:t xml:space="preserve"> Recognised in Germany in the </w:t>
      </w:r>
      <w:r w:rsidRPr="00207115">
        <w:rPr>
          <w:rFonts w:cstheme="minorHAnsi"/>
          <w:i/>
          <w:sz w:val="20"/>
          <w:szCs w:val="20"/>
        </w:rPr>
        <w:t xml:space="preserve">Census Case </w:t>
      </w:r>
      <w:r w:rsidRPr="00207115">
        <w:rPr>
          <w:rFonts w:cstheme="minorHAnsi"/>
          <w:sz w:val="20"/>
          <w:szCs w:val="20"/>
        </w:rPr>
        <w:t xml:space="preserve">(German Constitutional Court, 15 December 1983, </w:t>
      </w:r>
      <w:proofErr w:type="spellStart"/>
      <w:r w:rsidRPr="00207115">
        <w:rPr>
          <w:rStyle w:val="markedcontent"/>
          <w:rFonts w:cstheme="minorHAnsi"/>
          <w:sz w:val="20"/>
          <w:szCs w:val="20"/>
        </w:rPr>
        <w:t>BVerfGE</w:t>
      </w:r>
      <w:proofErr w:type="spellEnd"/>
      <w:r w:rsidRPr="00207115">
        <w:rPr>
          <w:rStyle w:val="markedcontent"/>
          <w:rFonts w:cstheme="minorHAnsi"/>
          <w:sz w:val="20"/>
          <w:szCs w:val="20"/>
        </w:rPr>
        <w:t xml:space="preserve"> 65</w:t>
      </w:r>
      <w:r w:rsidRPr="00207115">
        <w:rPr>
          <w:rFonts w:cstheme="minorHAnsi"/>
          <w:sz w:val="20"/>
          <w:szCs w:val="20"/>
        </w:rPr>
        <w:t xml:space="preserve">) in the context of creating protection against the ‘transparent citizen’ and providing a theoretical foundation for data protection law; see Gerrit Hornung, Christoph Schnabel, ‘Data Protection in Germany I: the Population Census Decision and the Right to Informational Self-Determination’ (2009) 25 </w:t>
      </w:r>
      <w:r w:rsidRPr="00207115">
        <w:rPr>
          <w:rFonts w:cstheme="minorHAnsi"/>
          <w:i/>
          <w:sz w:val="20"/>
          <w:szCs w:val="20"/>
        </w:rPr>
        <w:t>Computer Law &amp; Security Review</w:t>
      </w:r>
      <w:r w:rsidRPr="00207115">
        <w:rPr>
          <w:rFonts w:cstheme="minorHAnsi"/>
          <w:sz w:val="20"/>
          <w:szCs w:val="20"/>
        </w:rPr>
        <w:t xml:space="preserve"> 84. For Anglophone privacy theorists who define privacy as informational self-determination, </w:t>
      </w:r>
      <w:proofErr w:type="gramStart"/>
      <w:r w:rsidRPr="00207115">
        <w:rPr>
          <w:rFonts w:cstheme="minorHAnsi"/>
          <w:sz w:val="20"/>
          <w:szCs w:val="20"/>
        </w:rPr>
        <w:t>control</w:t>
      </w:r>
      <w:proofErr w:type="gramEnd"/>
      <w:r w:rsidRPr="00207115">
        <w:rPr>
          <w:rFonts w:cstheme="minorHAnsi"/>
          <w:sz w:val="20"/>
          <w:szCs w:val="20"/>
        </w:rPr>
        <w:t xml:space="preserve"> or autonomy, see Alan Westin, </w:t>
      </w:r>
      <w:r w:rsidRPr="00207115">
        <w:rPr>
          <w:rFonts w:cstheme="minorHAnsi"/>
          <w:i/>
          <w:sz w:val="20"/>
          <w:szCs w:val="20"/>
        </w:rPr>
        <w:t>Privacy and Freedom</w:t>
      </w:r>
      <w:r w:rsidRPr="00207115">
        <w:rPr>
          <w:rFonts w:cstheme="minorHAnsi"/>
          <w:sz w:val="20"/>
          <w:szCs w:val="20"/>
        </w:rPr>
        <w:t xml:space="preserve"> (</w:t>
      </w:r>
      <w:proofErr w:type="spellStart"/>
      <w:r w:rsidRPr="00207115">
        <w:rPr>
          <w:rFonts w:cstheme="minorHAnsi"/>
          <w:sz w:val="20"/>
          <w:szCs w:val="20"/>
        </w:rPr>
        <w:t>Athenum</w:t>
      </w:r>
      <w:proofErr w:type="spellEnd"/>
      <w:r w:rsidRPr="00207115">
        <w:rPr>
          <w:rFonts w:cstheme="minorHAnsi"/>
          <w:sz w:val="20"/>
          <w:szCs w:val="20"/>
        </w:rPr>
        <w:t xml:space="preserve"> 1967); Charles Fried, ‘Privacy’ (1968) 77 </w:t>
      </w:r>
      <w:r w:rsidRPr="00207115">
        <w:rPr>
          <w:rFonts w:cstheme="minorHAnsi"/>
          <w:i/>
          <w:sz w:val="20"/>
          <w:szCs w:val="20"/>
        </w:rPr>
        <w:t>Yale Law Journal</w:t>
      </w:r>
      <w:r w:rsidRPr="00207115">
        <w:rPr>
          <w:rFonts w:cstheme="minorHAnsi"/>
          <w:sz w:val="20"/>
          <w:szCs w:val="20"/>
        </w:rPr>
        <w:t xml:space="preserve"> 475, 482; Phillipson (n 3</w:t>
      </w:r>
      <w:r w:rsidR="0035135E" w:rsidRPr="00207115">
        <w:rPr>
          <w:rFonts w:cstheme="minorHAnsi"/>
          <w:sz w:val="20"/>
          <w:szCs w:val="20"/>
        </w:rPr>
        <w:t>4</w:t>
      </w:r>
      <w:r w:rsidRPr="00207115">
        <w:rPr>
          <w:rFonts w:cstheme="minorHAnsi"/>
          <w:sz w:val="20"/>
          <w:szCs w:val="20"/>
        </w:rPr>
        <w:t xml:space="preserve">) 73; Paul Bernal, </w:t>
      </w:r>
      <w:r w:rsidRPr="00207115">
        <w:rPr>
          <w:rFonts w:cstheme="minorHAnsi"/>
          <w:i/>
          <w:iCs/>
          <w:sz w:val="20"/>
          <w:szCs w:val="20"/>
        </w:rPr>
        <w:t xml:space="preserve">Internet Privacy Rights: Rights to Protect Autonomy </w:t>
      </w:r>
      <w:r w:rsidRPr="00207115">
        <w:rPr>
          <w:rFonts w:cstheme="minorHAnsi"/>
          <w:sz w:val="20"/>
          <w:szCs w:val="20"/>
        </w:rPr>
        <w:t xml:space="preserve">(CUP 2014). More generally, on different theories: Schoeman (n 20); Nissenbaum (n </w:t>
      </w:r>
      <w:r w:rsidR="003910DA" w:rsidRPr="00207115">
        <w:rPr>
          <w:rFonts w:cstheme="minorHAnsi"/>
          <w:sz w:val="20"/>
          <w:szCs w:val="20"/>
        </w:rPr>
        <w:t>3</w:t>
      </w:r>
      <w:r w:rsidRPr="00207115">
        <w:rPr>
          <w:rFonts w:cstheme="minorHAnsi"/>
          <w:sz w:val="20"/>
          <w:szCs w:val="20"/>
        </w:rPr>
        <w:t xml:space="preserve">) 69ff; Helen Fenwick, Gavin Phillipson, </w:t>
      </w:r>
      <w:r w:rsidRPr="00207115">
        <w:rPr>
          <w:rFonts w:cstheme="minorHAnsi"/>
          <w:i/>
          <w:sz w:val="20"/>
          <w:szCs w:val="20"/>
        </w:rPr>
        <w:t>Media Freedom under the Human Rights Act</w:t>
      </w:r>
      <w:r w:rsidRPr="00207115">
        <w:rPr>
          <w:rFonts w:cstheme="minorHAnsi"/>
          <w:sz w:val="20"/>
          <w:szCs w:val="20"/>
        </w:rPr>
        <w:t xml:space="preserve"> (OUP 2006) 662ff.  </w:t>
      </w:r>
    </w:p>
  </w:footnote>
  <w:footnote w:id="45">
    <w:p w14:paraId="5C01CE96" w14:textId="653C479D"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Ute Frevert, </w:t>
      </w:r>
      <w:r w:rsidRPr="00207115">
        <w:rPr>
          <w:rFonts w:cstheme="minorHAnsi"/>
          <w:i/>
        </w:rPr>
        <w:t>The Politics of Humiliation: A Modern History</w:t>
      </w:r>
      <w:r w:rsidRPr="00207115">
        <w:rPr>
          <w:rFonts w:cstheme="minorHAnsi"/>
        </w:rPr>
        <w:t xml:space="preserve"> (OUP 2020).</w:t>
      </w:r>
    </w:p>
  </w:footnote>
  <w:footnote w:id="46">
    <w:p w14:paraId="4C5F4515" w14:textId="5D11C75D"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Ute Frevert, ‘The history of humiliation points to the future of human dignity’ (</w:t>
      </w:r>
      <w:r w:rsidRPr="00207115">
        <w:rPr>
          <w:rFonts w:cstheme="minorHAnsi"/>
          <w:i/>
        </w:rPr>
        <w:t>Psyche</w:t>
      </w:r>
      <w:r w:rsidRPr="00207115">
        <w:rPr>
          <w:rFonts w:cstheme="minorHAnsi"/>
        </w:rPr>
        <w:t>, 20 January 2021) commenting on her book Frevert (n 4</w:t>
      </w:r>
      <w:r w:rsidR="001F5F2B" w:rsidRPr="00207115">
        <w:rPr>
          <w:rFonts w:cstheme="minorHAnsi"/>
        </w:rPr>
        <w:t>9</w:t>
      </w:r>
      <w:r w:rsidRPr="00207115">
        <w:rPr>
          <w:rFonts w:cstheme="minorHAnsi"/>
        </w:rPr>
        <w:t>).</w:t>
      </w:r>
    </w:p>
  </w:footnote>
  <w:footnote w:id="47">
    <w:p w14:paraId="5DF73608" w14:textId="0E1A142E"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Whitman (</w:t>
      </w:r>
      <w:r w:rsidR="001F5F2B" w:rsidRPr="00207115">
        <w:rPr>
          <w:rFonts w:cstheme="minorHAnsi"/>
        </w:rPr>
        <w:t>n 1</w:t>
      </w:r>
      <w:r w:rsidRPr="00207115">
        <w:rPr>
          <w:rFonts w:cstheme="minorHAnsi"/>
        </w:rPr>
        <w:t xml:space="preserve">) 1164f. </w:t>
      </w:r>
    </w:p>
  </w:footnote>
  <w:footnote w:id="48">
    <w:p w14:paraId="2FDD4FEB" w14:textId="615D1132"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Niall R Whitty, ‘Overview of Rights of Personality in Scots Law’ in Niall R Whitty, Reinhard Zimmermann (eds), </w:t>
      </w:r>
      <w:r w:rsidRPr="00207115">
        <w:rPr>
          <w:rFonts w:cstheme="minorHAnsi"/>
          <w:i/>
        </w:rPr>
        <w:t>Rights of Personality in Scots Law: A Comparative Perspective</w:t>
      </w:r>
      <w:r w:rsidRPr="00207115">
        <w:rPr>
          <w:rFonts w:cstheme="minorHAnsi"/>
        </w:rPr>
        <w:t xml:space="preserve"> (DUP 2009) 147, 151ff, 162ff. </w:t>
      </w:r>
    </w:p>
  </w:footnote>
  <w:footnote w:id="49">
    <w:p w14:paraId="156A3595" w14:textId="1984D093"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Whitman (</w:t>
      </w:r>
      <w:r w:rsidR="001F5F2B" w:rsidRPr="00207115">
        <w:rPr>
          <w:rFonts w:cstheme="minorHAnsi"/>
        </w:rPr>
        <w:t>n 1</w:t>
      </w:r>
      <w:r w:rsidRPr="00207115">
        <w:rPr>
          <w:rFonts w:cstheme="minorHAnsi"/>
        </w:rPr>
        <w:t>) 1166 [emphasis in the original].</w:t>
      </w:r>
    </w:p>
  </w:footnote>
  <w:footnote w:id="50">
    <w:p w14:paraId="28BB0D64" w14:textId="68E2C182"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Lord Hoffman, ‘Mind Your Own Business’ (Goodman Lecture, 22 May 1996, unpublished) cited in Fenwick (n 4</w:t>
      </w:r>
      <w:r w:rsidR="00207115" w:rsidRPr="00207115">
        <w:rPr>
          <w:rFonts w:cstheme="minorHAnsi"/>
        </w:rPr>
        <w:t>8</w:t>
      </w:r>
      <w:r w:rsidRPr="00207115">
        <w:rPr>
          <w:rFonts w:cstheme="minorHAnsi"/>
        </w:rPr>
        <w:t>) 663</w:t>
      </w:r>
      <w:r w:rsidR="00197DAD" w:rsidRPr="00207115">
        <w:rPr>
          <w:rFonts w:cstheme="minorHAnsi"/>
        </w:rPr>
        <w:t xml:space="preserve"> [emphasis added].</w:t>
      </w:r>
    </w:p>
  </w:footnote>
  <w:footnote w:id="51">
    <w:p w14:paraId="7AA78C87" w14:textId="5E26791B"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Whitman (</w:t>
      </w:r>
      <w:r w:rsidR="001F5F2B" w:rsidRPr="00207115">
        <w:rPr>
          <w:rFonts w:cstheme="minorHAnsi"/>
        </w:rPr>
        <w:t>n 1</w:t>
      </w:r>
      <w:r w:rsidRPr="00207115">
        <w:rPr>
          <w:rFonts w:cstheme="minorHAnsi"/>
        </w:rPr>
        <w:t>) 1161.</w:t>
      </w:r>
    </w:p>
  </w:footnote>
  <w:footnote w:id="52">
    <w:p w14:paraId="224E6965" w14:textId="0500FBB2"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Frevert (n 4</w:t>
      </w:r>
      <w:r w:rsidR="001F5F2B" w:rsidRPr="00207115">
        <w:rPr>
          <w:rFonts w:cstheme="minorHAnsi"/>
        </w:rPr>
        <w:t>9</w:t>
      </w:r>
      <w:r w:rsidRPr="00207115">
        <w:rPr>
          <w:rFonts w:cstheme="minorHAnsi"/>
        </w:rPr>
        <w:t xml:space="preserve">). </w:t>
      </w:r>
    </w:p>
  </w:footnote>
  <w:footnote w:id="53">
    <w:p w14:paraId="227AB314" w14:textId="11C48AF2"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Post (</w:t>
      </w:r>
      <w:r w:rsidR="001F5F2B" w:rsidRPr="00207115">
        <w:rPr>
          <w:rFonts w:cstheme="minorHAnsi"/>
        </w:rPr>
        <w:t>n 1</w:t>
      </w:r>
      <w:r w:rsidRPr="00207115">
        <w:rPr>
          <w:rFonts w:cstheme="minorHAnsi"/>
        </w:rPr>
        <w:t xml:space="preserve">) 2095. </w:t>
      </w:r>
    </w:p>
  </w:footnote>
  <w:footnote w:id="54">
    <w:p w14:paraId="5834D22B" w14:textId="7EEBF0D1"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ibid.</w:t>
      </w:r>
    </w:p>
  </w:footnote>
  <w:footnote w:id="55">
    <w:p w14:paraId="7D6F9588" w14:textId="474B5A43"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Whitman (</w:t>
      </w:r>
      <w:r w:rsidR="001F5F2B" w:rsidRPr="00207115">
        <w:rPr>
          <w:rFonts w:cstheme="minorHAnsi"/>
        </w:rPr>
        <w:t>n 1</w:t>
      </w:r>
      <w:r w:rsidRPr="00207115">
        <w:rPr>
          <w:rFonts w:cstheme="minorHAnsi"/>
        </w:rPr>
        <w:t xml:space="preserve">) 1182; see also Whitty (n </w:t>
      </w:r>
      <w:r w:rsidR="001F5F2B" w:rsidRPr="00207115">
        <w:rPr>
          <w:rFonts w:cstheme="minorHAnsi"/>
        </w:rPr>
        <w:t>52</w:t>
      </w:r>
      <w:r w:rsidRPr="00207115">
        <w:rPr>
          <w:rFonts w:cstheme="minorHAnsi"/>
        </w:rPr>
        <w:t xml:space="preserve">) 159f, arguing that there is a distinction between ‘the traditional idea of dignity, its core being honour, </w:t>
      </w:r>
      <w:proofErr w:type="gramStart"/>
      <w:r w:rsidRPr="00207115">
        <w:rPr>
          <w:rFonts w:cstheme="minorHAnsi"/>
        </w:rPr>
        <w:t>respectability</w:t>
      </w:r>
      <w:proofErr w:type="gramEnd"/>
      <w:r w:rsidRPr="00207115">
        <w:rPr>
          <w:rFonts w:cstheme="minorHAnsi"/>
        </w:rPr>
        <w:t xml:space="preserve"> and status from the enlightenment idea of human dignity conceived of as personal autonomy…’ [internal marks omitted]. See Immanuel Kant, </w:t>
      </w:r>
      <w:r w:rsidRPr="00207115">
        <w:rPr>
          <w:rFonts w:cstheme="minorHAnsi"/>
          <w:i/>
        </w:rPr>
        <w:t xml:space="preserve">Groundwork of the Metaphysics of Morals </w:t>
      </w:r>
      <w:r w:rsidRPr="00207115">
        <w:rPr>
          <w:rFonts w:cstheme="minorHAnsi"/>
        </w:rPr>
        <w:t xml:space="preserve">(1785, translated and edited by Mary Gregor, Jens Timmermann, CUP 1998, revised 2012) 57: ‘thus a free will and a will under moral laws are one and the same.’ </w:t>
      </w:r>
    </w:p>
  </w:footnote>
  <w:footnote w:id="56">
    <w:p w14:paraId="3CC88169" w14:textId="30D29BF3"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Whitman (</w:t>
      </w:r>
      <w:r w:rsidR="001F5F2B" w:rsidRPr="00207115">
        <w:rPr>
          <w:rFonts w:cstheme="minorHAnsi"/>
        </w:rPr>
        <w:t>n 1</w:t>
      </w:r>
      <w:r w:rsidRPr="00207115">
        <w:rPr>
          <w:rFonts w:cstheme="minorHAnsi"/>
        </w:rPr>
        <w:t>) 1181 [emphasis omitted].</w:t>
      </w:r>
    </w:p>
  </w:footnote>
  <w:footnote w:id="57">
    <w:p w14:paraId="73196E7C" w14:textId="1AB58A6D"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Whitty (n </w:t>
      </w:r>
      <w:r w:rsidR="001F5F2B" w:rsidRPr="00207115">
        <w:rPr>
          <w:rFonts w:cstheme="minorHAnsi"/>
        </w:rPr>
        <w:t>52</w:t>
      </w:r>
      <w:r w:rsidRPr="00207115">
        <w:rPr>
          <w:rFonts w:cstheme="minorHAnsi"/>
        </w:rPr>
        <w:t xml:space="preserve">) 161, referring to the different levels at which ‘dignity’ can be defined. </w:t>
      </w:r>
    </w:p>
  </w:footnote>
  <w:footnote w:id="58">
    <w:p w14:paraId="13EF380E" w14:textId="77777777" w:rsidR="00114BDE" w:rsidRPr="00207115" w:rsidRDefault="00114BDE">
      <w:pPr>
        <w:pStyle w:val="FootnoteText"/>
        <w:jc w:val="both"/>
        <w:rPr>
          <w:rFonts w:cstheme="minorHAnsi"/>
        </w:rPr>
      </w:pPr>
      <w:r w:rsidRPr="00207115">
        <w:rPr>
          <w:rStyle w:val="FootnoteReference"/>
          <w:rFonts w:cstheme="minorHAnsi"/>
        </w:rPr>
        <w:footnoteRef/>
      </w:r>
      <w:r w:rsidRPr="00207115">
        <w:rPr>
          <w:rFonts w:cstheme="minorHAnsi"/>
        </w:rPr>
        <w:t xml:space="preserve"> The value of dignity has exceptionally surfaced in the American jurisprudence in the practice of perp walks, </w:t>
      </w:r>
      <w:proofErr w:type="gramStart"/>
      <w:r w:rsidRPr="00207115">
        <w:rPr>
          <w:rFonts w:cstheme="minorHAnsi"/>
        </w:rPr>
        <w:t>see  e.g.</w:t>
      </w:r>
      <w:proofErr w:type="gramEnd"/>
      <w:r w:rsidRPr="00207115">
        <w:rPr>
          <w:rFonts w:cstheme="minorHAnsi"/>
        </w:rPr>
        <w:t xml:space="preserve"> </w:t>
      </w:r>
      <w:proofErr w:type="spellStart"/>
      <w:r w:rsidRPr="00207115">
        <w:rPr>
          <w:rFonts w:eastAsia="Times New Roman" w:cstheme="minorHAnsi"/>
          <w:i/>
          <w:lang w:eastAsia="en-GB"/>
        </w:rPr>
        <w:t>Lauro</w:t>
      </w:r>
      <w:proofErr w:type="spellEnd"/>
      <w:r w:rsidRPr="00207115">
        <w:rPr>
          <w:rFonts w:eastAsia="Times New Roman" w:cstheme="minorHAnsi"/>
          <w:i/>
          <w:lang w:eastAsia="en-GB"/>
        </w:rPr>
        <w:t xml:space="preserve"> v Charles</w:t>
      </w:r>
      <w:r w:rsidRPr="00207115">
        <w:rPr>
          <w:rFonts w:eastAsia="Times New Roman" w:cstheme="minorHAnsi"/>
          <w:lang w:eastAsia="en-GB"/>
        </w:rPr>
        <w:t xml:space="preserve"> </w:t>
      </w:r>
      <w:r w:rsidRPr="00207115">
        <w:rPr>
          <w:rStyle w:val="citation"/>
          <w:rFonts w:cstheme="minorHAnsi"/>
        </w:rPr>
        <w:t>219 F3d 202 (2d Cir. 2000)</w:t>
      </w:r>
      <w:r w:rsidRPr="00207115">
        <w:rPr>
          <w:rFonts w:eastAsia="Times New Roman" w:cstheme="minorHAnsi"/>
          <w:lang w:eastAsia="en-GB"/>
        </w:rPr>
        <w:t xml:space="preserve"> where it was held that public arrests (or ‘</w:t>
      </w:r>
      <w:r w:rsidRPr="00207115">
        <w:rPr>
          <w:rFonts w:cstheme="minorHAnsi"/>
        </w:rPr>
        <w:t xml:space="preserve">a ritual degradation that publicly signals the [arrestee's] change in status from an ordinary citizen’ 204) </w:t>
      </w:r>
      <w:r w:rsidRPr="00207115">
        <w:rPr>
          <w:rFonts w:eastAsia="Times New Roman" w:cstheme="minorHAnsi"/>
          <w:lang w:eastAsia="en-GB"/>
        </w:rPr>
        <w:t xml:space="preserve">staged only for the press violated the accused’s Fourth Amendment rights. </w:t>
      </w:r>
    </w:p>
  </w:footnote>
  <w:footnote w:id="59">
    <w:p w14:paraId="47584E19" w14:textId="418C4693" w:rsidR="00C75CA9" w:rsidRPr="00207115" w:rsidRDefault="00C75CA9">
      <w:pPr>
        <w:pStyle w:val="Default"/>
        <w:jc w:val="both"/>
        <w:rPr>
          <w:rFonts w:asciiTheme="minorHAnsi" w:hAnsiTheme="minorHAnsi" w:cstheme="minorHAnsi"/>
          <w:sz w:val="20"/>
          <w:szCs w:val="20"/>
        </w:rPr>
      </w:pPr>
      <w:r w:rsidRPr="00207115">
        <w:rPr>
          <w:rStyle w:val="FootnoteReference"/>
          <w:rFonts w:asciiTheme="minorHAnsi" w:hAnsiTheme="minorHAnsi" w:cstheme="minorHAnsi"/>
          <w:sz w:val="20"/>
          <w:szCs w:val="20"/>
        </w:rPr>
        <w:footnoteRef/>
      </w:r>
      <w:r w:rsidRPr="00207115">
        <w:rPr>
          <w:rFonts w:asciiTheme="minorHAnsi" w:hAnsiTheme="minorHAnsi" w:cstheme="minorHAnsi"/>
          <w:sz w:val="20"/>
          <w:szCs w:val="20"/>
        </w:rPr>
        <w:t xml:space="preserve"> See </w:t>
      </w:r>
      <w:proofErr w:type="gramStart"/>
      <w:r w:rsidRPr="00207115">
        <w:rPr>
          <w:rFonts w:asciiTheme="minorHAnsi" w:hAnsiTheme="minorHAnsi" w:cstheme="minorHAnsi"/>
          <w:sz w:val="20"/>
          <w:szCs w:val="20"/>
        </w:rPr>
        <w:t>e.g.</w:t>
      </w:r>
      <w:proofErr w:type="gramEnd"/>
      <w:r w:rsidRPr="00207115">
        <w:rPr>
          <w:rFonts w:asciiTheme="minorHAnsi" w:hAnsiTheme="minorHAnsi" w:cstheme="minorHAnsi"/>
          <w:sz w:val="20"/>
          <w:szCs w:val="20"/>
        </w:rPr>
        <w:t xml:space="preserve"> accounts that ground the right to informational self-determination ‘in the interest of the public, to guarantee a free and democratic communication order.’ Hornung (n 44) 86; or accounts of privacy and freedom of expression being mutually supportive </w:t>
      </w:r>
      <w:proofErr w:type="gramStart"/>
      <w:r w:rsidRPr="00207115">
        <w:rPr>
          <w:rFonts w:asciiTheme="minorHAnsi" w:hAnsiTheme="minorHAnsi" w:cstheme="minorHAnsi"/>
          <w:sz w:val="20"/>
          <w:szCs w:val="20"/>
        </w:rPr>
        <w:t>e.g.</w:t>
      </w:r>
      <w:proofErr w:type="gramEnd"/>
      <w:r w:rsidRPr="00207115">
        <w:rPr>
          <w:rFonts w:asciiTheme="minorHAnsi" w:hAnsiTheme="minorHAnsi" w:cstheme="minorHAnsi"/>
          <w:sz w:val="20"/>
          <w:szCs w:val="20"/>
        </w:rPr>
        <w:t xml:space="preserve"> Fenwick (n 4</w:t>
      </w:r>
      <w:r w:rsidR="00207115" w:rsidRPr="00207115">
        <w:rPr>
          <w:rFonts w:asciiTheme="minorHAnsi" w:hAnsiTheme="minorHAnsi" w:cstheme="minorHAnsi"/>
          <w:sz w:val="20"/>
          <w:szCs w:val="20"/>
        </w:rPr>
        <w:t>8</w:t>
      </w:r>
      <w:r w:rsidRPr="00207115">
        <w:rPr>
          <w:rFonts w:asciiTheme="minorHAnsi" w:hAnsiTheme="minorHAnsi" w:cstheme="minorHAnsi"/>
          <w:sz w:val="20"/>
          <w:szCs w:val="20"/>
        </w:rPr>
        <w:t xml:space="preserve">) 686. </w:t>
      </w:r>
    </w:p>
  </w:footnote>
  <w:footnote w:id="60">
    <w:p w14:paraId="21B8EC13" w14:textId="3D7C3A1D"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Whitman (</w:t>
      </w:r>
      <w:r w:rsidR="001F5F2B" w:rsidRPr="00207115">
        <w:rPr>
          <w:rFonts w:cstheme="minorHAnsi"/>
        </w:rPr>
        <w:t>n 1</w:t>
      </w:r>
      <w:r w:rsidRPr="00207115">
        <w:rPr>
          <w:rFonts w:cstheme="minorHAnsi"/>
        </w:rPr>
        <w:t>) 1176.</w:t>
      </w:r>
    </w:p>
  </w:footnote>
  <w:footnote w:id="61">
    <w:p w14:paraId="4E456A52" w14:textId="61CE33AA"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Post (</w:t>
      </w:r>
      <w:r w:rsidR="001F5F2B" w:rsidRPr="00207115">
        <w:rPr>
          <w:rFonts w:cstheme="minorHAnsi"/>
        </w:rPr>
        <w:t>n 1</w:t>
      </w:r>
      <w:r w:rsidRPr="00207115">
        <w:rPr>
          <w:rFonts w:cstheme="minorHAnsi"/>
        </w:rPr>
        <w:t>) 2095.</w:t>
      </w:r>
    </w:p>
  </w:footnote>
  <w:footnote w:id="62">
    <w:p w14:paraId="580CA853" w14:textId="3EA0E563"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Frevert (n 4</w:t>
      </w:r>
      <w:r w:rsidR="001F5F2B" w:rsidRPr="00207115">
        <w:rPr>
          <w:rFonts w:cstheme="minorHAnsi"/>
        </w:rPr>
        <w:t>9</w:t>
      </w:r>
      <w:r w:rsidRPr="00207115">
        <w:rPr>
          <w:rFonts w:cstheme="minorHAnsi"/>
        </w:rPr>
        <w:t>) 13.</w:t>
      </w:r>
    </w:p>
  </w:footnote>
  <w:footnote w:id="63">
    <w:p w14:paraId="19DD2F81" w14:textId="6045B442"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See literature on the related topic of identity, or the right to identity, </w:t>
      </w:r>
      <w:proofErr w:type="gramStart"/>
      <w:r w:rsidRPr="00207115">
        <w:rPr>
          <w:rFonts w:cstheme="minorHAnsi"/>
        </w:rPr>
        <w:t>e.g.</w:t>
      </w:r>
      <w:proofErr w:type="gramEnd"/>
      <w:r w:rsidRPr="00207115">
        <w:rPr>
          <w:rFonts w:cstheme="minorHAnsi"/>
        </w:rPr>
        <w:t xml:space="preserve"> Hildebrandt (</w:t>
      </w:r>
      <w:r w:rsidR="001F5F2B" w:rsidRPr="00207115">
        <w:rPr>
          <w:rFonts w:cstheme="minorHAnsi"/>
        </w:rPr>
        <w:t>n 2</w:t>
      </w:r>
      <w:r w:rsidRPr="00207115">
        <w:rPr>
          <w:rFonts w:cstheme="minorHAnsi"/>
        </w:rPr>
        <w:t xml:space="preserve">); Serge </w:t>
      </w:r>
      <w:proofErr w:type="spellStart"/>
      <w:r w:rsidRPr="00207115">
        <w:rPr>
          <w:rFonts w:cstheme="minorHAnsi"/>
        </w:rPr>
        <w:t>Gutwirth</w:t>
      </w:r>
      <w:proofErr w:type="spellEnd"/>
      <w:r w:rsidRPr="00207115">
        <w:rPr>
          <w:rFonts w:cstheme="minorHAnsi"/>
        </w:rPr>
        <w:t xml:space="preserve">, “Beyond identity?” (2008) 1 IDIS - Identity in the Information Society 123 1, 1; Paul De </w:t>
      </w:r>
      <w:proofErr w:type="spellStart"/>
      <w:r w:rsidRPr="00207115">
        <w:rPr>
          <w:rFonts w:cstheme="minorHAnsi"/>
        </w:rPr>
        <w:t>Hert</w:t>
      </w:r>
      <w:proofErr w:type="spellEnd"/>
      <w:r w:rsidRPr="00207115">
        <w:rPr>
          <w:rFonts w:cstheme="minorHAnsi"/>
        </w:rPr>
        <w:t xml:space="preserve">, </w:t>
      </w:r>
      <w:r w:rsidRPr="00207115">
        <w:rPr>
          <w:rFonts w:cstheme="minorHAnsi"/>
          <w:i/>
          <w:iCs/>
        </w:rPr>
        <w:t>A right to identity to face the Internet of Things</w:t>
      </w:r>
      <w:r w:rsidRPr="00207115">
        <w:rPr>
          <w:rFonts w:cstheme="minorHAnsi"/>
        </w:rPr>
        <w:t xml:space="preserve"> (Council of Europe Publishing, 2007).</w:t>
      </w:r>
    </w:p>
  </w:footnote>
  <w:footnote w:id="64">
    <w:p w14:paraId="5643B435" w14:textId="6D2125C9"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Whitman (</w:t>
      </w:r>
      <w:r w:rsidR="001F5F2B" w:rsidRPr="00207115">
        <w:rPr>
          <w:rFonts w:cstheme="minorHAnsi"/>
        </w:rPr>
        <w:t>n 1</w:t>
      </w:r>
      <w:r w:rsidRPr="00207115">
        <w:rPr>
          <w:rFonts w:cstheme="minorHAnsi"/>
        </w:rPr>
        <w:t xml:space="preserve">) 1163. </w:t>
      </w:r>
    </w:p>
  </w:footnote>
  <w:footnote w:id="65">
    <w:p w14:paraId="7CDBECB5" w14:textId="2BB379BF"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Feinberg (</w:t>
      </w:r>
      <w:r w:rsidR="001F5F2B" w:rsidRPr="00207115">
        <w:rPr>
          <w:rFonts w:cstheme="minorHAnsi"/>
        </w:rPr>
        <w:t>n 2</w:t>
      </w:r>
      <w:r w:rsidRPr="00207115">
        <w:rPr>
          <w:rFonts w:cstheme="minorHAnsi"/>
        </w:rPr>
        <w:t xml:space="preserve">) 483ff, commenting on the judicial interpretation of the US Bill of Rights in </w:t>
      </w:r>
      <w:r w:rsidRPr="00207115">
        <w:rPr>
          <w:rFonts w:cstheme="minorHAnsi"/>
          <w:i/>
        </w:rPr>
        <w:t>Griswold v Connecticut</w:t>
      </w:r>
      <w:r w:rsidRPr="00207115">
        <w:rPr>
          <w:rFonts w:cstheme="minorHAnsi"/>
        </w:rPr>
        <w:t xml:space="preserve"> 381 US 479 (1965) speaking of ‘zones of privacy’ which denote zones of individual discretion.</w:t>
      </w:r>
    </w:p>
  </w:footnote>
  <w:footnote w:id="66">
    <w:p w14:paraId="3BC95994" w14:textId="1F525341"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Whitman (</w:t>
      </w:r>
      <w:r w:rsidR="001F5F2B" w:rsidRPr="00207115">
        <w:rPr>
          <w:rFonts w:cstheme="minorHAnsi"/>
        </w:rPr>
        <w:t>n 1</w:t>
      </w:r>
      <w:r w:rsidRPr="00207115">
        <w:rPr>
          <w:rFonts w:cstheme="minorHAnsi"/>
        </w:rPr>
        <w:t>) 1182.</w:t>
      </w:r>
    </w:p>
  </w:footnote>
  <w:footnote w:id="67">
    <w:p w14:paraId="7C53B25F" w14:textId="3450A74D"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However, note the balancing of the conflicting rights is, in German jurisprudence, structured along a privacy-ascending, speech-descending order of five spheres: the public, social, private, </w:t>
      </w:r>
      <w:proofErr w:type="gramStart"/>
      <w:r w:rsidRPr="00207115">
        <w:rPr>
          <w:rFonts w:cstheme="minorHAnsi"/>
        </w:rPr>
        <w:t>confidential</w:t>
      </w:r>
      <w:proofErr w:type="gramEnd"/>
      <w:r w:rsidRPr="00207115">
        <w:rPr>
          <w:rFonts w:cstheme="minorHAnsi"/>
        </w:rPr>
        <w:t xml:space="preserve"> and intimate sphere (thus somewhat reflecting the private/public dichotomy): </w:t>
      </w:r>
      <w:proofErr w:type="spellStart"/>
      <w:r w:rsidRPr="00207115">
        <w:rPr>
          <w:rFonts w:cstheme="minorHAnsi"/>
        </w:rPr>
        <w:t>Markesinis</w:t>
      </w:r>
      <w:proofErr w:type="spellEnd"/>
      <w:r w:rsidRPr="00207115">
        <w:rPr>
          <w:rFonts w:cstheme="minorHAnsi"/>
        </w:rPr>
        <w:t xml:space="preserve"> (</w:t>
      </w:r>
      <w:r w:rsidR="001F5F2B" w:rsidRPr="00207115">
        <w:rPr>
          <w:rFonts w:cstheme="minorHAnsi"/>
        </w:rPr>
        <w:t>n 1</w:t>
      </w:r>
      <w:r w:rsidRPr="00207115">
        <w:rPr>
          <w:rFonts w:cstheme="minorHAnsi"/>
        </w:rPr>
        <w:t>) 188ff.</w:t>
      </w:r>
    </w:p>
  </w:footnote>
  <w:footnote w:id="68">
    <w:p w14:paraId="6DC35A11" w14:textId="1E3E0E17"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Eric </w:t>
      </w:r>
      <w:proofErr w:type="spellStart"/>
      <w:r w:rsidRPr="00207115">
        <w:rPr>
          <w:rFonts w:cstheme="minorHAnsi"/>
        </w:rPr>
        <w:t>Barendt</w:t>
      </w:r>
      <w:proofErr w:type="spellEnd"/>
      <w:r w:rsidRPr="00207115">
        <w:rPr>
          <w:rFonts w:cstheme="minorHAnsi"/>
        </w:rPr>
        <w:t>,</w:t>
      </w:r>
      <w:proofErr w:type="gramStart"/>
      <w:r w:rsidRPr="00207115">
        <w:rPr>
          <w:rFonts w:cstheme="minorHAnsi"/>
        </w:rPr>
        <w:t>’”A</w:t>
      </w:r>
      <w:proofErr w:type="gramEnd"/>
      <w:r w:rsidRPr="00207115">
        <w:rPr>
          <w:rFonts w:cstheme="minorHAnsi"/>
        </w:rPr>
        <w:t xml:space="preserve"> Reasonable Expectation pf Privacy”: a Coherent or Redundant Concept?’ in Andrew T Kenyon (ed) </w:t>
      </w:r>
      <w:r w:rsidRPr="00207115">
        <w:rPr>
          <w:rFonts w:cstheme="minorHAnsi"/>
          <w:i/>
          <w:iCs/>
        </w:rPr>
        <w:t xml:space="preserve">Comparative Defamation and Privacy Law </w:t>
      </w:r>
      <w:r w:rsidRPr="00207115">
        <w:rPr>
          <w:rFonts w:cstheme="minorHAnsi"/>
        </w:rPr>
        <w:t xml:space="preserve">(CUP 2016) 96, 111. </w:t>
      </w:r>
    </w:p>
  </w:footnote>
  <w:footnote w:id="69">
    <w:p w14:paraId="6D049096" w14:textId="4796B1D0"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t>
      </w:r>
      <w:r w:rsidRPr="00207115">
        <w:rPr>
          <w:rFonts w:cstheme="minorHAnsi"/>
          <w:i/>
        </w:rPr>
        <w:t xml:space="preserve">The Queen v Minister of Agriculture, Fisheries and Food, ex </w:t>
      </w:r>
      <w:proofErr w:type="spellStart"/>
      <w:r w:rsidRPr="00207115">
        <w:rPr>
          <w:rFonts w:cstheme="minorHAnsi"/>
          <w:i/>
        </w:rPr>
        <w:t>parte</w:t>
      </w:r>
      <w:proofErr w:type="spellEnd"/>
      <w:r w:rsidRPr="00207115">
        <w:rPr>
          <w:rFonts w:cstheme="minorHAnsi"/>
          <w:i/>
        </w:rPr>
        <w:t xml:space="preserve"> Trevor Robert Fisher and Penny Fisher, Case</w:t>
      </w:r>
      <w:r w:rsidRPr="00207115">
        <w:rPr>
          <w:rFonts w:cstheme="minorHAnsi"/>
        </w:rPr>
        <w:t xml:space="preserve"> C-369/98 (Opinion of AG </w:t>
      </w:r>
      <w:proofErr w:type="spellStart"/>
      <w:proofErr w:type="gramStart"/>
      <w:r w:rsidRPr="00207115">
        <w:rPr>
          <w:rFonts w:cstheme="minorHAnsi"/>
        </w:rPr>
        <w:t>Alber</w:t>
      </w:r>
      <w:proofErr w:type="spellEnd"/>
      <w:r w:rsidRPr="00207115">
        <w:rPr>
          <w:rFonts w:cstheme="minorHAnsi"/>
        </w:rPr>
        <w:t xml:space="preserve"> )</w:t>
      </w:r>
      <w:proofErr w:type="gramEnd"/>
      <w:r w:rsidRPr="00207115">
        <w:rPr>
          <w:rFonts w:cstheme="minorHAnsi"/>
        </w:rPr>
        <w:t xml:space="preserve"> para 41. </w:t>
      </w:r>
    </w:p>
  </w:footnote>
  <w:footnote w:id="70">
    <w:p w14:paraId="6AF4C43C" w14:textId="090B7CBC"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G Gonzalez </w:t>
      </w:r>
      <w:proofErr w:type="spellStart"/>
      <w:r w:rsidRPr="00207115">
        <w:rPr>
          <w:rFonts w:cstheme="minorHAnsi"/>
        </w:rPr>
        <w:t>Fuster</w:t>
      </w:r>
      <w:proofErr w:type="spellEnd"/>
      <w:r w:rsidRPr="00207115">
        <w:rPr>
          <w:rFonts w:cstheme="minorHAnsi"/>
        </w:rPr>
        <w:t xml:space="preserve">, Serge </w:t>
      </w:r>
      <w:proofErr w:type="spellStart"/>
      <w:r w:rsidRPr="00207115">
        <w:rPr>
          <w:rFonts w:cstheme="minorHAnsi"/>
        </w:rPr>
        <w:t>Gutwirth</w:t>
      </w:r>
      <w:proofErr w:type="spellEnd"/>
      <w:r w:rsidRPr="00207115">
        <w:rPr>
          <w:rFonts w:cstheme="minorHAnsi"/>
        </w:rPr>
        <w:t xml:space="preserve">, ‘Opening up personal data protection: a conceptual controversy’ (2013) 29 </w:t>
      </w:r>
      <w:r w:rsidRPr="00207115">
        <w:rPr>
          <w:rFonts w:cstheme="minorHAnsi"/>
          <w:i/>
        </w:rPr>
        <w:t xml:space="preserve">Computer Law &amp; Security Review </w:t>
      </w:r>
      <w:r w:rsidRPr="00207115">
        <w:rPr>
          <w:rFonts w:cstheme="minorHAnsi"/>
        </w:rPr>
        <w:t>531.</w:t>
      </w:r>
    </w:p>
  </w:footnote>
  <w:footnote w:id="71">
    <w:p w14:paraId="5137545F" w14:textId="152F01C7"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t>
      </w:r>
      <w:r w:rsidRPr="00207115">
        <w:rPr>
          <w:rFonts w:cstheme="minorHAnsi"/>
          <w:i/>
        </w:rPr>
        <w:t xml:space="preserve">Census Case </w:t>
      </w:r>
      <w:r w:rsidRPr="00207115">
        <w:rPr>
          <w:rFonts w:cstheme="minorHAnsi"/>
        </w:rPr>
        <w:t>(n 4</w:t>
      </w:r>
      <w:r w:rsidR="00315107" w:rsidRPr="00207115">
        <w:rPr>
          <w:rFonts w:cstheme="minorHAnsi"/>
        </w:rPr>
        <w:t>8</w:t>
      </w:r>
      <w:r w:rsidRPr="00207115">
        <w:rPr>
          <w:rFonts w:cstheme="minorHAnsi"/>
        </w:rPr>
        <w:t xml:space="preserve">); see further </w:t>
      </w:r>
      <w:proofErr w:type="spellStart"/>
      <w:r w:rsidRPr="00207115">
        <w:rPr>
          <w:rFonts w:cstheme="minorHAnsi"/>
        </w:rPr>
        <w:t>Douwe</w:t>
      </w:r>
      <w:proofErr w:type="spellEnd"/>
      <w:r w:rsidRPr="00207115">
        <w:rPr>
          <w:rFonts w:cstheme="minorHAnsi"/>
        </w:rPr>
        <w:t xml:space="preserve"> </w:t>
      </w:r>
      <w:proofErr w:type="spellStart"/>
      <w:r w:rsidRPr="00207115">
        <w:rPr>
          <w:rFonts w:cstheme="minorHAnsi"/>
        </w:rPr>
        <w:t>Korff</w:t>
      </w:r>
      <w:proofErr w:type="spellEnd"/>
      <w:r w:rsidRPr="00207115">
        <w:rPr>
          <w:rFonts w:cstheme="minorHAnsi"/>
        </w:rPr>
        <w:t xml:space="preserve">, Marie Georges, ‘The Origins and Meaning of Data Protection’ (SSRN, 13 January 2020). </w:t>
      </w:r>
    </w:p>
  </w:footnote>
  <w:footnote w:id="72">
    <w:p w14:paraId="44F2840A" w14:textId="4763E9BD"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t>
      </w:r>
      <w:r w:rsidRPr="00207115">
        <w:rPr>
          <w:rFonts w:eastAsia="TimesNewRomanPSMT" w:cstheme="minorHAnsi"/>
        </w:rPr>
        <w:t xml:space="preserve">Paul De </w:t>
      </w:r>
      <w:proofErr w:type="spellStart"/>
      <w:r w:rsidRPr="00207115">
        <w:rPr>
          <w:rFonts w:eastAsia="TimesNewRomanPSMT" w:cstheme="minorHAnsi"/>
        </w:rPr>
        <w:t>Hert</w:t>
      </w:r>
      <w:proofErr w:type="spellEnd"/>
      <w:r w:rsidRPr="00207115">
        <w:rPr>
          <w:rFonts w:eastAsia="TimesNewRomanPSMT" w:cstheme="minorHAnsi"/>
        </w:rPr>
        <w:t xml:space="preserve">, Serge </w:t>
      </w:r>
      <w:proofErr w:type="spellStart"/>
      <w:r w:rsidRPr="00207115">
        <w:rPr>
          <w:rFonts w:eastAsia="TimesNewRomanPSMT" w:cstheme="minorHAnsi"/>
        </w:rPr>
        <w:t>Gutwirth</w:t>
      </w:r>
      <w:proofErr w:type="spellEnd"/>
      <w:r w:rsidRPr="00207115">
        <w:rPr>
          <w:rFonts w:eastAsia="TimesNewRomanPSMT" w:cstheme="minorHAnsi"/>
        </w:rPr>
        <w:t>, ‘</w:t>
      </w:r>
      <w:r w:rsidRPr="00207115">
        <w:rPr>
          <w:rFonts w:eastAsia="TimesNewRomanPSMT" w:cstheme="minorHAnsi"/>
          <w:iCs/>
        </w:rPr>
        <w:t xml:space="preserve">Data Protection in the Case Law of Strasbourg and Luxembourg: </w:t>
      </w:r>
      <w:proofErr w:type="spellStart"/>
      <w:r w:rsidRPr="00207115">
        <w:rPr>
          <w:rFonts w:eastAsia="TimesNewRomanPSMT" w:cstheme="minorHAnsi"/>
          <w:iCs/>
        </w:rPr>
        <w:t>Constitutionalisation</w:t>
      </w:r>
      <w:proofErr w:type="spellEnd"/>
      <w:r w:rsidRPr="00207115">
        <w:rPr>
          <w:rFonts w:eastAsia="TimesNewRomanPSMT" w:cstheme="minorHAnsi"/>
          <w:iCs/>
        </w:rPr>
        <w:t xml:space="preserve"> in Action</w:t>
      </w:r>
      <w:r w:rsidRPr="00207115">
        <w:rPr>
          <w:rFonts w:eastAsia="TimesNewRomanPSMT" w:cstheme="minorHAnsi"/>
        </w:rPr>
        <w:t xml:space="preserve">’ in Serge </w:t>
      </w:r>
      <w:proofErr w:type="spellStart"/>
      <w:r w:rsidRPr="00207115">
        <w:rPr>
          <w:rFonts w:eastAsia="TimesNewRomanPSMT" w:cstheme="minorHAnsi"/>
        </w:rPr>
        <w:t>Gutwirth</w:t>
      </w:r>
      <w:proofErr w:type="spellEnd"/>
      <w:r w:rsidRPr="00207115">
        <w:rPr>
          <w:rFonts w:eastAsia="TimesNewRomanPSMT" w:cstheme="minorHAnsi"/>
        </w:rPr>
        <w:t>,</w:t>
      </w:r>
      <w:r w:rsidRPr="00207115">
        <w:rPr>
          <w:rFonts w:eastAsia="Times New Roman" w:cstheme="minorHAnsi"/>
          <w:lang w:eastAsia="en-GB"/>
        </w:rPr>
        <w:t xml:space="preserve"> Yves </w:t>
      </w:r>
      <w:proofErr w:type="spellStart"/>
      <w:r w:rsidRPr="00207115">
        <w:rPr>
          <w:rFonts w:eastAsia="Times New Roman" w:cstheme="minorHAnsi"/>
          <w:lang w:eastAsia="en-GB"/>
        </w:rPr>
        <w:t>Poullet</w:t>
      </w:r>
      <w:proofErr w:type="spellEnd"/>
      <w:r w:rsidRPr="00207115">
        <w:rPr>
          <w:rFonts w:eastAsia="Times New Roman" w:cstheme="minorHAnsi"/>
          <w:lang w:eastAsia="en-GB"/>
        </w:rPr>
        <w:t>, Paul De </w:t>
      </w:r>
      <w:proofErr w:type="spellStart"/>
      <w:r w:rsidRPr="00207115">
        <w:rPr>
          <w:rFonts w:eastAsia="Times New Roman" w:cstheme="minorHAnsi"/>
          <w:lang w:eastAsia="en-GB"/>
        </w:rPr>
        <w:t>Hert</w:t>
      </w:r>
      <w:proofErr w:type="spellEnd"/>
      <w:r w:rsidRPr="00207115">
        <w:rPr>
          <w:rFonts w:eastAsia="Times New Roman" w:cstheme="minorHAnsi"/>
          <w:lang w:eastAsia="en-GB"/>
        </w:rPr>
        <w:t>, Cécile de </w:t>
      </w:r>
      <w:proofErr w:type="spellStart"/>
      <w:r w:rsidRPr="00207115">
        <w:rPr>
          <w:rFonts w:eastAsia="Times New Roman" w:cstheme="minorHAnsi"/>
          <w:lang w:eastAsia="en-GB"/>
        </w:rPr>
        <w:t>Terwangne</w:t>
      </w:r>
      <w:proofErr w:type="spellEnd"/>
      <w:r w:rsidRPr="00207115">
        <w:rPr>
          <w:rFonts w:eastAsia="Times New Roman" w:cstheme="minorHAnsi"/>
          <w:lang w:eastAsia="en-GB"/>
        </w:rPr>
        <w:t xml:space="preserve">, </w:t>
      </w:r>
      <w:proofErr w:type="spellStart"/>
      <w:r w:rsidRPr="00207115">
        <w:rPr>
          <w:rFonts w:eastAsia="Times New Roman" w:cstheme="minorHAnsi"/>
          <w:lang w:eastAsia="en-GB"/>
        </w:rPr>
        <w:t>Sjaak</w:t>
      </w:r>
      <w:proofErr w:type="spellEnd"/>
      <w:r w:rsidRPr="00207115">
        <w:rPr>
          <w:rFonts w:eastAsia="Times New Roman" w:cstheme="minorHAnsi"/>
          <w:lang w:eastAsia="en-GB"/>
        </w:rPr>
        <w:t> </w:t>
      </w:r>
      <w:proofErr w:type="spellStart"/>
      <w:r w:rsidRPr="00207115">
        <w:rPr>
          <w:rFonts w:eastAsia="Times New Roman" w:cstheme="minorHAnsi"/>
          <w:lang w:eastAsia="en-GB"/>
        </w:rPr>
        <w:t>Nouwt</w:t>
      </w:r>
      <w:r w:rsidRPr="00207115">
        <w:rPr>
          <w:rFonts w:eastAsia="TimesNewRomanPSMT" w:cstheme="minorHAnsi"/>
        </w:rPr>
        <w:t>eds</w:t>
      </w:r>
      <w:proofErr w:type="spellEnd"/>
      <w:r w:rsidRPr="00207115">
        <w:rPr>
          <w:rFonts w:eastAsia="TimesNewRomanPSMT" w:cstheme="minorHAnsi"/>
        </w:rPr>
        <w:t xml:space="preserve"> (eds), </w:t>
      </w:r>
      <w:r w:rsidRPr="00207115">
        <w:rPr>
          <w:rFonts w:eastAsia="TimesNewRomanPSMT" w:cstheme="minorHAnsi"/>
          <w:i/>
          <w:iCs/>
        </w:rPr>
        <w:t>Reinventing Data Protection?</w:t>
      </w:r>
      <w:r w:rsidRPr="00207115">
        <w:rPr>
          <w:rFonts w:eastAsia="TimesNewRomanPSMT" w:cstheme="minorHAnsi"/>
        </w:rPr>
        <w:t xml:space="preserve"> (Springer 2009) 3,</w:t>
      </w:r>
      <w:r w:rsidRPr="00207115">
        <w:rPr>
          <w:rFonts w:cstheme="minorHAnsi"/>
        </w:rPr>
        <w:t xml:space="preserve"> 5f, commenting on the Council of Europe’s adoption of the Convention for the Protection of Individuals </w:t>
      </w:r>
      <w:proofErr w:type="gramStart"/>
      <w:r w:rsidRPr="00207115">
        <w:rPr>
          <w:rFonts w:cstheme="minorHAnsi"/>
        </w:rPr>
        <w:t>with regard to</w:t>
      </w:r>
      <w:proofErr w:type="gramEnd"/>
      <w:r w:rsidRPr="00207115">
        <w:rPr>
          <w:rFonts w:cstheme="minorHAnsi"/>
        </w:rPr>
        <w:t xml:space="preserve"> automatic processing of personal data (ETS No 108, 28 January 1981) in response to the perceived limitations of Art 8 (the definition of ‘private life’ and the vertical nature of the protection) in the early 1970s. </w:t>
      </w:r>
    </w:p>
  </w:footnote>
  <w:footnote w:id="73">
    <w:p w14:paraId="2C6DC747" w14:textId="6CC07411"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Whilst the GDPR requires the balancing of rights held by ‘private’ actors and public interests, including public health, national </w:t>
      </w:r>
      <w:proofErr w:type="gramStart"/>
      <w:r w:rsidRPr="00207115">
        <w:rPr>
          <w:rFonts w:cstheme="minorHAnsi"/>
        </w:rPr>
        <w:t>security</w:t>
      </w:r>
      <w:proofErr w:type="gramEnd"/>
      <w:r w:rsidRPr="00207115">
        <w:rPr>
          <w:rFonts w:cstheme="minorHAnsi"/>
        </w:rPr>
        <w:t xml:space="preserve"> and law enforcement, this in fact is consistent with the Continental tradition in so far as privacy is asserted against private actors, and not just against the State. </w:t>
      </w:r>
    </w:p>
  </w:footnote>
  <w:footnote w:id="74">
    <w:p w14:paraId="586ED97D" w14:textId="5F0AC536"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Contrast to English law, </w:t>
      </w:r>
      <w:proofErr w:type="gramStart"/>
      <w:r w:rsidRPr="00207115">
        <w:rPr>
          <w:rFonts w:cstheme="minorHAnsi"/>
        </w:rPr>
        <w:t>e.g.</w:t>
      </w:r>
      <w:proofErr w:type="gramEnd"/>
      <w:r w:rsidRPr="00207115">
        <w:rPr>
          <w:rFonts w:cstheme="minorHAnsi"/>
        </w:rPr>
        <w:t xml:space="preserve"> </w:t>
      </w:r>
      <w:r w:rsidRPr="00207115">
        <w:rPr>
          <w:rFonts w:cstheme="minorHAnsi"/>
          <w:i/>
        </w:rPr>
        <w:t xml:space="preserve">Douglas &amp; </w:t>
      </w:r>
      <w:proofErr w:type="spellStart"/>
      <w:r w:rsidRPr="00207115">
        <w:rPr>
          <w:rFonts w:cstheme="minorHAnsi"/>
          <w:i/>
        </w:rPr>
        <w:t>Ors</w:t>
      </w:r>
      <w:proofErr w:type="spellEnd"/>
      <w:r w:rsidRPr="00207115">
        <w:rPr>
          <w:rFonts w:cstheme="minorHAnsi"/>
          <w:i/>
        </w:rPr>
        <w:t xml:space="preserve"> v. Hello! Ltd &amp; </w:t>
      </w:r>
      <w:proofErr w:type="spellStart"/>
      <w:r w:rsidRPr="00207115">
        <w:rPr>
          <w:rFonts w:cstheme="minorHAnsi"/>
          <w:i/>
        </w:rPr>
        <w:t>Ors</w:t>
      </w:r>
      <w:proofErr w:type="spellEnd"/>
      <w:r w:rsidRPr="00207115">
        <w:rPr>
          <w:rFonts w:cstheme="minorHAnsi"/>
        </w:rPr>
        <w:t xml:space="preserve"> [2007] UKHL 21, para 83 (relying on </w:t>
      </w:r>
      <w:r w:rsidRPr="00207115">
        <w:rPr>
          <w:rStyle w:val="reference-text"/>
          <w:rFonts w:cstheme="minorHAnsi"/>
          <w:i/>
          <w:iCs/>
        </w:rPr>
        <w:t>Coco v A N Clark (Engineers) Ltd</w:t>
      </w:r>
      <w:r w:rsidRPr="00207115">
        <w:rPr>
          <w:rStyle w:val="reference-text"/>
          <w:rFonts w:cstheme="minorHAnsi"/>
        </w:rPr>
        <w:t xml:space="preserve"> [1969] RPC 41): </w:t>
      </w:r>
      <w:bookmarkStart w:id="13" w:name="para83"/>
      <w:r w:rsidRPr="00207115">
        <w:rPr>
          <w:rStyle w:val="reference-text"/>
          <w:rFonts w:cstheme="minorHAnsi"/>
        </w:rPr>
        <w:t>‘</w:t>
      </w:r>
      <w:r w:rsidRPr="00207115">
        <w:rPr>
          <w:rFonts w:cstheme="minorHAnsi"/>
        </w:rPr>
        <w:t xml:space="preserve">for the adjective 'confidential' one can substitute the word 'private'. What is the nature of 'private information?' It seems to us that it must include information that is personal to the person who possesses it and that he does not intend shall be imparted to the </w:t>
      </w:r>
      <w:proofErr w:type="gramStart"/>
      <w:r w:rsidRPr="00207115">
        <w:rPr>
          <w:rFonts w:cstheme="minorHAnsi"/>
        </w:rPr>
        <w:t>general public</w:t>
      </w:r>
      <w:bookmarkEnd w:id="13"/>
      <w:proofErr w:type="gramEnd"/>
      <w:r w:rsidRPr="00207115">
        <w:rPr>
          <w:rFonts w:cstheme="minorHAnsi"/>
        </w:rPr>
        <w:t xml:space="preserve">.’ This is consistent with the traditional approach under Art 8 (discussed below) and was also endorsed by the CJEU, for example, </w:t>
      </w:r>
      <w:proofErr w:type="gramStart"/>
      <w:r w:rsidRPr="00207115">
        <w:rPr>
          <w:rFonts w:cstheme="minorHAnsi"/>
        </w:rPr>
        <w:t xml:space="preserve">in  </w:t>
      </w:r>
      <w:r w:rsidRPr="00207115">
        <w:rPr>
          <w:rFonts w:cstheme="minorHAnsi"/>
          <w:i/>
        </w:rPr>
        <w:t>In</w:t>
      </w:r>
      <w:proofErr w:type="gramEnd"/>
      <w:r w:rsidRPr="00207115">
        <w:rPr>
          <w:rFonts w:cstheme="minorHAnsi"/>
          <w:i/>
        </w:rPr>
        <w:t xml:space="preserve"> Joined Cases</w:t>
      </w:r>
      <w:r w:rsidRPr="00207115">
        <w:rPr>
          <w:rFonts w:cstheme="minorHAnsi"/>
        </w:rPr>
        <w:t xml:space="preserve"> C-465/00, C-138/01 and C-139/01 (CJEU, 20 May 2003, </w:t>
      </w:r>
      <w:r w:rsidRPr="00207115">
        <w:rPr>
          <w:rStyle w:val="outputecli"/>
          <w:rFonts w:cstheme="minorHAnsi"/>
        </w:rPr>
        <w:t>ECLI:EU:C:2003:294)</w:t>
      </w:r>
      <w:r w:rsidRPr="00207115">
        <w:rPr>
          <w:rFonts w:cstheme="minorHAnsi"/>
        </w:rPr>
        <w:t xml:space="preserve"> para 74-75. See also discussion in </w:t>
      </w:r>
      <w:proofErr w:type="spellStart"/>
      <w:r w:rsidRPr="00207115">
        <w:rPr>
          <w:rFonts w:cstheme="minorHAnsi"/>
        </w:rPr>
        <w:t>Markesinis</w:t>
      </w:r>
      <w:proofErr w:type="spellEnd"/>
      <w:r w:rsidRPr="00207115">
        <w:rPr>
          <w:rFonts w:cstheme="minorHAnsi"/>
        </w:rPr>
        <w:t xml:space="preserve"> (</w:t>
      </w:r>
      <w:r w:rsidR="001F5F2B" w:rsidRPr="00207115">
        <w:rPr>
          <w:rFonts w:cstheme="minorHAnsi"/>
        </w:rPr>
        <w:t>n 1</w:t>
      </w:r>
      <w:r w:rsidRPr="00207115">
        <w:rPr>
          <w:rFonts w:cstheme="minorHAnsi"/>
        </w:rPr>
        <w:t>) 162ff.</w:t>
      </w:r>
    </w:p>
  </w:footnote>
  <w:footnote w:id="75">
    <w:p w14:paraId="662D704E" w14:textId="35D1849F"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Note some types of sensitive personal data under the GDPR are data that would traditionally be considered private and thus confidential </w:t>
      </w:r>
      <w:proofErr w:type="gramStart"/>
      <w:r w:rsidRPr="00207115">
        <w:rPr>
          <w:rFonts w:cstheme="minorHAnsi"/>
        </w:rPr>
        <w:t>e.g.</w:t>
      </w:r>
      <w:proofErr w:type="gramEnd"/>
      <w:r w:rsidRPr="00207115">
        <w:rPr>
          <w:rFonts w:cstheme="minorHAnsi"/>
        </w:rPr>
        <w:t xml:space="preserve"> ‘data concerning health or data concerning a natural person's sex life or sexual orientation shall be prohibited.’</w:t>
      </w:r>
    </w:p>
  </w:footnote>
  <w:footnote w:id="76">
    <w:p w14:paraId="6775C664" w14:textId="75091060" w:rsidR="00C75CA9" w:rsidRPr="00207115" w:rsidRDefault="00C75CA9">
      <w:pPr>
        <w:autoSpaceDE w:val="0"/>
        <w:autoSpaceDN w:val="0"/>
        <w:adjustRightInd w:val="0"/>
        <w:spacing w:after="0" w:line="240" w:lineRule="auto"/>
        <w:jc w:val="both"/>
        <w:rPr>
          <w:rFonts w:cstheme="minorHAnsi"/>
          <w:sz w:val="20"/>
          <w:szCs w:val="20"/>
        </w:rPr>
      </w:pPr>
      <w:r w:rsidRPr="00207115">
        <w:rPr>
          <w:rStyle w:val="FootnoteReference"/>
          <w:rFonts w:cstheme="minorHAnsi"/>
          <w:sz w:val="20"/>
          <w:szCs w:val="20"/>
        </w:rPr>
        <w:footnoteRef/>
      </w:r>
      <w:r w:rsidRPr="00207115">
        <w:rPr>
          <w:rFonts w:cstheme="minorHAnsi"/>
          <w:sz w:val="20"/>
          <w:szCs w:val="20"/>
        </w:rPr>
        <w:t xml:space="preserve"> Art 9 of the GDPR, formerly Art 8 of the European Parliament and Council Directive 95/46/EC on the protection of individuals </w:t>
      </w:r>
      <w:proofErr w:type="gramStart"/>
      <w:r w:rsidRPr="00207115">
        <w:rPr>
          <w:rFonts w:cstheme="minorHAnsi"/>
          <w:sz w:val="20"/>
          <w:szCs w:val="20"/>
        </w:rPr>
        <w:t>with regard to</w:t>
      </w:r>
      <w:proofErr w:type="gramEnd"/>
      <w:r w:rsidRPr="00207115">
        <w:rPr>
          <w:rFonts w:cstheme="minorHAnsi"/>
          <w:sz w:val="20"/>
          <w:szCs w:val="20"/>
        </w:rPr>
        <w:t xml:space="preserve"> the processing of personal data and on the free movement of such data, OJ 1995 L 281/31 [hereafter Data Protection Directive].</w:t>
      </w:r>
    </w:p>
  </w:footnote>
  <w:footnote w:id="77">
    <w:p w14:paraId="6EF6D5D2" w14:textId="5CEEAF24"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Art 9(1) of the GDPR.</w:t>
      </w:r>
    </w:p>
  </w:footnote>
  <w:footnote w:id="78">
    <w:p w14:paraId="1D37AE24" w14:textId="3B3C8262"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Cf De </w:t>
      </w:r>
      <w:proofErr w:type="spellStart"/>
      <w:r w:rsidRPr="00207115">
        <w:rPr>
          <w:rFonts w:cstheme="minorHAnsi"/>
        </w:rPr>
        <w:t>Hert</w:t>
      </w:r>
      <w:proofErr w:type="spellEnd"/>
      <w:r w:rsidRPr="00207115">
        <w:rPr>
          <w:rFonts w:cstheme="minorHAnsi"/>
        </w:rPr>
        <w:t xml:space="preserve"> (n 7</w:t>
      </w:r>
      <w:r w:rsidR="001F5F2B" w:rsidRPr="00207115">
        <w:rPr>
          <w:rFonts w:cstheme="minorHAnsi"/>
        </w:rPr>
        <w:t>7</w:t>
      </w:r>
      <w:r w:rsidRPr="00207115">
        <w:rPr>
          <w:rFonts w:cstheme="minorHAnsi"/>
        </w:rPr>
        <w:t>) 6, 10.</w:t>
      </w:r>
    </w:p>
  </w:footnote>
  <w:footnote w:id="79">
    <w:p w14:paraId="4E2A7E34" w14:textId="652231DD"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The ‘purpose limitation principle’ – see Art 5(1)(b) of the GDPR but note as ‘purpose limitation’ is a central concept in data protection law, it appears with high frequency in the Regulation.  </w:t>
      </w:r>
    </w:p>
  </w:footnote>
  <w:footnote w:id="80">
    <w:p w14:paraId="4F386196" w14:textId="1B62B44F"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t>
      </w:r>
      <w:r w:rsidRPr="00207115">
        <w:rPr>
          <w:rFonts w:cstheme="minorHAnsi"/>
          <w:i/>
        </w:rPr>
        <w:t>Google Spain</w:t>
      </w:r>
      <w:r w:rsidRPr="00207115">
        <w:rPr>
          <w:rFonts w:cstheme="minorHAnsi"/>
        </w:rPr>
        <w:t xml:space="preserve"> (n </w:t>
      </w:r>
      <w:r w:rsidR="000238D8" w:rsidRPr="00207115">
        <w:rPr>
          <w:rFonts w:cstheme="minorHAnsi"/>
        </w:rPr>
        <w:t>7</w:t>
      </w:r>
      <w:r w:rsidRPr="00207115">
        <w:rPr>
          <w:rFonts w:cstheme="minorHAnsi"/>
        </w:rPr>
        <w:t>).</w:t>
      </w:r>
    </w:p>
  </w:footnote>
  <w:footnote w:id="81">
    <w:p w14:paraId="6AE2F209" w14:textId="224DA46D"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Art 14 and Art 12(b) of the Data Protection Directive 95/46/EC. </w:t>
      </w:r>
    </w:p>
  </w:footnote>
  <w:footnote w:id="82">
    <w:p w14:paraId="1F6C3084" w14:textId="34ABF1D9"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t>
      </w:r>
      <w:r w:rsidRPr="00207115">
        <w:rPr>
          <w:rFonts w:cstheme="minorHAnsi"/>
          <w:i/>
          <w:iCs/>
        </w:rPr>
        <w:t>Google Spain</w:t>
      </w:r>
      <w:r w:rsidRPr="00207115">
        <w:rPr>
          <w:rFonts w:cstheme="minorHAnsi"/>
        </w:rPr>
        <w:t xml:space="preserve"> (n </w:t>
      </w:r>
      <w:r w:rsidR="000238D8" w:rsidRPr="00207115">
        <w:rPr>
          <w:rFonts w:cstheme="minorHAnsi"/>
        </w:rPr>
        <w:t>7</w:t>
      </w:r>
      <w:r w:rsidRPr="00207115">
        <w:rPr>
          <w:rFonts w:cstheme="minorHAnsi"/>
        </w:rPr>
        <w:t>) para 36.</w:t>
      </w:r>
    </w:p>
  </w:footnote>
  <w:footnote w:id="83">
    <w:p w14:paraId="148E0B80" w14:textId="0976F650"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ibid para 85-87.</w:t>
      </w:r>
    </w:p>
  </w:footnote>
  <w:footnote w:id="84">
    <w:p w14:paraId="285BF548" w14:textId="33D42338"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Google, </w:t>
      </w:r>
      <w:r w:rsidRPr="00207115">
        <w:rPr>
          <w:rFonts w:cstheme="minorHAnsi"/>
          <w:i/>
        </w:rPr>
        <w:t>Google’s Transparency Report</w:t>
      </w:r>
      <w:r w:rsidRPr="00207115">
        <w:rPr>
          <w:rFonts w:cstheme="minorHAnsi"/>
        </w:rPr>
        <w:t xml:space="preserve"> (accessed August 2021) &lt;</w:t>
      </w:r>
      <w:hyperlink r:id="rId1" w:history="1">
        <w:r w:rsidRPr="00207115">
          <w:rPr>
            <w:rStyle w:val="Hyperlink"/>
            <w:rFonts w:cstheme="minorHAnsi"/>
          </w:rPr>
          <w:t>https://transparencyreport.google.com/eu-privacy/overview?hl=en_GB</w:t>
        </w:r>
      </w:hyperlink>
      <w:r w:rsidRPr="00207115">
        <w:rPr>
          <w:rStyle w:val="Hyperlink"/>
          <w:rFonts w:cstheme="minorHAnsi"/>
        </w:rPr>
        <w:t>&gt;</w:t>
      </w:r>
      <w:r w:rsidRPr="00207115">
        <w:rPr>
          <w:rFonts w:cstheme="minorHAnsi"/>
        </w:rPr>
        <w:t xml:space="preserve"> ; for a brief account of the factors taken into account by Google, see </w:t>
      </w:r>
      <w:r w:rsidRPr="00207115">
        <w:rPr>
          <w:rStyle w:val="Emphasis"/>
          <w:rFonts w:cstheme="minorHAnsi"/>
        </w:rPr>
        <w:t xml:space="preserve">NT1 &amp; NT2 v Google LLC </w:t>
      </w:r>
      <w:r w:rsidRPr="00207115">
        <w:rPr>
          <w:rFonts w:cstheme="minorHAnsi"/>
          <w:i/>
        </w:rPr>
        <w:t>(The Information Commissioner intervening)</w:t>
      </w:r>
      <w:r w:rsidRPr="00207115">
        <w:rPr>
          <w:rFonts w:cstheme="minorHAnsi"/>
        </w:rPr>
        <w:t xml:space="preserve"> [2018] EWHC 799 (QB) para 131.</w:t>
      </w:r>
    </w:p>
  </w:footnote>
  <w:footnote w:id="85">
    <w:p w14:paraId="6ADDA571" w14:textId="6C57F21C"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Sylvia Tippman, Julia Powles, ‘Google has accidentally revealed detailed information of nearly 220,000 ‘right to be forgotten’ requests’ </w:t>
      </w:r>
      <w:r w:rsidRPr="00207115">
        <w:rPr>
          <w:rFonts w:cstheme="minorHAnsi"/>
          <w:i/>
        </w:rPr>
        <w:t>The Guardian</w:t>
      </w:r>
      <w:r w:rsidRPr="00207115">
        <w:rPr>
          <w:rFonts w:cstheme="minorHAnsi"/>
        </w:rPr>
        <w:t xml:space="preserve"> (14 July 2015): ‘These include a woman whose name appeared in prominent news articles after her husband died, another seeking removal of her address, and an individual who contracted HIV a decade ago.’</w:t>
      </w:r>
    </w:p>
  </w:footnote>
  <w:footnote w:id="86">
    <w:p w14:paraId="5420DB88" w14:textId="1507BE20"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The social aspect of privacy has been acknowledged, for example, in </w:t>
      </w:r>
      <w:proofErr w:type="spellStart"/>
      <w:r w:rsidRPr="00207115">
        <w:rPr>
          <w:rFonts w:cstheme="minorHAnsi"/>
          <w:i/>
        </w:rPr>
        <w:t>Botta</w:t>
      </w:r>
      <w:proofErr w:type="spellEnd"/>
      <w:r w:rsidRPr="00207115">
        <w:rPr>
          <w:rFonts w:cstheme="minorHAnsi"/>
          <w:i/>
        </w:rPr>
        <w:t xml:space="preserve"> v Italy</w:t>
      </w:r>
      <w:r w:rsidRPr="00207115">
        <w:rPr>
          <w:rFonts w:cstheme="minorHAnsi"/>
        </w:rPr>
        <w:t xml:space="preserve"> (1998) 26 EHRR 241, para 32, referring to ‘the development, without outside interference, of the personality of each individual in his relations with other human beings.’ </w:t>
      </w:r>
    </w:p>
  </w:footnote>
  <w:footnote w:id="87">
    <w:p w14:paraId="1B5F8DCD" w14:textId="0E994F15" w:rsidR="00C75CA9" w:rsidRPr="00207115" w:rsidRDefault="00C75CA9">
      <w:pPr>
        <w:autoSpaceDE w:val="0"/>
        <w:autoSpaceDN w:val="0"/>
        <w:adjustRightInd w:val="0"/>
        <w:spacing w:after="0" w:line="240" w:lineRule="auto"/>
        <w:jc w:val="both"/>
        <w:rPr>
          <w:rFonts w:cstheme="minorHAnsi"/>
          <w:sz w:val="20"/>
          <w:szCs w:val="20"/>
        </w:rPr>
      </w:pPr>
      <w:r w:rsidRPr="00207115">
        <w:rPr>
          <w:rStyle w:val="FootnoteReference"/>
          <w:rFonts w:cstheme="minorHAnsi"/>
          <w:sz w:val="20"/>
          <w:szCs w:val="20"/>
        </w:rPr>
        <w:footnoteRef/>
      </w:r>
      <w:r w:rsidRPr="00207115">
        <w:rPr>
          <w:rFonts w:cstheme="minorHAnsi"/>
          <w:sz w:val="20"/>
          <w:szCs w:val="20"/>
        </w:rPr>
        <w:t xml:space="preserve"> JC </w:t>
      </w:r>
      <w:proofErr w:type="spellStart"/>
      <w:r w:rsidRPr="00207115">
        <w:rPr>
          <w:rFonts w:cstheme="minorHAnsi"/>
          <w:sz w:val="20"/>
          <w:szCs w:val="20"/>
        </w:rPr>
        <w:t>Buitelaar</w:t>
      </w:r>
      <w:proofErr w:type="spellEnd"/>
      <w:r w:rsidRPr="00207115">
        <w:rPr>
          <w:rFonts w:cstheme="minorHAnsi"/>
          <w:sz w:val="20"/>
          <w:szCs w:val="20"/>
        </w:rPr>
        <w:t xml:space="preserve">, ‘Post-mortem Privacy and information self-determination’ (2017) 19 </w:t>
      </w:r>
      <w:r w:rsidRPr="00207115">
        <w:rPr>
          <w:rFonts w:cstheme="minorHAnsi"/>
          <w:i/>
          <w:sz w:val="20"/>
          <w:szCs w:val="20"/>
        </w:rPr>
        <w:t>Ethics Information Technology</w:t>
      </w:r>
      <w:r w:rsidRPr="00207115">
        <w:rPr>
          <w:rFonts w:cstheme="minorHAnsi"/>
          <w:sz w:val="20"/>
          <w:szCs w:val="20"/>
        </w:rPr>
        <w:t xml:space="preserve"> 129, 137; see also Feinberg (</w:t>
      </w:r>
      <w:r w:rsidR="001F5F2B" w:rsidRPr="00207115">
        <w:rPr>
          <w:rFonts w:cstheme="minorHAnsi"/>
          <w:sz w:val="20"/>
          <w:szCs w:val="20"/>
        </w:rPr>
        <w:t>n 2</w:t>
      </w:r>
      <w:r w:rsidRPr="00207115">
        <w:rPr>
          <w:rFonts w:cstheme="minorHAnsi"/>
          <w:sz w:val="20"/>
          <w:szCs w:val="20"/>
        </w:rPr>
        <w:t xml:space="preserve">) 478; Derek Parfit, 'Later selves and moral principles' in Alan Montefiore (ed), </w:t>
      </w:r>
      <w:r w:rsidRPr="00207115">
        <w:rPr>
          <w:rStyle w:val="Emphasis"/>
          <w:rFonts w:cstheme="minorHAnsi"/>
          <w:sz w:val="20"/>
          <w:szCs w:val="20"/>
        </w:rPr>
        <w:t xml:space="preserve">Philosophy and personal relations: </w:t>
      </w:r>
      <w:proofErr w:type="gramStart"/>
      <w:r w:rsidRPr="00207115">
        <w:rPr>
          <w:rStyle w:val="Emphasis"/>
          <w:rFonts w:cstheme="minorHAnsi"/>
          <w:sz w:val="20"/>
          <w:szCs w:val="20"/>
        </w:rPr>
        <w:t>an</w:t>
      </w:r>
      <w:proofErr w:type="gramEnd"/>
      <w:r w:rsidRPr="00207115">
        <w:rPr>
          <w:rStyle w:val="Emphasis"/>
          <w:rFonts w:cstheme="minorHAnsi"/>
          <w:sz w:val="20"/>
          <w:szCs w:val="20"/>
        </w:rPr>
        <w:t xml:space="preserve"> French Study </w:t>
      </w:r>
      <w:r w:rsidRPr="00207115">
        <w:rPr>
          <w:rStyle w:val="Emphasis"/>
          <w:rFonts w:cstheme="minorHAnsi"/>
          <w:i w:val="0"/>
          <w:sz w:val="20"/>
          <w:szCs w:val="20"/>
        </w:rPr>
        <w:t>(</w:t>
      </w:r>
      <w:r w:rsidRPr="00207115">
        <w:rPr>
          <w:rFonts w:cstheme="minorHAnsi"/>
          <w:sz w:val="20"/>
          <w:szCs w:val="20"/>
        </w:rPr>
        <w:t>Routledge &amp; Kegan Paul 1973) 137ff.</w:t>
      </w:r>
    </w:p>
  </w:footnote>
  <w:footnote w:id="88">
    <w:p w14:paraId="28708A85" w14:textId="47A61C91"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For example, in the UK Rehabilitation of Offender Act 1974. Note, in the UK the effect of rehabilitation in terms of the right to be forgotten is limited, partly, by virtue that not all offences fall within the remit of the Act and partly, by virtue of judicial authority to the effect that a conviction being spent does not necessarily coincide with a privacy entitlement, but is merely a factor which goes towards it: </w:t>
      </w:r>
      <w:proofErr w:type="spellStart"/>
      <w:r w:rsidRPr="00207115">
        <w:rPr>
          <w:rFonts w:cstheme="minorHAnsi"/>
          <w:i/>
          <w:iCs/>
        </w:rPr>
        <w:t>Gaughran</w:t>
      </w:r>
      <w:proofErr w:type="spellEnd"/>
      <w:r w:rsidRPr="00207115">
        <w:rPr>
          <w:rFonts w:cstheme="minorHAnsi"/>
          <w:i/>
          <w:iCs/>
        </w:rPr>
        <w:t xml:space="preserve"> v Chief Constable for the Police Service of Northern Ireland </w:t>
      </w:r>
      <w:r w:rsidRPr="00207115">
        <w:rPr>
          <w:rFonts w:cstheme="minorHAnsi"/>
        </w:rPr>
        <w:t xml:space="preserve">[2015] UKSC 29; see also </w:t>
      </w:r>
      <w:r w:rsidRPr="00207115">
        <w:rPr>
          <w:rFonts w:cstheme="minorHAnsi"/>
          <w:i/>
        </w:rPr>
        <w:t>dicta</w:t>
      </w:r>
      <w:r w:rsidRPr="00207115">
        <w:rPr>
          <w:rFonts w:cstheme="minorHAnsi"/>
        </w:rPr>
        <w:t xml:space="preserve"> in </w:t>
      </w:r>
      <w:r w:rsidRPr="00207115">
        <w:rPr>
          <w:rFonts w:cstheme="minorHAnsi"/>
          <w:i/>
          <w:iCs/>
        </w:rPr>
        <w:t xml:space="preserve">R (T) v Chief Constable of Greater Manchester Police </w:t>
      </w:r>
      <w:r w:rsidRPr="00207115">
        <w:rPr>
          <w:rFonts w:cstheme="minorHAnsi"/>
        </w:rPr>
        <w:t>[2014] UKSC 35 [2015] AC 49, para 18: ‘the point at which a conviction … recedes into the past and becomes part of a person’s private life will usually be the point at which it becomes spent under the 1974 Act.</w:t>
      </w:r>
      <w:bookmarkStart w:id="15" w:name="para18"/>
      <w:r w:rsidRPr="00207115">
        <w:rPr>
          <w:rFonts w:cstheme="minorHAnsi"/>
        </w:rPr>
        <w:t xml:space="preserve"> It is a neat and logical suggestion which this court should adopt</w:t>
      </w:r>
      <w:bookmarkEnd w:id="15"/>
      <w:r w:rsidRPr="00207115">
        <w:rPr>
          <w:rFonts w:cstheme="minorHAnsi"/>
        </w:rPr>
        <w:t>.’</w:t>
      </w:r>
    </w:p>
  </w:footnote>
  <w:footnote w:id="89">
    <w:p w14:paraId="0890E394" w14:textId="3C594B85"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For similar earlier domestic provisions, see </w:t>
      </w:r>
      <w:proofErr w:type="spellStart"/>
      <w:r w:rsidRPr="00207115">
        <w:rPr>
          <w:rFonts w:cstheme="minorHAnsi"/>
          <w:i/>
          <w:iCs/>
        </w:rPr>
        <w:t>Segerstedt-Wiberg</w:t>
      </w:r>
      <w:proofErr w:type="spellEnd"/>
      <w:r w:rsidRPr="00207115">
        <w:rPr>
          <w:rFonts w:cstheme="minorHAnsi"/>
          <w:i/>
          <w:iCs/>
        </w:rPr>
        <w:t xml:space="preserve"> and Others v Sweden</w:t>
      </w:r>
      <w:r w:rsidRPr="00207115">
        <w:rPr>
          <w:rFonts w:cstheme="minorHAnsi"/>
        </w:rPr>
        <w:t xml:space="preserve">, no. 62332/00, ECHR 2006-VII) and </w:t>
      </w:r>
      <w:proofErr w:type="spellStart"/>
      <w:r w:rsidRPr="00207115">
        <w:rPr>
          <w:rFonts w:cstheme="minorHAnsi"/>
          <w:i/>
          <w:iCs/>
        </w:rPr>
        <w:t>Österreichischer</w:t>
      </w:r>
      <w:proofErr w:type="spellEnd"/>
      <w:r w:rsidRPr="00207115">
        <w:rPr>
          <w:rFonts w:cstheme="minorHAnsi"/>
          <w:i/>
          <w:iCs/>
        </w:rPr>
        <w:t xml:space="preserve"> Rundfunk v Austria </w:t>
      </w:r>
      <w:r w:rsidRPr="00207115">
        <w:rPr>
          <w:rFonts w:cstheme="minorHAnsi"/>
        </w:rPr>
        <w:t>(ECtHR, No 35841/02, 7 December 2006). The latter case concerned s.7a of the Media Act (Austria):  ‘Where publication is made, through any medium, of a name, image or other particulars which are likely to lead to the disclosure to a larger not directly informed circle of people of the identity of a person who… has been the victim of an offence punishable by the courts</w:t>
      </w:r>
      <w:r w:rsidRPr="00207115" w:rsidDel="00CF7717">
        <w:rPr>
          <w:rFonts w:cstheme="minorHAnsi"/>
        </w:rPr>
        <w:t xml:space="preserve"> </w:t>
      </w:r>
      <w:r w:rsidRPr="00207115">
        <w:rPr>
          <w:rFonts w:cstheme="minorHAnsi"/>
        </w:rPr>
        <w:t>… and where the legitimate interests of that person [i.e. an interference with the victim's strictly private life or to his or her exposure] are thereby harmed and there is no predominant public interest in the publication of such details on account of the person's position in society, of some other connection with public life, or of other reasons, the victim shall have a claim against the owner of the medium (publisher) for damages for the injury suffered.’</w:t>
      </w:r>
    </w:p>
  </w:footnote>
  <w:footnote w:id="90">
    <w:p w14:paraId="427F56A6" w14:textId="178536F0" w:rsidR="00C75CA9" w:rsidRPr="00207115" w:rsidRDefault="00C75CA9">
      <w:pPr>
        <w:spacing w:after="0" w:line="240" w:lineRule="auto"/>
        <w:jc w:val="both"/>
        <w:rPr>
          <w:rFonts w:cstheme="minorHAnsi"/>
          <w:sz w:val="20"/>
          <w:szCs w:val="20"/>
          <w:lang w:val="fr-FR"/>
        </w:rPr>
      </w:pPr>
      <w:r w:rsidRPr="00207115">
        <w:rPr>
          <w:rStyle w:val="FootnoteReference"/>
          <w:rFonts w:cstheme="minorHAnsi"/>
          <w:sz w:val="20"/>
          <w:szCs w:val="20"/>
        </w:rPr>
        <w:footnoteRef/>
      </w:r>
      <w:r w:rsidRPr="00207115">
        <w:rPr>
          <w:rFonts w:cstheme="minorHAnsi"/>
          <w:sz w:val="20"/>
          <w:szCs w:val="20"/>
          <w:lang w:val="fr-FR"/>
        </w:rPr>
        <w:t xml:space="preserve"> </w:t>
      </w:r>
      <w:r w:rsidRPr="00207115">
        <w:rPr>
          <w:rStyle w:val="Emphasis"/>
          <w:rFonts w:cstheme="minorHAnsi"/>
          <w:sz w:val="20"/>
          <w:szCs w:val="20"/>
          <w:lang w:val="fr-FR"/>
        </w:rPr>
        <w:t xml:space="preserve">GC, AF, BH, and ED v Commission Nationale de l’Informatique et des </w:t>
      </w:r>
      <w:proofErr w:type="spellStart"/>
      <w:r w:rsidRPr="00207115">
        <w:rPr>
          <w:rStyle w:val="Emphasis"/>
          <w:rFonts w:cstheme="minorHAnsi"/>
          <w:sz w:val="20"/>
          <w:szCs w:val="20"/>
          <w:lang w:val="fr-FR"/>
        </w:rPr>
        <w:t>Libertes</w:t>
      </w:r>
      <w:proofErr w:type="spellEnd"/>
      <w:r w:rsidRPr="00207115">
        <w:rPr>
          <w:rStyle w:val="Emphasis"/>
          <w:rFonts w:cstheme="minorHAnsi"/>
          <w:sz w:val="20"/>
          <w:szCs w:val="20"/>
          <w:lang w:val="fr-FR"/>
        </w:rPr>
        <w:t xml:space="preserve"> (CNIL), Premier ministre, and Google LLC</w:t>
      </w:r>
      <w:r w:rsidRPr="00207115">
        <w:rPr>
          <w:rFonts w:cstheme="minorHAnsi"/>
          <w:sz w:val="20"/>
          <w:szCs w:val="20"/>
          <w:lang w:val="fr-FR"/>
        </w:rPr>
        <w:t xml:space="preserve"> C-136/17 (GC, 24 </w:t>
      </w:r>
      <w:proofErr w:type="spellStart"/>
      <w:r w:rsidRPr="00207115">
        <w:rPr>
          <w:rFonts w:cstheme="minorHAnsi"/>
          <w:sz w:val="20"/>
          <w:szCs w:val="20"/>
          <w:lang w:val="fr-FR"/>
        </w:rPr>
        <w:t>September</w:t>
      </w:r>
      <w:proofErr w:type="spellEnd"/>
      <w:r w:rsidRPr="00207115">
        <w:rPr>
          <w:rFonts w:cstheme="minorHAnsi"/>
          <w:sz w:val="20"/>
          <w:szCs w:val="20"/>
          <w:lang w:val="fr-FR"/>
        </w:rPr>
        <w:t xml:space="preserve"> 2019,</w:t>
      </w:r>
      <w:r w:rsidRPr="00207115">
        <w:rPr>
          <w:rStyle w:val="Heading1Char"/>
          <w:rFonts w:asciiTheme="minorHAnsi" w:hAnsiTheme="minorHAnsi" w:cstheme="minorHAnsi"/>
          <w:sz w:val="20"/>
          <w:szCs w:val="20"/>
          <w:lang w:val="fr-FR"/>
        </w:rPr>
        <w:t xml:space="preserve"> </w:t>
      </w:r>
      <w:proofErr w:type="gramStart"/>
      <w:r w:rsidRPr="00207115">
        <w:rPr>
          <w:rStyle w:val="outputecliaff"/>
          <w:rFonts w:cstheme="minorHAnsi"/>
          <w:sz w:val="20"/>
          <w:szCs w:val="20"/>
          <w:lang w:val="fr-FR"/>
        </w:rPr>
        <w:t>ECLI:</w:t>
      </w:r>
      <w:proofErr w:type="gramEnd"/>
      <w:r w:rsidRPr="00207115">
        <w:rPr>
          <w:rStyle w:val="outputecliaff"/>
          <w:rFonts w:cstheme="minorHAnsi"/>
          <w:sz w:val="20"/>
          <w:szCs w:val="20"/>
          <w:lang w:val="fr-FR"/>
        </w:rPr>
        <w:t>EU:C:2019:773</w:t>
      </w:r>
      <w:r w:rsidRPr="00207115">
        <w:rPr>
          <w:rFonts w:cstheme="minorHAnsi"/>
          <w:sz w:val="20"/>
          <w:szCs w:val="20"/>
          <w:lang w:val="fr-FR"/>
        </w:rPr>
        <w:t xml:space="preserve">) </w:t>
      </w:r>
    </w:p>
  </w:footnote>
  <w:footnote w:id="91">
    <w:p w14:paraId="2A2BFF43" w14:textId="6C9959AB"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Art 9 of the GDPR which prohibits processing unless one of the exceptions, such as express consent and another legitimate-interest alternative, is satisfied. </w:t>
      </w:r>
    </w:p>
  </w:footnote>
  <w:footnote w:id="92">
    <w:p w14:paraId="74EC88D3" w14:textId="2A7BA236"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i/>
        </w:rPr>
        <w:t xml:space="preserve"> GC and </w:t>
      </w:r>
      <w:proofErr w:type="spellStart"/>
      <w:r w:rsidRPr="00207115">
        <w:rPr>
          <w:rFonts w:cstheme="minorHAnsi"/>
          <w:i/>
        </w:rPr>
        <w:t>Ors</w:t>
      </w:r>
      <w:proofErr w:type="spellEnd"/>
      <w:r w:rsidRPr="00207115">
        <w:rPr>
          <w:rFonts w:cstheme="minorHAnsi"/>
          <w:i/>
        </w:rPr>
        <w:t xml:space="preserve"> </w:t>
      </w:r>
      <w:r w:rsidRPr="00207115">
        <w:rPr>
          <w:rFonts w:cstheme="minorHAnsi"/>
        </w:rPr>
        <w:t>(n 9</w:t>
      </w:r>
      <w:r w:rsidR="001F5F2B" w:rsidRPr="00207115">
        <w:rPr>
          <w:rFonts w:cstheme="minorHAnsi"/>
        </w:rPr>
        <w:t>5</w:t>
      </w:r>
      <w:r w:rsidRPr="00207115">
        <w:rPr>
          <w:rFonts w:cstheme="minorHAnsi"/>
        </w:rPr>
        <w:t>) para 25-28.</w:t>
      </w:r>
    </w:p>
  </w:footnote>
  <w:footnote w:id="93">
    <w:p w14:paraId="3E31D61C" w14:textId="098E82D3"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t>
      </w:r>
      <w:r w:rsidRPr="00207115">
        <w:rPr>
          <w:rFonts w:cstheme="minorHAnsi"/>
          <w:i/>
        </w:rPr>
        <w:t xml:space="preserve">GC and </w:t>
      </w:r>
      <w:proofErr w:type="spellStart"/>
      <w:r w:rsidRPr="00207115">
        <w:rPr>
          <w:rFonts w:cstheme="minorHAnsi"/>
          <w:i/>
        </w:rPr>
        <w:t>Ors</w:t>
      </w:r>
      <w:proofErr w:type="spellEnd"/>
      <w:r w:rsidRPr="00207115">
        <w:rPr>
          <w:rFonts w:cstheme="minorHAnsi"/>
          <w:i/>
        </w:rPr>
        <w:t xml:space="preserve"> </w:t>
      </w:r>
      <w:r w:rsidRPr="00207115">
        <w:rPr>
          <w:rFonts w:cstheme="minorHAnsi"/>
        </w:rPr>
        <w:t>(n 9</w:t>
      </w:r>
      <w:r w:rsidR="001F5F2B" w:rsidRPr="00207115">
        <w:rPr>
          <w:rFonts w:cstheme="minorHAnsi"/>
        </w:rPr>
        <w:t>5</w:t>
      </w:r>
      <w:r w:rsidRPr="00207115">
        <w:rPr>
          <w:rFonts w:cstheme="minorHAnsi"/>
        </w:rPr>
        <w:t xml:space="preserve">) para 53, 66; </w:t>
      </w:r>
      <w:r w:rsidRPr="00207115">
        <w:rPr>
          <w:rFonts w:cstheme="minorHAnsi"/>
          <w:i/>
        </w:rPr>
        <w:t>Google Spain</w:t>
      </w:r>
      <w:r w:rsidRPr="00207115">
        <w:rPr>
          <w:rFonts w:cstheme="minorHAnsi"/>
        </w:rPr>
        <w:t xml:space="preserve"> (n </w:t>
      </w:r>
      <w:r w:rsidR="000238D8" w:rsidRPr="00207115">
        <w:rPr>
          <w:rFonts w:cstheme="minorHAnsi"/>
        </w:rPr>
        <w:t>7</w:t>
      </w:r>
      <w:r w:rsidRPr="00207115">
        <w:rPr>
          <w:rFonts w:cstheme="minorHAnsi"/>
        </w:rPr>
        <w:t xml:space="preserve">) para 81, 97. See also Stephan </w:t>
      </w:r>
      <w:proofErr w:type="spellStart"/>
      <w:r w:rsidRPr="00207115">
        <w:rPr>
          <w:rFonts w:cstheme="minorHAnsi"/>
        </w:rPr>
        <w:t>Kulk</w:t>
      </w:r>
      <w:proofErr w:type="spellEnd"/>
      <w:r w:rsidRPr="00207115">
        <w:rPr>
          <w:rFonts w:cstheme="minorHAnsi"/>
        </w:rPr>
        <w:t xml:space="preserve">, Frederic </w:t>
      </w:r>
      <w:proofErr w:type="spellStart"/>
      <w:r w:rsidRPr="00207115">
        <w:rPr>
          <w:rFonts w:cstheme="minorHAnsi"/>
        </w:rPr>
        <w:t>Borgesius</w:t>
      </w:r>
      <w:proofErr w:type="spellEnd"/>
      <w:r w:rsidRPr="00207115">
        <w:rPr>
          <w:rFonts w:cstheme="minorHAnsi"/>
        </w:rPr>
        <w:t xml:space="preserve">, ‘Privacy, Freedom of Expression, and the Right to Be Forgotten in Europe’ in E Selinger, J </w:t>
      </w:r>
      <w:proofErr w:type="spellStart"/>
      <w:r w:rsidRPr="00207115">
        <w:rPr>
          <w:rFonts w:cstheme="minorHAnsi"/>
        </w:rPr>
        <w:t>Polonetsky</w:t>
      </w:r>
      <w:proofErr w:type="spellEnd"/>
      <w:r w:rsidRPr="00207115">
        <w:rPr>
          <w:rFonts w:cstheme="minorHAnsi"/>
        </w:rPr>
        <w:t xml:space="preserve">, O </w:t>
      </w:r>
      <w:proofErr w:type="spellStart"/>
      <w:r w:rsidRPr="00207115">
        <w:rPr>
          <w:rFonts w:cstheme="minorHAnsi"/>
        </w:rPr>
        <w:t>Tene</w:t>
      </w:r>
      <w:proofErr w:type="spellEnd"/>
      <w:r w:rsidRPr="00207115">
        <w:rPr>
          <w:rFonts w:cstheme="minorHAnsi"/>
        </w:rPr>
        <w:t xml:space="preserve"> (eds), </w:t>
      </w:r>
      <w:r w:rsidRPr="00207115">
        <w:rPr>
          <w:rFonts w:cstheme="minorHAnsi"/>
          <w:i/>
          <w:iCs/>
        </w:rPr>
        <w:t>The Cambridge Handbook of Consumer Privacy</w:t>
      </w:r>
      <w:r w:rsidRPr="00207115">
        <w:rPr>
          <w:rFonts w:cstheme="minorHAnsi"/>
        </w:rPr>
        <w:t xml:space="preserve"> (CUP 2018) 301, noting its inconsistency with the approach of equal status taken by the ECtHR. </w:t>
      </w:r>
    </w:p>
  </w:footnote>
  <w:footnote w:id="94">
    <w:p w14:paraId="7EB6BF95" w14:textId="3B3D7BF2"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t>
      </w:r>
      <w:r w:rsidRPr="00207115">
        <w:rPr>
          <w:rFonts w:cstheme="minorHAnsi"/>
          <w:i/>
        </w:rPr>
        <w:t xml:space="preserve">GC and </w:t>
      </w:r>
      <w:proofErr w:type="spellStart"/>
      <w:r w:rsidRPr="00207115">
        <w:rPr>
          <w:rFonts w:cstheme="minorHAnsi"/>
          <w:i/>
        </w:rPr>
        <w:t>Ors</w:t>
      </w:r>
      <w:proofErr w:type="spellEnd"/>
      <w:r w:rsidRPr="00207115">
        <w:rPr>
          <w:rFonts w:cstheme="minorHAnsi"/>
          <w:i/>
        </w:rPr>
        <w:t xml:space="preserve"> </w:t>
      </w:r>
      <w:r w:rsidRPr="00207115">
        <w:rPr>
          <w:rFonts w:cstheme="minorHAnsi"/>
        </w:rPr>
        <w:t>(n 9</w:t>
      </w:r>
      <w:r w:rsidR="001F5F2B" w:rsidRPr="00207115">
        <w:rPr>
          <w:rFonts w:cstheme="minorHAnsi"/>
        </w:rPr>
        <w:t>5</w:t>
      </w:r>
      <w:r w:rsidRPr="00207115">
        <w:rPr>
          <w:rFonts w:cstheme="minorHAnsi"/>
        </w:rPr>
        <w:t>) para 66, see also 67, noting the strengthened privacy interests in the case of sensitive personal data.</w:t>
      </w:r>
    </w:p>
  </w:footnote>
  <w:footnote w:id="95">
    <w:p w14:paraId="49696484" w14:textId="40C8BB98"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t>
      </w:r>
      <w:r w:rsidRPr="00207115">
        <w:rPr>
          <w:rFonts w:cstheme="minorHAnsi"/>
          <w:i/>
          <w:iCs/>
        </w:rPr>
        <w:t>Google Spain</w:t>
      </w:r>
      <w:r w:rsidRPr="00207115">
        <w:rPr>
          <w:rFonts w:cstheme="minorHAnsi"/>
        </w:rPr>
        <w:t xml:space="preserve"> (n </w:t>
      </w:r>
      <w:r w:rsidR="000238D8" w:rsidRPr="00207115">
        <w:rPr>
          <w:rFonts w:cstheme="minorHAnsi"/>
        </w:rPr>
        <w:t>7)</w:t>
      </w:r>
      <w:r w:rsidRPr="00207115">
        <w:rPr>
          <w:rFonts w:cstheme="minorHAnsi"/>
        </w:rPr>
        <w:t xml:space="preserve"> para 81; now Art 17(3)(a) of the GDPR. </w:t>
      </w:r>
    </w:p>
  </w:footnote>
  <w:footnote w:id="96">
    <w:p w14:paraId="17FCF2EB" w14:textId="56AA1472"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t>
      </w:r>
      <w:r w:rsidRPr="00207115">
        <w:rPr>
          <w:rFonts w:cstheme="minorHAnsi"/>
          <w:i/>
        </w:rPr>
        <w:t xml:space="preserve">GC and </w:t>
      </w:r>
      <w:proofErr w:type="spellStart"/>
      <w:r w:rsidRPr="00207115">
        <w:rPr>
          <w:rFonts w:cstheme="minorHAnsi"/>
          <w:i/>
        </w:rPr>
        <w:t>Ors</w:t>
      </w:r>
      <w:proofErr w:type="spellEnd"/>
      <w:r w:rsidRPr="00207115">
        <w:rPr>
          <w:rFonts w:cstheme="minorHAnsi"/>
          <w:i/>
        </w:rPr>
        <w:t xml:space="preserve"> </w:t>
      </w:r>
      <w:r w:rsidRPr="00207115">
        <w:rPr>
          <w:rFonts w:cstheme="minorHAnsi"/>
        </w:rPr>
        <w:t>(n 9</w:t>
      </w:r>
      <w:r w:rsidR="00867322" w:rsidRPr="00207115">
        <w:rPr>
          <w:rFonts w:cstheme="minorHAnsi"/>
        </w:rPr>
        <w:t>5</w:t>
      </w:r>
      <w:r w:rsidRPr="00207115">
        <w:rPr>
          <w:rFonts w:cstheme="minorHAnsi"/>
        </w:rPr>
        <w:t xml:space="preserve">) para 36; </w:t>
      </w:r>
      <w:r w:rsidRPr="00207115">
        <w:rPr>
          <w:rFonts w:cstheme="minorHAnsi"/>
          <w:i/>
        </w:rPr>
        <w:t xml:space="preserve">Google Spain </w:t>
      </w:r>
      <w:r w:rsidRPr="00207115">
        <w:rPr>
          <w:rFonts w:cstheme="minorHAnsi"/>
        </w:rPr>
        <w:t xml:space="preserve">(n </w:t>
      </w:r>
      <w:r w:rsidR="000238D8" w:rsidRPr="00207115">
        <w:rPr>
          <w:rFonts w:cstheme="minorHAnsi"/>
        </w:rPr>
        <w:t>7</w:t>
      </w:r>
      <w:r w:rsidRPr="00207115">
        <w:rPr>
          <w:rFonts w:cstheme="minorHAnsi"/>
        </w:rPr>
        <w:t>) para 35-37.</w:t>
      </w:r>
    </w:p>
  </w:footnote>
  <w:footnote w:id="97">
    <w:p w14:paraId="11E8DF7B" w14:textId="55DF44EF"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t>
      </w:r>
      <w:r w:rsidRPr="00207115">
        <w:rPr>
          <w:rFonts w:cstheme="minorHAnsi"/>
          <w:i/>
        </w:rPr>
        <w:t xml:space="preserve">GC and </w:t>
      </w:r>
      <w:proofErr w:type="spellStart"/>
      <w:r w:rsidRPr="00207115">
        <w:rPr>
          <w:rFonts w:cstheme="minorHAnsi"/>
          <w:i/>
        </w:rPr>
        <w:t>Ors</w:t>
      </w:r>
      <w:proofErr w:type="spellEnd"/>
      <w:r w:rsidRPr="00207115">
        <w:rPr>
          <w:rFonts w:cstheme="minorHAnsi"/>
          <w:i/>
        </w:rPr>
        <w:t xml:space="preserve"> </w:t>
      </w:r>
      <w:r w:rsidRPr="00207115">
        <w:rPr>
          <w:rFonts w:cstheme="minorHAnsi"/>
        </w:rPr>
        <w:t>(n 9</w:t>
      </w:r>
      <w:r w:rsidR="00867322" w:rsidRPr="00207115">
        <w:rPr>
          <w:rFonts w:cstheme="minorHAnsi"/>
        </w:rPr>
        <w:t>5</w:t>
      </w:r>
      <w:r w:rsidRPr="00207115">
        <w:rPr>
          <w:rFonts w:cstheme="minorHAnsi"/>
        </w:rPr>
        <w:t>) para 66.</w:t>
      </w:r>
    </w:p>
  </w:footnote>
  <w:footnote w:id="98">
    <w:p w14:paraId="3F1606A5" w14:textId="67C9A159"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Art 8(2)(e) of Data Protection Directive and Art 9(2)(e) of GDPR; </w:t>
      </w:r>
      <w:r w:rsidRPr="00207115">
        <w:rPr>
          <w:rFonts w:cstheme="minorHAnsi"/>
          <w:i/>
        </w:rPr>
        <w:t xml:space="preserve">GC and </w:t>
      </w:r>
      <w:proofErr w:type="spellStart"/>
      <w:r w:rsidRPr="00207115">
        <w:rPr>
          <w:rFonts w:cstheme="minorHAnsi"/>
          <w:i/>
        </w:rPr>
        <w:t>Ors</w:t>
      </w:r>
      <w:proofErr w:type="spellEnd"/>
      <w:r w:rsidRPr="00207115">
        <w:rPr>
          <w:rFonts w:cstheme="minorHAnsi"/>
          <w:i/>
        </w:rPr>
        <w:t xml:space="preserve"> (n 91)</w:t>
      </w:r>
      <w:r w:rsidRPr="00207115">
        <w:rPr>
          <w:rFonts w:cstheme="minorHAnsi"/>
        </w:rPr>
        <w:t xml:space="preserve"> para 63. Information Commissioner’s Office, </w:t>
      </w:r>
      <w:r w:rsidRPr="00207115">
        <w:rPr>
          <w:rFonts w:cstheme="minorHAnsi"/>
          <w:i/>
        </w:rPr>
        <w:t>Guide to the General Data Protection Regulation (GDPR</w:t>
      </w:r>
      <w:r w:rsidRPr="00207115">
        <w:rPr>
          <w:rFonts w:cstheme="minorHAnsi"/>
        </w:rPr>
        <w:t xml:space="preserve">) </w:t>
      </w:r>
      <w:r w:rsidRPr="00207115">
        <w:rPr>
          <w:rFonts w:cstheme="minorHAnsi"/>
          <w:i/>
        </w:rPr>
        <w:t>- Special Category Data</w:t>
      </w:r>
      <w:r w:rsidRPr="00207115">
        <w:rPr>
          <w:rFonts w:cstheme="minorHAnsi"/>
        </w:rPr>
        <w:t xml:space="preserve"> (1 January 2021, 1.1.139, &lt;</w:t>
      </w:r>
      <w:hyperlink r:id="rId2" w:history="1">
        <w:r w:rsidRPr="00207115">
          <w:rPr>
            <w:rStyle w:val="Hyperlink"/>
            <w:rFonts w:cstheme="minorHAnsi"/>
          </w:rPr>
          <w:t>https://ico.org.uk/for-organisations/guide-to-data-protection/guide-to-the-general-data-protection-regulation-gdpr/special-category-data/</w:t>
        </w:r>
      </w:hyperlink>
      <w:r w:rsidRPr="00207115">
        <w:rPr>
          <w:rStyle w:val="Hyperlink"/>
          <w:rFonts w:cstheme="minorHAnsi"/>
        </w:rPr>
        <w:t>&gt;</w:t>
      </w:r>
      <w:r w:rsidRPr="00207115">
        <w:rPr>
          <w:rFonts w:cstheme="minorHAnsi"/>
        </w:rPr>
        <w:t>): ‘[this] clearly assumes a deliberate act by the individual. It’s not enough that it’s already in the public domain – it must be the person concerned who took the steps that made it public.’</w:t>
      </w:r>
    </w:p>
  </w:footnote>
  <w:footnote w:id="99">
    <w:p w14:paraId="4B09BE69" w14:textId="4A5C3BFE"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t>
      </w:r>
      <w:r w:rsidRPr="00207115">
        <w:rPr>
          <w:rFonts w:cstheme="minorHAnsi"/>
          <w:i/>
        </w:rPr>
        <w:t xml:space="preserve">GC and </w:t>
      </w:r>
      <w:proofErr w:type="spellStart"/>
      <w:r w:rsidRPr="00207115">
        <w:rPr>
          <w:rFonts w:cstheme="minorHAnsi"/>
          <w:i/>
        </w:rPr>
        <w:t>Ors</w:t>
      </w:r>
      <w:proofErr w:type="spellEnd"/>
      <w:r w:rsidRPr="00207115">
        <w:rPr>
          <w:rFonts w:cstheme="minorHAnsi"/>
          <w:i/>
        </w:rPr>
        <w:t xml:space="preserve"> </w:t>
      </w:r>
      <w:r w:rsidRPr="00207115">
        <w:rPr>
          <w:rFonts w:cstheme="minorHAnsi"/>
        </w:rPr>
        <w:t>(n 9</w:t>
      </w:r>
      <w:r w:rsidR="00867322" w:rsidRPr="00207115">
        <w:rPr>
          <w:rFonts w:cstheme="minorHAnsi"/>
        </w:rPr>
        <w:t>5</w:t>
      </w:r>
      <w:r w:rsidRPr="00207115">
        <w:rPr>
          <w:rFonts w:cstheme="minorHAnsi"/>
        </w:rPr>
        <w:t xml:space="preserve">) para 69: a search can refuse a de-referencing request if the ‘processing is covered by the exception in Article 8(2)(e) of the directive, provided that the processing satisfies all the other conditions of lawfulness laid down by the directive, </w:t>
      </w:r>
      <w:r w:rsidRPr="00207115">
        <w:rPr>
          <w:rFonts w:cstheme="minorHAnsi"/>
          <w:i/>
        </w:rPr>
        <w:t>and</w:t>
      </w:r>
      <w:r w:rsidRPr="00207115">
        <w:rPr>
          <w:rFonts w:cstheme="minorHAnsi"/>
        </w:rPr>
        <w:t xml:space="preserve"> unless the data subject has the right under Article 14(a) of the directive to object to that processing on compelling legitimate grounds relating to his particular situation.’ [emphasis added]</w:t>
      </w:r>
    </w:p>
  </w:footnote>
  <w:footnote w:id="100">
    <w:p w14:paraId="70302B61" w14:textId="4F764E3F"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t>
      </w:r>
      <w:r w:rsidRPr="00207115">
        <w:rPr>
          <w:rFonts w:cstheme="minorHAnsi"/>
          <w:i/>
        </w:rPr>
        <w:t xml:space="preserve">GC and </w:t>
      </w:r>
      <w:proofErr w:type="spellStart"/>
      <w:r w:rsidRPr="00207115">
        <w:rPr>
          <w:rFonts w:cstheme="minorHAnsi"/>
          <w:i/>
        </w:rPr>
        <w:t>Ors</w:t>
      </w:r>
      <w:proofErr w:type="spellEnd"/>
      <w:r w:rsidRPr="00207115">
        <w:rPr>
          <w:rFonts w:cstheme="minorHAnsi"/>
          <w:i/>
        </w:rPr>
        <w:t xml:space="preserve"> </w:t>
      </w:r>
      <w:r w:rsidRPr="00207115">
        <w:rPr>
          <w:rFonts w:cstheme="minorHAnsi"/>
        </w:rPr>
        <w:t>(n 9</w:t>
      </w:r>
      <w:r w:rsidR="00867322" w:rsidRPr="00207115">
        <w:rPr>
          <w:rFonts w:cstheme="minorHAnsi"/>
        </w:rPr>
        <w:t>5</w:t>
      </w:r>
      <w:r w:rsidRPr="00207115">
        <w:rPr>
          <w:rFonts w:cstheme="minorHAnsi"/>
        </w:rPr>
        <w:t>) para 77.</w:t>
      </w:r>
    </w:p>
  </w:footnote>
  <w:footnote w:id="101">
    <w:p w14:paraId="02FD1F61" w14:textId="19AA4045"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Art 29 Working Party, </w:t>
      </w:r>
      <w:r w:rsidRPr="00207115">
        <w:rPr>
          <w:rFonts w:cstheme="minorHAnsi"/>
          <w:i/>
        </w:rPr>
        <w:t xml:space="preserve">Guidelines on the Implementation of the Court of Justice of the European Union Judgment on “Google Spain and Inc v. </w:t>
      </w:r>
      <w:proofErr w:type="spellStart"/>
      <w:r w:rsidRPr="00207115">
        <w:rPr>
          <w:rFonts w:cstheme="minorHAnsi"/>
          <w:i/>
        </w:rPr>
        <w:t>Agencia</w:t>
      </w:r>
      <w:proofErr w:type="spellEnd"/>
      <w:r w:rsidRPr="00207115">
        <w:rPr>
          <w:rFonts w:cstheme="minorHAnsi"/>
          <w:i/>
        </w:rPr>
        <w:t xml:space="preserve"> Espanola de </w:t>
      </w:r>
      <w:proofErr w:type="spellStart"/>
      <w:r w:rsidRPr="00207115">
        <w:rPr>
          <w:rFonts w:cstheme="minorHAnsi"/>
          <w:i/>
        </w:rPr>
        <w:t>Proteccion</w:t>
      </w:r>
      <w:proofErr w:type="spellEnd"/>
      <w:r w:rsidRPr="00207115">
        <w:rPr>
          <w:rFonts w:cstheme="minorHAnsi"/>
          <w:i/>
        </w:rPr>
        <w:t xml:space="preserve"> de Data (AEPD) and Mario Costeja Gonzalez” C-131/12</w:t>
      </w:r>
      <w:r w:rsidRPr="00207115">
        <w:rPr>
          <w:rFonts w:cstheme="minorHAnsi"/>
        </w:rPr>
        <w:t xml:space="preserve"> (26 November 2014, 14/EN WP225) 13: ‘A good rule of thumb is to try to decide where the public having access to the particular information – made available through a search on the data subject’s name – would protect them against improper public or professional conduct.’ </w:t>
      </w:r>
    </w:p>
  </w:footnote>
  <w:footnote w:id="102">
    <w:p w14:paraId="16EDF3F9" w14:textId="44B9EDD3" w:rsidR="00515A98" w:rsidRPr="00207115" w:rsidRDefault="00515A98">
      <w:pPr>
        <w:pStyle w:val="FootnoteText"/>
        <w:jc w:val="both"/>
        <w:rPr>
          <w:rFonts w:cstheme="minorHAnsi"/>
        </w:rPr>
      </w:pPr>
      <w:r w:rsidRPr="00207115">
        <w:rPr>
          <w:rStyle w:val="FootnoteReference"/>
          <w:rFonts w:cstheme="minorHAnsi"/>
        </w:rPr>
        <w:footnoteRef/>
      </w:r>
      <w:r w:rsidRPr="00207115">
        <w:rPr>
          <w:rFonts w:cstheme="minorHAnsi"/>
        </w:rPr>
        <w:t xml:space="preserve"> Ruth </w:t>
      </w:r>
      <w:proofErr w:type="spellStart"/>
      <w:r w:rsidRPr="00207115">
        <w:rPr>
          <w:rFonts w:cstheme="minorHAnsi"/>
        </w:rPr>
        <w:t>Gavinson</w:t>
      </w:r>
      <w:proofErr w:type="spellEnd"/>
      <w:r w:rsidRPr="00207115">
        <w:rPr>
          <w:rFonts w:cstheme="minorHAnsi"/>
        </w:rPr>
        <w:t xml:space="preserve">, </w:t>
      </w:r>
      <w:r w:rsidR="00D90FF2" w:rsidRPr="00207115">
        <w:rPr>
          <w:rFonts w:cstheme="minorHAnsi"/>
        </w:rPr>
        <w:t>‘</w:t>
      </w:r>
      <w:r w:rsidRPr="00207115">
        <w:rPr>
          <w:rFonts w:cstheme="minorHAnsi"/>
        </w:rPr>
        <w:t>Pri</w:t>
      </w:r>
      <w:r w:rsidR="00D90FF2" w:rsidRPr="00207115">
        <w:rPr>
          <w:rFonts w:cstheme="minorHAnsi"/>
        </w:rPr>
        <w:t xml:space="preserve">vacy and the Limits of the Law’ (1980) 89 </w:t>
      </w:r>
      <w:r w:rsidR="00D90FF2" w:rsidRPr="005927F3">
        <w:rPr>
          <w:rFonts w:cstheme="minorHAnsi"/>
          <w:i/>
          <w:iCs/>
        </w:rPr>
        <w:t>Yale Law Journal</w:t>
      </w:r>
      <w:r w:rsidR="00D90FF2" w:rsidRPr="00207115">
        <w:rPr>
          <w:rFonts w:cstheme="minorHAnsi"/>
        </w:rPr>
        <w:t xml:space="preserve"> 421, 438 [emphasis in the original]. See also Stephen </w:t>
      </w:r>
      <w:proofErr w:type="spellStart"/>
      <w:r w:rsidR="00D90FF2" w:rsidRPr="00207115">
        <w:rPr>
          <w:rFonts w:cstheme="minorHAnsi"/>
        </w:rPr>
        <w:t>Gardbaum</w:t>
      </w:r>
      <w:proofErr w:type="spellEnd"/>
      <w:r w:rsidR="00D90FF2" w:rsidRPr="00207115">
        <w:rPr>
          <w:rFonts w:cstheme="minorHAnsi"/>
        </w:rPr>
        <w:t xml:space="preserve">, ‘The “Horizontal Effect” of Constitutional Rights’ (2003) 102 </w:t>
      </w:r>
      <w:r w:rsidR="00D90FF2" w:rsidRPr="005927F3">
        <w:rPr>
          <w:rFonts w:cstheme="minorHAnsi"/>
          <w:i/>
          <w:iCs/>
        </w:rPr>
        <w:t xml:space="preserve">Michigan Law Review </w:t>
      </w:r>
      <w:r w:rsidR="00D90FF2" w:rsidRPr="00207115">
        <w:rPr>
          <w:rFonts w:cstheme="minorHAnsi"/>
        </w:rPr>
        <w:t>387.</w:t>
      </w:r>
    </w:p>
  </w:footnote>
  <w:footnote w:id="103">
    <w:p w14:paraId="2B30695C" w14:textId="668AECE5"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Daniel J Solove, Neil M Richards, ‘Privacy’s Other Path: Recovering the Law of Confidentiality’ (2007) 96 </w:t>
      </w:r>
      <w:r w:rsidRPr="00207115">
        <w:rPr>
          <w:rFonts w:cstheme="minorHAnsi"/>
          <w:i/>
          <w:iCs/>
        </w:rPr>
        <w:t>Georgetown Law Journal</w:t>
      </w:r>
      <w:r w:rsidRPr="00207115">
        <w:rPr>
          <w:rFonts w:cstheme="minorHAnsi"/>
        </w:rPr>
        <w:t xml:space="preserve"> 123.</w:t>
      </w:r>
    </w:p>
  </w:footnote>
  <w:footnote w:id="104">
    <w:p w14:paraId="34127A4C" w14:textId="16E408D5" w:rsidR="0022190D" w:rsidRPr="00207115" w:rsidRDefault="0021044B">
      <w:pPr>
        <w:pStyle w:val="FootnoteText"/>
        <w:jc w:val="both"/>
        <w:rPr>
          <w:rFonts w:cstheme="minorHAnsi"/>
        </w:rPr>
      </w:pPr>
      <w:r w:rsidRPr="00207115">
        <w:rPr>
          <w:rStyle w:val="FootnoteReference"/>
          <w:rFonts w:cstheme="minorHAnsi"/>
        </w:rPr>
        <w:footnoteRef/>
      </w:r>
      <w:r w:rsidRPr="00207115">
        <w:rPr>
          <w:rFonts w:cstheme="minorHAnsi"/>
        </w:rPr>
        <w:t xml:space="preserve"> William L Prosser, 'Privacy' (1960) 48 </w:t>
      </w:r>
      <w:r w:rsidRPr="00207115">
        <w:rPr>
          <w:rFonts w:cstheme="minorHAnsi"/>
          <w:i/>
        </w:rPr>
        <w:t xml:space="preserve">California Law Review </w:t>
      </w:r>
      <w:r w:rsidRPr="00207115">
        <w:rPr>
          <w:rFonts w:cstheme="minorHAnsi"/>
        </w:rPr>
        <w:t xml:space="preserve">383, 389; see also Neil M Richards, Daniel J Solove, ‘Prosser’s Privacy Law: A Mixed Legacy’ (2010) 98 </w:t>
      </w:r>
      <w:r w:rsidRPr="00207115">
        <w:rPr>
          <w:rFonts w:cstheme="minorHAnsi"/>
          <w:i/>
        </w:rPr>
        <w:t>California Law Review</w:t>
      </w:r>
      <w:r w:rsidRPr="00207115">
        <w:rPr>
          <w:rFonts w:cstheme="minorHAnsi"/>
        </w:rPr>
        <w:t xml:space="preserve"> 1887.</w:t>
      </w:r>
      <w:r w:rsidR="00D73EE2" w:rsidRPr="00207115">
        <w:rPr>
          <w:rFonts w:cstheme="minorHAnsi"/>
        </w:rPr>
        <w:t xml:space="preserve"> </w:t>
      </w:r>
      <w:r w:rsidR="0022190D" w:rsidRPr="00207115">
        <w:rPr>
          <w:rFonts w:cstheme="minorHAnsi"/>
        </w:rPr>
        <w:t xml:space="preserve">For its continued relevance, see </w:t>
      </w:r>
      <w:proofErr w:type="gramStart"/>
      <w:r w:rsidR="0022190D" w:rsidRPr="00207115">
        <w:rPr>
          <w:rFonts w:cstheme="minorHAnsi"/>
        </w:rPr>
        <w:t>e.g.</w:t>
      </w:r>
      <w:proofErr w:type="gramEnd"/>
      <w:r w:rsidR="0022190D" w:rsidRPr="00207115">
        <w:rPr>
          <w:rFonts w:cstheme="minorHAnsi"/>
        </w:rPr>
        <w:t xml:space="preserve"> Amy </w:t>
      </w:r>
      <w:proofErr w:type="spellStart"/>
      <w:r w:rsidR="0022190D" w:rsidRPr="00207115">
        <w:rPr>
          <w:rFonts w:cstheme="minorHAnsi"/>
        </w:rPr>
        <w:t>Gajda</w:t>
      </w:r>
      <w:proofErr w:type="spellEnd"/>
      <w:r w:rsidR="0022190D" w:rsidRPr="00207115">
        <w:rPr>
          <w:rFonts w:cstheme="minorHAnsi"/>
        </w:rPr>
        <w:t xml:space="preserve">, ‘Privacy and the Right to Be Let Alone’ in </w:t>
      </w:r>
      <w:r w:rsidR="0022190D" w:rsidRPr="00A14C14">
        <w:rPr>
          <w:rFonts w:cstheme="minorHAnsi"/>
        </w:rPr>
        <w:t>William R Davie,</w:t>
      </w:r>
      <w:r w:rsidR="0022190D" w:rsidRPr="005F1779">
        <w:rPr>
          <w:rFonts w:cstheme="minorHAnsi"/>
        </w:rPr>
        <w:t xml:space="preserve"> T Michael Maher (eds), </w:t>
      </w:r>
      <w:r w:rsidR="0022190D" w:rsidRPr="005927F3">
        <w:rPr>
          <w:rFonts w:cstheme="minorHAnsi"/>
          <w:i/>
          <w:iCs/>
        </w:rPr>
        <w:t>First Amendment Law in Louisiana</w:t>
      </w:r>
      <w:r w:rsidR="0022190D" w:rsidRPr="00A14C14">
        <w:rPr>
          <w:rFonts w:cstheme="minorHAnsi"/>
        </w:rPr>
        <w:t xml:space="preserve"> (University of Louisiana Press, 2015)</w:t>
      </w:r>
    </w:p>
  </w:footnote>
  <w:footnote w:id="105">
    <w:p w14:paraId="4C986D1C" w14:textId="08A4B1F7"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Warren and Brandeis (n 3</w:t>
      </w:r>
      <w:r w:rsidR="003910DA" w:rsidRPr="00207115">
        <w:rPr>
          <w:rFonts w:cstheme="minorHAnsi"/>
        </w:rPr>
        <w:t>6</w:t>
      </w:r>
      <w:r w:rsidRPr="00207115">
        <w:rPr>
          <w:rFonts w:cstheme="minorHAnsi"/>
        </w:rPr>
        <w:t>).</w:t>
      </w:r>
    </w:p>
  </w:footnote>
  <w:footnote w:id="106">
    <w:p w14:paraId="4C40BA27" w14:textId="314BF380" w:rsidR="00C75CA9" w:rsidRPr="00207115" w:rsidRDefault="00C75CA9">
      <w:pPr>
        <w:tabs>
          <w:tab w:val="left" w:pos="3326"/>
        </w:tabs>
        <w:spacing w:after="0" w:line="240" w:lineRule="auto"/>
        <w:jc w:val="both"/>
        <w:rPr>
          <w:rFonts w:cstheme="minorHAnsi"/>
          <w:sz w:val="20"/>
          <w:szCs w:val="20"/>
        </w:rPr>
      </w:pPr>
      <w:r w:rsidRPr="00207115">
        <w:rPr>
          <w:rStyle w:val="FootnoteReference"/>
          <w:rFonts w:cstheme="minorHAnsi"/>
          <w:sz w:val="20"/>
          <w:szCs w:val="20"/>
        </w:rPr>
        <w:footnoteRef/>
      </w:r>
      <w:r w:rsidRPr="00207115">
        <w:rPr>
          <w:rFonts w:cstheme="minorHAnsi"/>
          <w:sz w:val="20"/>
          <w:szCs w:val="20"/>
        </w:rPr>
        <w:t xml:space="preserve"> When Prosser constructed this category as extension of libel that would protect against mental distress and reputational damage, with the main difference being that the disclosed information was private, rather than false, the Supreme Court’s reluctance to restrain truthful</w:t>
      </w:r>
      <w:r w:rsidR="00394C50" w:rsidRPr="00207115">
        <w:rPr>
          <w:rFonts w:cstheme="minorHAnsi"/>
          <w:sz w:val="20"/>
          <w:szCs w:val="20"/>
        </w:rPr>
        <w:t xml:space="preserve"> (personal) information </w:t>
      </w:r>
      <w:r w:rsidRPr="00207115">
        <w:rPr>
          <w:rFonts w:cstheme="minorHAnsi"/>
          <w:sz w:val="20"/>
          <w:szCs w:val="20"/>
        </w:rPr>
        <w:t>had not yet materialised.</w:t>
      </w:r>
      <w:r w:rsidR="00F03425" w:rsidRPr="00207115">
        <w:rPr>
          <w:rFonts w:cstheme="minorHAnsi"/>
          <w:sz w:val="20"/>
          <w:szCs w:val="20"/>
        </w:rPr>
        <w:t xml:space="preserve"> </w:t>
      </w:r>
      <w:r w:rsidR="00F03425" w:rsidRPr="005927F3">
        <w:rPr>
          <w:rFonts w:cstheme="minorHAnsi"/>
          <w:sz w:val="20"/>
          <w:szCs w:val="20"/>
        </w:rPr>
        <w:t>See also Nissenbaum (n 3) 103ff (on privacy in public).</w:t>
      </w:r>
    </w:p>
  </w:footnote>
  <w:footnote w:id="107">
    <w:p w14:paraId="0E9EACA8" w14:textId="6AD08DE7"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Prosser (n </w:t>
      </w:r>
      <w:r w:rsidR="00394C50" w:rsidRPr="00207115">
        <w:rPr>
          <w:rFonts w:cstheme="minorHAnsi"/>
        </w:rPr>
        <w:t>10</w:t>
      </w:r>
      <w:r w:rsidR="0067292B">
        <w:rPr>
          <w:rFonts w:cstheme="minorHAnsi"/>
        </w:rPr>
        <w:t>4</w:t>
      </w:r>
      <w:r w:rsidRPr="00207115">
        <w:rPr>
          <w:rFonts w:cstheme="minorHAnsi"/>
        </w:rPr>
        <w:t>) 394f [internal notes omitted; emphasis added].</w:t>
      </w:r>
    </w:p>
  </w:footnote>
  <w:footnote w:id="108">
    <w:p w14:paraId="78526891" w14:textId="00E807F6"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ibid 396 [internal notes omitted].</w:t>
      </w:r>
    </w:p>
  </w:footnote>
  <w:footnote w:id="109">
    <w:p w14:paraId="4C4DA38D" w14:textId="77777777"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Discussed further below.</w:t>
      </w:r>
    </w:p>
  </w:footnote>
  <w:footnote w:id="110">
    <w:p w14:paraId="2D414C69" w14:textId="5DE0CDFA"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Prosser (n </w:t>
      </w:r>
      <w:r w:rsidR="00394C50" w:rsidRPr="00207115">
        <w:rPr>
          <w:rFonts w:cstheme="minorHAnsi"/>
        </w:rPr>
        <w:t>10</w:t>
      </w:r>
      <w:r w:rsidR="0067292B">
        <w:rPr>
          <w:rFonts w:cstheme="minorHAnsi"/>
        </w:rPr>
        <w:t>4</w:t>
      </w:r>
      <w:r w:rsidR="001F5F2B" w:rsidRPr="00207115">
        <w:rPr>
          <w:rFonts w:cstheme="minorHAnsi"/>
        </w:rPr>
        <w:t>)</w:t>
      </w:r>
      <w:r w:rsidRPr="00207115">
        <w:rPr>
          <w:rFonts w:cstheme="minorHAnsi"/>
        </w:rPr>
        <w:t xml:space="preserve"> 396. </w:t>
      </w:r>
      <w:r w:rsidR="00207115" w:rsidRPr="00207115">
        <w:rPr>
          <w:rFonts w:cstheme="minorHAnsi"/>
        </w:rPr>
        <w:t xml:space="preserve">The test </w:t>
      </w:r>
      <w:r w:rsidRPr="00207115">
        <w:rPr>
          <w:rFonts w:cstheme="minorHAnsi"/>
        </w:rPr>
        <w:t xml:space="preserve">has also been adopted in Australia: </w:t>
      </w:r>
      <w:r w:rsidRPr="00207115">
        <w:rPr>
          <w:rFonts w:cstheme="minorHAnsi"/>
          <w:i/>
        </w:rPr>
        <w:t>Australian Broadcasting Corporation v Lenah Game Meats</w:t>
      </w:r>
      <w:r w:rsidRPr="00207115">
        <w:rPr>
          <w:rFonts w:cstheme="minorHAnsi"/>
        </w:rPr>
        <w:t xml:space="preserve"> (2001) 208 CLR 199, para 42: ‘highly offensive to a reasonable person of ordinary sensibilities’; contrast to the position in England and Wales: </w:t>
      </w:r>
      <w:r w:rsidRPr="00207115">
        <w:rPr>
          <w:rFonts w:cstheme="minorHAnsi"/>
          <w:i/>
        </w:rPr>
        <w:t>Campbell v MGN Ltd</w:t>
      </w:r>
      <w:r w:rsidRPr="00207115">
        <w:rPr>
          <w:rFonts w:cstheme="minorHAnsi"/>
        </w:rPr>
        <w:t xml:space="preserve"> (n 3</w:t>
      </w:r>
      <w:r w:rsidR="000238D8" w:rsidRPr="00207115">
        <w:rPr>
          <w:rFonts w:cstheme="minorHAnsi"/>
        </w:rPr>
        <w:t>7</w:t>
      </w:r>
      <w:r w:rsidRPr="00207115">
        <w:rPr>
          <w:rFonts w:cstheme="minorHAnsi"/>
        </w:rPr>
        <w:t xml:space="preserve">) para 121, 135, but 94-96; discussed in </w:t>
      </w:r>
      <w:proofErr w:type="spellStart"/>
      <w:r w:rsidRPr="00207115">
        <w:rPr>
          <w:rFonts w:cstheme="minorHAnsi"/>
        </w:rPr>
        <w:t>Barendt</w:t>
      </w:r>
      <w:proofErr w:type="spellEnd"/>
      <w:r w:rsidRPr="00207115">
        <w:rPr>
          <w:rFonts w:cstheme="minorHAnsi"/>
        </w:rPr>
        <w:t xml:space="preserve"> (n </w:t>
      </w:r>
      <w:r w:rsidR="00315107" w:rsidRPr="00207115">
        <w:rPr>
          <w:rFonts w:cstheme="minorHAnsi"/>
        </w:rPr>
        <w:t>73)</w:t>
      </w:r>
      <w:r w:rsidRPr="00207115">
        <w:rPr>
          <w:rFonts w:cstheme="minorHAnsi"/>
        </w:rPr>
        <w:t xml:space="preserve"> 98ff.</w:t>
      </w:r>
    </w:p>
  </w:footnote>
  <w:footnote w:id="111">
    <w:p w14:paraId="4E98C3DE" w14:textId="6DFE361D" w:rsidR="00C75CA9" w:rsidRPr="00207115" w:rsidRDefault="00C75CA9">
      <w:pPr>
        <w:spacing w:after="0" w:line="240" w:lineRule="auto"/>
        <w:jc w:val="both"/>
        <w:rPr>
          <w:rFonts w:cstheme="minorHAnsi"/>
          <w:sz w:val="20"/>
          <w:szCs w:val="20"/>
        </w:rPr>
      </w:pPr>
      <w:r w:rsidRPr="00207115">
        <w:rPr>
          <w:rStyle w:val="FootnoteReference"/>
          <w:rFonts w:cstheme="minorHAnsi"/>
          <w:sz w:val="20"/>
          <w:szCs w:val="20"/>
        </w:rPr>
        <w:footnoteRef/>
      </w:r>
      <w:r w:rsidRPr="00207115">
        <w:rPr>
          <w:rFonts w:cstheme="minorHAnsi"/>
          <w:sz w:val="20"/>
          <w:szCs w:val="20"/>
        </w:rPr>
        <w:t xml:space="preserve"> </w:t>
      </w:r>
      <w:r w:rsidRPr="00207115">
        <w:rPr>
          <w:rFonts w:cstheme="minorHAnsi"/>
          <w:i/>
          <w:iCs/>
          <w:sz w:val="20"/>
          <w:szCs w:val="20"/>
        </w:rPr>
        <w:t>Briscoe v Reader's Digest Association</w:t>
      </w:r>
      <w:r w:rsidRPr="00207115">
        <w:rPr>
          <w:rFonts w:cstheme="minorHAnsi"/>
          <w:sz w:val="20"/>
          <w:szCs w:val="20"/>
        </w:rPr>
        <w:t xml:space="preserve"> 4 Cal 3d 532 (1971); see also </w:t>
      </w:r>
      <w:r w:rsidRPr="00207115">
        <w:rPr>
          <w:rFonts w:cstheme="minorHAnsi"/>
          <w:i/>
          <w:sz w:val="20"/>
          <w:szCs w:val="20"/>
        </w:rPr>
        <w:t>Melvin v Reid</w:t>
      </w:r>
      <w:r w:rsidRPr="00207115">
        <w:rPr>
          <w:rFonts w:cstheme="minorHAnsi"/>
          <w:sz w:val="20"/>
          <w:szCs w:val="20"/>
        </w:rPr>
        <w:t xml:space="preserve"> 112 Cal App 285, 297 Pac 91 (1931). </w:t>
      </w:r>
    </w:p>
  </w:footnote>
  <w:footnote w:id="112">
    <w:p w14:paraId="0C7D5D41" w14:textId="56BBA653"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t>
      </w:r>
      <w:r w:rsidRPr="00207115">
        <w:rPr>
          <w:rFonts w:cstheme="minorHAnsi"/>
          <w:i/>
          <w:iCs/>
        </w:rPr>
        <w:t>Gates v Discovery Communications Inc</w:t>
      </w:r>
      <w:r w:rsidRPr="00207115">
        <w:rPr>
          <w:rFonts w:cstheme="minorHAnsi"/>
        </w:rPr>
        <w:t xml:space="preserve"> 34 Cal 4</w:t>
      </w:r>
      <w:r w:rsidRPr="00207115">
        <w:rPr>
          <w:rFonts w:cstheme="minorHAnsi"/>
          <w:vertAlign w:val="superscript"/>
        </w:rPr>
        <w:t>th</w:t>
      </w:r>
      <w:r w:rsidRPr="00207115">
        <w:rPr>
          <w:rFonts w:cstheme="minorHAnsi"/>
        </w:rPr>
        <w:t xml:space="preserve"> 679 (2004). </w:t>
      </w:r>
    </w:p>
  </w:footnote>
  <w:footnote w:id="113">
    <w:p w14:paraId="41EF7CCF" w14:textId="34D72D51"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t>
      </w:r>
      <w:r w:rsidRPr="00207115">
        <w:rPr>
          <w:rFonts w:cstheme="minorHAnsi"/>
          <w:i/>
          <w:iCs/>
        </w:rPr>
        <w:t xml:space="preserve">Cox Broadcasting Corp v Cohn </w:t>
      </w:r>
      <w:r w:rsidRPr="00207115">
        <w:rPr>
          <w:rFonts w:cstheme="minorHAnsi"/>
        </w:rPr>
        <w:t xml:space="preserve">420 US 469 (1975); </w:t>
      </w:r>
      <w:r w:rsidRPr="00207115">
        <w:rPr>
          <w:rFonts w:cstheme="minorHAnsi"/>
          <w:i/>
          <w:iCs/>
        </w:rPr>
        <w:t xml:space="preserve">Oklahoma Publishing Co v District Court </w:t>
      </w:r>
      <w:r w:rsidRPr="00207115">
        <w:rPr>
          <w:rFonts w:cstheme="minorHAnsi"/>
        </w:rPr>
        <w:t xml:space="preserve">430 US 308 (1975); </w:t>
      </w:r>
      <w:r w:rsidRPr="00207115">
        <w:rPr>
          <w:rFonts w:cstheme="minorHAnsi"/>
          <w:i/>
          <w:iCs/>
        </w:rPr>
        <w:t xml:space="preserve">Smith v Daily Mail Publishing Co </w:t>
      </w:r>
      <w:r w:rsidRPr="00207115">
        <w:rPr>
          <w:rFonts w:cstheme="minorHAnsi"/>
        </w:rPr>
        <w:t xml:space="preserve">443 US 97 (1979); </w:t>
      </w:r>
      <w:r w:rsidRPr="00207115">
        <w:rPr>
          <w:rFonts w:cstheme="minorHAnsi"/>
          <w:i/>
          <w:iCs/>
        </w:rPr>
        <w:t xml:space="preserve">The Florida Star v BJF </w:t>
      </w:r>
      <w:r w:rsidRPr="00207115">
        <w:rPr>
          <w:rFonts w:cstheme="minorHAnsi"/>
        </w:rPr>
        <w:t xml:space="preserve">491 US 524 (1989). These cases all concerned the identities of the victims of a crime, rather than that of the offender. </w:t>
      </w:r>
    </w:p>
  </w:footnote>
  <w:footnote w:id="114">
    <w:p w14:paraId="5B80D5DF" w14:textId="102E90B2"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t>
      </w:r>
      <w:proofErr w:type="spellStart"/>
      <w:r w:rsidRPr="00207115">
        <w:rPr>
          <w:rFonts w:cstheme="minorHAnsi"/>
          <w:i/>
          <w:iCs/>
        </w:rPr>
        <w:t>Bartnicki</w:t>
      </w:r>
      <w:proofErr w:type="spellEnd"/>
      <w:r w:rsidRPr="00207115">
        <w:rPr>
          <w:rFonts w:cstheme="minorHAnsi"/>
          <w:i/>
          <w:iCs/>
        </w:rPr>
        <w:t xml:space="preserve"> v </w:t>
      </w:r>
      <w:proofErr w:type="spellStart"/>
      <w:r w:rsidRPr="00207115">
        <w:rPr>
          <w:rFonts w:cstheme="minorHAnsi"/>
          <w:i/>
          <w:iCs/>
        </w:rPr>
        <w:t>Vopper</w:t>
      </w:r>
      <w:proofErr w:type="spellEnd"/>
      <w:r w:rsidRPr="00207115">
        <w:rPr>
          <w:rFonts w:cstheme="minorHAnsi"/>
          <w:i/>
          <w:iCs/>
        </w:rPr>
        <w:t xml:space="preserve"> </w:t>
      </w:r>
      <w:r w:rsidRPr="00207115">
        <w:rPr>
          <w:rFonts w:cstheme="minorHAnsi"/>
        </w:rPr>
        <w:t>532 US 514 (2001).</w:t>
      </w:r>
    </w:p>
  </w:footnote>
  <w:footnote w:id="115">
    <w:p w14:paraId="4EBA9B54" w14:textId="1283F515"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t>
      </w:r>
      <w:r w:rsidRPr="00207115">
        <w:rPr>
          <w:rFonts w:cstheme="minorHAnsi"/>
          <w:i/>
          <w:iCs/>
        </w:rPr>
        <w:t xml:space="preserve">Cox Broadcasting Corp v Cohn </w:t>
      </w:r>
      <w:r w:rsidRPr="00207115">
        <w:rPr>
          <w:rFonts w:cstheme="minorHAnsi"/>
        </w:rPr>
        <w:t>420 US 469 (1975).</w:t>
      </w:r>
    </w:p>
  </w:footnote>
  <w:footnote w:id="116">
    <w:p w14:paraId="75032E29" w14:textId="3DF2416F"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ibid 494f. </w:t>
      </w:r>
    </w:p>
  </w:footnote>
  <w:footnote w:id="117">
    <w:p w14:paraId="21B8B8EB" w14:textId="7D4E613C"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t>
      </w:r>
      <w:r w:rsidRPr="00207115">
        <w:rPr>
          <w:rFonts w:cstheme="minorHAnsi"/>
          <w:i/>
          <w:iCs/>
        </w:rPr>
        <w:t xml:space="preserve">Smith v Daily Mail Publishing Co </w:t>
      </w:r>
      <w:r w:rsidRPr="00207115">
        <w:rPr>
          <w:rFonts w:cstheme="minorHAnsi"/>
        </w:rPr>
        <w:t xml:space="preserve">443 US 97, 103 (1979) summarising </w:t>
      </w:r>
      <w:r w:rsidRPr="00207115">
        <w:rPr>
          <w:rFonts w:cstheme="minorHAnsi"/>
          <w:i/>
          <w:iCs/>
        </w:rPr>
        <w:t xml:space="preserve">Oklahoma Publishing Co v District Court </w:t>
      </w:r>
      <w:r w:rsidRPr="00207115">
        <w:rPr>
          <w:rFonts w:cstheme="minorHAnsi"/>
        </w:rPr>
        <w:t xml:space="preserve">430 US 308 (1975), approved in </w:t>
      </w:r>
      <w:r w:rsidRPr="00207115">
        <w:rPr>
          <w:rFonts w:cstheme="minorHAnsi"/>
          <w:i/>
          <w:iCs/>
        </w:rPr>
        <w:t xml:space="preserve">The Florida Star v BJF  </w:t>
      </w:r>
      <w:r w:rsidRPr="00207115">
        <w:rPr>
          <w:rFonts w:cstheme="minorHAnsi"/>
        </w:rPr>
        <w:t>491 US 524, 535 (1989).</w:t>
      </w:r>
    </w:p>
  </w:footnote>
  <w:footnote w:id="118">
    <w:p w14:paraId="1BC6197B" w14:textId="144AE1CA"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t>
      </w:r>
      <w:r w:rsidRPr="00207115">
        <w:rPr>
          <w:rFonts w:cstheme="minorHAnsi"/>
          <w:i/>
          <w:iCs/>
        </w:rPr>
        <w:t>Gates v Discovery Communications Inc</w:t>
      </w:r>
      <w:r w:rsidRPr="00207115">
        <w:rPr>
          <w:rFonts w:cstheme="minorHAnsi"/>
        </w:rPr>
        <w:t xml:space="preserve"> 34 Cal 4</w:t>
      </w:r>
      <w:r w:rsidRPr="00207115">
        <w:rPr>
          <w:rFonts w:cstheme="minorHAnsi"/>
          <w:vertAlign w:val="superscript"/>
        </w:rPr>
        <w:t>th</w:t>
      </w:r>
      <w:r w:rsidRPr="00207115">
        <w:rPr>
          <w:rFonts w:cstheme="minorHAnsi"/>
        </w:rPr>
        <w:t xml:space="preserve"> 679 (2004). See also Eberle (n 1) 191f describes how free speech was elevated to its status as the ‘premier fundamental freedom’ through its incorporation into other rights/freedoms starting with the Due Process Clause (14</w:t>
      </w:r>
      <w:r w:rsidRPr="00207115">
        <w:rPr>
          <w:rFonts w:cstheme="minorHAnsi"/>
          <w:vertAlign w:val="superscript"/>
        </w:rPr>
        <w:t>th</w:t>
      </w:r>
      <w:r w:rsidRPr="00207115">
        <w:rPr>
          <w:rFonts w:cstheme="minorHAnsi"/>
        </w:rPr>
        <w:t xml:space="preserve"> Amendment) in </w:t>
      </w:r>
      <w:r w:rsidRPr="00207115">
        <w:rPr>
          <w:rFonts w:cstheme="minorHAnsi"/>
          <w:i/>
        </w:rPr>
        <w:t>Gitlow v New York</w:t>
      </w:r>
      <w:r w:rsidRPr="00207115">
        <w:rPr>
          <w:rFonts w:cstheme="minorHAnsi"/>
        </w:rPr>
        <w:t xml:space="preserve"> 268 US 652 (1925). Note </w:t>
      </w:r>
      <w:proofErr w:type="spellStart"/>
      <w:r w:rsidRPr="00207115">
        <w:rPr>
          <w:rFonts w:cstheme="minorHAnsi"/>
        </w:rPr>
        <w:t>too</w:t>
      </w:r>
      <w:proofErr w:type="spellEnd"/>
      <w:r w:rsidRPr="00207115">
        <w:rPr>
          <w:rFonts w:cstheme="minorHAnsi"/>
        </w:rPr>
        <w:t xml:space="preserve"> the curtailing of defamation claims by public officials in </w:t>
      </w:r>
      <w:r w:rsidRPr="00207115">
        <w:rPr>
          <w:rFonts w:cstheme="minorHAnsi"/>
          <w:i/>
          <w:iCs/>
        </w:rPr>
        <w:t>New York Times Co v Sullivan</w:t>
      </w:r>
      <w:r w:rsidRPr="00207115">
        <w:rPr>
          <w:rFonts w:cstheme="minorHAnsi"/>
        </w:rPr>
        <w:t xml:space="preserve"> 376 US 254 (1964).</w:t>
      </w:r>
    </w:p>
  </w:footnote>
  <w:footnote w:id="119">
    <w:p w14:paraId="2B837593" w14:textId="17C4C06D"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Prosser (n </w:t>
      </w:r>
      <w:r w:rsidR="00394C50" w:rsidRPr="00207115">
        <w:rPr>
          <w:rFonts w:cstheme="minorHAnsi"/>
        </w:rPr>
        <w:t>10</w:t>
      </w:r>
      <w:r w:rsidR="0067292B">
        <w:rPr>
          <w:rFonts w:cstheme="minorHAnsi"/>
        </w:rPr>
        <w:t>4</w:t>
      </w:r>
      <w:r w:rsidRPr="00207115">
        <w:rPr>
          <w:rFonts w:cstheme="minorHAnsi"/>
        </w:rPr>
        <w:t>) 396f.</w:t>
      </w:r>
    </w:p>
  </w:footnote>
  <w:footnote w:id="120">
    <w:p w14:paraId="3C2862CE" w14:textId="77777777" w:rsidR="00C75CA9" w:rsidRPr="00186A6E" w:rsidRDefault="00C75CA9">
      <w:pPr>
        <w:pStyle w:val="FootnoteText"/>
        <w:jc w:val="both"/>
        <w:rPr>
          <w:rFonts w:cstheme="minorHAnsi"/>
        </w:rPr>
      </w:pPr>
      <w:r w:rsidRPr="00186A6E">
        <w:rPr>
          <w:rStyle w:val="FootnoteReference"/>
          <w:rFonts w:cstheme="minorHAnsi"/>
        </w:rPr>
        <w:footnoteRef/>
      </w:r>
      <w:r w:rsidRPr="00186A6E">
        <w:rPr>
          <w:rFonts w:cstheme="minorHAnsi"/>
        </w:rPr>
        <w:t xml:space="preserve"> See discussion below on the disentitling effect of such self-help actions under Art 8 ECHR. </w:t>
      </w:r>
    </w:p>
  </w:footnote>
  <w:footnote w:id="121">
    <w:p w14:paraId="05FB3B13" w14:textId="1D1D9BF3" w:rsidR="00186A6E" w:rsidRPr="00186A6E" w:rsidRDefault="00C75CA9">
      <w:pPr>
        <w:spacing w:after="0" w:line="240" w:lineRule="auto"/>
        <w:jc w:val="both"/>
        <w:rPr>
          <w:rFonts w:cstheme="minorHAnsi"/>
          <w:sz w:val="20"/>
          <w:szCs w:val="20"/>
        </w:rPr>
      </w:pPr>
      <w:r w:rsidRPr="00186A6E">
        <w:rPr>
          <w:rStyle w:val="FootnoteReference"/>
          <w:rFonts w:cstheme="minorHAnsi"/>
          <w:sz w:val="20"/>
          <w:szCs w:val="20"/>
        </w:rPr>
        <w:footnoteRef/>
      </w:r>
      <w:r w:rsidRPr="00186A6E">
        <w:rPr>
          <w:rFonts w:cstheme="minorHAnsi"/>
          <w:sz w:val="20"/>
          <w:szCs w:val="20"/>
        </w:rPr>
        <w:t xml:space="preserve"> Virginia Dressler, ‘Google Quietly Rolls Out the Right to be Forgotten mechanism in the US’ (14 June 2022)</w:t>
      </w:r>
      <w:r w:rsidRPr="00186A6E">
        <w:rPr>
          <w:rFonts w:cstheme="minorHAnsi"/>
          <w:i/>
          <w:iCs/>
          <w:sz w:val="20"/>
          <w:szCs w:val="20"/>
        </w:rPr>
        <w:t xml:space="preserve"> Office for Intellectual Freedom of the American Library Association </w:t>
      </w:r>
      <w:r w:rsidRPr="00186A6E">
        <w:rPr>
          <w:rFonts w:cstheme="minorHAnsi"/>
          <w:iCs/>
          <w:sz w:val="20"/>
          <w:szCs w:val="20"/>
        </w:rPr>
        <w:t>&lt;</w:t>
      </w:r>
      <w:hyperlink r:id="rId3" w:history="1">
        <w:r w:rsidRPr="00186A6E">
          <w:rPr>
            <w:rStyle w:val="Hyperlink"/>
            <w:rFonts w:cstheme="minorHAnsi"/>
            <w:sz w:val="20"/>
            <w:szCs w:val="20"/>
          </w:rPr>
          <w:t>https://www.oif.ala.org/oif/google-quietly-rolls-out-the-right-to-be-forgotten-mechanism-in-the-us/</w:t>
        </w:r>
      </w:hyperlink>
      <w:r w:rsidRPr="00186A6E">
        <w:rPr>
          <w:rStyle w:val="Hyperlink"/>
          <w:rFonts w:cstheme="minorHAnsi"/>
          <w:sz w:val="20"/>
          <w:szCs w:val="20"/>
        </w:rPr>
        <w:t>&gt;</w:t>
      </w:r>
      <w:r w:rsidRPr="00186A6E">
        <w:rPr>
          <w:rFonts w:cstheme="minorHAnsi"/>
          <w:sz w:val="20"/>
          <w:szCs w:val="20"/>
        </w:rPr>
        <w:t xml:space="preserve"> </w:t>
      </w:r>
      <w:r w:rsidR="002558A7" w:rsidRPr="00186A6E">
        <w:rPr>
          <w:rFonts w:cstheme="minorHAnsi"/>
          <w:sz w:val="20"/>
          <w:szCs w:val="20"/>
        </w:rPr>
        <w:t xml:space="preserve">The right </w:t>
      </w:r>
      <w:r w:rsidR="00186A6E" w:rsidRPr="00186A6E">
        <w:rPr>
          <w:rFonts w:cstheme="minorHAnsi"/>
          <w:sz w:val="20"/>
          <w:szCs w:val="20"/>
        </w:rPr>
        <w:t xml:space="preserve">is limited to information such as </w:t>
      </w:r>
      <w:r w:rsidR="00186A6E" w:rsidRPr="00641E7B">
        <w:rPr>
          <w:sz w:val="20"/>
          <w:szCs w:val="20"/>
        </w:rPr>
        <w:t>phone numbers,</w:t>
      </w:r>
      <w:r w:rsidR="00186A6E" w:rsidRPr="00186A6E">
        <w:rPr>
          <w:sz w:val="20"/>
          <w:szCs w:val="20"/>
        </w:rPr>
        <w:t xml:space="preserve"> </w:t>
      </w:r>
      <w:r w:rsidR="00186A6E" w:rsidRPr="00641E7B">
        <w:rPr>
          <w:sz w:val="20"/>
          <w:szCs w:val="20"/>
        </w:rPr>
        <w:t>email or physical addresses, handwritten signatures, non-consensual explicit or intimate personal images, involuntary fake pornography, or personal content on websites with exploitative removal practices.</w:t>
      </w:r>
    </w:p>
  </w:footnote>
  <w:footnote w:id="122">
    <w:p w14:paraId="35BF2EBE" w14:textId="2757B8A4" w:rsidR="00C75CA9" w:rsidRPr="00186A6E" w:rsidRDefault="00C75CA9">
      <w:pPr>
        <w:pStyle w:val="FootnoteText"/>
        <w:jc w:val="both"/>
        <w:rPr>
          <w:rFonts w:cstheme="minorHAnsi"/>
        </w:rPr>
      </w:pPr>
      <w:r w:rsidRPr="00186A6E">
        <w:rPr>
          <w:rStyle w:val="FootnoteReference"/>
          <w:rFonts w:cstheme="minorHAnsi"/>
        </w:rPr>
        <w:footnoteRef/>
      </w:r>
      <w:r w:rsidRPr="00186A6E">
        <w:rPr>
          <w:rFonts w:cstheme="minorHAnsi"/>
        </w:rPr>
        <w:t xml:space="preserve"> </w:t>
      </w:r>
      <w:r w:rsidRPr="00186A6E">
        <w:rPr>
          <w:rStyle w:val="Emphasis"/>
          <w:rFonts w:cstheme="minorHAnsi"/>
        </w:rPr>
        <w:t>ML and WW v Germany</w:t>
      </w:r>
      <w:r w:rsidRPr="00186A6E">
        <w:rPr>
          <w:rStyle w:val="Emphasis"/>
          <w:rFonts w:cstheme="minorHAnsi"/>
          <w:i w:val="0"/>
        </w:rPr>
        <w:t xml:space="preserve"> [2018] ECHR 554. </w:t>
      </w:r>
    </w:p>
  </w:footnote>
  <w:footnote w:id="123">
    <w:p w14:paraId="430F5EB5" w14:textId="7B583F7F" w:rsidR="00C75CA9" w:rsidRPr="00207115" w:rsidRDefault="00C75CA9">
      <w:pPr>
        <w:pStyle w:val="FootnoteText"/>
        <w:jc w:val="both"/>
        <w:rPr>
          <w:rFonts w:cstheme="minorHAnsi"/>
        </w:rPr>
      </w:pPr>
      <w:r w:rsidRPr="00186A6E">
        <w:rPr>
          <w:rStyle w:val="FootnoteReference"/>
          <w:rFonts w:cstheme="minorHAnsi"/>
        </w:rPr>
        <w:footnoteRef/>
      </w:r>
      <w:r w:rsidRPr="00186A6E">
        <w:rPr>
          <w:rFonts w:cstheme="minorHAnsi"/>
        </w:rPr>
        <w:t xml:space="preserve"> </w:t>
      </w:r>
      <w:r w:rsidRPr="00186A6E">
        <w:rPr>
          <w:rStyle w:val="Emphasis"/>
          <w:rFonts w:cstheme="minorHAnsi"/>
        </w:rPr>
        <w:t xml:space="preserve">NT1 &amp; NT2 v Google LLC </w:t>
      </w:r>
      <w:r w:rsidRPr="00186A6E">
        <w:rPr>
          <w:rFonts w:cstheme="minorHAnsi"/>
          <w:i/>
        </w:rPr>
        <w:t xml:space="preserve">(The Information Commissioner intervening) </w:t>
      </w:r>
      <w:r w:rsidRPr="00186A6E">
        <w:rPr>
          <w:rFonts w:cstheme="minorHAnsi"/>
        </w:rPr>
        <w:t xml:space="preserve">[2018] EWHC 799 (QB); for other recent cases on public disclosure of </w:t>
      </w:r>
      <w:r w:rsidRPr="00207115">
        <w:rPr>
          <w:rFonts w:cstheme="minorHAnsi"/>
        </w:rPr>
        <w:t xml:space="preserve">spent convictions, see </w:t>
      </w:r>
      <w:r w:rsidRPr="00207115">
        <w:rPr>
          <w:rFonts w:cstheme="minorHAnsi"/>
          <w:i/>
        </w:rPr>
        <w:t>Hayden v Duckworth</w:t>
      </w:r>
      <w:r w:rsidRPr="00207115">
        <w:rPr>
          <w:rFonts w:cstheme="minorHAnsi"/>
        </w:rPr>
        <w:t xml:space="preserve"> [2021] EWHC 1033 (QB); </w:t>
      </w:r>
      <w:r w:rsidRPr="00207115">
        <w:rPr>
          <w:rFonts w:cstheme="minorHAnsi"/>
          <w:i/>
        </w:rPr>
        <w:t>Hayden v Dickenson</w:t>
      </w:r>
      <w:r w:rsidRPr="00207115">
        <w:rPr>
          <w:rFonts w:cstheme="minorHAnsi"/>
        </w:rPr>
        <w:t xml:space="preserve"> [2020] EWHC 3291 (QB).</w:t>
      </w:r>
    </w:p>
  </w:footnote>
  <w:footnote w:id="124">
    <w:p w14:paraId="66219901" w14:textId="3AE6F4EB" w:rsidR="00C75CA9" w:rsidRPr="00207115" w:rsidRDefault="00C75CA9">
      <w:pPr>
        <w:spacing w:after="0" w:line="240" w:lineRule="auto"/>
        <w:jc w:val="both"/>
        <w:rPr>
          <w:rFonts w:eastAsia="Times New Roman" w:cstheme="minorHAnsi"/>
          <w:sz w:val="20"/>
          <w:szCs w:val="20"/>
          <w:lang w:eastAsia="en-GB"/>
        </w:rPr>
      </w:pPr>
      <w:r w:rsidRPr="00207115">
        <w:rPr>
          <w:rStyle w:val="FootnoteReference"/>
          <w:rFonts w:cstheme="minorHAnsi"/>
          <w:sz w:val="20"/>
          <w:szCs w:val="20"/>
        </w:rPr>
        <w:footnoteRef/>
      </w:r>
      <w:r w:rsidRPr="00207115">
        <w:rPr>
          <w:rFonts w:cstheme="minorHAnsi"/>
          <w:sz w:val="20"/>
          <w:szCs w:val="20"/>
        </w:rPr>
        <w:t xml:space="preserve"> Juliane </w:t>
      </w:r>
      <w:proofErr w:type="spellStart"/>
      <w:r w:rsidRPr="00207115">
        <w:rPr>
          <w:rFonts w:cstheme="minorHAnsi"/>
          <w:sz w:val="20"/>
          <w:szCs w:val="20"/>
        </w:rPr>
        <w:t>Kokott</w:t>
      </w:r>
      <w:proofErr w:type="spellEnd"/>
      <w:r w:rsidRPr="00207115">
        <w:rPr>
          <w:rFonts w:cstheme="minorHAnsi"/>
          <w:sz w:val="20"/>
          <w:szCs w:val="20"/>
        </w:rPr>
        <w:t xml:space="preserve">, Christoph </w:t>
      </w:r>
      <w:proofErr w:type="spellStart"/>
      <w:r w:rsidRPr="00207115">
        <w:rPr>
          <w:rFonts w:cstheme="minorHAnsi"/>
          <w:sz w:val="20"/>
          <w:szCs w:val="20"/>
        </w:rPr>
        <w:t>Sobotta</w:t>
      </w:r>
      <w:proofErr w:type="spellEnd"/>
      <w:r w:rsidRPr="00207115">
        <w:rPr>
          <w:rFonts w:cstheme="minorHAnsi"/>
          <w:sz w:val="20"/>
          <w:szCs w:val="20"/>
        </w:rPr>
        <w:t xml:space="preserve">, ‘The distinction between privacy and data protection in the jurisprudence of the CJEU and the ECtHR’ (2013) 3(4) </w:t>
      </w:r>
      <w:r w:rsidRPr="00207115">
        <w:rPr>
          <w:rFonts w:cstheme="minorHAnsi"/>
          <w:i/>
          <w:sz w:val="20"/>
          <w:szCs w:val="20"/>
        </w:rPr>
        <w:t>International Data Privacy Law</w:t>
      </w:r>
      <w:r w:rsidRPr="00207115">
        <w:rPr>
          <w:rFonts w:cstheme="minorHAnsi"/>
          <w:sz w:val="20"/>
          <w:szCs w:val="20"/>
        </w:rPr>
        <w:t xml:space="preserve"> 222; </w:t>
      </w:r>
      <w:r w:rsidRPr="00207115">
        <w:rPr>
          <w:rFonts w:eastAsia="TimesNewRomanPSMT" w:cstheme="minorHAnsi"/>
          <w:sz w:val="20"/>
          <w:szCs w:val="20"/>
        </w:rPr>
        <w:t xml:space="preserve">De </w:t>
      </w:r>
      <w:proofErr w:type="spellStart"/>
      <w:r w:rsidRPr="00207115">
        <w:rPr>
          <w:rFonts w:eastAsia="TimesNewRomanPSMT" w:cstheme="minorHAnsi"/>
          <w:sz w:val="20"/>
          <w:szCs w:val="20"/>
        </w:rPr>
        <w:t>Hert</w:t>
      </w:r>
      <w:proofErr w:type="spellEnd"/>
      <w:r w:rsidRPr="00207115">
        <w:rPr>
          <w:rFonts w:eastAsia="TimesNewRomanPSMT" w:cstheme="minorHAnsi"/>
          <w:sz w:val="20"/>
          <w:szCs w:val="20"/>
        </w:rPr>
        <w:t xml:space="preserve"> (n 7</w:t>
      </w:r>
      <w:r w:rsidR="001F5F2B" w:rsidRPr="00207115">
        <w:rPr>
          <w:rFonts w:eastAsia="TimesNewRomanPSMT" w:cstheme="minorHAnsi"/>
          <w:sz w:val="20"/>
          <w:szCs w:val="20"/>
        </w:rPr>
        <w:t>7</w:t>
      </w:r>
      <w:r w:rsidRPr="00207115">
        <w:rPr>
          <w:rFonts w:eastAsia="TimesNewRomanPSMT" w:cstheme="minorHAnsi"/>
          <w:sz w:val="20"/>
          <w:szCs w:val="20"/>
        </w:rPr>
        <w:t>) 3. An arguably preferable approach to their relationship has been taken in the EU Charter of Fundamental Rights where privacy and data protection exist slide by side as distinct and independent rights in Art 7 (privacy) and Art 8 (data protection).</w:t>
      </w:r>
    </w:p>
  </w:footnote>
  <w:footnote w:id="125">
    <w:p w14:paraId="388A970E" w14:textId="494E9C69" w:rsidR="00C75CA9" w:rsidRPr="00207115" w:rsidRDefault="00C75CA9">
      <w:pPr>
        <w:pStyle w:val="FootnoteText"/>
        <w:ind w:left="720" w:hanging="720"/>
        <w:jc w:val="both"/>
        <w:rPr>
          <w:rFonts w:cstheme="minorHAnsi"/>
        </w:rPr>
      </w:pPr>
      <w:r w:rsidRPr="00207115">
        <w:rPr>
          <w:rStyle w:val="FootnoteReference"/>
          <w:rFonts w:cstheme="minorHAnsi"/>
        </w:rPr>
        <w:footnoteRef/>
      </w:r>
      <w:r w:rsidRPr="00207115">
        <w:rPr>
          <w:rFonts w:cstheme="minorHAnsi"/>
        </w:rPr>
        <w:t xml:space="preserve"> </w:t>
      </w:r>
      <w:r w:rsidRPr="00207115">
        <w:rPr>
          <w:rFonts w:cstheme="minorHAnsi"/>
          <w:i/>
        </w:rPr>
        <w:t>ML &amp; WW</w:t>
      </w:r>
      <w:r w:rsidRPr="00207115">
        <w:rPr>
          <w:rFonts w:cstheme="minorHAnsi"/>
        </w:rPr>
        <w:t xml:space="preserve"> (n 12</w:t>
      </w:r>
      <w:r w:rsidR="00D90FF2" w:rsidRPr="00207115">
        <w:rPr>
          <w:rFonts w:cstheme="minorHAnsi"/>
        </w:rPr>
        <w:t>8</w:t>
      </w:r>
      <w:r w:rsidRPr="00207115">
        <w:rPr>
          <w:rFonts w:cstheme="minorHAnsi"/>
        </w:rPr>
        <w:t xml:space="preserve">) para 97, acknowledging the difference. </w:t>
      </w:r>
    </w:p>
  </w:footnote>
  <w:footnote w:id="126">
    <w:p w14:paraId="3D134498" w14:textId="6294A9EF" w:rsidR="00F605CC" w:rsidRPr="00207115" w:rsidRDefault="00F605CC">
      <w:pPr>
        <w:pStyle w:val="FootnoteText"/>
        <w:jc w:val="both"/>
        <w:rPr>
          <w:rFonts w:cstheme="minorHAnsi"/>
        </w:rPr>
      </w:pPr>
      <w:r w:rsidRPr="00207115">
        <w:rPr>
          <w:rStyle w:val="FootnoteReference"/>
          <w:rFonts w:cstheme="minorHAnsi"/>
        </w:rPr>
        <w:footnoteRef/>
      </w:r>
      <w:r w:rsidRPr="00207115">
        <w:rPr>
          <w:rFonts w:cstheme="minorHAnsi"/>
        </w:rPr>
        <w:t xml:space="preserve"> Oliver </w:t>
      </w:r>
      <w:proofErr w:type="spellStart"/>
      <w:r w:rsidRPr="00207115">
        <w:rPr>
          <w:rFonts w:cstheme="minorHAnsi"/>
        </w:rPr>
        <w:t>Diggelmann</w:t>
      </w:r>
      <w:proofErr w:type="spellEnd"/>
      <w:r w:rsidRPr="00207115">
        <w:rPr>
          <w:rFonts w:cstheme="minorHAnsi"/>
        </w:rPr>
        <w:t xml:space="preserve">, Maria Nicole </w:t>
      </w:r>
      <w:proofErr w:type="spellStart"/>
      <w:r w:rsidRPr="00207115">
        <w:rPr>
          <w:rFonts w:cstheme="minorHAnsi"/>
        </w:rPr>
        <w:t>Cleis</w:t>
      </w:r>
      <w:proofErr w:type="spellEnd"/>
      <w:r w:rsidRPr="00207115">
        <w:rPr>
          <w:rFonts w:cstheme="minorHAnsi"/>
        </w:rPr>
        <w:t xml:space="preserve">, ‘How the Right to privacy Became a Human Right’ (2014) 14 </w:t>
      </w:r>
      <w:r w:rsidRPr="00207115">
        <w:rPr>
          <w:rFonts w:cstheme="minorHAnsi"/>
          <w:i/>
        </w:rPr>
        <w:t xml:space="preserve">Human Rights Review </w:t>
      </w:r>
      <w:r w:rsidRPr="00207115">
        <w:rPr>
          <w:rFonts w:cstheme="minorHAnsi"/>
        </w:rPr>
        <w:t>441</w:t>
      </w:r>
      <w:r w:rsidR="0061752A">
        <w:rPr>
          <w:rFonts w:cstheme="minorHAnsi"/>
        </w:rPr>
        <w:t>, 452: ‘The UDHR was clearly the most important point of reference.’</w:t>
      </w:r>
      <w:r w:rsidRPr="00207115">
        <w:rPr>
          <w:rFonts w:cstheme="minorHAnsi"/>
        </w:rPr>
        <w:t xml:space="preserve"> (</w:t>
      </w:r>
      <w:proofErr w:type="gramStart"/>
      <w:r w:rsidRPr="00207115">
        <w:rPr>
          <w:rFonts w:cstheme="minorHAnsi"/>
        </w:rPr>
        <w:t>tracing</w:t>
      </w:r>
      <w:proofErr w:type="gramEnd"/>
      <w:r w:rsidRPr="00207115">
        <w:rPr>
          <w:rFonts w:cstheme="minorHAnsi"/>
        </w:rPr>
        <w:t xml:space="preserve"> the unusual birth of privacy as a human right international</w:t>
      </w:r>
      <w:r w:rsidR="00E7266E">
        <w:rPr>
          <w:rFonts w:cstheme="minorHAnsi"/>
        </w:rPr>
        <w:t xml:space="preserve">ly </w:t>
      </w:r>
      <w:r w:rsidRPr="00207115">
        <w:rPr>
          <w:rFonts w:cstheme="minorHAnsi"/>
        </w:rPr>
        <w:t xml:space="preserve">despite not having enjoyed </w:t>
      </w:r>
      <w:r w:rsidR="00515EF2">
        <w:rPr>
          <w:rFonts w:cstheme="minorHAnsi"/>
        </w:rPr>
        <w:t xml:space="preserve">explicit </w:t>
      </w:r>
      <w:r w:rsidRPr="00207115">
        <w:rPr>
          <w:rFonts w:cstheme="minorHAnsi"/>
        </w:rPr>
        <w:t xml:space="preserve">recognition in </w:t>
      </w:r>
      <w:r>
        <w:rPr>
          <w:rFonts w:cstheme="minorHAnsi"/>
        </w:rPr>
        <w:t xml:space="preserve">any </w:t>
      </w:r>
      <w:r w:rsidRPr="00207115">
        <w:rPr>
          <w:rFonts w:cstheme="minorHAnsi"/>
        </w:rPr>
        <w:t xml:space="preserve">constitutions). </w:t>
      </w:r>
    </w:p>
  </w:footnote>
  <w:footnote w:id="127">
    <w:p w14:paraId="6DF07C36" w14:textId="5B116D89" w:rsidR="00512014" w:rsidRPr="00207115" w:rsidRDefault="00512014">
      <w:pPr>
        <w:pStyle w:val="FootnoteText"/>
        <w:jc w:val="both"/>
        <w:rPr>
          <w:rFonts w:cstheme="minorHAnsi"/>
        </w:rPr>
      </w:pPr>
      <w:r w:rsidRPr="00207115">
        <w:rPr>
          <w:rStyle w:val="FootnoteReference"/>
          <w:rFonts w:cstheme="minorHAnsi"/>
        </w:rPr>
        <w:footnoteRef/>
      </w:r>
      <w:r w:rsidRPr="00207115">
        <w:rPr>
          <w:rFonts w:cstheme="minorHAnsi"/>
        </w:rPr>
        <w:t xml:space="preserve"> </w:t>
      </w:r>
      <w:r w:rsidR="0061752A">
        <w:rPr>
          <w:rFonts w:cstheme="minorHAnsi"/>
        </w:rPr>
        <w:t>Ibid 445.</w:t>
      </w:r>
    </w:p>
  </w:footnote>
  <w:footnote w:id="128">
    <w:p w14:paraId="350F51D3" w14:textId="005B5FD4" w:rsidR="000B1C0F" w:rsidRDefault="000B1C0F" w:rsidP="00641E7B">
      <w:pPr>
        <w:pStyle w:val="FootnoteText"/>
        <w:jc w:val="both"/>
      </w:pPr>
      <w:r>
        <w:rPr>
          <w:rStyle w:val="FootnoteReference"/>
        </w:rPr>
        <w:footnoteRef/>
      </w:r>
      <w:r>
        <w:t xml:space="preserve"> Ibid 446, 449. </w:t>
      </w:r>
      <w:r w:rsidR="00E7266E">
        <w:t>‘</w:t>
      </w:r>
      <w:r w:rsidR="0000421F">
        <w:t>The Statement of Essential Human Rights</w:t>
      </w:r>
      <w:r w:rsidR="00E7266E">
        <w:t>’</w:t>
      </w:r>
      <w:r w:rsidR="0000421F">
        <w:t xml:space="preserve"> (1945) itself </w:t>
      </w:r>
      <w:r w:rsidR="00E7266E">
        <w:t xml:space="preserve">was </w:t>
      </w:r>
      <w:r w:rsidR="0000421F">
        <w:t xml:space="preserve">drafted by a multi-national committee </w:t>
      </w:r>
      <w:r w:rsidR="00E7266E">
        <w:t xml:space="preserve">(with a strong US presence </w:t>
      </w:r>
      <w:proofErr w:type="gramStart"/>
      <w:r w:rsidR="00E7266E">
        <w:t>i.e.</w:t>
      </w:r>
      <w:proofErr w:type="gramEnd"/>
      <w:r w:rsidR="00E7266E">
        <w:t xml:space="preserve"> 12 out of 25 members) and</w:t>
      </w:r>
      <w:r w:rsidR="0000421F">
        <w:t xml:space="preserve"> include</w:t>
      </w:r>
      <w:r w:rsidR="00E7266E">
        <w:t>d</w:t>
      </w:r>
      <w:r w:rsidR="0000421F">
        <w:t xml:space="preserve"> Art 6 on Freedom from Wrongful Interference:</w:t>
      </w:r>
      <w:r w:rsidR="00E7266E">
        <w:t xml:space="preserve"> ‘</w:t>
      </w:r>
      <w:r w:rsidR="0000421F">
        <w:t>Freedom from unreasonable interference with his person, home, reputation, privacy and, activities, and property is the right of every one.’</w:t>
      </w:r>
    </w:p>
  </w:footnote>
  <w:footnote w:id="129">
    <w:p w14:paraId="5F468D3A" w14:textId="04C2A1A7" w:rsidR="004D0CE0" w:rsidRDefault="004D0CE0" w:rsidP="00641E7B">
      <w:pPr>
        <w:pStyle w:val="CommentText"/>
        <w:spacing w:after="0"/>
        <w:jc w:val="both"/>
      </w:pPr>
      <w:r w:rsidRPr="00E96006">
        <w:rPr>
          <w:rStyle w:val="FootnoteReference"/>
        </w:rPr>
        <w:footnoteRef/>
      </w:r>
      <w:r w:rsidRPr="00E96006">
        <w:t xml:space="preserve"> See, f</w:t>
      </w:r>
      <w:r w:rsidRPr="0067292B">
        <w:t xml:space="preserve">or example, the </w:t>
      </w:r>
      <w:r w:rsidRPr="00641E7B">
        <w:t>Greek Constitution of 1911</w:t>
      </w:r>
      <w:bookmarkStart w:id="18" w:name="Art._3"/>
      <w:r w:rsidRPr="00641E7B">
        <w:t>: Art</w:t>
      </w:r>
      <w:bookmarkEnd w:id="18"/>
      <w:r w:rsidRPr="00641E7B">
        <w:t xml:space="preserve"> 3 </w:t>
      </w:r>
      <w:r w:rsidRPr="00E96006">
        <w:t xml:space="preserve">The Greeks are </w:t>
      </w:r>
      <w:r w:rsidRPr="00641E7B">
        <w:t>equal in</w:t>
      </w:r>
      <w:r w:rsidRPr="00E96006">
        <w:t xml:space="preserve"> the eye of the law and contribute without distinction to the public burdens according to their ability</w:t>
      </w:r>
      <w:bookmarkStart w:id="19" w:name="Art._4"/>
      <w:r w:rsidR="0061752A">
        <w:t>;</w:t>
      </w:r>
      <w:r w:rsidRPr="00E96006">
        <w:t xml:space="preserve"> </w:t>
      </w:r>
      <w:bookmarkStart w:id="20" w:name="Art._12"/>
      <w:bookmarkEnd w:id="19"/>
      <w:r w:rsidRPr="00641E7B">
        <w:t>Art</w:t>
      </w:r>
      <w:bookmarkEnd w:id="20"/>
      <w:r w:rsidR="0061752A">
        <w:t xml:space="preserve"> 12 </w:t>
      </w:r>
      <w:r w:rsidRPr="00E96006">
        <w:t>The dwelling is inviolable</w:t>
      </w:r>
      <w:r w:rsidR="0061752A">
        <w:t>;</w:t>
      </w:r>
      <w:r w:rsidRPr="00E96006">
        <w:t xml:space="preserve"> </w:t>
      </w:r>
      <w:r w:rsidRPr="00641E7B">
        <w:t>Art 20</w:t>
      </w:r>
      <w:bookmarkStart w:id="21" w:name="Art._20"/>
      <w:r w:rsidRPr="00E96006">
        <w:t xml:space="preserve"> The secrecy of letters is </w:t>
      </w:r>
      <w:proofErr w:type="gramStart"/>
      <w:r w:rsidRPr="00E96006">
        <w:t>absolutely inviolabl</w:t>
      </w:r>
      <w:r w:rsidR="0061752A">
        <w:t>e</w:t>
      </w:r>
      <w:bookmarkEnd w:id="21"/>
      <w:proofErr w:type="gramEnd"/>
      <w:r w:rsidRPr="00641E7B">
        <w:t>;</w:t>
      </w:r>
      <w:r w:rsidR="0061752A">
        <w:t xml:space="preserve"> the</w:t>
      </w:r>
      <w:r w:rsidRPr="00641E7B">
        <w:t xml:space="preserve"> </w:t>
      </w:r>
      <w:r w:rsidR="0061752A">
        <w:t>Weimar</w:t>
      </w:r>
      <w:r w:rsidRPr="00641E7B">
        <w:t xml:space="preserve"> Constitution of 1919</w:t>
      </w:r>
      <w:r w:rsidR="0061752A">
        <w:t xml:space="preserve"> (Germany)</w:t>
      </w:r>
      <w:r w:rsidRPr="00641E7B">
        <w:t>:</w:t>
      </w:r>
      <w:r w:rsidRPr="00E96006">
        <w:t xml:space="preserve"> </w:t>
      </w:r>
      <w:r w:rsidRPr="00641E7B">
        <w:t xml:space="preserve">Art 109 </w:t>
      </w:r>
      <w:r w:rsidR="0061752A">
        <w:t>All Germans are equal before the law. Men and women have the same fundamental civil rights and duties. Public legal privileges or disadvantages of birth or of rank are abolished…;</w:t>
      </w:r>
      <w:r w:rsidRPr="00E96006">
        <w:t xml:space="preserve"> </w:t>
      </w:r>
      <w:r w:rsidRPr="00641E7B">
        <w:t>Art 115</w:t>
      </w:r>
      <w:r w:rsidR="0061752A">
        <w:t xml:space="preserve"> </w:t>
      </w:r>
      <w:r w:rsidRPr="00E96006">
        <w:t>The home of every German is his sanctuary and is inviolable</w:t>
      </w:r>
      <w:r w:rsidR="0061752A">
        <w:t>...</w:t>
      </w:r>
      <w:r w:rsidRPr="00E96006">
        <w:t xml:space="preserve">; </w:t>
      </w:r>
      <w:r w:rsidRPr="00641E7B">
        <w:t xml:space="preserve">Art 117 </w:t>
      </w:r>
      <w:r w:rsidR="0061752A">
        <w:t>The secrecy of letters and all postal, telegraph, and telephone communications is inviolable</w:t>
      </w:r>
      <w:r w:rsidR="00E7266E">
        <w:t>…</w:t>
      </w:r>
    </w:p>
  </w:footnote>
  <w:footnote w:id="130">
    <w:p w14:paraId="77BFA5AE" w14:textId="2A3FEFF4" w:rsidR="00C75CA9" w:rsidRPr="00207115" w:rsidRDefault="00C75CA9">
      <w:pPr>
        <w:autoSpaceDE w:val="0"/>
        <w:autoSpaceDN w:val="0"/>
        <w:adjustRightInd w:val="0"/>
        <w:spacing w:after="0" w:line="240" w:lineRule="auto"/>
        <w:jc w:val="both"/>
        <w:rPr>
          <w:rFonts w:cstheme="minorHAnsi"/>
          <w:sz w:val="20"/>
          <w:szCs w:val="20"/>
        </w:rPr>
      </w:pPr>
      <w:r w:rsidRPr="00207115">
        <w:rPr>
          <w:rStyle w:val="FootnoteReference"/>
          <w:rFonts w:cstheme="minorHAnsi"/>
          <w:sz w:val="20"/>
          <w:szCs w:val="20"/>
        </w:rPr>
        <w:footnoteRef/>
      </w:r>
      <w:r w:rsidRPr="00207115">
        <w:rPr>
          <w:rFonts w:cstheme="minorHAnsi"/>
          <w:sz w:val="20"/>
          <w:szCs w:val="20"/>
        </w:rPr>
        <w:t xml:space="preserve"> Ed Bates, </w:t>
      </w:r>
      <w:r w:rsidRPr="00207115">
        <w:rPr>
          <w:rFonts w:cstheme="minorHAnsi"/>
          <w:i/>
          <w:sz w:val="20"/>
          <w:szCs w:val="20"/>
        </w:rPr>
        <w:t xml:space="preserve">The Evolution of the European Convention on Human Rights </w:t>
      </w:r>
      <w:r w:rsidRPr="00207115">
        <w:rPr>
          <w:rFonts w:cstheme="minorHAnsi"/>
          <w:sz w:val="20"/>
          <w:szCs w:val="20"/>
        </w:rPr>
        <w:t>(OUP 2010) 5ff.</w:t>
      </w:r>
    </w:p>
  </w:footnote>
  <w:footnote w:id="131">
    <w:p w14:paraId="48DFFD95" w14:textId="67D33518" w:rsidR="00C75CA9" w:rsidRPr="00207115" w:rsidRDefault="00C75CA9">
      <w:pPr>
        <w:autoSpaceDE w:val="0"/>
        <w:autoSpaceDN w:val="0"/>
        <w:adjustRightInd w:val="0"/>
        <w:spacing w:after="0" w:line="240" w:lineRule="auto"/>
        <w:jc w:val="both"/>
        <w:rPr>
          <w:rFonts w:cstheme="minorHAnsi"/>
          <w:iCs/>
          <w:sz w:val="20"/>
          <w:szCs w:val="20"/>
        </w:rPr>
      </w:pPr>
      <w:r w:rsidRPr="00207115">
        <w:rPr>
          <w:rStyle w:val="FootnoteReference"/>
          <w:rFonts w:cstheme="minorHAnsi"/>
          <w:sz w:val="20"/>
          <w:szCs w:val="20"/>
        </w:rPr>
        <w:footnoteRef/>
      </w:r>
      <w:r w:rsidRPr="00207115">
        <w:rPr>
          <w:rFonts w:cstheme="minorHAnsi"/>
          <w:sz w:val="20"/>
          <w:szCs w:val="20"/>
        </w:rPr>
        <w:t xml:space="preserve"> </w:t>
      </w:r>
      <w:r w:rsidRPr="00207115">
        <w:rPr>
          <w:rFonts w:cstheme="minorHAnsi"/>
          <w:i/>
          <w:sz w:val="20"/>
          <w:szCs w:val="20"/>
        </w:rPr>
        <w:t xml:space="preserve">Von </w:t>
      </w:r>
      <w:r w:rsidRPr="00207115">
        <w:rPr>
          <w:rFonts w:cstheme="minorHAnsi"/>
          <w:i/>
          <w:iCs/>
          <w:sz w:val="20"/>
          <w:szCs w:val="20"/>
        </w:rPr>
        <w:t xml:space="preserve">Hannover v Germany </w:t>
      </w:r>
      <w:r w:rsidRPr="00207115">
        <w:rPr>
          <w:rFonts w:cstheme="minorHAnsi"/>
          <w:sz w:val="20"/>
          <w:szCs w:val="20"/>
        </w:rPr>
        <w:t xml:space="preserve">59320/00 [2004] ECHR 294 (24 June 2004); discussed in NA </w:t>
      </w:r>
      <w:proofErr w:type="spellStart"/>
      <w:r w:rsidRPr="00207115">
        <w:rPr>
          <w:rFonts w:cstheme="minorHAnsi"/>
          <w:sz w:val="20"/>
          <w:szCs w:val="20"/>
        </w:rPr>
        <w:t>Moreham</w:t>
      </w:r>
      <w:proofErr w:type="spellEnd"/>
      <w:r w:rsidRPr="00207115">
        <w:rPr>
          <w:rFonts w:cstheme="minorHAnsi"/>
          <w:sz w:val="20"/>
          <w:szCs w:val="20"/>
        </w:rPr>
        <w:t xml:space="preserve">, ‘Privacy in public places’ (2006) 65(3) </w:t>
      </w:r>
      <w:r w:rsidRPr="00207115">
        <w:rPr>
          <w:rFonts w:cstheme="minorHAnsi"/>
          <w:i/>
          <w:sz w:val="20"/>
          <w:szCs w:val="20"/>
        </w:rPr>
        <w:t>The Cambridge Law Journal</w:t>
      </w:r>
      <w:r w:rsidRPr="00207115">
        <w:rPr>
          <w:rFonts w:cstheme="minorHAnsi"/>
          <w:sz w:val="20"/>
          <w:szCs w:val="20"/>
        </w:rPr>
        <w:t xml:space="preserve"> 606; Fenwick (n 4</w:t>
      </w:r>
      <w:r w:rsidR="00207115" w:rsidRPr="00207115">
        <w:rPr>
          <w:rFonts w:cstheme="minorHAnsi"/>
          <w:sz w:val="20"/>
          <w:szCs w:val="20"/>
        </w:rPr>
        <w:t>8</w:t>
      </w:r>
      <w:r w:rsidRPr="00207115">
        <w:rPr>
          <w:rFonts w:cstheme="minorHAnsi"/>
          <w:sz w:val="20"/>
          <w:szCs w:val="20"/>
        </w:rPr>
        <w:t xml:space="preserve">) 671ff. For important forerunners, see </w:t>
      </w:r>
      <w:r w:rsidRPr="00207115">
        <w:rPr>
          <w:rFonts w:cstheme="minorHAnsi"/>
          <w:i/>
          <w:iCs/>
          <w:sz w:val="20"/>
          <w:szCs w:val="20"/>
        </w:rPr>
        <w:t xml:space="preserve">Peck </w:t>
      </w:r>
      <w:proofErr w:type="gramStart"/>
      <w:r w:rsidRPr="00207115">
        <w:rPr>
          <w:rFonts w:cstheme="minorHAnsi"/>
          <w:i/>
          <w:iCs/>
          <w:sz w:val="20"/>
          <w:szCs w:val="20"/>
        </w:rPr>
        <w:t>v</w:t>
      </w:r>
      <w:proofErr w:type="gramEnd"/>
      <w:r w:rsidRPr="00207115">
        <w:rPr>
          <w:rFonts w:cstheme="minorHAnsi"/>
          <w:i/>
          <w:iCs/>
          <w:sz w:val="20"/>
          <w:szCs w:val="20"/>
        </w:rPr>
        <w:t xml:space="preserve"> the United Kingdom</w:t>
      </w:r>
      <w:r w:rsidRPr="00207115">
        <w:rPr>
          <w:rFonts w:cstheme="minorHAnsi"/>
          <w:sz w:val="20"/>
          <w:szCs w:val="20"/>
        </w:rPr>
        <w:t xml:space="preserve"> App No 44647/98 [2003] ECHR 44; </w:t>
      </w:r>
      <w:r w:rsidRPr="00207115">
        <w:rPr>
          <w:rFonts w:cstheme="minorHAnsi"/>
          <w:i/>
          <w:sz w:val="20"/>
          <w:szCs w:val="20"/>
        </w:rPr>
        <w:t xml:space="preserve">PG and JH v United Kingdom </w:t>
      </w:r>
      <w:r w:rsidRPr="00207115">
        <w:rPr>
          <w:rFonts w:cstheme="minorHAnsi"/>
          <w:sz w:val="20"/>
          <w:szCs w:val="20"/>
        </w:rPr>
        <w:t xml:space="preserve">App No 44787/98 [2001] ECHR 550. For subsequent decisions on the positive obligations of States to guard against </w:t>
      </w:r>
      <w:r w:rsidRPr="00207115">
        <w:rPr>
          <w:rStyle w:val="Emphasis"/>
          <w:rFonts w:cstheme="minorHAnsi"/>
          <w:i w:val="0"/>
          <w:sz w:val="20"/>
          <w:szCs w:val="20"/>
        </w:rPr>
        <w:t>horizontal violations</w:t>
      </w:r>
      <w:r w:rsidRPr="00207115">
        <w:rPr>
          <w:rFonts w:cstheme="minorHAnsi"/>
          <w:sz w:val="20"/>
          <w:szCs w:val="20"/>
        </w:rPr>
        <w:t xml:space="preserve">, see, </w:t>
      </w:r>
      <w:r w:rsidRPr="00207115">
        <w:rPr>
          <w:rFonts w:cstheme="minorHAnsi"/>
          <w:i/>
          <w:sz w:val="20"/>
          <w:szCs w:val="20"/>
        </w:rPr>
        <w:t>KU v Finland</w:t>
      </w:r>
      <w:r w:rsidRPr="00207115">
        <w:rPr>
          <w:rFonts w:cstheme="minorHAnsi"/>
          <w:sz w:val="20"/>
          <w:szCs w:val="20"/>
        </w:rPr>
        <w:t xml:space="preserve"> App No 2872/02 [2008] ECHR, para 42-51; </w:t>
      </w:r>
      <w:proofErr w:type="spellStart"/>
      <w:r w:rsidRPr="00207115">
        <w:rPr>
          <w:rFonts w:cstheme="minorHAnsi"/>
          <w:i/>
          <w:sz w:val="20"/>
          <w:szCs w:val="20"/>
        </w:rPr>
        <w:t>Ageyevy</w:t>
      </w:r>
      <w:proofErr w:type="spellEnd"/>
      <w:r w:rsidRPr="00207115">
        <w:rPr>
          <w:rFonts w:cstheme="minorHAnsi"/>
          <w:i/>
          <w:sz w:val="20"/>
          <w:szCs w:val="20"/>
        </w:rPr>
        <w:t xml:space="preserve"> v Russia</w:t>
      </w:r>
      <w:r w:rsidRPr="00207115">
        <w:rPr>
          <w:rFonts w:cstheme="minorHAnsi"/>
          <w:sz w:val="20"/>
          <w:szCs w:val="20"/>
        </w:rPr>
        <w:t xml:space="preserve"> App No 7075/10 [2013] ECHR 346, para 194-195: </w:t>
      </w:r>
      <w:bookmarkStart w:id="22" w:name="para194"/>
      <w:r w:rsidRPr="00207115">
        <w:rPr>
          <w:rFonts w:cstheme="minorHAnsi"/>
          <w:sz w:val="20"/>
          <w:szCs w:val="20"/>
        </w:rPr>
        <w:t>‘although the object of Article 8 is essentially to protect the individual against arbitrary interference by the public authorities, it does not merely compel the State to abstain from such interference: in addition to this primarily negative undertaking, there may be positive obligations inherent in an effective respect for private or family life</w:t>
      </w:r>
      <w:bookmarkEnd w:id="22"/>
      <w:r w:rsidRPr="00207115">
        <w:rPr>
          <w:rFonts w:cstheme="minorHAnsi"/>
          <w:sz w:val="20"/>
          <w:szCs w:val="20"/>
        </w:rPr>
        <w:t>…</w:t>
      </w:r>
      <w:bookmarkStart w:id="23" w:name="para195"/>
      <w:r w:rsidRPr="00207115">
        <w:rPr>
          <w:rFonts w:cstheme="minorHAnsi"/>
          <w:sz w:val="20"/>
          <w:szCs w:val="20"/>
        </w:rPr>
        <w:t xml:space="preserve"> These obligations may involve the adoption of measures designed to secure respect for private life even in the sphere of the relations of individuals between themselves.</w:t>
      </w:r>
      <w:bookmarkEnd w:id="23"/>
      <w:r w:rsidRPr="00207115">
        <w:rPr>
          <w:rFonts w:cstheme="minorHAnsi"/>
          <w:sz w:val="20"/>
          <w:szCs w:val="20"/>
        </w:rPr>
        <w:t>’</w:t>
      </w:r>
    </w:p>
  </w:footnote>
  <w:footnote w:id="132">
    <w:p w14:paraId="54101EC2" w14:textId="7C03D2B7"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t>
      </w:r>
      <w:r w:rsidRPr="00207115">
        <w:rPr>
          <w:rFonts w:cstheme="minorHAnsi"/>
          <w:i/>
        </w:rPr>
        <w:t xml:space="preserve">Von </w:t>
      </w:r>
      <w:r w:rsidRPr="00207115">
        <w:rPr>
          <w:rFonts w:cstheme="minorHAnsi"/>
          <w:i/>
          <w:iCs/>
        </w:rPr>
        <w:t xml:space="preserve">Hannover v Germany </w:t>
      </w:r>
      <w:r w:rsidRPr="00207115">
        <w:rPr>
          <w:rFonts w:cstheme="minorHAnsi"/>
        </w:rPr>
        <w:t>(n 1</w:t>
      </w:r>
      <w:r w:rsidR="00394C50" w:rsidRPr="00207115">
        <w:rPr>
          <w:rFonts w:cstheme="minorHAnsi"/>
        </w:rPr>
        <w:t>3</w:t>
      </w:r>
      <w:r w:rsidR="0067292B">
        <w:rPr>
          <w:rFonts w:cstheme="minorHAnsi"/>
        </w:rPr>
        <w:t>3</w:t>
      </w:r>
      <w:r w:rsidRPr="00207115">
        <w:rPr>
          <w:rFonts w:cstheme="minorHAnsi"/>
        </w:rPr>
        <w:t>) [emphasis added].</w:t>
      </w:r>
    </w:p>
  </w:footnote>
  <w:footnote w:id="133">
    <w:p w14:paraId="51DCE13A" w14:textId="39B7B2F0"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t>
      </w:r>
      <w:r w:rsidRPr="00207115">
        <w:rPr>
          <w:rFonts w:cstheme="minorHAnsi"/>
          <w:i/>
        </w:rPr>
        <w:t>Von Hannover v Germany</w:t>
      </w:r>
      <w:r w:rsidRPr="00207115">
        <w:rPr>
          <w:rFonts w:cstheme="minorHAnsi"/>
        </w:rPr>
        <w:t xml:space="preserve"> (n 1</w:t>
      </w:r>
      <w:r w:rsidR="00394C50" w:rsidRPr="00207115">
        <w:rPr>
          <w:rFonts w:cstheme="minorHAnsi"/>
        </w:rPr>
        <w:t>3</w:t>
      </w:r>
      <w:r w:rsidR="0067292B">
        <w:rPr>
          <w:rFonts w:cstheme="minorHAnsi"/>
        </w:rPr>
        <w:t>3</w:t>
      </w:r>
      <w:r w:rsidRPr="00207115">
        <w:rPr>
          <w:rFonts w:cstheme="minorHAnsi"/>
        </w:rPr>
        <w:t xml:space="preserve">) para 57, citing in support: </w:t>
      </w:r>
      <w:r w:rsidRPr="00207115">
        <w:rPr>
          <w:rFonts w:eastAsia="Times New Roman" w:cstheme="minorHAnsi"/>
          <w:i/>
          <w:iCs/>
          <w:lang w:eastAsia="en-GB"/>
        </w:rPr>
        <w:t xml:space="preserve">X and Y v the Netherlands </w:t>
      </w:r>
      <w:r w:rsidRPr="00207115">
        <w:rPr>
          <w:rFonts w:cstheme="minorHAnsi"/>
          <w:i/>
        </w:rPr>
        <w:t>- 8978/80</w:t>
      </w:r>
      <w:r w:rsidRPr="00207115">
        <w:rPr>
          <w:rFonts w:eastAsia="Times New Roman" w:cstheme="minorHAnsi"/>
          <w:lang w:eastAsia="en-GB"/>
        </w:rPr>
        <w:t xml:space="preserve"> [1985] ECHR 4, para 23; </w:t>
      </w:r>
      <w:proofErr w:type="spellStart"/>
      <w:r w:rsidRPr="00207115">
        <w:rPr>
          <w:rFonts w:eastAsia="Times New Roman" w:cstheme="minorHAnsi"/>
          <w:i/>
          <w:iCs/>
          <w:lang w:eastAsia="en-GB"/>
        </w:rPr>
        <w:t>Stjerna</w:t>
      </w:r>
      <w:proofErr w:type="spellEnd"/>
      <w:r w:rsidRPr="00207115">
        <w:rPr>
          <w:rFonts w:eastAsia="Times New Roman" w:cstheme="minorHAnsi"/>
          <w:i/>
          <w:iCs/>
          <w:lang w:eastAsia="en-GB"/>
        </w:rPr>
        <w:t xml:space="preserve"> v Finland -18131/91</w:t>
      </w:r>
      <w:r w:rsidRPr="00207115">
        <w:rPr>
          <w:rFonts w:eastAsia="Times New Roman" w:cstheme="minorHAnsi"/>
          <w:lang w:eastAsia="en-GB"/>
        </w:rPr>
        <w:t xml:space="preserve"> [1994] ECHR 43, para 38; </w:t>
      </w:r>
      <w:proofErr w:type="spellStart"/>
      <w:r w:rsidRPr="00207115">
        <w:rPr>
          <w:rFonts w:eastAsia="Times New Roman" w:cstheme="minorHAnsi"/>
          <w:i/>
          <w:iCs/>
          <w:lang w:eastAsia="en-GB"/>
        </w:rPr>
        <w:t>Verliere</w:t>
      </w:r>
      <w:proofErr w:type="spellEnd"/>
      <w:r w:rsidRPr="00207115">
        <w:rPr>
          <w:rFonts w:eastAsia="Times New Roman" w:cstheme="minorHAnsi"/>
          <w:i/>
          <w:iCs/>
          <w:lang w:eastAsia="en-GB"/>
        </w:rPr>
        <w:t xml:space="preserve"> v Switzerland</w:t>
      </w:r>
      <w:r w:rsidRPr="00207115">
        <w:rPr>
          <w:rFonts w:eastAsia="Times New Roman" w:cstheme="minorHAnsi"/>
          <w:lang w:eastAsia="en-GB"/>
        </w:rPr>
        <w:t xml:space="preserve"> - </w:t>
      </w:r>
      <w:r w:rsidRPr="00207115">
        <w:rPr>
          <w:rFonts w:eastAsia="Times New Roman" w:cstheme="minorHAnsi"/>
          <w:i/>
          <w:lang w:eastAsia="en-GB"/>
        </w:rPr>
        <w:t>41953/98</w:t>
      </w:r>
      <w:r w:rsidRPr="00207115">
        <w:rPr>
          <w:rFonts w:eastAsia="Times New Roman" w:cstheme="minorHAnsi"/>
          <w:lang w:eastAsia="en-GB"/>
        </w:rPr>
        <w:t xml:space="preserve"> [2001] ECHR </w:t>
      </w:r>
      <w:r w:rsidRPr="00207115">
        <w:rPr>
          <w:rFonts w:cstheme="minorHAnsi"/>
        </w:rPr>
        <w:t>2001-VII.</w:t>
      </w:r>
    </w:p>
  </w:footnote>
  <w:footnote w:id="134">
    <w:p w14:paraId="3A5C18A5" w14:textId="57586FC9"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Meaning an ‘absolute public figure’, see </w:t>
      </w:r>
      <w:r w:rsidRPr="00207115">
        <w:rPr>
          <w:rFonts w:cstheme="minorHAnsi"/>
          <w:i/>
        </w:rPr>
        <w:t xml:space="preserve">Von </w:t>
      </w:r>
      <w:r w:rsidRPr="00207115">
        <w:rPr>
          <w:rFonts w:cstheme="minorHAnsi"/>
          <w:i/>
          <w:iCs/>
        </w:rPr>
        <w:t xml:space="preserve">Hannover v Germany </w:t>
      </w:r>
      <w:r w:rsidRPr="00207115">
        <w:rPr>
          <w:rFonts w:cstheme="minorHAnsi"/>
        </w:rPr>
        <w:t>(n 1</w:t>
      </w:r>
      <w:r w:rsidR="00394C50" w:rsidRPr="00207115">
        <w:rPr>
          <w:rFonts w:cstheme="minorHAnsi"/>
        </w:rPr>
        <w:t>3</w:t>
      </w:r>
      <w:r w:rsidR="0067292B">
        <w:rPr>
          <w:rFonts w:cstheme="minorHAnsi"/>
        </w:rPr>
        <w:t>3ko</w:t>
      </w:r>
      <w:r w:rsidRPr="00207115">
        <w:rPr>
          <w:rFonts w:cstheme="minorHAnsi"/>
        </w:rPr>
        <w:t>) para 19, 23, 25.</w:t>
      </w:r>
    </w:p>
  </w:footnote>
  <w:footnote w:id="135">
    <w:p w14:paraId="7EFE6170" w14:textId="5B0C1F49"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See quote (n 130) (excerpted from </w:t>
      </w:r>
      <w:r w:rsidRPr="00207115">
        <w:rPr>
          <w:rFonts w:cstheme="minorHAnsi"/>
          <w:i/>
        </w:rPr>
        <w:t>Von Hannover v Germany</w:t>
      </w:r>
      <w:r w:rsidRPr="00207115">
        <w:rPr>
          <w:rFonts w:cstheme="minorHAnsi"/>
        </w:rPr>
        <w:t xml:space="preserve"> (n 1</w:t>
      </w:r>
      <w:r w:rsidR="00394C50" w:rsidRPr="00207115">
        <w:rPr>
          <w:rFonts w:cstheme="minorHAnsi"/>
        </w:rPr>
        <w:t>35</w:t>
      </w:r>
      <w:r w:rsidRPr="00207115">
        <w:rPr>
          <w:rFonts w:cstheme="minorHAnsi"/>
        </w:rPr>
        <w:t>)), one might query whether ‘back’ is the appropriate term in case of Art 8. The decision has been rightly criticised for cutting the margin of appreciation to a ‘vanishing point’ and for misunderstanding the nuanced privacy entitlements of public figures in German jurisprudence: Fenwick (n 4</w:t>
      </w:r>
      <w:r w:rsidR="00207115" w:rsidRPr="00207115">
        <w:rPr>
          <w:rFonts w:cstheme="minorHAnsi"/>
        </w:rPr>
        <w:t>8</w:t>
      </w:r>
      <w:r w:rsidRPr="00207115">
        <w:rPr>
          <w:rFonts w:cstheme="minorHAnsi"/>
        </w:rPr>
        <w:t xml:space="preserve">) 674; </w:t>
      </w:r>
      <w:proofErr w:type="spellStart"/>
      <w:r w:rsidRPr="00207115">
        <w:rPr>
          <w:rFonts w:cstheme="minorHAnsi"/>
        </w:rPr>
        <w:t>Markesinis</w:t>
      </w:r>
      <w:proofErr w:type="spellEnd"/>
      <w:r w:rsidRPr="00207115">
        <w:rPr>
          <w:rFonts w:cstheme="minorHAnsi"/>
        </w:rPr>
        <w:t xml:space="preserve"> (</w:t>
      </w:r>
      <w:r w:rsidR="001F5F2B" w:rsidRPr="00207115">
        <w:rPr>
          <w:rFonts w:cstheme="minorHAnsi"/>
        </w:rPr>
        <w:t>n 1</w:t>
      </w:r>
      <w:r w:rsidRPr="00207115">
        <w:rPr>
          <w:rFonts w:cstheme="minorHAnsi"/>
        </w:rPr>
        <w:t>) 146f, 185ff.</w:t>
      </w:r>
    </w:p>
  </w:footnote>
  <w:footnote w:id="136">
    <w:p w14:paraId="0978EC52" w14:textId="721A4598"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Based on Art 8 and 10 the ECHR; and the duty imposed by the Human Rights Act 1998 that public authority must act </w:t>
      </w:r>
      <w:bookmarkStart w:id="24" w:name="para52"/>
      <w:r w:rsidRPr="00207115">
        <w:rPr>
          <w:rFonts w:cstheme="minorHAnsi"/>
        </w:rPr>
        <w:t>compatibly with both parties' Convention rights</w:t>
      </w:r>
      <w:bookmarkEnd w:id="24"/>
      <w:r w:rsidRPr="00207115">
        <w:rPr>
          <w:rFonts w:cstheme="minorHAnsi"/>
        </w:rPr>
        <w:t xml:space="preserve">, and in the case of courts interpret the law consistently with Convention Rights.  </w:t>
      </w:r>
    </w:p>
  </w:footnote>
  <w:footnote w:id="137">
    <w:p w14:paraId="7F0EB238" w14:textId="7B192C4D"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t>
      </w:r>
      <w:r w:rsidRPr="00207115">
        <w:rPr>
          <w:rFonts w:cstheme="minorHAnsi"/>
          <w:i/>
          <w:iCs/>
        </w:rPr>
        <w:t xml:space="preserve">Campbell v MGN Ltd </w:t>
      </w:r>
      <w:r w:rsidRPr="00207115">
        <w:rPr>
          <w:rFonts w:cstheme="minorHAnsi"/>
        </w:rPr>
        <w:t>(n 3</w:t>
      </w:r>
      <w:r w:rsidR="000238D8" w:rsidRPr="00207115">
        <w:rPr>
          <w:rFonts w:cstheme="minorHAnsi"/>
        </w:rPr>
        <w:t>7</w:t>
      </w:r>
      <w:r w:rsidRPr="00207115">
        <w:rPr>
          <w:rFonts w:cstheme="minorHAnsi"/>
        </w:rPr>
        <w:t xml:space="preserve">) para 51, where the House of Lords explicitly recognised the new privacy cause of action and expressed its distinct underlying values in Continental European privacy terms: ‘Instead of the cause of action being based upon the duty of good faith applicable to confidential personal information and trade secrets alike, it focuses upon the protection of human autonomy and dignity – the right to control the dissemination of information about one's private life and the right to the esteem and respect of other people.’ </w:t>
      </w:r>
    </w:p>
  </w:footnote>
  <w:footnote w:id="138">
    <w:p w14:paraId="71D80387" w14:textId="56F6CEB9" w:rsidR="00C75CA9" w:rsidRPr="005927F3" w:rsidRDefault="00C75CA9">
      <w:pPr>
        <w:pStyle w:val="FootnoteText"/>
        <w:jc w:val="both"/>
        <w:rPr>
          <w:rFonts w:cstheme="minorHAnsi"/>
          <w:lang w:val="de-DE"/>
        </w:rPr>
      </w:pPr>
      <w:r w:rsidRPr="00207115">
        <w:rPr>
          <w:rStyle w:val="FootnoteReference"/>
          <w:rFonts w:cstheme="minorHAnsi"/>
        </w:rPr>
        <w:footnoteRef/>
      </w:r>
      <w:r w:rsidRPr="005927F3">
        <w:rPr>
          <w:rFonts w:cstheme="minorHAnsi"/>
          <w:lang w:val="de-DE"/>
        </w:rPr>
        <w:t xml:space="preserve"> Phillipson (n 30) 735ff.</w:t>
      </w:r>
    </w:p>
  </w:footnote>
  <w:footnote w:id="139">
    <w:p w14:paraId="2ABD885D" w14:textId="197E085E" w:rsidR="00C75CA9" w:rsidRPr="005927F3" w:rsidRDefault="00C75CA9">
      <w:pPr>
        <w:pStyle w:val="FootnoteText"/>
        <w:jc w:val="both"/>
        <w:rPr>
          <w:rFonts w:cstheme="minorHAnsi"/>
          <w:lang w:val="de-DE"/>
        </w:rPr>
      </w:pPr>
      <w:r w:rsidRPr="00207115">
        <w:rPr>
          <w:rStyle w:val="FootnoteReference"/>
          <w:rFonts w:cstheme="minorHAnsi"/>
        </w:rPr>
        <w:footnoteRef/>
      </w:r>
      <w:r w:rsidRPr="005927F3">
        <w:rPr>
          <w:rFonts w:cstheme="minorHAnsi"/>
          <w:lang w:val="de-DE"/>
        </w:rPr>
        <w:t xml:space="preserve"> </w:t>
      </w:r>
      <w:r w:rsidRPr="005927F3">
        <w:rPr>
          <w:rFonts w:cstheme="minorHAnsi"/>
          <w:i/>
          <w:iCs/>
          <w:lang w:val="de-DE"/>
        </w:rPr>
        <w:t xml:space="preserve">Z </w:t>
      </w:r>
      <w:r w:rsidRPr="005927F3">
        <w:rPr>
          <w:rFonts w:cstheme="minorHAnsi"/>
          <w:lang w:val="de-DE"/>
        </w:rPr>
        <w:t xml:space="preserve">v </w:t>
      </w:r>
      <w:r w:rsidRPr="005927F3">
        <w:rPr>
          <w:rFonts w:cstheme="minorHAnsi"/>
          <w:i/>
          <w:iCs/>
          <w:lang w:val="de-DE"/>
        </w:rPr>
        <w:t xml:space="preserve">Finland </w:t>
      </w:r>
      <w:r w:rsidRPr="005927F3">
        <w:rPr>
          <w:rFonts w:cstheme="minorHAnsi"/>
          <w:lang w:val="de-DE"/>
        </w:rPr>
        <w:t xml:space="preserve">(1998) 25 EHRR 371, para 95-97; </w:t>
      </w:r>
      <w:r w:rsidRPr="005927F3">
        <w:rPr>
          <w:rStyle w:val="s6b621b36"/>
          <w:rFonts w:cstheme="minorHAnsi"/>
          <w:i/>
          <w:lang w:val="de-DE"/>
        </w:rPr>
        <w:t>Rotaru v Romania</w:t>
      </w:r>
      <w:r w:rsidRPr="005927F3">
        <w:rPr>
          <w:rStyle w:val="s6b621b36"/>
          <w:rFonts w:cstheme="minorHAnsi"/>
          <w:lang w:val="de-DE"/>
        </w:rPr>
        <w:t xml:space="preserve"> </w:t>
      </w:r>
      <w:r w:rsidRPr="005927F3">
        <w:rPr>
          <w:rStyle w:val="sb8d990e2"/>
          <w:rFonts w:cstheme="minorHAnsi"/>
          <w:i/>
          <w:lang w:val="de-DE"/>
        </w:rPr>
        <w:t>28341/95</w:t>
      </w:r>
      <w:r w:rsidRPr="005927F3">
        <w:rPr>
          <w:rFonts w:cstheme="minorHAnsi"/>
          <w:i/>
          <w:lang w:val="de-DE"/>
        </w:rPr>
        <w:t xml:space="preserve"> </w:t>
      </w:r>
      <w:r w:rsidRPr="005927F3">
        <w:rPr>
          <w:rFonts w:cstheme="minorHAnsi"/>
          <w:lang w:val="de-DE"/>
        </w:rPr>
        <w:t xml:space="preserve">[2000] ECHR 192, para 43; </w:t>
      </w:r>
      <w:r w:rsidRPr="005927F3">
        <w:rPr>
          <w:rFonts w:cstheme="minorHAnsi"/>
          <w:i/>
          <w:iCs/>
          <w:lang w:val="de-DE"/>
        </w:rPr>
        <w:t>Amann v Switzerland</w:t>
      </w:r>
      <w:r w:rsidRPr="005927F3">
        <w:rPr>
          <w:rFonts w:cstheme="minorHAnsi"/>
          <w:lang w:val="de-DE"/>
        </w:rPr>
        <w:t xml:space="preserve"> 27798/95 [2000] ECHR 88, para 65.</w:t>
      </w:r>
    </w:p>
  </w:footnote>
  <w:footnote w:id="140">
    <w:p w14:paraId="44252A82" w14:textId="76C5609C"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t>
      </w:r>
      <w:proofErr w:type="spellStart"/>
      <w:r w:rsidRPr="00207115">
        <w:rPr>
          <w:rFonts w:cstheme="minorHAnsi"/>
        </w:rPr>
        <w:t>Kokott</w:t>
      </w:r>
      <w:proofErr w:type="spellEnd"/>
      <w:r w:rsidRPr="00207115">
        <w:rPr>
          <w:rFonts w:cstheme="minorHAnsi"/>
        </w:rPr>
        <w:t xml:space="preserve"> (n 1</w:t>
      </w:r>
      <w:r w:rsidR="0067292B">
        <w:rPr>
          <w:rFonts w:cstheme="minorHAnsi"/>
        </w:rPr>
        <w:t>24</w:t>
      </w:r>
      <w:r w:rsidRPr="00207115">
        <w:rPr>
          <w:rFonts w:cstheme="minorHAnsi"/>
        </w:rPr>
        <w:t xml:space="preserve">) 224. </w:t>
      </w:r>
    </w:p>
  </w:footnote>
  <w:footnote w:id="141">
    <w:p w14:paraId="60DC8515" w14:textId="0D1844C6"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t>
      </w:r>
      <w:r w:rsidRPr="00207115">
        <w:rPr>
          <w:rFonts w:cstheme="minorHAnsi"/>
          <w:i/>
        </w:rPr>
        <w:t>MM v United Kingdom 24029/07</w:t>
      </w:r>
      <w:r w:rsidRPr="00207115">
        <w:rPr>
          <w:rFonts w:cstheme="minorHAnsi"/>
        </w:rPr>
        <w:t xml:space="preserve"> [2012] ECHR 1906, para 188, discussed in </w:t>
      </w:r>
      <w:proofErr w:type="spellStart"/>
      <w:r w:rsidRPr="00207115">
        <w:rPr>
          <w:rFonts w:cstheme="minorHAnsi"/>
        </w:rPr>
        <w:t>Kokott</w:t>
      </w:r>
      <w:proofErr w:type="spellEnd"/>
      <w:r w:rsidRPr="00207115">
        <w:rPr>
          <w:rFonts w:cstheme="minorHAnsi"/>
        </w:rPr>
        <w:t xml:space="preserve"> (n 1</w:t>
      </w:r>
      <w:r w:rsidR="0067292B">
        <w:rPr>
          <w:rFonts w:cstheme="minorHAnsi"/>
        </w:rPr>
        <w:t>24</w:t>
      </w:r>
      <w:r w:rsidRPr="00207115">
        <w:rPr>
          <w:rFonts w:cstheme="minorHAnsi"/>
        </w:rPr>
        <w:t xml:space="preserve">) 224; see also </w:t>
      </w:r>
      <w:proofErr w:type="spellStart"/>
      <w:r w:rsidRPr="00207115">
        <w:rPr>
          <w:rStyle w:val="s6b621b36"/>
          <w:rFonts w:cstheme="minorHAnsi"/>
          <w:i/>
        </w:rPr>
        <w:t>Rotaru</w:t>
      </w:r>
      <w:proofErr w:type="spellEnd"/>
      <w:r w:rsidRPr="00207115">
        <w:rPr>
          <w:rStyle w:val="s6b621b36"/>
          <w:rFonts w:cstheme="minorHAnsi"/>
          <w:i/>
        </w:rPr>
        <w:t xml:space="preserve"> v Romania</w:t>
      </w:r>
      <w:r w:rsidRPr="00207115">
        <w:rPr>
          <w:rStyle w:val="s6b621b36"/>
          <w:rFonts w:cstheme="minorHAnsi"/>
        </w:rPr>
        <w:t xml:space="preserve"> </w:t>
      </w:r>
      <w:r w:rsidRPr="00207115">
        <w:rPr>
          <w:rStyle w:val="sb8d990e2"/>
          <w:rFonts w:cstheme="minorHAnsi"/>
        </w:rPr>
        <w:t>(n 1</w:t>
      </w:r>
      <w:r w:rsidR="003910DA" w:rsidRPr="00207115">
        <w:rPr>
          <w:rStyle w:val="sb8d990e2"/>
          <w:rFonts w:cstheme="minorHAnsi"/>
        </w:rPr>
        <w:t>41</w:t>
      </w:r>
      <w:r w:rsidRPr="00207115">
        <w:rPr>
          <w:rStyle w:val="sb8d990e2"/>
          <w:rFonts w:cstheme="minorHAnsi"/>
        </w:rPr>
        <w:t>): ‘</w:t>
      </w:r>
      <w:r w:rsidRPr="00207115">
        <w:rPr>
          <w:rFonts w:cstheme="minorHAnsi"/>
        </w:rPr>
        <w:t>Moreover, public information can fall within the scope of private life where it is systematically collected and stored in files held by the authorities. That is all the truer where such information concerns a person's distant past.’</w:t>
      </w:r>
    </w:p>
  </w:footnote>
  <w:footnote w:id="142">
    <w:p w14:paraId="673A7076" w14:textId="67144FFD"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t>
      </w:r>
      <w:r w:rsidRPr="00207115">
        <w:rPr>
          <w:rStyle w:val="Emphasis"/>
          <w:rFonts w:cstheme="minorHAnsi"/>
        </w:rPr>
        <w:t xml:space="preserve">NT1 &amp; NT2 </w:t>
      </w:r>
      <w:r w:rsidRPr="00207115">
        <w:rPr>
          <w:rStyle w:val="Emphasis"/>
          <w:rFonts w:cstheme="minorHAnsi"/>
          <w:i w:val="0"/>
        </w:rPr>
        <w:t>(</w:t>
      </w:r>
      <w:r w:rsidR="00D90FF2" w:rsidRPr="00207115">
        <w:rPr>
          <w:rStyle w:val="Emphasis"/>
          <w:rFonts w:cstheme="minorHAnsi"/>
          <w:i w:val="0"/>
        </w:rPr>
        <w:t>n 129</w:t>
      </w:r>
      <w:r w:rsidRPr="00207115">
        <w:rPr>
          <w:rStyle w:val="Emphasis"/>
          <w:rFonts w:cstheme="minorHAnsi"/>
          <w:i w:val="0"/>
        </w:rPr>
        <w:t xml:space="preserve">) </w:t>
      </w:r>
      <w:r w:rsidRPr="00207115">
        <w:rPr>
          <w:rFonts w:cstheme="minorHAnsi"/>
        </w:rPr>
        <w:t>para 140 [emphasis added], see also para 170.</w:t>
      </w:r>
    </w:p>
  </w:footnote>
  <w:footnote w:id="143">
    <w:p w14:paraId="47F94645" w14:textId="175127FC"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Art 2(a) of the Data Protection Directive, and now Art 4(1) of the GDPR.</w:t>
      </w:r>
    </w:p>
  </w:footnote>
  <w:footnote w:id="144">
    <w:p w14:paraId="41099205" w14:textId="114D9626"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While Art 8 is primarily directed at ‘private’ harms, the ECtHR has held that ‘there is no reason of principle to justify excluding activities of a professional or business nature from the notion of “private life”’: </w:t>
      </w:r>
      <w:proofErr w:type="spellStart"/>
      <w:r w:rsidRPr="00207115">
        <w:rPr>
          <w:rFonts w:cstheme="minorHAnsi"/>
          <w:i/>
          <w:iCs/>
        </w:rPr>
        <w:t>Rotaru</w:t>
      </w:r>
      <w:proofErr w:type="spellEnd"/>
      <w:r w:rsidRPr="00207115">
        <w:rPr>
          <w:rFonts w:cstheme="minorHAnsi"/>
          <w:i/>
          <w:iCs/>
        </w:rPr>
        <w:t xml:space="preserve"> v Romania</w:t>
      </w:r>
      <w:r w:rsidRPr="00207115">
        <w:rPr>
          <w:rFonts w:cstheme="minorHAnsi"/>
        </w:rPr>
        <w:t xml:space="preserve"> (n 1</w:t>
      </w:r>
      <w:r w:rsidR="000238D8" w:rsidRPr="00207115">
        <w:rPr>
          <w:rFonts w:cstheme="minorHAnsi"/>
        </w:rPr>
        <w:t>41</w:t>
      </w:r>
      <w:r w:rsidRPr="00207115">
        <w:rPr>
          <w:rFonts w:cstheme="minorHAnsi"/>
        </w:rPr>
        <w:t>);</w:t>
      </w:r>
      <w:r w:rsidRPr="00207115">
        <w:rPr>
          <w:rFonts w:cstheme="minorHAnsi"/>
          <w:i/>
          <w:iCs/>
        </w:rPr>
        <w:t xml:space="preserve"> Amann v Switzerland</w:t>
      </w:r>
      <w:r w:rsidRPr="00207115">
        <w:rPr>
          <w:rFonts w:cstheme="minorHAnsi"/>
        </w:rPr>
        <w:t xml:space="preserve"> (n 137). For the significant body of ECtHR jurisprudence of privacy entitlements in respect of professional and business activities, see Guide on Art 8 (n 20) 23ff.</w:t>
      </w:r>
    </w:p>
  </w:footnote>
  <w:footnote w:id="145">
    <w:p w14:paraId="27339233" w14:textId="72D1D9CF"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t>
      </w:r>
      <w:r w:rsidRPr="00207115">
        <w:rPr>
          <w:rStyle w:val="Emphasis"/>
          <w:rFonts w:cstheme="minorHAnsi"/>
        </w:rPr>
        <w:t xml:space="preserve">ML &amp; WW </w:t>
      </w:r>
      <w:r w:rsidRPr="00207115">
        <w:rPr>
          <w:rStyle w:val="Emphasis"/>
          <w:rFonts w:cstheme="minorHAnsi"/>
          <w:i w:val="0"/>
        </w:rPr>
        <w:t>(</w:t>
      </w:r>
      <w:r w:rsidR="00D90FF2" w:rsidRPr="00207115">
        <w:rPr>
          <w:rStyle w:val="Emphasis"/>
          <w:rFonts w:cstheme="minorHAnsi"/>
          <w:i w:val="0"/>
        </w:rPr>
        <w:t>n 128</w:t>
      </w:r>
      <w:r w:rsidRPr="00207115">
        <w:rPr>
          <w:rStyle w:val="Emphasis"/>
          <w:rFonts w:cstheme="minorHAnsi"/>
          <w:i w:val="0"/>
        </w:rPr>
        <w:t>)</w:t>
      </w:r>
      <w:r w:rsidRPr="00207115">
        <w:rPr>
          <w:rStyle w:val="Emphasis"/>
          <w:rFonts w:cstheme="minorHAnsi"/>
        </w:rPr>
        <w:t xml:space="preserve"> </w:t>
      </w:r>
      <w:r w:rsidRPr="00207115">
        <w:rPr>
          <w:rFonts w:cstheme="minorHAnsi"/>
        </w:rPr>
        <w:t>para 88 [emphasis added]</w:t>
      </w:r>
    </w:p>
  </w:footnote>
  <w:footnote w:id="146">
    <w:p w14:paraId="007C73D7" w14:textId="33353EEF" w:rsidR="00C75CA9" w:rsidRPr="00207115" w:rsidRDefault="00C75CA9">
      <w:pPr>
        <w:pStyle w:val="FootnoteText"/>
        <w:jc w:val="both"/>
        <w:rPr>
          <w:rFonts w:cstheme="minorHAnsi"/>
        </w:rPr>
      </w:pPr>
      <w:r w:rsidRPr="00207115">
        <w:rPr>
          <w:rStyle w:val="FootnoteReference"/>
          <w:rFonts w:cstheme="minorHAnsi"/>
        </w:rPr>
        <w:footnoteRef/>
      </w:r>
      <w:r w:rsidRPr="00207115">
        <w:rPr>
          <w:rStyle w:val="Emphasis"/>
          <w:rFonts w:cstheme="minorHAnsi"/>
        </w:rPr>
        <w:t xml:space="preserve"> NT1 &amp; NT2 </w:t>
      </w:r>
      <w:r w:rsidRPr="00207115">
        <w:rPr>
          <w:rStyle w:val="Emphasis"/>
          <w:rFonts w:cstheme="minorHAnsi"/>
          <w:i w:val="0"/>
        </w:rPr>
        <w:t>(</w:t>
      </w:r>
      <w:r w:rsidR="00D90FF2" w:rsidRPr="00207115">
        <w:rPr>
          <w:rStyle w:val="Emphasis"/>
          <w:rFonts w:cstheme="minorHAnsi"/>
          <w:i w:val="0"/>
        </w:rPr>
        <w:t>n 129</w:t>
      </w:r>
      <w:r w:rsidRPr="00207115">
        <w:rPr>
          <w:rStyle w:val="Emphasis"/>
          <w:rFonts w:cstheme="minorHAnsi"/>
          <w:i w:val="0"/>
        </w:rPr>
        <w:t xml:space="preserve">) </w:t>
      </w:r>
      <w:r w:rsidRPr="00207115">
        <w:rPr>
          <w:rFonts w:cstheme="minorHAnsi"/>
        </w:rPr>
        <w:t>para 154-55, 167</w:t>
      </w:r>
      <w:r w:rsidR="00EA0533">
        <w:rPr>
          <w:rFonts w:cstheme="minorHAnsi"/>
        </w:rPr>
        <w:t xml:space="preserve">; in relation to NT2, the balance was tipped in favour of removal </w:t>
      </w:r>
      <w:r w:rsidR="00E96006">
        <w:rPr>
          <w:rFonts w:cstheme="minorHAnsi"/>
        </w:rPr>
        <w:t>partly</w:t>
      </w:r>
      <w:r w:rsidR="00EA0533">
        <w:rPr>
          <w:rFonts w:cstheme="minorHAnsi"/>
        </w:rPr>
        <w:t xml:space="preserve"> because he had a young family: ‘</w:t>
      </w:r>
      <w:r w:rsidR="00EA0533">
        <w:t xml:space="preserve">Moreover, unlike NT1, this claimant has a young family, and the impact of disclosure of his old conviction </w:t>
      </w:r>
      <w:proofErr w:type="gramStart"/>
      <w:r w:rsidR="00EA0533">
        <w:t>is capable of having</w:t>
      </w:r>
      <w:proofErr w:type="gramEnd"/>
      <w:r w:rsidR="00EA0533">
        <w:t xml:space="preserve"> an adverse impact. His case on interference with family life is stronger.</w:t>
      </w:r>
      <w:r w:rsidR="00EA0533">
        <w:rPr>
          <w:rFonts w:cstheme="minorHAnsi"/>
        </w:rPr>
        <w:t>’ [para 222; see also para 224, 226].</w:t>
      </w:r>
    </w:p>
  </w:footnote>
  <w:footnote w:id="147">
    <w:p w14:paraId="4174B341" w14:textId="0465BF6B" w:rsidR="00C75CA9" w:rsidRPr="00207115" w:rsidRDefault="00C75CA9">
      <w:pPr>
        <w:autoSpaceDE w:val="0"/>
        <w:autoSpaceDN w:val="0"/>
        <w:adjustRightInd w:val="0"/>
        <w:spacing w:after="0" w:line="240" w:lineRule="auto"/>
        <w:jc w:val="both"/>
        <w:rPr>
          <w:rFonts w:cstheme="minorHAnsi"/>
          <w:sz w:val="20"/>
          <w:szCs w:val="20"/>
        </w:rPr>
      </w:pPr>
      <w:r w:rsidRPr="00207115">
        <w:rPr>
          <w:rStyle w:val="FootnoteReference"/>
          <w:rFonts w:cstheme="minorHAnsi"/>
          <w:sz w:val="20"/>
          <w:szCs w:val="20"/>
        </w:rPr>
        <w:footnoteRef/>
      </w:r>
      <w:r w:rsidRPr="00207115">
        <w:rPr>
          <w:rFonts w:cstheme="minorHAnsi"/>
          <w:sz w:val="20"/>
          <w:szCs w:val="20"/>
        </w:rPr>
        <w:t xml:space="preserve"> </w:t>
      </w:r>
      <w:r w:rsidRPr="00207115">
        <w:rPr>
          <w:rFonts w:cstheme="minorHAnsi"/>
          <w:i/>
          <w:sz w:val="20"/>
          <w:szCs w:val="20"/>
        </w:rPr>
        <w:t xml:space="preserve">Volker und Markus </w:t>
      </w:r>
      <w:proofErr w:type="spellStart"/>
      <w:r w:rsidRPr="00207115">
        <w:rPr>
          <w:rFonts w:cstheme="minorHAnsi"/>
          <w:i/>
          <w:sz w:val="20"/>
          <w:szCs w:val="20"/>
        </w:rPr>
        <w:t>Schecke</w:t>
      </w:r>
      <w:proofErr w:type="spellEnd"/>
      <w:r w:rsidRPr="00207115">
        <w:rPr>
          <w:rFonts w:cstheme="minorHAnsi"/>
          <w:i/>
          <w:sz w:val="20"/>
          <w:szCs w:val="20"/>
        </w:rPr>
        <w:t xml:space="preserve"> and Eifert Joined Cases C–92/09 and C–93/09</w:t>
      </w:r>
      <w:r w:rsidRPr="00207115">
        <w:rPr>
          <w:rFonts w:cstheme="minorHAnsi"/>
          <w:sz w:val="20"/>
          <w:szCs w:val="20"/>
        </w:rPr>
        <w:t xml:space="preserve"> (CJEU, GC, 9 November 2010, </w:t>
      </w:r>
      <w:r w:rsidRPr="00207115">
        <w:rPr>
          <w:rStyle w:val="outputecliaff"/>
          <w:rFonts w:cstheme="minorHAnsi"/>
          <w:sz w:val="20"/>
          <w:szCs w:val="20"/>
        </w:rPr>
        <w:t>ECLI:EU:C:2010:662)</w:t>
      </w:r>
      <w:r w:rsidRPr="00207115">
        <w:rPr>
          <w:rFonts w:cstheme="minorHAnsi"/>
          <w:sz w:val="20"/>
          <w:szCs w:val="20"/>
        </w:rPr>
        <w:t xml:space="preserve"> para 59: ‘It is of no relevance in this respect that the data published concerns activities of a professional nature…’</w:t>
      </w:r>
    </w:p>
  </w:footnote>
  <w:footnote w:id="148">
    <w:p w14:paraId="350DAEA4" w14:textId="3B2A4680"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t>
      </w:r>
      <w:r w:rsidRPr="00207115">
        <w:rPr>
          <w:rFonts w:cstheme="minorHAnsi"/>
          <w:i/>
        </w:rPr>
        <w:t>Google Spain</w:t>
      </w:r>
      <w:r w:rsidRPr="00207115">
        <w:rPr>
          <w:rFonts w:cstheme="minorHAnsi"/>
        </w:rPr>
        <w:t xml:space="preserve"> (n </w:t>
      </w:r>
      <w:r w:rsidR="000238D8" w:rsidRPr="00207115">
        <w:rPr>
          <w:rFonts w:cstheme="minorHAnsi"/>
        </w:rPr>
        <w:t>7</w:t>
      </w:r>
      <w:r w:rsidRPr="00207115">
        <w:rPr>
          <w:rFonts w:cstheme="minorHAnsi"/>
        </w:rPr>
        <w:t>).</w:t>
      </w:r>
    </w:p>
  </w:footnote>
  <w:footnote w:id="149">
    <w:p w14:paraId="68F18957" w14:textId="5FDF6B8C"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t>
      </w:r>
      <w:r w:rsidRPr="00207115">
        <w:rPr>
          <w:rFonts w:cstheme="minorHAnsi"/>
          <w:i/>
        </w:rPr>
        <w:t xml:space="preserve">GC and </w:t>
      </w:r>
      <w:proofErr w:type="spellStart"/>
      <w:r w:rsidRPr="00207115">
        <w:rPr>
          <w:rFonts w:cstheme="minorHAnsi"/>
          <w:i/>
        </w:rPr>
        <w:t>Ors</w:t>
      </w:r>
      <w:proofErr w:type="spellEnd"/>
      <w:r w:rsidRPr="00207115">
        <w:rPr>
          <w:rFonts w:cstheme="minorHAnsi"/>
        </w:rPr>
        <w:t xml:space="preserve"> (n 9</w:t>
      </w:r>
      <w:r w:rsidR="000238D8" w:rsidRPr="00207115">
        <w:rPr>
          <w:rFonts w:cstheme="minorHAnsi"/>
        </w:rPr>
        <w:t>5)</w:t>
      </w:r>
      <w:r w:rsidRPr="00207115">
        <w:rPr>
          <w:rFonts w:cstheme="minorHAnsi"/>
        </w:rPr>
        <w:t xml:space="preserve"> para 77.</w:t>
      </w:r>
    </w:p>
  </w:footnote>
  <w:footnote w:id="150">
    <w:p w14:paraId="77BDB77F" w14:textId="192DCBE7"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i/>
        </w:rPr>
        <w:t xml:space="preserve"> In re JR 38</w:t>
      </w:r>
      <w:r w:rsidRPr="00207115">
        <w:rPr>
          <w:rFonts w:cstheme="minorHAnsi"/>
        </w:rPr>
        <w:t xml:space="preserve"> [2015] UKSC 42 contrast majority and minority judgement; discussed in Joe </w:t>
      </w:r>
      <w:proofErr w:type="spellStart"/>
      <w:r w:rsidRPr="00207115">
        <w:rPr>
          <w:rFonts w:cstheme="minorHAnsi"/>
        </w:rPr>
        <w:t>Purshouse</w:t>
      </w:r>
      <w:proofErr w:type="spellEnd"/>
      <w:r w:rsidRPr="00207115">
        <w:rPr>
          <w:rFonts w:cstheme="minorHAnsi"/>
        </w:rPr>
        <w:t xml:space="preserve">, ‘The Reasonable Expectation of Privacy and Criminal Suspect’ (2016) 79(5) </w:t>
      </w:r>
      <w:r w:rsidRPr="00207115">
        <w:rPr>
          <w:rFonts w:cstheme="minorHAnsi"/>
          <w:i/>
        </w:rPr>
        <w:t>Modern Law Review</w:t>
      </w:r>
      <w:r w:rsidRPr="00207115">
        <w:rPr>
          <w:rFonts w:cstheme="minorHAnsi"/>
        </w:rPr>
        <w:t xml:space="preserve"> 871 commenting that the ECtHR has not used the test as a touchstone test; see also </w:t>
      </w:r>
      <w:proofErr w:type="spellStart"/>
      <w:r w:rsidRPr="00207115">
        <w:rPr>
          <w:rFonts w:cstheme="minorHAnsi"/>
        </w:rPr>
        <w:t>Barendt</w:t>
      </w:r>
      <w:proofErr w:type="spellEnd"/>
      <w:r w:rsidRPr="00207115">
        <w:rPr>
          <w:rFonts w:cstheme="minorHAnsi"/>
        </w:rPr>
        <w:t xml:space="preserve"> (n </w:t>
      </w:r>
      <w:r w:rsidR="00315107" w:rsidRPr="00207115">
        <w:rPr>
          <w:rFonts w:cstheme="minorHAnsi"/>
        </w:rPr>
        <w:t>73</w:t>
      </w:r>
      <w:r w:rsidRPr="00207115">
        <w:rPr>
          <w:rFonts w:cstheme="minorHAnsi"/>
        </w:rPr>
        <w:t xml:space="preserve">) 104. </w:t>
      </w:r>
    </w:p>
  </w:footnote>
  <w:footnote w:id="151">
    <w:p w14:paraId="6404FE20" w14:textId="0CF421EE"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t>
      </w:r>
      <w:r w:rsidRPr="00207115">
        <w:rPr>
          <w:rFonts w:eastAsia="Times New Roman" w:cstheme="minorHAnsi"/>
          <w:i/>
          <w:lang w:eastAsia="en-GB"/>
        </w:rPr>
        <w:t>Katz v United States</w:t>
      </w:r>
      <w:r w:rsidRPr="00207115">
        <w:rPr>
          <w:rFonts w:eastAsia="Times New Roman" w:cstheme="minorHAnsi"/>
          <w:lang w:eastAsia="en-GB"/>
        </w:rPr>
        <w:t xml:space="preserve"> (n </w:t>
      </w:r>
      <w:r w:rsidR="000238D8" w:rsidRPr="00207115">
        <w:rPr>
          <w:rFonts w:eastAsia="Times New Roman" w:cstheme="minorHAnsi"/>
          <w:lang w:eastAsia="en-GB"/>
        </w:rPr>
        <w:t>32</w:t>
      </w:r>
      <w:r w:rsidRPr="00207115">
        <w:rPr>
          <w:rFonts w:eastAsia="Times New Roman" w:cstheme="minorHAnsi"/>
          <w:lang w:eastAsia="en-GB"/>
        </w:rPr>
        <w:t>).</w:t>
      </w:r>
    </w:p>
  </w:footnote>
  <w:footnote w:id="152">
    <w:p w14:paraId="785696EB" w14:textId="06C0C506" w:rsidR="00C75CA9" w:rsidRPr="00207115" w:rsidRDefault="00C75CA9">
      <w:pPr>
        <w:autoSpaceDE w:val="0"/>
        <w:autoSpaceDN w:val="0"/>
        <w:adjustRightInd w:val="0"/>
        <w:spacing w:after="0" w:line="240" w:lineRule="auto"/>
        <w:jc w:val="both"/>
        <w:rPr>
          <w:rFonts w:cstheme="minorHAnsi"/>
          <w:sz w:val="20"/>
          <w:szCs w:val="20"/>
        </w:rPr>
      </w:pPr>
      <w:r w:rsidRPr="00207115">
        <w:rPr>
          <w:rStyle w:val="FootnoteReference"/>
          <w:rFonts w:cstheme="minorHAnsi"/>
          <w:sz w:val="20"/>
          <w:szCs w:val="20"/>
        </w:rPr>
        <w:footnoteRef/>
      </w:r>
      <w:r w:rsidRPr="00207115">
        <w:rPr>
          <w:rFonts w:cstheme="minorHAnsi"/>
          <w:sz w:val="20"/>
          <w:szCs w:val="20"/>
        </w:rPr>
        <w:t xml:space="preserve"> Australia: </w:t>
      </w:r>
      <w:r w:rsidRPr="00207115">
        <w:rPr>
          <w:rFonts w:cstheme="minorHAnsi"/>
          <w:i/>
          <w:sz w:val="20"/>
          <w:szCs w:val="20"/>
        </w:rPr>
        <w:t>Australian Broadcasting Corporation v Lenah Game Meats</w:t>
      </w:r>
      <w:r w:rsidRPr="00207115">
        <w:rPr>
          <w:rFonts w:cstheme="minorHAnsi"/>
          <w:sz w:val="20"/>
          <w:szCs w:val="20"/>
        </w:rPr>
        <w:t xml:space="preserve"> (n 11</w:t>
      </w:r>
      <w:r w:rsidR="00394C50" w:rsidRPr="00207115">
        <w:rPr>
          <w:rFonts w:cstheme="minorHAnsi"/>
          <w:sz w:val="20"/>
          <w:szCs w:val="20"/>
        </w:rPr>
        <w:t>6</w:t>
      </w:r>
      <w:r w:rsidRPr="00207115">
        <w:rPr>
          <w:rFonts w:cstheme="minorHAnsi"/>
          <w:sz w:val="20"/>
          <w:szCs w:val="20"/>
        </w:rPr>
        <w:t xml:space="preserve">) (‘highly offensive to a reasonable person of ordinary sensibilities’ para 42); New Zealand: </w:t>
      </w:r>
      <w:r w:rsidRPr="00207115">
        <w:rPr>
          <w:rFonts w:cstheme="minorHAnsi"/>
          <w:i/>
          <w:sz w:val="20"/>
          <w:szCs w:val="20"/>
        </w:rPr>
        <w:t xml:space="preserve">Hosking v </w:t>
      </w:r>
      <w:proofErr w:type="spellStart"/>
      <w:r w:rsidRPr="00207115">
        <w:rPr>
          <w:rFonts w:cstheme="minorHAnsi"/>
          <w:i/>
          <w:sz w:val="20"/>
          <w:szCs w:val="20"/>
        </w:rPr>
        <w:t>Runting</w:t>
      </w:r>
      <w:proofErr w:type="spellEnd"/>
      <w:r w:rsidRPr="00207115">
        <w:rPr>
          <w:rFonts w:cstheme="minorHAnsi"/>
          <w:sz w:val="20"/>
          <w:szCs w:val="20"/>
        </w:rPr>
        <w:t xml:space="preserve"> [2005] 1 NZLR1;  England and Wales: </w:t>
      </w:r>
      <w:r w:rsidRPr="00207115">
        <w:rPr>
          <w:rFonts w:cstheme="minorHAnsi"/>
          <w:i/>
          <w:sz w:val="20"/>
          <w:szCs w:val="20"/>
        </w:rPr>
        <w:t>Campbell v MGN Ltd</w:t>
      </w:r>
      <w:r w:rsidRPr="00207115">
        <w:rPr>
          <w:rFonts w:cstheme="minorHAnsi"/>
          <w:sz w:val="20"/>
          <w:szCs w:val="20"/>
        </w:rPr>
        <w:t xml:space="preserve"> (n 3</w:t>
      </w:r>
      <w:r w:rsidR="000238D8" w:rsidRPr="00207115">
        <w:rPr>
          <w:rFonts w:cstheme="minorHAnsi"/>
          <w:sz w:val="20"/>
          <w:szCs w:val="20"/>
        </w:rPr>
        <w:t>7</w:t>
      </w:r>
      <w:r w:rsidRPr="00207115">
        <w:rPr>
          <w:rFonts w:cstheme="minorHAnsi"/>
          <w:sz w:val="20"/>
          <w:szCs w:val="20"/>
        </w:rPr>
        <w:t xml:space="preserve">) para 21 (Lord Nicholls): ‘the touchstone of private life is whether in respect of the disclosed facts the person in question had a reasonable expectation of privacy’; </w:t>
      </w:r>
      <w:proofErr w:type="spellStart"/>
      <w:r w:rsidRPr="00207115">
        <w:rPr>
          <w:rFonts w:cstheme="minorHAnsi"/>
          <w:sz w:val="20"/>
          <w:szCs w:val="20"/>
        </w:rPr>
        <w:t>Barendt</w:t>
      </w:r>
      <w:proofErr w:type="spellEnd"/>
      <w:r w:rsidRPr="00207115">
        <w:rPr>
          <w:rFonts w:cstheme="minorHAnsi"/>
          <w:sz w:val="20"/>
          <w:szCs w:val="20"/>
        </w:rPr>
        <w:t xml:space="preserve"> (n </w:t>
      </w:r>
      <w:r w:rsidR="00315107" w:rsidRPr="00207115">
        <w:rPr>
          <w:rFonts w:cstheme="minorHAnsi"/>
          <w:sz w:val="20"/>
          <w:szCs w:val="20"/>
        </w:rPr>
        <w:t>73</w:t>
      </w:r>
      <w:r w:rsidRPr="00207115">
        <w:rPr>
          <w:rFonts w:cstheme="minorHAnsi"/>
          <w:sz w:val="20"/>
          <w:szCs w:val="20"/>
        </w:rPr>
        <w:t xml:space="preserve">), critiques the test as artificial and importing ‘free speech’ interests both at the first and second stage of the privacy analysis. </w:t>
      </w:r>
    </w:p>
  </w:footnote>
  <w:footnote w:id="153">
    <w:p w14:paraId="0D71D255" w14:textId="2C533080"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t>
      </w:r>
      <w:proofErr w:type="spellStart"/>
      <w:r w:rsidRPr="00207115">
        <w:rPr>
          <w:rFonts w:cstheme="minorHAnsi"/>
        </w:rPr>
        <w:t>Barendt</w:t>
      </w:r>
      <w:proofErr w:type="spellEnd"/>
      <w:r w:rsidRPr="00207115">
        <w:rPr>
          <w:rFonts w:cstheme="minorHAnsi"/>
        </w:rPr>
        <w:t xml:space="preserve"> (n </w:t>
      </w:r>
      <w:r w:rsidR="00315107" w:rsidRPr="00207115">
        <w:rPr>
          <w:rFonts w:cstheme="minorHAnsi"/>
        </w:rPr>
        <w:t>73</w:t>
      </w:r>
      <w:r w:rsidRPr="00207115">
        <w:rPr>
          <w:rFonts w:cstheme="minorHAnsi"/>
        </w:rPr>
        <w:t xml:space="preserve">) 103f, also notes that the Strasbourg court has been relying on the test in intrusion cases, arguably </w:t>
      </w:r>
      <w:proofErr w:type="gramStart"/>
      <w:r w:rsidRPr="00207115">
        <w:rPr>
          <w:rFonts w:cstheme="minorHAnsi"/>
        </w:rPr>
        <w:t>on the basis of</w:t>
      </w:r>
      <w:proofErr w:type="gramEnd"/>
      <w:r w:rsidRPr="00207115">
        <w:rPr>
          <w:rFonts w:cstheme="minorHAnsi"/>
        </w:rPr>
        <w:t xml:space="preserve"> a lack of an alternative test given the victim’s absence of knowledge. </w:t>
      </w:r>
    </w:p>
  </w:footnote>
  <w:footnote w:id="154">
    <w:p w14:paraId="2E9601A5" w14:textId="0E78769E"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t>
      </w:r>
      <w:r w:rsidRPr="00207115">
        <w:rPr>
          <w:rFonts w:eastAsia="Times New Roman" w:cstheme="minorHAnsi"/>
          <w:i/>
          <w:lang w:eastAsia="en-GB"/>
        </w:rPr>
        <w:t>Katz v United States</w:t>
      </w:r>
      <w:r w:rsidRPr="00207115">
        <w:rPr>
          <w:rFonts w:eastAsia="Times New Roman" w:cstheme="minorHAnsi"/>
          <w:lang w:eastAsia="en-GB"/>
        </w:rPr>
        <w:t xml:space="preserve"> (n </w:t>
      </w:r>
      <w:r w:rsidR="000238D8" w:rsidRPr="00207115">
        <w:rPr>
          <w:rFonts w:eastAsia="Times New Roman" w:cstheme="minorHAnsi"/>
          <w:lang w:eastAsia="en-GB"/>
        </w:rPr>
        <w:t>32</w:t>
      </w:r>
      <w:r w:rsidRPr="00207115">
        <w:rPr>
          <w:rFonts w:eastAsia="Times New Roman" w:cstheme="minorHAnsi"/>
          <w:lang w:eastAsia="en-GB"/>
        </w:rPr>
        <w:t>).</w:t>
      </w:r>
    </w:p>
  </w:footnote>
  <w:footnote w:id="155">
    <w:p w14:paraId="2A8C2793" w14:textId="3E6B5641"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In English jurisprudence the test has been used at the second of a three-stage approach to Art 8 - after deciding whether the alleged Art 8 intrusion is serious enough, and before determining whether it is outweighed by other (public) interests; see </w:t>
      </w:r>
      <w:r w:rsidRPr="00207115">
        <w:rPr>
          <w:rFonts w:cstheme="minorHAnsi"/>
          <w:i/>
        </w:rPr>
        <w:t>R (Wood) v Commissioner of Police of the Metropolis</w:t>
      </w:r>
      <w:r w:rsidRPr="00207115">
        <w:rPr>
          <w:rFonts w:cstheme="minorHAnsi"/>
        </w:rPr>
        <w:t xml:space="preserve"> [2010] 1 WLR 123, 136. Both </w:t>
      </w:r>
      <w:proofErr w:type="spellStart"/>
      <w:r w:rsidRPr="00207115">
        <w:rPr>
          <w:rFonts w:cstheme="minorHAnsi"/>
        </w:rPr>
        <w:t>Barendt</w:t>
      </w:r>
      <w:proofErr w:type="spellEnd"/>
      <w:r w:rsidRPr="00207115">
        <w:rPr>
          <w:rFonts w:cstheme="minorHAnsi"/>
        </w:rPr>
        <w:t xml:space="preserve"> (n 71) 102f, and </w:t>
      </w:r>
      <w:proofErr w:type="spellStart"/>
      <w:r w:rsidRPr="00207115">
        <w:rPr>
          <w:rFonts w:cstheme="minorHAnsi"/>
        </w:rPr>
        <w:t>Purshouse</w:t>
      </w:r>
      <w:proofErr w:type="spellEnd"/>
      <w:r w:rsidRPr="00207115">
        <w:rPr>
          <w:rFonts w:cstheme="minorHAnsi"/>
        </w:rPr>
        <w:t xml:space="preserve"> (n 1</w:t>
      </w:r>
      <w:r w:rsidR="00394C50" w:rsidRPr="00207115">
        <w:rPr>
          <w:rFonts w:cstheme="minorHAnsi"/>
        </w:rPr>
        <w:t>54</w:t>
      </w:r>
      <w:r w:rsidRPr="00207115">
        <w:rPr>
          <w:rFonts w:cstheme="minorHAnsi"/>
        </w:rPr>
        <w:t xml:space="preserve">) 881, persuasively argue that the test should, if at all, only figure at that third/balancing stage. </w:t>
      </w:r>
    </w:p>
  </w:footnote>
  <w:footnote w:id="156">
    <w:p w14:paraId="4BC9DF9F" w14:textId="346558A3"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t>
      </w:r>
      <w:r w:rsidRPr="00207115">
        <w:rPr>
          <w:rStyle w:val="Emphasis"/>
          <w:rFonts w:cstheme="minorHAnsi"/>
        </w:rPr>
        <w:t>ML &amp; WW</w:t>
      </w:r>
      <w:r w:rsidRPr="00207115">
        <w:rPr>
          <w:rStyle w:val="Emphasis"/>
          <w:rFonts w:cstheme="minorHAnsi"/>
          <w:i w:val="0"/>
        </w:rPr>
        <w:t xml:space="preserve"> (</w:t>
      </w:r>
      <w:r w:rsidR="00D90FF2" w:rsidRPr="00207115">
        <w:rPr>
          <w:rStyle w:val="Emphasis"/>
          <w:rFonts w:cstheme="minorHAnsi"/>
          <w:i w:val="0"/>
        </w:rPr>
        <w:t>n 128</w:t>
      </w:r>
      <w:r w:rsidRPr="00207115">
        <w:rPr>
          <w:rStyle w:val="Emphasis"/>
          <w:rFonts w:cstheme="minorHAnsi"/>
          <w:i w:val="0"/>
        </w:rPr>
        <w:t>) p</w:t>
      </w:r>
      <w:r w:rsidRPr="00207115">
        <w:rPr>
          <w:rFonts w:cstheme="minorHAnsi"/>
        </w:rPr>
        <w:t>ara 109.</w:t>
      </w:r>
    </w:p>
  </w:footnote>
  <w:footnote w:id="157">
    <w:p w14:paraId="1A94B7F2" w14:textId="1C353EB4"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t>
      </w:r>
      <w:r w:rsidRPr="00207115">
        <w:rPr>
          <w:rStyle w:val="Emphasis"/>
          <w:rFonts w:cstheme="minorHAnsi"/>
        </w:rPr>
        <w:t xml:space="preserve">NT1 &amp; NT2 </w:t>
      </w:r>
      <w:r w:rsidRPr="00207115">
        <w:rPr>
          <w:rStyle w:val="Emphasis"/>
          <w:rFonts w:cstheme="minorHAnsi"/>
          <w:i w:val="0"/>
        </w:rPr>
        <w:t>(</w:t>
      </w:r>
      <w:r w:rsidR="00D90FF2" w:rsidRPr="00207115">
        <w:rPr>
          <w:rStyle w:val="Emphasis"/>
          <w:rFonts w:cstheme="minorHAnsi"/>
          <w:i w:val="0"/>
        </w:rPr>
        <w:t>n 129</w:t>
      </w:r>
      <w:r w:rsidRPr="00207115">
        <w:rPr>
          <w:rStyle w:val="Emphasis"/>
          <w:rFonts w:cstheme="minorHAnsi"/>
          <w:i w:val="0"/>
        </w:rPr>
        <w:t>) p</w:t>
      </w:r>
      <w:r w:rsidRPr="00207115">
        <w:rPr>
          <w:rFonts w:cstheme="minorHAnsi"/>
        </w:rPr>
        <w:t>ara 125, 130, 168 and 170.</w:t>
      </w:r>
    </w:p>
  </w:footnote>
  <w:footnote w:id="158">
    <w:p w14:paraId="566188F1" w14:textId="26C72CFC"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t>
      </w:r>
      <w:r w:rsidRPr="00207115">
        <w:rPr>
          <w:rStyle w:val="Emphasis"/>
          <w:rFonts w:cstheme="minorHAnsi"/>
          <w:i w:val="0"/>
        </w:rPr>
        <w:t xml:space="preserve">ibid para </w:t>
      </w:r>
      <w:r w:rsidRPr="00207115">
        <w:rPr>
          <w:rFonts w:cstheme="minorHAnsi"/>
        </w:rPr>
        <w:t>168.</w:t>
      </w:r>
    </w:p>
  </w:footnote>
  <w:footnote w:id="159">
    <w:p w14:paraId="76CF7112" w14:textId="41B33530"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t>
      </w:r>
      <w:r w:rsidRPr="00207115">
        <w:rPr>
          <w:rStyle w:val="Emphasis"/>
          <w:rFonts w:cstheme="minorHAnsi"/>
          <w:i w:val="0"/>
        </w:rPr>
        <w:t>ibid</w:t>
      </w:r>
      <w:r w:rsidRPr="00207115">
        <w:rPr>
          <w:rFonts w:cstheme="minorHAnsi"/>
        </w:rPr>
        <w:t xml:space="preserve"> para 130, where </w:t>
      </w:r>
      <w:proofErr w:type="spellStart"/>
      <w:r w:rsidRPr="00207115">
        <w:rPr>
          <w:rFonts w:cstheme="minorHAnsi"/>
        </w:rPr>
        <w:t>Warby</w:t>
      </w:r>
      <w:proofErr w:type="spellEnd"/>
      <w:r w:rsidRPr="00207115">
        <w:rPr>
          <w:rFonts w:cstheme="minorHAnsi"/>
        </w:rPr>
        <w:t xml:space="preserve"> J somewhat acknowledges the unfairness of the position. See also </w:t>
      </w:r>
      <w:proofErr w:type="gramStart"/>
      <w:r w:rsidRPr="00207115">
        <w:rPr>
          <w:rFonts w:cstheme="minorHAnsi"/>
          <w:i/>
        </w:rPr>
        <w:t>In</w:t>
      </w:r>
      <w:proofErr w:type="gramEnd"/>
      <w:r w:rsidRPr="00207115">
        <w:rPr>
          <w:rFonts w:cstheme="minorHAnsi"/>
          <w:i/>
        </w:rPr>
        <w:t xml:space="preserve"> re JR3 </w:t>
      </w:r>
      <w:r w:rsidRPr="00207115">
        <w:rPr>
          <w:rFonts w:cstheme="minorHAnsi"/>
        </w:rPr>
        <w:t xml:space="preserve">[2015] UKSC 42 where the UK Supreme Court unanimously dismissed the appeal of a 14-year-old minor that the publication of his image taken by police during a sectarian riot, violated his Art 8 entitlement, with a majority holding that Art 8 was not engaged, discussed in </w:t>
      </w:r>
      <w:proofErr w:type="spellStart"/>
      <w:r w:rsidRPr="00207115">
        <w:rPr>
          <w:rFonts w:cstheme="minorHAnsi"/>
        </w:rPr>
        <w:t>Purshouse</w:t>
      </w:r>
      <w:proofErr w:type="spellEnd"/>
      <w:r w:rsidRPr="00207115">
        <w:rPr>
          <w:rFonts w:cstheme="minorHAnsi"/>
        </w:rPr>
        <w:t xml:space="preserve"> (n 1</w:t>
      </w:r>
      <w:r w:rsidR="00394C50" w:rsidRPr="00207115">
        <w:rPr>
          <w:rFonts w:cstheme="minorHAnsi"/>
        </w:rPr>
        <w:t>54</w:t>
      </w:r>
      <w:r w:rsidRPr="00207115">
        <w:rPr>
          <w:rFonts w:cstheme="minorHAnsi"/>
        </w:rPr>
        <w:t xml:space="preserve">). </w:t>
      </w:r>
    </w:p>
  </w:footnote>
  <w:footnote w:id="160">
    <w:p w14:paraId="0F31B27B" w14:textId="5C3E35CA"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t>
      </w:r>
      <w:r w:rsidRPr="00207115">
        <w:rPr>
          <w:rStyle w:val="Emphasis"/>
          <w:rFonts w:cstheme="minorHAnsi"/>
        </w:rPr>
        <w:t xml:space="preserve">NT1 &amp; NT2 </w:t>
      </w:r>
      <w:r w:rsidRPr="00207115">
        <w:rPr>
          <w:rStyle w:val="Emphasis"/>
          <w:rFonts w:cstheme="minorHAnsi"/>
          <w:i w:val="0"/>
        </w:rPr>
        <w:t>(</w:t>
      </w:r>
      <w:r w:rsidR="00D90FF2" w:rsidRPr="00207115">
        <w:rPr>
          <w:rStyle w:val="Emphasis"/>
          <w:rFonts w:cstheme="minorHAnsi"/>
          <w:i w:val="0"/>
        </w:rPr>
        <w:t>n 129</w:t>
      </w:r>
      <w:r w:rsidRPr="00207115">
        <w:rPr>
          <w:rStyle w:val="Emphasis"/>
          <w:rFonts w:cstheme="minorHAnsi"/>
          <w:i w:val="0"/>
        </w:rPr>
        <w:t>) p</w:t>
      </w:r>
      <w:r w:rsidRPr="00207115">
        <w:rPr>
          <w:rFonts w:cstheme="minorHAnsi"/>
        </w:rPr>
        <w:t>ara 170 [emphasis added].</w:t>
      </w:r>
    </w:p>
  </w:footnote>
  <w:footnote w:id="161">
    <w:p w14:paraId="0098E4BD" w14:textId="7F955EB9"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The GDPR refers to the reasonable expectations (see Recital 47) but links those expectations to the purpose of the use of the data, rather than its disclosure or dissemination per se.</w:t>
      </w:r>
    </w:p>
  </w:footnote>
  <w:footnote w:id="162">
    <w:p w14:paraId="048BE827" w14:textId="59A26038"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In </w:t>
      </w:r>
      <w:r w:rsidRPr="00207115">
        <w:rPr>
          <w:rFonts w:cstheme="minorHAnsi"/>
          <w:i/>
        </w:rPr>
        <w:t xml:space="preserve">GC and </w:t>
      </w:r>
      <w:proofErr w:type="spellStart"/>
      <w:r w:rsidRPr="00207115">
        <w:rPr>
          <w:rFonts w:cstheme="minorHAnsi"/>
          <w:i/>
        </w:rPr>
        <w:t>Ors</w:t>
      </w:r>
      <w:proofErr w:type="spellEnd"/>
      <w:r w:rsidRPr="00207115">
        <w:rPr>
          <w:rFonts w:cstheme="minorHAnsi"/>
        </w:rPr>
        <w:t xml:space="preserve"> (n 9</w:t>
      </w:r>
      <w:r w:rsidR="00867322" w:rsidRPr="00207115">
        <w:rPr>
          <w:rFonts w:cstheme="minorHAnsi"/>
        </w:rPr>
        <w:t>5</w:t>
      </w:r>
      <w:r w:rsidRPr="00207115">
        <w:rPr>
          <w:rFonts w:cstheme="minorHAnsi"/>
        </w:rPr>
        <w:t xml:space="preserve">), the term ‘private’ does not appear at all in the Opinion of the Advocate General, and only three times in the judgment of the Court </w:t>
      </w:r>
      <w:proofErr w:type="gramStart"/>
      <w:r w:rsidRPr="00207115">
        <w:rPr>
          <w:rFonts w:cstheme="minorHAnsi"/>
        </w:rPr>
        <w:t>in the course of</w:t>
      </w:r>
      <w:proofErr w:type="gramEnd"/>
      <w:r w:rsidRPr="00207115">
        <w:rPr>
          <w:rFonts w:cstheme="minorHAnsi"/>
        </w:rPr>
        <w:t xml:space="preserve"> the balancing exercise. </w:t>
      </w:r>
    </w:p>
  </w:footnote>
  <w:footnote w:id="163">
    <w:p w14:paraId="2F100C1F" w14:textId="2E012E6D"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For an obvious example, see </w:t>
      </w:r>
      <w:r w:rsidRPr="00207115">
        <w:rPr>
          <w:rFonts w:cstheme="minorHAnsi"/>
          <w:i/>
        </w:rPr>
        <w:t>Peck v UK</w:t>
      </w:r>
      <w:r w:rsidRPr="00207115">
        <w:rPr>
          <w:rFonts w:cstheme="minorHAnsi"/>
        </w:rPr>
        <w:t xml:space="preserve"> [2003] EMLR 15 (where CCTV footage that included the applicant and was collected by the council was later passed on to the media for a </w:t>
      </w:r>
      <w:r w:rsidRPr="00207115">
        <w:rPr>
          <w:rFonts w:cstheme="minorHAnsi"/>
          <w:i/>
        </w:rPr>
        <w:t xml:space="preserve">Crime Beat </w:t>
      </w:r>
      <w:r w:rsidRPr="00207115">
        <w:rPr>
          <w:rFonts w:cstheme="minorHAnsi"/>
        </w:rPr>
        <w:t>programme).</w:t>
      </w:r>
    </w:p>
  </w:footnote>
  <w:footnote w:id="164">
    <w:p w14:paraId="4488D88C" w14:textId="45523C61"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Nissenbaum (n </w:t>
      </w:r>
      <w:r w:rsidR="003910DA" w:rsidRPr="00207115">
        <w:rPr>
          <w:rFonts w:cstheme="minorHAnsi"/>
        </w:rPr>
        <w:t>3</w:t>
      </w:r>
      <w:r w:rsidRPr="00207115">
        <w:rPr>
          <w:rFonts w:cstheme="minorHAnsi"/>
        </w:rPr>
        <w:t>).</w:t>
      </w:r>
    </w:p>
  </w:footnote>
  <w:footnote w:id="165">
    <w:p w14:paraId="0655CA35" w14:textId="4656843D"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On consent, especially Art 6(1)(a), 7, 9(2)(a) of the GDPR, see Chapter III of the GDPR on data subject rights. </w:t>
      </w:r>
    </w:p>
  </w:footnote>
  <w:footnote w:id="166">
    <w:p w14:paraId="243B0E68" w14:textId="7EE32EA0"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As supported by some common law privacy lawyers, </w:t>
      </w:r>
      <w:proofErr w:type="gramStart"/>
      <w:r w:rsidRPr="00207115">
        <w:rPr>
          <w:rFonts w:cstheme="minorHAnsi"/>
        </w:rPr>
        <w:t>e.g.</w:t>
      </w:r>
      <w:proofErr w:type="gramEnd"/>
      <w:r w:rsidRPr="00207115">
        <w:rPr>
          <w:rFonts w:cstheme="minorHAnsi"/>
        </w:rPr>
        <w:t xml:space="preserve"> </w:t>
      </w:r>
      <w:proofErr w:type="spellStart"/>
      <w:r w:rsidRPr="00207115">
        <w:rPr>
          <w:rFonts w:cstheme="minorHAnsi"/>
        </w:rPr>
        <w:t>Moreham</w:t>
      </w:r>
      <w:proofErr w:type="spellEnd"/>
      <w:r w:rsidRPr="00207115">
        <w:rPr>
          <w:rFonts w:cstheme="minorHAnsi"/>
        </w:rPr>
        <w:t xml:space="preserve"> (n 1</w:t>
      </w:r>
      <w:r w:rsidR="003910DA" w:rsidRPr="00207115">
        <w:rPr>
          <w:rFonts w:cstheme="minorHAnsi"/>
        </w:rPr>
        <w:t>3</w:t>
      </w:r>
      <w:r w:rsidR="00394C50" w:rsidRPr="00207115">
        <w:rPr>
          <w:rFonts w:cstheme="minorHAnsi"/>
        </w:rPr>
        <w:t>5</w:t>
      </w:r>
      <w:r w:rsidRPr="00207115">
        <w:rPr>
          <w:rFonts w:cstheme="minorHAnsi"/>
        </w:rPr>
        <w:t xml:space="preserve">) 617ff. </w:t>
      </w:r>
    </w:p>
  </w:footnote>
  <w:footnote w:id="167">
    <w:p w14:paraId="696070A2" w14:textId="7C2C2225"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Fenwick (n 44) 663, citing with approval WA Parent, ‘A New Definition of Privacy for the Law’ (1983) 2 </w:t>
      </w:r>
      <w:r w:rsidRPr="00207115">
        <w:rPr>
          <w:rFonts w:cstheme="minorHAnsi"/>
          <w:i/>
        </w:rPr>
        <w:t>Law and Philosophy</w:t>
      </w:r>
      <w:r w:rsidRPr="00207115">
        <w:rPr>
          <w:rFonts w:cstheme="minorHAnsi"/>
        </w:rPr>
        <w:t xml:space="preserve"> 305, 306f [emphasis added].</w:t>
      </w:r>
    </w:p>
  </w:footnote>
  <w:footnote w:id="168">
    <w:p w14:paraId="08A47A5C" w14:textId="447C9DAF"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t>
      </w:r>
      <w:r w:rsidRPr="00207115">
        <w:rPr>
          <w:rFonts w:cstheme="minorHAnsi"/>
          <w:i/>
          <w:iCs/>
        </w:rPr>
        <w:t xml:space="preserve">Axel Springer AG v Germany </w:t>
      </w:r>
      <w:r w:rsidRPr="00207115">
        <w:rPr>
          <w:rFonts w:cstheme="minorHAnsi"/>
          <w:i/>
        </w:rPr>
        <w:t>39954/08</w:t>
      </w:r>
      <w:r w:rsidRPr="00207115">
        <w:rPr>
          <w:rFonts w:cstheme="minorHAnsi"/>
        </w:rPr>
        <w:t xml:space="preserve"> [2012] ECHR 227, para 83; cited with approval in </w:t>
      </w:r>
      <w:r w:rsidRPr="00207115">
        <w:rPr>
          <w:rFonts w:cstheme="minorHAnsi"/>
          <w:i/>
        </w:rPr>
        <w:t>ML &amp; WW</w:t>
      </w:r>
      <w:r w:rsidRPr="00207115">
        <w:rPr>
          <w:rFonts w:cstheme="minorHAnsi"/>
        </w:rPr>
        <w:t xml:space="preserve"> (</w:t>
      </w:r>
      <w:r w:rsidR="00D90FF2" w:rsidRPr="00207115">
        <w:rPr>
          <w:rFonts w:cstheme="minorHAnsi"/>
        </w:rPr>
        <w:t>n 128</w:t>
      </w:r>
      <w:r w:rsidRPr="00207115">
        <w:rPr>
          <w:rFonts w:cstheme="minorHAnsi"/>
        </w:rPr>
        <w:t xml:space="preserve">) para 88; </w:t>
      </w:r>
      <w:r w:rsidRPr="00207115">
        <w:rPr>
          <w:rFonts w:cstheme="minorHAnsi"/>
          <w:i/>
        </w:rPr>
        <w:t xml:space="preserve">N1 &amp; N2 </w:t>
      </w:r>
      <w:r w:rsidRPr="00207115">
        <w:rPr>
          <w:rFonts w:cstheme="minorHAnsi"/>
        </w:rPr>
        <w:t>(</w:t>
      </w:r>
      <w:r w:rsidR="00D90FF2" w:rsidRPr="00207115">
        <w:rPr>
          <w:rFonts w:cstheme="minorHAnsi"/>
        </w:rPr>
        <w:t>n 129</w:t>
      </w:r>
      <w:r w:rsidRPr="00207115">
        <w:rPr>
          <w:rFonts w:cstheme="minorHAnsi"/>
        </w:rPr>
        <w:t xml:space="preserve">) para 111. However, see also </w:t>
      </w:r>
      <w:r w:rsidRPr="00207115">
        <w:rPr>
          <w:rFonts w:cstheme="minorHAnsi"/>
          <w:i/>
        </w:rPr>
        <w:t>Sciacca v Italy</w:t>
      </w:r>
      <w:r w:rsidRPr="00207115">
        <w:rPr>
          <w:rFonts w:cstheme="minorHAnsi"/>
        </w:rPr>
        <w:t xml:space="preserve"> </w:t>
      </w:r>
      <w:r w:rsidRPr="00207115">
        <w:rPr>
          <w:rFonts w:cstheme="minorHAnsi"/>
          <w:i/>
        </w:rPr>
        <w:t xml:space="preserve">50774/99 </w:t>
      </w:r>
      <w:r w:rsidRPr="00207115">
        <w:rPr>
          <w:rFonts w:cstheme="minorHAnsi"/>
        </w:rPr>
        <w:t xml:space="preserve">(2006) 43 EHRR 20, para 29, where the ECtHR noted that the fact that the applicant was subject to criminal proceedings cannot curtail the scope of Art 8. </w:t>
      </w:r>
    </w:p>
  </w:footnote>
  <w:footnote w:id="169">
    <w:p w14:paraId="1C3CE889" w14:textId="03D05D25"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t>
      </w:r>
      <w:r w:rsidRPr="00207115">
        <w:rPr>
          <w:rFonts w:cstheme="minorHAnsi"/>
          <w:i/>
        </w:rPr>
        <w:t xml:space="preserve">Daily Times Democrat v Graham </w:t>
      </w:r>
      <w:r w:rsidRPr="00207115">
        <w:rPr>
          <w:rFonts w:cstheme="minorHAnsi"/>
        </w:rPr>
        <w:t xml:space="preserve">162 So 2d 474 (1964). </w:t>
      </w:r>
    </w:p>
  </w:footnote>
  <w:footnote w:id="170">
    <w:p w14:paraId="519F14F4" w14:textId="5F145548" w:rsidR="00C75CA9" w:rsidRPr="00207115" w:rsidRDefault="00C75CA9">
      <w:pPr>
        <w:autoSpaceDE w:val="0"/>
        <w:autoSpaceDN w:val="0"/>
        <w:adjustRightInd w:val="0"/>
        <w:spacing w:after="0" w:line="240" w:lineRule="auto"/>
        <w:jc w:val="both"/>
        <w:rPr>
          <w:rFonts w:cstheme="minorHAnsi"/>
          <w:sz w:val="20"/>
          <w:szCs w:val="20"/>
        </w:rPr>
      </w:pPr>
      <w:r w:rsidRPr="00207115">
        <w:rPr>
          <w:rStyle w:val="FootnoteReference"/>
          <w:rFonts w:cstheme="minorHAnsi"/>
          <w:sz w:val="20"/>
          <w:szCs w:val="20"/>
        </w:rPr>
        <w:footnoteRef/>
      </w:r>
      <w:r w:rsidRPr="00207115">
        <w:rPr>
          <w:rFonts w:cstheme="minorHAnsi"/>
          <w:sz w:val="20"/>
          <w:szCs w:val="20"/>
        </w:rPr>
        <w:t xml:space="preserve"> For a critique, see Gavin Phillipson, ‘Press Freedom, the Public Interest and Privacy’ in Andrew Kenyon (ed), </w:t>
      </w:r>
      <w:r w:rsidRPr="00207115">
        <w:rPr>
          <w:rFonts w:cstheme="minorHAnsi"/>
          <w:i/>
          <w:iCs/>
          <w:sz w:val="20"/>
          <w:szCs w:val="20"/>
        </w:rPr>
        <w:t xml:space="preserve">Comparative Defamation and Privacy Law </w:t>
      </w:r>
      <w:r w:rsidRPr="00207115">
        <w:rPr>
          <w:rFonts w:cstheme="minorHAnsi"/>
          <w:sz w:val="20"/>
          <w:szCs w:val="20"/>
        </w:rPr>
        <w:t xml:space="preserve">(CUP 2016) 136, 150. See also Lloyd L </w:t>
      </w:r>
      <w:proofErr w:type="spellStart"/>
      <w:r w:rsidRPr="00207115">
        <w:rPr>
          <w:rFonts w:cstheme="minorHAnsi"/>
          <w:sz w:val="20"/>
          <w:szCs w:val="20"/>
        </w:rPr>
        <w:t>Weinreb</w:t>
      </w:r>
      <w:proofErr w:type="spellEnd"/>
      <w:r w:rsidRPr="00207115">
        <w:rPr>
          <w:rFonts w:cstheme="minorHAnsi"/>
          <w:sz w:val="20"/>
          <w:szCs w:val="20"/>
        </w:rPr>
        <w:t xml:space="preserve">, ‘The Right to Privacy’ (2009) 17 </w:t>
      </w:r>
      <w:r w:rsidRPr="00207115">
        <w:rPr>
          <w:rFonts w:cstheme="minorHAnsi"/>
          <w:i/>
          <w:sz w:val="20"/>
          <w:szCs w:val="20"/>
        </w:rPr>
        <w:t>Social Philosophy &amp; Policy</w:t>
      </w:r>
      <w:r w:rsidRPr="00207115">
        <w:rPr>
          <w:rFonts w:cstheme="minorHAnsi"/>
          <w:sz w:val="20"/>
          <w:szCs w:val="20"/>
        </w:rPr>
        <w:t xml:space="preserve"> 43: ‘The so-called "waiver," however, which rarely is explicit, consists of nothing but the fact that the information is not, in the circumstances, regarded as private.’ [internal marks omitted]. </w:t>
      </w:r>
    </w:p>
  </w:footnote>
  <w:footnote w:id="171">
    <w:p w14:paraId="2290FB04" w14:textId="2C7C7038"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t>
      </w:r>
      <w:r w:rsidRPr="00207115">
        <w:rPr>
          <w:rFonts w:cstheme="minorHAnsi"/>
          <w:i/>
        </w:rPr>
        <w:t>ML &amp; WW</w:t>
      </w:r>
      <w:r w:rsidRPr="00207115">
        <w:rPr>
          <w:rFonts w:cstheme="minorHAnsi"/>
        </w:rPr>
        <w:t xml:space="preserve"> (</w:t>
      </w:r>
      <w:r w:rsidR="00D90FF2" w:rsidRPr="00207115">
        <w:rPr>
          <w:rFonts w:cstheme="minorHAnsi"/>
        </w:rPr>
        <w:t>n 128</w:t>
      </w:r>
      <w:r w:rsidRPr="00207115">
        <w:rPr>
          <w:rFonts w:cstheme="minorHAnsi"/>
        </w:rPr>
        <w:t>) para 88.</w:t>
      </w:r>
    </w:p>
  </w:footnote>
  <w:footnote w:id="172">
    <w:p w14:paraId="2EFA9ED9" w14:textId="5D98A943"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t>
      </w:r>
      <w:r w:rsidRPr="00207115">
        <w:rPr>
          <w:rFonts w:cstheme="minorHAnsi"/>
          <w:i/>
        </w:rPr>
        <w:t xml:space="preserve">N1 &amp; N2 </w:t>
      </w:r>
      <w:r w:rsidRPr="00207115">
        <w:rPr>
          <w:rFonts w:cstheme="minorHAnsi"/>
        </w:rPr>
        <w:t>(</w:t>
      </w:r>
      <w:r w:rsidR="00D90FF2" w:rsidRPr="00207115">
        <w:rPr>
          <w:rFonts w:cstheme="minorHAnsi"/>
        </w:rPr>
        <w:t>n 129</w:t>
      </w:r>
      <w:r w:rsidRPr="00207115">
        <w:rPr>
          <w:rFonts w:cstheme="minorHAnsi"/>
        </w:rPr>
        <w:t xml:space="preserve">) para 110-113; Schedule 3, Condition 5 of the Data Protection Act 1998, following </w:t>
      </w:r>
      <w:r w:rsidRPr="00207115">
        <w:rPr>
          <w:rFonts w:cstheme="minorHAnsi"/>
          <w:i/>
          <w:iCs/>
        </w:rPr>
        <w:t xml:space="preserve">Townsend v Google Inc </w:t>
      </w:r>
      <w:r w:rsidRPr="00207115">
        <w:rPr>
          <w:rFonts w:cstheme="minorHAnsi"/>
        </w:rPr>
        <w:t>[2017] NIQB 81. Art 8(2)(e) of the Data Protection Directive (upon which Condition 5 is based) refers to ‘</w:t>
      </w:r>
      <w:r w:rsidRPr="00207115">
        <w:rPr>
          <w:rFonts w:cstheme="minorHAnsi"/>
          <w:i/>
        </w:rPr>
        <w:t>manifestly</w:t>
      </w:r>
      <w:r w:rsidRPr="00207115">
        <w:rPr>
          <w:rFonts w:cstheme="minorHAnsi"/>
        </w:rPr>
        <w:t xml:space="preserve"> made public by the data subject’ [emphasis added]</w:t>
      </w:r>
      <w:r w:rsidR="000238D8" w:rsidRPr="00207115">
        <w:rPr>
          <w:rFonts w:cstheme="minorHAnsi"/>
        </w:rPr>
        <w:t>.</w:t>
      </w:r>
    </w:p>
  </w:footnote>
  <w:footnote w:id="173">
    <w:p w14:paraId="5FACAEDE" w14:textId="7A77A2FB"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t>
      </w:r>
      <w:r w:rsidRPr="00207115">
        <w:rPr>
          <w:rFonts w:cstheme="minorHAnsi"/>
          <w:i/>
        </w:rPr>
        <w:t>Townsend v Google Inc &amp; Anor</w:t>
      </w:r>
      <w:r w:rsidRPr="00207115">
        <w:rPr>
          <w:rFonts w:cstheme="minorHAnsi"/>
        </w:rPr>
        <w:t xml:space="preserve"> [2017] NIQB 81.</w:t>
      </w:r>
    </w:p>
  </w:footnote>
  <w:footnote w:id="174">
    <w:p w14:paraId="7EBD51C9" w14:textId="41746557"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ibid para 62; </w:t>
      </w:r>
      <w:r w:rsidRPr="00207115">
        <w:rPr>
          <w:rFonts w:cstheme="minorHAnsi"/>
          <w:i/>
        </w:rPr>
        <w:t xml:space="preserve">N1 &amp; N2 </w:t>
      </w:r>
      <w:r w:rsidRPr="00207115">
        <w:rPr>
          <w:rFonts w:cstheme="minorHAnsi"/>
        </w:rPr>
        <w:t>(</w:t>
      </w:r>
      <w:r w:rsidR="00D90FF2" w:rsidRPr="00207115">
        <w:rPr>
          <w:rFonts w:cstheme="minorHAnsi"/>
        </w:rPr>
        <w:t>n 129</w:t>
      </w:r>
      <w:proofErr w:type="gramStart"/>
      <w:r w:rsidRPr="00207115">
        <w:rPr>
          <w:rFonts w:cstheme="minorHAnsi"/>
        </w:rPr>
        <w:t>)  para</w:t>
      </w:r>
      <w:proofErr w:type="gramEnd"/>
      <w:r w:rsidRPr="00207115">
        <w:rPr>
          <w:rFonts w:cstheme="minorHAnsi"/>
        </w:rPr>
        <w:t xml:space="preserve"> 110.</w:t>
      </w:r>
    </w:p>
  </w:footnote>
  <w:footnote w:id="175">
    <w:p w14:paraId="3FF795BD" w14:textId="54E4226F"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t>
      </w:r>
      <w:r w:rsidRPr="00207115">
        <w:rPr>
          <w:rFonts w:cstheme="minorHAnsi"/>
          <w:i/>
        </w:rPr>
        <w:t xml:space="preserve">N1 &amp; N2 </w:t>
      </w:r>
      <w:r w:rsidRPr="00207115">
        <w:rPr>
          <w:rFonts w:cstheme="minorHAnsi"/>
        </w:rPr>
        <w:t>(</w:t>
      </w:r>
      <w:r w:rsidR="00D90FF2" w:rsidRPr="00207115">
        <w:rPr>
          <w:rFonts w:cstheme="minorHAnsi"/>
        </w:rPr>
        <w:t>n 129</w:t>
      </w:r>
      <w:r w:rsidRPr="00207115">
        <w:rPr>
          <w:rFonts w:cstheme="minorHAnsi"/>
        </w:rPr>
        <w:t xml:space="preserve">) para 113, where </w:t>
      </w:r>
      <w:proofErr w:type="spellStart"/>
      <w:r w:rsidRPr="00207115">
        <w:rPr>
          <w:rFonts w:cstheme="minorHAnsi"/>
        </w:rPr>
        <w:t>Warby</w:t>
      </w:r>
      <w:proofErr w:type="spellEnd"/>
      <w:r w:rsidRPr="00207115">
        <w:rPr>
          <w:rFonts w:cstheme="minorHAnsi"/>
        </w:rPr>
        <w:t xml:space="preserve"> J had to gloss over the wording of ‘manifestly made public by the data subject’ in the Directive</w:t>
      </w:r>
      <w:r w:rsidR="000238D8" w:rsidRPr="00207115">
        <w:rPr>
          <w:rFonts w:cstheme="minorHAnsi"/>
        </w:rPr>
        <w:t>.</w:t>
      </w:r>
    </w:p>
  </w:footnote>
  <w:footnote w:id="176">
    <w:p w14:paraId="5F9300B4" w14:textId="4F09E3E0"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t>
      </w:r>
      <w:r w:rsidRPr="00207115">
        <w:rPr>
          <w:rFonts w:cstheme="minorHAnsi"/>
          <w:i/>
        </w:rPr>
        <w:t xml:space="preserve">GC and </w:t>
      </w:r>
      <w:proofErr w:type="spellStart"/>
      <w:r w:rsidRPr="00207115">
        <w:rPr>
          <w:rFonts w:cstheme="minorHAnsi"/>
          <w:i/>
        </w:rPr>
        <w:t>Ors</w:t>
      </w:r>
      <w:proofErr w:type="spellEnd"/>
      <w:r w:rsidRPr="00207115">
        <w:rPr>
          <w:rFonts w:cstheme="minorHAnsi"/>
        </w:rPr>
        <w:t xml:space="preserve"> (n 9</w:t>
      </w:r>
      <w:r w:rsidR="00867322" w:rsidRPr="00207115">
        <w:rPr>
          <w:rFonts w:cstheme="minorHAnsi"/>
        </w:rPr>
        <w:t>5</w:t>
      </w:r>
      <w:r w:rsidRPr="00207115">
        <w:rPr>
          <w:rFonts w:cstheme="minorHAnsi"/>
        </w:rPr>
        <w:t xml:space="preserve">), see n 98 – is also a cross reference to GC and </w:t>
      </w:r>
      <w:proofErr w:type="spellStart"/>
      <w:r w:rsidRPr="00207115">
        <w:rPr>
          <w:rFonts w:cstheme="minorHAnsi"/>
        </w:rPr>
        <w:t>Ors</w:t>
      </w:r>
      <w:proofErr w:type="spellEnd"/>
      <w:r w:rsidRPr="00207115">
        <w:rPr>
          <w:rFonts w:cstheme="minorHAnsi"/>
        </w:rPr>
        <w:t xml:space="preserve"> and accompanying text – maybe spell out/repeat? Cross reference to a cross reference is unclear…. </w:t>
      </w:r>
    </w:p>
  </w:footnote>
  <w:footnote w:id="177">
    <w:p w14:paraId="574FF98F" w14:textId="1B37B763" w:rsidR="00C75CA9" w:rsidRPr="00207115" w:rsidRDefault="00C75CA9">
      <w:pPr>
        <w:spacing w:after="0" w:line="240" w:lineRule="auto"/>
        <w:jc w:val="both"/>
        <w:rPr>
          <w:rFonts w:cstheme="minorHAnsi"/>
          <w:sz w:val="20"/>
          <w:szCs w:val="20"/>
        </w:rPr>
      </w:pPr>
      <w:r w:rsidRPr="00207115">
        <w:rPr>
          <w:rStyle w:val="FootnoteReference"/>
          <w:rFonts w:cstheme="minorHAnsi"/>
          <w:sz w:val="20"/>
          <w:szCs w:val="20"/>
        </w:rPr>
        <w:footnoteRef/>
      </w:r>
      <w:r w:rsidRPr="00207115">
        <w:rPr>
          <w:rFonts w:cstheme="minorHAnsi"/>
          <w:sz w:val="20"/>
          <w:szCs w:val="20"/>
        </w:rPr>
        <w:t xml:space="preserve"> Frederick Schauer, ‘The Exceptional First Amendment’ (2005) </w:t>
      </w:r>
      <w:r w:rsidRPr="00207115">
        <w:rPr>
          <w:rFonts w:cstheme="minorHAnsi"/>
          <w:i/>
          <w:sz w:val="20"/>
          <w:szCs w:val="20"/>
        </w:rPr>
        <w:t>KSG Working Paper No RWP05-021</w:t>
      </w:r>
      <w:r w:rsidRPr="00207115">
        <w:rPr>
          <w:rFonts w:cstheme="minorHAnsi"/>
          <w:sz w:val="20"/>
          <w:szCs w:val="20"/>
        </w:rPr>
        <w:t xml:space="preserve"> 1, 20ff (‘</w:t>
      </w:r>
      <w:r w:rsidRPr="00207115">
        <w:rPr>
          <w:rFonts w:cstheme="minorHAnsi"/>
          <w:color w:val="000000"/>
          <w:sz w:val="20"/>
          <w:szCs w:val="20"/>
        </w:rPr>
        <w:t>as a manifestation of the strong libertarian and individualistic aspects of American society itself</w:t>
      </w:r>
      <w:r w:rsidRPr="00207115">
        <w:rPr>
          <w:rFonts w:cstheme="minorHAnsi"/>
          <w:sz w:val="20"/>
          <w:szCs w:val="20"/>
        </w:rPr>
        <w:t>’)</w:t>
      </w:r>
      <w:r w:rsidR="00B751AB" w:rsidRPr="00207115">
        <w:rPr>
          <w:rFonts w:cstheme="minorHAnsi"/>
          <w:sz w:val="20"/>
          <w:szCs w:val="20"/>
        </w:rPr>
        <w:t>.</w:t>
      </w:r>
    </w:p>
  </w:footnote>
  <w:footnote w:id="178">
    <w:p w14:paraId="554DAC00" w14:textId="175667D8"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t>
      </w:r>
      <w:r w:rsidRPr="00207115">
        <w:rPr>
          <w:rStyle w:val="Emphasis"/>
          <w:rFonts w:cstheme="minorHAnsi"/>
        </w:rPr>
        <w:t xml:space="preserve">NT1 &amp; NT2 </w:t>
      </w:r>
      <w:r w:rsidR="00B751AB" w:rsidRPr="00207115">
        <w:rPr>
          <w:rStyle w:val="Emphasis"/>
          <w:rFonts w:cstheme="minorHAnsi"/>
          <w:i w:val="0"/>
        </w:rPr>
        <w:t>(</w:t>
      </w:r>
      <w:r w:rsidR="00D90FF2" w:rsidRPr="00207115">
        <w:rPr>
          <w:rStyle w:val="Emphasis"/>
          <w:rFonts w:cstheme="minorHAnsi"/>
          <w:i w:val="0"/>
        </w:rPr>
        <w:t>n 129</w:t>
      </w:r>
      <w:r w:rsidR="00B751AB" w:rsidRPr="00207115">
        <w:rPr>
          <w:rStyle w:val="Emphasis"/>
          <w:rFonts w:cstheme="minorHAnsi"/>
          <w:i w:val="0"/>
        </w:rPr>
        <w:t>)</w:t>
      </w:r>
      <w:r w:rsidRPr="00207115">
        <w:rPr>
          <w:rStyle w:val="Emphasis"/>
          <w:rFonts w:cstheme="minorHAnsi"/>
          <w:i w:val="0"/>
        </w:rPr>
        <w:t xml:space="preserve"> p</w:t>
      </w:r>
      <w:r w:rsidRPr="00207115">
        <w:rPr>
          <w:rFonts w:cstheme="minorHAnsi"/>
        </w:rPr>
        <w:t xml:space="preserve">ara 133. </w:t>
      </w:r>
    </w:p>
  </w:footnote>
  <w:footnote w:id="179">
    <w:p w14:paraId="69F36218" w14:textId="67C6BEC3"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Fiona </w:t>
      </w:r>
      <w:proofErr w:type="spellStart"/>
      <w:r w:rsidRPr="00207115">
        <w:rPr>
          <w:rFonts w:cstheme="minorHAnsi"/>
        </w:rPr>
        <w:t>Brimblecome</w:t>
      </w:r>
      <w:proofErr w:type="spellEnd"/>
      <w:r w:rsidRPr="00207115">
        <w:rPr>
          <w:rFonts w:cstheme="minorHAnsi"/>
        </w:rPr>
        <w:t xml:space="preserve">, Gavin P Phillipson, ‘Regaining Digital Privacy? The New “Right to be Forgotten” and Online Expression’ (2018) 4 </w:t>
      </w:r>
      <w:r w:rsidRPr="00207115">
        <w:rPr>
          <w:rFonts w:cstheme="minorHAnsi"/>
          <w:i/>
        </w:rPr>
        <w:t>Canadian Journal of Comparative and Contemporary Law</w:t>
      </w:r>
      <w:r w:rsidRPr="00207115">
        <w:rPr>
          <w:rFonts w:cstheme="minorHAnsi"/>
        </w:rPr>
        <w:t xml:space="preserve"> 1.</w:t>
      </w:r>
    </w:p>
  </w:footnote>
  <w:footnote w:id="180">
    <w:p w14:paraId="21DA5799" w14:textId="3E63E5C4" w:rsidR="00C75CA9" w:rsidRPr="00207115" w:rsidRDefault="00C75CA9">
      <w:pPr>
        <w:pStyle w:val="FootnoteText"/>
        <w:jc w:val="both"/>
        <w:rPr>
          <w:rFonts w:cstheme="minorHAnsi"/>
          <w:i/>
        </w:rPr>
      </w:pPr>
      <w:r w:rsidRPr="00207115">
        <w:rPr>
          <w:rStyle w:val="FootnoteReference"/>
          <w:rFonts w:cstheme="minorHAnsi"/>
        </w:rPr>
        <w:footnoteRef/>
      </w:r>
      <w:r w:rsidRPr="00207115">
        <w:rPr>
          <w:rFonts w:cstheme="minorHAnsi"/>
        </w:rPr>
        <w:t xml:space="preserve"> </w:t>
      </w:r>
      <w:r w:rsidRPr="00207115">
        <w:rPr>
          <w:rFonts w:cstheme="minorHAnsi"/>
          <w:i/>
          <w:iCs/>
        </w:rPr>
        <w:t xml:space="preserve">Axel Springer AG v Germany </w:t>
      </w:r>
      <w:r w:rsidR="00B751AB" w:rsidRPr="00207115">
        <w:rPr>
          <w:rFonts w:cstheme="minorHAnsi"/>
        </w:rPr>
        <w:t>(n 1</w:t>
      </w:r>
      <w:r w:rsidR="003D1984" w:rsidRPr="00207115">
        <w:rPr>
          <w:rFonts w:cstheme="minorHAnsi"/>
        </w:rPr>
        <w:t>70</w:t>
      </w:r>
      <w:r w:rsidR="00B751AB" w:rsidRPr="00207115">
        <w:rPr>
          <w:rFonts w:cstheme="minorHAnsi"/>
        </w:rPr>
        <w:t>)</w:t>
      </w:r>
      <w:r w:rsidRPr="00207115">
        <w:rPr>
          <w:rFonts w:cstheme="minorHAnsi"/>
        </w:rPr>
        <w:t xml:space="preserve"> para 87; </w:t>
      </w:r>
      <w:r w:rsidRPr="00207115">
        <w:rPr>
          <w:rFonts w:cstheme="minorHAnsi"/>
          <w:i/>
        </w:rPr>
        <w:t xml:space="preserve">Von </w:t>
      </w:r>
      <w:r w:rsidRPr="00207115">
        <w:rPr>
          <w:rStyle w:val="s6b621b36"/>
          <w:rFonts w:cstheme="minorHAnsi"/>
          <w:i/>
        </w:rPr>
        <w:t>Hannover v Germany (No 2)</w:t>
      </w:r>
      <w:r w:rsidRPr="00207115">
        <w:rPr>
          <w:rFonts w:cstheme="minorHAnsi"/>
          <w:i/>
        </w:rPr>
        <w:t xml:space="preserve"> 40660/08</w:t>
      </w:r>
      <w:r w:rsidRPr="00207115">
        <w:rPr>
          <w:rFonts w:cstheme="minorHAnsi"/>
        </w:rPr>
        <w:t xml:space="preserve"> [2012] ECHR 228, para 106;</w:t>
      </w:r>
      <w:r w:rsidRPr="00207115">
        <w:rPr>
          <w:rStyle w:val="Emphasis"/>
          <w:rFonts w:cstheme="minorHAnsi"/>
        </w:rPr>
        <w:t xml:space="preserve"> </w:t>
      </w:r>
      <w:proofErr w:type="spellStart"/>
      <w:r w:rsidRPr="00207115">
        <w:rPr>
          <w:rStyle w:val="Emphasis"/>
          <w:rFonts w:cstheme="minorHAnsi"/>
        </w:rPr>
        <w:t>Mityanin</w:t>
      </w:r>
      <w:proofErr w:type="spellEnd"/>
      <w:r w:rsidRPr="00207115">
        <w:rPr>
          <w:rStyle w:val="Emphasis"/>
          <w:rFonts w:cstheme="minorHAnsi"/>
        </w:rPr>
        <w:t xml:space="preserve"> and Leonov v Russia </w:t>
      </w:r>
      <w:r w:rsidRPr="00207115">
        <w:rPr>
          <w:rFonts w:cstheme="minorHAnsi"/>
        </w:rPr>
        <w:t xml:space="preserve">11436/06 [2019] ECHR 327, para 108; followed in </w:t>
      </w:r>
      <w:r w:rsidRPr="00207115">
        <w:rPr>
          <w:rStyle w:val="Emphasis"/>
          <w:rFonts w:cstheme="minorHAnsi"/>
        </w:rPr>
        <w:t xml:space="preserve">NT1 &amp; NT2 </w:t>
      </w:r>
      <w:r w:rsidR="00B751AB" w:rsidRPr="00207115">
        <w:rPr>
          <w:rStyle w:val="Emphasis"/>
          <w:rFonts w:cstheme="minorHAnsi"/>
          <w:i w:val="0"/>
        </w:rPr>
        <w:t>(</w:t>
      </w:r>
      <w:r w:rsidR="00D90FF2" w:rsidRPr="00207115">
        <w:rPr>
          <w:rStyle w:val="Emphasis"/>
          <w:rFonts w:cstheme="minorHAnsi"/>
          <w:i w:val="0"/>
        </w:rPr>
        <w:t>n 129</w:t>
      </w:r>
      <w:r w:rsidR="00B751AB" w:rsidRPr="00207115">
        <w:rPr>
          <w:rStyle w:val="Emphasis"/>
          <w:rFonts w:cstheme="minorHAnsi"/>
          <w:i w:val="0"/>
        </w:rPr>
        <w:t>)</w:t>
      </w:r>
      <w:r w:rsidRPr="00207115">
        <w:rPr>
          <w:rStyle w:val="Emphasis"/>
          <w:rFonts w:cstheme="minorHAnsi"/>
        </w:rPr>
        <w:t xml:space="preserve"> </w:t>
      </w:r>
      <w:r w:rsidRPr="00207115">
        <w:rPr>
          <w:rStyle w:val="Emphasis"/>
          <w:rFonts w:cstheme="minorHAnsi"/>
          <w:i w:val="0"/>
        </w:rPr>
        <w:t>para 132f.</w:t>
      </w:r>
    </w:p>
  </w:footnote>
  <w:footnote w:id="181">
    <w:p w14:paraId="505F48F2" w14:textId="19726E9E"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t>
      </w:r>
      <w:proofErr w:type="spellStart"/>
      <w:r w:rsidRPr="00207115">
        <w:rPr>
          <w:rFonts w:cstheme="minorHAnsi"/>
        </w:rPr>
        <w:t>Markesinis</w:t>
      </w:r>
      <w:proofErr w:type="spellEnd"/>
      <w:r w:rsidRPr="00207115">
        <w:rPr>
          <w:rFonts w:cstheme="minorHAnsi"/>
        </w:rPr>
        <w:t xml:space="preserve"> </w:t>
      </w:r>
      <w:r w:rsidR="00B751AB" w:rsidRPr="00207115">
        <w:rPr>
          <w:rFonts w:cstheme="minorHAnsi"/>
        </w:rPr>
        <w:t>(</w:t>
      </w:r>
      <w:r w:rsidR="001F5F2B" w:rsidRPr="00207115">
        <w:rPr>
          <w:rFonts w:cstheme="minorHAnsi"/>
        </w:rPr>
        <w:t>n 1</w:t>
      </w:r>
      <w:r w:rsidR="00B751AB" w:rsidRPr="00207115">
        <w:rPr>
          <w:rFonts w:cstheme="minorHAnsi"/>
        </w:rPr>
        <w:t>)</w:t>
      </w:r>
      <w:r w:rsidRPr="00207115">
        <w:rPr>
          <w:rFonts w:cstheme="minorHAnsi"/>
        </w:rPr>
        <w:t xml:space="preserve"> 155. </w:t>
      </w:r>
    </w:p>
  </w:footnote>
  <w:footnote w:id="182">
    <w:p w14:paraId="727E46E0" w14:textId="0B7E0459"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w:t>
      </w:r>
      <w:r w:rsidR="00B751AB" w:rsidRPr="00207115">
        <w:rPr>
          <w:rFonts w:cstheme="minorHAnsi"/>
        </w:rPr>
        <w:t>i</w:t>
      </w:r>
      <w:r w:rsidRPr="00207115">
        <w:rPr>
          <w:rFonts w:cstheme="minorHAnsi"/>
        </w:rPr>
        <w:t>bid.</w:t>
      </w:r>
    </w:p>
  </w:footnote>
  <w:footnote w:id="183">
    <w:p w14:paraId="04C5F2A1" w14:textId="560A51C7"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Carmi </w:t>
      </w:r>
      <w:r w:rsidR="00B751AB" w:rsidRPr="00207115">
        <w:rPr>
          <w:rFonts w:cstheme="minorHAnsi"/>
        </w:rPr>
        <w:t>(</w:t>
      </w:r>
      <w:r w:rsidR="001F5F2B" w:rsidRPr="00207115">
        <w:rPr>
          <w:rFonts w:cstheme="minorHAnsi"/>
        </w:rPr>
        <w:t>n 1</w:t>
      </w:r>
      <w:r w:rsidR="00B751AB" w:rsidRPr="00207115">
        <w:rPr>
          <w:rFonts w:cstheme="minorHAnsi"/>
        </w:rPr>
        <w:t>)</w:t>
      </w:r>
      <w:r w:rsidRPr="00207115">
        <w:rPr>
          <w:rFonts w:cstheme="minorHAnsi"/>
        </w:rPr>
        <w:t xml:space="preserve"> 334ff; Ronald J </w:t>
      </w:r>
      <w:proofErr w:type="spellStart"/>
      <w:r w:rsidRPr="00207115">
        <w:rPr>
          <w:rFonts w:cstheme="minorHAnsi"/>
        </w:rPr>
        <w:t>Krotoszynski</w:t>
      </w:r>
      <w:proofErr w:type="spellEnd"/>
      <w:r w:rsidRPr="00207115">
        <w:rPr>
          <w:rFonts w:cstheme="minorHAnsi"/>
        </w:rPr>
        <w:t xml:space="preserve"> Jr, ‘</w:t>
      </w:r>
      <w:r w:rsidRPr="00207115">
        <w:rPr>
          <w:rFonts w:cstheme="minorHAnsi"/>
          <w:iCs/>
        </w:rPr>
        <w:t>A Comparative Perspective on the First Amendment: Free Speech, Militant Democracy, and the Primacy of Dignity as a Preferred Constitutional Value in Germany</w:t>
      </w:r>
      <w:r w:rsidRPr="00207115">
        <w:rPr>
          <w:rFonts w:cstheme="minorHAnsi"/>
        </w:rPr>
        <w:t xml:space="preserve">’ (2004) 78 </w:t>
      </w:r>
      <w:r w:rsidRPr="00207115">
        <w:rPr>
          <w:rFonts w:cstheme="minorHAnsi"/>
          <w:i/>
        </w:rPr>
        <w:t>Tulane Law Review</w:t>
      </w:r>
      <w:r w:rsidRPr="00207115">
        <w:rPr>
          <w:rFonts w:cstheme="minorHAnsi"/>
        </w:rPr>
        <w:t xml:space="preserve"> 1549, 1581ff. </w:t>
      </w:r>
    </w:p>
  </w:footnote>
  <w:footnote w:id="184">
    <w:p w14:paraId="24185B18" w14:textId="64F029D7"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Section 22 of the German Copyright Act, discussed in </w:t>
      </w:r>
      <w:r w:rsidRPr="00207115">
        <w:rPr>
          <w:rFonts w:cstheme="minorHAnsi"/>
          <w:i/>
        </w:rPr>
        <w:t xml:space="preserve">Von Hannover v Germany </w:t>
      </w:r>
      <w:r w:rsidR="00B751AB" w:rsidRPr="00207115">
        <w:rPr>
          <w:rFonts w:cstheme="minorHAnsi"/>
        </w:rPr>
        <w:t>(</w:t>
      </w:r>
      <w:r w:rsidRPr="00207115">
        <w:rPr>
          <w:rFonts w:cstheme="minorHAnsi"/>
        </w:rPr>
        <w:t>n 1</w:t>
      </w:r>
      <w:r w:rsidR="00394C50" w:rsidRPr="00207115">
        <w:rPr>
          <w:rFonts w:cstheme="minorHAnsi"/>
        </w:rPr>
        <w:t>35</w:t>
      </w:r>
      <w:r w:rsidR="00B751AB" w:rsidRPr="00207115">
        <w:rPr>
          <w:rFonts w:cstheme="minorHAnsi"/>
        </w:rPr>
        <w:t>)</w:t>
      </w:r>
      <w:r w:rsidRPr="00207115">
        <w:rPr>
          <w:rFonts w:cstheme="minorHAnsi"/>
        </w:rPr>
        <w:t xml:space="preserve">. </w:t>
      </w:r>
    </w:p>
  </w:footnote>
  <w:footnote w:id="185">
    <w:p w14:paraId="54CC1F69" w14:textId="4BBF0B43" w:rsidR="00C75CA9" w:rsidRPr="00A14C14" w:rsidRDefault="00C75CA9" w:rsidP="00641E7B">
      <w:pPr>
        <w:pStyle w:val="FootnoteText"/>
        <w:jc w:val="both"/>
        <w:rPr>
          <w:rFonts w:cstheme="minorHAnsi"/>
        </w:rPr>
      </w:pPr>
      <w:r w:rsidRPr="00A14C14">
        <w:rPr>
          <w:rStyle w:val="FootnoteReference"/>
          <w:rFonts w:cstheme="minorHAnsi"/>
        </w:rPr>
        <w:footnoteRef/>
      </w:r>
      <w:r w:rsidRPr="00A14C14">
        <w:rPr>
          <w:rFonts w:cstheme="minorHAnsi"/>
        </w:rPr>
        <w:t xml:space="preserve"> </w:t>
      </w:r>
      <w:r w:rsidRPr="00207115">
        <w:rPr>
          <w:rFonts w:cstheme="minorHAnsi"/>
        </w:rPr>
        <w:t>Under s</w:t>
      </w:r>
      <w:r w:rsidR="00B751AB" w:rsidRPr="00207115">
        <w:rPr>
          <w:rFonts w:cstheme="minorHAnsi"/>
        </w:rPr>
        <w:t> </w:t>
      </w:r>
      <w:r w:rsidRPr="00207115">
        <w:rPr>
          <w:rFonts w:cstheme="minorHAnsi"/>
        </w:rPr>
        <w:t>23(1) of the same Act, the publication of pictures portraying aspects of contemporary society are exempted from the obligation to obtain the consent of the person concerned within the meaning of s 22.</w:t>
      </w:r>
    </w:p>
  </w:footnote>
  <w:footnote w:id="186">
    <w:p w14:paraId="556B6A08" w14:textId="6C82022E" w:rsidR="00C75CA9" w:rsidRPr="00207115" w:rsidRDefault="00C75CA9" w:rsidP="00E96006">
      <w:pPr>
        <w:pStyle w:val="FootnoteText"/>
        <w:jc w:val="both"/>
        <w:rPr>
          <w:rFonts w:cstheme="minorHAnsi"/>
        </w:rPr>
      </w:pPr>
      <w:r w:rsidRPr="00207115">
        <w:rPr>
          <w:rStyle w:val="FootnoteReference"/>
          <w:rFonts w:cstheme="minorHAnsi"/>
        </w:rPr>
        <w:footnoteRef/>
      </w:r>
      <w:r w:rsidRPr="00207115">
        <w:rPr>
          <w:rFonts w:cstheme="minorHAnsi"/>
        </w:rPr>
        <w:t xml:space="preserve"> </w:t>
      </w:r>
      <w:r w:rsidR="00B751AB" w:rsidRPr="00207115">
        <w:rPr>
          <w:rFonts w:cstheme="minorHAnsi"/>
        </w:rPr>
        <w:t>i</w:t>
      </w:r>
      <w:r w:rsidRPr="00207115">
        <w:rPr>
          <w:rFonts w:cstheme="minorHAnsi"/>
        </w:rPr>
        <w:t>bid referring to s</w:t>
      </w:r>
      <w:r w:rsidR="00B751AB" w:rsidRPr="00207115">
        <w:rPr>
          <w:rFonts w:cstheme="minorHAnsi"/>
        </w:rPr>
        <w:t> </w:t>
      </w:r>
      <w:r w:rsidRPr="00207115">
        <w:rPr>
          <w:rFonts w:cstheme="minorHAnsi"/>
        </w:rPr>
        <w:t xml:space="preserve">23(2) of the German Copyright Act. See also comparative discussion of ‘public figures’ in </w:t>
      </w:r>
      <w:proofErr w:type="spellStart"/>
      <w:r w:rsidRPr="00207115">
        <w:rPr>
          <w:rFonts w:cstheme="minorHAnsi"/>
        </w:rPr>
        <w:t>Markesinis</w:t>
      </w:r>
      <w:proofErr w:type="spellEnd"/>
      <w:r w:rsidR="00B751AB" w:rsidRPr="00207115">
        <w:rPr>
          <w:rFonts w:cstheme="minorHAnsi"/>
        </w:rPr>
        <w:t xml:space="preserve"> (</w:t>
      </w:r>
      <w:r w:rsidR="001F5F2B" w:rsidRPr="00207115">
        <w:rPr>
          <w:rFonts w:cstheme="minorHAnsi"/>
        </w:rPr>
        <w:t>n 1</w:t>
      </w:r>
      <w:r w:rsidR="00B751AB" w:rsidRPr="00207115">
        <w:rPr>
          <w:rFonts w:cstheme="minorHAnsi"/>
        </w:rPr>
        <w:t>)</w:t>
      </w:r>
      <w:r w:rsidRPr="00207115">
        <w:rPr>
          <w:rFonts w:cstheme="minorHAnsi"/>
        </w:rPr>
        <w:t xml:space="preserve"> 144ff.</w:t>
      </w:r>
    </w:p>
  </w:footnote>
  <w:footnote w:id="187">
    <w:p w14:paraId="397F8682" w14:textId="77777777" w:rsidR="00C75CA9" w:rsidRPr="00207115" w:rsidRDefault="00C75CA9" w:rsidP="00202BBA">
      <w:pPr>
        <w:pStyle w:val="FootnoteText"/>
        <w:jc w:val="both"/>
        <w:rPr>
          <w:rFonts w:cstheme="minorHAnsi"/>
          <w:u w:val="double"/>
        </w:rPr>
      </w:pPr>
      <w:r w:rsidRPr="00207115">
        <w:rPr>
          <w:rStyle w:val="FootnoteReference"/>
          <w:rFonts w:cstheme="minorHAnsi"/>
        </w:rPr>
        <w:footnoteRef/>
      </w:r>
      <w:r w:rsidRPr="00207115">
        <w:rPr>
          <w:rFonts w:cstheme="minorHAnsi"/>
        </w:rPr>
        <w:t xml:space="preserve"> Art 14(a) of the Data Protection Directive.</w:t>
      </w:r>
    </w:p>
  </w:footnote>
  <w:footnote w:id="188">
    <w:p w14:paraId="6C580636" w14:textId="77777777" w:rsidR="00C75CA9" w:rsidRPr="00207115" w:rsidRDefault="00C75CA9">
      <w:pPr>
        <w:pStyle w:val="FootnoteText"/>
        <w:jc w:val="both"/>
        <w:rPr>
          <w:rFonts w:cstheme="minorHAnsi"/>
        </w:rPr>
      </w:pPr>
      <w:r w:rsidRPr="00207115">
        <w:rPr>
          <w:rStyle w:val="FootnoteReference"/>
          <w:rFonts w:cstheme="minorHAnsi"/>
        </w:rPr>
        <w:footnoteRef/>
      </w:r>
      <w:r w:rsidRPr="00207115">
        <w:rPr>
          <w:rFonts w:cstheme="minorHAnsi"/>
        </w:rPr>
        <w:t xml:space="preserve"> Art 21(1), Art 17(1)(c) of the GDPR.</w:t>
      </w:r>
    </w:p>
  </w:footnote>
  <w:footnote w:id="189">
    <w:p w14:paraId="6886F8B6" w14:textId="74DDC76B" w:rsidR="0095285C" w:rsidRDefault="0095285C" w:rsidP="00641E7B">
      <w:pPr>
        <w:pStyle w:val="FootnoteText"/>
        <w:jc w:val="both"/>
      </w:pPr>
      <w:r>
        <w:rPr>
          <w:rStyle w:val="FootnoteReference"/>
        </w:rPr>
        <w:footnoteRef/>
      </w:r>
      <w:r>
        <w:t xml:space="preserve"> </w:t>
      </w:r>
      <w:proofErr w:type="spellStart"/>
      <w:r>
        <w:t>Zumbansen</w:t>
      </w:r>
      <w:proofErr w:type="spellEnd"/>
      <w:r>
        <w:t xml:space="preserve"> (n 1) 252f.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940"/>
    <w:multiLevelType w:val="hybridMultilevel"/>
    <w:tmpl w:val="C7E8A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14552"/>
    <w:multiLevelType w:val="multilevel"/>
    <w:tmpl w:val="248C74F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341D49"/>
    <w:multiLevelType w:val="hybridMultilevel"/>
    <w:tmpl w:val="AFA838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D02E35"/>
    <w:multiLevelType w:val="hybridMultilevel"/>
    <w:tmpl w:val="83804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AB31C1"/>
    <w:multiLevelType w:val="hybridMultilevel"/>
    <w:tmpl w:val="A36E2F5E"/>
    <w:lvl w:ilvl="0" w:tplc="CED8F2B4">
      <w:start w:val="31"/>
      <w:numFmt w:val="decimal"/>
      <w:lvlText w:val="%1."/>
      <w:lvlJc w:val="left"/>
      <w:pPr>
        <w:ind w:left="1140" w:hanging="4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9017809"/>
    <w:multiLevelType w:val="hybridMultilevel"/>
    <w:tmpl w:val="598A8584"/>
    <w:lvl w:ilvl="0" w:tplc="1E3AD8D8">
      <w:start w:val="31"/>
      <w:numFmt w:val="decimal"/>
      <w:lvlText w:val="%1."/>
      <w:lvlJc w:val="left"/>
      <w:pPr>
        <w:ind w:left="1140" w:hanging="4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23C1C90"/>
    <w:multiLevelType w:val="hybridMultilevel"/>
    <w:tmpl w:val="E34214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1800F0"/>
    <w:multiLevelType w:val="hybridMultilevel"/>
    <w:tmpl w:val="4F9432A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576D58"/>
    <w:multiLevelType w:val="hybridMultilevel"/>
    <w:tmpl w:val="3D6E3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14173E"/>
    <w:multiLevelType w:val="multilevel"/>
    <w:tmpl w:val="AEB02AB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DA41CC3"/>
    <w:multiLevelType w:val="hybridMultilevel"/>
    <w:tmpl w:val="4672D7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003186D"/>
    <w:multiLevelType w:val="hybridMultilevel"/>
    <w:tmpl w:val="DFFECAB0"/>
    <w:lvl w:ilvl="0" w:tplc="B2AABF48">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1AB318F"/>
    <w:multiLevelType w:val="multilevel"/>
    <w:tmpl w:val="DE0C03E0"/>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3377BBC"/>
    <w:multiLevelType w:val="multilevel"/>
    <w:tmpl w:val="7FF67CC2"/>
    <w:lvl w:ilvl="0">
      <w:start w:val="3"/>
      <w:numFmt w:val="decimal"/>
      <w:lvlText w:val="%1."/>
      <w:lvlJc w:val="left"/>
      <w:pPr>
        <w:ind w:left="408" w:hanging="408"/>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A0794E"/>
    <w:multiLevelType w:val="multilevel"/>
    <w:tmpl w:val="03F4F31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536B13"/>
    <w:multiLevelType w:val="hybridMultilevel"/>
    <w:tmpl w:val="0F2C62BC"/>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413E3361"/>
    <w:multiLevelType w:val="hybridMultilevel"/>
    <w:tmpl w:val="937EE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8C7324"/>
    <w:multiLevelType w:val="multilevel"/>
    <w:tmpl w:val="5950BF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C313EC3"/>
    <w:multiLevelType w:val="multilevel"/>
    <w:tmpl w:val="13585716"/>
    <w:lvl w:ilvl="0">
      <w:start w:val="3"/>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5F0206"/>
    <w:multiLevelType w:val="multilevel"/>
    <w:tmpl w:val="C3BA5216"/>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7C1377"/>
    <w:multiLevelType w:val="hybridMultilevel"/>
    <w:tmpl w:val="D8FE0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CF1671"/>
    <w:multiLevelType w:val="hybridMultilevel"/>
    <w:tmpl w:val="3DD22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D9628D"/>
    <w:multiLevelType w:val="hybridMultilevel"/>
    <w:tmpl w:val="B90EF4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B17502A"/>
    <w:multiLevelType w:val="multilevel"/>
    <w:tmpl w:val="2EE20848"/>
    <w:lvl w:ilvl="0">
      <w:start w:val="4"/>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5C13103A"/>
    <w:multiLevelType w:val="hybridMultilevel"/>
    <w:tmpl w:val="AF3C0C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9D30B9"/>
    <w:multiLevelType w:val="hybridMultilevel"/>
    <w:tmpl w:val="D30C1F4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5CEE52D6"/>
    <w:multiLevelType w:val="multilevel"/>
    <w:tmpl w:val="5AE6C45C"/>
    <w:lvl w:ilvl="0">
      <w:start w:val="2"/>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7" w15:restartNumberingAfterBreak="0">
    <w:nsid w:val="5E9542F3"/>
    <w:multiLevelType w:val="multilevel"/>
    <w:tmpl w:val="3A88D212"/>
    <w:lvl w:ilvl="0">
      <w:start w:val="2"/>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64A033D"/>
    <w:multiLevelType w:val="hybridMultilevel"/>
    <w:tmpl w:val="D4A20AD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5D4282"/>
    <w:multiLevelType w:val="multilevel"/>
    <w:tmpl w:val="5950BF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B084DC3"/>
    <w:multiLevelType w:val="hybridMultilevel"/>
    <w:tmpl w:val="2A5A4298"/>
    <w:lvl w:ilvl="0" w:tplc="08090003">
      <w:start w:val="1"/>
      <w:numFmt w:val="bullet"/>
      <w:lvlText w:val="o"/>
      <w:lvlJc w:val="left"/>
      <w:pPr>
        <w:ind w:left="1080" w:hanging="360"/>
      </w:pPr>
      <w:rPr>
        <w:rFonts w:ascii="Courier New" w:hAnsi="Courier New" w:cs="Courier New" w:hint="default"/>
      </w:rPr>
    </w:lvl>
    <w:lvl w:ilvl="1" w:tplc="08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DD31975"/>
    <w:multiLevelType w:val="hybridMultilevel"/>
    <w:tmpl w:val="754691DA"/>
    <w:lvl w:ilvl="0" w:tplc="3F26EAE8">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49A01AE"/>
    <w:multiLevelType w:val="multilevel"/>
    <w:tmpl w:val="014E6FC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33" w15:restartNumberingAfterBreak="0">
    <w:nsid w:val="773742F7"/>
    <w:multiLevelType w:val="hybridMultilevel"/>
    <w:tmpl w:val="5DDAE1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E33895"/>
    <w:multiLevelType w:val="multilevel"/>
    <w:tmpl w:val="5950BF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B054756"/>
    <w:multiLevelType w:val="hybridMultilevel"/>
    <w:tmpl w:val="9B34C82A"/>
    <w:lvl w:ilvl="0" w:tplc="0C1A98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DF7A74"/>
    <w:multiLevelType w:val="hybridMultilevel"/>
    <w:tmpl w:val="9E5CC0CE"/>
    <w:lvl w:ilvl="0" w:tplc="D65621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25"/>
  </w:num>
  <w:num w:numId="3">
    <w:abstractNumId w:val="10"/>
  </w:num>
  <w:num w:numId="4">
    <w:abstractNumId w:val="22"/>
  </w:num>
  <w:num w:numId="5">
    <w:abstractNumId w:val="30"/>
  </w:num>
  <w:num w:numId="6">
    <w:abstractNumId w:val="15"/>
  </w:num>
  <w:num w:numId="7">
    <w:abstractNumId w:val="24"/>
  </w:num>
  <w:num w:numId="8">
    <w:abstractNumId w:val="6"/>
  </w:num>
  <w:num w:numId="9">
    <w:abstractNumId w:val="7"/>
  </w:num>
  <w:num w:numId="10">
    <w:abstractNumId w:val="23"/>
  </w:num>
  <w:num w:numId="11">
    <w:abstractNumId w:val="21"/>
  </w:num>
  <w:num w:numId="12">
    <w:abstractNumId w:val="2"/>
  </w:num>
  <w:num w:numId="13">
    <w:abstractNumId w:val="34"/>
  </w:num>
  <w:num w:numId="14">
    <w:abstractNumId w:val="9"/>
  </w:num>
  <w:num w:numId="15">
    <w:abstractNumId w:val="17"/>
  </w:num>
  <w:num w:numId="16">
    <w:abstractNumId w:val="27"/>
  </w:num>
  <w:num w:numId="17">
    <w:abstractNumId w:val="19"/>
  </w:num>
  <w:num w:numId="18">
    <w:abstractNumId w:val="0"/>
  </w:num>
  <w:num w:numId="19">
    <w:abstractNumId w:val="32"/>
  </w:num>
  <w:num w:numId="20">
    <w:abstractNumId w:val="4"/>
  </w:num>
  <w:num w:numId="21">
    <w:abstractNumId w:val="5"/>
  </w:num>
  <w:num w:numId="22">
    <w:abstractNumId w:val="14"/>
  </w:num>
  <w:num w:numId="23">
    <w:abstractNumId w:val="12"/>
  </w:num>
  <w:num w:numId="24">
    <w:abstractNumId w:val="1"/>
  </w:num>
  <w:num w:numId="25">
    <w:abstractNumId w:val="11"/>
  </w:num>
  <w:num w:numId="26">
    <w:abstractNumId w:val="8"/>
  </w:num>
  <w:num w:numId="27">
    <w:abstractNumId w:val="3"/>
  </w:num>
  <w:num w:numId="28">
    <w:abstractNumId w:val="35"/>
  </w:num>
  <w:num w:numId="29">
    <w:abstractNumId w:val="33"/>
  </w:num>
  <w:num w:numId="30">
    <w:abstractNumId w:val="16"/>
  </w:num>
  <w:num w:numId="31">
    <w:abstractNumId w:val="13"/>
  </w:num>
  <w:num w:numId="32">
    <w:abstractNumId w:val="18"/>
  </w:num>
  <w:num w:numId="33">
    <w:abstractNumId w:val="20"/>
  </w:num>
  <w:num w:numId="34">
    <w:abstractNumId w:val="31"/>
  </w:num>
  <w:num w:numId="35">
    <w:abstractNumId w:val="28"/>
  </w:num>
  <w:num w:numId="36">
    <w:abstractNumId w:val="26"/>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05A"/>
    <w:rsid w:val="0000111E"/>
    <w:rsid w:val="0000181C"/>
    <w:rsid w:val="000028AD"/>
    <w:rsid w:val="00003A36"/>
    <w:rsid w:val="00003E09"/>
    <w:rsid w:val="00003EB8"/>
    <w:rsid w:val="0000421F"/>
    <w:rsid w:val="00004826"/>
    <w:rsid w:val="000051C7"/>
    <w:rsid w:val="000069FF"/>
    <w:rsid w:val="0001028A"/>
    <w:rsid w:val="0001111C"/>
    <w:rsid w:val="000114DA"/>
    <w:rsid w:val="000128C6"/>
    <w:rsid w:val="00012B1B"/>
    <w:rsid w:val="00012E08"/>
    <w:rsid w:val="000139DB"/>
    <w:rsid w:val="00014265"/>
    <w:rsid w:val="0001538A"/>
    <w:rsid w:val="00015C75"/>
    <w:rsid w:val="000167E0"/>
    <w:rsid w:val="0001717D"/>
    <w:rsid w:val="0002018E"/>
    <w:rsid w:val="00022037"/>
    <w:rsid w:val="0002277D"/>
    <w:rsid w:val="000238D8"/>
    <w:rsid w:val="00025D5D"/>
    <w:rsid w:val="00026A78"/>
    <w:rsid w:val="00030D10"/>
    <w:rsid w:val="0003181F"/>
    <w:rsid w:val="000321A3"/>
    <w:rsid w:val="00032C87"/>
    <w:rsid w:val="00032D43"/>
    <w:rsid w:val="00036187"/>
    <w:rsid w:val="00036278"/>
    <w:rsid w:val="0003761C"/>
    <w:rsid w:val="00037FC7"/>
    <w:rsid w:val="00044212"/>
    <w:rsid w:val="0004512E"/>
    <w:rsid w:val="00050ACA"/>
    <w:rsid w:val="0005102C"/>
    <w:rsid w:val="00051CFA"/>
    <w:rsid w:val="00052FF6"/>
    <w:rsid w:val="000530E2"/>
    <w:rsid w:val="000545EE"/>
    <w:rsid w:val="00054A82"/>
    <w:rsid w:val="00055C7B"/>
    <w:rsid w:val="00060987"/>
    <w:rsid w:val="00061717"/>
    <w:rsid w:val="0006199B"/>
    <w:rsid w:val="00063587"/>
    <w:rsid w:val="000646D4"/>
    <w:rsid w:val="0006521C"/>
    <w:rsid w:val="000656AD"/>
    <w:rsid w:val="000673F2"/>
    <w:rsid w:val="0006788C"/>
    <w:rsid w:val="00067E11"/>
    <w:rsid w:val="00067F84"/>
    <w:rsid w:val="000716CD"/>
    <w:rsid w:val="00071FD8"/>
    <w:rsid w:val="00072095"/>
    <w:rsid w:val="0007227B"/>
    <w:rsid w:val="00072914"/>
    <w:rsid w:val="0007342A"/>
    <w:rsid w:val="00075395"/>
    <w:rsid w:val="00082328"/>
    <w:rsid w:val="00085722"/>
    <w:rsid w:val="00087A17"/>
    <w:rsid w:val="000920BE"/>
    <w:rsid w:val="000929BE"/>
    <w:rsid w:val="000930B3"/>
    <w:rsid w:val="00093215"/>
    <w:rsid w:val="00093412"/>
    <w:rsid w:val="000951DD"/>
    <w:rsid w:val="000960D0"/>
    <w:rsid w:val="000A1F69"/>
    <w:rsid w:val="000A2F65"/>
    <w:rsid w:val="000A5BC2"/>
    <w:rsid w:val="000A5BD2"/>
    <w:rsid w:val="000A63B5"/>
    <w:rsid w:val="000B03D0"/>
    <w:rsid w:val="000B0A9E"/>
    <w:rsid w:val="000B1C0F"/>
    <w:rsid w:val="000B4C34"/>
    <w:rsid w:val="000B60BD"/>
    <w:rsid w:val="000B6319"/>
    <w:rsid w:val="000C04B4"/>
    <w:rsid w:val="000C099D"/>
    <w:rsid w:val="000C2B4A"/>
    <w:rsid w:val="000C40BF"/>
    <w:rsid w:val="000C45A8"/>
    <w:rsid w:val="000C4CA7"/>
    <w:rsid w:val="000C53EB"/>
    <w:rsid w:val="000C6757"/>
    <w:rsid w:val="000C7430"/>
    <w:rsid w:val="000D072C"/>
    <w:rsid w:val="000D1625"/>
    <w:rsid w:val="000D185A"/>
    <w:rsid w:val="000D1A0C"/>
    <w:rsid w:val="000D2949"/>
    <w:rsid w:val="000D2D60"/>
    <w:rsid w:val="000D325A"/>
    <w:rsid w:val="000D32B6"/>
    <w:rsid w:val="000D3C04"/>
    <w:rsid w:val="000D5A76"/>
    <w:rsid w:val="000D618D"/>
    <w:rsid w:val="000D65B1"/>
    <w:rsid w:val="000E0C6E"/>
    <w:rsid w:val="000E2E30"/>
    <w:rsid w:val="000E576B"/>
    <w:rsid w:val="000E5EF8"/>
    <w:rsid w:val="000E634C"/>
    <w:rsid w:val="000E638E"/>
    <w:rsid w:val="000E640C"/>
    <w:rsid w:val="000E7C6F"/>
    <w:rsid w:val="000F165D"/>
    <w:rsid w:val="000F2C86"/>
    <w:rsid w:val="000F32E3"/>
    <w:rsid w:val="000F3335"/>
    <w:rsid w:val="000F6790"/>
    <w:rsid w:val="001006D7"/>
    <w:rsid w:val="00102778"/>
    <w:rsid w:val="00102D5E"/>
    <w:rsid w:val="00104A96"/>
    <w:rsid w:val="00104B13"/>
    <w:rsid w:val="00105E6C"/>
    <w:rsid w:val="00106243"/>
    <w:rsid w:val="0010736C"/>
    <w:rsid w:val="00107F31"/>
    <w:rsid w:val="00110EF0"/>
    <w:rsid w:val="001117F6"/>
    <w:rsid w:val="00112080"/>
    <w:rsid w:val="0011414C"/>
    <w:rsid w:val="0011424F"/>
    <w:rsid w:val="00114BDE"/>
    <w:rsid w:val="001154F0"/>
    <w:rsid w:val="00117A11"/>
    <w:rsid w:val="00117E6F"/>
    <w:rsid w:val="00121011"/>
    <w:rsid w:val="00123F91"/>
    <w:rsid w:val="00124863"/>
    <w:rsid w:val="00127DFF"/>
    <w:rsid w:val="00127EBB"/>
    <w:rsid w:val="00131C7F"/>
    <w:rsid w:val="00132B62"/>
    <w:rsid w:val="001349F8"/>
    <w:rsid w:val="0013546C"/>
    <w:rsid w:val="0013691E"/>
    <w:rsid w:val="001379D7"/>
    <w:rsid w:val="00137C05"/>
    <w:rsid w:val="00140BC0"/>
    <w:rsid w:val="00141202"/>
    <w:rsid w:val="00141E3F"/>
    <w:rsid w:val="00143425"/>
    <w:rsid w:val="001436AD"/>
    <w:rsid w:val="00143B13"/>
    <w:rsid w:val="00143D33"/>
    <w:rsid w:val="00144769"/>
    <w:rsid w:val="001453AD"/>
    <w:rsid w:val="00145607"/>
    <w:rsid w:val="0014641B"/>
    <w:rsid w:val="001476D7"/>
    <w:rsid w:val="00150997"/>
    <w:rsid w:val="00151480"/>
    <w:rsid w:val="0015188A"/>
    <w:rsid w:val="00151C36"/>
    <w:rsid w:val="00151DF5"/>
    <w:rsid w:val="001534AC"/>
    <w:rsid w:val="0015562D"/>
    <w:rsid w:val="0015610A"/>
    <w:rsid w:val="00156B50"/>
    <w:rsid w:val="00162710"/>
    <w:rsid w:val="00163284"/>
    <w:rsid w:val="001634A4"/>
    <w:rsid w:val="001643CA"/>
    <w:rsid w:val="001662FC"/>
    <w:rsid w:val="00171B57"/>
    <w:rsid w:val="0017595A"/>
    <w:rsid w:val="00176DD2"/>
    <w:rsid w:val="00180366"/>
    <w:rsid w:val="0018108E"/>
    <w:rsid w:val="00181485"/>
    <w:rsid w:val="001814B3"/>
    <w:rsid w:val="00184094"/>
    <w:rsid w:val="001862D0"/>
    <w:rsid w:val="00186A6E"/>
    <w:rsid w:val="00187489"/>
    <w:rsid w:val="00191B28"/>
    <w:rsid w:val="00191EF2"/>
    <w:rsid w:val="00192920"/>
    <w:rsid w:val="00192FBA"/>
    <w:rsid w:val="00195CFC"/>
    <w:rsid w:val="0019603E"/>
    <w:rsid w:val="00197A16"/>
    <w:rsid w:val="00197DAD"/>
    <w:rsid w:val="00197E55"/>
    <w:rsid w:val="001A08E9"/>
    <w:rsid w:val="001A0B6F"/>
    <w:rsid w:val="001A3D7B"/>
    <w:rsid w:val="001A4073"/>
    <w:rsid w:val="001A5954"/>
    <w:rsid w:val="001A6B8B"/>
    <w:rsid w:val="001A7EC9"/>
    <w:rsid w:val="001B030B"/>
    <w:rsid w:val="001B030E"/>
    <w:rsid w:val="001B2805"/>
    <w:rsid w:val="001B311B"/>
    <w:rsid w:val="001B406D"/>
    <w:rsid w:val="001B564F"/>
    <w:rsid w:val="001B5932"/>
    <w:rsid w:val="001B7731"/>
    <w:rsid w:val="001C05D9"/>
    <w:rsid w:val="001C0F35"/>
    <w:rsid w:val="001C1CC5"/>
    <w:rsid w:val="001C2637"/>
    <w:rsid w:val="001C342A"/>
    <w:rsid w:val="001C34C5"/>
    <w:rsid w:val="001C39EF"/>
    <w:rsid w:val="001C401C"/>
    <w:rsid w:val="001C5B34"/>
    <w:rsid w:val="001C60FD"/>
    <w:rsid w:val="001C7100"/>
    <w:rsid w:val="001C7EEF"/>
    <w:rsid w:val="001D0FDA"/>
    <w:rsid w:val="001D1924"/>
    <w:rsid w:val="001D1B3C"/>
    <w:rsid w:val="001D2911"/>
    <w:rsid w:val="001D32E4"/>
    <w:rsid w:val="001D5410"/>
    <w:rsid w:val="001D7CEF"/>
    <w:rsid w:val="001E0038"/>
    <w:rsid w:val="001E236D"/>
    <w:rsid w:val="001E5F97"/>
    <w:rsid w:val="001E6961"/>
    <w:rsid w:val="001E7BB8"/>
    <w:rsid w:val="001F26F1"/>
    <w:rsid w:val="001F2A99"/>
    <w:rsid w:val="001F37CD"/>
    <w:rsid w:val="001F4531"/>
    <w:rsid w:val="001F50EE"/>
    <w:rsid w:val="001F5A4B"/>
    <w:rsid w:val="001F5F2B"/>
    <w:rsid w:val="00200A71"/>
    <w:rsid w:val="002021F7"/>
    <w:rsid w:val="00202BBA"/>
    <w:rsid w:val="00203517"/>
    <w:rsid w:val="002044AD"/>
    <w:rsid w:val="00204CA1"/>
    <w:rsid w:val="002069D7"/>
    <w:rsid w:val="00206C5E"/>
    <w:rsid w:val="00207115"/>
    <w:rsid w:val="00207D3A"/>
    <w:rsid w:val="0021044B"/>
    <w:rsid w:val="00210CD9"/>
    <w:rsid w:val="002123CD"/>
    <w:rsid w:val="0021349E"/>
    <w:rsid w:val="00213B8B"/>
    <w:rsid w:val="00214A17"/>
    <w:rsid w:val="00215E85"/>
    <w:rsid w:val="00215E8A"/>
    <w:rsid w:val="002164F8"/>
    <w:rsid w:val="00217247"/>
    <w:rsid w:val="00220071"/>
    <w:rsid w:val="0022095C"/>
    <w:rsid w:val="00221023"/>
    <w:rsid w:val="00221345"/>
    <w:rsid w:val="002215CF"/>
    <w:rsid w:val="0022190D"/>
    <w:rsid w:val="00221A4E"/>
    <w:rsid w:val="00222C7D"/>
    <w:rsid w:val="00222EE7"/>
    <w:rsid w:val="00223311"/>
    <w:rsid w:val="002233F4"/>
    <w:rsid w:val="00224ADD"/>
    <w:rsid w:val="00224FF0"/>
    <w:rsid w:val="002260D0"/>
    <w:rsid w:val="0022647A"/>
    <w:rsid w:val="00226B5E"/>
    <w:rsid w:val="00227195"/>
    <w:rsid w:val="00227C02"/>
    <w:rsid w:val="00227FED"/>
    <w:rsid w:val="00230AA8"/>
    <w:rsid w:val="002344D8"/>
    <w:rsid w:val="002347EA"/>
    <w:rsid w:val="00235C53"/>
    <w:rsid w:val="00236887"/>
    <w:rsid w:val="00236F8B"/>
    <w:rsid w:val="00237C2E"/>
    <w:rsid w:val="00241A9B"/>
    <w:rsid w:val="002423F5"/>
    <w:rsid w:val="002425B8"/>
    <w:rsid w:val="002431C1"/>
    <w:rsid w:val="00244432"/>
    <w:rsid w:val="00244CB4"/>
    <w:rsid w:val="002455BE"/>
    <w:rsid w:val="00247EF6"/>
    <w:rsid w:val="00250D62"/>
    <w:rsid w:val="00251F9B"/>
    <w:rsid w:val="00252473"/>
    <w:rsid w:val="00254199"/>
    <w:rsid w:val="00254323"/>
    <w:rsid w:val="00254EE5"/>
    <w:rsid w:val="002558A7"/>
    <w:rsid w:val="00255C4D"/>
    <w:rsid w:val="00255DD7"/>
    <w:rsid w:val="00256445"/>
    <w:rsid w:val="002579D0"/>
    <w:rsid w:val="00260277"/>
    <w:rsid w:val="00260C92"/>
    <w:rsid w:val="00261B42"/>
    <w:rsid w:val="00263906"/>
    <w:rsid w:val="00264AC0"/>
    <w:rsid w:val="002652A0"/>
    <w:rsid w:val="00267691"/>
    <w:rsid w:val="002679E1"/>
    <w:rsid w:val="002714D3"/>
    <w:rsid w:val="002729DA"/>
    <w:rsid w:val="00274D4D"/>
    <w:rsid w:val="00277D6F"/>
    <w:rsid w:val="00282118"/>
    <w:rsid w:val="00283C0C"/>
    <w:rsid w:val="00285728"/>
    <w:rsid w:val="00285B30"/>
    <w:rsid w:val="002870D5"/>
    <w:rsid w:val="00290110"/>
    <w:rsid w:val="002917D2"/>
    <w:rsid w:val="00295CA7"/>
    <w:rsid w:val="002A0B1E"/>
    <w:rsid w:val="002A2038"/>
    <w:rsid w:val="002A26AA"/>
    <w:rsid w:val="002A2740"/>
    <w:rsid w:val="002A38BC"/>
    <w:rsid w:val="002A3E6D"/>
    <w:rsid w:val="002A3F5A"/>
    <w:rsid w:val="002A444C"/>
    <w:rsid w:val="002A4C21"/>
    <w:rsid w:val="002A4E0F"/>
    <w:rsid w:val="002A684E"/>
    <w:rsid w:val="002B15B4"/>
    <w:rsid w:val="002B2016"/>
    <w:rsid w:val="002B2269"/>
    <w:rsid w:val="002B2DCE"/>
    <w:rsid w:val="002B3405"/>
    <w:rsid w:val="002B35A9"/>
    <w:rsid w:val="002B4C10"/>
    <w:rsid w:val="002B5739"/>
    <w:rsid w:val="002B66E3"/>
    <w:rsid w:val="002B7585"/>
    <w:rsid w:val="002B7990"/>
    <w:rsid w:val="002C01A6"/>
    <w:rsid w:val="002C0743"/>
    <w:rsid w:val="002C0EE8"/>
    <w:rsid w:val="002C1176"/>
    <w:rsid w:val="002C1412"/>
    <w:rsid w:val="002C2E83"/>
    <w:rsid w:val="002C3982"/>
    <w:rsid w:val="002C574D"/>
    <w:rsid w:val="002C67E0"/>
    <w:rsid w:val="002D0227"/>
    <w:rsid w:val="002D0DA9"/>
    <w:rsid w:val="002D11AB"/>
    <w:rsid w:val="002D2460"/>
    <w:rsid w:val="002E2054"/>
    <w:rsid w:val="002E2152"/>
    <w:rsid w:val="002E5D70"/>
    <w:rsid w:val="002E6F46"/>
    <w:rsid w:val="002E70B9"/>
    <w:rsid w:val="002E7197"/>
    <w:rsid w:val="002E7E55"/>
    <w:rsid w:val="002F06C2"/>
    <w:rsid w:val="002F11A8"/>
    <w:rsid w:val="002F270D"/>
    <w:rsid w:val="002F3C36"/>
    <w:rsid w:val="002F3D5D"/>
    <w:rsid w:val="002F5255"/>
    <w:rsid w:val="003012F6"/>
    <w:rsid w:val="00301CF9"/>
    <w:rsid w:val="00301D78"/>
    <w:rsid w:val="003038EA"/>
    <w:rsid w:val="00303D15"/>
    <w:rsid w:val="00303E5A"/>
    <w:rsid w:val="003045B1"/>
    <w:rsid w:val="00305C1E"/>
    <w:rsid w:val="00306572"/>
    <w:rsid w:val="00311835"/>
    <w:rsid w:val="00311DE8"/>
    <w:rsid w:val="00312712"/>
    <w:rsid w:val="00312D47"/>
    <w:rsid w:val="00315107"/>
    <w:rsid w:val="00316738"/>
    <w:rsid w:val="00316C36"/>
    <w:rsid w:val="00316F37"/>
    <w:rsid w:val="003178B4"/>
    <w:rsid w:val="00320EE9"/>
    <w:rsid w:val="00321524"/>
    <w:rsid w:val="00323735"/>
    <w:rsid w:val="0032466A"/>
    <w:rsid w:val="00324A07"/>
    <w:rsid w:val="00330445"/>
    <w:rsid w:val="00330E65"/>
    <w:rsid w:val="003315EF"/>
    <w:rsid w:val="00331632"/>
    <w:rsid w:val="00331B56"/>
    <w:rsid w:val="00334A31"/>
    <w:rsid w:val="0033576C"/>
    <w:rsid w:val="00340ACB"/>
    <w:rsid w:val="00342179"/>
    <w:rsid w:val="00342AC7"/>
    <w:rsid w:val="00342D70"/>
    <w:rsid w:val="00343C1C"/>
    <w:rsid w:val="00344044"/>
    <w:rsid w:val="003452CF"/>
    <w:rsid w:val="00345F21"/>
    <w:rsid w:val="00346B0F"/>
    <w:rsid w:val="00347B5C"/>
    <w:rsid w:val="003502C3"/>
    <w:rsid w:val="0035135E"/>
    <w:rsid w:val="00351FAF"/>
    <w:rsid w:val="00353844"/>
    <w:rsid w:val="00353F8F"/>
    <w:rsid w:val="00355589"/>
    <w:rsid w:val="00356555"/>
    <w:rsid w:val="00361C0E"/>
    <w:rsid w:val="00362F0B"/>
    <w:rsid w:val="00362FD4"/>
    <w:rsid w:val="003660CB"/>
    <w:rsid w:val="00366FF0"/>
    <w:rsid w:val="003714C1"/>
    <w:rsid w:val="003715B0"/>
    <w:rsid w:val="0037183E"/>
    <w:rsid w:val="00371FF5"/>
    <w:rsid w:val="00373A6D"/>
    <w:rsid w:val="003753B7"/>
    <w:rsid w:val="0037699E"/>
    <w:rsid w:val="00377EB8"/>
    <w:rsid w:val="00380044"/>
    <w:rsid w:val="00380129"/>
    <w:rsid w:val="0038099B"/>
    <w:rsid w:val="003814A6"/>
    <w:rsid w:val="0038419F"/>
    <w:rsid w:val="00386A7E"/>
    <w:rsid w:val="00387EBE"/>
    <w:rsid w:val="0039006E"/>
    <w:rsid w:val="00390084"/>
    <w:rsid w:val="003905DA"/>
    <w:rsid w:val="003910DA"/>
    <w:rsid w:val="00391AB1"/>
    <w:rsid w:val="003921FA"/>
    <w:rsid w:val="0039285C"/>
    <w:rsid w:val="00392C21"/>
    <w:rsid w:val="00393598"/>
    <w:rsid w:val="0039363A"/>
    <w:rsid w:val="00394C50"/>
    <w:rsid w:val="003953C6"/>
    <w:rsid w:val="00395472"/>
    <w:rsid w:val="003955D1"/>
    <w:rsid w:val="003967A7"/>
    <w:rsid w:val="0039755C"/>
    <w:rsid w:val="003976E5"/>
    <w:rsid w:val="00397A53"/>
    <w:rsid w:val="003A05CE"/>
    <w:rsid w:val="003A0A70"/>
    <w:rsid w:val="003A28CA"/>
    <w:rsid w:val="003A323C"/>
    <w:rsid w:val="003A51FC"/>
    <w:rsid w:val="003A55DC"/>
    <w:rsid w:val="003B0453"/>
    <w:rsid w:val="003B055D"/>
    <w:rsid w:val="003B05D5"/>
    <w:rsid w:val="003B1547"/>
    <w:rsid w:val="003B2654"/>
    <w:rsid w:val="003B2DA9"/>
    <w:rsid w:val="003B2EAA"/>
    <w:rsid w:val="003B3E3E"/>
    <w:rsid w:val="003B4EED"/>
    <w:rsid w:val="003B522A"/>
    <w:rsid w:val="003B756F"/>
    <w:rsid w:val="003C0B78"/>
    <w:rsid w:val="003C0D0B"/>
    <w:rsid w:val="003C1581"/>
    <w:rsid w:val="003C3475"/>
    <w:rsid w:val="003C3A05"/>
    <w:rsid w:val="003C508B"/>
    <w:rsid w:val="003C677B"/>
    <w:rsid w:val="003C67A2"/>
    <w:rsid w:val="003C7091"/>
    <w:rsid w:val="003D061A"/>
    <w:rsid w:val="003D0727"/>
    <w:rsid w:val="003D1644"/>
    <w:rsid w:val="003D185D"/>
    <w:rsid w:val="003D1984"/>
    <w:rsid w:val="003D413B"/>
    <w:rsid w:val="003D558A"/>
    <w:rsid w:val="003D5E06"/>
    <w:rsid w:val="003D73F2"/>
    <w:rsid w:val="003D7FBF"/>
    <w:rsid w:val="003E0E26"/>
    <w:rsid w:val="003E0F7D"/>
    <w:rsid w:val="003E1DDE"/>
    <w:rsid w:val="003E2098"/>
    <w:rsid w:val="003E2433"/>
    <w:rsid w:val="003E339B"/>
    <w:rsid w:val="003E6776"/>
    <w:rsid w:val="003E6B8D"/>
    <w:rsid w:val="003F0679"/>
    <w:rsid w:val="003F3448"/>
    <w:rsid w:val="003F3BE8"/>
    <w:rsid w:val="003F67A5"/>
    <w:rsid w:val="003F6FD8"/>
    <w:rsid w:val="004006C3"/>
    <w:rsid w:val="004009AC"/>
    <w:rsid w:val="00405C01"/>
    <w:rsid w:val="004068D5"/>
    <w:rsid w:val="004103D5"/>
    <w:rsid w:val="00410BF2"/>
    <w:rsid w:val="004111C7"/>
    <w:rsid w:val="00412B39"/>
    <w:rsid w:val="00412F5B"/>
    <w:rsid w:val="00413A4A"/>
    <w:rsid w:val="00413BF2"/>
    <w:rsid w:val="00414246"/>
    <w:rsid w:val="00414F50"/>
    <w:rsid w:val="00421BF2"/>
    <w:rsid w:val="00421CD2"/>
    <w:rsid w:val="004223D7"/>
    <w:rsid w:val="004223EF"/>
    <w:rsid w:val="004225F3"/>
    <w:rsid w:val="00423F78"/>
    <w:rsid w:val="004258DA"/>
    <w:rsid w:val="004265F7"/>
    <w:rsid w:val="0043157C"/>
    <w:rsid w:val="00431605"/>
    <w:rsid w:val="004317A2"/>
    <w:rsid w:val="00431A54"/>
    <w:rsid w:val="00432B6E"/>
    <w:rsid w:val="00432B79"/>
    <w:rsid w:val="00433781"/>
    <w:rsid w:val="00433DF1"/>
    <w:rsid w:val="00437D70"/>
    <w:rsid w:val="00440971"/>
    <w:rsid w:val="0044441A"/>
    <w:rsid w:val="004457DA"/>
    <w:rsid w:val="00445C5E"/>
    <w:rsid w:val="00450F06"/>
    <w:rsid w:val="00451B13"/>
    <w:rsid w:val="00451FE4"/>
    <w:rsid w:val="004534D3"/>
    <w:rsid w:val="00454747"/>
    <w:rsid w:val="004553BC"/>
    <w:rsid w:val="004554F5"/>
    <w:rsid w:val="004563B6"/>
    <w:rsid w:val="00456DA4"/>
    <w:rsid w:val="004577F0"/>
    <w:rsid w:val="00462A8A"/>
    <w:rsid w:val="00464B3F"/>
    <w:rsid w:val="00464D86"/>
    <w:rsid w:val="00465C21"/>
    <w:rsid w:val="00465D52"/>
    <w:rsid w:val="0046641D"/>
    <w:rsid w:val="004667FA"/>
    <w:rsid w:val="004672E4"/>
    <w:rsid w:val="0047037F"/>
    <w:rsid w:val="00470458"/>
    <w:rsid w:val="00470D0F"/>
    <w:rsid w:val="00472CA1"/>
    <w:rsid w:val="0047311B"/>
    <w:rsid w:val="004732CE"/>
    <w:rsid w:val="004733D6"/>
    <w:rsid w:val="00473E28"/>
    <w:rsid w:val="00474581"/>
    <w:rsid w:val="00475514"/>
    <w:rsid w:val="004756B5"/>
    <w:rsid w:val="0047699A"/>
    <w:rsid w:val="00476B3A"/>
    <w:rsid w:val="00483BA5"/>
    <w:rsid w:val="00483F6B"/>
    <w:rsid w:val="00484F83"/>
    <w:rsid w:val="00486BB5"/>
    <w:rsid w:val="00490B2B"/>
    <w:rsid w:val="00490F13"/>
    <w:rsid w:val="004920A0"/>
    <w:rsid w:val="0049358D"/>
    <w:rsid w:val="00493749"/>
    <w:rsid w:val="00494608"/>
    <w:rsid w:val="004949B6"/>
    <w:rsid w:val="00495B52"/>
    <w:rsid w:val="00495F3D"/>
    <w:rsid w:val="004A05F2"/>
    <w:rsid w:val="004A1D09"/>
    <w:rsid w:val="004A1DFF"/>
    <w:rsid w:val="004A52C3"/>
    <w:rsid w:val="004A554A"/>
    <w:rsid w:val="004A63DB"/>
    <w:rsid w:val="004A7F43"/>
    <w:rsid w:val="004B061E"/>
    <w:rsid w:val="004B1F54"/>
    <w:rsid w:val="004B2668"/>
    <w:rsid w:val="004B2DC7"/>
    <w:rsid w:val="004B3193"/>
    <w:rsid w:val="004B353B"/>
    <w:rsid w:val="004B3C6E"/>
    <w:rsid w:val="004B58C8"/>
    <w:rsid w:val="004B7870"/>
    <w:rsid w:val="004C0888"/>
    <w:rsid w:val="004C1148"/>
    <w:rsid w:val="004C12B5"/>
    <w:rsid w:val="004C15B5"/>
    <w:rsid w:val="004C1F30"/>
    <w:rsid w:val="004C30B7"/>
    <w:rsid w:val="004C3F71"/>
    <w:rsid w:val="004C4D8C"/>
    <w:rsid w:val="004C588F"/>
    <w:rsid w:val="004C71BF"/>
    <w:rsid w:val="004C7553"/>
    <w:rsid w:val="004C7C1F"/>
    <w:rsid w:val="004D0CE0"/>
    <w:rsid w:val="004D0D4B"/>
    <w:rsid w:val="004D2753"/>
    <w:rsid w:val="004D428A"/>
    <w:rsid w:val="004D4996"/>
    <w:rsid w:val="004D4C83"/>
    <w:rsid w:val="004D5A9D"/>
    <w:rsid w:val="004D685C"/>
    <w:rsid w:val="004D6DB7"/>
    <w:rsid w:val="004D7911"/>
    <w:rsid w:val="004D7D7F"/>
    <w:rsid w:val="004E019B"/>
    <w:rsid w:val="004E2A00"/>
    <w:rsid w:val="004E30AF"/>
    <w:rsid w:val="004E316C"/>
    <w:rsid w:val="004E3B55"/>
    <w:rsid w:val="004E4574"/>
    <w:rsid w:val="004E5AAF"/>
    <w:rsid w:val="004E5DD5"/>
    <w:rsid w:val="004E68D9"/>
    <w:rsid w:val="004E7158"/>
    <w:rsid w:val="004E7355"/>
    <w:rsid w:val="004F033A"/>
    <w:rsid w:val="004F12B9"/>
    <w:rsid w:val="004F1BA3"/>
    <w:rsid w:val="004F1F56"/>
    <w:rsid w:val="004F285C"/>
    <w:rsid w:val="004F35C9"/>
    <w:rsid w:val="004F52D9"/>
    <w:rsid w:val="0050069B"/>
    <w:rsid w:val="0050126E"/>
    <w:rsid w:val="00503934"/>
    <w:rsid w:val="00503ECD"/>
    <w:rsid w:val="005043E4"/>
    <w:rsid w:val="00504555"/>
    <w:rsid w:val="0050517B"/>
    <w:rsid w:val="00505FE5"/>
    <w:rsid w:val="005070D4"/>
    <w:rsid w:val="0051061A"/>
    <w:rsid w:val="0051134C"/>
    <w:rsid w:val="00512014"/>
    <w:rsid w:val="00512825"/>
    <w:rsid w:val="00513686"/>
    <w:rsid w:val="00515159"/>
    <w:rsid w:val="00515A98"/>
    <w:rsid w:val="00515EF2"/>
    <w:rsid w:val="005247FD"/>
    <w:rsid w:val="0052580E"/>
    <w:rsid w:val="00526B3D"/>
    <w:rsid w:val="00526BFE"/>
    <w:rsid w:val="005272D4"/>
    <w:rsid w:val="005273CB"/>
    <w:rsid w:val="00527608"/>
    <w:rsid w:val="00527E66"/>
    <w:rsid w:val="00530E66"/>
    <w:rsid w:val="0053120D"/>
    <w:rsid w:val="00531229"/>
    <w:rsid w:val="00531460"/>
    <w:rsid w:val="00533D46"/>
    <w:rsid w:val="00534D46"/>
    <w:rsid w:val="0053785B"/>
    <w:rsid w:val="00541240"/>
    <w:rsid w:val="00541728"/>
    <w:rsid w:val="00541AEF"/>
    <w:rsid w:val="005423ED"/>
    <w:rsid w:val="00543894"/>
    <w:rsid w:val="0054424D"/>
    <w:rsid w:val="005442B5"/>
    <w:rsid w:val="00544435"/>
    <w:rsid w:val="00545BAE"/>
    <w:rsid w:val="0054730C"/>
    <w:rsid w:val="00547E33"/>
    <w:rsid w:val="00551EBC"/>
    <w:rsid w:val="00553724"/>
    <w:rsid w:val="00554CCB"/>
    <w:rsid w:val="005552DA"/>
    <w:rsid w:val="005556A6"/>
    <w:rsid w:val="005564D7"/>
    <w:rsid w:val="00556E1D"/>
    <w:rsid w:val="00556F65"/>
    <w:rsid w:val="005574FB"/>
    <w:rsid w:val="00557FA1"/>
    <w:rsid w:val="005602AF"/>
    <w:rsid w:val="00560A6E"/>
    <w:rsid w:val="00562C09"/>
    <w:rsid w:val="005653A8"/>
    <w:rsid w:val="00565C08"/>
    <w:rsid w:val="00565ED4"/>
    <w:rsid w:val="00566881"/>
    <w:rsid w:val="00567850"/>
    <w:rsid w:val="005705CA"/>
    <w:rsid w:val="00571876"/>
    <w:rsid w:val="005719B0"/>
    <w:rsid w:val="005758A2"/>
    <w:rsid w:val="00576509"/>
    <w:rsid w:val="005776E0"/>
    <w:rsid w:val="005805E3"/>
    <w:rsid w:val="0058343D"/>
    <w:rsid w:val="00585BB2"/>
    <w:rsid w:val="00587002"/>
    <w:rsid w:val="00587247"/>
    <w:rsid w:val="005927F3"/>
    <w:rsid w:val="00592A8B"/>
    <w:rsid w:val="00593FBD"/>
    <w:rsid w:val="00595204"/>
    <w:rsid w:val="00596567"/>
    <w:rsid w:val="00596DA8"/>
    <w:rsid w:val="005972F2"/>
    <w:rsid w:val="005A0188"/>
    <w:rsid w:val="005A31DD"/>
    <w:rsid w:val="005A3FB6"/>
    <w:rsid w:val="005A46DF"/>
    <w:rsid w:val="005A4EE6"/>
    <w:rsid w:val="005A5E4E"/>
    <w:rsid w:val="005A6D2E"/>
    <w:rsid w:val="005A753E"/>
    <w:rsid w:val="005A7565"/>
    <w:rsid w:val="005A777F"/>
    <w:rsid w:val="005B1959"/>
    <w:rsid w:val="005B22E9"/>
    <w:rsid w:val="005B2DF7"/>
    <w:rsid w:val="005B3596"/>
    <w:rsid w:val="005B3649"/>
    <w:rsid w:val="005B3ED5"/>
    <w:rsid w:val="005B55D5"/>
    <w:rsid w:val="005B6673"/>
    <w:rsid w:val="005C0984"/>
    <w:rsid w:val="005C2B8B"/>
    <w:rsid w:val="005C2D38"/>
    <w:rsid w:val="005C32AA"/>
    <w:rsid w:val="005C3553"/>
    <w:rsid w:val="005C35F0"/>
    <w:rsid w:val="005C4698"/>
    <w:rsid w:val="005D1C6C"/>
    <w:rsid w:val="005D38E7"/>
    <w:rsid w:val="005D4BFF"/>
    <w:rsid w:val="005D6317"/>
    <w:rsid w:val="005D6DCF"/>
    <w:rsid w:val="005E093A"/>
    <w:rsid w:val="005E1E87"/>
    <w:rsid w:val="005E267E"/>
    <w:rsid w:val="005E2C4C"/>
    <w:rsid w:val="005E5E08"/>
    <w:rsid w:val="005E6361"/>
    <w:rsid w:val="005E6468"/>
    <w:rsid w:val="005E7A8B"/>
    <w:rsid w:val="005F0F0B"/>
    <w:rsid w:val="005F1779"/>
    <w:rsid w:val="005F2702"/>
    <w:rsid w:val="005F28FC"/>
    <w:rsid w:val="005F3ED8"/>
    <w:rsid w:val="005F3FA0"/>
    <w:rsid w:val="005F694F"/>
    <w:rsid w:val="005F6E0F"/>
    <w:rsid w:val="006004E6"/>
    <w:rsid w:val="00600809"/>
    <w:rsid w:val="006054DC"/>
    <w:rsid w:val="0061192E"/>
    <w:rsid w:val="00611BBC"/>
    <w:rsid w:val="00611FB8"/>
    <w:rsid w:val="006128BF"/>
    <w:rsid w:val="0061388B"/>
    <w:rsid w:val="00613FAB"/>
    <w:rsid w:val="0061465A"/>
    <w:rsid w:val="00614AD3"/>
    <w:rsid w:val="0061752A"/>
    <w:rsid w:val="0061786F"/>
    <w:rsid w:val="006233DC"/>
    <w:rsid w:val="00624D06"/>
    <w:rsid w:val="00626642"/>
    <w:rsid w:val="0062684F"/>
    <w:rsid w:val="00626888"/>
    <w:rsid w:val="006314CE"/>
    <w:rsid w:val="0063467C"/>
    <w:rsid w:val="0063608E"/>
    <w:rsid w:val="00636DB7"/>
    <w:rsid w:val="00637F32"/>
    <w:rsid w:val="00640540"/>
    <w:rsid w:val="00640D80"/>
    <w:rsid w:val="00640F7B"/>
    <w:rsid w:val="00641783"/>
    <w:rsid w:val="00641D41"/>
    <w:rsid w:val="00641E7B"/>
    <w:rsid w:val="006423DD"/>
    <w:rsid w:val="00642D58"/>
    <w:rsid w:val="00642D90"/>
    <w:rsid w:val="006438A5"/>
    <w:rsid w:val="00644823"/>
    <w:rsid w:val="00645B6B"/>
    <w:rsid w:val="00646EAC"/>
    <w:rsid w:val="00651DB2"/>
    <w:rsid w:val="0065343C"/>
    <w:rsid w:val="00655BE1"/>
    <w:rsid w:val="006578B8"/>
    <w:rsid w:val="00660A97"/>
    <w:rsid w:val="006615C5"/>
    <w:rsid w:val="00662705"/>
    <w:rsid w:val="006628D0"/>
    <w:rsid w:val="006629DE"/>
    <w:rsid w:val="00663408"/>
    <w:rsid w:val="00663F05"/>
    <w:rsid w:val="00664317"/>
    <w:rsid w:val="006676B3"/>
    <w:rsid w:val="006700A8"/>
    <w:rsid w:val="006706B0"/>
    <w:rsid w:val="0067292B"/>
    <w:rsid w:val="00672E85"/>
    <w:rsid w:val="0067339E"/>
    <w:rsid w:val="006739FA"/>
    <w:rsid w:val="00676699"/>
    <w:rsid w:val="00676A3F"/>
    <w:rsid w:val="00676A5B"/>
    <w:rsid w:val="006773A1"/>
    <w:rsid w:val="006812DD"/>
    <w:rsid w:val="00681A51"/>
    <w:rsid w:val="00684D9A"/>
    <w:rsid w:val="0068582A"/>
    <w:rsid w:val="0068765F"/>
    <w:rsid w:val="00694102"/>
    <w:rsid w:val="00694A62"/>
    <w:rsid w:val="00694A7B"/>
    <w:rsid w:val="00694C7A"/>
    <w:rsid w:val="006962D6"/>
    <w:rsid w:val="0069643B"/>
    <w:rsid w:val="006A00BA"/>
    <w:rsid w:val="006A0442"/>
    <w:rsid w:val="006A327A"/>
    <w:rsid w:val="006A35E6"/>
    <w:rsid w:val="006A396E"/>
    <w:rsid w:val="006A5924"/>
    <w:rsid w:val="006A5F74"/>
    <w:rsid w:val="006A604D"/>
    <w:rsid w:val="006A655C"/>
    <w:rsid w:val="006B066F"/>
    <w:rsid w:val="006B167A"/>
    <w:rsid w:val="006B17CD"/>
    <w:rsid w:val="006B21E0"/>
    <w:rsid w:val="006B2D5E"/>
    <w:rsid w:val="006B2D70"/>
    <w:rsid w:val="006B3069"/>
    <w:rsid w:val="006B32D2"/>
    <w:rsid w:val="006B3584"/>
    <w:rsid w:val="006B4234"/>
    <w:rsid w:val="006B6573"/>
    <w:rsid w:val="006C07FB"/>
    <w:rsid w:val="006C0ADE"/>
    <w:rsid w:val="006C2734"/>
    <w:rsid w:val="006C4556"/>
    <w:rsid w:val="006C508B"/>
    <w:rsid w:val="006C6030"/>
    <w:rsid w:val="006C6657"/>
    <w:rsid w:val="006C6FF8"/>
    <w:rsid w:val="006C7124"/>
    <w:rsid w:val="006C7C86"/>
    <w:rsid w:val="006D1068"/>
    <w:rsid w:val="006D15D2"/>
    <w:rsid w:val="006D2513"/>
    <w:rsid w:val="006D2623"/>
    <w:rsid w:val="006D514E"/>
    <w:rsid w:val="006D5811"/>
    <w:rsid w:val="006D5951"/>
    <w:rsid w:val="006D5E4D"/>
    <w:rsid w:val="006D6098"/>
    <w:rsid w:val="006E0381"/>
    <w:rsid w:val="006E1241"/>
    <w:rsid w:val="006E2B90"/>
    <w:rsid w:val="006E43C0"/>
    <w:rsid w:val="006E6B40"/>
    <w:rsid w:val="006E70E2"/>
    <w:rsid w:val="006E74C5"/>
    <w:rsid w:val="006E7B54"/>
    <w:rsid w:val="006F060E"/>
    <w:rsid w:val="006F3E79"/>
    <w:rsid w:val="006F730B"/>
    <w:rsid w:val="00700FDE"/>
    <w:rsid w:val="00702D05"/>
    <w:rsid w:val="007035A2"/>
    <w:rsid w:val="00703728"/>
    <w:rsid w:val="00703908"/>
    <w:rsid w:val="007044DF"/>
    <w:rsid w:val="007047F2"/>
    <w:rsid w:val="00704A50"/>
    <w:rsid w:val="007056B6"/>
    <w:rsid w:val="0070590E"/>
    <w:rsid w:val="00705A7C"/>
    <w:rsid w:val="00706326"/>
    <w:rsid w:val="007119E5"/>
    <w:rsid w:val="0071237C"/>
    <w:rsid w:val="0071252F"/>
    <w:rsid w:val="00713A8A"/>
    <w:rsid w:val="00713FF1"/>
    <w:rsid w:val="00714112"/>
    <w:rsid w:val="0071432D"/>
    <w:rsid w:val="007143EA"/>
    <w:rsid w:val="007158E1"/>
    <w:rsid w:val="00716965"/>
    <w:rsid w:val="00716B65"/>
    <w:rsid w:val="00716C09"/>
    <w:rsid w:val="007176BA"/>
    <w:rsid w:val="0072062B"/>
    <w:rsid w:val="00720B38"/>
    <w:rsid w:val="00721485"/>
    <w:rsid w:val="00721856"/>
    <w:rsid w:val="00723471"/>
    <w:rsid w:val="00724695"/>
    <w:rsid w:val="007250B8"/>
    <w:rsid w:val="00725CF5"/>
    <w:rsid w:val="00727C73"/>
    <w:rsid w:val="00730E0F"/>
    <w:rsid w:val="00730EC3"/>
    <w:rsid w:val="00731F99"/>
    <w:rsid w:val="00732099"/>
    <w:rsid w:val="0073267B"/>
    <w:rsid w:val="00733F2C"/>
    <w:rsid w:val="00735121"/>
    <w:rsid w:val="0073512E"/>
    <w:rsid w:val="00735493"/>
    <w:rsid w:val="00735825"/>
    <w:rsid w:val="0073647B"/>
    <w:rsid w:val="00736F8D"/>
    <w:rsid w:val="00736FC8"/>
    <w:rsid w:val="00737658"/>
    <w:rsid w:val="00740256"/>
    <w:rsid w:val="00741D80"/>
    <w:rsid w:val="00743155"/>
    <w:rsid w:val="00743956"/>
    <w:rsid w:val="00743B54"/>
    <w:rsid w:val="007443DD"/>
    <w:rsid w:val="00744BEA"/>
    <w:rsid w:val="007455C3"/>
    <w:rsid w:val="00747871"/>
    <w:rsid w:val="0075005E"/>
    <w:rsid w:val="0075197E"/>
    <w:rsid w:val="0075297B"/>
    <w:rsid w:val="00753326"/>
    <w:rsid w:val="00754C25"/>
    <w:rsid w:val="0075603B"/>
    <w:rsid w:val="00756416"/>
    <w:rsid w:val="007602E3"/>
    <w:rsid w:val="00760C62"/>
    <w:rsid w:val="00765F57"/>
    <w:rsid w:val="0076672B"/>
    <w:rsid w:val="00766CDB"/>
    <w:rsid w:val="00767A58"/>
    <w:rsid w:val="00767D6A"/>
    <w:rsid w:val="00770317"/>
    <w:rsid w:val="0077138B"/>
    <w:rsid w:val="007728A7"/>
    <w:rsid w:val="007728FE"/>
    <w:rsid w:val="007745E8"/>
    <w:rsid w:val="00774D8E"/>
    <w:rsid w:val="00775957"/>
    <w:rsid w:val="00775C3D"/>
    <w:rsid w:val="00776642"/>
    <w:rsid w:val="00781088"/>
    <w:rsid w:val="007840F0"/>
    <w:rsid w:val="00784F07"/>
    <w:rsid w:val="0078546C"/>
    <w:rsid w:val="007866C4"/>
    <w:rsid w:val="00786A2A"/>
    <w:rsid w:val="007872CB"/>
    <w:rsid w:val="007902C8"/>
    <w:rsid w:val="00791610"/>
    <w:rsid w:val="007927E2"/>
    <w:rsid w:val="0079304D"/>
    <w:rsid w:val="00794E56"/>
    <w:rsid w:val="00796474"/>
    <w:rsid w:val="00796719"/>
    <w:rsid w:val="007A091E"/>
    <w:rsid w:val="007A13F7"/>
    <w:rsid w:val="007A1F21"/>
    <w:rsid w:val="007A4B10"/>
    <w:rsid w:val="007A733B"/>
    <w:rsid w:val="007B233B"/>
    <w:rsid w:val="007B297A"/>
    <w:rsid w:val="007B5438"/>
    <w:rsid w:val="007C0756"/>
    <w:rsid w:val="007C112D"/>
    <w:rsid w:val="007C21F0"/>
    <w:rsid w:val="007C402D"/>
    <w:rsid w:val="007C53EC"/>
    <w:rsid w:val="007C5AD8"/>
    <w:rsid w:val="007C62EB"/>
    <w:rsid w:val="007C6747"/>
    <w:rsid w:val="007D002F"/>
    <w:rsid w:val="007D00DB"/>
    <w:rsid w:val="007D0B65"/>
    <w:rsid w:val="007D1C8E"/>
    <w:rsid w:val="007D296B"/>
    <w:rsid w:val="007D3C2C"/>
    <w:rsid w:val="007E0512"/>
    <w:rsid w:val="007E0DF1"/>
    <w:rsid w:val="007E1576"/>
    <w:rsid w:val="007E31ED"/>
    <w:rsid w:val="007E35C6"/>
    <w:rsid w:val="007E3703"/>
    <w:rsid w:val="007E4ED0"/>
    <w:rsid w:val="007E5306"/>
    <w:rsid w:val="007E713B"/>
    <w:rsid w:val="007E7439"/>
    <w:rsid w:val="007F1068"/>
    <w:rsid w:val="007F2030"/>
    <w:rsid w:val="007F2BB1"/>
    <w:rsid w:val="007F2CC4"/>
    <w:rsid w:val="007F5AB4"/>
    <w:rsid w:val="007F5BE2"/>
    <w:rsid w:val="007F5FCD"/>
    <w:rsid w:val="00800099"/>
    <w:rsid w:val="008032D7"/>
    <w:rsid w:val="00804014"/>
    <w:rsid w:val="008043A0"/>
    <w:rsid w:val="00804EC5"/>
    <w:rsid w:val="00811B2B"/>
    <w:rsid w:val="00811C91"/>
    <w:rsid w:val="00811CF2"/>
    <w:rsid w:val="0081269B"/>
    <w:rsid w:val="00814585"/>
    <w:rsid w:val="00815624"/>
    <w:rsid w:val="0081617B"/>
    <w:rsid w:val="00820259"/>
    <w:rsid w:val="008202F2"/>
    <w:rsid w:val="00821D8A"/>
    <w:rsid w:val="00822388"/>
    <w:rsid w:val="008225BD"/>
    <w:rsid w:val="00822CF9"/>
    <w:rsid w:val="008243AA"/>
    <w:rsid w:val="00824B94"/>
    <w:rsid w:val="0082584C"/>
    <w:rsid w:val="00826637"/>
    <w:rsid w:val="008305A4"/>
    <w:rsid w:val="00832706"/>
    <w:rsid w:val="00833354"/>
    <w:rsid w:val="00834288"/>
    <w:rsid w:val="008342A9"/>
    <w:rsid w:val="00835A8F"/>
    <w:rsid w:val="008368A0"/>
    <w:rsid w:val="00836B19"/>
    <w:rsid w:val="00837FB9"/>
    <w:rsid w:val="00843A75"/>
    <w:rsid w:val="008451AC"/>
    <w:rsid w:val="00845FC9"/>
    <w:rsid w:val="0084653F"/>
    <w:rsid w:val="00846B83"/>
    <w:rsid w:val="00846C8B"/>
    <w:rsid w:val="008472D8"/>
    <w:rsid w:val="00847FD4"/>
    <w:rsid w:val="008516A0"/>
    <w:rsid w:val="00851816"/>
    <w:rsid w:val="00852BB2"/>
    <w:rsid w:val="00852BF6"/>
    <w:rsid w:val="0085375F"/>
    <w:rsid w:val="00853B5D"/>
    <w:rsid w:val="00853DCC"/>
    <w:rsid w:val="008544FA"/>
    <w:rsid w:val="00854A69"/>
    <w:rsid w:val="00854FDB"/>
    <w:rsid w:val="00855E4B"/>
    <w:rsid w:val="0086098C"/>
    <w:rsid w:val="00860BE9"/>
    <w:rsid w:val="0086178E"/>
    <w:rsid w:val="00861E21"/>
    <w:rsid w:val="008627BA"/>
    <w:rsid w:val="00863F9D"/>
    <w:rsid w:val="0086419D"/>
    <w:rsid w:val="00867322"/>
    <w:rsid w:val="00867CB3"/>
    <w:rsid w:val="00871EB7"/>
    <w:rsid w:val="00871EE4"/>
    <w:rsid w:val="0087283D"/>
    <w:rsid w:val="008738D1"/>
    <w:rsid w:val="008739B8"/>
    <w:rsid w:val="008744AD"/>
    <w:rsid w:val="00874B97"/>
    <w:rsid w:val="00874CAC"/>
    <w:rsid w:val="00874DC8"/>
    <w:rsid w:val="00875A2A"/>
    <w:rsid w:val="00875C56"/>
    <w:rsid w:val="008771DE"/>
    <w:rsid w:val="00880C2B"/>
    <w:rsid w:val="00883803"/>
    <w:rsid w:val="00883DFC"/>
    <w:rsid w:val="008846E2"/>
    <w:rsid w:val="00886561"/>
    <w:rsid w:val="00886BA4"/>
    <w:rsid w:val="00887482"/>
    <w:rsid w:val="00890C10"/>
    <w:rsid w:val="00890CFF"/>
    <w:rsid w:val="00895569"/>
    <w:rsid w:val="00895FCE"/>
    <w:rsid w:val="008961D1"/>
    <w:rsid w:val="008A2B28"/>
    <w:rsid w:val="008A2CC4"/>
    <w:rsid w:val="008A3838"/>
    <w:rsid w:val="008A54B4"/>
    <w:rsid w:val="008A5A99"/>
    <w:rsid w:val="008A7A01"/>
    <w:rsid w:val="008B08B7"/>
    <w:rsid w:val="008B158B"/>
    <w:rsid w:val="008B17C0"/>
    <w:rsid w:val="008B1EEB"/>
    <w:rsid w:val="008B1F5C"/>
    <w:rsid w:val="008B2023"/>
    <w:rsid w:val="008B228C"/>
    <w:rsid w:val="008B308D"/>
    <w:rsid w:val="008B334A"/>
    <w:rsid w:val="008B38C6"/>
    <w:rsid w:val="008B3DF8"/>
    <w:rsid w:val="008B575F"/>
    <w:rsid w:val="008B6131"/>
    <w:rsid w:val="008B6754"/>
    <w:rsid w:val="008B6F55"/>
    <w:rsid w:val="008B777D"/>
    <w:rsid w:val="008C10DC"/>
    <w:rsid w:val="008C30AE"/>
    <w:rsid w:val="008C468E"/>
    <w:rsid w:val="008C48B0"/>
    <w:rsid w:val="008C5B65"/>
    <w:rsid w:val="008D1547"/>
    <w:rsid w:val="008D1BA0"/>
    <w:rsid w:val="008D41DB"/>
    <w:rsid w:val="008E05B7"/>
    <w:rsid w:val="008E14D6"/>
    <w:rsid w:val="008E1AD5"/>
    <w:rsid w:val="008E1F13"/>
    <w:rsid w:val="008E22A5"/>
    <w:rsid w:val="008E22D8"/>
    <w:rsid w:val="008E34F8"/>
    <w:rsid w:val="008E386C"/>
    <w:rsid w:val="008E3C60"/>
    <w:rsid w:val="008E619F"/>
    <w:rsid w:val="008E6463"/>
    <w:rsid w:val="008F01E2"/>
    <w:rsid w:val="008F1402"/>
    <w:rsid w:val="008F5231"/>
    <w:rsid w:val="008F7C0E"/>
    <w:rsid w:val="00900D16"/>
    <w:rsid w:val="00902523"/>
    <w:rsid w:val="00902696"/>
    <w:rsid w:val="0090283F"/>
    <w:rsid w:val="00903318"/>
    <w:rsid w:val="00903BB6"/>
    <w:rsid w:val="00903E66"/>
    <w:rsid w:val="009041AA"/>
    <w:rsid w:val="00904277"/>
    <w:rsid w:val="00904701"/>
    <w:rsid w:val="00905A7A"/>
    <w:rsid w:val="009073DD"/>
    <w:rsid w:val="00907BB3"/>
    <w:rsid w:val="00910361"/>
    <w:rsid w:val="00910CFF"/>
    <w:rsid w:val="009123F8"/>
    <w:rsid w:val="009130D8"/>
    <w:rsid w:val="00915BD8"/>
    <w:rsid w:val="00916DD8"/>
    <w:rsid w:val="0091735E"/>
    <w:rsid w:val="00917C70"/>
    <w:rsid w:val="00920CC8"/>
    <w:rsid w:val="00921252"/>
    <w:rsid w:val="0092130A"/>
    <w:rsid w:val="00922AD8"/>
    <w:rsid w:val="00924004"/>
    <w:rsid w:val="00924987"/>
    <w:rsid w:val="00926CB5"/>
    <w:rsid w:val="00927785"/>
    <w:rsid w:val="00927F34"/>
    <w:rsid w:val="00933964"/>
    <w:rsid w:val="00933A6B"/>
    <w:rsid w:val="00941841"/>
    <w:rsid w:val="009444FA"/>
    <w:rsid w:val="0094457B"/>
    <w:rsid w:val="0094511E"/>
    <w:rsid w:val="00947A8B"/>
    <w:rsid w:val="00951135"/>
    <w:rsid w:val="009511F8"/>
    <w:rsid w:val="0095120B"/>
    <w:rsid w:val="0095285C"/>
    <w:rsid w:val="00952EBF"/>
    <w:rsid w:val="00953A3F"/>
    <w:rsid w:val="00955A37"/>
    <w:rsid w:val="009568A6"/>
    <w:rsid w:val="00957568"/>
    <w:rsid w:val="00961C29"/>
    <w:rsid w:val="00961E74"/>
    <w:rsid w:val="009628F1"/>
    <w:rsid w:val="00962E37"/>
    <w:rsid w:val="00963037"/>
    <w:rsid w:val="00963731"/>
    <w:rsid w:val="009639AB"/>
    <w:rsid w:val="00963BD8"/>
    <w:rsid w:val="009664B8"/>
    <w:rsid w:val="00966F1F"/>
    <w:rsid w:val="009671D7"/>
    <w:rsid w:val="00967B70"/>
    <w:rsid w:val="00970EA6"/>
    <w:rsid w:val="00972C4B"/>
    <w:rsid w:val="00976853"/>
    <w:rsid w:val="009772B4"/>
    <w:rsid w:val="009826AA"/>
    <w:rsid w:val="009839CE"/>
    <w:rsid w:val="0098547B"/>
    <w:rsid w:val="0098624B"/>
    <w:rsid w:val="0098661F"/>
    <w:rsid w:val="0098684A"/>
    <w:rsid w:val="00987D59"/>
    <w:rsid w:val="00990873"/>
    <w:rsid w:val="00990880"/>
    <w:rsid w:val="00990CFE"/>
    <w:rsid w:val="00990D8D"/>
    <w:rsid w:val="00990DEE"/>
    <w:rsid w:val="00993598"/>
    <w:rsid w:val="00993A9C"/>
    <w:rsid w:val="00994CE9"/>
    <w:rsid w:val="009959A7"/>
    <w:rsid w:val="00997E65"/>
    <w:rsid w:val="009A089E"/>
    <w:rsid w:val="009A1715"/>
    <w:rsid w:val="009A209D"/>
    <w:rsid w:val="009A37B5"/>
    <w:rsid w:val="009A5086"/>
    <w:rsid w:val="009A5189"/>
    <w:rsid w:val="009A56B5"/>
    <w:rsid w:val="009A5FDF"/>
    <w:rsid w:val="009A72F6"/>
    <w:rsid w:val="009B1D7B"/>
    <w:rsid w:val="009B20A4"/>
    <w:rsid w:val="009B35B2"/>
    <w:rsid w:val="009B679B"/>
    <w:rsid w:val="009B78C1"/>
    <w:rsid w:val="009C1881"/>
    <w:rsid w:val="009C4C1F"/>
    <w:rsid w:val="009C4F58"/>
    <w:rsid w:val="009C6480"/>
    <w:rsid w:val="009C7257"/>
    <w:rsid w:val="009C7946"/>
    <w:rsid w:val="009D0B23"/>
    <w:rsid w:val="009D0C8B"/>
    <w:rsid w:val="009D24DF"/>
    <w:rsid w:val="009D29A8"/>
    <w:rsid w:val="009D3065"/>
    <w:rsid w:val="009D3183"/>
    <w:rsid w:val="009D38B4"/>
    <w:rsid w:val="009D3B01"/>
    <w:rsid w:val="009D3C83"/>
    <w:rsid w:val="009D42B1"/>
    <w:rsid w:val="009D4640"/>
    <w:rsid w:val="009D5CEE"/>
    <w:rsid w:val="009D6094"/>
    <w:rsid w:val="009D69FC"/>
    <w:rsid w:val="009D6B7A"/>
    <w:rsid w:val="009D7B3F"/>
    <w:rsid w:val="009D7CD6"/>
    <w:rsid w:val="009E0F23"/>
    <w:rsid w:val="009E3414"/>
    <w:rsid w:val="009E4200"/>
    <w:rsid w:val="009E5D33"/>
    <w:rsid w:val="009F0753"/>
    <w:rsid w:val="009F1244"/>
    <w:rsid w:val="009F3276"/>
    <w:rsid w:val="009F4B73"/>
    <w:rsid w:val="009F6AD3"/>
    <w:rsid w:val="009F7C58"/>
    <w:rsid w:val="00A00A06"/>
    <w:rsid w:val="00A00E52"/>
    <w:rsid w:val="00A013F3"/>
    <w:rsid w:val="00A015BE"/>
    <w:rsid w:val="00A01948"/>
    <w:rsid w:val="00A01A92"/>
    <w:rsid w:val="00A034F4"/>
    <w:rsid w:val="00A04DF9"/>
    <w:rsid w:val="00A057B9"/>
    <w:rsid w:val="00A06359"/>
    <w:rsid w:val="00A10282"/>
    <w:rsid w:val="00A105F1"/>
    <w:rsid w:val="00A11070"/>
    <w:rsid w:val="00A112FD"/>
    <w:rsid w:val="00A11C2C"/>
    <w:rsid w:val="00A11D96"/>
    <w:rsid w:val="00A131C1"/>
    <w:rsid w:val="00A138ED"/>
    <w:rsid w:val="00A14C14"/>
    <w:rsid w:val="00A15543"/>
    <w:rsid w:val="00A16637"/>
    <w:rsid w:val="00A16E9E"/>
    <w:rsid w:val="00A17515"/>
    <w:rsid w:val="00A17658"/>
    <w:rsid w:val="00A2105D"/>
    <w:rsid w:val="00A21F76"/>
    <w:rsid w:val="00A22706"/>
    <w:rsid w:val="00A22B5A"/>
    <w:rsid w:val="00A23338"/>
    <w:rsid w:val="00A234C9"/>
    <w:rsid w:val="00A23758"/>
    <w:rsid w:val="00A24AF3"/>
    <w:rsid w:val="00A2555C"/>
    <w:rsid w:val="00A2585A"/>
    <w:rsid w:val="00A26D0B"/>
    <w:rsid w:val="00A306DB"/>
    <w:rsid w:val="00A31044"/>
    <w:rsid w:val="00A31340"/>
    <w:rsid w:val="00A32027"/>
    <w:rsid w:val="00A320F5"/>
    <w:rsid w:val="00A32BF0"/>
    <w:rsid w:val="00A346B1"/>
    <w:rsid w:val="00A37208"/>
    <w:rsid w:val="00A40953"/>
    <w:rsid w:val="00A40C0B"/>
    <w:rsid w:val="00A40D2B"/>
    <w:rsid w:val="00A40DF9"/>
    <w:rsid w:val="00A41219"/>
    <w:rsid w:val="00A45312"/>
    <w:rsid w:val="00A46CD9"/>
    <w:rsid w:val="00A46F0C"/>
    <w:rsid w:val="00A5092F"/>
    <w:rsid w:val="00A50FD0"/>
    <w:rsid w:val="00A521BA"/>
    <w:rsid w:val="00A525B0"/>
    <w:rsid w:val="00A54249"/>
    <w:rsid w:val="00A56327"/>
    <w:rsid w:val="00A56EB4"/>
    <w:rsid w:val="00A57AF5"/>
    <w:rsid w:val="00A605DA"/>
    <w:rsid w:val="00A611F9"/>
    <w:rsid w:val="00A6287F"/>
    <w:rsid w:val="00A640EB"/>
    <w:rsid w:val="00A651C1"/>
    <w:rsid w:val="00A65D05"/>
    <w:rsid w:val="00A65D44"/>
    <w:rsid w:val="00A67D25"/>
    <w:rsid w:val="00A70DF2"/>
    <w:rsid w:val="00A710C1"/>
    <w:rsid w:val="00A7127F"/>
    <w:rsid w:val="00A71634"/>
    <w:rsid w:val="00A72596"/>
    <w:rsid w:val="00A73803"/>
    <w:rsid w:val="00A73C92"/>
    <w:rsid w:val="00A76AAF"/>
    <w:rsid w:val="00A774E3"/>
    <w:rsid w:val="00A809CC"/>
    <w:rsid w:val="00A80B50"/>
    <w:rsid w:val="00A8140E"/>
    <w:rsid w:val="00A82ACD"/>
    <w:rsid w:val="00A82ED6"/>
    <w:rsid w:val="00A8474D"/>
    <w:rsid w:val="00A85322"/>
    <w:rsid w:val="00A870B3"/>
    <w:rsid w:val="00A87986"/>
    <w:rsid w:val="00A9062E"/>
    <w:rsid w:val="00A91EC8"/>
    <w:rsid w:val="00A95D10"/>
    <w:rsid w:val="00A96A48"/>
    <w:rsid w:val="00A96B91"/>
    <w:rsid w:val="00AA0409"/>
    <w:rsid w:val="00AA19F3"/>
    <w:rsid w:val="00AA3F90"/>
    <w:rsid w:val="00AA5CD9"/>
    <w:rsid w:val="00AA7888"/>
    <w:rsid w:val="00AA797C"/>
    <w:rsid w:val="00AA7F9D"/>
    <w:rsid w:val="00AB0DA6"/>
    <w:rsid w:val="00AB2486"/>
    <w:rsid w:val="00AB4180"/>
    <w:rsid w:val="00AB5D95"/>
    <w:rsid w:val="00AB6848"/>
    <w:rsid w:val="00AB73FB"/>
    <w:rsid w:val="00AC1DFD"/>
    <w:rsid w:val="00AC49CE"/>
    <w:rsid w:val="00AC5741"/>
    <w:rsid w:val="00AC58E7"/>
    <w:rsid w:val="00AC60E0"/>
    <w:rsid w:val="00AC63C9"/>
    <w:rsid w:val="00AC7130"/>
    <w:rsid w:val="00AC7B5D"/>
    <w:rsid w:val="00AD068F"/>
    <w:rsid w:val="00AD0B45"/>
    <w:rsid w:val="00AD17C9"/>
    <w:rsid w:val="00AD5A7C"/>
    <w:rsid w:val="00AD69F5"/>
    <w:rsid w:val="00AD72DF"/>
    <w:rsid w:val="00AD78CC"/>
    <w:rsid w:val="00AD7FF4"/>
    <w:rsid w:val="00AE13E6"/>
    <w:rsid w:val="00AE1BCD"/>
    <w:rsid w:val="00AE264C"/>
    <w:rsid w:val="00AE2C56"/>
    <w:rsid w:val="00AE3BC2"/>
    <w:rsid w:val="00AE48BD"/>
    <w:rsid w:val="00AE5495"/>
    <w:rsid w:val="00AE6DB8"/>
    <w:rsid w:val="00AF1087"/>
    <w:rsid w:val="00AF114E"/>
    <w:rsid w:val="00AF1858"/>
    <w:rsid w:val="00AF2AE3"/>
    <w:rsid w:val="00AF39D4"/>
    <w:rsid w:val="00AF4669"/>
    <w:rsid w:val="00AF5513"/>
    <w:rsid w:val="00AF65AE"/>
    <w:rsid w:val="00AF6706"/>
    <w:rsid w:val="00AF77EE"/>
    <w:rsid w:val="00B00CAD"/>
    <w:rsid w:val="00B01441"/>
    <w:rsid w:val="00B0205B"/>
    <w:rsid w:val="00B022BF"/>
    <w:rsid w:val="00B02938"/>
    <w:rsid w:val="00B02F55"/>
    <w:rsid w:val="00B05513"/>
    <w:rsid w:val="00B05A72"/>
    <w:rsid w:val="00B05B15"/>
    <w:rsid w:val="00B07F20"/>
    <w:rsid w:val="00B1076E"/>
    <w:rsid w:val="00B10A2C"/>
    <w:rsid w:val="00B10E56"/>
    <w:rsid w:val="00B12462"/>
    <w:rsid w:val="00B12D5E"/>
    <w:rsid w:val="00B13415"/>
    <w:rsid w:val="00B139ED"/>
    <w:rsid w:val="00B13C4C"/>
    <w:rsid w:val="00B146C6"/>
    <w:rsid w:val="00B14D0E"/>
    <w:rsid w:val="00B151B8"/>
    <w:rsid w:val="00B15568"/>
    <w:rsid w:val="00B162F1"/>
    <w:rsid w:val="00B208FA"/>
    <w:rsid w:val="00B20B8B"/>
    <w:rsid w:val="00B21882"/>
    <w:rsid w:val="00B2299D"/>
    <w:rsid w:val="00B232DB"/>
    <w:rsid w:val="00B23D5A"/>
    <w:rsid w:val="00B2409C"/>
    <w:rsid w:val="00B24186"/>
    <w:rsid w:val="00B25A50"/>
    <w:rsid w:val="00B26AEE"/>
    <w:rsid w:val="00B279ED"/>
    <w:rsid w:val="00B27FC4"/>
    <w:rsid w:val="00B30605"/>
    <w:rsid w:val="00B316D8"/>
    <w:rsid w:val="00B317A9"/>
    <w:rsid w:val="00B339AD"/>
    <w:rsid w:val="00B34297"/>
    <w:rsid w:val="00B34E29"/>
    <w:rsid w:val="00B34E42"/>
    <w:rsid w:val="00B354F6"/>
    <w:rsid w:val="00B357DE"/>
    <w:rsid w:val="00B379A5"/>
    <w:rsid w:val="00B402FF"/>
    <w:rsid w:val="00B433BA"/>
    <w:rsid w:val="00B43C5F"/>
    <w:rsid w:val="00B43FE0"/>
    <w:rsid w:val="00B445E1"/>
    <w:rsid w:val="00B44719"/>
    <w:rsid w:val="00B44807"/>
    <w:rsid w:val="00B450AA"/>
    <w:rsid w:val="00B4593E"/>
    <w:rsid w:val="00B45BCF"/>
    <w:rsid w:val="00B478E1"/>
    <w:rsid w:val="00B51F3B"/>
    <w:rsid w:val="00B52E0B"/>
    <w:rsid w:val="00B5357B"/>
    <w:rsid w:val="00B55865"/>
    <w:rsid w:val="00B55E98"/>
    <w:rsid w:val="00B565B9"/>
    <w:rsid w:val="00B570A7"/>
    <w:rsid w:val="00B576D6"/>
    <w:rsid w:val="00B6075C"/>
    <w:rsid w:val="00B60E18"/>
    <w:rsid w:val="00B616BF"/>
    <w:rsid w:val="00B62428"/>
    <w:rsid w:val="00B62740"/>
    <w:rsid w:val="00B62868"/>
    <w:rsid w:val="00B6341E"/>
    <w:rsid w:val="00B64230"/>
    <w:rsid w:val="00B64F63"/>
    <w:rsid w:val="00B65C88"/>
    <w:rsid w:val="00B6737C"/>
    <w:rsid w:val="00B71572"/>
    <w:rsid w:val="00B74A99"/>
    <w:rsid w:val="00B74E54"/>
    <w:rsid w:val="00B751AB"/>
    <w:rsid w:val="00B76E1A"/>
    <w:rsid w:val="00B77D72"/>
    <w:rsid w:val="00B81530"/>
    <w:rsid w:val="00B83BB5"/>
    <w:rsid w:val="00B84753"/>
    <w:rsid w:val="00B85DA5"/>
    <w:rsid w:val="00B86A46"/>
    <w:rsid w:val="00B900A7"/>
    <w:rsid w:val="00B907CC"/>
    <w:rsid w:val="00B90852"/>
    <w:rsid w:val="00B91DAF"/>
    <w:rsid w:val="00B9212B"/>
    <w:rsid w:val="00B92183"/>
    <w:rsid w:val="00B9305A"/>
    <w:rsid w:val="00B93B3A"/>
    <w:rsid w:val="00B9764A"/>
    <w:rsid w:val="00BA2943"/>
    <w:rsid w:val="00BA2EDA"/>
    <w:rsid w:val="00BA59D8"/>
    <w:rsid w:val="00BA7AC2"/>
    <w:rsid w:val="00BB0A53"/>
    <w:rsid w:val="00BB11CF"/>
    <w:rsid w:val="00BB2E8F"/>
    <w:rsid w:val="00BB605D"/>
    <w:rsid w:val="00BB62D7"/>
    <w:rsid w:val="00BB69CC"/>
    <w:rsid w:val="00BB7AAA"/>
    <w:rsid w:val="00BC0D44"/>
    <w:rsid w:val="00BC107E"/>
    <w:rsid w:val="00BC108D"/>
    <w:rsid w:val="00BC114B"/>
    <w:rsid w:val="00BC1BA3"/>
    <w:rsid w:val="00BC1DE0"/>
    <w:rsid w:val="00BC4233"/>
    <w:rsid w:val="00BC47F9"/>
    <w:rsid w:val="00BC5667"/>
    <w:rsid w:val="00BC601B"/>
    <w:rsid w:val="00BC7079"/>
    <w:rsid w:val="00BD040B"/>
    <w:rsid w:val="00BD134A"/>
    <w:rsid w:val="00BD18FA"/>
    <w:rsid w:val="00BD2BA7"/>
    <w:rsid w:val="00BD3A7A"/>
    <w:rsid w:val="00BE0EA0"/>
    <w:rsid w:val="00BE1FF2"/>
    <w:rsid w:val="00BE3DD6"/>
    <w:rsid w:val="00BE3DF9"/>
    <w:rsid w:val="00BE4809"/>
    <w:rsid w:val="00BE6712"/>
    <w:rsid w:val="00BE7E69"/>
    <w:rsid w:val="00BF0E80"/>
    <w:rsid w:val="00BF2F87"/>
    <w:rsid w:val="00BF3E8C"/>
    <w:rsid w:val="00BF472F"/>
    <w:rsid w:val="00BF4C27"/>
    <w:rsid w:val="00BF4C96"/>
    <w:rsid w:val="00BF4D0E"/>
    <w:rsid w:val="00BF6460"/>
    <w:rsid w:val="00BF6B3F"/>
    <w:rsid w:val="00BF6D4E"/>
    <w:rsid w:val="00C01A1F"/>
    <w:rsid w:val="00C01E3C"/>
    <w:rsid w:val="00C0298E"/>
    <w:rsid w:val="00C04DED"/>
    <w:rsid w:val="00C0632E"/>
    <w:rsid w:val="00C06708"/>
    <w:rsid w:val="00C075A1"/>
    <w:rsid w:val="00C102CE"/>
    <w:rsid w:val="00C10492"/>
    <w:rsid w:val="00C10716"/>
    <w:rsid w:val="00C1075C"/>
    <w:rsid w:val="00C112AB"/>
    <w:rsid w:val="00C118F4"/>
    <w:rsid w:val="00C1384B"/>
    <w:rsid w:val="00C16201"/>
    <w:rsid w:val="00C230EA"/>
    <w:rsid w:val="00C2712C"/>
    <w:rsid w:val="00C31950"/>
    <w:rsid w:val="00C33B79"/>
    <w:rsid w:val="00C34F05"/>
    <w:rsid w:val="00C37447"/>
    <w:rsid w:val="00C41E51"/>
    <w:rsid w:val="00C42A98"/>
    <w:rsid w:val="00C42EB7"/>
    <w:rsid w:val="00C44E2A"/>
    <w:rsid w:val="00C50E8D"/>
    <w:rsid w:val="00C510E1"/>
    <w:rsid w:val="00C52F64"/>
    <w:rsid w:val="00C52F82"/>
    <w:rsid w:val="00C538DC"/>
    <w:rsid w:val="00C53BC6"/>
    <w:rsid w:val="00C55D1E"/>
    <w:rsid w:val="00C55E66"/>
    <w:rsid w:val="00C56ACD"/>
    <w:rsid w:val="00C56F00"/>
    <w:rsid w:val="00C61FAF"/>
    <w:rsid w:val="00C65662"/>
    <w:rsid w:val="00C6622D"/>
    <w:rsid w:val="00C70AA4"/>
    <w:rsid w:val="00C71BB3"/>
    <w:rsid w:val="00C74113"/>
    <w:rsid w:val="00C74E7D"/>
    <w:rsid w:val="00C75CA9"/>
    <w:rsid w:val="00C760C7"/>
    <w:rsid w:val="00C76C40"/>
    <w:rsid w:val="00C77222"/>
    <w:rsid w:val="00C77A71"/>
    <w:rsid w:val="00C77F91"/>
    <w:rsid w:val="00C8067C"/>
    <w:rsid w:val="00C80A2F"/>
    <w:rsid w:val="00C819A7"/>
    <w:rsid w:val="00C81BD2"/>
    <w:rsid w:val="00C83783"/>
    <w:rsid w:val="00C86E24"/>
    <w:rsid w:val="00C8702E"/>
    <w:rsid w:val="00C878E6"/>
    <w:rsid w:val="00C904A4"/>
    <w:rsid w:val="00C95AD4"/>
    <w:rsid w:val="00CA3C62"/>
    <w:rsid w:val="00CA558D"/>
    <w:rsid w:val="00CA5AC5"/>
    <w:rsid w:val="00CB0802"/>
    <w:rsid w:val="00CB1644"/>
    <w:rsid w:val="00CB1B6F"/>
    <w:rsid w:val="00CB3D73"/>
    <w:rsid w:val="00CB4591"/>
    <w:rsid w:val="00CB4C52"/>
    <w:rsid w:val="00CB53D5"/>
    <w:rsid w:val="00CB5EA9"/>
    <w:rsid w:val="00CB6B15"/>
    <w:rsid w:val="00CC05CA"/>
    <w:rsid w:val="00CC1FB3"/>
    <w:rsid w:val="00CC20FC"/>
    <w:rsid w:val="00CC2DC1"/>
    <w:rsid w:val="00CC5243"/>
    <w:rsid w:val="00CD06DE"/>
    <w:rsid w:val="00CD1F8D"/>
    <w:rsid w:val="00CD2178"/>
    <w:rsid w:val="00CD3707"/>
    <w:rsid w:val="00CD4E77"/>
    <w:rsid w:val="00CD64FD"/>
    <w:rsid w:val="00CE0C59"/>
    <w:rsid w:val="00CE12B7"/>
    <w:rsid w:val="00CE16CF"/>
    <w:rsid w:val="00CE316F"/>
    <w:rsid w:val="00CE479E"/>
    <w:rsid w:val="00CE5870"/>
    <w:rsid w:val="00CE59E3"/>
    <w:rsid w:val="00CF04BB"/>
    <w:rsid w:val="00CF0585"/>
    <w:rsid w:val="00CF15CF"/>
    <w:rsid w:val="00CF2EA5"/>
    <w:rsid w:val="00CF2F1B"/>
    <w:rsid w:val="00CF4D01"/>
    <w:rsid w:val="00CF4F15"/>
    <w:rsid w:val="00CF5474"/>
    <w:rsid w:val="00CF669F"/>
    <w:rsid w:val="00CF6F51"/>
    <w:rsid w:val="00CF7717"/>
    <w:rsid w:val="00D00699"/>
    <w:rsid w:val="00D02604"/>
    <w:rsid w:val="00D036B5"/>
    <w:rsid w:val="00D03805"/>
    <w:rsid w:val="00D06203"/>
    <w:rsid w:val="00D065D0"/>
    <w:rsid w:val="00D0790C"/>
    <w:rsid w:val="00D125F6"/>
    <w:rsid w:val="00D126E4"/>
    <w:rsid w:val="00D1365C"/>
    <w:rsid w:val="00D14554"/>
    <w:rsid w:val="00D155AF"/>
    <w:rsid w:val="00D15F8D"/>
    <w:rsid w:val="00D1612E"/>
    <w:rsid w:val="00D20B97"/>
    <w:rsid w:val="00D24109"/>
    <w:rsid w:val="00D26184"/>
    <w:rsid w:val="00D265DD"/>
    <w:rsid w:val="00D300E2"/>
    <w:rsid w:val="00D30E1B"/>
    <w:rsid w:val="00D30E96"/>
    <w:rsid w:val="00D315ED"/>
    <w:rsid w:val="00D341A6"/>
    <w:rsid w:val="00D362EA"/>
    <w:rsid w:val="00D40E01"/>
    <w:rsid w:val="00D40EEB"/>
    <w:rsid w:val="00D41301"/>
    <w:rsid w:val="00D414C5"/>
    <w:rsid w:val="00D41A18"/>
    <w:rsid w:val="00D43624"/>
    <w:rsid w:val="00D444F2"/>
    <w:rsid w:val="00D448BD"/>
    <w:rsid w:val="00D45E0F"/>
    <w:rsid w:val="00D46E6C"/>
    <w:rsid w:val="00D474A5"/>
    <w:rsid w:val="00D500CC"/>
    <w:rsid w:val="00D503DB"/>
    <w:rsid w:val="00D508D8"/>
    <w:rsid w:val="00D53320"/>
    <w:rsid w:val="00D5343F"/>
    <w:rsid w:val="00D53704"/>
    <w:rsid w:val="00D54288"/>
    <w:rsid w:val="00D552EB"/>
    <w:rsid w:val="00D56295"/>
    <w:rsid w:val="00D57C73"/>
    <w:rsid w:val="00D60084"/>
    <w:rsid w:val="00D60865"/>
    <w:rsid w:val="00D611C2"/>
    <w:rsid w:val="00D613EE"/>
    <w:rsid w:val="00D62ACF"/>
    <w:rsid w:val="00D62AD9"/>
    <w:rsid w:val="00D646BD"/>
    <w:rsid w:val="00D64781"/>
    <w:rsid w:val="00D64AD7"/>
    <w:rsid w:val="00D64FE4"/>
    <w:rsid w:val="00D65342"/>
    <w:rsid w:val="00D655C6"/>
    <w:rsid w:val="00D662BE"/>
    <w:rsid w:val="00D672B9"/>
    <w:rsid w:val="00D7150C"/>
    <w:rsid w:val="00D73E87"/>
    <w:rsid w:val="00D73EE2"/>
    <w:rsid w:val="00D7430D"/>
    <w:rsid w:val="00D74F7F"/>
    <w:rsid w:val="00D76235"/>
    <w:rsid w:val="00D769DB"/>
    <w:rsid w:val="00D76F2F"/>
    <w:rsid w:val="00D76FF4"/>
    <w:rsid w:val="00D779DD"/>
    <w:rsid w:val="00D816FC"/>
    <w:rsid w:val="00D81747"/>
    <w:rsid w:val="00D81CF4"/>
    <w:rsid w:val="00D827C9"/>
    <w:rsid w:val="00D8581A"/>
    <w:rsid w:val="00D90D82"/>
    <w:rsid w:val="00D90FF2"/>
    <w:rsid w:val="00D93321"/>
    <w:rsid w:val="00D9434B"/>
    <w:rsid w:val="00D96FE8"/>
    <w:rsid w:val="00D97069"/>
    <w:rsid w:val="00D970AB"/>
    <w:rsid w:val="00DA034A"/>
    <w:rsid w:val="00DA12E5"/>
    <w:rsid w:val="00DA21E0"/>
    <w:rsid w:val="00DA2D45"/>
    <w:rsid w:val="00DA2D62"/>
    <w:rsid w:val="00DA2D96"/>
    <w:rsid w:val="00DA37D7"/>
    <w:rsid w:val="00DA4739"/>
    <w:rsid w:val="00DA4827"/>
    <w:rsid w:val="00DA6C38"/>
    <w:rsid w:val="00DA712D"/>
    <w:rsid w:val="00DB05CA"/>
    <w:rsid w:val="00DB1E2D"/>
    <w:rsid w:val="00DB2E07"/>
    <w:rsid w:val="00DB4379"/>
    <w:rsid w:val="00DB4435"/>
    <w:rsid w:val="00DB70D1"/>
    <w:rsid w:val="00DC02A0"/>
    <w:rsid w:val="00DC0610"/>
    <w:rsid w:val="00DC0844"/>
    <w:rsid w:val="00DC0F67"/>
    <w:rsid w:val="00DD11D4"/>
    <w:rsid w:val="00DD1AB9"/>
    <w:rsid w:val="00DD491A"/>
    <w:rsid w:val="00DD4D7B"/>
    <w:rsid w:val="00DD6698"/>
    <w:rsid w:val="00DD6EF0"/>
    <w:rsid w:val="00DD6F8F"/>
    <w:rsid w:val="00DE1826"/>
    <w:rsid w:val="00DE1B5D"/>
    <w:rsid w:val="00DE2262"/>
    <w:rsid w:val="00DE2BA8"/>
    <w:rsid w:val="00DE33CD"/>
    <w:rsid w:val="00DE5872"/>
    <w:rsid w:val="00DF0D33"/>
    <w:rsid w:val="00DF0EFA"/>
    <w:rsid w:val="00DF1345"/>
    <w:rsid w:val="00DF1F2E"/>
    <w:rsid w:val="00DF2887"/>
    <w:rsid w:val="00DF5CD3"/>
    <w:rsid w:val="00DF6322"/>
    <w:rsid w:val="00DF65D4"/>
    <w:rsid w:val="00E012FE"/>
    <w:rsid w:val="00E026A8"/>
    <w:rsid w:val="00E02A27"/>
    <w:rsid w:val="00E03A94"/>
    <w:rsid w:val="00E07270"/>
    <w:rsid w:val="00E13195"/>
    <w:rsid w:val="00E14389"/>
    <w:rsid w:val="00E143CD"/>
    <w:rsid w:val="00E20FD0"/>
    <w:rsid w:val="00E21E5E"/>
    <w:rsid w:val="00E22F72"/>
    <w:rsid w:val="00E236D8"/>
    <w:rsid w:val="00E24E22"/>
    <w:rsid w:val="00E26AC3"/>
    <w:rsid w:val="00E2730B"/>
    <w:rsid w:val="00E316C1"/>
    <w:rsid w:val="00E341F6"/>
    <w:rsid w:val="00E3503E"/>
    <w:rsid w:val="00E3593A"/>
    <w:rsid w:val="00E35FB3"/>
    <w:rsid w:val="00E36939"/>
    <w:rsid w:val="00E37A1D"/>
    <w:rsid w:val="00E40C4C"/>
    <w:rsid w:val="00E42143"/>
    <w:rsid w:val="00E43849"/>
    <w:rsid w:val="00E43A9A"/>
    <w:rsid w:val="00E449C8"/>
    <w:rsid w:val="00E52363"/>
    <w:rsid w:val="00E52A0C"/>
    <w:rsid w:val="00E532D5"/>
    <w:rsid w:val="00E53849"/>
    <w:rsid w:val="00E53B3A"/>
    <w:rsid w:val="00E547AB"/>
    <w:rsid w:val="00E54FDA"/>
    <w:rsid w:val="00E559F7"/>
    <w:rsid w:val="00E571DE"/>
    <w:rsid w:val="00E5739B"/>
    <w:rsid w:val="00E60919"/>
    <w:rsid w:val="00E60DE6"/>
    <w:rsid w:val="00E619EB"/>
    <w:rsid w:val="00E627C4"/>
    <w:rsid w:val="00E6281A"/>
    <w:rsid w:val="00E643AC"/>
    <w:rsid w:val="00E645FD"/>
    <w:rsid w:val="00E678A0"/>
    <w:rsid w:val="00E714A6"/>
    <w:rsid w:val="00E71F4A"/>
    <w:rsid w:val="00E7266E"/>
    <w:rsid w:val="00E73425"/>
    <w:rsid w:val="00E7342E"/>
    <w:rsid w:val="00E74708"/>
    <w:rsid w:val="00E74C39"/>
    <w:rsid w:val="00E75EEE"/>
    <w:rsid w:val="00E807DE"/>
    <w:rsid w:val="00E80F71"/>
    <w:rsid w:val="00E81D07"/>
    <w:rsid w:val="00E823BE"/>
    <w:rsid w:val="00E8299E"/>
    <w:rsid w:val="00E83762"/>
    <w:rsid w:val="00E85942"/>
    <w:rsid w:val="00E9156D"/>
    <w:rsid w:val="00E92511"/>
    <w:rsid w:val="00E93356"/>
    <w:rsid w:val="00E95547"/>
    <w:rsid w:val="00E95FE6"/>
    <w:rsid w:val="00E96006"/>
    <w:rsid w:val="00E96F5F"/>
    <w:rsid w:val="00E97980"/>
    <w:rsid w:val="00EA0533"/>
    <w:rsid w:val="00EA05BA"/>
    <w:rsid w:val="00EA15BC"/>
    <w:rsid w:val="00EA1803"/>
    <w:rsid w:val="00EA1BD9"/>
    <w:rsid w:val="00EA6C62"/>
    <w:rsid w:val="00EA7A91"/>
    <w:rsid w:val="00EA7E85"/>
    <w:rsid w:val="00EB1A55"/>
    <w:rsid w:val="00EB3287"/>
    <w:rsid w:val="00EB42C0"/>
    <w:rsid w:val="00EB5BFE"/>
    <w:rsid w:val="00EB6E28"/>
    <w:rsid w:val="00EB728E"/>
    <w:rsid w:val="00EC016C"/>
    <w:rsid w:val="00EC0E75"/>
    <w:rsid w:val="00EC1AD9"/>
    <w:rsid w:val="00EC293C"/>
    <w:rsid w:val="00EC2BA9"/>
    <w:rsid w:val="00EC4132"/>
    <w:rsid w:val="00EC5860"/>
    <w:rsid w:val="00EC599D"/>
    <w:rsid w:val="00EC5CCB"/>
    <w:rsid w:val="00EC61A5"/>
    <w:rsid w:val="00EC66DD"/>
    <w:rsid w:val="00ED216A"/>
    <w:rsid w:val="00ED27A1"/>
    <w:rsid w:val="00ED63B8"/>
    <w:rsid w:val="00ED791D"/>
    <w:rsid w:val="00EE0638"/>
    <w:rsid w:val="00EE2198"/>
    <w:rsid w:val="00EE5FE9"/>
    <w:rsid w:val="00EE6782"/>
    <w:rsid w:val="00EE7569"/>
    <w:rsid w:val="00EE7D1B"/>
    <w:rsid w:val="00EF15E7"/>
    <w:rsid w:val="00EF1E57"/>
    <w:rsid w:val="00EF564C"/>
    <w:rsid w:val="00EF59AA"/>
    <w:rsid w:val="00EF5F29"/>
    <w:rsid w:val="00EF61EB"/>
    <w:rsid w:val="00F033A8"/>
    <w:rsid w:val="00F03425"/>
    <w:rsid w:val="00F04461"/>
    <w:rsid w:val="00F0680B"/>
    <w:rsid w:val="00F06DF5"/>
    <w:rsid w:val="00F11765"/>
    <w:rsid w:val="00F119E8"/>
    <w:rsid w:val="00F12DE0"/>
    <w:rsid w:val="00F13DAA"/>
    <w:rsid w:val="00F147A1"/>
    <w:rsid w:val="00F14AA2"/>
    <w:rsid w:val="00F14BB4"/>
    <w:rsid w:val="00F1536B"/>
    <w:rsid w:val="00F16A50"/>
    <w:rsid w:val="00F172BE"/>
    <w:rsid w:val="00F211BC"/>
    <w:rsid w:val="00F21827"/>
    <w:rsid w:val="00F22619"/>
    <w:rsid w:val="00F23467"/>
    <w:rsid w:val="00F2380F"/>
    <w:rsid w:val="00F23E8D"/>
    <w:rsid w:val="00F24C37"/>
    <w:rsid w:val="00F24E11"/>
    <w:rsid w:val="00F25EAF"/>
    <w:rsid w:val="00F26714"/>
    <w:rsid w:val="00F336DA"/>
    <w:rsid w:val="00F33F4A"/>
    <w:rsid w:val="00F349C5"/>
    <w:rsid w:val="00F35DB2"/>
    <w:rsid w:val="00F43D3F"/>
    <w:rsid w:val="00F44ACE"/>
    <w:rsid w:val="00F47101"/>
    <w:rsid w:val="00F4745F"/>
    <w:rsid w:val="00F47853"/>
    <w:rsid w:val="00F5279C"/>
    <w:rsid w:val="00F53C3E"/>
    <w:rsid w:val="00F547F7"/>
    <w:rsid w:val="00F54DD9"/>
    <w:rsid w:val="00F56AB0"/>
    <w:rsid w:val="00F56D45"/>
    <w:rsid w:val="00F5785F"/>
    <w:rsid w:val="00F605CC"/>
    <w:rsid w:val="00F60F9E"/>
    <w:rsid w:val="00F61063"/>
    <w:rsid w:val="00F62401"/>
    <w:rsid w:val="00F62BBD"/>
    <w:rsid w:val="00F6348E"/>
    <w:rsid w:val="00F6474C"/>
    <w:rsid w:val="00F647CE"/>
    <w:rsid w:val="00F64997"/>
    <w:rsid w:val="00F65198"/>
    <w:rsid w:val="00F672FD"/>
    <w:rsid w:val="00F71631"/>
    <w:rsid w:val="00F72A29"/>
    <w:rsid w:val="00F72F97"/>
    <w:rsid w:val="00F735B8"/>
    <w:rsid w:val="00F73F78"/>
    <w:rsid w:val="00F758C8"/>
    <w:rsid w:val="00F75BD7"/>
    <w:rsid w:val="00F768B9"/>
    <w:rsid w:val="00F76CEA"/>
    <w:rsid w:val="00F77950"/>
    <w:rsid w:val="00F77A90"/>
    <w:rsid w:val="00F77CBC"/>
    <w:rsid w:val="00F800CB"/>
    <w:rsid w:val="00F81CF6"/>
    <w:rsid w:val="00F8282E"/>
    <w:rsid w:val="00F85AA4"/>
    <w:rsid w:val="00F90AED"/>
    <w:rsid w:val="00F90CDE"/>
    <w:rsid w:val="00F9123E"/>
    <w:rsid w:val="00F932EC"/>
    <w:rsid w:val="00F93DB0"/>
    <w:rsid w:val="00F93E0E"/>
    <w:rsid w:val="00F94DAD"/>
    <w:rsid w:val="00F94E41"/>
    <w:rsid w:val="00F96DA5"/>
    <w:rsid w:val="00FA2806"/>
    <w:rsid w:val="00FA3C61"/>
    <w:rsid w:val="00FA426F"/>
    <w:rsid w:val="00FA4E24"/>
    <w:rsid w:val="00FA554E"/>
    <w:rsid w:val="00FA5760"/>
    <w:rsid w:val="00FA7BFC"/>
    <w:rsid w:val="00FA7F53"/>
    <w:rsid w:val="00FB13DD"/>
    <w:rsid w:val="00FB181C"/>
    <w:rsid w:val="00FB2393"/>
    <w:rsid w:val="00FB2603"/>
    <w:rsid w:val="00FB30F9"/>
    <w:rsid w:val="00FB4796"/>
    <w:rsid w:val="00FC01ED"/>
    <w:rsid w:val="00FC1E1E"/>
    <w:rsid w:val="00FC1E91"/>
    <w:rsid w:val="00FC20A2"/>
    <w:rsid w:val="00FC4BC8"/>
    <w:rsid w:val="00FC5982"/>
    <w:rsid w:val="00FC5FD4"/>
    <w:rsid w:val="00FC6FC8"/>
    <w:rsid w:val="00FD1747"/>
    <w:rsid w:val="00FD28AF"/>
    <w:rsid w:val="00FD5920"/>
    <w:rsid w:val="00FD655C"/>
    <w:rsid w:val="00FE09CE"/>
    <w:rsid w:val="00FE19FA"/>
    <w:rsid w:val="00FE410B"/>
    <w:rsid w:val="00FE4D80"/>
    <w:rsid w:val="00FE5E27"/>
    <w:rsid w:val="00FE7BA1"/>
    <w:rsid w:val="00FF09F1"/>
    <w:rsid w:val="00FF2635"/>
    <w:rsid w:val="00FF31EC"/>
    <w:rsid w:val="00FF334D"/>
    <w:rsid w:val="00FF35C4"/>
    <w:rsid w:val="00FF3E39"/>
    <w:rsid w:val="00FF5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4B5F5"/>
  <w15:docId w15:val="{3EABBD29-3C3B-4081-9E62-599B7B21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A482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719"/>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AF5513"/>
    <w:pPr>
      <w:spacing w:before="120" w:after="120"/>
    </w:pPr>
    <w:rPr>
      <w:rFonts w:cstheme="minorHAnsi"/>
      <w:b/>
      <w:bCs/>
      <w:caps/>
      <w:sz w:val="20"/>
      <w:szCs w:val="20"/>
    </w:rPr>
  </w:style>
  <w:style w:type="paragraph" w:styleId="TOC2">
    <w:name w:val="toc 2"/>
    <w:basedOn w:val="Normal"/>
    <w:next w:val="Normal"/>
    <w:autoRedefine/>
    <w:uiPriority w:val="39"/>
    <w:unhideWhenUsed/>
    <w:rsid w:val="00AF5513"/>
    <w:pPr>
      <w:spacing w:after="0"/>
      <w:ind w:left="220"/>
    </w:pPr>
    <w:rPr>
      <w:rFonts w:cstheme="minorHAnsi"/>
      <w:smallCaps/>
      <w:sz w:val="20"/>
      <w:szCs w:val="20"/>
    </w:rPr>
  </w:style>
  <w:style w:type="paragraph" w:styleId="TOC3">
    <w:name w:val="toc 3"/>
    <w:basedOn w:val="Normal"/>
    <w:next w:val="Normal"/>
    <w:autoRedefine/>
    <w:uiPriority w:val="39"/>
    <w:unhideWhenUsed/>
    <w:rsid w:val="00AF5513"/>
    <w:pPr>
      <w:spacing w:after="0"/>
      <w:ind w:left="440"/>
    </w:pPr>
    <w:rPr>
      <w:rFonts w:cstheme="minorHAnsi"/>
      <w:i/>
      <w:iCs/>
      <w:sz w:val="20"/>
      <w:szCs w:val="20"/>
    </w:rPr>
  </w:style>
  <w:style w:type="paragraph" w:styleId="TOC4">
    <w:name w:val="toc 4"/>
    <w:basedOn w:val="Normal"/>
    <w:next w:val="Normal"/>
    <w:autoRedefine/>
    <w:uiPriority w:val="39"/>
    <w:unhideWhenUsed/>
    <w:rsid w:val="00AF5513"/>
    <w:pPr>
      <w:spacing w:after="0"/>
      <w:ind w:left="660"/>
    </w:pPr>
    <w:rPr>
      <w:rFonts w:cstheme="minorHAnsi"/>
      <w:sz w:val="18"/>
      <w:szCs w:val="18"/>
    </w:rPr>
  </w:style>
  <w:style w:type="paragraph" w:styleId="TOC5">
    <w:name w:val="toc 5"/>
    <w:basedOn w:val="Normal"/>
    <w:next w:val="Normal"/>
    <w:autoRedefine/>
    <w:uiPriority w:val="39"/>
    <w:unhideWhenUsed/>
    <w:rsid w:val="00AF5513"/>
    <w:pPr>
      <w:spacing w:after="0"/>
      <w:ind w:left="880"/>
    </w:pPr>
    <w:rPr>
      <w:rFonts w:cstheme="minorHAnsi"/>
      <w:sz w:val="18"/>
      <w:szCs w:val="18"/>
    </w:rPr>
  </w:style>
  <w:style w:type="paragraph" w:styleId="TOC6">
    <w:name w:val="toc 6"/>
    <w:basedOn w:val="Normal"/>
    <w:next w:val="Normal"/>
    <w:autoRedefine/>
    <w:uiPriority w:val="39"/>
    <w:unhideWhenUsed/>
    <w:rsid w:val="00AF5513"/>
    <w:pPr>
      <w:spacing w:after="0"/>
      <w:ind w:left="1100"/>
    </w:pPr>
    <w:rPr>
      <w:rFonts w:cstheme="minorHAnsi"/>
      <w:sz w:val="18"/>
      <w:szCs w:val="18"/>
    </w:rPr>
  </w:style>
  <w:style w:type="paragraph" w:styleId="TOC7">
    <w:name w:val="toc 7"/>
    <w:basedOn w:val="Normal"/>
    <w:next w:val="Normal"/>
    <w:autoRedefine/>
    <w:uiPriority w:val="39"/>
    <w:unhideWhenUsed/>
    <w:rsid w:val="00AF5513"/>
    <w:pPr>
      <w:spacing w:after="0"/>
      <w:ind w:left="1320"/>
    </w:pPr>
    <w:rPr>
      <w:rFonts w:cstheme="minorHAnsi"/>
      <w:sz w:val="18"/>
      <w:szCs w:val="18"/>
    </w:rPr>
  </w:style>
  <w:style w:type="paragraph" w:styleId="TOC8">
    <w:name w:val="toc 8"/>
    <w:basedOn w:val="Normal"/>
    <w:next w:val="Normal"/>
    <w:autoRedefine/>
    <w:uiPriority w:val="39"/>
    <w:unhideWhenUsed/>
    <w:rsid w:val="00AF5513"/>
    <w:pPr>
      <w:spacing w:after="0"/>
      <w:ind w:left="1540"/>
    </w:pPr>
    <w:rPr>
      <w:rFonts w:cstheme="minorHAnsi"/>
      <w:sz w:val="18"/>
      <w:szCs w:val="18"/>
    </w:rPr>
  </w:style>
  <w:style w:type="paragraph" w:styleId="TOC9">
    <w:name w:val="toc 9"/>
    <w:basedOn w:val="Normal"/>
    <w:next w:val="Normal"/>
    <w:autoRedefine/>
    <w:uiPriority w:val="39"/>
    <w:unhideWhenUsed/>
    <w:rsid w:val="00AF5513"/>
    <w:pPr>
      <w:spacing w:after="0"/>
      <w:ind w:left="1760"/>
    </w:pPr>
    <w:rPr>
      <w:rFonts w:cstheme="minorHAnsi"/>
      <w:sz w:val="18"/>
      <w:szCs w:val="18"/>
    </w:rPr>
  </w:style>
  <w:style w:type="character" w:styleId="Hyperlink">
    <w:name w:val="Hyperlink"/>
    <w:basedOn w:val="DefaultParagraphFont"/>
    <w:uiPriority w:val="99"/>
    <w:unhideWhenUsed/>
    <w:rsid w:val="00AF5513"/>
    <w:rPr>
      <w:color w:val="0563C1" w:themeColor="hyperlink"/>
      <w:u w:val="single"/>
    </w:rPr>
  </w:style>
  <w:style w:type="paragraph" w:styleId="ListParagraph">
    <w:name w:val="List Paragraph"/>
    <w:basedOn w:val="Normal"/>
    <w:uiPriority w:val="34"/>
    <w:qFormat/>
    <w:rsid w:val="00AF5513"/>
    <w:pPr>
      <w:ind w:left="720"/>
      <w:contextualSpacing/>
    </w:pPr>
  </w:style>
  <w:style w:type="paragraph" w:styleId="FootnoteText">
    <w:name w:val="footnote text"/>
    <w:basedOn w:val="Normal"/>
    <w:link w:val="FootnoteTextChar"/>
    <w:uiPriority w:val="99"/>
    <w:unhideWhenUsed/>
    <w:rsid w:val="005273CB"/>
    <w:pPr>
      <w:spacing w:after="0" w:line="240" w:lineRule="auto"/>
    </w:pPr>
    <w:rPr>
      <w:sz w:val="20"/>
      <w:szCs w:val="20"/>
    </w:rPr>
  </w:style>
  <w:style w:type="character" w:customStyle="1" w:styleId="FootnoteTextChar">
    <w:name w:val="Footnote Text Char"/>
    <w:basedOn w:val="DefaultParagraphFont"/>
    <w:link w:val="FootnoteText"/>
    <w:uiPriority w:val="99"/>
    <w:rsid w:val="005273CB"/>
    <w:rPr>
      <w:sz w:val="20"/>
      <w:szCs w:val="20"/>
    </w:rPr>
  </w:style>
  <w:style w:type="character" w:styleId="FootnoteReference">
    <w:name w:val="footnote reference"/>
    <w:basedOn w:val="DefaultParagraphFont"/>
    <w:uiPriority w:val="99"/>
    <w:semiHidden/>
    <w:unhideWhenUsed/>
    <w:rsid w:val="005273CB"/>
    <w:rPr>
      <w:vertAlign w:val="superscript"/>
    </w:rPr>
  </w:style>
  <w:style w:type="character" w:customStyle="1" w:styleId="Heading2Char">
    <w:name w:val="Heading 2 Char"/>
    <w:basedOn w:val="DefaultParagraphFont"/>
    <w:link w:val="Heading2"/>
    <w:uiPriority w:val="9"/>
    <w:rsid w:val="00DA4827"/>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330445"/>
    <w:rPr>
      <w:sz w:val="16"/>
      <w:szCs w:val="16"/>
    </w:rPr>
  </w:style>
  <w:style w:type="paragraph" w:styleId="CommentText">
    <w:name w:val="annotation text"/>
    <w:basedOn w:val="Normal"/>
    <w:link w:val="CommentTextChar"/>
    <w:uiPriority w:val="99"/>
    <w:unhideWhenUsed/>
    <w:rsid w:val="00330445"/>
    <w:pPr>
      <w:spacing w:line="240" w:lineRule="auto"/>
    </w:pPr>
    <w:rPr>
      <w:sz w:val="20"/>
      <w:szCs w:val="20"/>
    </w:rPr>
  </w:style>
  <w:style w:type="character" w:customStyle="1" w:styleId="CommentTextChar">
    <w:name w:val="Comment Text Char"/>
    <w:basedOn w:val="DefaultParagraphFont"/>
    <w:link w:val="CommentText"/>
    <w:uiPriority w:val="99"/>
    <w:rsid w:val="00330445"/>
    <w:rPr>
      <w:sz w:val="20"/>
      <w:szCs w:val="20"/>
    </w:rPr>
  </w:style>
  <w:style w:type="paragraph" w:styleId="CommentSubject">
    <w:name w:val="annotation subject"/>
    <w:basedOn w:val="CommentText"/>
    <w:next w:val="CommentText"/>
    <w:link w:val="CommentSubjectChar"/>
    <w:uiPriority w:val="99"/>
    <w:semiHidden/>
    <w:unhideWhenUsed/>
    <w:rsid w:val="00330445"/>
    <w:rPr>
      <w:b/>
      <w:bCs/>
    </w:rPr>
  </w:style>
  <w:style w:type="character" w:customStyle="1" w:styleId="CommentSubjectChar">
    <w:name w:val="Comment Subject Char"/>
    <w:basedOn w:val="CommentTextChar"/>
    <w:link w:val="CommentSubject"/>
    <w:uiPriority w:val="99"/>
    <w:semiHidden/>
    <w:rsid w:val="00330445"/>
    <w:rPr>
      <w:b/>
      <w:bCs/>
      <w:sz w:val="20"/>
      <w:szCs w:val="20"/>
    </w:rPr>
  </w:style>
  <w:style w:type="paragraph" w:styleId="BalloonText">
    <w:name w:val="Balloon Text"/>
    <w:basedOn w:val="Normal"/>
    <w:link w:val="BalloonTextChar"/>
    <w:uiPriority w:val="99"/>
    <w:semiHidden/>
    <w:unhideWhenUsed/>
    <w:rsid w:val="003304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445"/>
    <w:rPr>
      <w:rFonts w:ascii="Segoe UI" w:hAnsi="Segoe UI" w:cs="Segoe UI"/>
      <w:sz w:val="18"/>
      <w:szCs w:val="18"/>
    </w:rPr>
  </w:style>
  <w:style w:type="paragraph" w:styleId="Header">
    <w:name w:val="header"/>
    <w:basedOn w:val="Normal"/>
    <w:link w:val="HeaderChar"/>
    <w:uiPriority w:val="99"/>
    <w:unhideWhenUsed/>
    <w:rsid w:val="001436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6AD"/>
  </w:style>
  <w:style w:type="paragraph" w:styleId="Footer">
    <w:name w:val="footer"/>
    <w:basedOn w:val="Normal"/>
    <w:link w:val="FooterChar"/>
    <w:uiPriority w:val="99"/>
    <w:unhideWhenUsed/>
    <w:rsid w:val="001436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6AD"/>
  </w:style>
  <w:style w:type="paragraph" w:customStyle="1" w:styleId="Default">
    <w:name w:val="Default"/>
    <w:rsid w:val="003315EF"/>
    <w:pPr>
      <w:autoSpaceDE w:val="0"/>
      <w:autoSpaceDN w:val="0"/>
      <w:adjustRightInd w:val="0"/>
      <w:spacing w:after="0" w:line="240" w:lineRule="auto"/>
    </w:pPr>
    <w:rPr>
      <w:rFonts w:ascii="Code" w:hAnsi="Code" w:cs="Code"/>
      <w:color w:val="000000"/>
      <w:sz w:val="24"/>
      <w:szCs w:val="24"/>
    </w:rPr>
  </w:style>
  <w:style w:type="paragraph" w:styleId="NormalWeb">
    <w:name w:val="Normal (Web)"/>
    <w:basedOn w:val="Normal"/>
    <w:uiPriority w:val="99"/>
    <w:semiHidden/>
    <w:unhideWhenUsed/>
    <w:rsid w:val="004C15B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444FA"/>
    <w:rPr>
      <w:i/>
      <w:iCs/>
    </w:rPr>
  </w:style>
  <w:style w:type="character" w:styleId="Strong">
    <w:name w:val="Strong"/>
    <w:basedOn w:val="DefaultParagraphFont"/>
    <w:uiPriority w:val="22"/>
    <w:qFormat/>
    <w:rsid w:val="00171B57"/>
    <w:rPr>
      <w:b/>
      <w:bCs/>
    </w:rPr>
  </w:style>
  <w:style w:type="character" w:customStyle="1" w:styleId="break-words">
    <w:name w:val="break-words"/>
    <w:basedOn w:val="DefaultParagraphFont"/>
    <w:rsid w:val="002E6F46"/>
  </w:style>
  <w:style w:type="paragraph" w:customStyle="1" w:styleId="has-text-align-justify">
    <w:name w:val="has-text-align-justify"/>
    <w:basedOn w:val="Normal"/>
    <w:rsid w:val="00AB68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ference-text">
    <w:name w:val="reference-text"/>
    <w:basedOn w:val="DefaultParagraphFont"/>
    <w:rsid w:val="00117A11"/>
  </w:style>
  <w:style w:type="character" w:styleId="FollowedHyperlink">
    <w:name w:val="FollowedHyperlink"/>
    <w:basedOn w:val="DefaultParagraphFont"/>
    <w:uiPriority w:val="99"/>
    <w:semiHidden/>
    <w:unhideWhenUsed/>
    <w:rsid w:val="00251F9B"/>
    <w:rPr>
      <w:color w:val="954F72" w:themeColor="followedHyperlink"/>
      <w:u w:val="single"/>
    </w:rPr>
  </w:style>
  <w:style w:type="character" w:customStyle="1" w:styleId="markedcontent">
    <w:name w:val="markedcontent"/>
    <w:basedOn w:val="DefaultParagraphFont"/>
    <w:rsid w:val="003B0453"/>
  </w:style>
  <w:style w:type="character" w:customStyle="1" w:styleId="sb8d990e2">
    <w:name w:val="sb8d990e2"/>
    <w:basedOn w:val="DefaultParagraphFont"/>
    <w:rsid w:val="007927E2"/>
  </w:style>
  <w:style w:type="character" w:customStyle="1" w:styleId="sdfc50a6a">
    <w:name w:val="sdfc50a6a"/>
    <w:basedOn w:val="DefaultParagraphFont"/>
    <w:rsid w:val="007927E2"/>
  </w:style>
  <w:style w:type="paragraph" w:customStyle="1" w:styleId="s30eec3f8">
    <w:name w:val="s30eec3f8"/>
    <w:basedOn w:val="Normal"/>
    <w:rsid w:val="00E678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6b621b36">
    <w:name w:val="s6b621b36"/>
    <w:basedOn w:val="DefaultParagraphFont"/>
    <w:rsid w:val="00E678A0"/>
  </w:style>
  <w:style w:type="paragraph" w:customStyle="1" w:styleId="s1adbd37c">
    <w:name w:val="s1adbd37c"/>
    <w:basedOn w:val="Normal"/>
    <w:rsid w:val="00E678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32a37344">
    <w:name w:val="s32a37344"/>
    <w:basedOn w:val="DefaultParagraphFont"/>
    <w:rsid w:val="00E678A0"/>
  </w:style>
  <w:style w:type="character" w:customStyle="1" w:styleId="s7d2086b4">
    <w:name w:val="s7d2086b4"/>
    <w:basedOn w:val="DefaultParagraphFont"/>
    <w:rsid w:val="004C7C1F"/>
  </w:style>
  <w:style w:type="paragraph" w:styleId="HTMLPreformatted">
    <w:name w:val="HTML Preformatted"/>
    <w:basedOn w:val="Normal"/>
    <w:link w:val="HTMLPreformattedChar"/>
    <w:uiPriority w:val="99"/>
    <w:semiHidden/>
    <w:unhideWhenUsed/>
    <w:rsid w:val="00C50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C50E8D"/>
    <w:rPr>
      <w:rFonts w:ascii="Courier New" w:eastAsia="Times New Roman" w:hAnsi="Courier New" w:cs="Courier New"/>
      <w:sz w:val="20"/>
      <w:szCs w:val="20"/>
      <w:lang w:eastAsia="en-GB"/>
    </w:rPr>
  </w:style>
  <w:style w:type="character" w:customStyle="1" w:styleId="citation">
    <w:name w:val="citation"/>
    <w:basedOn w:val="DefaultParagraphFont"/>
    <w:rsid w:val="00C50E8D"/>
  </w:style>
  <w:style w:type="character" w:customStyle="1" w:styleId="hgkelc">
    <w:name w:val="hgkelc"/>
    <w:basedOn w:val="DefaultParagraphFont"/>
    <w:rsid w:val="00E14389"/>
  </w:style>
  <w:style w:type="character" w:customStyle="1" w:styleId="authorsname">
    <w:name w:val="authors__name"/>
    <w:basedOn w:val="DefaultParagraphFont"/>
    <w:rsid w:val="00860BE9"/>
  </w:style>
  <w:style w:type="character" w:customStyle="1" w:styleId="outputecli">
    <w:name w:val="outputecli"/>
    <w:basedOn w:val="DefaultParagraphFont"/>
    <w:rsid w:val="00397A53"/>
  </w:style>
  <w:style w:type="character" w:customStyle="1" w:styleId="outputecliaff">
    <w:name w:val="outputecliaff"/>
    <w:basedOn w:val="DefaultParagraphFont"/>
    <w:rsid w:val="002C574D"/>
  </w:style>
  <w:style w:type="character" w:customStyle="1" w:styleId="UnresolvedMention1">
    <w:name w:val="Unresolved Mention1"/>
    <w:basedOn w:val="DefaultParagraphFont"/>
    <w:uiPriority w:val="99"/>
    <w:semiHidden/>
    <w:unhideWhenUsed/>
    <w:rsid w:val="00B56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16507">
      <w:bodyDiv w:val="1"/>
      <w:marLeft w:val="0"/>
      <w:marRight w:val="0"/>
      <w:marTop w:val="0"/>
      <w:marBottom w:val="0"/>
      <w:divBdr>
        <w:top w:val="none" w:sz="0" w:space="0" w:color="auto"/>
        <w:left w:val="none" w:sz="0" w:space="0" w:color="auto"/>
        <w:bottom w:val="none" w:sz="0" w:space="0" w:color="auto"/>
        <w:right w:val="none" w:sz="0" w:space="0" w:color="auto"/>
      </w:divBdr>
    </w:div>
    <w:div w:id="102507260">
      <w:bodyDiv w:val="1"/>
      <w:marLeft w:val="0"/>
      <w:marRight w:val="0"/>
      <w:marTop w:val="0"/>
      <w:marBottom w:val="0"/>
      <w:divBdr>
        <w:top w:val="none" w:sz="0" w:space="0" w:color="auto"/>
        <w:left w:val="none" w:sz="0" w:space="0" w:color="auto"/>
        <w:bottom w:val="none" w:sz="0" w:space="0" w:color="auto"/>
        <w:right w:val="none" w:sz="0" w:space="0" w:color="auto"/>
      </w:divBdr>
      <w:divsChild>
        <w:div w:id="1628046076">
          <w:marLeft w:val="0"/>
          <w:marRight w:val="0"/>
          <w:marTop w:val="0"/>
          <w:marBottom w:val="0"/>
          <w:divBdr>
            <w:top w:val="none" w:sz="0" w:space="0" w:color="auto"/>
            <w:left w:val="none" w:sz="0" w:space="0" w:color="auto"/>
            <w:bottom w:val="none" w:sz="0" w:space="0" w:color="auto"/>
            <w:right w:val="none" w:sz="0" w:space="0" w:color="auto"/>
          </w:divBdr>
          <w:divsChild>
            <w:div w:id="1360203132">
              <w:marLeft w:val="0"/>
              <w:marRight w:val="0"/>
              <w:marTop w:val="0"/>
              <w:marBottom w:val="0"/>
              <w:divBdr>
                <w:top w:val="none" w:sz="0" w:space="0" w:color="auto"/>
                <w:left w:val="none" w:sz="0" w:space="0" w:color="auto"/>
                <w:bottom w:val="none" w:sz="0" w:space="0" w:color="auto"/>
                <w:right w:val="none" w:sz="0" w:space="0" w:color="auto"/>
              </w:divBdr>
              <w:divsChild>
                <w:div w:id="126199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2322">
      <w:bodyDiv w:val="1"/>
      <w:marLeft w:val="0"/>
      <w:marRight w:val="0"/>
      <w:marTop w:val="0"/>
      <w:marBottom w:val="0"/>
      <w:divBdr>
        <w:top w:val="none" w:sz="0" w:space="0" w:color="auto"/>
        <w:left w:val="none" w:sz="0" w:space="0" w:color="auto"/>
        <w:bottom w:val="none" w:sz="0" w:space="0" w:color="auto"/>
        <w:right w:val="none" w:sz="0" w:space="0" w:color="auto"/>
      </w:divBdr>
    </w:div>
    <w:div w:id="231474970">
      <w:bodyDiv w:val="1"/>
      <w:marLeft w:val="0"/>
      <w:marRight w:val="0"/>
      <w:marTop w:val="0"/>
      <w:marBottom w:val="0"/>
      <w:divBdr>
        <w:top w:val="none" w:sz="0" w:space="0" w:color="auto"/>
        <w:left w:val="none" w:sz="0" w:space="0" w:color="auto"/>
        <w:bottom w:val="none" w:sz="0" w:space="0" w:color="auto"/>
        <w:right w:val="none" w:sz="0" w:space="0" w:color="auto"/>
      </w:divBdr>
    </w:div>
    <w:div w:id="311645948">
      <w:bodyDiv w:val="1"/>
      <w:marLeft w:val="0"/>
      <w:marRight w:val="0"/>
      <w:marTop w:val="0"/>
      <w:marBottom w:val="0"/>
      <w:divBdr>
        <w:top w:val="none" w:sz="0" w:space="0" w:color="auto"/>
        <w:left w:val="none" w:sz="0" w:space="0" w:color="auto"/>
        <w:bottom w:val="none" w:sz="0" w:space="0" w:color="auto"/>
        <w:right w:val="none" w:sz="0" w:space="0" w:color="auto"/>
      </w:divBdr>
    </w:div>
    <w:div w:id="672536542">
      <w:bodyDiv w:val="1"/>
      <w:marLeft w:val="0"/>
      <w:marRight w:val="0"/>
      <w:marTop w:val="0"/>
      <w:marBottom w:val="0"/>
      <w:divBdr>
        <w:top w:val="none" w:sz="0" w:space="0" w:color="auto"/>
        <w:left w:val="none" w:sz="0" w:space="0" w:color="auto"/>
        <w:bottom w:val="none" w:sz="0" w:space="0" w:color="auto"/>
        <w:right w:val="none" w:sz="0" w:space="0" w:color="auto"/>
      </w:divBdr>
    </w:div>
    <w:div w:id="793524593">
      <w:bodyDiv w:val="1"/>
      <w:marLeft w:val="0"/>
      <w:marRight w:val="0"/>
      <w:marTop w:val="0"/>
      <w:marBottom w:val="0"/>
      <w:divBdr>
        <w:top w:val="none" w:sz="0" w:space="0" w:color="auto"/>
        <w:left w:val="none" w:sz="0" w:space="0" w:color="auto"/>
        <w:bottom w:val="none" w:sz="0" w:space="0" w:color="auto"/>
        <w:right w:val="none" w:sz="0" w:space="0" w:color="auto"/>
      </w:divBdr>
      <w:divsChild>
        <w:div w:id="1220169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1546662">
      <w:bodyDiv w:val="1"/>
      <w:marLeft w:val="0"/>
      <w:marRight w:val="0"/>
      <w:marTop w:val="0"/>
      <w:marBottom w:val="0"/>
      <w:divBdr>
        <w:top w:val="none" w:sz="0" w:space="0" w:color="auto"/>
        <w:left w:val="none" w:sz="0" w:space="0" w:color="auto"/>
        <w:bottom w:val="none" w:sz="0" w:space="0" w:color="auto"/>
        <w:right w:val="none" w:sz="0" w:space="0" w:color="auto"/>
      </w:divBdr>
      <w:divsChild>
        <w:div w:id="492527704">
          <w:marLeft w:val="0"/>
          <w:marRight w:val="0"/>
          <w:marTop w:val="0"/>
          <w:marBottom w:val="0"/>
          <w:divBdr>
            <w:top w:val="none" w:sz="0" w:space="0" w:color="auto"/>
            <w:left w:val="none" w:sz="0" w:space="0" w:color="auto"/>
            <w:bottom w:val="none" w:sz="0" w:space="0" w:color="auto"/>
            <w:right w:val="none" w:sz="0" w:space="0" w:color="auto"/>
          </w:divBdr>
          <w:divsChild>
            <w:div w:id="577053205">
              <w:marLeft w:val="0"/>
              <w:marRight w:val="0"/>
              <w:marTop w:val="0"/>
              <w:marBottom w:val="0"/>
              <w:divBdr>
                <w:top w:val="none" w:sz="0" w:space="0" w:color="auto"/>
                <w:left w:val="none" w:sz="0" w:space="0" w:color="auto"/>
                <w:bottom w:val="none" w:sz="0" w:space="0" w:color="auto"/>
                <w:right w:val="none" w:sz="0" w:space="0" w:color="auto"/>
              </w:divBdr>
            </w:div>
          </w:divsChild>
        </w:div>
        <w:div w:id="852115188">
          <w:marLeft w:val="0"/>
          <w:marRight w:val="0"/>
          <w:marTop w:val="0"/>
          <w:marBottom w:val="0"/>
          <w:divBdr>
            <w:top w:val="none" w:sz="0" w:space="0" w:color="auto"/>
            <w:left w:val="none" w:sz="0" w:space="0" w:color="auto"/>
            <w:bottom w:val="none" w:sz="0" w:space="0" w:color="auto"/>
            <w:right w:val="none" w:sz="0" w:space="0" w:color="auto"/>
          </w:divBdr>
          <w:divsChild>
            <w:div w:id="883323066">
              <w:marLeft w:val="0"/>
              <w:marRight w:val="0"/>
              <w:marTop w:val="0"/>
              <w:marBottom w:val="0"/>
              <w:divBdr>
                <w:top w:val="none" w:sz="0" w:space="0" w:color="auto"/>
                <w:left w:val="none" w:sz="0" w:space="0" w:color="auto"/>
                <w:bottom w:val="none" w:sz="0" w:space="0" w:color="auto"/>
                <w:right w:val="none" w:sz="0" w:space="0" w:color="auto"/>
              </w:divBdr>
              <w:divsChild>
                <w:div w:id="20456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15995">
          <w:marLeft w:val="0"/>
          <w:marRight w:val="0"/>
          <w:marTop w:val="0"/>
          <w:marBottom w:val="0"/>
          <w:divBdr>
            <w:top w:val="none" w:sz="0" w:space="0" w:color="auto"/>
            <w:left w:val="none" w:sz="0" w:space="0" w:color="auto"/>
            <w:bottom w:val="none" w:sz="0" w:space="0" w:color="auto"/>
            <w:right w:val="none" w:sz="0" w:space="0" w:color="auto"/>
          </w:divBdr>
          <w:divsChild>
            <w:div w:id="831605147">
              <w:marLeft w:val="0"/>
              <w:marRight w:val="0"/>
              <w:marTop w:val="0"/>
              <w:marBottom w:val="0"/>
              <w:divBdr>
                <w:top w:val="none" w:sz="0" w:space="0" w:color="auto"/>
                <w:left w:val="none" w:sz="0" w:space="0" w:color="auto"/>
                <w:bottom w:val="none" w:sz="0" w:space="0" w:color="auto"/>
                <w:right w:val="none" w:sz="0" w:space="0" w:color="auto"/>
              </w:divBdr>
            </w:div>
          </w:divsChild>
        </w:div>
        <w:div w:id="1897619297">
          <w:marLeft w:val="0"/>
          <w:marRight w:val="0"/>
          <w:marTop w:val="0"/>
          <w:marBottom w:val="0"/>
          <w:divBdr>
            <w:top w:val="none" w:sz="0" w:space="0" w:color="auto"/>
            <w:left w:val="none" w:sz="0" w:space="0" w:color="auto"/>
            <w:bottom w:val="none" w:sz="0" w:space="0" w:color="auto"/>
            <w:right w:val="none" w:sz="0" w:space="0" w:color="auto"/>
          </w:divBdr>
          <w:divsChild>
            <w:div w:id="79764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285608">
      <w:bodyDiv w:val="1"/>
      <w:marLeft w:val="0"/>
      <w:marRight w:val="0"/>
      <w:marTop w:val="0"/>
      <w:marBottom w:val="0"/>
      <w:divBdr>
        <w:top w:val="none" w:sz="0" w:space="0" w:color="auto"/>
        <w:left w:val="none" w:sz="0" w:space="0" w:color="auto"/>
        <w:bottom w:val="none" w:sz="0" w:space="0" w:color="auto"/>
        <w:right w:val="none" w:sz="0" w:space="0" w:color="auto"/>
      </w:divBdr>
    </w:div>
    <w:div w:id="1286043506">
      <w:bodyDiv w:val="1"/>
      <w:marLeft w:val="0"/>
      <w:marRight w:val="0"/>
      <w:marTop w:val="0"/>
      <w:marBottom w:val="0"/>
      <w:divBdr>
        <w:top w:val="none" w:sz="0" w:space="0" w:color="auto"/>
        <w:left w:val="none" w:sz="0" w:space="0" w:color="auto"/>
        <w:bottom w:val="none" w:sz="0" w:space="0" w:color="auto"/>
        <w:right w:val="none" w:sz="0" w:space="0" w:color="auto"/>
      </w:divBdr>
    </w:div>
    <w:div w:id="1307855465">
      <w:bodyDiv w:val="1"/>
      <w:marLeft w:val="0"/>
      <w:marRight w:val="0"/>
      <w:marTop w:val="0"/>
      <w:marBottom w:val="0"/>
      <w:divBdr>
        <w:top w:val="none" w:sz="0" w:space="0" w:color="auto"/>
        <w:left w:val="none" w:sz="0" w:space="0" w:color="auto"/>
        <w:bottom w:val="none" w:sz="0" w:space="0" w:color="auto"/>
        <w:right w:val="none" w:sz="0" w:space="0" w:color="auto"/>
      </w:divBdr>
    </w:div>
    <w:div w:id="1442413425">
      <w:bodyDiv w:val="1"/>
      <w:marLeft w:val="0"/>
      <w:marRight w:val="0"/>
      <w:marTop w:val="0"/>
      <w:marBottom w:val="0"/>
      <w:divBdr>
        <w:top w:val="none" w:sz="0" w:space="0" w:color="auto"/>
        <w:left w:val="none" w:sz="0" w:space="0" w:color="auto"/>
        <w:bottom w:val="none" w:sz="0" w:space="0" w:color="auto"/>
        <w:right w:val="none" w:sz="0" w:space="0" w:color="auto"/>
      </w:divBdr>
    </w:div>
    <w:div w:id="1467819982">
      <w:bodyDiv w:val="1"/>
      <w:marLeft w:val="0"/>
      <w:marRight w:val="0"/>
      <w:marTop w:val="0"/>
      <w:marBottom w:val="0"/>
      <w:divBdr>
        <w:top w:val="none" w:sz="0" w:space="0" w:color="auto"/>
        <w:left w:val="none" w:sz="0" w:space="0" w:color="auto"/>
        <w:bottom w:val="none" w:sz="0" w:space="0" w:color="auto"/>
        <w:right w:val="none" w:sz="0" w:space="0" w:color="auto"/>
      </w:divBdr>
    </w:div>
    <w:div w:id="1583562464">
      <w:bodyDiv w:val="1"/>
      <w:marLeft w:val="0"/>
      <w:marRight w:val="0"/>
      <w:marTop w:val="0"/>
      <w:marBottom w:val="0"/>
      <w:divBdr>
        <w:top w:val="none" w:sz="0" w:space="0" w:color="auto"/>
        <w:left w:val="none" w:sz="0" w:space="0" w:color="auto"/>
        <w:bottom w:val="none" w:sz="0" w:space="0" w:color="auto"/>
        <w:right w:val="none" w:sz="0" w:space="0" w:color="auto"/>
      </w:divBdr>
      <w:divsChild>
        <w:div w:id="247734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9623072">
      <w:bodyDiv w:val="1"/>
      <w:marLeft w:val="0"/>
      <w:marRight w:val="0"/>
      <w:marTop w:val="0"/>
      <w:marBottom w:val="0"/>
      <w:divBdr>
        <w:top w:val="none" w:sz="0" w:space="0" w:color="auto"/>
        <w:left w:val="none" w:sz="0" w:space="0" w:color="auto"/>
        <w:bottom w:val="none" w:sz="0" w:space="0" w:color="auto"/>
        <w:right w:val="none" w:sz="0" w:space="0" w:color="auto"/>
      </w:divBdr>
    </w:div>
    <w:div w:id="1773625097">
      <w:bodyDiv w:val="1"/>
      <w:marLeft w:val="0"/>
      <w:marRight w:val="0"/>
      <w:marTop w:val="0"/>
      <w:marBottom w:val="0"/>
      <w:divBdr>
        <w:top w:val="none" w:sz="0" w:space="0" w:color="auto"/>
        <w:left w:val="none" w:sz="0" w:space="0" w:color="auto"/>
        <w:bottom w:val="none" w:sz="0" w:space="0" w:color="auto"/>
        <w:right w:val="none" w:sz="0" w:space="0" w:color="auto"/>
      </w:divBdr>
    </w:div>
    <w:div w:id="1803772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oif.ala.org/oif/google-quietly-rolls-out-the-right-to-be-forgotten-mechanism-in-the-us/" TargetMode="External"/><Relationship Id="rId2" Type="http://schemas.openxmlformats.org/officeDocument/2006/relationships/hyperlink" Target="https://ico.org.uk/for-organisations/guide-to-data-protection/guide-to-the-general-data-protection-regulation-gdpr/special-category-data/" TargetMode="External"/><Relationship Id="rId1" Type="http://schemas.openxmlformats.org/officeDocument/2006/relationships/hyperlink" Target="https://transparencyreport.google.com/eu-privacy/overview?hl=en_G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0D466-C480-4478-B0DD-0CBC92C16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11870</Words>
  <Characters>64217</Characters>
  <Application>Microsoft Office Word</Application>
  <DocSecurity>0</DocSecurity>
  <Lines>944</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University Of Southampton</Company>
  <LinksUpToDate>false</LinksUpToDate>
  <CharactersWithSpaces>75992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Uta Kohl</dc:creator>
  <cp:keywords/>
  <dc:description/>
  <cp:lastModifiedBy>Uta Kohl</cp:lastModifiedBy>
  <cp:revision>4</cp:revision>
  <cp:lastPrinted>2022-10-12T16:25:00Z</cp:lastPrinted>
  <dcterms:created xsi:type="dcterms:W3CDTF">2023-01-23T16:49:00Z</dcterms:created>
  <dcterms:modified xsi:type="dcterms:W3CDTF">2023-01-23T16:51:00Z</dcterms:modified>
</cp:coreProperties>
</file>