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B28A" w14:textId="77777777" w:rsidR="00842F43" w:rsidRPr="00842F43" w:rsidRDefault="00842F43" w:rsidP="00842F43">
      <w:pPr>
        <w:pStyle w:val="NormalWeb"/>
        <w:spacing w:line="360" w:lineRule="auto"/>
        <w:rPr>
          <w:rFonts w:ascii="Fira Sans" w:hAnsi="Fira Sans"/>
          <w:sz w:val="20"/>
          <w:szCs w:val="20"/>
        </w:rPr>
      </w:pPr>
      <w:r w:rsidRPr="00842F43">
        <w:rPr>
          <w:rFonts w:ascii="Fira Sans" w:hAnsi="Fira Sans"/>
          <w:color w:val="282828"/>
          <w:sz w:val="20"/>
          <w:szCs w:val="20"/>
        </w:rPr>
        <w:t xml:space="preserve">A randomised pilot feasibility study of Eye Movement Desensitisation and Reprocessing Recent Traumatic Episode Protocol, to improve psychological recovery following intensive care admission for COVID-19 infection.  </w:t>
      </w:r>
    </w:p>
    <w:p w14:paraId="43271B0B" w14:textId="77777777" w:rsidR="00842F43" w:rsidRPr="00842F43" w:rsidRDefault="00842F43" w:rsidP="00842F43">
      <w:pPr>
        <w:pStyle w:val="NormalWeb"/>
        <w:spacing w:line="360" w:lineRule="auto"/>
        <w:rPr>
          <w:rFonts w:ascii="Fira Sans" w:hAnsi="Fira Sans"/>
          <w:sz w:val="20"/>
          <w:szCs w:val="20"/>
        </w:rPr>
      </w:pPr>
      <w:r w:rsidRPr="00842F43">
        <w:rPr>
          <w:rFonts w:ascii="Fira Sans" w:hAnsi="Fira Sans"/>
          <w:sz w:val="20"/>
          <w:szCs w:val="20"/>
        </w:rPr>
        <w:t>Background:</w:t>
      </w:r>
      <w:r w:rsidRPr="00842F43">
        <w:rPr>
          <w:rFonts w:ascii="Fira Sans" w:hAnsi="Fira Sans"/>
          <w:sz w:val="20"/>
          <w:szCs w:val="20"/>
        </w:rPr>
        <w:br/>
        <w:t xml:space="preserve">Approximately 50% of intensive care survivors experience persistent psychological symptoms. Eye-movement desensitisation and reprocessing (EMDR) is a widely recommended trauma-focussed psychological therapy, which has not been investigated systematically in a cohort of intensive care survivors: We therefore conducted a randomised pilot feasibility study of EMDR, using the </w:t>
      </w:r>
      <w:r w:rsidRPr="00842F43">
        <w:rPr>
          <w:rFonts w:ascii="Fira Sans" w:hAnsi="Fira Sans"/>
          <w:color w:val="282828"/>
          <w:sz w:val="20"/>
          <w:szCs w:val="20"/>
        </w:rPr>
        <w:t>Recent Traumatic Episode Protocol (R-TEP),</w:t>
      </w:r>
      <w:r w:rsidRPr="00842F43">
        <w:rPr>
          <w:rFonts w:ascii="Fira Sans" w:hAnsi="Fira Sans"/>
          <w:sz w:val="20"/>
          <w:szCs w:val="20"/>
        </w:rPr>
        <w:t xml:space="preserve"> to prevent psychological distress in intensive care survivors. Findings will determine whether it would be possible to conduct a fully-powered clinical effectiveness trial and inform trial design.</w:t>
      </w:r>
    </w:p>
    <w:p w14:paraId="4E4556B4" w14:textId="77777777" w:rsidR="00842F43" w:rsidRPr="00842F43" w:rsidRDefault="00842F43" w:rsidP="00842F43">
      <w:pPr>
        <w:pStyle w:val="NormalWeb"/>
        <w:spacing w:line="360" w:lineRule="auto"/>
        <w:rPr>
          <w:rFonts w:ascii="Fira Sans" w:hAnsi="Fira Sans"/>
          <w:sz w:val="20"/>
          <w:szCs w:val="20"/>
        </w:rPr>
      </w:pPr>
      <w:r w:rsidRPr="00842F43">
        <w:rPr>
          <w:rFonts w:ascii="Fira Sans" w:hAnsi="Fira Sans"/>
          <w:sz w:val="20"/>
          <w:szCs w:val="20"/>
        </w:rPr>
        <w:t>Method:</w:t>
      </w:r>
      <w:r w:rsidRPr="00842F43">
        <w:rPr>
          <w:rFonts w:ascii="Fira Sans" w:hAnsi="Fira Sans"/>
          <w:sz w:val="20"/>
          <w:szCs w:val="20"/>
        </w:rPr>
        <w:br/>
        <w:t>We aimed to recruit 26 patients who had been admitted to intensive care for over 24-hours with COVID-19 infection. Consenting participants were randomised (1:1) to receive either usual care plus remotely delivered EMDR R-TEP or usual care alone (controls). The primary outcome was feasibility. We also report factors related to safety and symptom changes in post-traumatic stress disorder, (PTSD) anxiety and depression.</w:t>
      </w:r>
    </w:p>
    <w:p w14:paraId="551C0BD5" w14:textId="77777777" w:rsidR="00842F43" w:rsidRPr="00842F43" w:rsidRDefault="00842F43" w:rsidP="00842F43">
      <w:pPr>
        <w:pStyle w:val="NormalWeb"/>
        <w:spacing w:line="360" w:lineRule="auto"/>
        <w:rPr>
          <w:rFonts w:ascii="Fira Sans" w:hAnsi="Fira Sans"/>
          <w:sz w:val="20"/>
          <w:szCs w:val="20"/>
        </w:rPr>
      </w:pPr>
      <w:r w:rsidRPr="00842F43">
        <w:rPr>
          <w:rFonts w:ascii="Fira Sans" w:hAnsi="Fira Sans"/>
          <w:sz w:val="20"/>
          <w:szCs w:val="20"/>
        </w:rPr>
        <w:t>Results:</w:t>
      </w:r>
      <w:r w:rsidRPr="00842F43">
        <w:rPr>
          <w:rFonts w:ascii="Fira Sans" w:hAnsi="Fira Sans"/>
          <w:sz w:val="20"/>
          <w:szCs w:val="20"/>
        </w:rPr>
        <w:br/>
        <w:t xml:space="preserve">We approached 51 eligible patients, with 26 (51%) providing consent. Intervention adherence (sessions offered/sessions completed) was 83%, and 23/26 participants completed all study procedures. There were no attributable adverse events. Between baseline and six-month follow-up, mean change in PTSD score was -8 (SD=10.5) in the intervention group vs. +0.75 (SD=15.2) in controls (p=0.126). There were no significant changes to anxiety or depression. </w:t>
      </w:r>
    </w:p>
    <w:p w14:paraId="2FFEDF6B" w14:textId="77777777" w:rsidR="00842F43" w:rsidRPr="00842F43" w:rsidRDefault="00842F43" w:rsidP="00842F43">
      <w:pPr>
        <w:pStyle w:val="NormalWeb"/>
        <w:spacing w:line="360" w:lineRule="auto"/>
        <w:rPr>
          <w:rFonts w:ascii="Fira Sans" w:hAnsi="Fira Sans"/>
          <w:sz w:val="20"/>
          <w:szCs w:val="20"/>
        </w:rPr>
      </w:pPr>
      <w:r w:rsidRPr="00842F43">
        <w:rPr>
          <w:rFonts w:ascii="Fira Sans" w:hAnsi="Fira Sans"/>
          <w:sz w:val="20"/>
          <w:szCs w:val="20"/>
        </w:rPr>
        <w:t>Conclusion:</w:t>
      </w:r>
      <w:r w:rsidRPr="00842F43">
        <w:rPr>
          <w:rFonts w:ascii="Fira Sans" w:hAnsi="Fira Sans"/>
          <w:sz w:val="20"/>
          <w:szCs w:val="20"/>
        </w:rPr>
        <w:br/>
        <w:t>Remotely delivered EMDR R-TEP met pre-determined feasibility and safety objectives. Whilst we achieved group separation in PTSD symptom change, we have identified a number of protocol refinements that would improve the design of a fully powered, multi-centre randomised controlled trial, consistent with currently recommended rehabilitation clinical pathways.</w:t>
      </w:r>
    </w:p>
    <w:p w14:paraId="5FCDDB12" w14:textId="77777777" w:rsidR="00842F43" w:rsidRPr="00842F43" w:rsidRDefault="00842F43" w:rsidP="00842F43">
      <w:pPr>
        <w:spacing w:line="360" w:lineRule="auto"/>
        <w:rPr>
          <w:rFonts w:ascii="Fira Sans" w:hAnsi="Fira Sans"/>
          <w:sz w:val="20"/>
          <w:szCs w:val="20"/>
        </w:rPr>
      </w:pPr>
      <w:r w:rsidRPr="00842F43">
        <w:rPr>
          <w:rFonts w:ascii="Fira Sans" w:hAnsi="Fira Sans"/>
          <w:sz w:val="20"/>
          <w:szCs w:val="20"/>
        </w:rPr>
        <w:t>Keywords: Critical care, Intensive care, PTSD, EMDR, Recent traumatic episode protocol</w:t>
      </w:r>
    </w:p>
    <w:p w14:paraId="775A1B26" w14:textId="77777777" w:rsidR="00842F43" w:rsidRPr="00842F43" w:rsidRDefault="00842F43" w:rsidP="00842F43">
      <w:pPr>
        <w:spacing w:line="360" w:lineRule="auto"/>
        <w:rPr>
          <w:rFonts w:ascii="Fira Sans" w:hAnsi="Fira Sans"/>
          <w:sz w:val="20"/>
          <w:szCs w:val="20"/>
        </w:rPr>
      </w:pPr>
    </w:p>
    <w:p w14:paraId="56D08A4C" w14:textId="77777777" w:rsidR="00842F43" w:rsidRPr="00842F43" w:rsidRDefault="00842F43" w:rsidP="00842F43">
      <w:pPr>
        <w:spacing w:line="360" w:lineRule="auto"/>
        <w:rPr>
          <w:rFonts w:ascii="Fira Sans" w:hAnsi="Fira Sans"/>
          <w:sz w:val="20"/>
          <w:szCs w:val="20"/>
        </w:rPr>
      </w:pPr>
    </w:p>
    <w:p w14:paraId="19566B71" w14:textId="77777777" w:rsidR="00842F43" w:rsidRPr="00842F43" w:rsidRDefault="00842F43" w:rsidP="00842F43">
      <w:pPr>
        <w:spacing w:line="360" w:lineRule="auto"/>
        <w:rPr>
          <w:rFonts w:ascii="Fira Sans" w:hAnsi="Fira Sans"/>
          <w:sz w:val="20"/>
          <w:szCs w:val="20"/>
        </w:rPr>
      </w:pPr>
    </w:p>
    <w:p w14:paraId="31365113" w14:textId="77777777" w:rsidR="00370E23" w:rsidRPr="00842F43" w:rsidRDefault="00370E23" w:rsidP="00842F43">
      <w:pPr>
        <w:spacing w:line="360" w:lineRule="auto"/>
        <w:rPr>
          <w:rFonts w:ascii="Fira Sans" w:hAnsi="Fira Sans"/>
          <w:color w:val="2A2A2A"/>
          <w:sz w:val="20"/>
          <w:szCs w:val="20"/>
        </w:rPr>
      </w:pPr>
    </w:p>
    <w:p w14:paraId="0730CD09" w14:textId="56811603" w:rsidR="00B140C5" w:rsidRPr="00842F43" w:rsidRDefault="0096443E" w:rsidP="00842F43">
      <w:pPr>
        <w:spacing w:line="360" w:lineRule="auto"/>
        <w:rPr>
          <w:rFonts w:ascii="Fira Sans" w:hAnsi="Fira Sans"/>
          <w:color w:val="4472C4" w:themeColor="accent1"/>
          <w:sz w:val="20"/>
          <w:szCs w:val="20"/>
        </w:rPr>
      </w:pPr>
      <w:r w:rsidRPr="00842F43">
        <w:rPr>
          <w:rFonts w:ascii="Fira Sans" w:hAnsi="Fira Sans"/>
          <w:sz w:val="20"/>
          <w:szCs w:val="20"/>
        </w:rPr>
        <w:t>INTRODUCTION</w:t>
      </w:r>
    </w:p>
    <w:p w14:paraId="07ED433D" w14:textId="77777777" w:rsidR="00D25573" w:rsidRPr="00842F43" w:rsidRDefault="00D25573" w:rsidP="00842F43">
      <w:pPr>
        <w:spacing w:line="360" w:lineRule="auto"/>
        <w:rPr>
          <w:rFonts w:ascii="Fira Sans" w:hAnsi="Fira Sans"/>
          <w:color w:val="4472C4" w:themeColor="accent1"/>
          <w:sz w:val="20"/>
          <w:szCs w:val="20"/>
        </w:rPr>
      </w:pPr>
    </w:p>
    <w:p w14:paraId="2CD3030A" w14:textId="593046ED" w:rsidR="00A530EF" w:rsidRPr="00842F43" w:rsidRDefault="00BB0F67" w:rsidP="00842F43">
      <w:pPr>
        <w:spacing w:line="360" w:lineRule="auto"/>
        <w:rPr>
          <w:rFonts w:ascii="Fira Sans" w:hAnsi="Fira Sans"/>
          <w:sz w:val="20"/>
          <w:szCs w:val="20"/>
        </w:rPr>
      </w:pPr>
      <w:r w:rsidRPr="00842F43">
        <w:rPr>
          <w:rFonts w:ascii="Fira Sans" w:hAnsi="Fira Sans"/>
          <w:sz w:val="20"/>
          <w:szCs w:val="20"/>
        </w:rPr>
        <w:lastRenderedPageBreak/>
        <w:t xml:space="preserve">Intensive care survivors frequently </w:t>
      </w:r>
      <w:r w:rsidR="00182B82" w:rsidRPr="00842F43">
        <w:rPr>
          <w:rFonts w:ascii="Fira Sans" w:hAnsi="Fira Sans"/>
          <w:sz w:val="20"/>
          <w:szCs w:val="20"/>
        </w:rPr>
        <w:t>experience</w:t>
      </w:r>
      <w:r w:rsidR="005F16ED" w:rsidRPr="00842F43">
        <w:rPr>
          <w:rFonts w:ascii="Fira Sans" w:hAnsi="Fira Sans"/>
          <w:sz w:val="20"/>
          <w:szCs w:val="20"/>
        </w:rPr>
        <w:t xml:space="preserve"> a range of </w:t>
      </w:r>
      <w:r w:rsidR="00BD7EC5" w:rsidRPr="00842F43">
        <w:rPr>
          <w:rFonts w:ascii="Fira Sans" w:hAnsi="Fira Sans"/>
          <w:sz w:val="20"/>
          <w:szCs w:val="20"/>
        </w:rPr>
        <w:t>health sequelae</w:t>
      </w:r>
      <w:r w:rsidR="005F16ED" w:rsidRPr="00842F43">
        <w:rPr>
          <w:rFonts w:ascii="Fira Sans" w:hAnsi="Fira Sans"/>
          <w:sz w:val="20"/>
          <w:szCs w:val="20"/>
        </w:rPr>
        <w:t xml:space="preserve">, widely referred to as </w:t>
      </w:r>
      <w:r w:rsidR="001950F0" w:rsidRPr="00842F43">
        <w:rPr>
          <w:rFonts w:ascii="Fira Sans" w:hAnsi="Fira Sans"/>
          <w:sz w:val="20"/>
          <w:szCs w:val="20"/>
        </w:rPr>
        <w:t>‘</w:t>
      </w:r>
      <w:r w:rsidR="005F16ED" w:rsidRPr="00842F43">
        <w:rPr>
          <w:rFonts w:ascii="Fira Sans" w:hAnsi="Fira Sans"/>
          <w:sz w:val="20"/>
          <w:szCs w:val="20"/>
        </w:rPr>
        <w:t>Post Intensive Care Syndrome</w:t>
      </w:r>
      <w:r w:rsidR="001950F0" w:rsidRPr="00842F43">
        <w:rPr>
          <w:rFonts w:ascii="Fira Sans" w:hAnsi="Fira Sans"/>
          <w:sz w:val="20"/>
          <w:szCs w:val="20"/>
        </w:rPr>
        <w:t>’</w:t>
      </w:r>
      <w:r w:rsidR="00577B9A" w:rsidRPr="00842F43">
        <w:rPr>
          <w:rFonts w:ascii="Fira Sans" w:hAnsi="Fira Sans"/>
          <w:sz w:val="20"/>
          <w:szCs w:val="20"/>
        </w:rPr>
        <w:t>.</w:t>
      </w:r>
      <w:r w:rsidR="005F16ED" w:rsidRPr="00842F43">
        <w:rPr>
          <w:rFonts w:ascii="Fira Sans" w:hAnsi="Fira Sans"/>
          <w:sz w:val="20"/>
          <w:szCs w:val="20"/>
          <w:vertAlign w:val="superscript"/>
        </w:rPr>
        <w:fldChar w:fldCharType="begin" w:fldLock="1"/>
      </w:r>
      <w:r w:rsidR="001C73E7" w:rsidRPr="00842F43">
        <w:rPr>
          <w:rFonts w:ascii="Fira Sans" w:hAnsi="Fira Sans"/>
          <w:sz w:val="20"/>
          <w:szCs w:val="20"/>
          <w:vertAlign w:val="superscript"/>
        </w:rPr>
        <w:instrText>ADDIN CSL_CITATION {"citationItems":[{"id":"ITEM-1","itemData":{"DOI":"10.1007/978-3-030-24250-3_1","author":[{"dropping-particle":"","family":"Flaatten","given":"Hans","non-dropping-particle":"","parse-names":false,"suffix":""},{"dropping-particle":"","family":"Waldmann","given":"Carl","non-dropping-particle":"","parse-names":false,"suffix":""}],"id":"ITEM-1","issued":{"date-parts":[["2020"]]},"page":"3-12","publisher":"Springer, Cham","title":"The Post-ICU Syndrome, History and Definition","type":"chapter"},"uris":["http://www.mendeley.com/documents/?uuid=8fb159aa-81d0-37b5-8da8-3a8c9fec87f3"]}],"mendeley":{"formattedCitation":"(1)","plainTextFormattedCitation":"(1)","previouslyFormattedCitation":"(1)"},"properties":{"noteIndex":0},"schema":"https://github.com/citation-style-language/schema/raw/master/csl-citation.json"}</w:instrText>
      </w:r>
      <w:r w:rsidR="005F16ED" w:rsidRPr="00842F43">
        <w:rPr>
          <w:rFonts w:ascii="Fira Sans" w:hAnsi="Fira Sans"/>
          <w:sz w:val="20"/>
          <w:szCs w:val="20"/>
          <w:vertAlign w:val="superscript"/>
        </w:rPr>
        <w:fldChar w:fldCharType="separate"/>
      </w:r>
      <w:r w:rsidR="001C73E7" w:rsidRPr="00842F43">
        <w:rPr>
          <w:rFonts w:ascii="Fira Sans" w:hAnsi="Fira Sans"/>
          <w:noProof/>
          <w:sz w:val="20"/>
          <w:szCs w:val="20"/>
          <w:vertAlign w:val="superscript"/>
        </w:rPr>
        <w:t>(1)</w:t>
      </w:r>
      <w:r w:rsidR="005F16ED" w:rsidRPr="00842F43">
        <w:rPr>
          <w:rFonts w:ascii="Fira Sans" w:hAnsi="Fira Sans"/>
          <w:sz w:val="20"/>
          <w:szCs w:val="20"/>
          <w:vertAlign w:val="superscript"/>
        </w:rPr>
        <w:fldChar w:fldCharType="end"/>
      </w:r>
      <w:r w:rsidR="005F16ED" w:rsidRPr="00842F43">
        <w:rPr>
          <w:rFonts w:ascii="Fira Sans" w:hAnsi="Fira Sans"/>
          <w:sz w:val="20"/>
          <w:szCs w:val="20"/>
        </w:rPr>
        <w:t xml:space="preserve"> In addition to physical</w:t>
      </w:r>
      <w:r w:rsidR="001950F0" w:rsidRPr="00842F43">
        <w:rPr>
          <w:rFonts w:ascii="Fira Sans" w:hAnsi="Fira Sans"/>
          <w:sz w:val="20"/>
          <w:szCs w:val="20"/>
        </w:rPr>
        <w:t xml:space="preserve"> </w:t>
      </w:r>
      <w:r w:rsidR="005F16ED" w:rsidRPr="00842F43">
        <w:rPr>
          <w:rFonts w:ascii="Fira Sans" w:hAnsi="Fira Sans"/>
          <w:sz w:val="20"/>
          <w:szCs w:val="20"/>
        </w:rPr>
        <w:t xml:space="preserve">and cognitive impairment, </w:t>
      </w:r>
      <w:r w:rsidR="00136D23" w:rsidRPr="00842F43">
        <w:rPr>
          <w:rFonts w:ascii="Fira Sans" w:hAnsi="Fira Sans"/>
          <w:sz w:val="20"/>
          <w:szCs w:val="20"/>
        </w:rPr>
        <w:t>m</w:t>
      </w:r>
      <w:r w:rsidR="00BD7EC5" w:rsidRPr="00842F43">
        <w:rPr>
          <w:rFonts w:ascii="Fira Sans" w:hAnsi="Fira Sans"/>
          <w:sz w:val="20"/>
          <w:szCs w:val="20"/>
        </w:rPr>
        <w:t xml:space="preserve">eta-analyses show that </w:t>
      </w:r>
      <w:r w:rsidR="00281DB8" w:rsidRPr="00842F43">
        <w:rPr>
          <w:rFonts w:ascii="Fira Sans" w:hAnsi="Fira Sans"/>
          <w:sz w:val="20"/>
          <w:szCs w:val="20"/>
        </w:rPr>
        <w:t xml:space="preserve">20-25% </w:t>
      </w:r>
      <w:r w:rsidR="001950F0" w:rsidRPr="00842F43">
        <w:rPr>
          <w:rFonts w:ascii="Fira Sans" w:hAnsi="Fira Sans"/>
          <w:sz w:val="20"/>
          <w:szCs w:val="20"/>
        </w:rPr>
        <w:t>experience symptoms of</w:t>
      </w:r>
      <w:r w:rsidR="00281DB8" w:rsidRPr="00842F43">
        <w:rPr>
          <w:rFonts w:ascii="Fira Sans" w:hAnsi="Fira Sans"/>
          <w:sz w:val="20"/>
          <w:szCs w:val="20"/>
        </w:rPr>
        <w:t xml:space="preserve"> post-traumatic stress disorder (PTSD)</w:t>
      </w:r>
      <w:r w:rsidR="002901B0" w:rsidRPr="00842F43">
        <w:rPr>
          <w:rFonts w:ascii="Fira Sans" w:hAnsi="Fira Sans"/>
          <w:sz w:val="20"/>
          <w:szCs w:val="20"/>
        </w:rPr>
        <w:t>,</w:t>
      </w:r>
      <w:r w:rsidR="001950F0" w:rsidRPr="00842F43">
        <w:rPr>
          <w:rFonts w:ascii="Fira Sans" w:hAnsi="Fira Sans"/>
          <w:sz w:val="20"/>
          <w:szCs w:val="20"/>
        </w:rPr>
        <w:t xml:space="preserve"> </w:t>
      </w:r>
      <w:r w:rsidR="003016DB" w:rsidRPr="00842F43">
        <w:rPr>
          <w:rFonts w:ascii="Fira Sans" w:hAnsi="Fira Sans"/>
          <w:sz w:val="20"/>
          <w:szCs w:val="20"/>
        </w:rPr>
        <w:t>in the year following hospital discharge</w:t>
      </w:r>
      <w:r w:rsidR="00577B9A" w:rsidRPr="00842F43">
        <w:rPr>
          <w:rFonts w:ascii="Fira Sans" w:hAnsi="Fira Sans"/>
          <w:sz w:val="20"/>
          <w:szCs w:val="20"/>
        </w:rPr>
        <w:t>,</w:t>
      </w:r>
      <w:r w:rsidR="00281DB8" w:rsidRPr="00842F43">
        <w:rPr>
          <w:rFonts w:ascii="Fira Sans" w:hAnsi="Fira Sans"/>
          <w:sz w:val="20"/>
          <w:szCs w:val="20"/>
          <w:vertAlign w:val="superscript"/>
        </w:rPr>
        <w:fldChar w:fldCharType="begin" w:fldLock="1"/>
      </w:r>
      <w:r w:rsidR="002901B0" w:rsidRPr="00842F43">
        <w:rPr>
          <w:rFonts w:ascii="Fira Sans" w:hAnsi="Fira Sans"/>
          <w:sz w:val="20"/>
          <w:szCs w:val="20"/>
          <w:vertAlign w:val="superscript"/>
        </w:rPr>
        <w:instrText>ADDIN CSL_CITATION {"citationItems":[{"id":"ITEM-1","itemData":{"DOI":"10.1186/s13054-019-2489-3","ISSN":"1466609X","abstract":"Background: As more patients are surviving intensive care, mental health concerns in survivors have become a research priority. Among these, post-traumatic stress disorder (PTSD) can have an important impact on the quality of life of critical care survivors. However, data on its burden are conflicting. Therefore, this systematic review and meta-analysis aimed to evaluate the prevalence of PTSD symptoms in adult critical care patients after intensive care unit (ICU) discharge. Methods: We searched MEDLINE, EMBASE, LILACS, Web of Science, PsycNET, and Scopus databases from inception to September 2018. We included observational studies assessing the prevalence of PTSD symptoms in adult critical care survivors. Two reviewers independently screened studies and extracted data. Studies were meta-analyzed using a random-effects model to estimate PTSD symptom prevalence at different time points, also estimating confidence and prediction intervals. Subgroup and meta-regression analyses were performed to explore heterogeneity. Risk of bias was assessed using the Joanna Briggs Institute tool and the GRADE approach. Results: Of 13,267 studies retrieved, 48 were included in this review. Overall prevalence of PTSD symptoms was 19.83% (95% confidence interval [CI], 16.72-23.13; I 2 = 90%, low quality of evidence). Prevalence varied widely across studies, with a wide range of expected prevalence (from 3.70 to 43.73% in 95% of settings). Point prevalence estimates were 15.93% (95% CI, 11.15-21.35; I 2 = 90%; 17 studies), 16.80% (95% CI, 13.74-20.09; I 2 = 66%; 13 studies), 18.96% (95% CI, 14.28-24.12; I 2 = 92%; 13 studies), and 20.21% (95% CI, 13.79-27.44; I 2 = 58%; 7 studies) at 3, 6, 12, and &gt; 12 months after discharge, respectively. Conclusion: PTSD symptoms may affect 1 in every 5 adult critical care survivors, with a high expected prevalence 12 months after discharge. ICU survivors should be screened for PTSD symptoms and cared for accordingly, given the potential negative impact of PTSD on quality of life. In addition, action should be taken to further explore the causal relationship between ICU stay and PTSD, as well as to propose early measures to prevent PTSD in this population. Trial registration: PROSPERO, CRD42017075124, Registered 6 December 2017.","author":[{"dropping-particle":"","family":"Righy","given":"Cássia","non-dropping-particle":"","parse-names":false,"suffix":""},{"dropping-particle":"","family":"Rosa","given":"Regis Goulart","non-dropping-particle":"","parse-names":false,"suffix":""},{"dropping-particle":"","family":"Silva","given":"Rodrigo Teixeira Amancio","non-dropping-particle":"Da","parse-names":false,"suffix":""},{"dropping-particle":"","family":"Kochhann","given":"Renata","non-dropping-particle":"","parse-names":false,"suffix":""},{"dropping-particle":"","family":"Migliavaca","given":"Celina Borges","non-dropping-particle":"","parse-names":false,"suffix":""},{"dropping-particle":"","family":"Robinson","given":"Caroline Cabral","non-dropping-particle":"","parse-names":false,"suffix":""},{"dropping-particle":"","family":"Teche","given":"Stefania Pigatto","non-dropping-particle":"","parse-names":false,"suffix":""},{"dropping-particle":"","family":"Teixeira","given":"Cassiano","non-dropping-particle":"","parse-names":false,"suffix":""},{"dropping-particle":"","family":"Bozza","given":"Fernando Augusto","non-dropping-particle":"","parse-names":false,"suffix":""},{"dropping-particle":"","family":"Falavigna","given":"Maicon","non-dropping-particle":"","parse-names":false,"suffix":""}],"container-title":"Critical Care","id":"ITEM-1","issued":{"date-parts":[["2019"]]},"title":"Prevalence of post-traumatic stress disorder symptoms in adult critical care survivors: A systematic review and meta-analysis","type":"article-journal"},"uris":["http://www.mendeley.com/documents/?uuid=2e60348b-2784-4a34-a59c-c12ff516e003"]},{"id":"ITEM-2","itemData":{"DOI":"10.1097/CCM.0000000000000882","author":[{"dropping-particle":"","family":"Parker","given":"A M","non-dropping-particle":"","parse-names":false,"suffix":""},{"dropping-particle":"","family":"Sricharoenchai","given":"T","non-dropping-particle":"","parse-names":false,"suffix":""},{"dropping-particle":"","family":"Raparla","given":"S","non-dropping-particle":"","parse-names":false,"suffix":""}],"container-title":"Crit Care Med","id":"ITEM-2","issued":{"date-parts":[["2015"]]},"title":"Posttraumatic stress disorder in critical illness survivors: a metaanalysis","type":"article-journal","volume":"43"},"uris":["http://www.mendeley.com/documents/?uuid=664ccdf8-9042-4dfc-b696-c9f24b7890a7"]}],"mendeley":{"formattedCitation":"(2,3)","plainTextFormattedCitation":"(2,3)","previouslyFormattedCitation":"(2,3)"},"properties":{"noteIndex":0},"schema":"https://github.com/citation-style-language/schema/raw/master/csl-citation.json"}</w:instrText>
      </w:r>
      <w:r w:rsidR="00281DB8" w:rsidRPr="00842F43">
        <w:rPr>
          <w:rFonts w:ascii="Fira Sans" w:hAnsi="Fira Sans"/>
          <w:sz w:val="20"/>
          <w:szCs w:val="20"/>
          <w:vertAlign w:val="superscript"/>
        </w:rPr>
        <w:fldChar w:fldCharType="separate"/>
      </w:r>
      <w:r w:rsidR="002901B0" w:rsidRPr="00842F43">
        <w:rPr>
          <w:rFonts w:ascii="Fira Sans" w:hAnsi="Fira Sans"/>
          <w:noProof/>
          <w:sz w:val="20"/>
          <w:szCs w:val="20"/>
          <w:vertAlign w:val="superscript"/>
        </w:rPr>
        <w:t>(2,3)</w:t>
      </w:r>
      <w:r w:rsidR="00281DB8" w:rsidRPr="00842F43">
        <w:rPr>
          <w:rFonts w:ascii="Fira Sans" w:hAnsi="Fira Sans"/>
          <w:sz w:val="20"/>
          <w:szCs w:val="20"/>
          <w:vertAlign w:val="superscript"/>
        </w:rPr>
        <w:fldChar w:fldCharType="end"/>
      </w:r>
      <w:r w:rsidR="00577B9A" w:rsidRPr="00842F43">
        <w:rPr>
          <w:rFonts w:ascii="Fira Sans" w:hAnsi="Fira Sans"/>
          <w:sz w:val="20"/>
          <w:szCs w:val="20"/>
        </w:rPr>
        <w:t xml:space="preserve"> </w:t>
      </w:r>
      <w:r w:rsidR="00073701" w:rsidRPr="00842F43">
        <w:rPr>
          <w:rFonts w:ascii="Fira Sans" w:hAnsi="Fira Sans"/>
          <w:sz w:val="20"/>
          <w:szCs w:val="20"/>
        </w:rPr>
        <w:t xml:space="preserve">and </w:t>
      </w:r>
      <w:r w:rsidR="001950F0" w:rsidRPr="00842F43">
        <w:rPr>
          <w:rFonts w:ascii="Fira Sans" w:hAnsi="Fira Sans"/>
          <w:sz w:val="20"/>
          <w:szCs w:val="20"/>
        </w:rPr>
        <w:t>the p</w:t>
      </w:r>
      <w:r w:rsidR="00281DB8" w:rsidRPr="00842F43">
        <w:rPr>
          <w:rFonts w:ascii="Fira Sans" w:hAnsi="Fira Sans"/>
          <w:sz w:val="20"/>
          <w:szCs w:val="20"/>
        </w:rPr>
        <w:t xml:space="preserve">revalence of anxiety </w:t>
      </w:r>
      <w:r w:rsidR="001950F0" w:rsidRPr="00842F43">
        <w:rPr>
          <w:rFonts w:ascii="Fira Sans" w:hAnsi="Fira Sans"/>
          <w:sz w:val="20"/>
          <w:szCs w:val="20"/>
        </w:rPr>
        <w:t xml:space="preserve">and depressive symptoms </w:t>
      </w:r>
      <w:r w:rsidR="00055609" w:rsidRPr="00842F43">
        <w:rPr>
          <w:rFonts w:ascii="Fira Sans" w:hAnsi="Fira Sans"/>
          <w:sz w:val="20"/>
          <w:szCs w:val="20"/>
        </w:rPr>
        <w:t>is</w:t>
      </w:r>
      <w:r w:rsidR="00281DB8" w:rsidRPr="00842F43">
        <w:rPr>
          <w:rFonts w:ascii="Fira Sans" w:hAnsi="Fira Sans"/>
          <w:sz w:val="20"/>
          <w:szCs w:val="20"/>
        </w:rPr>
        <w:t xml:space="preserve"> </w:t>
      </w:r>
      <w:r w:rsidR="00F91B9F" w:rsidRPr="00842F43">
        <w:rPr>
          <w:rFonts w:ascii="Fira Sans" w:hAnsi="Fira Sans"/>
          <w:sz w:val="20"/>
          <w:szCs w:val="20"/>
        </w:rPr>
        <w:t>32-40%</w:t>
      </w:r>
      <w:r w:rsidR="00F91B9F" w:rsidRPr="00842F43">
        <w:rPr>
          <w:rFonts w:ascii="Fira Sans" w:hAnsi="Fira Sans"/>
          <w:sz w:val="20"/>
          <w:szCs w:val="20"/>
          <w:vertAlign w:val="superscript"/>
        </w:rPr>
        <w:fldChar w:fldCharType="begin" w:fldLock="1"/>
      </w:r>
      <w:r w:rsidR="002901B0" w:rsidRPr="00842F43">
        <w:rPr>
          <w:rFonts w:ascii="Fira Sans" w:hAnsi="Fira Sans"/>
          <w:sz w:val="20"/>
          <w:szCs w:val="20"/>
          <w:vertAlign w:val="superscript"/>
        </w:rPr>
        <w:instrText>ADDIN CSL_CITATION {"citationItems":[{"id":"ITEM-1","itemData":{"DOI":"10.1016/j.genhosppsych.2016.08.005","ISSN":"01638343","author":[{"dropping-particle":"","family":"Nikayin","given":"Sina","non-dropping-particle":"","parse-names":false,"suffix":""},{"dropping-particle":"","family":"Rabiee","given":"Anahita","non-dropping-particle":"","parse-names":false,"suffix":""},{"dropping-particle":"","family":"Hashem","given":"Mohamed D","non-dropping-particle":"","parse-names":false,"suffix":""},{"dropping-particle":"","family":"Huang","given":"Minxuan","non-dropping-particle":"","parse-names":false,"suffix":""},{"dropping-particle":"","family":"Bienvenu","given":"O. Joseph","non-dropping-particle":"","parse-names":false,"suffix":""},{"dropping-particle":"","family":"Turnbull","given":"Alison E.","non-dropping-particle":"","parse-names":false,"suffix":""},{"dropping-particle":"","family":"Needham","given":"Dale M.","non-dropping-particle":"","parse-names":false,"suffix":""}],"container-title":"General Hospital Psychiatry","id":"ITEM-1","issued":{"date-parts":[["2016","11"]]},"page":"23-29","title":"Anxiety symptoms in survivors of critical illness: a systematic review and meta-analysis","type":"article-journal","volume":"43"},"uris":["http://www.mendeley.com/documents/?uuid=5e10c868-a75f-4596-8482-5065bede1145"]}],"mendeley":{"formattedCitation":"(4)","plainTextFormattedCitation":"(4)","previouslyFormattedCitation":"(4)"},"properties":{"noteIndex":0},"schema":"https://github.com/citation-style-language/schema/raw/master/csl-citation.json"}</w:instrText>
      </w:r>
      <w:r w:rsidR="00F91B9F" w:rsidRPr="00842F43">
        <w:rPr>
          <w:rFonts w:ascii="Fira Sans" w:hAnsi="Fira Sans"/>
          <w:sz w:val="20"/>
          <w:szCs w:val="20"/>
          <w:vertAlign w:val="superscript"/>
        </w:rPr>
        <w:fldChar w:fldCharType="separate"/>
      </w:r>
      <w:r w:rsidR="002901B0" w:rsidRPr="00842F43">
        <w:rPr>
          <w:rFonts w:ascii="Fira Sans" w:hAnsi="Fira Sans"/>
          <w:noProof/>
          <w:sz w:val="20"/>
          <w:szCs w:val="20"/>
          <w:vertAlign w:val="superscript"/>
        </w:rPr>
        <w:t>(4)</w:t>
      </w:r>
      <w:r w:rsidR="00F91B9F" w:rsidRPr="00842F43">
        <w:rPr>
          <w:rFonts w:ascii="Fira Sans" w:hAnsi="Fira Sans"/>
          <w:sz w:val="20"/>
          <w:szCs w:val="20"/>
          <w:vertAlign w:val="superscript"/>
        </w:rPr>
        <w:fldChar w:fldCharType="end"/>
      </w:r>
      <w:r w:rsidR="00363319" w:rsidRPr="00842F43">
        <w:rPr>
          <w:rFonts w:ascii="Fira Sans" w:hAnsi="Fira Sans"/>
          <w:sz w:val="20"/>
          <w:szCs w:val="20"/>
        </w:rPr>
        <w:t xml:space="preserve"> </w:t>
      </w:r>
      <w:r w:rsidR="001950F0" w:rsidRPr="00842F43">
        <w:rPr>
          <w:rFonts w:ascii="Fira Sans" w:hAnsi="Fira Sans"/>
          <w:sz w:val="20"/>
          <w:szCs w:val="20"/>
        </w:rPr>
        <w:t>and</w:t>
      </w:r>
      <w:r w:rsidR="00F91B9F" w:rsidRPr="00842F43">
        <w:rPr>
          <w:rFonts w:ascii="Fira Sans" w:hAnsi="Fira Sans"/>
          <w:sz w:val="20"/>
          <w:szCs w:val="20"/>
        </w:rPr>
        <w:t xml:space="preserve"> </w:t>
      </w:r>
      <w:r w:rsidR="00800A9F" w:rsidRPr="00842F43">
        <w:rPr>
          <w:rFonts w:ascii="Fira Sans" w:hAnsi="Fira Sans"/>
          <w:sz w:val="20"/>
          <w:szCs w:val="20"/>
        </w:rPr>
        <w:t>28-30%</w:t>
      </w:r>
      <w:r w:rsidR="001950F0" w:rsidRPr="00842F43">
        <w:rPr>
          <w:rFonts w:ascii="Fira Sans" w:hAnsi="Fira Sans"/>
          <w:sz w:val="20"/>
          <w:szCs w:val="20"/>
        </w:rPr>
        <w:t>, respectively</w:t>
      </w:r>
      <w:r w:rsidR="00577B9A" w:rsidRPr="00842F43">
        <w:rPr>
          <w:rFonts w:ascii="Fira Sans" w:hAnsi="Fira Sans"/>
          <w:sz w:val="20"/>
          <w:szCs w:val="20"/>
        </w:rPr>
        <w:t>.</w:t>
      </w:r>
      <w:r w:rsidR="00800A9F" w:rsidRPr="00842F43">
        <w:rPr>
          <w:rFonts w:ascii="Fira Sans" w:hAnsi="Fira Sans"/>
          <w:sz w:val="20"/>
          <w:szCs w:val="20"/>
          <w:vertAlign w:val="superscript"/>
        </w:rPr>
        <w:fldChar w:fldCharType="begin" w:fldLock="1"/>
      </w:r>
      <w:r w:rsidR="00577B9A" w:rsidRPr="00842F43">
        <w:rPr>
          <w:rFonts w:ascii="Fira Sans" w:hAnsi="Fira Sans"/>
          <w:sz w:val="20"/>
          <w:szCs w:val="20"/>
          <w:vertAlign w:val="superscript"/>
        </w:rPr>
        <w:instrText>ADDIN CSL_CITATION {"citationItems":[{"id":"ITEM-1","itemData":{"DOI":"10.1016/j.genhosppsych.2008.05.006","author":[{"dropping-particle":"","family":"Davydow","given":"D S","non-dropping-particle":"","parse-names":false,"suffix":""},{"dropping-particle":"","family":"Gifford","given":"J M","non-dropping-particle":"","parse-names":false,"suffix":""},{"dropping-particle":"V","family":"Desai","given":"S","non-dropping-particle":"","parse-names":false,"suffix":""}],"container-title":"Gen Hosp Psychiatry","id":"ITEM-1","issued":{"date-parts":[["2008"]]},"title":"Posttraumatic stress disorder in general intensive care unit survivors: a systematic review","type":"article-journal","volume":"30"},"uris":["http://www.mendeley.com/documents/?uuid=b086d85b-e897-4ff7-8a38-25ecb7b2d5d7"]}],"mendeley":{"formattedCitation":"(5)","plainTextFormattedCitation":"(5)","previouslyFormattedCitation":"(5)"},"properties":{"noteIndex":0},"schema":"https://github.com/citation-style-language/schema/raw/master/csl-citation.json"}</w:instrText>
      </w:r>
      <w:r w:rsidR="00800A9F" w:rsidRPr="00842F43">
        <w:rPr>
          <w:rFonts w:ascii="Fira Sans" w:hAnsi="Fira Sans"/>
          <w:sz w:val="20"/>
          <w:szCs w:val="20"/>
          <w:vertAlign w:val="superscript"/>
        </w:rPr>
        <w:fldChar w:fldCharType="separate"/>
      </w:r>
      <w:r w:rsidR="00577B9A" w:rsidRPr="00842F43">
        <w:rPr>
          <w:rFonts w:ascii="Fira Sans" w:hAnsi="Fira Sans"/>
          <w:noProof/>
          <w:sz w:val="20"/>
          <w:szCs w:val="20"/>
          <w:vertAlign w:val="superscript"/>
        </w:rPr>
        <w:t>(5)</w:t>
      </w:r>
      <w:r w:rsidR="00800A9F" w:rsidRPr="00842F43">
        <w:rPr>
          <w:rFonts w:ascii="Fira Sans" w:hAnsi="Fira Sans"/>
          <w:sz w:val="20"/>
          <w:szCs w:val="20"/>
          <w:vertAlign w:val="superscript"/>
        </w:rPr>
        <w:fldChar w:fldCharType="end"/>
      </w:r>
      <w:r w:rsidR="00800A9F" w:rsidRPr="00842F43">
        <w:rPr>
          <w:rFonts w:ascii="Fira Sans" w:hAnsi="Fira Sans"/>
          <w:sz w:val="20"/>
          <w:szCs w:val="20"/>
        </w:rPr>
        <w:t xml:space="preserve"> </w:t>
      </w:r>
      <w:r w:rsidR="001950F0" w:rsidRPr="00842F43">
        <w:rPr>
          <w:rFonts w:ascii="Fira Sans" w:hAnsi="Fira Sans"/>
          <w:sz w:val="20"/>
          <w:szCs w:val="20"/>
        </w:rPr>
        <w:t xml:space="preserve">These </w:t>
      </w:r>
      <w:r w:rsidR="00800A9F" w:rsidRPr="00842F43">
        <w:rPr>
          <w:rFonts w:ascii="Fira Sans" w:hAnsi="Fira Sans"/>
          <w:sz w:val="20"/>
          <w:szCs w:val="20"/>
        </w:rPr>
        <w:t>symptoms frequently co-exist</w:t>
      </w:r>
      <w:r w:rsidR="00800A9F" w:rsidRPr="00842F43">
        <w:rPr>
          <w:rFonts w:ascii="Fira Sans" w:hAnsi="Fira Sans"/>
          <w:sz w:val="20"/>
          <w:szCs w:val="20"/>
          <w:vertAlign w:val="superscript"/>
        </w:rPr>
        <w:fldChar w:fldCharType="begin" w:fldLock="1"/>
      </w:r>
      <w:r w:rsidR="00577B9A" w:rsidRPr="00842F43">
        <w:rPr>
          <w:rFonts w:ascii="Fira Sans" w:hAnsi="Fira Sans"/>
          <w:sz w:val="20"/>
          <w:szCs w:val="20"/>
          <w:vertAlign w:val="superscript"/>
        </w:rPr>
        <w:instrText>ADDIN CSL_CITATION {"citationItems":[{"id":"ITEM-1","itemData":{"DOI":"10.1186/s13054-018-2223-6","abstract":"Background: Survivors of intensive care are known to be at increased risk of developing longer-term psychopathology issues. We present a large UK multicentre study assessing the anxiety, depression and post-traumatic stress disorder (PTSD) caseness in the first year following discharge from an intensive care unit (ICU). Methods: Design: prospective multicentre follow-up study of survivors of ICU in the UK. Setting: patients from 26 ICUs in the UK. Inclusion criteria: patients who had received at least 24 h of level 3 ICU care and were 16 years of age or older. Interventions: postal follow up: Hospital Anxiety and Depression Score (HADS) and the Post-Traumatic Stress Disorder (PTSD) Check List-Civilian (PCL-C) at 3 and 12 months following discharge from ICU. Main outcome measure: caseness of anxiety, depression and PTSD, 2-year survival.","author":[{"dropping-particle":"","family":"Hatch","given":"Robert","non-dropping-particle":"","parse-names":false,"suffix":""},{"dropping-particle":"","family":"Young","given":"Duncan","non-dropping-particle":"","parse-names":false,"suffix":""},{"dropping-particle":"","family":"Barber","given":"Vicki","non-dropping-particle":"","parse-names":false,"suffix":""},{"dropping-particle":"","family":"Griffiths","given":"John","non-dropping-particle":"","parse-names":false,"suffix":""},{"dropping-particle":"","family":"Harrison","given":"David A","non-dropping-particle":"","parse-names":false,"suffix":""},{"dropping-particle":"","family":"Watkinson","given":"Peter","non-dropping-particle":"","parse-names":false,"suffix":""}],"id":"ITEM-1","issued":{"date-parts":[["0"]]},"title":"Anxiety, Depression and Post Traumatic Stress Disorder after critical illness: a UK-wide prospective cohort study","type":"article-journal"},"uris":["http://www.mendeley.com/documents/?uuid=30472d1b-c2bf-3e08-b700-5454fcb51968"]}],"mendeley":{"formattedCitation":"(6)","plainTextFormattedCitation":"(6)","previouslyFormattedCitation":"(6)"},"properties":{"noteIndex":0},"schema":"https://github.com/citation-style-language/schema/raw/master/csl-citation.json"}</w:instrText>
      </w:r>
      <w:r w:rsidR="00800A9F" w:rsidRPr="00842F43">
        <w:rPr>
          <w:rFonts w:ascii="Fira Sans" w:hAnsi="Fira Sans"/>
          <w:sz w:val="20"/>
          <w:szCs w:val="20"/>
          <w:vertAlign w:val="superscript"/>
        </w:rPr>
        <w:fldChar w:fldCharType="separate"/>
      </w:r>
      <w:r w:rsidR="00577B9A" w:rsidRPr="00842F43">
        <w:rPr>
          <w:rFonts w:ascii="Fira Sans" w:hAnsi="Fira Sans"/>
          <w:noProof/>
          <w:sz w:val="20"/>
          <w:szCs w:val="20"/>
          <w:vertAlign w:val="superscript"/>
        </w:rPr>
        <w:t>(6)</w:t>
      </w:r>
      <w:r w:rsidR="00800A9F" w:rsidRPr="00842F43">
        <w:rPr>
          <w:rFonts w:ascii="Fira Sans" w:hAnsi="Fira Sans"/>
          <w:sz w:val="20"/>
          <w:szCs w:val="20"/>
          <w:vertAlign w:val="superscript"/>
        </w:rPr>
        <w:fldChar w:fldCharType="end"/>
      </w:r>
      <w:r w:rsidR="00800A9F" w:rsidRPr="00842F43">
        <w:rPr>
          <w:rFonts w:ascii="Fira Sans" w:hAnsi="Fira Sans"/>
          <w:sz w:val="20"/>
          <w:szCs w:val="20"/>
        </w:rPr>
        <w:t xml:space="preserve"> and are associated </w:t>
      </w:r>
      <w:r w:rsidR="00A530EF" w:rsidRPr="00842F43">
        <w:rPr>
          <w:rFonts w:ascii="Fira Sans" w:hAnsi="Fira Sans"/>
          <w:sz w:val="20"/>
          <w:szCs w:val="20"/>
        </w:rPr>
        <w:t>with reduced quality of life</w:t>
      </w:r>
      <w:r w:rsidR="00577B9A" w:rsidRPr="00842F43">
        <w:rPr>
          <w:rFonts w:ascii="Fira Sans" w:hAnsi="Fira Sans"/>
          <w:sz w:val="20"/>
          <w:szCs w:val="20"/>
        </w:rPr>
        <w:t>,</w:t>
      </w:r>
      <w:r w:rsidR="00A530EF" w:rsidRPr="00842F43">
        <w:rPr>
          <w:rFonts w:ascii="Fira Sans" w:hAnsi="Fira Sans"/>
          <w:sz w:val="20"/>
          <w:szCs w:val="20"/>
          <w:vertAlign w:val="superscript"/>
        </w:rPr>
        <w:fldChar w:fldCharType="begin" w:fldLock="1"/>
      </w:r>
      <w:r w:rsidR="00577B9A" w:rsidRPr="00842F43">
        <w:rPr>
          <w:rFonts w:ascii="Fira Sans" w:hAnsi="Fira Sans"/>
          <w:sz w:val="20"/>
          <w:szCs w:val="20"/>
          <w:vertAlign w:val="superscript"/>
        </w:rPr>
        <w:instrText>ADDIN CSL_CITATION {"citationItems":[{"id":"ITEM-1","itemData":{"DOI":"10.1016/j.genhosppsych.2008.05.006","author":[{"dropping-particle":"","family":"Davydow","given":"D S","non-dropping-particle":"","parse-names":false,"suffix":""},{"dropping-particle":"","family":"Gifford","given":"J M","non-dropping-particle":"","parse-names":false,"suffix":""},{"dropping-particle":"V","family":"Desai","given":"S","non-dropping-particle":"","parse-names":false,"suffix":""}],"container-title":"Gen Hosp Psychiatry","id":"ITEM-1","issued":{"date-parts":[["2008"]]},"title":"Posttraumatic stress disorder in general intensive care unit survivors: a systematic review","type":"article-journal","volume":"30"},"uris":["http://www.mendeley.com/documents/?uuid=b086d85b-e897-4ff7-8a38-25ecb7b2d5d7"]},{"id":"ITEM-2","itemData":{"DOI":"10.1016/j.genhosppsych.2016.08.005","ISSN":"01638343","author":[{"dropping-particle":"","family":"Nikayin","given":"Sina","non-dropping-particle":"","parse-names":false,"suffix":""},{"dropping-particle":"","family":"Rabiee","given":"Anahita","non-dropping-particle":"","parse-names":false,"suffix":""},{"dropping-particle":"","family":"Hashem","given":"Mohamed D","non-dropping-particle":"","parse-names":false,"suffix":""},{"dropping-particle":"","family":"Huang","given":"Minxuan","non-dropping-particle":"","parse-names":false,"suffix":""},{"dropping-particle":"","family":"Bienvenu","given":"O. Joseph","non-dropping-particle":"","parse-names":false,"suffix":""},{"dropping-particle":"","family":"Turnbull","given":"Alison E.","non-dropping-particle":"","parse-names":false,"suffix":""},{"dropping-particle":"","family":"Needham","given":"Dale M.","non-dropping-particle":"","parse-names":false,"suffix":""}],"container-title":"General Hospital Psychiatry","id":"ITEM-2","issued":{"date-parts":[["2016","11"]]},"page":"23-29","title":"Anxiety symptoms in survivors of critical illness: a systematic review and meta-analysis","type":"article-journal","volume":"43"},"uris":["http://www.mendeley.com/documents/?uuid=5e10c868-a75f-4596-8482-5065bede1145"]},{"id":"ITEM-3","itemData":{"DOI":"10.1007/s00134-009-1396-5","ISSN":"0342-4642","abstract":"To critically review data on the prevalence of depressive symptoms in general intensive care unit (ICU) survivors, risk factors for these symptoms, and their impact on health-related quality of life (HRQOL). We conducted a systematic review using Medline, EMBASE, Cochrane Library, CINAHL, PsycINFO, and a hand-search of 13 journals. Fourteen studies were eligible. The median point prevalence of “clinically significant” depressive symptoms was 28% (total n = 1,213). Neither sex nor age were consistent risk factors for post-ICU depression, and severity of illness at ICU admission was consistently not a risk factor. Early post-ICU depressive symptoms were a strong risk factor for subsequent depressive symptoms. Post-ICU depressive symptoms were associated with substantially lower HRQOL. Depressive symptoms are common in general ICU survivors and negatively impact HRQOL. Future studies should address how factors related to individual patients, critical illness and post-ICU recovery are associated with depression in ICU survivors.","author":[{"dropping-particle":"","family":"Davydow","given":"Dimitry S.","non-dropping-particle":"","parse-names":false,"suffix":""},{"dropping-particle":"","family":"Gifford","given":"Jeneen M.","non-dropping-particle":"","parse-names":false,"suffix":""},{"dropping-particle":"V.","family":"Desai","given":"Sanjay","non-dropping-particle":"","parse-names":false,"suffix":""},{"dropping-particle":"","family":"Bienvenu","given":"O. Joseph","non-dropping-particle":"","parse-names":false,"suffix":""},{"dropping-particle":"","family":"Needham","given":"Dale M.","non-dropping-particle":"","parse-names":false,"suffix":""}],"container-title":"Intensive Care Medicine","id":"ITEM-3","issue":"5","issued":{"date-parts":[["2009","5","23"]]},"page":"796-809","publisher":"Springer","title":"Depression in general intensive care unit survivors: a systematic review","type":"article-journal","volume":"35"},"uris":["http://www.mendeley.com/documents/?uuid=7ed3b7c0-f115-3134-b010-ef848d4ce0ed"]}],"mendeley":{"formattedCitation":"(4,5,7)","plainTextFormattedCitation":"(4,5,7)","previouslyFormattedCitation":"(4,5,7)"},"properties":{"noteIndex":0},"schema":"https://github.com/citation-style-language/schema/raw/master/csl-citation.json"}</w:instrText>
      </w:r>
      <w:r w:rsidR="00A530EF" w:rsidRPr="00842F43">
        <w:rPr>
          <w:rFonts w:ascii="Fira Sans" w:hAnsi="Fira Sans"/>
          <w:sz w:val="20"/>
          <w:szCs w:val="20"/>
          <w:vertAlign w:val="superscript"/>
        </w:rPr>
        <w:fldChar w:fldCharType="separate"/>
      </w:r>
      <w:r w:rsidR="00577B9A" w:rsidRPr="00842F43">
        <w:rPr>
          <w:rFonts w:ascii="Fira Sans" w:hAnsi="Fira Sans"/>
          <w:noProof/>
          <w:sz w:val="20"/>
          <w:szCs w:val="20"/>
          <w:vertAlign w:val="superscript"/>
        </w:rPr>
        <w:t>(4,5,7)</w:t>
      </w:r>
      <w:r w:rsidR="00A530EF" w:rsidRPr="00842F43">
        <w:rPr>
          <w:rFonts w:ascii="Fira Sans" w:hAnsi="Fira Sans"/>
          <w:sz w:val="20"/>
          <w:szCs w:val="20"/>
          <w:vertAlign w:val="superscript"/>
        </w:rPr>
        <w:fldChar w:fldCharType="end"/>
      </w:r>
      <w:r w:rsidR="00A530EF" w:rsidRPr="00842F43">
        <w:rPr>
          <w:rFonts w:ascii="Fira Sans" w:hAnsi="Fira Sans"/>
          <w:sz w:val="20"/>
          <w:szCs w:val="20"/>
        </w:rPr>
        <w:t xml:space="preserve"> increased healthcare </w:t>
      </w:r>
      <w:r w:rsidR="001950F0" w:rsidRPr="00842F43">
        <w:rPr>
          <w:rFonts w:ascii="Fira Sans" w:hAnsi="Fira Sans"/>
          <w:sz w:val="20"/>
          <w:szCs w:val="20"/>
        </w:rPr>
        <w:t>use</w:t>
      </w:r>
      <w:r w:rsidR="00577B9A" w:rsidRPr="00842F43">
        <w:rPr>
          <w:rFonts w:ascii="Fira Sans" w:hAnsi="Fira Sans"/>
          <w:sz w:val="20"/>
          <w:szCs w:val="20"/>
        </w:rPr>
        <w:t>,</w:t>
      </w:r>
      <w:r w:rsidR="00766C89" w:rsidRPr="00842F43">
        <w:rPr>
          <w:rFonts w:ascii="Fira Sans" w:hAnsi="Fira Sans"/>
          <w:sz w:val="20"/>
          <w:szCs w:val="20"/>
          <w:vertAlign w:val="superscript"/>
        </w:rPr>
        <w:fldChar w:fldCharType="begin" w:fldLock="1"/>
      </w:r>
      <w:r w:rsidR="002901B0" w:rsidRPr="00842F43">
        <w:rPr>
          <w:rFonts w:ascii="Fira Sans" w:hAnsi="Fira Sans"/>
          <w:sz w:val="20"/>
          <w:szCs w:val="20"/>
          <w:vertAlign w:val="superscript"/>
        </w:rPr>
        <w:instrText>ADDIN CSL_CITATION {"citationItems":[{"id":"ITEM-1","itemData":{"DOI":"10.1097/CCM.0000000000000527","ISSN":"1530-0293","PMID":"25083985","abstract":"OBJECTIVE To determine if the presence of in-hospital substantial acute stress symptoms, as well as substantial depressive or posttraumatic stress disorder symptoms at 3 months post-ICU, are associated with increased acute care service utilization over the course of the year following medical-surgical ICU admission. DESIGN Longitudinal cohort study. SETTING Academic medical center. PATIENTS One hundred fifty patients who are 18 years old or older admitted to medical-surgical ICUs for over 24 hours. INTERVENTIONS None. MEASUREMENTS AND MAIN RESULTS Participants were interviewed in-hospital to ascertain substantial acute stress symptoms using the Posttraumatic Stress Disorder Checklist-Civilian version. Substantial depressive and posttraumatic stress disorder symptoms were assessed using the Patient Health Questionnaire-9 and the Posttraumatic Stress Disorder Checklist-Civilian version, respectively, at 3 months post-ICU. The number of rehospitalizations and emergency department visits were ascertained at 3 and 12 months post-ICU using the Cornell Services Index. After adjusting for participant and clinical characteristics, in-hospital substantial acute stress symptoms were independently associated with greater risk of an additional hospitalization (relative risk, 3.00; 95% CI, 1.80-4.99) over the year post-ICU. Substantial posttraumatic stress disorder symptoms at 3 months post-ICU were independently associated with greater risk of an additional emergency department visit during the subsequent 9 months (relative risk, 2.29; 95% CI, 1.09-4.84) even after adjusting for both rehospitalizations and emergency department visits between the index hospitalization and 3 months post-ICU. CONCLUSIONS Post-ICU psychiatric morbidity is associated with increased acute care service utilization during the year after a medical-surgical ICU admission. Early interventions for at-risk ICU survivors may improve long-term outcomes and reduce subsequent acute care utilization.","author":[{"dropping-particle":"","family":"Davydow","given":"Dimitry S","non-dropping-particle":"","parse-names":false,"suffix":""},{"dropping-particle":"","family":"Hough","given":"Catherine L","non-dropping-particle":"","parse-names":false,"suffix":""},{"dropping-particle":"","family":"Zatzick","given":"Douglas","non-dropping-particle":"","parse-names":false,"suffix":""},{"dropping-particle":"","family":"Katon","given":"Wayne J","non-dropping-particle":"","parse-names":false,"suffix":""}],"container-title":"Critical care medicine","id":"ITEM-1","issue":"12","issued":{"date-parts":[["2014","12"]]},"page":"2473-81","publisher":"NIH Public Access","title":"Psychiatric symptoms and acute care service utilization over the course of the year following medical-surgical ICU admission: a longitudinal investigation*.","type":"article-journal","volume":"42"},"uris":["http://www.mendeley.com/documents/?uuid=ad7e04d6-e63c-3ec7-b114-380460e4d509"]}],"mendeley":{"formattedCitation":"(8)","plainTextFormattedCitation":"(8)","previouslyFormattedCitation":"(8)"},"properties":{"noteIndex":0},"schema":"https://github.com/citation-style-language/schema/raw/master/csl-citation.json"}</w:instrText>
      </w:r>
      <w:r w:rsidR="00766C89" w:rsidRPr="00842F43">
        <w:rPr>
          <w:rFonts w:ascii="Fira Sans" w:hAnsi="Fira Sans"/>
          <w:sz w:val="20"/>
          <w:szCs w:val="20"/>
          <w:vertAlign w:val="superscript"/>
        </w:rPr>
        <w:fldChar w:fldCharType="separate"/>
      </w:r>
      <w:r w:rsidR="002901B0" w:rsidRPr="00842F43">
        <w:rPr>
          <w:rFonts w:ascii="Fira Sans" w:hAnsi="Fira Sans"/>
          <w:noProof/>
          <w:sz w:val="20"/>
          <w:szCs w:val="20"/>
          <w:vertAlign w:val="superscript"/>
        </w:rPr>
        <w:t>(8)</w:t>
      </w:r>
      <w:r w:rsidR="00766C89" w:rsidRPr="00842F43">
        <w:rPr>
          <w:rFonts w:ascii="Fira Sans" w:hAnsi="Fira Sans"/>
          <w:sz w:val="20"/>
          <w:szCs w:val="20"/>
          <w:vertAlign w:val="superscript"/>
        </w:rPr>
        <w:fldChar w:fldCharType="end"/>
      </w:r>
      <w:r w:rsidR="00A530EF" w:rsidRPr="00842F43">
        <w:rPr>
          <w:rFonts w:ascii="Fira Sans" w:hAnsi="Fira Sans"/>
          <w:sz w:val="20"/>
          <w:szCs w:val="20"/>
        </w:rPr>
        <w:t xml:space="preserve"> delayed </w:t>
      </w:r>
      <w:r w:rsidR="00F34385" w:rsidRPr="00842F43">
        <w:rPr>
          <w:rFonts w:ascii="Fira Sans" w:hAnsi="Fira Sans"/>
          <w:sz w:val="20"/>
          <w:szCs w:val="20"/>
        </w:rPr>
        <w:t xml:space="preserve">or no </w:t>
      </w:r>
      <w:r w:rsidR="00A530EF" w:rsidRPr="00842F43">
        <w:rPr>
          <w:rFonts w:ascii="Fira Sans" w:hAnsi="Fira Sans"/>
          <w:sz w:val="20"/>
          <w:szCs w:val="20"/>
        </w:rPr>
        <w:t>return to work</w:t>
      </w:r>
      <w:r w:rsidR="00766C89" w:rsidRPr="00842F43">
        <w:rPr>
          <w:rFonts w:ascii="Fira Sans" w:hAnsi="Fira Sans"/>
          <w:sz w:val="20"/>
          <w:szCs w:val="20"/>
          <w:vertAlign w:val="superscript"/>
        </w:rPr>
        <w:fldChar w:fldCharType="begin" w:fldLock="1"/>
      </w:r>
      <w:r w:rsidR="002901B0" w:rsidRPr="00842F43">
        <w:rPr>
          <w:rFonts w:ascii="Fira Sans" w:hAnsi="Fira Sans"/>
          <w:sz w:val="20"/>
          <w:szCs w:val="20"/>
          <w:vertAlign w:val="superscript"/>
        </w:rPr>
        <w:instrText>ADDIN CSL_CITATION {"citationItems":[{"id":"ITEM-1","itemData":{"DOI":"10.1513/AnnalsATS.201903-248OC","ISSN":"2325-6621","PMID":"31184500","abstract":"Background: Patients who survive critical illness have well-defined physical, cognitive, emotional, and familial problems. However, the impact of these problems on survivors' ability to return to work and other financial outcomes is less clear.Objectives: To determine the financial and employment consequences of an intensive care stay, we performed a systematic review and meta-analysis.Data Sources: We searched the MEDLINE, Embase, and CINAHL databases (1970-2018). All publication types except narrative reviews, case reports, case-control studies, and editorials were included. Included studies assessed financial outcomes in patients admitted to critical care and their caregivers.Data Extraction: Two reviewers independently applied eligibility criteria, assessed quality, and extracted data. The primary outcome reported was return to employment among those previously employed. We also examined financial stress and the impact financial outcomes had on quality of life and psychosocial health.Data Synthesis: Of 5,765 eligible abstracts, 51 studies were included, which provided data on 858 caregivers/family members and 7,267 patients. Forty-two papers reported patient outcomes, and 11 papers described caregivers/family members. Two papers included data from both patients and caregivers/family members. Return to employment was the most commonly reported financial outcome for critical care survivors. The pooled estimates for return to employment among those who were employed before critical illness were 33% (95% confidence interval [CI], 21-48%), 55% (95% CI, 45-64%), and 56% (95% CI, 45-66%) at 3, 6, and 12 months, respectively. Across the studies included in this review, there was a positive association with psychosocial health if patients returned to employment. This included improved health-related quality of life and fewer depressive symptoms. Regarding caregivers/family members, six studies reported changes in employment such as reduced hours and lost earnings.Conclusions: After critical illness, many patients who were previously employed do not return to work, even one year later. This new job loss is associated with worse health-related quality of life among survivors and worse psychological function among survivors and caregivers/family members. More interventional research is required to understand how best to support employability after critical illness.Registered with PROSPERO (CRD42018102360).","author":[{"dropping-particle":"","family":"McPeake","given":"Joanne","non-dropping-particle":"","parse-names":false,"suffix":""},{"dropping-particle":"","family":"Mikkelsen","given":"Mark E","non-dropping-particle":"","parse-names":false,"suffix":""},{"dropping-particle":"","family":"Quasim","given":"Tara","non-dropping-particle":"","parse-names":false,"suffix":""},{"dropping-particle":"","family":"Hibbert","given":"Elizabeth","non-dropping-particle":"","parse-names":false,"suffix":""},{"dropping-particle":"","family":"Cannon","given":"Paul","non-dropping-particle":"","parse-names":false,"suffix":""},{"dropping-particle":"","family":"Shaw","given":"Martin","non-dropping-particle":"","parse-names":false,"suffix":""},{"dropping-particle":"","family":"Ankori","given":"Jane","non-dropping-particle":"","parse-names":false,"suffix":""},{"dropping-particle":"","family":"Iwashyna","given":"Theodore J","non-dropping-particle":"","parse-names":false,"suffix":""},{"dropping-particle":"","family":"Haines","given":"Kimberley J","non-dropping-particle":"","parse-names":false,"suffix":""}],"container-title":"Annals of the American Thoracic Society","id":"ITEM-1","issue":"10","issued":{"date-parts":[["2019"]]},"page":"1304-1311","publisher":"Ann Am Thorac Soc","title":"Return to Employment after Critical Illness and Its Association with Psychosocial Outcomes. A Systematic Review and Meta-Analysis.","type":"article-journal","volume":"16"},"uris":["http://www.mendeley.com/documents/?uuid=d38e9243-a878-312d-8243-cfb919e74126"]}],"mendeley":{"formattedCitation":"(9)","plainTextFormattedCitation":"(9)","previouslyFormattedCitation":"(9)"},"properties":{"noteIndex":0},"schema":"https://github.com/citation-style-language/schema/raw/master/csl-citation.json"}</w:instrText>
      </w:r>
      <w:r w:rsidR="00766C89" w:rsidRPr="00842F43">
        <w:rPr>
          <w:rFonts w:ascii="Fira Sans" w:hAnsi="Fira Sans"/>
          <w:sz w:val="20"/>
          <w:szCs w:val="20"/>
          <w:vertAlign w:val="superscript"/>
        </w:rPr>
        <w:fldChar w:fldCharType="separate"/>
      </w:r>
      <w:r w:rsidR="002901B0" w:rsidRPr="00842F43">
        <w:rPr>
          <w:rFonts w:ascii="Fira Sans" w:hAnsi="Fira Sans"/>
          <w:noProof/>
          <w:sz w:val="20"/>
          <w:szCs w:val="20"/>
          <w:vertAlign w:val="superscript"/>
        </w:rPr>
        <w:t>(9)</w:t>
      </w:r>
      <w:r w:rsidR="00766C89" w:rsidRPr="00842F43">
        <w:rPr>
          <w:rFonts w:ascii="Fira Sans" w:hAnsi="Fira Sans"/>
          <w:sz w:val="20"/>
          <w:szCs w:val="20"/>
          <w:vertAlign w:val="superscript"/>
        </w:rPr>
        <w:fldChar w:fldCharType="end"/>
      </w:r>
      <w:r w:rsidR="00A530EF" w:rsidRPr="00842F43">
        <w:rPr>
          <w:rFonts w:ascii="Fira Sans" w:hAnsi="Fira Sans"/>
          <w:sz w:val="20"/>
          <w:szCs w:val="20"/>
        </w:rPr>
        <w:t xml:space="preserve"> and unhealthy </w:t>
      </w:r>
      <w:r w:rsidR="00F34385" w:rsidRPr="00842F43">
        <w:rPr>
          <w:rFonts w:ascii="Fira Sans" w:hAnsi="Fira Sans"/>
          <w:sz w:val="20"/>
          <w:szCs w:val="20"/>
        </w:rPr>
        <w:t>coping behaviours</w:t>
      </w:r>
      <w:r w:rsidR="00577B9A" w:rsidRPr="00842F43">
        <w:rPr>
          <w:rFonts w:ascii="Fira Sans" w:hAnsi="Fira Sans"/>
          <w:sz w:val="20"/>
          <w:szCs w:val="20"/>
        </w:rPr>
        <w:t>.</w:t>
      </w:r>
      <w:r w:rsidR="00766C89" w:rsidRPr="00842F43">
        <w:rPr>
          <w:rFonts w:ascii="Fira Sans" w:hAnsi="Fira Sans"/>
          <w:sz w:val="20"/>
          <w:szCs w:val="20"/>
          <w:vertAlign w:val="superscript"/>
        </w:rPr>
        <w:fldChar w:fldCharType="begin" w:fldLock="1"/>
      </w:r>
      <w:r w:rsidR="002901B0" w:rsidRPr="00842F43">
        <w:rPr>
          <w:rFonts w:ascii="Fira Sans" w:hAnsi="Fira Sans"/>
          <w:sz w:val="20"/>
          <w:szCs w:val="20"/>
          <w:vertAlign w:val="superscript"/>
        </w:rPr>
        <w:instrText>ADDIN CSL_CITATION {"citationItems":[{"id":"ITEM-1","itemData":{"DOI":"10.1016/j.psym.2013.01.003","abstract":"Background-There have been no studies describing post-intensive care unit (ICU) alcohol use among medical-surgical ICU survivors.","author":[{"dropping-particle":"","family":"Davydow","given":"Dimitry S","non-dropping-particle":"","parse-names":false,"suffix":""},{"dropping-particle":"","family":"Zatzick","given":"Douglas","non-dropping-particle":"","parse-names":false,"suffix":""},{"dropping-particle":"","family":"Hough","given":"Catherine L","non-dropping-particle":"","parse-names":false,"suffix":""},{"dropping-particle":"","family":"Katon","given":"Wayne J","non-dropping-particle":"","parse-names":false,"suffix":""}],"id":"ITEM-1","issued":{"date-parts":[["2012"]]},"title":"A Longitudinal Investigation of Alcohol Use over the Course of the Year Following Medical-Surgical Intensive Care Unit Admission","type":"article-journal"},"uris":["http://www.mendeley.com/documents/?uuid=13102b70-44bf-3abe-b8fe-606bac620009"]}],"mendeley":{"formattedCitation":"(10)","plainTextFormattedCitation":"(10)","previouslyFormattedCitation":"(10)"},"properties":{"noteIndex":0},"schema":"https://github.com/citation-style-language/schema/raw/master/csl-citation.json"}</w:instrText>
      </w:r>
      <w:r w:rsidR="00766C89" w:rsidRPr="00842F43">
        <w:rPr>
          <w:rFonts w:ascii="Fira Sans" w:hAnsi="Fira Sans"/>
          <w:sz w:val="20"/>
          <w:szCs w:val="20"/>
          <w:vertAlign w:val="superscript"/>
        </w:rPr>
        <w:fldChar w:fldCharType="separate"/>
      </w:r>
      <w:r w:rsidR="002901B0" w:rsidRPr="00842F43">
        <w:rPr>
          <w:rFonts w:ascii="Fira Sans" w:hAnsi="Fira Sans"/>
          <w:noProof/>
          <w:sz w:val="20"/>
          <w:szCs w:val="20"/>
          <w:vertAlign w:val="superscript"/>
        </w:rPr>
        <w:t>(10)</w:t>
      </w:r>
      <w:r w:rsidR="00766C89" w:rsidRPr="00842F43">
        <w:rPr>
          <w:rFonts w:ascii="Fira Sans" w:hAnsi="Fira Sans"/>
          <w:sz w:val="20"/>
          <w:szCs w:val="20"/>
          <w:vertAlign w:val="superscript"/>
        </w:rPr>
        <w:fldChar w:fldCharType="end"/>
      </w:r>
      <w:r w:rsidR="00577B9A" w:rsidRPr="00842F43">
        <w:rPr>
          <w:rFonts w:ascii="Fira Sans" w:hAnsi="Fira Sans"/>
          <w:sz w:val="20"/>
          <w:szCs w:val="20"/>
        </w:rPr>
        <w:t xml:space="preserve"> </w:t>
      </w:r>
      <w:r w:rsidR="00E216D7" w:rsidRPr="00842F43">
        <w:rPr>
          <w:rFonts w:ascii="Fira Sans" w:hAnsi="Fira Sans"/>
          <w:sz w:val="20"/>
          <w:szCs w:val="20"/>
        </w:rPr>
        <w:t>The survivorship phase is frequently overlooked by healthcare providers, and psychological services are widely lacking</w:t>
      </w:r>
      <w:r w:rsidR="00577B9A" w:rsidRPr="00842F43">
        <w:rPr>
          <w:rFonts w:ascii="Fira Sans" w:hAnsi="Fira Sans"/>
          <w:sz w:val="20"/>
          <w:szCs w:val="20"/>
        </w:rPr>
        <w:t>.</w:t>
      </w:r>
      <w:r w:rsidR="00E216D7" w:rsidRPr="00842F43">
        <w:rPr>
          <w:rFonts w:ascii="Fira Sans" w:hAnsi="Fira Sans"/>
          <w:sz w:val="20"/>
          <w:szCs w:val="20"/>
          <w:vertAlign w:val="superscript"/>
        </w:rPr>
        <w:fldChar w:fldCharType="begin" w:fldLock="1"/>
      </w:r>
      <w:r w:rsidR="002901B0" w:rsidRPr="00842F43">
        <w:rPr>
          <w:rFonts w:ascii="Fira Sans" w:hAnsi="Fira Sans"/>
          <w:sz w:val="20"/>
          <w:szCs w:val="20"/>
          <w:vertAlign w:val="superscript"/>
        </w:rPr>
        <w:instrText>ADDIN CSL_CITATION {"citationItems":[{"id":"ITEM-1","itemData":{"DOI":"10.1136/BMJOPEN-2021-052214","ISBN":"2021052214","ISSN":"2044-6055","PMID":"34607869","abstract":"Objective To comprehensively update and survey the current provision of recovery, rehabilitation and follow-up services for adult critical care patients across the UK.\n\nDesign Cross-sectional, self-administered, predominantly closed-question, electronic, online survey.\n\nSetting Institutions providing adult critical care services identified from national databases.\n\nParticipants Multiprofessional critical care clinicians delivering services at each site.\n\nResults Responses from 176 UK hospital sites were included (176/242, 72.7%). Inpatient recovery and follow-up services were present at 127/176 (72.2%) sites, adopting multiple formats of delivery and primarily delivered by nurses (n=115/127, 90.6%). Outpatient services ran at 130 sites (73.9%), predominantly as outpatient clinics. Most services (n=108/130, 83.1%) were co-delivered by two or more healthcare professionals, typically nurse/intensive care unit (ICU) physician (n=29/130, 22.3%) or nurse/ICU physician/physiotherapist (n=19/130, 14.6%) teams. Clinical psychology was most frequently lacking from inpatient or outpatient services. Lack of funding was consistently the primary barrier to service provision, with other barriers including logistical and service prioritisation factors indicating that infrastructure and profile for services remain inadequate. Posthospital discharge physical rehabilitation programmes were relatively few (n=31/176, 17.6%), but peer support services were available in nearly half of responding institutions (n=85/176, 48.3%). The effects of the COVID-19 pandemic resulted in either increasing, decreasing or reformatting service provision. Future plans for long-term service transformation focus on expansion of current, and establishment of new, outpatient services.\n\nConclusion Overall, these data demonstrate a proliferation of recovery, follow-up and rehabilitation services for critically ill adults in the past decade across the UK, although service gaps remain suggesting further work is required for guideline implementation. Findings can be used to enhance survivorship for critically ill adults, inform policymakers and commissioners, and provide comparative data and experiential insights for clinicians designing models of care in international healthcare jurisdictions.\n\nNo data are available. Data are not publicly available for confidentiality reasons, however all data are reported.","author":[{"dropping-particle":"","family":"Connolly","given":"Bronwen","non-dropping-particle":"","parse-names":false,"suffix":""},{"dropping-particle":"","family":"Milton-Cole","given":"Rhian","non-dropping-particle":"","parse-names":false,"suffix":""},{"dropping-particle":"","family":"Adams","given":"Claire","non-dropping-particle":"","parse-names":false,"suffix":""},{"dropping-particle":"","family":"Battle","given":"Ceri","non-dropping-particle":"","parse-names":false,"suffix":""},{"dropping-particle":"","family":"McPeake","given":"Joanne","non-dropping-particle":"","parse-names":false,"suffix":""},{"dropping-particle":"","family":"Quasim","given":"Tara","non-dropping-particle":"","parse-names":false,"suffix":""},{"dropping-particle":"","family":"Silversides","given":"Jon","non-dropping-particle":"","parse-names":false,"suffix":""},{"dropping-particle":"","family":"Slack","given":"Andrew","non-dropping-particle":"","parse-names":false,"suffix":""},{"dropping-particle":"","family":"Waldmann","given":"Carl","non-dropping-particle":"","parse-names":false,"suffix":""},{"dropping-particle":"","family":"Wilson","given":"Elizabeth","non-dropping-particle":"","parse-names":false,"suffix":""},{"dropping-particle":"","family":"Meyer","given":"Joel","non-dropping-particle":"","parse-names":false,"suffix":""}],"container-title":"BMJ Open","id":"ITEM-1","issue":"10","issued":{"date-parts":[["2021","10","1"]]},"page":"e052214","publisher":"British Medical Journal Publishing Group","title":"Recovery, rehabilitation and follow-up services following critical illness: an updated UK national cross-sectional survey and progress report","type":"article-journal","volume":"11"},"uris":["http://www.mendeley.com/documents/?uuid=472505c0-bf00-3495-9e45-447a84dc122b"]}],"mendeley":{"formattedCitation":"(11)","plainTextFormattedCitation":"(11)","previouslyFormattedCitation":"(11)"},"properties":{"noteIndex":0},"schema":"https://github.com/citation-style-language/schema/raw/master/csl-citation.json"}</w:instrText>
      </w:r>
      <w:r w:rsidR="00E216D7" w:rsidRPr="00842F43">
        <w:rPr>
          <w:rFonts w:ascii="Fira Sans" w:hAnsi="Fira Sans"/>
          <w:sz w:val="20"/>
          <w:szCs w:val="20"/>
          <w:vertAlign w:val="superscript"/>
        </w:rPr>
        <w:fldChar w:fldCharType="separate"/>
      </w:r>
      <w:r w:rsidR="002901B0" w:rsidRPr="00842F43">
        <w:rPr>
          <w:rFonts w:ascii="Fira Sans" w:hAnsi="Fira Sans"/>
          <w:noProof/>
          <w:sz w:val="20"/>
          <w:szCs w:val="20"/>
          <w:vertAlign w:val="superscript"/>
        </w:rPr>
        <w:t>(11)</w:t>
      </w:r>
      <w:r w:rsidR="00E216D7" w:rsidRPr="00842F43">
        <w:rPr>
          <w:rFonts w:ascii="Fira Sans" w:hAnsi="Fira Sans"/>
          <w:sz w:val="20"/>
          <w:szCs w:val="20"/>
          <w:vertAlign w:val="superscript"/>
        </w:rPr>
        <w:fldChar w:fldCharType="end"/>
      </w:r>
      <w:r w:rsidR="009C4F70" w:rsidRPr="00842F43">
        <w:rPr>
          <w:rFonts w:ascii="Fira Sans" w:hAnsi="Fira Sans"/>
          <w:sz w:val="20"/>
          <w:szCs w:val="20"/>
          <w:vertAlign w:val="superscript"/>
        </w:rPr>
        <w:t xml:space="preserve"> </w:t>
      </w:r>
    </w:p>
    <w:p w14:paraId="740FD7E1" w14:textId="77777777" w:rsidR="001950F0" w:rsidRPr="00842F43" w:rsidRDefault="001950F0" w:rsidP="00842F43">
      <w:pPr>
        <w:spacing w:line="360" w:lineRule="auto"/>
        <w:rPr>
          <w:rFonts w:ascii="Fira Sans" w:hAnsi="Fira Sans"/>
          <w:color w:val="333333"/>
          <w:sz w:val="20"/>
          <w:szCs w:val="20"/>
        </w:rPr>
      </w:pPr>
    </w:p>
    <w:p w14:paraId="7A1ECD20" w14:textId="26ED030C" w:rsidR="00363319" w:rsidRPr="00842F43" w:rsidRDefault="00DD03AF" w:rsidP="00842F43">
      <w:pPr>
        <w:spacing w:line="360" w:lineRule="auto"/>
        <w:rPr>
          <w:rFonts w:ascii="Fira Sans" w:hAnsi="Fira Sans"/>
          <w:color w:val="333333"/>
          <w:sz w:val="20"/>
          <w:szCs w:val="20"/>
        </w:rPr>
      </w:pPr>
      <w:r w:rsidRPr="00842F43">
        <w:rPr>
          <w:rFonts w:ascii="Fira Sans" w:hAnsi="Fira Sans"/>
          <w:color w:val="333333"/>
          <w:sz w:val="20"/>
          <w:szCs w:val="20"/>
        </w:rPr>
        <w:t>During the</w:t>
      </w:r>
      <w:r w:rsidR="00E922E8" w:rsidRPr="00842F43">
        <w:rPr>
          <w:rFonts w:ascii="Fira Sans" w:hAnsi="Fira Sans"/>
          <w:color w:val="333333"/>
          <w:sz w:val="20"/>
          <w:szCs w:val="20"/>
        </w:rPr>
        <w:t xml:space="preserve"> severe acute respiratory syndrome coronavirus 2 (</w:t>
      </w:r>
      <w:r w:rsidR="00AE3A0D" w:rsidRPr="00842F43">
        <w:rPr>
          <w:rFonts w:ascii="Fira Sans" w:hAnsi="Fira Sans"/>
          <w:color w:val="333333"/>
          <w:sz w:val="20"/>
          <w:szCs w:val="20"/>
        </w:rPr>
        <w:t>SARS CoV-2</w:t>
      </w:r>
      <w:r w:rsidR="00E922E8" w:rsidRPr="00842F43">
        <w:rPr>
          <w:rFonts w:ascii="Fira Sans" w:hAnsi="Fira Sans"/>
          <w:color w:val="333333"/>
          <w:sz w:val="20"/>
          <w:szCs w:val="20"/>
        </w:rPr>
        <w:t>)</w:t>
      </w:r>
      <w:r w:rsidRPr="00842F43">
        <w:rPr>
          <w:rFonts w:ascii="Fira Sans" w:hAnsi="Fira Sans"/>
          <w:color w:val="333333"/>
          <w:sz w:val="20"/>
          <w:szCs w:val="20"/>
        </w:rPr>
        <w:t xml:space="preserve"> pandemic, a</w:t>
      </w:r>
      <w:r w:rsidR="00F34385" w:rsidRPr="00842F43">
        <w:rPr>
          <w:rFonts w:ascii="Fira Sans" w:hAnsi="Fira Sans"/>
          <w:color w:val="333333"/>
          <w:sz w:val="20"/>
          <w:szCs w:val="20"/>
        </w:rPr>
        <w:t>dmission illness severity was higher</w:t>
      </w:r>
      <w:r w:rsidR="00AB318D" w:rsidRPr="00842F43">
        <w:rPr>
          <w:rFonts w:ascii="Fira Sans" w:hAnsi="Fira Sans"/>
          <w:color w:val="333333"/>
          <w:sz w:val="20"/>
          <w:szCs w:val="20"/>
        </w:rPr>
        <w:t xml:space="preserve"> than </w:t>
      </w:r>
      <w:r w:rsidR="00F34385" w:rsidRPr="00842F43">
        <w:rPr>
          <w:rFonts w:ascii="Fira Sans" w:hAnsi="Fira Sans"/>
          <w:color w:val="333333"/>
          <w:sz w:val="20"/>
          <w:szCs w:val="20"/>
        </w:rPr>
        <w:t xml:space="preserve">in </w:t>
      </w:r>
      <w:r w:rsidR="00AB318D" w:rsidRPr="00842F43">
        <w:rPr>
          <w:rFonts w:ascii="Fira Sans" w:hAnsi="Fira Sans"/>
          <w:color w:val="333333"/>
          <w:sz w:val="20"/>
          <w:szCs w:val="20"/>
        </w:rPr>
        <w:t>previous</w:t>
      </w:r>
      <w:r w:rsidR="00073701" w:rsidRPr="00842F43">
        <w:rPr>
          <w:rFonts w:ascii="Fira Sans" w:hAnsi="Fira Sans"/>
          <w:color w:val="333333"/>
          <w:sz w:val="20"/>
          <w:szCs w:val="20"/>
        </w:rPr>
        <w:t>ly documented</w:t>
      </w:r>
      <w:r w:rsidR="00AB318D" w:rsidRPr="00842F43">
        <w:rPr>
          <w:rFonts w:ascii="Fira Sans" w:hAnsi="Fira Sans"/>
          <w:color w:val="333333"/>
          <w:sz w:val="20"/>
          <w:szCs w:val="20"/>
        </w:rPr>
        <w:t xml:space="preserve"> populations</w:t>
      </w:r>
      <w:r w:rsidR="00577B9A" w:rsidRPr="00842F43">
        <w:rPr>
          <w:rFonts w:ascii="Fira Sans" w:hAnsi="Fira Sans"/>
          <w:color w:val="333333"/>
          <w:sz w:val="20"/>
          <w:szCs w:val="20"/>
        </w:rPr>
        <w:t>.</w:t>
      </w:r>
      <w:r w:rsidR="00AB318D" w:rsidRPr="00842F43">
        <w:rPr>
          <w:rFonts w:ascii="Fira Sans" w:hAnsi="Fira Sans"/>
          <w:color w:val="333333"/>
          <w:sz w:val="20"/>
          <w:szCs w:val="20"/>
          <w:vertAlign w:val="superscript"/>
        </w:rPr>
        <w:fldChar w:fldCharType="begin" w:fldLock="1"/>
      </w:r>
      <w:r w:rsidR="002901B0" w:rsidRPr="00842F43">
        <w:rPr>
          <w:rFonts w:ascii="Fira Sans" w:hAnsi="Fira Sans"/>
          <w:color w:val="333333"/>
          <w:sz w:val="20"/>
          <w:szCs w:val="20"/>
          <w:vertAlign w:val="superscript"/>
        </w:rPr>
        <w:instrText>ADDIN CSL_CITATION {"citationItems":[{"id":"ITEM-1","itemData":{"URL":"https://www.icnarc.org/Our-Audit/Audits/Cmp/Reports","accessed":{"date-parts":[["2021","12","21"]]},"author":[{"dropping-particle":"","family":"Intensive care national audit and research centre","given":"","non-dropping-particle":"","parse-names":false,"suffix":""}],"id":"ITEM-1","issued":{"date-parts":[["2021"]]},"title":"ICNARC report on COVID-19 in critical care: England, Wales and Northern Ireland. 17th December 2021.","type":"webpage"},"uris":["http://www.mendeley.com/documents/?uuid=e3dddff2-e690-3620-b758-7c4599d181a1"]}],"mendeley":{"formattedCitation":"(12)","plainTextFormattedCitation":"(12)","previouslyFormattedCitation":"(12)"},"properties":{"noteIndex":0},"schema":"https://github.com/citation-style-language/schema/raw/master/csl-citation.json"}</w:instrText>
      </w:r>
      <w:r w:rsidR="00AB318D" w:rsidRPr="00842F43">
        <w:rPr>
          <w:rFonts w:ascii="Fira Sans" w:hAnsi="Fira Sans"/>
          <w:color w:val="333333"/>
          <w:sz w:val="20"/>
          <w:szCs w:val="20"/>
          <w:vertAlign w:val="superscript"/>
        </w:rPr>
        <w:fldChar w:fldCharType="separate"/>
      </w:r>
      <w:r w:rsidR="002901B0" w:rsidRPr="00842F43">
        <w:rPr>
          <w:rFonts w:ascii="Fira Sans" w:hAnsi="Fira Sans"/>
          <w:noProof/>
          <w:color w:val="333333"/>
          <w:sz w:val="20"/>
          <w:szCs w:val="20"/>
          <w:vertAlign w:val="superscript"/>
        </w:rPr>
        <w:t>(12)</w:t>
      </w:r>
      <w:r w:rsidR="00AB318D" w:rsidRPr="00842F43">
        <w:rPr>
          <w:rFonts w:ascii="Fira Sans" w:hAnsi="Fira Sans"/>
          <w:color w:val="333333"/>
          <w:sz w:val="20"/>
          <w:szCs w:val="20"/>
          <w:vertAlign w:val="superscript"/>
        </w:rPr>
        <w:fldChar w:fldCharType="end"/>
      </w:r>
      <w:r w:rsidR="00F34385" w:rsidRPr="00842F43">
        <w:rPr>
          <w:rFonts w:ascii="Fira Sans" w:hAnsi="Fira Sans"/>
          <w:color w:val="333333"/>
          <w:sz w:val="20"/>
          <w:szCs w:val="20"/>
        </w:rPr>
        <w:t xml:space="preserve"> </w:t>
      </w:r>
      <w:r w:rsidR="00136D23" w:rsidRPr="00842F43">
        <w:rPr>
          <w:rFonts w:ascii="Fira Sans" w:hAnsi="Fira Sans"/>
          <w:color w:val="333333"/>
          <w:sz w:val="20"/>
          <w:szCs w:val="20"/>
        </w:rPr>
        <w:t>I</w:t>
      </w:r>
      <w:r w:rsidR="00E216D7" w:rsidRPr="00842F43">
        <w:rPr>
          <w:rFonts w:ascii="Fira Sans" w:hAnsi="Fira Sans"/>
          <w:color w:val="333333"/>
          <w:sz w:val="20"/>
          <w:szCs w:val="20"/>
        </w:rPr>
        <w:t xml:space="preserve">ntensive </w:t>
      </w:r>
      <w:r w:rsidR="00AB318D" w:rsidRPr="00842F43">
        <w:rPr>
          <w:rFonts w:ascii="Fira Sans" w:hAnsi="Fira Sans"/>
          <w:color w:val="333333"/>
          <w:sz w:val="20"/>
          <w:szCs w:val="20"/>
        </w:rPr>
        <w:t xml:space="preserve">care </w:t>
      </w:r>
      <w:r w:rsidR="00136D23" w:rsidRPr="00842F43">
        <w:rPr>
          <w:rFonts w:ascii="Fira Sans" w:hAnsi="Fira Sans"/>
          <w:color w:val="333333"/>
          <w:sz w:val="20"/>
          <w:szCs w:val="20"/>
        </w:rPr>
        <w:t xml:space="preserve">services were stretched by </w:t>
      </w:r>
      <w:r w:rsidR="00467D78" w:rsidRPr="00842F43">
        <w:rPr>
          <w:rFonts w:ascii="Fira Sans" w:hAnsi="Fira Sans"/>
          <w:color w:val="333333"/>
          <w:sz w:val="20"/>
          <w:szCs w:val="20"/>
        </w:rPr>
        <w:t>unprecedented demand,</w:t>
      </w:r>
      <w:r w:rsidR="002C647D" w:rsidRPr="00842F43">
        <w:rPr>
          <w:rFonts w:ascii="Fira Sans" w:hAnsi="Fira Sans"/>
          <w:color w:val="333333"/>
          <w:sz w:val="20"/>
          <w:szCs w:val="20"/>
        </w:rPr>
        <w:t xml:space="preserve"> </w:t>
      </w:r>
      <w:r w:rsidR="00AB318D" w:rsidRPr="00842F43">
        <w:rPr>
          <w:rFonts w:ascii="Fira Sans" w:hAnsi="Fira Sans"/>
          <w:color w:val="333333"/>
          <w:sz w:val="20"/>
          <w:szCs w:val="20"/>
        </w:rPr>
        <w:t xml:space="preserve">acute staff shortages, </w:t>
      </w:r>
      <w:r w:rsidR="00467D78" w:rsidRPr="00842F43">
        <w:rPr>
          <w:rFonts w:ascii="Fira Sans" w:hAnsi="Fira Sans"/>
          <w:color w:val="333333"/>
          <w:sz w:val="20"/>
          <w:szCs w:val="20"/>
        </w:rPr>
        <w:t xml:space="preserve">and </w:t>
      </w:r>
      <w:r w:rsidR="00AB318D" w:rsidRPr="00842F43">
        <w:rPr>
          <w:rFonts w:ascii="Fira Sans" w:hAnsi="Fira Sans"/>
          <w:color w:val="333333"/>
          <w:sz w:val="20"/>
          <w:szCs w:val="20"/>
        </w:rPr>
        <w:t>high levels of personal protective equipment</w:t>
      </w:r>
      <w:r w:rsidR="00467D78" w:rsidRPr="00842F43">
        <w:rPr>
          <w:rFonts w:ascii="Fira Sans" w:hAnsi="Fira Sans"/>
          <w:color w:val="333333"/>
          <w:sz w:val="20"/>
          <w:szCs w:val="20"/>
        </w:rPr>
        <w:t>.</w:t>
      </w:r>
      <w:r w:rsidR="00AB318D" w:rsidRPr="00842F43">
        <w:rPr>
          <w:rFonts w:ascii="Fira Sans" w:hAnsi="Fira Sans"/>
          <w:color w:val="333333"/>
          <w:sz w:val="20"/>
          <w:szCs w:val="20"/>
          <w:vertAlign w:val="superscript"/>
        </w:rPr>
        <w:fldChar w:fldCharType="begin" w:fldLock="1"/>
      </w:r>
      <w:r w:rsidR="00FC7B65" w:rsidRPr="00842F43">
        <w:rPr>
          <w:rFonts w:ascii="Fira Sans" w:hAnsi="Fira Sans"/>
          <w:color w:val="333333"/>
          <w:sz w:val="20"/>
          <w:szCs w:val="20"/>
          <w:vertAlign w:val="superscript"/>
        </w:rPr>
        <w:instrText>ADDIN CSL_CITATION {"citationItems":[{"id":"ITEM-1","itemData":{"DOI":"10.1177/08850666221092687","ISSN":"1525-1489","PMID":"35382627","abstract":"BACKGROUND Understanding the long-term sequelae of severe COVID-19 remains limited, particularly in the United States. OBJECTIVE To examine long-term outcomes of patients who required intensive care unit (ICU) admission for severe COVID-19. DESIGN, PATIENTS, AND MAIN MEASURES This is a prospective cohort study of patients who had severe COVID-19 requiring an ICU admission in a two-hospital academic health system in Southern California. Patients discharged alive between 3/21/2020 and 12/31/2020 were surveyed approximately 6 months after discharge to assess health-related quality of life using Patient-Reported Outcomes Measurement Information System (PROMIS®)-29 v2.1, post-traumatic stress disorder (PTSD) and loneliness scales. A preference-based health utility score (PROPr) was estimated using 7 PROMIS domain scores. Patients were also asked their attitude about receiving aggressive ICU care. KEY RESULTS Of 275 patients admitted to the ICU for severe COVID-19, 205 (74.5%) were discharged alive and 132 (64%, median age 59, 46% female) completed surveys a median of 182 days post-discharge. Anxiety, depression, fatigue, sleep disturbance, ability to participate in social activities, pain interference, and cognitive function were not significantly different from the U.S. general population, but physical function (44.2, SD 11.0) was worse. PROPr mean score of 0.46 (SD 0.30, range -0.02 to 0.96 [&lt;0 is worse than dead and 1 represents perfect health]) was slightly lower than the U.S. general population, with an even distribution across the continuum. Poor PROPr was associated with chronic medical conditions and receipt of life-sustaining treatments, but not demographics or social vulnerability. PTSD was suspected in 20% and loneliness in 29% of patients. Ninety-eight percent of patients were glad they received life-saving treatment. CONCLUSION Most patients who survive severe COVID-19 achieve positive outcomes, with health scores similar to the general population at 6 months post-discharge. However, there is marked heterogeneity in outcomes with a substantial minority reporting severely compromised health.","author":[{"dropping-particle":"","family":"Neville","given":"Thanh H","non-dropping-particle":"","parse-names":false,"suffix":""},{"dropping-particle":"","family":"Hays","given":"Ron D","non-dropping-particle":"","parse-names":false,"suffix":""},{"dropping-particle":"","family":"Tseng","given":"Chi-Hong","non-dropping-particle":"","parse-names":false,"suffix":""},{"dropping-particle":"","family":"Gonzalez","given":"Cynthia A","non-dropping-particle":"","parse-names":false,"suffix":""},{"dropping-particle":"","family":"Chen","given":"Lucia","non-dropping-particle":"","parse-names":false,"suffix":""},{"dropping-particle":"","family":"Hong","given":"Ashley","non-dropping-particle":"","parse-names":false,"suffix":""},{"dropping-particle":"","family":"Yamamoto","given":"Myrtle","non-dropping-particle":"","parse-names":false,"suffix":""},{"dropping-particle":"","family":"Santoso","given":"Laura","non-dropping-particle":"","parse-names":false,"suffix":""},{"dropping-particle":"","family":"Kung","given":"Alina","non-dropping-particle":"","parse-names":false,"suffix":""},{"dropping-particle":"","family":"Schwab","given":"Kristin","non-dropping-particle":"","parse-names":false,"suffix":""},{"dropping-particle":"","family":"Chang","given":"Steve Y","non-dropping-particle":"","parse-names":false,"suffix":""},{"dropping-particle":"","family":"Qadir","given":"Nida","non-dropping-particle":"","parse-names":false,"suffix":""},{"dropping-particle":"","family":"Wang","given":"Tisha","non-dropping-particle":"","parse-names":false,"suffix":""},{"dropping-particle":"","family":"Wenger","given":"Neil S","non-dropping-particle":"","parse-names":false,"suffix":""}],"container-title":"Journal of intensive care medicine","id":"ITEM-1","issued":{"date-parts":[["2022","4","5"]]},"page":"8850666221092687","publisher":"SAGE Publications","title":"Survival After Severe COVID-19: Long-Term Outcomes of Patients Admitted to an Intensive Care Unit.","type":"article-journal"},"uris":["http://www.mendeley.com/documents/?uuid=d2fda7f4-01d3-39cf-a68b-43d12232f072"]}],"mendeley":{"formattedCitation":"(13)","plainTextFormattedCitation":"(13)","previouslyFormattedCitation":"(13)"},"properties":{"noteIndex":0},"schema":"https://github.com/citation-style-language/schema/raw/master/csl-citation.json"}</w:instrText>
      </w:r>
      <w:r w:rsidR="00AB318D" w:rsidRPr="00842F43">
        <w:rPr>
          <w:rFonts w:ascii="Fira Sans" w:hAnsi="Fira Sans"/>
          <w:color w:val="333333"/>
          <w:sz w:val="20"/>
          <w:szCs w:val="20"/>
          <w:vertAlign w:val="superscript"/>
        </w:rPr>
        <w:fldChar w:fldCharType="separate"/>
      </w:r>
      <w:r w:rsidR="002901B0" w:rsidRPr="00842F43">
        <w:rPr>
          <w:rFonts w:ascii="Fira Sans" w:hAnsi="Fira Sans"/>
          <w:noProof/>
          <w:color w:val="333333"/>
          <w:sz w:val="20"/>
          <w:szCs w:val="20"/>
          <w:vertAlign w:val="superscript"/>
        </w:rPr>
        <w:t>(13)</w:t>
      </w:r>
      <w:r w:rsidR="00AB318D" w:rsidRPr="00842F43">
        <w:rPr>
          <w:rFonts w:ascii="Fira Sans" w:hAnsi="Fira Sans"/>
          <w:color w:val="333333"/>
          <w:sz w:val="20"/>
          <w:szCs w:val="20"/>
          <w:vertAlign w:val="superscript"/>
        </w:rPr>
        <w:fldChar w:fldCharType="end"/>
      </w:r>
      <w:r w:rsidR="008E4828" w:rsidRPr="00842F43">
        <w:rPr>
          <w:rFonts w:ascii="Fira Sans" w:hAnsi="Fira Sans"/>
          <w:color w:val="333333"/>
          <w:sz w:val="20"/>
          <w:szCs w:val="20"/>
        </w:rPr>
        <w:t xml:space="preserve"> </w:t>
      </w:r>
      <w:r w:rsidR="008C6160" w:rsidRPr="00842F43">
        <w:rPr>
          <w:rFonts w:ascii="Fira Sans" w:hAnsi="Fira Sans"/>
          <w:color w:val="333333"/>
          <w:sz w:val="20"/>
          <w:szCs w:val="20"/>
        </w:rPr>
        <w:t>Data from previous infective outbreaks</w:t>
      </w:r>
      <w:r w:rsidR="00C92C07" w:rsidRPr="00842F43">
        <w:rPr>
          <w:rFonts w:ascii="Fira Sans" w:hAnsi="Fira Sans"/>
          <w:color w:val="333333"/>
          <w:sz w:val="20"/>
          <w:szCs w:val="20"/>
          <w:vertAlign w:val="superscript"/>
        </w:rPr>
        <w:fldChar w:fldCharType="begin" w:fldLock="1"/>
      </w:r>
      <w:r w:rsidR="00C92C07" w:rsidRPr="00842F43">
        <w:rPr>
          <w:rFonts w:ascii="Fira Sans" w:hAnsi="Fira Sans"/>
          <w:color w:val="333333"/>
          <w:sz w:val="20"/>
          <w:szCs w:val="20"/>
          <w:vertAlign w:val="superscript"/>
        </w:rPr>
        <w:instrText>ADDIN CSL_CITATION {"citationItems":[{"id":"ITEM-1","itemData":{"DOI":"10.1037/a0037973","ISSN":"1878-7304","author":[{"dropping-particle":"","family":"Gardner","given":"Paula J.","non-dropping-particle":"","parse-names":false,"suffix":""},{"dropping-particle":"","family":"Moallef","given":"Parvaneh","non-dropping-particle":"","parse-names":false,"suffix":""}],"container-title":"Canadian Psychology/Psychologie canadienne","id":"ITEM-1","issue":"1","issued":{"date-parts":[["2015","2"]]},"page":"123-135","publisher":"US: Educational Publishing Foundation","title":"Psychological impact on SARS survivors: Critical review of the English language literature.","type":"article-journal","volume":"56"},"uris":["http://www.mendeley.com/documents/?uuid=c1aae094-4c2f-3b33-9a58-6d37abeef2a0"]}],"mendeley":{"formattedCitation":"(14)","plainTextFormattedCitation":"(14)","previouslyFormattedCitation":"(14)"},"properties":{"noteIndex":0},"schema":"https://github.com/citation-style-language/schema/raw/master/csl-citation.json"}</w:instrText>
      </w:r>
      <w:r w:rsidR="00C92C07" w:rsidRPr="00842F43">
        <w:rPr>
          <w:rFonts w:ascii="Fira Sans" w:hAnsi="Fira Sans"/>
          <w:color w:val="333333"/>
          <w:sz w:val="20"/>
          <w:szCs w:val="20"/>
          <w:vertAlign w:val="superscript"/>
        </w:rPr>
        <w:fldChar w:fldCharType="separate"/>
      </w:r>
      <w:r w:rsidR="00C92C07" w:rsidRPr="00842F43">
        <w:rPr>
          <w:rFonts w:ascii="Fira Sans" w:hAnsi="Fira Sans"/>
          <w:noProof/>
          <w:color w:val="333333"/>
          <w:sz w:val="20"/>
          <w:szCs w:val="20"/>
          <w:vertAlign w:val="superscript"/>
        </w:rPr>
        <w:t>(14)</w:t>
      </w:r>
      <w:r w:rsidR="00C92C07" w:rsidRPr="00842F43">
        <w:rPr>
          <w:rFonts w:ascii="Fira Sans" w:hAnsi="Fira Sans"/>
          <w:color w:val="333333"/>
          <w:sz w:val="20"/>
          <w:szCs w:val="20"/>
          <w:vertAlign w:val="superscript"/>
        </w:rPr>
        <w:fldChar w:fldCharType="end"/>
      </w:r>
      <w:r w:rsidR="008C6160" w:rsidRPr="00842F43">
        <w:rPr>
          <w:rFonts w:ascii="Fira Sans" w:hAnsi="Fira Sans"/>
          <w:color w:val="333333"/>
          <w:sz w:val="20"/>
          <w:szCs w:val="20"/>
        </w:rPr>
        <w:t xml:space="preserve">, </w:t>
      </w:r>
      <w:r w:rsidR="00E9691E" w:rsidRPr="00842F43">
        <w:rPr>
          <w:rFonts w:ascii="Fira Sans" w:hAnsi="Fira Sans"/>
          <w:color w:val="333333"/>
          <w:sz w:val="20"/>
          <w:szCs w:val="20"/>
        </w:rPr>
        <w:t>suggest that</w:t>
      </w:r>
      <w:r w:rsidR="008C6160" w:rsidRPr="00842F43">
        <w:rPr>
          <w:rFonts w:ascii="Fira Sans" w:hAnsi="Fira Sans"/>
          <w:color w:val="333333"/>
          <w:sz w:val="20"/>
          <w:szCs w:val="20"/>
        </w:rPr>
        <w:t xml:space="preserve"> clinicians </w:t>
      </w:r>
      <w:r w:rsidR="00E9691E" w:rsidRPr="00842F43">
        <w:rPr>
          <w:rFonts w:ascii="Fira Sans" w:hAnsi="Fira Sans"/>
          <w:color w:val="333333"/>
          <w:sz w:val="20"/>
          <w:szCs w:val="20"/>
        </w:rPr>
        <w:t>may</w:t>
      </w:r>
      <w:r w:rsidR="008C6160" w:rsidRPr="00842F43">
        <w:rPr>
          <w:rFonts w:ascii="Fira Sans" w:hAnsi="Fira Sans"/>
          <w:color w:val="333333"/>
          <w:sz w:val="20"/>
          <w:szCs w:val="20"/>
        </w:rPr>
        <w:t xml:space="preserve"> witness an increased incidence of post-ICU psychopathology</w:t>
      </w:r>
      <w:r w:rsidR="00E9691E" w:rsidRPr="00842F43">
        <w:rPr>
          <w:rFonts w:ascii="Fira Sans" w:hAnsi="Fira Sans"/>
          <w:color w:val="333333"/>
          <w:sz w:val="20"/>
          <w:szCs w:val="20"/>
        </w:rPr>
        <w:t>, following the pandemic</w:t>
      </w:r>
      <w:r w:rsidR="005D6E85" w:rsidRPr="00842F43">
        <w:rPr>
          <w:rFonts w:ascii="Fira Sans" w:hAnsi="Fira Sans"/>
          <w:color w:val="333333"/>
          <w:sz w:val="20"/>
          <w:szCs w:val="20"/>
        </w:rPr>
        <w:t>.</w:t>
      </w:r>
      <w:r w:rsidR="00C92C07" w:rsidRPr="00842F43">
        <w:rPr>
          <w:rFonts w:ascii="Fira Sans" w:hAnsi="Fira Sans"/>
          <w:color w:val="333333"/>
          <w:sz w:val="20"/>
          <w:szCs w:val="20"/>
          <w:vertAlign w:val="superscript"/>
        </w:rPr>
        <w:fldChar w:fldCharType="begin" w:fldLock="1"/>
      </w:r>
      <w:r w:rsidR="00C92C07" w:rsidRPr="00842F43">
        <w:rPr>
          <w:rFonts w:ascii="Fira Sans" w:hAnsi="Fira Sans"/>
          <w:color w:val="333333"/>
          <w:sz w:val="20"/>
          <w:szCs w:val="20"/>
          <w:vertAlign w:val="superscript"/>
        </w:rPr>
        <w:instrText>ADDIN CSL_CITATION {"citationItems":[{"id":"ITEM-1","itemData":{"DOI":"10.1136/bjsports-2020-102596","ISSN":"1473-0480","PMID":"32475821","abstract":"The highly infectious and pathogenic novel coronavirus (CoV), severe acute respiratory syndrome (SARS)-CoV-2, has emerged causing a global pandemic. Although COVID-19 predominantly affects the respiratory system, evidence indicates a multisystem disease which is frequently severe and often results in death. Long-term sequelae of COVID-19 are unknown, but evidence from previous CoV outbreaks demonstrates impaired pulmonary and physical function, reduced quality of life and emotional distress. Many COVID-19 survivors who require critical care may develop psychological, physical and cognitive impairments. There is a clear need for guidance on the rehabilitation of COVID-19 survivors. This consensus statement was developed by an expert panel in the fields of rehabilitation, sport and exercise medicine (SEM), rheumatology, psychiatry, general practice, psychology and specialist pain, working at the Defence Medical Rehabilitation Centre, Stanford Hall, UK. Seven teams appraised evidence for the following domains relating to COVID-19 rehabilitation requirements: pulmonary, cardiac, SEM, psychological, musculoskeletal, neurorehabilitation and general medical. A chair combined recommendations generated within teams. A writing committee prepared the consensus statement in accordance with the appraisal of guidelines research and evaluation criteria, grading all recommendations with levels of evidence. Authors scored their level of agreement with each recommendation on a scale of 0-10. Substantial agreement (range 7.5-10) was reached for 36 recommendations following a chaired agreement meeting that was attended by all authors. This consensus statement provides an overarching framework assimilating evidence and likely requirements of multidisciplinary rehabilitation post COVID-19 illness, for a target population of active individuals, including military personnel and athletes.","author":[{"dropping-particle":"","family":"Barker-Davies","given":"Robert M","non-dropping-particle":"","parse-names":false,"suffix":""},{"dropping-particle":"","family":"O'Sullivan","given":"Oliver","non-dropping-particle":"","parse-names":false,"suffix":""},{"dropping-particle":"","family":"Senaratne","given":"Kahawalage Pumi Prathima","non-dropping-particle":"","parse-names":false,"suffix":""},{"dropping-particle":"","family":"Baker","given":"Polly","non-dropping-particle":"","parse-names":false,"suffix":""},{"dropping-particle":"","family":"Cranley","given":"Mark","non-dropping-particle":"","parse-names":false,"suffix":""},{"dropping-particle":"","family":"Dharm-Datta","given":"Shreshth","non-dropping-particle":"","parse-names":false,"suffix":""},{"dropping-particle":"","family":"Ellis","given":"Henrietta","non-dropping-particle":"","parse-names":false,"suffix":""},{"dropping-particle":"","family":"Goodall","given":"Duncan","non-dropping-particle":"","parse-names":false,"suffix":""},{"dropping-particle":"","family":"Gough","given":"Michael","non-dropping-particle":"","parse-names":false,"suffix":""},{"dropping-particle":"","family":"Lewis","given":"Sarah","non-dropping-particle":"","parse-names":false,"suffix":""},{"dropping-particle":"","family":"Norman","given":"Jonathan","non-dropping-particle":"","parse-names":false,"suffix":""},{"dropping-particle":"","family":"Papadopoulou","given":"Theodora","non-dropping-particle":"","parse-names":false,"suffix":""},{"dropping-particle":"","family":"Roscoe","given":"David","non-dropping-particle":"","parse-names":false,"suffix":""},{"dropping-particle":"","family":"Sherwood","given":"Daniel","non-dropping-particle":"","parse-names":false,"suffix":""},{"dropping-particle":"","family":"Turner","given":"Philippa","non-dropping-particle":"","parse-names":false,"suffix":""},{"dropping-particle":"","family":"Walker","given":"Tammy","non-dropping-particle":"","parse-names":false,"suffix":""},{"dropping-particle":"","family":"Mistlin","given":"Alan","non-dropping-particle":"","parse-names":false,"suffix":""},{"dropping-particle":"","family":"Phillip","given":"Rhodri","non-dropping-particle":"","parse-names":false,"suffix":""},{"dropping-particle":"","family":"Nicol","given":"Alastair M","non-dropping-particle":"","parse-names":false,"suffix":""},{"dropping-particle":"","family":"Bennett","given":"Alexander N","non-dropping-particle":"","parse-names":false,"suffix":""},{"dropping-particle":"","family":"Bahadur","given":"Sardar","non-dropping-particle":"","parse-names":false,"suffix":""}],"container-title":"British journal of sports medicine","id":"ITEM-1","issue":"16","issued":{"date-parts":[["2020","8"]]},"page":"949-959","publisher":"Br J Sports Med","title":"The Stanford Hall consensus statement for post-COVID-19 rehabilitation.","type":"article-journal","volume":"54"},"uris":["http://www.mendeley.com/documents/?uuid=04940c31-e5f7-3614-a05c-75966f5f4ac0"]}],"mendeley":{"formattedCitation":"(15)","plainTextFormattedCitation":"(15)","previouslyFormattedCitation":"(15)"},"properties":{"noteIndex":0},"schema":"https://github.com/citation-style-language/schema/raw/master/csl-citation.json"}</w:instrText>
      </w:r>
      <w:r w:rsidR="00C92C07" w:rsidRPr="00842F43">
        <w:rPr>
          <w:rFonts w:ascii="Fira Sans" w:hAnsi="Fira Sans"/>
          <w:color w:val="333333"/>
          <w:sz w:val="20"/>
          <w:szCs w:val="20"/>
          <w:vertAlign w:val="superscript"/>
        </w:rPr>
        <w:fldChar w:fldCharType="separate"/>
      </w:r>
      <w:r w:rsidR="00C92C07" w:rsidRPr="00842F43">
        <w:rPr>
          <w:rFonts w:ascii="Fira Sans" w:hAnsi="Fira Sans"/>
          <w:noProof/>
          <w:color w:val="333333"/>
          <w:sz w:val="20"/>
          <w:szCs w:val="20"/>
          <w:vertAlign w:val="superscript"/>
        </w:rPr>
        <w:t>(15)</w:t>
      </w:r>
      <w:r w:rsidR="00C92C07" w:rsidRPr="00842F43">
        <w:rPr>
          <w:rFonts w:ascii="Fira Sans" w:hAnsi="Fira Sans"/>
          <w:color w:val="333333"/>
          <w:sz w:val="20"/>
          <w:szCs w:val="20"/>
          <w:vertAlign w:val="superscript"/>
        </w:rPr>
        <w:fldChar w:fldCharType="end"/>
      </w:r>
      <w:r w:rsidR="00BA7209" w:rsidRPr="00842F43">
        <w:rPr>
          <w:rFonts w:ascii="Fira Sans" w:hAnsi="Fira Sans"/>
          <w:color w:val="333333"/>
          <w:sz w:val="20"/>
          <w:szCs w:val="20"/>
          <w:vertAlign w:val="superscript"/>
        </w:rPr>
        <w:t xml:space="preserve"> </w:t>
      </w:r>
    </w:p>
    <w:p w14:paraId="7872497B" w14:textId="2D72C791" w:rsidR="00DB7909" w:rsidRPr="00842F43" w:rsidRDefault="00851648" w:rsidP="00842F43">
      <w:pPr>
        <w:shd w:val="clear" w:color="auto" w:fill="FFFFFF"/>
        <w:spacing w:before="100" w:beforeAutospacing="1" w:after="100" w:afterAutospacing="1" w:line="360" w:lineRule="auto"/>
        <w:rPr>
          <w:rFonts w:ascii="Fira Sans" w:hAnsi="Fira Sans"/>
          <w:sz w:val="20"/>
          <w:szCs w:val="20"/>
        </w:rPr>
      </w:pPr>
      <w:r w:rsidRPr="00842F43">
        <w:rPr>
          <w:rFonts w:ascii="Fira Sans" w:hAnsi="Fira Sans"/>
          <w:sz w:val="20"/>
          <w:szCs w:val="20"/>
        </w:rPr>
        <w:t>Research into attenuating strategies</w:t>
      </w:r>
      <w:r w:rsidR="00264797" w:rsidRPr="00842F43">
        <w:rPr>
          <w:rFonts w:ascii="Fira Sans" w:hAnsi="Fira Sans"/>
          <w:sz w:val="20"/>
          <w:szCs w:val="20"/>
        </w:rPr>
        <w:t>, such as patient diaries</w:t>
      </w:r>
      <w:r w:rsidR="00264797" w:rsidRPr="00842F43">
        <w:rPr>
          <w:rFonts w:ascii="Fira Sans" w:hAnsi="Fira Sans"/>
          <w:sz w:val="20"/>
          <w:szCs w:val="20"/>
        </w:rPr>
        <w:fldChar w:fldCharType="begin" w:fldLock="1"/>
      </w:r>
      <w:r w:rsidR="006E1E08" w:rsidRPr="00842F43">
        <w:rPr>
          <w:rFonts w:ascii="Fira Sans" w:hAnsi="Fira Sans"/>
          <w:sz w:val="20"/>
          <w:szCs w:val="20"/>
        </w:rPr>
        <w:instrText>ADDIN CSL_CITATION {"citationItems":[{"id":"ITEM-1","itemData":{"DOI":"10.1097/CCM.0000000000003547","ISSN":"1530-0293","PMID":"30431494","abstract":"OBJECTIVES To evaluate the effect of ICU diaries on posttraumatic stress disorder symptoms in ICU survivors and their relatives. Secondary objectives were to determine the effect on anxiety, depression, and health-related quality of life in patients and their relatives. DATA SOURCES We searched online databases, trial registries, and references of relevant articles. STUDY SELECTION Studies were included if there was an ICU diary intervention group which was compared with a group without a diary. DATA EXTRACTION Titles, abstracts, and full-text articles were reviewed independently by two authors. Data was abstracted using a structured template. DATA SYNTHESIS Our search identified 1,790 articles and retained eight studies for inclusion in the analysis. Pooled results found no significant reduction in patients' posttraumatic stress disorder symptoms with ICU diaries (risk ratio, 0.75 [0.3-1.73]; p = 0.5; n = 3 studies); however, there was a significant improvement in patients' anxiety (risk ratio, 0.32 [0.12, 0.86]; p = 0.02; n = 2 studies) and depression (risk ratio, 0.39 [0.17-0.87]; p = 0.02; n = 2 studies) symptoms. Two studies reported significant improvement in posttraumatic stress disorder symptoms of relatives of ICU survivors; however, these results could not be pooled due to reporting differences. One study reported no significant improvement in either anxiety (risk ratio, 0.94; 95% [0.66-1.33]; p = 0.72) or depression (risk ratio, 0.98; 95% [0.5-1.9]; p = 0.95) in relatives. There was a significant improvement in health-related quality of life of patients with a mean increase in the Short Form-36 general health score by 11.46 (95% CI, 5.87-17.05; p ≤ 0.0001; n = 2 studies). No studies addressed health-related quality of life of relatives. CONCLUSIONS ICU diaries decrease anxiety and depression and improve health-related quality of life, but not posttraumatic stress disorder among ICU survivors and may result in less posttraumatic stress disorder among relatives of ICU patients. Multicenter trials with larger sample sizes are necessary to confirm these findings.","author":[{"dropping-particle":"","family":"McIlroy","given":"Philippa A","non-dropping-particle":"","parse-names":false,"suffix":""},{"dropping-particle":"","family":"King","given":"Rebecca S","non-dropping-particle":"","parse-names":false,"suffix":""},{"dropping-particle":"","family":"Garrouste-Orgeas","given":"Maité","non-dropping-particle":"","parse-names":false,"suffix":""},{"dropping-particle":"","family":"Tabah","given":"Alexis","non-dropping-particle":"","parse-names":false,"suffix":""},{"dropping-particle":"","family":"Ramanan","given":"Mahesh","non-dropping-particle":"","parse-names":false,"suffix":""}],"container-title":"Critical care medicine","id":"ITEM-1","issue":"2","issued":{"date-parts":[["2019"]]},"page":"273-279","publisher":"Crit Care Med","title":"The Effect of ICU Diaries on Psychological Outcomes and Quality of Life of Survivors of Critical Illness and Their Relatives: A Systematic Review and Meta-Analysis.","type":"article-journal","volume":"47"},"uris":["http://www.mendeley.com/documents/?uuid=95e97932-304c-324f-b71b-d76f26cd68c0"]}],"mendeley":{"formattedCitation":"(16)","plainTextFormattedCitation":"(16)","previouslyFormattedCitation":"(16)"},"properties":{"noteIndex":0},"schema":"https://github.com/citation-style-language/schema/raw/master/csl-citation.json"}</w:instrText>
      </w:r>
      <w:r w:rsidR="00264797" w:rsidRPr="00842F43">
        <w:rPr>
          <w:rFonts w:ascii="Fira Sans" w:hAnsi="Fira Sans"/>
          <w:sz w:val="20"/>
          <w:szCs w:val="20"/>
        </w:rPr>
        <w:fldChar w:fldCharType="separate"/>
      </w:r>
      <w:r w:rsidR="003812D3" w:rsidRPr="00842F43">
        <w:rPr>
          <w:rFonts w:ascii="Fira Sans" w:hAnsi="Fira Sans"/>
          <w:noProof/>
          <w:sz w:val="20"/>
          <w:szCs w:val="20"/>
        </w:rPr>
        <w:t>(16)</w:t>
      </w:r>
      <w:r w:rsidR="00264797" w:rsidRPr="00842F43">
        <w:rPr>
          <w:rFonts w:ascii="Fira Sans" w:hAnsi="Fira Sans"/>
          <w:sz w:val="20"/>
          <w:szCs w:val="20"/>
        </w:rPr>
        <w:fldChar w:fldCharType="end"/>
      </w:r>
      <w:r w:rsidR="00264797" w:rsidRPr="00842F43">
        <w:rPr>
          <w:rFonts w:ascii="Fira Sans" w:hAnsi="Fira Sans"/>
          <w:sz w:val="20"/>
          <w:szCs w:val="20"/>
        </w:rPr>
        <w:t>, follow-up clinics</w:t>
      </w:r>
      <w:r w:rsidR="00264797" w:rsidRPr="00842F43">
        <w:rPr>
          <w:rFonts w:ascii="Fira Sans" w:hAnsi="Fira Sans"/>
          <w:sz w:val="20"/>
          <w:szCs w:val="20"/>
        </w:rPr>
        <w:fldChar w:fldCharType="begin" w:fldLock="1"/>
      </w:r>
      <w:r w:rsidR="006E1E08" w:rsidRPr="00842F43">
        <w:rPr>
          <w:rFonts w:ascii="Fira Sans" w:hAnsi="Fira Sans"/>
          <w:sz w:val="20"/>
          <w:szCs w:val="20"/>
        </w:rPr>
        <w:instrText>ADDIN CSL_CITATION {"citationItems":[{"id":"ITEM-1","itemData":{"DOI":"10.1136/bmj.b3723","ISSN":"1756-1833","PMID":"19837741","abstract":"OBJECTIVES To test the hypothesis that nurse led follow-up programmes are effective and cost effective in improving quality of life after discharge from intensive care. DESIGN A pragmatic, non-blinded, multicentre, randomised controlled trial. SETTING Three UK hospitals (two teaching hospitals and one district general hospital). PARTICIPANTS 286 patients aged &gt;or=18 years were recruited after discharge from intensive care between September 2006 and October 2007. INTERVENTION Nurse led intensive care follow-up programmes versus standard care. Main outcome measure(s) Health related quality of life (measured with the SF-36 questionnaire) at 12 months after randomisation. A cost effectiveness analysis was also performed. RESULTS 286 patients were recruited and 192 completed one year follow-up. At 12 months, there was no evidence of a difference in the SF-36 physical component score (mean 42.0 (SD 10.6) v 40.8 (SD 11.9), effect size 1.1 (95% CI -1.9 to 4.2), P=0.46) or the SF-36 mental component score (effect size 0.4 (-3.0 to 3.7), P=0.83). There were no statistically significant differences in secondary outcomes or subgroup analyses. Follow-up programmes were significantly more costly than standard care and are unlikely to be considered cost effective. CONCLUSIONS A nurse led intensive care follow-up programme showed no evidence of being effective or cost effective in improving patients' quality of life in the year after discharge from intensive care. Further work should focus on the roles of early physical rehabilitation, delirium, cognitive dysfunction, and relatives in recovery from critical illness. Intensive care units should review their follow-up programmes in light of these results. TRIAL REGISTRATION ISRCTN 24294750.","author":[{"dropping-particle":"","family":"Cuthbertson","given":"B H","non-dropping-particle":"","parse-names":false,"suffix":""},{"dropping-particle":"","family":"Rattray","given":"J","non-dropping-particle":"","parse-names":false,"suffix":""},{"dropping-particle":"","family":"Campbell","given":"M K","non-dropping-particle":"","parse-names":false,"suffix":""},{"dropping-particle":"","family":"Gager","given":"M","non-dropping-particle":"","parse-names":false,"suffix":""},{"dropping-particle":"","family":"Roughton","given":"S","non-dropping-particle":"","parse-names":false,"suffix":""},{"dropping-particle":"","family":"Smith","given":"A","non-dropping-particle":"","parse-names":false,"suffix":""},{"dropping-particle":"","family":"Hull","given":"A","non-dropping-particle":"","parse-names":false,"suffix":""},{"dropping-particle":"","family":"Breeman","given":"S","non-dropping-particle":"","parse-names":false,"suffix":""},{"dropping-particle":"","family":"Norrie","given":"J","non-dropping-particle":"","parse-names":false,"suffix":""},{"dropping-particle":"","family":"Jenkinson","given":"D","non-dropping-particle":"","parse-names":false,"suffix":""},{"dropping-particle":"","family":"Hernández","given":"R","non-dropping-particle":"","parse-names":false,"suffix":""},{"dropping-particle":"","family":"Johnston","given":"M","non-dropping-particle":"","parse-names":false,"suffix":""},{"dropping-particle":"","family":"Wilson","given":"E","non-dropping-particle":"","parse-names":false,"suffix":""},{"dropping-particle":"","family":"Waldmann","given":"C","non-dropping-particle":"","parse-names":false,"suffix":""},{"dropping-particle":"","family":"PRaCTICaL study group","given":"","non-dropping-particle":"","parse-names":false,"suffix":""}],"container-title":"BMJ (Clinical research ed.)","id":"ITEM-1","issued":{"date-parts":[["2009","10","16"]]},"page":"b3723","publisher":"British Medical Journal Publishing Group","title":"The PRaCTICaL study of nurse led, intensive care follow-up programmes for improving long term outcomes from critical illness: a pragmatic randomised controlled trial.","type":"article-journal","volume":"339"},"uris":["http://www.mendeley.com/documents/?uuid=69eba3fa-7170-31a8-bd05-437d3a5978a1"]}],"mendeley":{"formattedCitation":"(17)","plainTextFormattedCitation":"(17)","previouslyFormattedCitation":"(17)"},"properties":{"noteIndex":0},"schema":"https://github.com/citation-style-language/schema/raw/master/csl-citation.json"}</w:instrText>
      </w:r>
      <w:r w:rsidR="00264797" w:rsidRPr="00842F43">
        <w:rPr>
          <w:rFonts w:ascii="Fira Sans" w:hAnsi="Fira Sans"/>
          <w:sz w:val="20"/>
          <w:szCs w:val="20"/>
        </w:rPr>
        <w:fldChar w:fldCharType="separate"/>
      </w:r>
      <w:r w:rsidR="003812D3" w:rsidRPr="00842F43">
        <w:rPr>
          <w:rFonts w:ascii="Fira Sans" w:hAnsi="Fira Sans"/>
          <w:noProof/>
          <w:sz w:val="20"/>
          <w:szCs w:val="20"/>
        </w:rPr>
        <w:t>(17)</w:t>
      </w:r>
      <w:r w:rsidR="00264797" w:rsidRPr="00842F43">
        <w:rPr>
          <w:rFonts w:ascii="Fira Sans" w:hAnsi="Fira Sans"/>
          <w:sz w:val="20"/>
          <w:szCs w:val="20"/>
        </w:rPr>
        <w:fldChar w:fldCharType="end"/>
      </w:r>
      <w:r w:rsidR="00264797" w:rsidRPr="00842F43">
        <w:rPr>
          <w:rFonts w:ascii="Fira Sans" w:hAnsi="Fira Sans"/>
          <w:sz w:val="20"/>
          <w:szCs w:val="20"/>
        </w:rPr>
        <w:t>, and nurse-led psychological care</w:t>
      </w:r>
      <w:r w:rsidR="00264797" w:rsidRPr="00842F43">
        <w:rPr>
          <w:rFonts w:ascii="Fira Sans" w:hAnsi="Fira Sans"/>
          <w:sz w:val="20"/>
          <w:szCs w:val="20"/>
        </w:rPr>
        <w:fldChar w:fldCharType="begin" w:fldLock="1"/>
      </w:r>
      <w:r w:rsidR="006E1E08" w:rsidRPr="00842F43">
        <w:rPr>
          <w:rFonts w:ascii="Fira Sans" w:hAnsi="Fira Sans"/>
          <w:sz w:val="20"/>
          <w:szCs w:val="20"/>
        </w:rPr>
        <w:instrText>ADDIN CSL_CITATION {"citationItems":[{"id":"ITEM-1","itemData":{"DOI":"10.1001/jama.2019.0073","ISSN":"0098-7484","abstract":"&lt;h3&gt;Importance&lt;/h3&gt;&lt;p&gt;A meta-analysis of outcomes during the 6 months after intensive care unit (ICU) discharge indicate a prevalence for clinically important posttraumatic stress disorder (PTSD) symptoms of 25%.&lt;/p&gt;&lt;h3&gt;Objective&lt;/h3&gt;&lt;p&gt;To determine whether a nurse-led preventive, complex psychological intervention, initiated in the ICU, reduces patient-reported PTSD symptom severity at 6 months.&lt;/p&gt;&lt;h3&gt;Design, Setting, and Participants&lt;/h3&gt;&lt;p&gt;A multicenter, parallel-group, cluster-randomized clinical trial with integrated economic and process evaluations conducted in 24 ICUs in the United Kingdom. Participants were critically ill patients who regained mental capacity following receipt of level 3 (intensive) care. A total of 2961 eligible patients were identified from September 2015 to January 2017. A total of 2048 were approached for participation in the ICU, of which 1458 provided informed consent. Follow-up was completed December 2017.&lt;/p&gt;&lt;h3&gt;Interventions&lt;/h3&gt;&lt;p&gt;Twenty four ICUs were randomized 1:1 to the intervention or control group. Intervention ICUs (n</w:instrText>
      </w:r>
      <w:r w:rsidR="006E1E08" w:rsidRPr="00842F43">
        <w:rPr>
          <w:rFonts w:ascii="Arial" w:hAnsi="Arial" w:cs="Arial"/>
          <w:sz w:val="20"/>
          <w:szCs w:val="20"/>
        </w:rPr>
        <w:instrText> </w:instrText>
      </w:r>
      <w:r w:rsidR="006E1E08" w:rsidRPr="00842F43">
        <w:rPr>
          <w:rFonts w:ascii="Fira Sans" w:hAnsi="Fira Sans"/>
          <w:sz w:val="20"/>
          <w:szCs w:val="20"/>
        </w:rPr>
        <w:instrText>=</w:instrText>
      </w:r>
      <w:r w:rsidR="006E1E08" w:rsidRPr="00842F43">
        <w:rPr>
          <w:rFonts w:ascii="Arial" w:hAnsi="Arial" w:cs="Arial"/>
          <w:sz w:val="20"/>
          <w:szCs w:val="20"/>
        </w:rPr>
        <w:instrText> </w:instrText>
      </w:r>
      <w:r w:rsidR="006E1E08" w:rsidRPr="00842F43">
        <w:rPr>
          <w:rFonts w:ascii="Fira Sans" w:hAnsi="Fira Sans"/>
          <w:sz w:val="20"/>
          <w:szCs w:val="20"/>
        </w:rPr>
        <w:instrText>12; 669 participants) delivered usual care during a baseline period followed by an intervention period. The preventive, complex psychological intervention comprised promotion of a therapeutic ICU environment plus 3 stress support sessions and a relaxation and recovery program delivered by trained ICU nurses to high-risk (acutely stressed) patients. Control ICUs (n</w:instrText>
      </w:r>
      <w:r w:rsidR="006E1E08" w:rsidRPr="00842F43">
        <w:rPr>
          <w:rFonts w:ascii="Arial" w:hAnsi="Arial" w:cs="Arial"/>
          <w:sz w:val="20"/>
          <w:szCs w:val="20"/>
        </w:rPr>
        <w:instrText> </w:instrText>
      </w:r>
      <w:r w:rsidR="006E1E08" w:rsidRPr="00842F43">
        <w:rPr>
          <w:rFonts w:ascii="Fira Sans" w:hAnsi="Fira Sans"/>
          <w:sz w:val="20"/>
          <w:szCs w:val="20"/>
        </w:rPr>
        <w:instrText>=</w:instrText>
      </w:r>
      <w:r w:rsidR="006E1E08" w:rsidRPr="00842F43">
        <w:rPr>
          <w:rFonts w:ascii="Arial" w:hAnsi="Arial" w:cs="Arial"/>
          <w:sz w:val="20"/>
          <w:szCs w:val="20"/>
        </w:rPr>
        <w:instrText> </w:instrText>
      </w:r>
      <w:r w:rsidR="006E1E08" w:rsidRPr="00842F43">
        <w:rPr>
          <w:rFonts w:ascii="Fira Sans" w:hAnsi="Fira Sans"/>
          <w:sz w:val="20"/>
          <w:szCs w:val="20"/>
        </w:rPr>
        <w:instrText xml:space="preserve">12; 789 participants) delivered usual care in both baseline and intervention periods.&lt;/p&gt;&lt;h3&gt;Main Outcomes and Measures&lt;/h3&gt;&lt;p&gt;The primary clinical outcome was PTSD symptom severity among survivors at 6 months measured using the PTSD Symptom Scale–Self-Report questionnaire (score range, 0-51, with higher scores indicating greater symptom severity; the minimal clinically important difference was considered to be 4.2 points).&lt;/p&gt;&lt;h3&gt;Results&lt;/h3&gt;&lt;p&gt;Among 1458 enrolled patients (mean [SD] age, 58 [16] years; 599 women [41%]), 1353 (93%) completed the study and were included in the final analysis. At 6 months, the mean PTSD Symptom Scale–Self-Report questionnaire score in intervention ICUs was 11.8 (baseline period) compared with 11.5 (intervention period) (difference, </w:instrText>
      </w:r>
      <w:r w:rsidR="006E1E08" w:rsidRPr="00842F43">
        <w:rPr>
          <w:rFonts w:ascii="Fira Sans" w:hAnsi="Fira Sans" w:cs="Cambria Math"/>
          <w:sz w:val="20"/>
          <w:szCs w:val="20"/>
        </w:rPr>
        <w:instrText>−</w:instrText>
      </w:r>
      <w:r w:rsidR="006E1E08" w:rsidRPr="00842F43">
        <w:rPr>
          <w:rFonts w:ascii="Fira Sans" w:hAnsi="Fira Sans"/>
          <w:sz w:val="20"/>
          <w:szCs w:val="20"/>
        </w:rPr>
        <w:instrText xml:space="preserve">0.40 [95% CI, </w:instrText>
      </w:r>
      <w:r w:rsidR="006E1E08" w:rsidRPr="00842F43">
        <w:rPr>
          <w:rFonts w:ascii="Fira Sans" w:hAnsi="Fira Sans" w:cs="Cambria Math"/>
          <w:sz w:val="20"/>
          <w:szCs w:val="20"/>
        </w:rPr>
        <w:instrText>−</w:instrText>
      </w:r>
      <w:r w:rsidR="006E1E08" w:rsidRPr="00842F43">
        <w:rPr>
          <w:rFonts w:ascii="Fira Sans" w:hAnsi="Fira Sans"/>
          <w:sz w:val="20"/>
          <w:szCs w:val="20"/>
        </w:rPr>
        <w:instrText xml:space="preserve">2.46 to 1.67]) and in control ICUs, 10.1 (baseline period) compared with 10.2 (intervention period) (difference, 0.06 [95% CI, </w:instrText>
      </w:r>
      <w:r w:rsidR="006E1E08" w:rsidRPr="00842F43">
        <w:rPr>
          <w:rFonts w:ascii="Fira Sans" w:hAnsi="Fira Sans" w:cs="Cambria Math"/>
          <w:sz w:val="20"/>
          <w:szCs w:val="20"/>
        </w:rPr>
        <w:instrText>−</w:instrText>
      </w:r>
      <w:r w:rsidR="006E1E08" w:rsidRPr="00842F43">
        <w:rPr>
          <w:rFonts w:ascii="Fira Sans" w:hAnsi="Fira Sans"/>
          <w:sz w:val="20"/>
          <w:szCs w:val="20"/>
        </w:rPr>
        <w:instrText>1.74 to 1.85]) between periods. There was no significant difference in PTSD symptom severity at 6 months (treatment effect estimat…","author":[{"dropping-particle":"","family":"Wade","given":"Dorothy M.","non-dropping-particle":"","parse-names":false,"suffix":""},{"dropping-particle":"","family":"Mouncey","given":"Paul R.","non-dropping-particle":"","parse-names":false,"suffix":""},{"dropping-particle":"","family":"Richards-Belle","given":"Alvin","non-dropping-particle":"","parse-names":false,"suffix":""},{"dropping-particle":"","family":"Wulff","given":"Jerome","non-dropping-particle":"","parse-names":false,"suffix":""},{"dropping-particle":"","family":"Harrison","given":"David A.","non-dropping-particle":"","parse-names":false,"suffix":""},{"dropping-particle":"","family":"Sadique","given":"M. Zia","non-dropping-particle":"","parse-names":false,"suffix":""},{"dropping-particle":"","family":"Grieve","given":"Richard D.","non-dropping-particle":"","parse-names":false,"suffix":""},{"dropping-particle":"","family":"Emerson","given":"Lydia M.","non-dropping-particle":"","parse-names":false,"suffix":""},{"dropping-particle":"","family":"Mason","given":"Alexina J.","non-dropping-particle":"","parse-names":false,"suffix":""},{"dropping-particle":"","family":"Aaronovitch","given":"David","non-dropping-particle":"","parse-names":false,"suffix":""},{"dropping-particle":"","family":"Als","given":"Nicole","non-dropping-particle":"","parse-names":false,"suffix":""},{"dropping-particle":"","family":"Brewin","given":"Chris R.","non-dropping-particle":"","parse-names":false,"suffix":""},{"dropping-particle":"","family":"Harvey","given":"Sheila E.","non-dropping-particle":"","parse-names":false,"suffix":""},{"dropping-particle":"","family":"Howell","given":"David C. J.","non-dropping-particle":"","parse-names":false,"suffix":""},{"dropping-particle":"","family":"Hudson","given":"Nicholas","non-dropping-particle":"","parse-names":false,"suffix":""},{"dropping-particle":"","family":"Mythen","given":"Monty G.","non-dropping-particle":"","parse-names":false,"suffix":""},{"dropping-particle":"","family":"Smyth","given":"Deborah","non-dropping-particle":"","parse-names":false,"suffix":""},{"dropping-particle":"","family":"Weinman","given":"John","non-dropping-particle":"","parse-names":false,"suffix":""},{"dropping-particle":"","family":"Welch","given":"John","non-dropping-particle":"","parse-names":false,"suffix":""},{"dropping-particle":"","family":"Whitman","given":"Chris","non-dropping-particle":"","parse-names":false,"suffix":""},{"dropping-particle":"","family":"Rowan","given":"Kathryn M.","non-dropping-particle":"","parse-names":false,"suffix":""},{"dropping-particle":"","family":"Investigators","given":"for the POPPI Trial","non-dropping-particle":"","parse-names":false,"suffix":""}],"container-title":"JAMA","id":"ITEM-1","issue":"7","issued":{"date-parts":[["2019","2","19"]]},"page":"665","publisher":"American Medical Association","title":"Effect of a Nurse-Led Preventive Psychological Intervention on Symptoms of Posttraumatic Stress Disorder Among Critically Ill Patients","type":"article-journal","volume":"321"},"uris":["http://www.mendeley.com/documents/?uuid=d02d608b-9f62-35e2-962b-f636c5c32968"]}],"mendeley":{"formattedCitation":"(18)","plainTextFormattedCitation":"(18)","previouslyFormattedCitation":"(18)"},"properties":{"noteIndex":0},"schema":"https://github.com/citation-style-language/schema/raw/master/csl-citation.json"}</w:instrText>
      </w:r>
      <w:r w:rsidR="00264797" w:rsidRPr="00842F43">
        <w:rPr>
          <w:rFonts w:ascii="Fira Sans" w:hAnsi="Fira Sans"/>
          <w:sz w:val="20"/>
          <w:szCs w:val="20"/>
        </w:rPr>
        <w:fldChar w:fldCharType="separate"/>
      </w:r>
      <w:r w:rsidR="003812D3" w:rsidRPr="00842F43">
        <w:rPr>
          <w:rFonts w:ascii="Fira Sans" w:hAnsi="Fira Sans"/>
          <w:noProof/>
          <w:sz w:val="20"/>
          <w:szCs w:val="20"/>
        </w:rPr>
        <w:t>(18)</w:t>
      </w:r>
      <w:r w:rsidR="00264797" w:rsidRPr="00842F43">
        <w:rPr>
          <w:rFonts w:ascii="Fira Sans" w:hAnsi="Fira Sans"/>
          <w:sz w:val="20"/>
          <w:szCs w:val="20"/>
        </w:rPr>
        <w:fldChar w:fldCharType="end"/>
      </w:r>
      <w:r w:rsidRPr="00842F43">
        <w:rPr>
          <w:rFonts w:ascii="Fira Sans" w:hAnsi="Fira Sans"/>
          <w:sz w:val="20"/>
          <w:szCs w:val="20"/>
        </w:rPr>
        <w:t xml:space="preserve"> has provided mixed evidence of benefit. </w:t>
      </w:r>
      <w:r w:rsidR="00614CEA" w:rsidRPr="00842F43">
        <w:rPr>
          <w:rFonts w:ascii="Fira Sans" w:hAnsi="Fira Sans"/>
          <w:sz w:val="20"/>
          <w:szCs w:val="20"/>
        </w:rPr>
        <w:t xml:space="preserve">More recently, calls have grown for collaboration with </w:t>
      </w:r>
      <w:r w:rsidR="00D515C0" w:rsidRPr="00842F43">
        <w:rPr>
          <w:rFonts w:ascii="Fira Sans" w:hAnsi="Fira Sans"/>
          <w:sz w:val="20"/>
          <w:szCs w:val="20"/>
        </w:rPr>
        <w:t xml:space="preserve">our </w:t>
      </w:r>
      <w:r w:rsidR="00614CEA" w:rsidRPr="00842F43">
        <w:rPr>
          <w:rFonts w:ascii="Fira Sans" w:hAnsi="Fira Sans"/>
          <w:sz w:val="20"/>
          <w:szCs w:val="20"/>
        </w:rPr>
        <w:t>colleagues in mental health</w:t>
      </w:r>
      <w:r w:rsidR="00614CEA" w:rsidRPr="00842F43">
        <w:rPr>
          <w:rFonts w:ascii="Fira Sans" w:hAnsi="Fira Sans"/>
          <w:sz w:val="20"/>
          <w:szCs w:val="20"/>
        </w:rPr>
        <w:fldChar w:fldCharType="begin" w:fldLock="1"/>
      </w:r>
      <w:r w:rsidR="006E1E08" w:rsidRPr="00842F43">
        <w:rPr>
          <w:rFonts w:ascii="Fira Sans" w:hAnsi="Fira Sans"/>
          <w:sz w:val="20"/>
          <w:szCs w:val="20"/>
        </w:rPr>
        <w:instrText>ADDIN CSL_CITATION {"citationItems":[{"id":"ITEM-1","itemData":{"DOI":"10.1186/s12888-022-03855-w","ISSN":"1471-244X","PMID":"35303814","abstract":"BACKGROUND Many critical illness survivors experience new or worsening mental health impairments. Psychiatry consultation services can provide a critical role in identifying, addressing, and preventing mental health challenges during and after admission to the acute medical care setting. However, psychiatry involvement in the ICU setting is lower than in other hospital settings and the conventional process in many hospitals requires other care providers to request consultation by psychiatry. Despite these differences, no studies have sought ICU provider perspectives on psychiatry consultation's current and desired role. We aimed to obtain stakeholder feedback on psychiatry's current and desired roles in the ICU, and potential benefits and drawbacks of increasing psychiatry's presence. METHODS A web-based survey obtained perspectives from 373 critical care physicians and advance practice providers, bedside nurses, physical and occupational therapists, pharmacists, and consultation-liaison psychiatry physicians and advance practice providers at a tertiary care center using multiple choice and open-ended questions. Descriptive information and content analysis of qualitative data provided information on stakeholder perspectives. RESULTS Psychiatry's primary current role was seen as assistance with management of mental health issues (38%) and suicide risk assessments (23%). 46% wished for psychiatry's increased involvement in the ICU. Perceived benefits of increased psychiatry presence in the ICU included early psychological support in parallel with medical care, identification of psychiatric factors impacting treatment, and facilitation of family understanding of the patient's mental state/delirium. An additional perceived benefit included reduction in provider burnout through processing difficult situations and decreasing family psychological distress. However, one concern included potential conflict among providers regarding treatment. CONCLUSIONS Those who work closely with the critically ill patients think that increased psychological support in the ICU would be beneficial. By contrast, psychiatry's current involvement is seen to be limited, perhaps driven by varying perceptions of what psychiatry's role is or should be.","author":[{"dropping-particle":"","family":"Bieber","given":"Ewa D","non-dropping-particle":"","parse-names":false,"suffix":""},{"dropping-particle":"","family":"Philbrick","given":"Kemuel L","non-dropping-particle":"","parse-names":false,"suffix":""},{"dropping-particle":"","family":"Shapiro","given":"Jenna B","non-dropping-particle":"","parse-names":false,"suffix":""},{"dropping-particle":"V","family":"Karnatovskaia","given":"Lioudmila","non-dropping-particle":"","parse-names":false,"suffix":""}],"container-title":"BMC psychiatry","id":"ITEM-1","issue":"1","issued":{"date-parts":[["2022"]]},"page":"198","publisher":"BMC Psychiatry","title":"Psychiatry's role in the prevention of post-intensive care mental health impairment: stakeholder survey.","type":"article-journal","volume":"22"},"uris":["http://www.mendeley.com/documents/?uuid=0d78019e-e2fa-31f2-bff6-8ad4632043db"]},{"id":"ITEM-2","itemData":{"DOI":"10.1007/s00134-022-06743-9","author":[{"dropping-particle":"","family":"Fernando","given":"Shannon M","non-dropping-particle":"","parse-names":false,"suffix":""},{"dropping-particle":"","family":"Ranzani","given":"Otavio T","non-dropping-particle":"","parse-names":false,"suffix":""},{"dropping-particle":"","family":"Herridge","given":"Margaret S","non-dropping-particle":"","parse-names":false,"suffix":""}],"id":"ITEM-2","issued":{"date-parts":[["2022"]]},"title":"Mental health morbidity, self-harm, and suicide in ICU survivors and caregivers Mental health morbidity among ICU survivors","type":"article-journal"},"uris":["http://www.mendeley.com/documents/?uuid=9aa27651-5a34-3c19-81b8-6e43e40710c0"]}],"mendeley":{"formattedCitation":"(19,20)","plainTextFormattedCitation":"(19,20)","previouslyFormattedCitation":"(19,20)"},"properties":{"noteIndex":0},"schema":"https://github.com/citation-style-language/schema/raw/master/csl-citation.json"}</w:instrText>
      </w:r>
      <w:r w:rsidR="00614CEA" w:rsidRPr="00842F43">
        <w:rPr>
          <w:rFonts w:ascii="Fira Sans" w:hAnsi="Fira Sans"/>
          <w:sz w:val="20"/>
          <w:szCs w:val="20"/>
        </w:rPr>
        <w:fldChar w:fldCharType="separate"/>
      </w:r>
      <w:r w:rsidR="003812D3" w:rsidRPr="00842F43">
        <w:rPr>
          <w:rFonts w:ascii="Fira Sans" w:hAnsi="Fira Sans"/>
          <w:noProof/>
          <w:sz w:val="20"/>
          <w:szCs w:val="20"/>
        </w:rPr>
        <w:t>(19,20)</w:t>
      </w:r>
      <w:r w:rsidR="00614CEA" w:rsidRPr="00842F43">
        <w:rPr>
          <w:rFonts w:ascii="Fira Sans" w:hAnsi="Fira Sans"/>
          <w:sz w:val="20"/>
          <w:szCs w:val="20"/>
        </w:rPr>
        <w:fldChar w:fldCharType="end"/>
      </w:r>
      <w:r w:rsidR="00614CEA" w:rsidRPr="00842F43">
        <w:rPr>
          <w:rFonts w:ascii="Fira Sans" w:hAnsi="Fira Sans"/>
          <w:sz w:val="20"/>
          <w:szCs w:val="20"/>
        </w:rPr>
        <w:t>. Eye movement desensitisation and reprocessing (EMDR) is a trauma-focussed psychotherapy believed to reduce distress by facilitating recall, processing and integration of traumatic memories within a positive emotional and cognitive framework.</w:t>
      </w:r>
      <w:r w:rsidR="00614CEA" w:rsidRPr="00842F43">
        <w:rPr>
          <w:rFonts w:ascii="Fira Sans" w:hAnsi="Fira Sans"/>
          <w:sz w:val="20"/>
          <w:szCs w:val="20"/>
          <w:vertAlign w:val="superscript"/>
        </w:rPr>
        <w:fldChar w:fldCharType="begin" w:fldLock="1"/>
      </w:r>
      <w:r w:rsidR="004A6C3B" w:rsidRPr="00842F43">
        <w:rPr>
          <w:rFonts w:ascii="Fira Sans" w:hAnsi="Fira Sans"/>
          <w:sz w:val="20"/>
          <w:szCs w:val="20"/>
          <w:vertAlign w:val="superscript"/>
        </w:rPr>
        <w:instrText>ADDIN CSL_CITATION {"citationItems":[{"id":"ITEM-1","itemData":{"DOI":"10.1016/J.RPSM.2015.12.002","abstract":"Eye movement desensitization and reprocessing (EMDR) is a relatively new psychotherapy that has gradually gained popularity for the treatment of post-traumatic stress disorder. In the present work, the standardised EMDR protocol is introduced, along with current hypotheses of its mechanism of action, as well as a critical review of the available literature on its clinical effectiveness in adult post-traumatic stress disorder. A systematic review of the published literature was performed using PubMed and PsycINFO databases with the keywords «eye movement desensitization and reprocessing» and «post-traumatic stress disorder» and its abbreviations «EMDR» and «PTSD». Fifteen randomised controlled trials of good methodological quality were selected. These studies compared EMDR with unspecific interventions, waiting lists, or specific therapies. Overall, the results of these studies suggest that EMDR is a useful, evidence-based tool for the treatment of post-traumatic stress disorder, in line with recent recommendations from different international health organisations.","author":[{"dropping-particle":"","family":"Novo Navarro","given":"Patricia","non-dropping-particle":"","parse-names":false,"suffix":""},{"dropping-particle":"","family":"Landin-Romero","given":"Ramón","non-dropping-particle":"","parse-names":false,"suffix":""},{"dropping-particle":"","family":"Guardiola-Wanden-Berghe","given":"Rocio","non-dropping-particle":"","parse-names":false,"suffix":""},{"dropping-particle":"","family":"Moreno-Alcázar","given":"Ana","non-dropping-particle":"","parse-names":false,"suffix":""},{"dropping-particle":"","family":"Valiente-Gómez","given":"Alicia","non-dropping-particle":"","parse-names":false,"suffix":""},{"dropping-particle":"","family":"Lupo","given":"Walter","non-dropping-particle":"","parse-names":false,"suffix":""},{"dropping-particle":"","family":"García","given":"Francisca","non-dropping-particle":"","parse-names":false,"suffix":""},{"dropping-particle":"","family":"Fernández","given":"Isabel","non-dropping-particle":"","parse-names":false,"suffix":""},{"dropping-particle":"","family":"Pérez","given":"Víctor","non-dropping-particle":"","parse-names":false,"suffix":""},{"dropping-particle":"","family":"Amann","given":"Benedikt L.","non-dropping-particle":"","parse-names":false,"suffix":""}],"container-title":"Revista de Psiquiatría  y Salud Mental","id":"ITEM-1","issue":"2","issued":{"date-parts":[["2018","4","1"]]},"page":"101-114","publisher":"Elsevier Doyma","title":"25 years of Eye Movement Desensitization and Reprocessing (EMDR): The EMDR therapy protocol, hypotheses of its mechanism of action and a systematic review of its efficacy in the treatment of post-traumatic stress disorder","type":"article-journal","volume":"11"},"uris":["http://www.mendeley.com/documents/?uuid=51d0f9c5-f74d-39d5-9ba3-2c0e0760b6c7"]}],"mendeley":{"formattedCitation":"(21)","manualFormatting":"(21)","plainTextFormattedCitation":"(21)","previouslyFormattedCitation":"(21)"},"properties":{"noteIndex":0},"schema":"https://github.com/citation-style-language/schema/raw/master/csl-citation.json"}</w:instrText>
      </w:r>
      <w:r w:rsidR="00614CEA" w:rsidRPr="00842F43">
        <w:rPr>
          <w:rFonts w:ascii="Fira Sans" w:hAnsi="Fira Sans"/>
          <w:sz w:val="20"/>
          <w:szCs w:val="20"/>
          <w:vertAlign w:val="superscript"/>
        </w:rPr>
        <w:fldChar w:fldCharType="separate"/>
      </w:r>
      <w:r w:rsidR="00614CEA" w:rsidRPr="00842F43">
        <w:rPr>
          <w:rFonts w:ascii="Fira Sans" w:hAnsi="Fira Sans"/>
          <w:noProof/>
          <w:sz w:val="20"/>
          <w:szCs w:val="20"/>
          <w:vertAlign w:val="superscript"/>
        </w:rPr>
        <w:t>(</w:t>
      </w:r>
      <w:r w:rsidR="004A6C3B" w:rsidRPr="00842F43">
        <w:rPr>
          <w:rFonts w:ascii="Fira Sans" w:hAnsi="Fira Sans"/>
          <w:noProof/>
          <w:sz w:val="20"/>
          <w:szCs w:val="20"/>
          <w:vertAlign w:val="superscript"/>
        </w:rPr>
        <w:t>21</w:t>
      </w:r>
      <w:r w:rsidR="00614CEA" w:rsidRPr="00842F43">
        <w:rPr>
          <w:rFonts w:ascii="Fira Sans" w:hAnsi="Fira Sans"/>
          <w:noProof/>
          <w:sz w:val="20"/>
          <w:szCs w:val="20"/>
          <w:vertAlign w:val="superscript"/>
        </w:rPr>
        <w:t>)</w:t>
      </w:r>
      <w:r w:rsidR="00614CEA" w:rsidRPr="00842F43">
        <w:rPr>
          <w:rFonts w:ascii="Fira Sans" w:hAnsi="Fira Sans"/>
          <w:sz w:val="20"/>
          <w:szCs w:val="20"/>
          <w:vertAlign w:val="superscript"/>
        </w:rPr>
        <w:fldChar w:fldCharType="end"/>
      </w:r>
      <w:r w:rsidR="00614CEA" w:rsidRPr="00842F43">
        <w:rPr>
          <w:rFonts w:ascii="Fira Sans" w:hAnsi="Fira Sans"/>
          <w:sz w:val="20"/>
          <w:szCs w:val="20"/>
          <w:vertAlign w:val="superscript"/>
        </w:rPr>
        <w:t xml:space="preserve"> </w:t>
      </w:r>
      <w:r w:rsidR="00614CEA" w:rsidRPr="00842F43">
        <w:rPr>
          <w:rFonts w:ascii="Fira Sans" w:hAnsi="Fira Sans"/>
          <w:sz w:val="20"/>
          <w:szCs w:val="20"/>
        </w:rPr>
        <w:t>Meta-analyses report reductions in post-traumatic, anxiety and depressive symptoms following a range of traumatic events, including life</w:t>
      </w:r>
      <w:r w:rsidR="00D515C0" w:rsidRPr="00842F43">
        <w:rPr>
          <w:rFonts w:ascii="Fira Sans" w:hAnsi="Fira Sans"/>
          <w:sz w:val="20"/>
          <w:szCs w:val="20"/>
        </w:rPr>
        <w:t>-</w:t>
      </w:r>
      <w:r w:rsidR="00614CEA" w:rsidRPr="00842F43">
        <w:rPr>
          <w:rFonts w:ascii="Fira Sans" w:hAnsi="Fira Sans"/>
          <w:sz w:val="20"/>
          <w:szCs w:val="20"/>
        </w:rPr>
        <w:t>threatening medical events.</w:t>
      </w:r>
      <w:r w:rsidR="00614CEA" w:rsidRPr="00842F43">
        <w:rPr>
          <w:rFonts w:ascii="Fira Sans" w:hAnsi="Fira Sans"/>
          <w:sz w:val="20"/>
          <w:szCs w:val="20"/>
          <w:vertAlign w:val="superscript"/>
        </w:rPr>
        <w:fldChar w:fldCharType="begin" w:fldLock="1"/>
      </w:r>
      <w:r w:rsidR="006E1E08" w:rsidRPr="00842F43">
        <w:rPr>
          <w:rFonts w:ascii="Fira Sans" w:hAnsi="Fira Sans"/>
          <w:sz w:val="20"/>
          <w:szCs w:val="20"/>
          <w:vertAlign w:val="superscript"/>
        </w:rPr>
        <w:instrText xml:space="preserve">ADDIN CSL_CITATION {"citationItems":[{"id":"ITEM-1","itemData":{"DOI":"10.1017/S0033291720000070","ISSN":"0033-2917","abstract":"BackgroundPost-traumatic stress disorder (PTSD) is a potentially chronic and disabling disorder affecting a significant minority of people exposed to trauma. Various psychological treatments have been shown to be effective, but their relative effects are not well established.MethodsWe undertook a systematic review and network meta-analyses of psychological interventions for adults with PTSD. Outcomes included PTSD symptom change scores post-treatment and at 1–4-month follow-up, and remission post-treatment.ResultsWe included 90 trials, 6560 individuals and 22 interventions. Evidence was of moderate-to-low quality. Eye movement desensitisation and reprocessing (EMDR) [standardised mean difference (SMD)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2.07; 95% credible interval (CrI)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2.70 to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1.44], combined somatic/cognitive therapies (SMD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1.69; 95% CrI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2.66 to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0.73), trauma-focused cognitive behavioural therapy (TF-CBT) (SMD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1.46; 95% CrI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1.87 to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1.05) and self-help with support (SMD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1.46; 95% CrI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 xml:space="preserve">2.33 to </w:instrText>
      </w:r>
      <w:r w:rsidR="006E1E08" w:rsidRPr="00842F43">
        <w:rPr>
          <w:rFonts w:ascii="Fira Sans" w:hAnsi="Fira Sans" w:cs="Cambria Math"/>
          <w:sz w:val="20"/>
          <w:szCs w:val="20"/>
          <w:vertAlign w:val="superscript"/>
        </w:rPr>
        <w:instrText>−</w:instrText>
      </w:r>
      <w:r w:rsidR="006E1E08" w:rsidRPr="00842F43">
        <w:rPr>
          <w:rFonts w:ascii="Fira Sans" w:hAnsi="Fira Sans"/>
          <w:sz w:val="20"/>
          <w:szCs w:val="20"/>
          <w:vertAlign w:val="superscript"/>
        </w:rPr>
        <w:instrText>0.59) appeared to be most effective at reducing PTSD symptoms post-treatment v. waitlist, followed by non-TF-CBT, TF-CBT combined with a selective serotonin reuptake inhibitor (SSRI), SSRIs, self-help without support and counselling. EMDR and TF-CBT showed sustained effects at 1–4-month follow-up. EMDR, TF-CBT, self-help with support and counselling improved remission rates post-treatment. Results for other interventions were either inconclusive or based on limited evidence.ConclusionsEMDR and TF-CBT appear to be most effective at reducing symptoms and improving remission rates in adults with PTSD. They are also effective at sustaining symptom improvements beyond treatment endpoint. Further research needs to explore the long-term comparative effectiveness of psychological therapies for adults with PTSD and also the impact of severity and complexity of PTSD on treatment outcomes.","author":[{"dropping-particle":"","family":"Mavranezouli","given":"Ifigeneia","non-dropping-particle":"","parse-names":false,"suffix":""},{"dropping-particle":"","family":"Megnin-Viggars","given":"Odette","non-dropping-particle":"","parse-names":false,"suffix":""},{"dropping-particle":"","family":"Daly","given":"Caitlin","non-dropping-particle":"","parse-names":false,"suffix":""},{"dropping-particle":"","family":"Dias","given":"Sofia","non-dropping-particle":"","parse-names":false,"suffix":""},{"dropping-particle":"","family":"Welton","given":"Nicky J.","non-dropping-particle":"","parse-names":false,"suffix":""},{"dropping-particle":"","family":"Stockton","given":"Sarah","non-dropping-particle":"","parse-names":false,"suffix":""},{"dropping-particle":"","family":"Bhutani","given":"Gita","non-dropping-particle":"","parse-names":false,"suffix":""},{"dropping-particle":"","family":"Grey","given":"Nick","non-dropping-particle":"","parse-names":false,"suffix":""},{"dropping-particle":"","family":"Leach","given":"Jonathan","non-dropping-particle":"","parse-names":false,"suffix":""},{"dropping-particle":"","family":"Greenberg","given":"Neil","non-dropping-particle":"","parse-names":false,"suffix":""},{"dropping-particle":"","family":"Katona","given":"Cornelius","non-dropping-particle":"","parse-names":false,"suffix":""},{"dropping-particle":"","family":"El-Leithy","given":"Sharif","non-dropping-particle":"","parse-names":false,"suffix":""},{"dropping-particle":"","family":"Pilling","given":"Stephen","non-dropping-particle":"","parse-names":false,"suffix":""}],"container-title":"Psychological Medicine","id":"ITEM-1","issue":"4","issued":{"date-parts":[["2020","3","17"]]},"page":"542-555","publisher":"Cambridge University Press","title":"Psychological treatments for post-traumatic stress disorder in adults: a network meta-analysis","type":"article-journal","volume":"50"},"uris":["http://www.mendeley.com/documents/?uuid=0898b811-f0d7-3d11-b30b-e9ee755503ec"]},{"id":"ITEM-2","itemData":{"DOI":"10.1002/14651858.CD003388.pub4","ISSN":"14651858","author":[{"dropping-particle":"","family":"Bisson","given":"Jonathan I","non-dropping-particle":"","parse-names":false,"suffix":""},{"dropping-particle":"","family":"Roberts","given":"Neil P","non-dropping-particle":"","parse-names":false,"suffix":""},{"dropping-particle":"","family":"Andrew","given":"Martin","non-dropping-particle":"","parse-names":false,"suffix":""},{"dropping-particle":"","family":"Cooper","given":"Rosalind","non-dropping-particle":"","parse-names":false,"suffix":""},{"dropping-particle":"","family":"Lewis","given":"Catrin","non-dropping-particle":"","parse-names":false,"suffix":""}],"container-title":"Cochrane Database of Systematic Reviews","id":"ITEM-2","issue":"12","issued":{"date-parts":[["2013","12","13"]]},"publisher":"John Wiley &amp; Sons, Ltd","title":"Psychological therapies for chronic post-traumatic stress disorder (PTSD) in adults","type":"article-journal"},"uris":["http://www.mendeley.com/documents/?uuid=28ea87be-0ef9-398c-9de8-b92c0770023e"]}],"mendeley":{"formattedCitation":"(22,23)","manualFormatting":"(15,16)","plainTextFormattedCitation":"(22,23)","previouslyFormattedCitation":"(22,23)"},"properties":{"noteIndex":0},"schema":"https://github.com/citation-style-language/schema/raw/master/csl-citation.json"}</w:instrText>
      </w:r>
      <w:r w:rsidR="00614CEA" w:rsidRPr="00842F43">
        <w:rPr>
          <w:rFonts w:ascii="Fira Sans" w:hAnsi="Fira Sans"/>
          <w:sz w:val="20"/>
          <w:szCs w:val="20"/>
          <w:vertAlign w:val="superscript"/>
        </w:rPr>
        <w:fldChar w:fldCharType="separate"/>
      </w:r>
      <w:r w:rsidR="00614CEA" w:rsidRPr="00842F43">
        <w:rPr>
          <w:rFonts w:ascii="Fira Sans" w:hAnsi="Fira Sans"/>
          <w:noProof/>
          <w:sz w:val="20"/>
          <w:szCs w:val="20"/>
          <w:vertAlign w:val="superscript"/>
        </w:rPr>
        <w:t>(</w:t>
      </w:r>
      <w:r w:rsidR="004A6C3B" w:rsidRPr="00842F43">
        <w:rPr>
          <w:rFonts w:ascii="Fira Sans" w:hAnsi="Fira Sans"/>
          <w:noProof/>
          <w:sz w:val="20"/>
          <w:szCs w:val="20"/>
          <w:vertAlign w:val="superscript"/>
        </w:rPr>
        <w:t>22,23</w:t>
      </w:r>
      <w:r w:rsidR="00614CEA" w:rsidRPr="00842F43">
        <w:rPr>
          <w:rFonts w:ascii="Fira Sans" w:hAnsi="Fira Sans"/>
          <w:noProof/>
          <w:sz w:val="20"/>
          <w:szCs w:val="20"/>
          <w:vertAlign w:val="superscript"/>
        </w:rPr>
        <w:t>)</w:t>
      </w:r>
      <w:r w:rsidR="00614CEA" w:rsidRPr="00842F43">
        <w:rPr>
          <w:rFonts w:ascii="Fira Sans" w:hAnsi="Fira Sans"/>
          <w:sz w:val="20"/>
          <w:szCs w:val="20"/>
          <w:vertAlign w:val="superscript"/>
        </w:rPr>
        <w:fldChar w:fldCharType="end"/>
      </w:r>
      <w:r w:rsidR="00614CEA" w:rsidRPr="00842F43">
        <w:rPr>
          <w:rFonts w:ascii="Fira Sans" w:hAnsi="Fira Sans"/>
          <w:sz w:val="20"/>
          <w:szCs w:val="20"/>
        </w:rPr>
        <w:t xml:space="preserve"> International organisations recommend EMDR as an effective and cost-effective treatment for PTSD.</w:t>
      </w:r>
      <w:r w:rsidR="00614CEA" w:rsidRPr="00842F43">
        <w:rPr>
          <w:rFonts w:ascii="Fira Sans" w:hAnsi="Fira Sans"/>
          <w:sz w:val="20"/>
          <w:szCs w:val="20"/>
          <w:vertAlign w:val="superscript"/>
        </w:rPr>
        <w:fldChar w:fldCharType="begin" w:fldLock="1"/>
      </w:r>
      <w:r w:rsidR="006E1E08" w:rsidRPr="00842F43">
        <w:rPr>
          <w:rFonts w:ascii="Fira Sans" w:hAnsi="Fira Sans"/>
          <w:sz w:val="20"/>
          <w:szCs w:val="20"/>
          <w:vertAlign w:val="superscript"/>
        </w:rPr>
        <w:instrText>ADDIN CSL_CITATION {"citationItems":[{"id":"ITEM-1","itemData":{"ISBN":"9789241505406","author":[{"dropping-particle":"","family":"Ommeren","given":"Mark","non-dropping-particle":"Van","parse-names":false,"suffix":""}],"id":"ITEM-1","issued":{"date-parts":[["2013"]]},"title":"Guidelines for the Management of Conditions Specifically Related to Stress i WHO Library Cataloguing-in-Publication Data","type":"book"},"uris":["http://www.mendeley.com/documents/?uuid=f1fe0cfc-58ed-3a61-835f-050cacc5a868"]},{"id":"ITEM-2","itemData":{"ISBN":"978-1-4731-3181-1","abstract":"This guideline covers recognising, assessing and treating post-traumatic stress disorder (PTSD) in children, young people and adults. It aims to improve quality of life by reducing symptoms of PTSD such as anxiety, sleep problems and difficulties with concentration. Recommendations also aim to raise awareness of the condition and improve coordination of care.","author":[{"dropping-particle":"","family":"NICE","given":"","non-dropping-particle":"","parse-names":false,"suffix":""}],"container-title":"NICE Guidance","id":"ITEM-2","issued":{"date-parts":[["2018"]]},"title":"Post-traumatic stress disorder: NICE guideline","type":"book"},"uris":["http://www.mendeley.com/documents/?uuid=bfd956c0-0861-45c0-8d10-c798de9c449e"]}],"mendeley":{"formattedCitation":"(24,25)","manualFormatting":"(17,18)","plainTextFormattedCitation":"(24,25)","previouslyFormattedCitation":"(24,25)"},"properties":{"noteIndex":0},"schema":"https://github.com/citation-style-language/schema/raw/master/csl-citation.json"}</w:instrText>
      </w:r>
      <w:r w:rsidR="00614CEA" w:rsidRPr="00842F43">
        <w:rPr>
          <w:rFonts w:ascii="Fira Sans" w:hAnsi="Fira Sans"/>
          <w:sz w:val="20"/>
          <w:szCs w:val="20"/>
          <w:vertAlign w:val="superscript"/>
        </w:rPr>
        <w:fldChar w:fldCharType="separate"/>
      </w:r>
      <w:r w:rsidR="00614CEA" w:rsidRPr="00842F43">
        <w:rPr>
          <w:rFonts w:ascii="Fira Sans" w:hAnsi="Fira Sans"/>
          <w:noProof/>
          <w:sz w:val="20"/>
          <w:szCs w:val="20"/>
          <w:vertAlign w:val="superscript"/>
        </w:rPr>
        <w:t>(</w:t>
      </w:r>
      <w:r w:rsidR="004A6C3B" w:rsidRPr="00842F43">
        <w:rPr>
          <w:rFonts w:ascii="Fira Sans" w:hAnsi="Fira Sans"/>
          <w:noProof/>
          <w:sz w:val="20"/>
          <w:szCs w:val="20"/>
          <w:vertAlign w:val="superscript"/>
        </w:rPr>
        <w:t>24,25</w:t>
      </w:r>
      <w:r w:rsidR="00614CEA" w:rsidRPr="00842F43">
        <w:rPr>
          <w:rFonts w:ascii="Fira Sans" w:hAnsi="Fira Sans"/>
          <w:noProof/>
          <w:sz w:val="20"/>
          <w:szCs w:val="20"/>
          <w:vertAlign w:val="superscript"/>
        </w:rPr>
        <w:t>)</w:t>
      </w:r>
      <w:r w:rsidR="00614CEA" w:rsidRPr="00842F43">
        <w:rPr>
          <w:rFonts w:ascii="Fira Sans" w:hAnsi="Fira Sans"/>
          <w:sz w:val="20"/>
          <w:szCs w:val="20"/>
          <w:vertAlign w:val="superscript"/>
        </w:rPr>
        <w:fldChar w:fldCharType="end"/>
      </w:r>
      <w:r w:rsidR="00614CEA" w:rsidRPr="00842F43">
        <w:rPr>
          <w:rFonts w:ascii="Fira Sans" w:hAnsi="Fira Sans"/>
          <w:sz w:val="20"/>
          <w:szCs w:val="20"/>
        </w:rPr>
        <w:t xml:space="preserve"> EMDR reduces post-traumatic symptoms in patients with co-morbid psychotic, depressive, anxiety and substance misuse disorders;</w:t>
      </w:r>
      <w:r w:rsidR="00614CEA" w:rsidRPr="00842F43">
        <w:rPr>
          <w:rFonts w:ascii="Fira Sans" w:hAnsi="Fira Sans"/>
          <w:sz w:val="20"/>
          <w:szCs w:val="20"/>
          <w:vertAlign w:val="superscript"/>
        </w:rPr>
        <w:fldChar w:fldCharType="begin" w:fldLock="1"/>
      </w:r>
      <w:r w:rsidR="006E1E08" w:rsidRPr="00842F43">
        <w:rPr>
          <w:rFonts w:ascii="Fira Sans" w:hAnsi="Fira Sans"/>
          <w:sz w:val="20"/>
          <w:szCs w:val="20"/>
          <w:vertAlign w:val="superscript"/>
        </w:rPr>
        <w:instrText>ADDIN CSL_CITATION {"citationItems":[{"id":"ITEM-1","itemData":{"DOI":"10.3389/fpsyg.2017.01668","ISSN":"1664-1078","abstract":"Background: Eye Movement Desensitization and Reprocessing (EMDR) is a psychotherapeutic approach that has demonstrated efficacy in the treatment of Posttraumatic Stress Disorder (PTSD) through several randomized controlled trials (RCT). Solid evidence shows that traumatic events can contribute to the onset of severe mental disorders and can worsen their prognosis. The aim of this systematic review is to summarize the most important findings from RCT conducted in the treatment of comorbid traumatic events in psychosis, bipolar disorder, unipolar depression, anxiety disorders, substance use disorders and chronic back pain. Methods: Using PubMed, ScienceDirect and Scopus, we conducted a systematic literature search of RCT studies published up to December 2016 that used EMDR in the mentioned psychiatric conditions. Results: RCT are still scarce in these comorbid conditions but the available evidence suggests that EMDR improves trauma-associated symptoms and has a minor effect on the primary disorders by reaching partial symptomatic improvement. Conclusions: EMDR could be a useful psychotherapy to treat trauma-associated symptoms in patients with comorbid psychiatric disorders. Preliminary evidence also suggests that EMDR therapy might be useful to improve psychotic or affective symptoms and could be an add-on treatment in chronic pain conditions.","author":[{"dropping-particle":"","family":"Valiente-Gómez","given":"Alicia","non-dropping-particle":"","parse-names":false,"suffix":""},{"dropping-particle":"","family":"Moreno-Alcázar","given":"Ana","non-dropping-particle":"","parse-names":false,"suffix":""},{"dropping-particle":"","family":"Treen","given":"Devi","non-dropping-particle":"","parse-names":false,"suffix":""},{"dropping-particle":"","family":"Cedrón","given":"Carlos","non-dropping-particle":"","parse-names":false,"suffix":""},{"dropping-particle":"","family":"Colom","given":"Francesc","non-dropping-particle":"","parse-names":false,"suffix":""},{"dropping-particle":"","family":"Pérez","given":"Víctor","non-dropping-particle":"","parse-names":false,"suffix":""},{"dropping-particle":"","family":"Amann","given":"Benedikt L.","non-dropping-particle":"","parse-names":false,"suffix":""}],"container-title":"Frontiers in Psychology","id":"ITEM-1","issued":{"date-parts":[["2017","9","26"]]},"page":"1668","publisher":"Frontiers","title":"EMDR beyond PTSD: A Systematic Literature Review","type":"article-journal","volume":"8"},"uris":["http://www.mendeley.com/documents/?uuid=536ac41c-9cfd-341a-998a-171125522ece"]}],"mendeley":{"formattedCitation":"(26)","plainTextFormattedCitation":"(26)","previouslyFormattedCitation":"(26)"},"properties":{"noteIndex":0},"schema":"https://github.com/citation-style-language/schema/raw/master/csl-citation.json"}</w:instrText>
      </w:r>
      <w:r w:rsidR="00614CEA" w:rsidRPr="00842F43">
        <w:rPr>
          <w:rFonts w:ascii="Fira Sans" w:hAnsi="Fira Sans"/>
          <w:sz w:val="20"/>
          <w:szCs w:val="20"/>
          <w:vertAlign w:val="superscript"/>
        </w:rPr>
        <w:fldChar w:fldCharType="separate"/>
      </w:r>
      <w:r w:rsidR="003812D3" w:rsidRPr="00842F43">
        <w:rPr>
          <w:rFonts w:ascii="Fira Sans" w:hAnsi="Fira Sans"/>
          <w:noProof/>
          <w:sz w:val="20"/>
          <w:szCs w:val="20"/>
        </w:rPr>
        <w:t>(26)</w:t>
      </w:r>
      <w:r w:rsidR="00614CEA" w:rsidRPr="00842F43">
        <w:rPr>
          <w:rFonts w:ascii="Fira Sans" w:hAnsi="Fira Sans"/>
          <w:sz w:val="20"/>
          <w:szCs w:val="20"/>
          <w:vertAlign w:val="superscript"/>
        </w:rPr>
        <w:fldChar w:fldCharType="end"/>
      </w:r>
      <w:r w:rsidR="00614CEA" w:rsidRPr="00842F43">
        <w:rPr>
          <w:rFonts w:ascii="Fira Sans" w:hAnsi="Fira Sans"/>
          <w:sz w:val="20"/>
          <w:szCs w:val="20"/>
        </w:rPr>
        <w:t xml:space="preserve"> an important consideration given the association between pre-existing psychiatric diagnosis and post-intensive care psychopathology.</w:t>
      </w:r>
      <w:r w:rsidR="00614CEA" w:rsidRPr="00842F43">
        <w:rPr>
          <w:rFonts w:ascii="Fira Sans" w:hAnsi="Fira Sans"/>
          <w:sz w:val="20"/>
          <w:szCs w:val="20"/>
        </w:rPr>
        <w:fldChar w:fldCharType="begin" w:fldLock="1"/>
      </w:r>
      <w:r w:rsidR="005C7C9C" w:rsidRPr="00842F43">
        <w:rPr>
          <w:rFonts w:ascii="Fira Sans" w:hAnsi="Fira Sans"/>
          <w:sz w:val="20"/>
          <w:szCs w:val="20"/>
        </w:rPr>
        <w:instrText>ADDIN CSL_CITATION {"citationItems":[{"id":"ITEM-1","itemData":{"DOI":"10.1164/rccm.201506-1158OC","ISSN":"1535-4970","PMID":"26735627","abstract":"RATIONALE The incidence and risk factors of post-traumatic stress disorder (PTSD) related to the intensive care unit (ICU) experience have not been reported in a mixed veteran and civilian cohort. OBJECTIVES To describe the incidence and risk factors for ICU-related PTSD in veterans and civilians. METHODS This is a prospective, observational, multicenter cohort enrolling adult survivors of critical illness after respiratory failure and/or shock from three Veterans Affairs and one civilian hospital. After classifying those with/without preexisting PTSD (i.e., PTSD before hospitalization), we then assessed all subjects for ICU-related PTSD at 3 and 12 months post hospitalization. MEASUREMENTS AND MAIN RESULTS Of 255 survivors, 181 and 160 subjects were assessed for ICU-related PTSD at 3- and 12-month follow-up, respectively. A high probability of ICU-related PTSD was found in up to 10% of patients at either follow-up time point, whether assessed by PTSD Checklist Event-Specific Version (score</w:instrText>
      </w:r>
      <w:r w:rsidR="005C7C9C" w:rsidRPr="00842F43">
        <w:rPr>
          <w:rFonts w:ascii="Arial" w:hAnsi="Arial" w:cs="Arial"/>
          <w:sz w:val="20"/>
          <w:szCs w:val="20"/>
        </w:rPr>
        <w:instrText> </w:instrText>
      </w:r>
      <w:r w:rsidR="005C7C9C" w:rsidRPr="00842F43">
        <w:rPr>
          <w:rFonts w:ascii="Fira Sans" w:hAnsi="Fira Sans"/>
          <w:sz w:val="20"/>
          <w:szCs w:val="20"/>
        </w:rPr>
        <w:instrText>≥</w:instrText>
      </w:r>
      <w:r w:rsidR="005C7C9C" w:rsidRPr="00842F43">
        <w:rPr>
          <w:rFonts w:ascii="Arial" w:hAnsi="Arial" w:cs="Arial"/>
          <w:sz w:val="20"/>
          <w:szCs w:val="20"/>
        </w:rPr>
        <w:instrText> </w:instrText>
      </w:r>
      <w:r w:rsidR="005C7C9C" w:rsidRPr="00842F43">
        <w:rPr>
          <w:rFonts w:ascii="Fira Sans" w:hAnsi="Fira Sans"/>
          <w:sz w:val="20"/>
          <w:szCs w:val="20"/>
        </w:rPr>
        <w:instrText>50) or item mapping using the Diagnostic and Statistical Manual of Mental Disorders-IV (DSM-IV). In the multivariable regression, preexisting PTSD was independently associated with ICU-related PTSD at both 3 and 12 months (P</w:instrText>
      </w:r>
      <w:r w:rsidR="005C7C9C" w:rsidRPr="00842F43">
        <w:rPr>
          <w:rFonts w:ascii="Arial" w:hAnsi="Arial" w:cs="Arial"/>
          <w:sz w:val="20"/>
          <w:szCs w:val="20"/>
        </w:rPr>
        <w:instrText> </w:instrText>
      </w:r>
      <w:r w:rsidR="005C7C9C" w:rsidRPr="00842F43">
        <w:rPr>
          <w:rFonts w:ascii="Fira Sans" w:hAnsi="Fira Sans"/>
          <w:sz w:val="20"/>
          <w:szCs w:val="20"/>
        </w:rPr>
        <w:instrText>&lt;</w:instrText>
      </w:r>
      <w:r w:rsidR="005C7C9C" w:rsidRPr="00842F43">
        <w:rPr>
          <w:rFonts w:ascii="Arial" w:hAnsi="Arial" w:cs="Arial"/>
          <w:sz w:val="20"/>
          <w:szCs w:val="20"/>
        </w:rPr>
        <w:instrText> </w:instrText>
      </w:r>
      <w:r w:rsidR="005C7C9C" w:rsidRPr="00842F43">
        <w:rPr>
          <w:rFonts w:ascii="Fira Sans" w:hAnsi="Fira Sans"/>
          <w:sz w:val="20"/>
          <w:szCs w:val="20"/>
        </w:rPr>
        <w:instrText>0.001), as was preexisting depression (P</w:instrText>
      </w:r>
      <w:r w:rsidR="005C7C9C" w:rsidRPr="00842F43">
        <w:rPr>
          <w:rFonts w:ascii="Arial" w:hAnsi="Arial" w:cs="Arial"/>
          <w:sz w:val="20"/>
          <w:szCs w:val="20"/>
        </w:rPr>
        <w:instrText> </w:instrText>
      </w:r>
      <w:r w:rsidR="005C7C9C" w:rsidRPr="00842F43">
        <w:rPr>
          <w:rFonts w:ascii="Fira Sans" w:hAnsi="Fira Sans"/>
          <w:sz w:val="20"/>
          <w:szCs w:val="20"/>
        </w:rPr>
        <w:instrText>&lt;</w:instrText>
      </w:r>
      <w:r w:rsidR="005C7C9C" w:rsidRPr="00842F43">
        <w:rPr>
          <w:rFonts w:ascii="Arial" w:hAnsi="Arial" w:cs="Arial"/>
          <w:sz w:val="20"/>
          <w:szCs w:val="20"/>
        </w:rPr>
        <w:instrText> </w:instrText>
      </w:r>
      <w:r w:rsidR="005C7C9C" w:rsidRPr="00842F43">
        <w:rPr>
          <w:rFonts w:ascii="Fira Sans" w:hAnsi="Fira Sans"/>
          <w:sz w:val="20"/>
          <w:szCs w:val="20"/>
        </w:rPr>
        <w:instrText>0.03), but veteran status was not a consistent independent risk factor for ICU-related PTSD (3-month P</w:instrText>
      </w:r>
      <w:r w:rsidR="005C7C9C" w:rsidRPr="00842F43">
        <w:rPr>
          <w:rFonts w:ascii="Arial" w:hAnsi="Arial" w:cs="Arial"/>
          <w:sz w:val="20"/>
          <w:szCs w:val="20"/>
        </w:rPr>
        <w:instrText> </w:instrText>
      </w:r>
      <w:r w:rsidR="005C7C9C" w:rsidRPr="00842F43">
        <w:rPr>
          <w:rFonts w:ascii="Fira Sans" w:hAnsi="Fira Sans"/>
          <w:sz w:val="20"/>
          <w:szCs w:val="20"/>
        </w:rPr>
        <w:instrText>=</w:instrText>
      </w:r>
      <w:r w:rsidR="005C7C9C" w:rsidRPr="00842F43">
        <w:rPr>
          <w:rFonts w:ascii="Arial" w:hAnsi="Arial" w:cs="Arial"/>
          <w:sz w:val="20"/>
          <w:szCs w:val="20"/>
        </w:rPr>
        <w:instrText> </w:instrText>
      </w:r>
      <w:r w:rsidR="005C7C9C" w:rsidRPr="00842F43">
        <w:rPr>
          <w:rFonts w:ascii="Fira Sans" w:hAnsi="Fira Sans"/>
          <w:sz w:val="20"/>
          <w:szCs w:val="20"/>
        </w:rPr>
        <w:instrText>0.01, 12-month P</w:instrText>
      </w:r>
      <w:r w:rsidR="005C7C9C" w:rsidRPr="00842F43">
        <w:rPr>
          <w:rFonts w:ascii="Arial" w:hAnsi="Arial" w:cs="Arial"/>
          <w:sz w:val="20"/>
          <w:szCs w:val="20"/>
        </w:rPr>
        <w:instrText> </w:instrText>
      </w:r>
      <w:r w:rsidR="005C7C9C" w:rsidRPr="00842F43">
        <w:rPr>
          <w:rFonts w:ascii="Fira Sans" w:hAnsi="Fira Sans"/>
          <w:sz w:val="20"/>
          <w:szCs w:val="20"/>
        </w:rPr>
        <w:instrText>=</w:instrText>
      </w:r>
      <w:r w:rsidR="005C7C9C" w:rsidRPr="00842F43">
        <w:rPr>
          <w:rFonts w:ascii="Arial" w:hAnsi="Arial" w:cs="Arial"/>
          <w:sz w:val="20"/>
          <w:szCs w:val="20"/>
        </w:rPr>
        <w:instrText> </w:instrText>
      </w:r>
      <w:r w:rsidR="005C7C9C" w:rsidRPr="00842F43">
        <w:rPr>
          <w:rFonts w:ascii="Fira Sans" w:hAnsi="Fira Sans"/>
          <w:sz w:val="20"/>
          <w:szCs w:val="20"/>
        </w:rPr>
        <w:instrText>0.48). CONCLUSIONS This study found around 1 in 10 ICU survivors experienced ICU-related PTSD (i.e., PTSD anchored to their critical illness) in the year after hospitalization. Preexisting PTSD and depression were strongly associated with ICU-related PTSD.","author":[{"dropping-particle":"","family":"Patel","given":"Mayur B","non-dropping-particle":"","parse-names":false,"suffix":""},{"dropping-particle":"","family":"Jackson","given":"James C","non-dropping-particle":"","parse-names":false,"suffix":""},{"dropping-particle":"","family":"Morandi","given":"Alessandro","non-dropping-particle":"","parse-names":false,"suffix":""},{"dropping-particle":"","family":"Girard","given":"Timothy D","non-dropping-particle":"","parse-names":false,"suffix":""},{"dropping-particle":"","family":"Hughes","given":"Christopher G","non-dropping-particle":"","parse-names":false,"suffix":""},{"dropping-particle":"","family":"Thompson","given":"Jennifer L","non-dropping-particle":"","parse-names":false,"suffix":""},{"dropping-particle":"","family":"Kiehl","given":"Amy L","non-dropping-particle":"","parse-names":false,"suffix":""},{"dropping-particle":"","family":"Elstad","given":"Mark R","non-dropping-particle":"","parse-names":false,"suffix":""},{"dropping-particle":"","family":"Wasserstein","given":"Mitzi L","non-dropping-particle":"","parse-names":false,"suffix":""},{"dropping-particle":"","family":"Goodman","given":"Richard B","non-dropping-particle":"","parse-names":false,"suffix":""},{"dropping-particle":"","family":"Beckham","given":"Jean C","non-dropping-particle":"","parse-names":false,"suffix":""},{"dropping-particle":"","family":"Chandrasekhar","given":"Rameela","non-dropping-particle":"","parse-names":false,"suffix":""},{"dropping-particle":"","family":"Dittus","given":"Robert S","non-dropping-particle":"","parse-names":false,"suffix":""},{"dropping-particle":"","family":"Ely","given":"E Wesley","non-dropping-particle":"","parse-names":false,"suffix":""},{"dropping-particle":"","family":"Pandharipande","given":"Pratik P","non-dropping-particle":"","parse-names":false,"suffix":""}],"container-title":"American journal of respiratory and critical care medicine","id":"ITEM-1","issue":"12","issued":{"date-parts":[["2016","6","15"]]},"page":"1373-81","publisher":"American Thoracic Society","title":"Incidence and Risk Factors for Intensive Care Unit-related Post-traumatic Stress Disorder in Veterans and Civilians.","type":"article-journal","volume":"193"},"uris":["http://www.mendeley.com/documents/?uuid=f88d1f83-736e-3b47-ade7-497eccaf1ad1"]}],"mendeley":{"formattedCitation":"(27)","manualFormatting":"(27)","plainTextFormattedCitation":"(27)","previouslyFormattedCitation":"(27)"},"properties":{"noteIndex":0},"schema":"https://github.com/citation-style-language/schema/raw/master/csl-citation.json"}</w:instrText>
      </w:r>
      <w:r w:rsidR="00614CEA" w:rsidRPr="00842F43">
        <w:rPr>
          <w:rFonts w:ascii="Fira Sans" w:hAnsi="Fira Sans"/>
          <w:sz w:val="20"/>
          <w:szCs w:val="20"/>
        </w:rPr>
        <w:fldChar w:fldCharType="separate"/>
      </w:r>
      <w:r w:rsidR="00614CEA" w:rsidRPr="00842F43">
        <w:rPr>
          <w:rFonts w:ascii="Fira Sans" w:hAnsi="Fira Sans"/>
          <w:noProof/>
          <w:sz w:val="20"/>
          <w:szCs w:val="20"/>
          <w:vertAlign w:val="superscript"/>
        </w:rPr>
        <w:t>(</w:t>
      </w:r>
      <w:r w:rsidR="005C7C9C" w:rsidRPr="00842F43">
        <w:rPr>
          <w:rFonts w:ascii="Fira Sans" w:hAnsi="Fira Sans"/>
          <w:noProof/>
          <w:sz w:val="20"/>
          <w:szCs w:val="20"/>
          <w:vertAlign w:val="superscript"/>
        </w:rPr>
        <w:t>27</w:t>
      </w:r>
      <w:r w:rsidR="00614CEA" w:rsidRPr="00842F43">
        <w:rPr>
          <w:rFonts w:ascii="Fira Sans" w:hAnsi="Fira Sans"/>
          <w:noProof/>
          <w:sz w:val="20"/>
          <w:szCs w:val="20"/>
          <w:vertAlign w:val="superscript"/>
        </w:rPr>
        <w:t>)</w:t>
      </w:r>
      <w:r w:rsidR="00614CEA" w:rsidRPr="00842F43">
        <w:rPr>
          <w:rFonts w:ascii="Fira Sans" w:hAnsi="Fira Sans"/>
          <w:sz w:val="20"/>
          <w:szCs w:val="20"/>
        </w:rPr>
        <w:fldChar w:fldCharType="end"/>
      </w:r>
      <w:r w:rsidR="00614CEA" w:rsidRPr="00842F43">
        <w:rPr>
          <w:rFonts w:ascii="Fira Sans" w:hAnsi="Fira Sans"/>
          <w:sz w:val="20"/>
          <w:szCs w:val="20"/>
        </w:rPr>
        <w:t xml:space="preserve"> In 2018, Hulme reported reductions in PTSD symptom severity, following EMDR therapy, in a non-randomised pilot study of ten ICU-survivors</w:t>
      </w:r>
      <w:r w:rsidR="00614CEA" w:rsidRPr="00842F43">
        <w:rPr>
          <w:rFonts w:ascii="Fira Sans" w:hAnsi="Fira Sans"/>
          <w:sz w:val="20"/>
          <w:szCs w:val="20"/>
          <w:vertAlign w:val="superscript"/>
        </w:rPr>
        <w:fldChar w:fldCharType="begin" w:fldLock="1"/>
      </w:r>
      <w:r w:rsidR="006E1E08" w:rsidRPr="00842F43">
        <w:rPr>
          <w:rFonts w:ascii="Fira Sans" w:hAnsi="Fira Sans"/>
          <w:sz w:val="20"/>
          <w:szCs w:val="20"/>
          <w:vertAlign w:val="superscript"/>
        </w:rPr>
        <w:instrText>ADDIN CSL_CITATION {"citationItems":[{"id":"ITEM-1","itemData":{"abstract":"Eye movement desensitisation and reprocessing was developed in the 1980s by an American clinical psychologist, who found that certain eye movements reduced the emotional grip of disturbing thoughts. It uses bilateral brain stimulation to process memories of traumatic events through adaptive information processing. The technique is now a recognised psychological therapy for post-traumatic stress disorder. This article discusses the therapy, its mechanisms and treatment protocol, and describes a small pilot study conducted with patients who had been in intensive care and were experiencing PTSD symptoms.","author":[{"dropping-particle":"","family":"Hulme","given":"T","non-dropping-particle":"","parse-names":false,"suffix":""}],"container-title":"Nursing Times","id":"ITEM-1","issue":"3","issued":{"date-parts":[["2018"]]},"page":"18-21","title":"Using eye movement therapy to reduce trauma after intensive care | Nursing Times","type":"article-journal","volume":"114"},"uris":["http://www.mendeley.com/documents/?uuid=4601524c-d035-3692-9f4c-601a52aa3b50"]}],"mendeley":{"formattedCitation":"(28)","plainTextFormattedCitation":"(28)","previouslyFormattedCitation":"(28)"},"properties":{"noteIndex":0},"schema":"https://github.com/citation-style-language/schema/raw/master/csl-citation.json"}</w:instrText>
      </w:r>
      <w:r w:rsidR="00614CEA" w:rsidRPr="00842F43">
        <w:rPr>
          <w:rFonts w:ascii="Fira Sans" w:hAnsi="Fira Sans"/>
          <w:sz w:val="20"/>
          <w:szCs w:val="20"/>
          <w:vertAlign w:val="superscript"/>
        </w:rPr>
        <w:fldChar w:fldCharType="separate"/>
      </w:r>
      <w:r w:rsidR="003812D3" w:rsidRPr="00842F43">
        <w:rPr>
          <w:rFonts w:ascii="Fira Sans" w:hAnsi="Fira Sans"/>
          <w:noProof/>
          <w:sz w:val="20"/>
          <w:szCs w:val="20"/>
        </w:rPr>
        <w:t>(28)</w:t>
      </w:r>
      <w:r w:rsidR="00614CEA" w:rsidRPr="00842F43">
        <w:rPr>
          <w:rFonts w:ascii="Fira Sans" w:hAnsi="Fira Sans"/>
          <w:sz w:val="20"/>
          <w:szCs w:val="20"/>
          <w:vertAlign w:val="superscript"/>
        </w:rPr>
        <w:fldChar w:fldCharType="end"/>
      </w:r>
      <w:r w:rsidR="00614CEA" w:rsidRPr="00842F43">
        <w:rPr>
          <w:rFonts w:ascii="Fira Sans" w:hAnsi="Fira Sans"/>
          <w:sz w:val="20"/>
          <w:szCs w:val="20"/>
        </w:rPr>
        <w:t xml:space="preserve">. Two </w:t>
      </w:r>
      <w:r w:rsidR="00D515C0" w:rsidRPr="00842F43">
        <w:rPr>
          <w:rFonts w:ascii="Fira Sans" w:hAnsi="Fira Sans"/>
          <w:sz w:val="20"/>
          <w:szCs w:val="20"/>
        </w:rPr>
        <w:t xml:space="preserve">recent </w:t>
      </w:r>
      <w:r w:rsidR="00614CEA" w:rsidRPr="00842F43">
        <w:rPr>
          <w:rFonts w:ascii="Fira Sans" w:hAnsi="Fira Sans"/>
          <w:sz w:val="20"/>
          <w:szCs w:val="20"/>
        </w:rPr>
        <w:t xml:space="preserve">case studies describe </w:t>
      </w:r>
      <w:r w:rsidR="00D515C0" w:rsidRPr="00842F43">
        <w:rPr>
          <w:rFonts w:ascii="Fira Sans" w:hAnsi="Fira Sans"/>
          <w:sz w:val="20"/>
          <w:szCs w:val="20"/>
        </w:rPr>
        <w:t xml:space="preserve">positive treatment effect </w:t>
      </w:r>
      <w:r w:rsidR="00614CEA" w:rsidRPr="00842F43">
        <w:rPr>
          <w:rFonts w:ascii="Fira Sans" w:hAnsi="Fira Sans"/>
          <w:sz w:val="20"/>
          <w:szCs w:val="20"/>
        </w:rPr>
        <w:t>following ICU admission.</w:t>
      </w:r>
      <w:r w:rsidR="00614CEA" w:rsidRPr="00842F43">
        <w:rPr>
          <w:rFonts w:ascii="Fira Sans" w:hAnsi="Fira Sans"/>
          <w:sz w:val="20"/>
          <w:szCs w:val="20"/>
          <w:vertAlign w:val="superscript"/>
        </w:rPr>
        <w:fldChar w:fldCharType="begin" w:fldLock="1"/>
      </w:r>
      <w:r w:rsidR="006E1E08" w:rsidRPr="00842F43">
        <w:rPr>
          <w:rFonts w:ascii="Fira Sans" w:hAnsi="Fira Sans"/>
          <w:sz w:val="20"/>
          <w:szCs w:val="20"/>
          <w:vertAlign w:val="superscript"/>
        </w:rPr>
        <w:instrText>ADDIN CSL_CITATION {"citationItems":[{"id":"ITEM-1","itemData":{"DOI":"10.1136/bmj.f3232","ISSN":"1756-1833","PMID":"23697673","abstract":"This patient recounts her experiences of post-traumatic stress disorder after she received supportive treatment in intensive care\n\nEndless days and nights filled with strange broken sleep. A sea of fragmented menacing faces and shadows swimming through erratic beeps and bells. A large cackling face floating over me, constantly morphing and changing shape. The staring old lady in the bed opposite, her sallow skin disintegrating, eyeballs disappearing to reveal deep dark holes from which cockroaches crawled. Her weary face melting like wax into a big grey smudge. Deafening, haunting laughter filling every space. Blood seeping through holes and cracks in my skin, forming a puddle of red around me. Small insects scuttling up my arms and legs. My chest locked to the bed with wires and straps, as a plastic mask repeatedly smothered me. A strangling sensation around my neck. A warm metallic taste. An invisible force pinning my body down as a dark curtain was drawn closed.\n\nThese are my memories of intensive care. They formed the fabric of reality that I would take forward and recall vividly in my dreams for many months afterwards. Such fragmented delusional memories made it extremely difficult to understand and make sense of what really happened to me. This prevented my psychological recovery and led to the development of post-traumatic stress disorder (PTSD).\n\nIn July 2011 I was coming towards the end of my foundation training, fit and excited about an upcoming month off and a trip to trek Mount Kilimanjaro. My day started as any other, struggling through a ward round, but ended as a patient intubated in intensive care. I had had an asthma attack, which was treated aggressively with salbutamol. Unfortunately my body reacted to the large dosage and I was pushed into severe metabolic acidosis, with exhaustion, cardiac arrhythmia, and …","author":[{"dropping-particle":"","family":"Wake","given":"Sarah","non-dropping-particle":"","parse-names":false,"suffix":""},{"dropping-particle":"","family":"Kitchiner","given":"Deborah","non-dropping-particle":"","parse-names":false,"suffix":""}],"container-title":"BMJ (Clinical research ed.)","id":"ITEM-1","issued":{"date-parts":[["2013","5","22"]]},"page":"f3232","publisher":"British Medical Journal Publishing Group","title":"Post-traumatic stress disorder after intensive care.","type":"article-journal","volume":"346"},"uris":["http://www.mendeley.com/documents/?uuid=95d09f8a-d846-3c7f-8dae-9f1a60ae40fb"]},{"id":"ITEM-2","itemData":{"DOI":"10.1891/EMDR-2021-0028","ISSN":"1933-3196","abstract":"&lt;p&gt;The intensive care survivor population is increasing. Critical illness can lead to long term psychological distress for a significant proportion of intensive care survivors. This situation has been brought into even starker focus with the impact of COVID-19. Critical illness can lead to long term psychological distress for a significant proportion of intensive care survivors. Risk factors for post-intensive care psychological distress include delirium experiences. This single case study describes the therapeutic process and utility of the Recent-Traumatic Episode Protocol (R-TEP), an eye movement Desensitization and reprocessing (EMDR) therapy protocol for early intervention, with an ICU survivor where therapy was conducted remotely. The treatment provision is unusual in terms of the use of the R-TEP protocol and therapy not being in person. Treatment response was assessed using three standardized measures pre-treatment, post-treatment and at 4-month follow-up, and through qualitative feedback. The advantages of the R-TEP structure are discussed and the need for further research with the ICU survivor population considered.&lt;/p&gt;","author":[{"dropping-particle":"","family":"Clarke","given":"Rachel","non-dropping-particle":"","parse-names":false,"suffix":""}],"container-title":"Journal of EMDR Practice and Research","id":"ITEM-2","issue":"2","issued":{"date-parts":[["2022","4","1"]]},"page":"50-60","publisher":"Springer","title":"The EMDR Recent Traumatic Episode Protocol With an Intensive Care Survivor: A Case Study","type":"article-journal","volume":"16"},"uris":["http://www.mendeley.com/documents/?uuid=64edcc5f-c351-3912-82f9-32e959218e20"]}],"mendeley":{"formattedCitation":"(29,30)","plainTextFormattedCitation":"(29,30)","previouslyFormattedCitation":"(29,30)"},"properties":{"noteIndex":0},"schema":"https://github.com/citation-style-language/schema/raw/master/csl-citation.json"}</w:instrText>
      </w:r>
      <w:r w:rsidR="00614CEA" w:rsidRPr="00842F43">
        <w:rPr>
          <w:rFonts w:ascii="Fira Sans" w:hAnsi="Fira Sans"/>
          <w:sz w:val="20"/>
          <w:szCs w:val="20"/>
          <w:vertAlign w:val="superscript"/>
        </w:rPr>
        <w:fldChar w:fldCharType="separate"/>
      </w:r>
      <w:r w:rsidR="003812D3" w:rsidRPr="00842F43">
        <w:rPr>
          <w:rFonts w:ascii="Fira Sans" w:hAnsi="Fira Sans"/>
          <w:noProof/>
          <w:sz w:val="20"/>
          <w:szCs w:val="20"/>
        </w:rPr>
        <w:t>(29,30)</w:t>
      </w:r>
      <w:r w:rsidR="00614CEA" w:rsidRPr="00842F43">
        <w:rPr>
          <w:rFonts w:ascii="Fira Sans" w:hAnsi="Fira Sans"/>
          <w:sz w:val="20"/>
          <w:szCs w:val="20"/>
          <w:vertAlign w:val="superscript"/>
        </w:rPr>
        <w:fldChar w:fldCharType="end"/>
      </w:r>
    </w:p>
    <w:p w14:paraId="020BD9BA" w14:textId="2EFCD24B" w:rsidR="00B04299" w:rsidRPr="00842F43" w:rsidRDefault="00B04299" w:rsidP="00842F43">
      <w:pPr>
        <w:shd w:val="clear" w:color="auto" w:fill="FFFFFF"/>
        <w:spacing w:before="100" w:beforeAutospacing="1" w:after="100" w:afterAutospacing="1" w:line="360" w:lineRule="auto"/>
        <w:rPr>
          <w:rFonts w:ascii="Fira Sans" w:hAnsi="Fira Sans"/>
          <w:sz w:val="20"/>
          <w:szCs w:val="20"/>
        </w:rPr>
      </w:pPr>
      <w:r w:rsidRPr="00842F43">
        <w:rPr>
          <w:rFonts w:ascii="Fira Sans" w:hAnsi="Fira Sans"/>
          <w:sz w:val="20"/>
          <w:szCs w:val="20"/>
        </w:rPr>
        <w:t>The Recent Traumatic Episode Protocol, (R-TEP)</w:t>
      </w:r>
      <w:r w:rsidRPr="00842F43">
        <w:rPr>
          <w:rFonts w:ascii="Fira Sans" w:hAnsi="Fira Sans"/>
          <w:sz w:val="20"/>
          <w:szCs w:val="20"/>
          <w:vertAlign w:val="superscript"/>
        </w:rPr>
        <w:fldChar w:fldCharType="begin" w:fldLock="1"/>
      </w:r>
      <w:r w:rsidR="006E1E08" w:rsidRPr="00842F43">
        <w:rPr>
          <w:rFonts w:ascii="Fira Sans" w:hAnsi="Fira Sans"/>
          <w:sz w:val="20"/>
          <w:szCs w:val="20"/>
          <w:vertAlign w:val="superscript"/>
        </w:rPr>
        <w:instrText>ADDIN CSL_CITATION {"citationItems":[{"id":"ITEM-1","itemData":{"DOI":"10.1891/1933-3196.2.2.79","abstract":"T he fi rst section of this article focuses on the issues related to early EMDR intervention (EEI). The ethical issues arising from early intervention after a recent traumatic event are discussed and questions about the appropriateness and utility of EEI are addressed. This is followed by a summary of early EMDR interventions, including several case examples illustrating their application and a brief review of related research. Professional Questions Early EMDR (eye movement desensitization and reprocessing) intervention following a traumatic event raises a number of professional questions. There are concerns about the risk of pathologizing a normal response to an abnormal situation and ethical issues about the therapeutic contract when intervening with EMDR soon after a critical incident. It should This article examines existing early EMDR intervention (EEI) procedures, presents a conceptual model, and proposes a new comprehensive protocol: the Recent-Traumatic Episode protocol (R-TEP). A review of research and important professional issues regarding application and parameters are presented. The commonly used EEI protocols and procedures are summarized, with the inclusion of descriptive case examples from the Lebanon war and a review of related research. Then a theoretical model is presented in which traumatic information processing is conceptualized as expanding from a narrow focus on the sensory image (perceptual level) to a wider focus on the event/episode (experiential level) and fi nally to a broad focus on the theme/identity (meaning level). The relationship of this model to the Recent-Traumatic Episode protocol is articulated and case examples are presented. Theoretical speculations are discussed relating to attention regulation and the Adaptive Information Processing (AIP) model. Further research is encouraged. Every story has a beginning, a middle, and an end-but not necessarily in that order.-(attributed to Jean Luc Goddard) Every trauma has a past, a present, and a future-but not necessarily in that order.-(Authors)","author":[{"dropping-particle":"","family":"Shapiro","given":"Elan","non-dropping-particle":"","parse-names":false,"suffix":""},{"dropping-particle":"","family":"Yishay","given":"Ramat","non-dropping-particle":"","parse-names":false,"suffix":""},{"dropping-particle":"","family":"Laub","given":"Israel Brurit","non-dropping-particle":"","parse-names":false,"suffix":""}],"container-title":"Journal of EMDR Practice and Research","id":"ITEM-1","issue":"2","issued":{"date-parts":[["2008"]]},"page":"79","title":"Early EMDR Intervention (EEI): A Summary, a Theoretical Model, and the Recent Traumatic Episode Protocol (R-TEP)","type":"article-journal","volume":"2"},"uris":["http://www.mendeley.com/documents/?uuid=6a2af3e0-3d72-35f8-a8d3-ba5bac364548"]}],"mendeley":{"formattedCitation":"(31)","plainTextFormattedCitation":"(31)","previouslyFormattedCitation":"(31)"},"properties":{"noteIndex":0},"schema":"https://github.com/citation-style-language/schema/raw/master/csl-citation.json"}</w:instrText>
      </w:r>
      <w:r w:rsidRPr="00842F43">
        <w:rPr>
          <w:rFonts w:ascii="Fira Sans" w:hAnsi="Fira Sans"/>
          <w:sz w:val="20"/>
          <w:szCs w:val="20"/>
          <w:vertAlign w:val="superscript"/>
        </w:rPr>
        <w:fldChar w:fldCharType="separate"/>
      </w:r>
      <w:r w:rsidR="003812D3" w:rsidRPr="00842F43">
        <w:rPr>
          <w:rFonts w:ascii="Fira Sans" w:hAnsi="Fira Sans"/>
          <w:noProof/>
          <w:sz w:val="20"/>
          <w:szCs w:val="20"/>
        </w:rPr>
        <w:t>(31)</w:t>
      </w:r>
      <w:r w:rsidRPr="00842F43">
        <w:rPr>
          <w:rFonts w:ascii="Fira Sans" w:hAnsi="Fira Sans"/>
          <w:sz w:val="20"/>
          <w:szCs w:val="20"/>
          <w:vertAlign w:val="superscript"/>
        </w:rPr>
        <w:fldChar w:fldCharType="end"/>
      </w:r>
      <w:r w:rsidRPr="00842F43">
        <w:rPr>
          <w:rFonts w:ascii="Fira Sans" w:hAnsi="Fira Sans"/>
          <w:sz w:val="20"/>
          <w:szCs w:val="20"/>
        </w:rPr>
        <w:t xml:space="preserve"> is an EMDR intervention, adapted for early delivery, that allows for processing of fragmented, traumatic memories</w:t>
      </w:r>
      <w:r w:rsidR="00D515C0" w:rsidRPr="00842F43">
        <w:rPr>
          <w:rFonts w:ascii="Fira Sans" w:hAnsi="Fira Sans"/>
          <w:sz w:val="20"/>
          <w:szCs w:val="20"/>
        </w:rPr>
        <w:t>;</w:t>
      </w:r>
      <w:r w:rsidRPr="00842F43">
        <w:rPr>
          <w:rFonts w:ascii="Fira Sans" w:hAnsi="Fira Sans"/>
          <w:sz w:val="20"/>
          <w:szCs w:val="20"/>
        </w:rPr>
        <w:t xml:space="preserve"> frequently reported by ICU survivors and associated with post-ICU PTSD development.</w:t>
      </w:r>
      <w:r w:rsidRPr="00842F43">
        <w:rPr>
          <w:rFonts w:ascii="Fira Sans" w:hAnsi="Fira Sans"/>
          <w:sz w:val="20"/>
          <w:szCs w:val="20"/>
          <w:vertAlign w:val="superscript"/>
        </w:rPr>
        <w:fldChar w:fldCharType="begin" w:fldLock="1"/>
      </w:r>
      <w:r w:rsidR="006E1E08" w:rsidRPr="00842F43">
        <w:rPr>
          <w:rFonts w:ascii="Fira Sans" w:hAnsi="Fira Sans"/>
          <w:sz w:val="20"/>
          <w:szCs w:val="20"/>
          <w:vertAlign w:val="superscript"/>
        </w:rPr>
        <w:instrText>ADDIN CSL_CITATION {"citationItems":[{"id":"ITEM-1","itemData":{"DOI":"10.1097/00003246-200103000-00019","ISSN":"0090-3493","PMID":"11373423","abstract":"OBJECTIVE To examine prospectively the relationship between memories of intensive care (ICU) and levels of anxiety after ICU discharge, the stability of these memories with time, and their relationship to the development of acute posttraumatic stress disorder (PTSD)-related symptoms. DESIGN Case series cohort assessed by interview at 2 and 8 wks after ICU discharge. SETTING District general hospital (serving a population of 350,000) general intensive care unit. PATIENTS Memories of ICU and anxiety levels were studied in 45 patients after ICU discharge. Thirty patients were examined again at 8 wks to assess memory stability and development of acute PTSD-related symptoms. MEASUREMENTS AND MAIN RESULTS Standardized interviews and questionnaires were used to assess memory for ICU, anxiety, and depression 2 wks after ICU discharge. In addition, PTSD-related symptoms and panic were assessed 8 wks after ICU discharge. A total of 33 of 45 patients had delusional memories from ICU at 2 wks; nine of the patients with delusional memories had no factual memories, and these patients had higher anxiety levels 2 wks after ICU discharge (p &lt; .0001). Thirty patients had paired assessments at 2 and 8 wks. Those patients who had no factual recall of ICU but had delusional memories at 2 wks scored highly for PTSD-related symptoms and panic attacks at 8 wks (p = .023 and .014, respectively). The only predictors of possible acute PTSD-related symptoms at the 8-wk assessment were trait anxiety (p = .006) and having delusional memories without recall of factual events in the ICU at 2 wks (p &lt; .0001). Only delusional memories were retained over time, whereas the recall of factual events in the ICU declined. CONCLUSIONS We propose that the development of acute PTSD-related symptoms may be related more to recall of delusions alone. This study suggests that even relatively unpleasant memories for real events during critical illness may give some protection from anxiety and the later development of PTSD-related symptoms when memories of delusions are prominent.","author":[{"dropping-particle":"","family":"Jones","given":"C","non-dropping-particle":"","parse-names":false,"suffix":""},{"dropping-particle":"","family":"Griffiths","given":"R D","non-dropping-particle":"","parse-names":false,"suffix":""},{"dropping-particle":"","family":"Humphris","given":"G","non-dropping-particle":"","parse-names":false,"suffix":""},{"dropping-particle":"","family":"Skirrow","given":"P M","non-dropping-particle":"","parse-names":false,"suffix":""}],"container-title":"Critical care medicine","id":"ITEM-1","issue":"3","issued":{"date-parts":[["2001","3"]]},"page":"573-80","publisher":"Crit Care Med","title":"Memory, delusions, and the development of acute posttraumatic stress disorder-related symptoms after intensive care.","type":"article-journal","volume":"29"},"uris":["http://www.mendeley.com/documents/?uuid=0c853296-f000-35cd-9408-293e1241763e"]}],"mendeley":{"formattedCitation":"(32)","plainTextFormattedCitation":"(32)","previouslyFormattedCitation":"(32)"},"properties":{"noteIndex":0},"schema":"https://github.com/citation-style-language/schema/raw/master/csl-citation.json"}</w:instrText>
      </w:r>
      <w:r w:rsidRPr="00842F43">
        <w:rPr>
          <w:rFonts w:ascii="Fira Sans" w:hAnsi="Fira Sans"/>
          <w:sz w:val="20"/>
          <w:szCs w:val="20"/>
          <w:vertAlign w:val="superscript"/>
        </w:rPr>
        <w:fldChar w:fldCharType="separate"/>
      </w:r>
      <w:r w:rsidR="003812D3" w:rsidRPr="00842F43">
        <w:rPr>
          <w:rFonts w:ascii="Fira Sans" w:hAnsi="Fira Sans"/>
          <w:noProof/>
          <w:sz w:val="20"/>
          <w:szCs w:val="20"/>
        </w:rPr>
        <w:t>(32)</w:t>
      </w:r>
      <w:r w:rsidRPr="00842F43">
        <w:rPr>
          <w:rFonts w:ascii="Fira Sans" w:hAnsi="Fira Sans"/>
          <w:sz w:val="20"/>
          <w:szCs w:val="20"/>
          <w:vertAlign w:val="superscript"/>
        </w:rPr>
        <w:fldChar w:fldCharType="end"/>
      </w:r>
      <w:r w:rsidRPr="00842F43">
        <w:rPr>
          <w:rFonts w:ascii="Fira Sans" w:hAnsi="Fira Sans"/>
          <w:sz w:val="20"/>
          <w:szCs w:val="20"/>
        </w:rPr>
        <w:t xml:space="preserve"> EMDR R-TEP has reduced PTSD symptoms following </w:t>
      </w:r>
      <w:r w:rsidR="00D515C0" w:rsidRPr="00842F43">
        <w:rPr>
          <w:rFonts w:ascii="Fira Sans" w:hAnsi="Fira Sans"/>
          <w:sz w:val="20"/>
          <w:szCs w:val="20"/>
        </w:rPr>
        <w:t>missile attack</w:t>
      </w:r>
      <w:r w:rsidR="00D515C0" w:rsidRPr="00842F43">
        <w:rPr>
          <w:rFonts w:ascii="Fira Sans" w:hAnsi="Fira Sans"/>
          <w:noProof/>
          <w:sz w:val="20"/>
          <w:szCs w:val="20"/>
        </w:rPr>
        <w:t>s</w:t>
      </w:r>
      <w:r w:rsidRPr="00842F43">
        <w:rPr>
          <w:rFonts w:ascii="Fira Sans" w:hAnsi="Fira Sans"/>
          <w:sz w:val="20"/>
          <w:szCs w:val="20"/>
        </w:rPr>
        <w:t>,</w:t>
      </w:r>
      <w:r w:rsidRPr="00842F43">
        <w:rPr>
          <w:rFonts w:ascii="Fira Sans" w:hAnsi="Fira Sans"/>
          <w:sz w:val="20"/>
          <w:szCs w:val="20"/>
          <w:vertAlign w:val="superscript"/>
        </w:rPr>
        <w:fldChar w:fldCharType="begin" w:fldLock="1"/>
      </w:r>
      <w:r w:rsidR="00D515C0" w:rsidRPr="00842F43">
        <w:rPr>
          <w:rFonts w:ascii="Fira Sans" w:hAnsi="Fira Sans"/>
          <w:sz w:val="20"/>
          <w:szCs w:val="20"/>
          <w:vertAlign w:val="superscript"/>
        </w:rPr>
        <w:instrText>ADDIN CSL_CITATION {"citationItems":[{"id":"ITEM-1","itemData":{"DOI":"10.1891/1933-3196.9.1.17","ISSN":"1933-3196","abstract":"&lt;p&gt;The aim of this study was to investigate the efficacy of early eye movement desensitization and reprocessing (EMDR) intervention using the EMDR recent traumatic episode protocol (R-TEP) after a traumatic community event whereby a missile hit a building in a crowded area of a town. In a waitlist/delayed treatment parallel-group randomized controlled trial, 17 survivors with posttraumatic distress were treated with EMDR therapy using the R-TEP protocol. Volunteer EMDR practitioners conducted treatment on 2 consecutive days. Participants were randomly allocated to either immediate or waitlist/delayed treatment conditions. Assessments with Impact of Event Scale-Revised (IES-R) and the Patient Health Questionnaire (PHQ-9) brief depression inventory took place at pre- and posttreatment and at 3 months follow-up. At 1 week posttreatment, the scores of the immediate treatment group were significantly improved on the IES-R compared to the waitlist/delayed treatment group, who showed no improvement prior to their treatment. At 3 months follow-up, results on the IES-R were maintained and there was a significant improvement on PHQ-9 scores. This pilot study provides preliminary evidence, supporting the efficacy of EMDR R-TEP for reducing posttrauma stress among civilian victims of hostility, and shows that this model of intervention briefly augmenting local mental health services following large-scale traumatic incidents, using an EMDR intervention on 2 consecutive days may be effective.&lt;/p&gt;","author":[{"dropping-particle":"","family":"Shapiro","given":"Elan","non-dropping-particle":"","parse-names":false,"suffix":""},{"dropping-particle":"","family":"Laub","given":"Brurit","non-dropping-particle":"","parse-names":false,"suffix":""}],"container-title":"Journal of EMDR Practice and Research","id":"ITEM-1","issue":"1","issued":{"date-parts":[["2015"]]},"page":"17-27","title":"Early EMDR Intervention Following a Community Critical Incident: A Randomized Clinical Trial","type":"article-journal","volume":"9"},"uris":["http://www.mendeley.com/documents/?uuid=845cf580-2b6f-3761-a352-55d0dccd9092"]},{"id":"ITEM-2","itemData":{"abstract":"Objective: The aim of the study is to investigate the efficacy of EMDR R-TEP interventions with residents suffering from post-traumatic symptoms. Method: The study employed a waitlist/delayed treatment control group design and participants were randomly allocated to either immediate or wait-list/delayed treatment conditions. The measures used included the PCL-5 post-trauma checklist for DSM-5; the PHQ-9 depression scale; the Subjective Unit of Disturbance (SUD) scale and the Brief Resilience Coping Scale (BRCS). The clinical staff of the Resilience Center (HOSEN) offered EMDR therapy treatment using the Recent Traumatic Episode Protocol (R-TEP) for 25 trauma-stricken residents referred to their center. The study began within three months after the 2014 round of hostilities. Three 90 minute sessions were given first to the intervention group and a month later to the delayed treatment control group. The follow-up measures were taken six months later. Results: The immediate treatment group had significantly improved scores on post-trauma and depression measures compared to the waitlist/delayed treatment group, who showed no improvement prior to their treatment. There were significant interactions between group and time for PCL-5, PHQ-9 and SUD. Post hoc testing of the interaction revealed that within group A, participants exhibited a significant decrease in PCL-5, PHQ-9 and SUD scores (one-tailed p: &lt; 0.001, 0.006, 0.03). The results in resilience scores over time showed an increasing trend in group A that failed to reach significance. Repeated measures analysis of group B revealed a borderline statistically significant difference in resilience scores over time. Conclusions: This study provides further evidence, supporting the efficacy of Early EMDR Intervention for reducing post-traumatic stress and depression symptoms among civilian victims of hostility. The evidence for resilience was indecisive and requires further research.","author":[{"dropping-particle":"","family":"Shapiro, E., Laub, B., &amp; Rosenblat","given":"O.","non-dropping-particle":"","parse-names":false,"suffix":""}],"container-title":"Clinical Neuropsychiatry: Journal of Treatment Evaluation","id":"ITEM-2","issue":"3","issued":{"date-parts":[["2018"]]},"page":"194-205","publisher":"G. Fioriti","title":"Early EMDR intervention following intense rocket attacks on a town: A randomised clinical trial","type":"article-journal","volume":"15"},"uris":["http://www.mendeley.com/documents/?uuid=092eadce-8adb-3e43-981f-6304908b6b27"]}],"mendeley":{"formattedCitation":"(33,34)","plainTextFormattedCitation":"(33,34)","previouslyFormattedCitation":"(33,34)"},"properties":{"noteIndex":0},"schema":"https://github.com/citation-style-language/schema/raw/master/csl-citation.json"}</w:instrText>
      </w:r>
      <w:r w:rsidRPr="00842F43">
        <w:rPr>
          <w:rFonts w:ascii="Fira Sans" w:hAnsi="Fira Sans"/>
          <w:sz w:val="20"/>
          <w:szCs w:val="20"/>
          <w:vertAlign w:val="superscript"/>
        </w:rPr>
        <w:fldChar w:fldCharType="separate"/>
      </w:r>
      <w:r w:rsidR="003812D3" w:rsidRPr="00842F43">
        <w:rPr>
          <w:rFonts w:ascii="Fira Sans" w:hAnsi="Fira Sans"/>
          <w:noProof/>
          <w:sz w:val="20"/>
          <w:szCs w:val="20"/>
        </w:rPr>
        <w:t>(33,34)</w:t>
      </w:r>
      <w:r w:rsidRPr="00842F43">
        <w:rPr>
          <w:rFonts w:ascii="Fira Sans" w:hAnsi="Fira Sans"/>
          <w:sz w:val="20"/>
          <w:szCs w:val="20"/>
          <w:vertAlign w:val="superscript"/>
        </w:rPr>
        <w:fldChar w:fldCharType="end"/>
      </w:r>
      <w:r w:rsidRPr="00842F43">
        <w:rPr>
          <w:rFonts w:ascii="Fira Sans" w:hAnsi="Fira Sans"/>
          <w:sz w:val="20"/>
          <w:szCs w:val="20"/>
        </w:rPr>
        <w:t xml:space="preserve"> </w:t>
      </w:r>
      <w:r w:rsidR="00D515C0" w:rsidRPr="00842F43">
        <w:rPr>
          <w:rFonts w:ascii="Fira Sans" w:hAnsi="Fira Sans"/>
          <w:sz w:val="20"/>
          <w:szCs w:val="20"/>
        </w:rPr>
        <w:t>and life-threatening</w:t>
      </w:r>
      <w:r w:rsidRPr="00842F43">
        <w:rPr>
          <w:rFonts w:ascii="Fira Sans" w:hAnsi="Fira Sans"/>
          <w:sz w:val="20"/>
          <w:szCs w:val="20"/>
        </w:rPr>
        <w:t xml:space="preserve"> medical events</w:t>
      </w:r>
      <w:r w:rsidR="00D515C0" w:rsidRPr="00842F43">
        <w:rPr>
          <w:rFonts w:ascii="Fira Sans" w:hAnsi="Fira Sans"/>
          <w:sz w:val="20"/>
          <w:szCs w:val="20"/>
        </w:rPr>
        <w:t>.</w:t>
      </w:r>
      <w:r w:rsidRPr="00842F43">
        <w:rPr>
          <w:rFonts w:ascii="Fira Sans" w:hAnsi="Fira Sans"/>
          <w:sz w:val="20"/>
          <w:szCs w:val="20"/>
          <w:vertAlign w:val="superscript"/>
        </w:rPr>
        <w:fldChar w:fldCharType="begin" w:fldLock="1"/>
      </w:r>
      <w:r w:rsidR="006E1E08" w:rsidRPr="00842F43">
        <w:rPr>
          <w:rFonts w:ascii="Fira Sans" w:hAnsi="Fira Sans"/>
          <w:sz w:val="20"/>
          <w:szCs w:val="20"/>
          <w:vertAlign w:val="superscript"/>
        </w:rPr>
        <w:instrText>ADDIN CSL_CITATION {"citationItems":[{"id":"ITEM-1","itemData":{"DOI":"10.1891/1933-3196.5.3.95","ISSN":"1933-3196","abstract":"&lt;p&gt;This article evaluates and illustrates the application of the recent-traumatic episode protocol (R-TEP) with three diverse clients: a child with chronic illness, a woman with a significant loss, and an adolescent who self-harmed. The R-TEP is an adaptation of the Eye Movement Desensitization and Reprocessing (EMDR) protocol for early EMDR intervention. Sessions are presented in detail to highlight the shifts in information processing that occur during treatment. Observed markers used to analyze the flow of processing are identified, which include distancing from the trauma; reduction in negative affect or change in reported emotions; accessing more adaptive information; changes in the Subjective Units of Disturbance scale; and the Validity of Cognition scale and Impact of Event Scale—Revised indicating shifts in perception of the traumatic memory. Pre-post R-TEP treatment gains were noted for all clients, with changes in behavior and functioning. Theoretical underpinnings of the R-TEP are discussed with respect to the reported observations. The specific contribution of the protocol is highlighted, considering its procedural components and related plausible mechanisms of change.&lt;/p&gt;","author":[{"dropping-particle":"","family":"Tofani","given":"Laura Rocchietta","non-dropping-particle":"","parse-names":false,"suffix":""},{"dropping-particle":"","family":"Wheeler","given":"Kate","non-dropping-particle":"","parse-names":false,"suffix":""}],"container-title":"Journal of EMDR Practice and Research","id":"ITEM-1","issue":"3","issued":{"date-parts":[["2011","1","1"]]},"page":"95-110","publisher":"Springer","title":"The Recent-Traumatic Episode Protocol: Outcome Evaluation and Analysis of Three Case Studies","type":"article-journal","volume":"5"},"uris":["http://www.mendeley.com/documents/?uuid=6f3ee9a7-36e0-3359-a887-92e18894a254"]},{"id":"ITEM-2","itemData":{"DOI":"10.1016/J.JPSYCHIRES.2018.05.024","ISSN":"0022-3956","abstract":"Up to 20% of patients presenting at an emergency room (ER) after a stressful event will for several months suffer from very diverse long-lasting symptoms and a potentially significant decline in quality of life, often described as post concussion-like symptoms (PCLS). The objectives of our randomized open-label single-center study were to assess the feasibility of psychologist-led interventions in the context of the ER and to compare the effect of eye movement desensitization and reprocessing (EMDR) with reassurance and usual care. Conducted in the ER of Bordeaux University Hospital, the study included patients with a high risk of PCLS randomized in three groups: a 15-min reassurance session, a 60-min session of EMDR, and usual care. Main outcomes were the proportion of interventions that could be carried out and the prevalence of PCSL and post-traumatic stress disorder (PTSD) three months after the ER visit. One hundred and thirty patients with a high risk of PCLS were randomized. No logistic problem or patient refusal was observed. In the EMDR, reassurance and control groups, proportions of patients with PCLS at three months were 18%, 37% and 65% and those with PTSD were 3%, 16% and 19% respectively. The risk ratio for PCLS adjusted for the type of event (injury, non-injury) for the comparison between EMDR and control was 0.36 [95% CI 0.20–0.66]. This is the first randomized controlled trial that shows that a short EMDR intervention is feasible and potentially effective in the context of the ER. The study was registered at ClinicalTrials.gov (NCT03194386).","author":[{"dropping-particle":"","family":"Gil-Jardiné","given":"Cédric","non-dropping-particle":"","parse-names":false,"suffix":""},{"dropping-particle":"","family":"Evrard","given":"Grégoire","non-dropping-particle":"","parse-names":false,"suffix":""},{"dropping-particle":"","family":"Joboory","given":"Samantha","non-dropping-particle":"Al","parse-names":false,"suffix":""},{"dropping-particle":"","family":"Tortes Saint Jammes","given":"Juliane","non-dropping-particle":"","parse-names":false,"suffix":""},{"dropping-particle":"","family":"Masson","given":"Françoise","non-dropping-particle":"","parse-names":false,"suffix":""},{"dropping-particle":"","family":"Ribéreau-Gayon","given":"Régis","non-dropping-particle":"","parse-names":false,"suffix":""},{"dropping-particle":"","family":"Galinski","given":"Michel","non-dropping-particle":"","parse-names":false,"suffix":""},{"dropping-particle":"","family":"Salmi","given":"Louis-Rachid","non-dropping-particle":"","parse-names":false,"suffix":""},{"dropping-particle":"","family":"Revel","given":"Philippe","non-dropping-particle":"","parse-names":false,"suffix":""},{"dropping-particle":"","family":"Régis","given":"Cyril Alexandre","non-dropping-particle":"","parse-names":false,"suffix":""},{"dropping-particle":"","family":"Valdenaire","given":"Guillaume","non-dropping-particle":"","parse-names":false,"suffix":""},{"dropping-particle":"","family":"Lagarde","given":"Emmanuel","non-dropping-particle":"","parse-names":false,"suffix":""}],"container-title":"Journal of Psychiatric Research","id":"ITEM-2","issued":{"date-parts":[["2018","8","1"]]},"page":"229-236","publisher":"Pergamon","title":"Emergency room intervention to prevent post concussion-like symptoms and post-traumatic stress disorder. A pilot randomized controlled study of a brief eye movement desensitization and reprocessing intervention versus reassurance or usual care","type":"article-journal","volume":"103"},"uris":["http://www.mendeley.com/documents/?uuid=76c75d1c-2465-307c-a89c-fc20f8e55ba0"]}],"mendeley":{"formattedCitation":"(35,36)","plainTextFormattedCitation":"(35,36)","previouslyFormattedCitation":"(35,36)"},"properties":{"noteIndex":0},"schema":"https://github.com/citation-style-language/schema/raw/master/csl-citation.json"}</w:instrText>
      </w:r>
      <w:r w:rsidRPr="00842F43">
        <w:rPr>
          <w:rFonts w:ascii="Fira Sans" w:hAnsi="Fira Sans"/>
          <w:sz w:val="20"/>
          <w:szCs w:val="20"/>
          <w:vertAlign w:val="superscript"/>
        </w:rPr>
        <w:fldChar w:fldCharType="separate"/>
      </w:r>
      <w:r w:rsidR="003812D3" w:rsidRPr="00842F43">
        <w:rPr>
          <w:rFonts w:ascii="Fira Sans" w:hAnsi="Fira Sans"/>
          <w:noProof/>
          <w:sz w:val="20"/>
          <w:szCs w:val="20"/>
        </w:rPr>
        <w:t>(35,36)</w:t>
      </w:r>
      <w:r w:rsidRPr="00842F43">
        <w:rPr>
          <w:rFonts w:ascii="Fira Sans" w:hAnsi="Fira Sans"/>
          <w:sz w:val="20"/>
          <w:szCs w:val="20"/>
          <w:vertAlign w:val="superscript"/>
        </w:rPr>
        <w:fldChar w:fldCharType="end"/>
      </w:r>
      <w:r w:rsidRPr="00842F43">
        <w:rPr>
          <w:rFonts w:ascii="Fira Sans" w:hAnsi="Fira Sans"/>
          <w:sz w:val="20"/>
          <w:szCs w:val="20"/>
        </w:rPr>
        <w:t xml:space="preserve"> The aforementioned, case study </w:t>
      </w:r>
      <w:r w:rsidRPr="00842F43">
        <w:rPr>
          <w:rFonts w:ascii="Fira Sans" w:hAnsi="Fira Sans"/>
          <w:sz w:val="20"/>
          <w:szCs w:val="20"/>
          <w:vertAlign w:val="superscript"/>
        </w:rPr>
        <w:fldChar w:fldCharType="begin" w:fldLock="1"/>
      </w:r>
      <w:r w:rsidR="006E1E08" w:rsidRPr="00842F43">
        <w:rPr>
          <w:rFonts w:ascii="Fira Sans" w:hAnsi="Fira Sans"/>
          <w:sz w:val="20"/>
          <w:szCs w:val="20"/>
          <w:vertAlign w:val="superscript"/>
        </w:rPr>
        <w:instrText>ADDIN CSL_CITATION {"citationItems":[{"id":"ITEM-1","itemData":{"DOI":"10.1891/EMDR-2021-0028","ISSN":"1933-3196","abstract":"&lt;p&gt;The intensive care survivor population is increasing. Critical illness can lead to long term psychological distress for a significant proportion of intensive care survivors. This situation has been brought into even starker focus with the impact of COVID-19. Critical illness can lead to long term psychological distress for a significant proportion of intensive care survivors. Risk factors for post-intensive care psychological distress include delirium experiences. This single case study describes the therapeutic process and utility of the Recent-Traumatic Episode Protocol (R-TEP), an eye movement Desensitization and reprocessing (EMDR) therapy protocol for early intervention, with an ICU survivor where therapy was conducted remotely. The treatment provision is unusual in terms of the use of the R-TEP protocol and therapy not being in person. Treatment response was assessed using three standardized measures pre-treatment, post-treatment and at 4-month follow-up, and through qualitative feedback. The advantages of the R-TEP structure are discussed and the need for further research with the ICU survivor population considered.&lt;/p&gt;","author":[{"dropping-particle":"","family":"Clarke","given":"Rachel","non-dropping-particle":"","parse-names":false,"suffix":""}],"container-title":"Journal of EMDR Practice and Research","id":"ITEM-1","issue":"2","issued":{"date-parts":[["2022","4","1"]]},"page":"50-60","publisher":"Springer","title":"The EMDR Recent Traumatic Episode Protocol With an Intensive Care Survivor: A Case Study","type":"article-journal","volume":"16"},"uris":["http://www.mendeley.com/documents/?uuid=64edcc5f-c351-3912-82f9-32e959218e20"]}],"mendeley":{"formattedCitation":"(30)","plainTextFormattedCitation":"(30)","previouslyFormattedCitation":"(30)"},"properties":{"noteIndex":0},"schema":"https://github.com/citation-style-language/schema/raw/master/csl-citation.json"}</w:instrText>
      </w:r>
      <w:r w:rsidRPr="00842F43">
        <w:rPr>
          <w:rFonts w:ascii="Fira Sans" w:hAnsi="Fira Sans"/>
          <w:sz w:val="20"/>
          <w:szCs w:val="20"/>
          <w:vertAlign w:val="superscript"/>
        </w:rPr>
        <w:fldChar w:fldCharType="separate"/>
      </w:r>
      <w:r w:rsidR="003812D3" w:rsidRPr="00842F43">
        <w:rPr>
          <w:rFonts w:ascii="Fira Sans" w:hAnsi="Fira Sans"/>
          <w:noProof/>
          <w:sz w:val="20"/>
          <w:szCs w:val="20"/>
        </w:rPr>
        <w:t>(30)</w:t>
      </w:r>
      <w:r w:rsidRPr="00842F43">
        <w:rPr>
          <w:rFonts w:ascii="Fira Sans" w:hAnsi="Fira Sans"/>
          <w:sz w:val="20"/>
          <w:szCs w:val="20"/>
          <w:vertAlign w:val="superscript"/>
        </w:rPr>
        <w:fldChar w:fldCharType="end"/>
      </w:r>
      <w:r w:rsidRPr="00842F43">
        <w:rPr>
          <w:rFonts w:ascii="Fira Sans" w:hAnsi="Fira Sans"/>
          <w:sz w:val="20"/>
          <w:szCs w:val="20"/>
        </w:rPr>
        <w:t xml:space="preserve"> described a positive treatment response to EMDR R-TEP, following ICU admission. </w:t>
      </w:r>
    </w:p>
    <w:p w14:paraId="30633B80" w14:textId="318E7144" w:rsidR="00DF7601" w:rsidRPr="00842F43" w:rsidRDefault="00B04299" w:rsidP="00842F43">
      <w:pPr>
        <w:shd w:val="clear" w:color="auto" w:fill="FFFFFF"/>
        <w:spacing w:before="100" w:beforeAutospacing="1" w:after="100" w:afterAutospacing="1" w:line="360" w:lineRule="auto"/>
        <w:rPr>
          <w:rFonts w:ascii="Fira Sans" w:hAnsi="Fira Sans"/>
          <w:sz w:val="20"/>
          <w:szCs w:val="20"/>
        </w:rPr>
      </w:pPr>
      <w:r w:rsidRPr="00842F43">
        <w:rPr>
          <w:rFonts w:ascii="Fira Sans" w:hAnsi="Fira Sans"/>
          <w:sz w:val="20"/>
          <w:szCs w:val="20"/>
        </w:rPr>
        <w:t xml:space="preserve">A number of </w:t>
      </w:r>
      <w:r w:rsidR="00BA4D34" w:rsidRPr="00842F43">
        <w:rPr>
          <w:rFonts w:ascii="Fira Sans" w:hAnsi="Fira Sans"/>
          <w:sz w:val="20"/>
          <w:szCs w:val="20"/>
        </w:rPr>
        <w:t>systematic reviews report uncertainty regarding the timing of psychological interventions, to prevent or ameliorate traumatic stress symptoms. An International Society of Traumatic Stress Studies (ISTSS) review, concluded that there is no strong evidence for early</w:t>
      </w:r>
      <w:r w:rsidR="00D515C0" w:rsidRPr="00842F43">
        <w:rPr>
          <w:rFonts w:ascii="Fira Sans" w:hAnsi="Fira Sans"/>
          <w:sz w:val="20"/>
          <w:szCs w:val="20"/>
        </w:rPr>
        <w:t>, preventative</w:t>
      </w:r>
      <w:r w:rsidR="00BA4D34" w:rsidRPr="00842F43">
        <w:rPr>
          <w:rFonts w:ascii="Fira Sans" w:hAnsi="Fira Sans"/>
          <w:sz w:val="20"/>
          <w:szCs w:val="20"/>
        </w:rPr>
        <w:t xml:space="preserve"> </w:t>
      </w:r>
      <w:r w:rsidRPr="00842F43">
        <w:rPr>
          <w:rFonts w:ascii="Fira Sans" w:hAnsi="Fira Sans"/>
          <w:sz w:val="20"/>
          <w:szCs w:val="20"/>
        </w:rPr>
        <w:t>intervention</w:t>
      </w:r>
      <w:r w:rsidR="00BA4D34" w:rsidRPr="00842F43">
        <w:rPr>
          <w:rFonts w:ascii="Fira Sans" w:hAnsi="Fira Sans"/>
          <w:sz w:val="20"/>
          <w:szCs w:val="20"/>
        </w:rPr>
        <w:t xml:space="preserve"> </w:t>
      </w:r>
      <w:r w:rsidRPr="00842F43">
        <w:rPr>
          <w:rFonts w:ascii="Fira Sans" w:hAnsi="Fira Sans"/>
          <w:sz w:val="20"/>
          <w:szCs w:val="20"/>
        </w:rPr>
        <w:t>irrespective of symptomology</w:t>
      </w:r>
      <w:r w:rsidRPr="00842F43">
        <w:rPr>
          <w:rFonts w:ascii="Fira Sans" w:hAnsi="Fira Sans"/>
          <w:sz w:val="20"/>
          <w:szCs w:val="20"/>
        </w:rPr>
        <w:fldChar w:fldCharType="begin" w:fldLock="1"/>
      </w:r>
      <w:r w:rsidR="006E1E08" w:rsidRPr="00842F43">
        <w:rPr>
          <w:rFonts w:ascii="Fira Sans" w:hAnsi="Fira Sans"/>
          <w:sz w:val="20"/>
          <w:szCs w:val="20"/>
        </w:rPr>
        <w:instrText>ADDIN CSL_CITATION {"citationItems":[{"id":"ITEM-1","itemData":{"DOI":"10.1080/20008198.2019.1695486","ISSN":"2000-8198","abstract":"Background: Post-traumatic stress disorder (PTSD) is a common and debilitating disorder which has a significant impact on the lives of sufferers. A number of early psychological interventions have ...","author":[{"dropping-particle":"","family":"Roberts","given":"Neil P.","non-dropping-particle":"","parse-names":false,"suffix":""},{"dropping-particle":"","family":"Kitchiner","given":"Neil J.","non-dropping-particle":"","parse-names":false,"suffix":""},{"dropping-particle":"","family":"Kenardy","given":"Justin","non-dropping-particle":"","parse-names":false,"suffix":""},{"dropping-particle":"","family":"Lewis","given":"Catrin E.","non-dropping-particle":"","parse-names":false,"suffix":""},{"dropping-particle":"","family":"Bisson","given":"Jonathan I.","non-dropping-particle":"","parse-names":false,"suffix":""}],"container-title":"European Journal of Psychotraumatology","id":"ITEM-1","issue":"1","issued":{"date-parts":[["2019","12","31"]]},"page":"1695486","publisher":"Taylor &amp; Francis","title":"Early psychological intervention following recent trauma: A systematic review and meta-analysis","type":"article-journal","volume":"10"},"uris":["http://www.mendeley.com/documents/?uuid=083cbf2f-9e70-3136-bba2-45ac047e15ac"]}],"mendeley":{"formattedCitation":"(37)","plainTextFormattedCitation":"(37)","previouslyFormattedCitation":"(37)"},"properties":{"noteIndex":0},"schema":"https://github.com/citation-style-language/schema/raw/master/csl-citation.json"}</w:instrText>
      </w:r>
      <w:r w:rsidRPr="00842F43">
        <w:rPr>
          <w:rFonts w:ascii="Fira Sans" w:hAnsi="Fira Sans"/>
          <w:sz w:val="20"/>
          <w:szCs w:val="20"/>
        </w:rPr>
        <w:fldChar w:fldCharType="separate"/>
      </w:r>
      <w:r w:rsidR="003812D3" w:rsidRPr="00842F43">
        <w:rPr>
          <w:rFonts w:ascii="Fira Sans" w:hAnsi="Fira Sans"/>
          <w:noProof/>
          <w:sz w:val="20"/>
          <w:szCs w:val="20"/>
        </w:rPr>
        <w:t>(37)</w:t>
      </w:r>
      <w:r w:rsidRPr="00842F43">
        <w:rPr>
          <w:rFonts w:ascii="Fira Sans" w:hAnsi="Fira Sans"/>
          <w:sz w:val="20"/>
          <w:szCs w:val="20"/>
        </w:rPr>
        <w:fldChar w:fldCharType="end"/>
      </w:r>
      <w:r w:rsidR="00BA4D34" w:rsidRPr="00842F43">
        <w:rPr>
          <w:rFonts w:ascii="Fira Sans" w:hAnsi="Fira Sans"/>
          <w:sz w:val="20"/>
          <w:szCs w:val="20"/>
        </w:rPr>
        <w:t xml:space="preserve">. </w:t>
      </w:r>
      <w:r w:rsidR="003812D3" w:rsidRPr="00842F43">
        <w:rPr>
          <w:rFonts w:ascii="Fira Sans" w:hAnsi="Fira Sans"/>
          <w:sz w:val="20"/>
          <w:szCs w:val="20"/>
        </w:rPr>
        <w:t>R</w:t>
      </w:r>
      <w:r w:rsidR="00BA4D34" w:rsidRPr="00842F43">
        <w:rPr>
          <w:rFonts w:ascii="Fira Sans" w:hAnsi="Fira Sans"/>
          <w:sz w:val="20"/>
          <w:szCs w:val="20"/>
        </w:rPr>
        <w:t>eview</w:t>
      </w:r>
      <w:r w:rsidR="003812D3" w:rsidRPr="00842F43">
        <w:rPr>
          <w:rFonts w:ascii="Fira Sans" w:hAnsi="Fira Sans"/>
          <w:sz w:val="20"/>
          <w:szCs w:val="20"/>
        </w:rPr>
        <w:t>s</w:t>
      </w:r>
      <w:r w:rsidR="00BA4D34" w:rsidRPr="00842F43">
        <w:rPr>
          <w:rFonts w:ascii="Fira Sans" w:hAnsi="Fira Sans"/>
          <w:sz w:val="20"/>
          <w:szCs w:val="20"/>
        </w:rPr>
        <w:t xml:space="preserve"> </w:t>
      </w:r>
      <w:r w:rsidRPr="00842F43">
        <w:rPr>
          <w:rFonts w:ascii="Fira Sans" w:hAnsi="Fira Sans"/>
          <w:sz w:val="20"/>
          <w:szCs w:val="20"/>
        </w:rPr>
        <w:t xml:space="preserve">focussing on </w:t>
      </w:r>
      <w:r w:rsidR="00BA4D34" w:rsidRPr="00842F43">
        <w:rPr>
          <w:rFonts w:ascii="Fira Sans" w:hAnsi="Fira Sans"/>
          <w:sz w:val="20"/>
          <w:szCs w:val="20"/>
        </w:rPr>
        <w:t>life-threatening medical events</w:t>
      </w:r>
      <w:r w:rsidR="003812D3" w:rsidRPr="00842F43">
        <w:rPr>
          <w:rFonts w:ascii="Fira Sans" w:hAnsi="Fira Sans"/>
          <w:sz w:val="20"/>
          <w:szCs w:val="20"/>
        </w:rPr>
        <w:fldChar w:fldCharType="begin" w:fldLock="1"/>
      </w:r>
      <w:r w:rsidR="006E1E08" w:rsidRPr="00842F43">
        <w:rPr>
          <w:rFonts w:ascii="Fira Sans" w:hAnsi="Fira Sans"/>
          <w:sz w:val="20"/>
          <w:szCs w:val="20"/>
        </w:rPr>
        <w:instrText>ADDIN CSL_CITATION {"citationItems":[{"id":"ITEM-1","itemData":{"DOI":"10.1016/j.janxdis.2019.03.003","ISSN":"1873-7897","PMID":"30925334","abstract":"Post-traumatic stress disorder (PTSD) induced by life-threatening medical events has been associated with adverse physical and mental health outcomes, but it is unclear whether early interventions to prevent the onset of PTSD after these events are efficacious. We conducted a systematic review to address this need. We searched six biomedical electronic databases from database inception to October 2018. Eligible studies used randomized designs, evaluated interventions initiated within 3 months of potentially traumatic medical events, included adult participants, and did not have high risk of bias. The 21 included studies (N</w:instrText>
      </w:r>
      <w:r w:rsidR="006E1E08" w:rsidRPr="00842F43">
        <w:rPr>
          <w:rFonts w:ascii="Arial" w:hAnsi="Arial" w:cs="Arial"/>
          <w:sz w:val="20"/>
          <w:szCs w:val="20"/>
        </w:rPr>
        <w:instrText> </w:instrText>
      </w:r>
      <w:r w:rsidR="006E1E08" w:rsidRPr="00842F43">
        <w:rPr>
          <w:rFonts w:ascii="Fira Sans" w:hAnsi="Fira Sans"/>
          <w:sz w:val="20"/>
          <w:szCs w:val="20"/>
        </w:rPr>
        <w:instrText>=</w:instrText>
      </w:r>
      <w:r w:rsidR="006E1E08" w:rsidRPr="00842F43">
        <w:rPr>
          <w:rFonts w:ascii="Arial" w:hAnsi="Arial" w:cs="Arial"/>
          <w:sz w:val="20"/>
          <w:szCs w:val="20"/>
        </w:rPr>
        <w:instrText> </w:instrText>
      </w:r>
      <w:r w:rsidR="006E1E08" w:rsidRPr="00842F43">
        <w:rPr>
          <w:rFonts w:ascii="Fira Sans" w:hAnsi="Fira Sans"/>
          <w:sz w:val="20"/>
          <w:szCs w:val="20"/>
        </w:rPr>
        <w:instrText>4,486) assessed a heterogeneous set of interventions after critical illness (9), cancer diagnosis (8), heart disease (2), and cardiopulmonary surgery (2). Fourteen psychological, 2 pharmacological, and 5 other-type interventions were assessed. Four of the psychological interventions emphasizing cognitive behavioral therapy or meaning-making, 1 other-type palliative care intervention, and 1 pharmacological-only intervention (hydrocortisone administration) were efficacious at reducing PTSD symptoms relative to control. One early, in-hospital counseling intervention was less efficacious at lowering PTSD symptoms than an active control. Clinical and methodological heterogeneity prevented quantitative pooling of data. While several promising interventions were identified, strong evidence of efficacy for any specific early PTSD intervention after medical events is currently lacking.","author":[{"dropping-particle":"","family":"Birk","given":"Jeffrey L","non-dropping-particle":"","parse-names":false,"suffix":""},{"dropping-particle":"","family":"Sumner","given":"Jennifer A","non-dropping-particle":"","parse-names":false,"suffix":""},{"dropping-particle":"","family":"Haerizadeh","given":"Mytra","non-dropping-particle":"","parse-names":false,"suffix":""},{"dropping-particle":"","family":"Heyman-Kantor","given":"Reuben","non-dropping-particle":"","parse-names":false,"suffix":""},{"dropping-particle":"","family":"Falzon","given":"Louise","non-dropping-particle":"","parse-names":false,"suffix":""},{"dropping-particle":"","family":"Gonzalez","given":"Christopher","non-dropping-particle":"","parse-names":false,"suffix":""},{"dropping-particle":"","family":"Gershengoren","given":"Liliya","non-dropping-particle":"","parse-names":false,"suffix":""},{"dropping-particle":"","family":"Shapiro","given":"Peter","non-dropping-particle":"","parse-names":false,"suffix":""},{"dropping-particle":"","family":"Edmondson","given":"Donald","non-dropping-particle":"","parse-names":false,"suffix":""},{"dropping-particle":"","family":"Kronish","given":"Ian M","non-dropping-particle":"","parse-names":false,"suffix":""}],"container-title":"Journal of anxiety disorders","id":"ITEM-1","issued":{"date-parts":[["2019"]]},"page":"24-39","publisher":"NIH Public Access","title":"Early interventions to prevent posttraumatic stress disorder symptoms in survivors of life-threatening medical events: A systematic review.","type":"article-journal","volume":"64"},"uris":["http://www.mendeley.com/documents/?uuid=15415252-4871-3ff1-b6b5-016b9f5f35ef"]}],"mendeley":{"formattedCitation":"(38)","plainTextFormattedCitation":"(38)","previouslyFormattedCitation":"(38)"},"properties":{"noteIndex":0},"schema":"https://github.com/citation-style-language/schema/raw/master/csl-citation.json"}</w:instrText>
      </w:r>
      <w:r w:rsidR="003812D3" w:rsidRPr="00842F43">
        <w:rPr>
          <w:rFonts w:ascii="Fira Sans" w:hAnsi="Fira Sans"/>
          <w:sz w:val="20"/>
          <w:szCs w:val="20"/>
        </w:rPr>
        <w:fldChar w:fldCharType="separate"/>
      </w:r>
      <w:r w:rsidR="003812D3" w:rsidRPr="00842F43">
        <w:rPr>
          <w:rFonts w:ascii="Fira Sans" w:hAnsi="Fira Sans"/>
          <w:noProof/>
          <w:sz w:val="20"/>
          <w:szCs w:val="20"/>
        </w:rPr>
        <w:t>(38)</w:t>
      </w:r>
      <w:r w:rsidR="003812D3" w:rsidRPr="00842F43">
        <w:rPr>
          <w:rFonts w:ascii="Fira Sans" w:hAnsi="Fira Sans"/>
          <w:sz w:val="20"/>
          <w:szCs w:val="20"/>
        </w:rPr>
        <w:fldChar w:fldCharType="end"/>
      </w:r>
      <w:r w:rsidR="00BA4D34" w:rsidRPr="00842F43">
        <w:rPr>
          <w:rFonts w:ascii="Fira Sans" w:hAnsi="Fira Sans"/>
          <w:sz w:val="20"/>
          <w:szCs w:val="20"/>
        </w:rPr>
        <w:t xml:space="preserve"> </w:t>
      </w:r>
      <w:r w:rsidR="003812D3" w:rsidRPr="00842F43">
        <w:rPr>
          <w:rFonts w:ascii="Fira Sans" w:hAnsi="Fira Sans"/>
          <w:sz w:val="20"/>
          <w:szCs w:val="20"/>
        </w:rPr>
        <w:t>and</w:t>
      </w:r>
      <w:r w:rsidR="00BA4D34" w:rsidRPr="00842F43">
        <w:rPr>
          <w:rFonts w:ascii="Fira Sans" w:hAnsi="Fira Sans"/>
          <w:sz w:val="20"/>
          <w:szCs w:val="20"/>
        </w:rPr>
        <w:t xml:space="preserve"> ICU-survivors</w:t>
      </w:r>
      <w:r w:rsidR="003812D3" w:rsidRPr="00842F43">
        <w:rPr>
          <w:rFonts w:ascii="Fira Sans" w:hAnsi="Fira Sans"/>
          <w:sz w:val="20"/>
          <w:szCs w:val="20"/>
        </w:rPr>
        <w:t>hip</w:t>
      </w:r>
      <w:r w:rsidR="00577D4E" w:rsidRPr="00842F43">
        <w:rPr>
          <w:rFonts w:ascii="Fira Sans" w:hAnsi="Fira Sans"/>
          <w:sz w:val="20"/>
          <w:szCs w:val="20"/>
        </w:rPr>
        <w:t xml:space="preserve"> specifically</w:t>
      </w:r>
      <w:r w:rsidR="003812D3" w:rsidRPr="00842F43">
        <w:rPr>
          <w:rFonts w:ascii="Fira Sans" w:hAnsi="Fira Sans"/>
          <w:sz w:val="20"/>
          <w:szCs w:val="20"/>
        </w:rPr>
        <w:fldChar w:fldCharType="begin" w:fldLock="1"/>
      </w:r>
      <w:r w:rsidR="00D515C0" w:rsidRPr="00842F43">
        <w:rPr>
          <w:rFonts w:ascii="Fira Sans" w:hAnsi="Fira Sans"/>
          <w:sz w:val="20"/>
          <w:szCs w:val="20"/>
        </w:rPr>
        <w:instrText>ADDIN CSL_CITATION {"citationItems":[{"id":"ITEM-1","itemData":{"abstract":"MiNerVa aNestesiologica 465 suffering and fear of one's own death. Many icU procedures are invasive and may cause considerable distress. Furthermore, frightening hallucinations and paranoid delusions are common. 1, 2 research suggests that the cumulative stress patients experience in icU can affect their t he intensive care unit (icU) is an environment that induces significant stress in many patients. stressors include pain, hunger, thirst, sleep deprivation, inability to communicate , loss of control, loss of dignity, an unnatural environment, witnessing other people's","author":[{"dropping-particle":"","family":"Wade","given":"Dorothy M","non-dropping-particle":"","parse-names":false,"suffix":""},{"dropping-particle":"","family":"Moon","given":"Zoe","non-dropping-particle":"","parse-names":false,"suffix":""},{"dropping-particle":"","family":"Windgassen","given":"Sula S","non-dropping-particle":"","parse-names":false,"suffix":""},{"dropping-particle":"","family":"Harrison","given":"M","non-dropping-particle":"","parse-names":false,"suffix":""},{"dropping-particle":"","family":"Morris","given":"Lucy","non-dropping-particle":"","parse-names":false,"suffix":""},{"dropping-particle":"","family":"Weinman","given":"John A","non-dropping-particle":"","parse-names":false,"suffix":""}],"id":"ITEM-1","issued":{"date-parts":[["2015"]]},"title":"Non-pharmacological interventions to reduce icU-related psychological distress: a systematic review","type":"report"},"uris":["http://www.mendeley.com/documents/?uuid=42ac8a64-7b9d-3b34-a30a-a21b76912b0d"]},{"id":"ITEM-2","itemData":{"ISSN":"0090-3493","abstract":"Objectives: Posttraumatic stress disorder among survivors of critical illness is of public health importance, as it is common and reduces patient quality of life. The objective of this systematic review was to collate the world's literature on interventions aimed at preventing posttraumatic stress disorder among survivors of critical illness.Data Sources: We performed a search of CENTRAL, MEDLINE, EMBASE, CINAHL, and clinical trials registry platforms, with no restriction to language using a comprehensive strategy.Study Selection: Study inclusion criteria were as follows: 1) adult human subjects, 2) patients treated in an ICU setting, 3) intervention arm aimed at reducing posttraumatic stress disorder symptoms, 4) use of a control arm, and 5) an outcome measure assessing development of acute stress or posttraumatic stress disorder symptoms.Data Extraction: We performed a qualitative analysis to collate and summarize effects of identified interventions according to the recommended methodology from the Cochrane Handbook.Data Synthesis: Seventeen studies met all inclusion and no exclusion criteria. There was heterogeneity in interventions and outcome measures used. All studies had some concern for risk of bias as per the Cochrane tool for assessing risk of bias. In eight of 12 studies (67%) testing early interventions (i.e., initiated in the ICU course) and one of five studies (20%) testing delayed interventions following ICU discharge, posttraumatic stress disorder symptoms were decreased among the intervention group compared with controls.Conclusions: Despite a paucity of high-quality clinical investigations, the preponderance of evidence to date suggests that 1) posttraumatic stress disorder among survivors of critical illness may be preventable and 2) early interventions may be the most effective.","author":[{"dropping-particle":"","family":"Roberts","given":"Michael B","non-dropping-particle":"","parse-names":false,"suffix":""},{"dropping-particle":"","family":"Glaspey","given":"Lindsey J","non-dropping-particle":"","parse-names":false,"suffix":""},{"dropping-particle":"","family":"Mazzarelli","given":"Anthony","non-dropping-particle":"","parse-names":false,"suffix":""},{"dropping-particle":"","family":"Jones","given":"Christopher W","non-dropping-particle":"","parse-names":false,"suffix":""},{"dropping-particle":"","family":"Kilgannon","given":"Hope J","non-dropping-particle":"","parse-names":false,"suffix":""},{"dropping-particle":"","family":"Trzeciak","given":"Stephen","non-dropping-particle":"","parse-names":false,"suffix":""},{"dropping-particle":"","family":"Roberts","given":"Brian W","non-dropping-particle":"","parse-names":false,"suffix":""}],"container-title":"Critical Care Medicine","id":"ITEM-2","issue":"8","issued":{"date-parts":[["2018"]]},"page":"1328-1333","title":"Early Interventions for the Prevention of Posttraumatic Stress Symptoms in Survivors of Critical Illness: A Qualitative Systematic Review.","type":"article-journal","volume":"46"},"uris":["http://www.mendeley.com/documents/?uuid=ad2dfa84-1e1f-4acc-b9fc-66e2ad445ff1"]}],"mendeley":{"formattedCitation":"(39,40)","plainTextFormattedCitation":"(39,40)","previouslyFormattedCitation":"(39,40)"},"properties":{"noteIndex":0},"schema":"https://github.com/citation-style-language/schema/raw/master/csl-citation.json"}</w:instrText>
      </w:r>
      <w:r w:rsidR="003812D3" w:rsidRPr="00842F43">
        <w:rPr>
          <w:rFonts w:ascii="Fira Sans" w:hAnsi="Fira Sans"/>
          <w:sz w:val="20"/>
          <w:szCs w:val="20"/>
        </w:rPr>
        <w:fldChar w:fldCharType="separate"/>
      </w:r>
      <w:r w:rsidR="006E1E08" w:rsidRPr="00842F43">
        <w:rPr>
          <w:rFonts w:ascii="Fira Sans" w:hAnsi="Fira Sans"/>
          <w:noProof/>
          <w:sz w:val="20"/>
          <w:szCs w:val="20"/>
        </w:rPr>
        <w:t>(39,40)</w:t>
      </w:r>
      <w:r w:rsidR="003812D3" w:rsidRPr="00842F43">
        <w:rPr>
          <w:rFonts w:ascii="Fira Sans" w:hAnsi="Fira Sans"/>
          <w:sz w:val="20"/>
          <w:szCs w:val="20"/>
        </w:rPr>
        <w:fldChar w:fldCharType="end"/>
      </w:r>
      <w:r w:rsidR="00BA4D34" w:rsidRPr="00842F43">
        <w:rPr>
          <w:rFonts w:ascii="Fira Sans" w:hAnsi="Fira Sans"/>
          <w:sz w:val="20"/>
          <w:szCs w:val="20"/>
        </w:rPr>
        <w:t xml:space="preserve">, </w:t>
      </w:r>
      <w:r w:rsidR="003812D3" w:rsidRPr="00842F43">
        <w:rPr>
          <w:rFonts w:ascii="Fira Sans" w:hAnsi="Fira Sans"/>
          <w:sz w:val="20"/>
          <w:szCs w:val="20"/>
        </w:rPr>
        <w:t xml:space="preserve">could not identify optimal timing of preventative interventions. </w:t>
      </w:r>
      <w:r w:rsidR="00577D4E" w:rsidRPr="00842F43">
        <w:rPr>
          <w:rFonts w:ascii="Fira Sans" w:hAnsi="Fira Sans"/>
          <w:sz w:val="20"/>
          <w:szCs w:val="20"/>
        </w:rPr>
        <w:t>Moreo</w:t>
      </w:r>
      <w:r w:rsidR="00BA4D34" w:rsidRPr="00842F43">
        <w:rPr>
          <w:rFonts w:ascii="Fira Sans" w:hAnsi="Fira Sans"/>
          <w:sz w:val="20"/>
          <w:szCs w:val="20"/>
        </w:rPr>
        <w:t xml:space="preserve">ver, none of the </w:t>
      </w:r>
      <w:r w:rsidR="00577D4E" w:rsidRPr="00842F43">
        <w:rPr>
          <w:rFonts w:ascii="Fira Sans" w:hAnsi="Fira Sans"/>
          <w:sz w:val="20"/>
          <w:szCs w:val="20"/>
        </w:rPr>
        <w:lastRenderedPageBreak/>
        <w:t>re</w:t>
      </w:r>
      <w:r w:rsidR="00D515C0" w:rsidRPr="00842F43">
        <w:rPr>
          <w:rFonts w:ascii="Fira Sans" w:hAnsi="Fira Sans"/>
          <w:sz w:val="20"/>
          <w:szCs w:val="20"/>
        </w:rPr>
        <w:t>vi</w:t>
      </w:r>
      <w:r w:rsidR="00577D4E" w:rsidRPr="00842F43">
        <w:rPr>
          <w:rFonts w:ascii="Fira Sans" w:hAnsi="Fira Sans"/>
          <w:sz w:val="20"/>
          <w:szCs w:val="20"/>
        </w:rPr>
        <w:t>ew</w:t>
      </w:r>
      <w:r w:rsidR="00BA4D34" w:rsidRPr="00842F43">
        <w:rPr>
          <w:rFonts w:ascii="Fira Sans" w:hAnsi="Fira Sans"/>
          <w:sz w:val="20"/>
          <w:szCs w:val="20"/>
        </w:rPr>
        <w:t>ed studies investigated a protocolised</w:t>
      </w:r>
      <w:r w:rsidR="00577D4E" w:rsidRPr="00842F43">
        <w:rPr>
          <w:rFonts w:ascii="Fira Sans" w:hAnsi="Fira Sans"/>
          <w:sz w:val="20"/>
          <w:szCs w:val="20"/>
        </w:rPr>
        <w:t>,</w:t>
      </w:r>
      <w:r w:rsidR="00BA4D34" w:rsidRPr="00842F43">
        <w:rPr>
          <w:rFonts w:ascii="Fira Sans" w:hAnsi="Fira Sans"/>
          <w:sz w:val="20"/>
          <w:szCs w:val="20"/>
        </w:rPr>
        <w:t xml:space="preserve"> trauma-focussed psychological therapy</w:t>
      </w:r>
      <w:r w:rsidR="00577D4E" w:rsidRPr="00842F43">
        <w:rPr>
          <w:rFonts w:ascii="Fira Sans" w:hAnsi="Fira Sans"/>
          <w:sz w:val="20"/>
          <w:szCs w:val="20"/>
        </w:rPr>
        <w:t xml:space="preserve"> aimed at prevention of downstream post-ICU mental health morbidity</w:t>
      </w:r>
      <w:r w:rsidR="00BA4D34" w:rsidRPr="00842F43">
        <w:rPr>
          <w:rFonts w:ascii="Fira Sans" w:hAnsi="Fira Sans"/>
          <w:sz w:val="20"/>
          <w:szCs w:val="20"/>
        </w:rPr>
        <w:t xml:space="preserve">. </w:t>
      </w:r>
    </w:p>
    <w:p w14:paraId="2F57A8C6" w14:textId="6B49CF14" w:rsidR="0010374D" w:rsidRPr="00842F43" w:rsidRDefault="00A04F86" w:rsidP="00842F43">
      <w:pPr>
        <w:shd w:val="clear" w:color="auto" w:fill="FFFFFF"/>
        <w:spacing w:before="100" w:beforeAutospacing="1" w:after="100" w:afterAutospacing="1" w:line="360" w:lineRule="auto"/>
        <w:rPr>
          <w:rFonts w:ascii="Fira Sans" w:hAnsi="Fira Sans"/>
          <w:sz w:val="20"/>
          <w:szCs w:val="20"/>
        </w:rPr>
      </w:pPr>
      <w:r w:rsidRPr="00842F43">
        <w:rPr>
          <w:rFonts w:ascii="Fira Sans" w:hAnsi="Fira Sans"/>
          <w:sz w:val="20"/>
          <w:szCs w:val="20"/>
        </w:rPr>
        <w:t xml:space="preserve">Given the </w:t>
      </w:r>
      <w:r w:rsidR="00BA4D34" w:rsidRPr="00842F43">
        <w:rPr>
          <w:rFonts w:ascii="Fira Sans" w:hAnsi="Fira Sans"/>
          <w:sz w:val="20"/>
          <w:szCs w:val="20"/>
        </w:rPr>
        <w:t xml:space="preserve">pervasiveness of post-ICU PTSD, </w:t>
      </w:r>
      <w:r w:rsidR="00E13FEC" w:rsidRPr="00842F43">
        <w:rPr>
          <w:rFonts w:ascii="Fira Sans" w:hAnsi="Fira Sans"/>
          <w:sz w:val="20"/>
          <w:szCs w:val="20"/>
        </w:rPr>
        <w:t xml:space="preserve">paucity of robust evidence, </w:t>
      </w:r>
      <w:r w:rsidR="000F4E39" w:rsidRPr="00842F43">
        <w:rPr>
          <w:rFonts w:ascii="Fira Sans" w:hAnsi="Fira Sans"/>
          <w:sz w:val="20"/>
          <w:szCs w:val="20"/>
        </w:rPr>
        <w:t xml:space="preserve">and </w:t>
      </w:r>
      <w:r w:rsidRPr="00842F43">
        <w:rPr>
          <w:rFonts w:ascii="Fira Sans" w:hAnsi="Fira Sans"/>
          <w:sz w:val="20"/>
          <w:szCs w:val="20"/>
        </w:rPr>
        <w:t xml:space="preserve">partial support for </w:t>
      </w:r>
      <w:r w:rsidR="00BA4D34" w:rsidRPr="00842F43">
        <w:rPr>
          <w:rFonts w:ascii="Fira Sans" w:hAnsi="Fira Sans"/>
          <w:sz w:val="20"/>
          <w:szCs w:val="20"/>
        </w:rPr>
        <w:t xml:space="preserve">preventative </w:t>
      </w:r>
      <w:r w:rsidRPr="00842F43">
        <w:rPr>
          <w:rFonts w:ascii="Fira Sans" w:hAnsi="Fira Sans"/>
          <w:sz w:val="20"/>
          <w:szCs w:val="20"/>
        </w:rPr>
        <w:t>interventions</w:t>
      </w:r>
      <w:r w:rsidR="0088417E" w:rsidRPr="00842F43">
        <w:rPr>
          <w:rFonts w:ascii="Fira Sans" w:hAnsi="Fira Sans"/>
          <w:sz w:val="20"/>
          <w:szCs w:val="20"/>
        </w:rPr>
        <w:t xml:space="preserve">, we </w:t>
      </w:r>
      <w:r w:rsidRPr="00842F43">
        <w:rPr>
          <w:rFonts w:ascii="Fira Sans" w:hAnsi="Fira Sans"/>
          <w:sz w:val="20"/>
          <w:szCs w:val="20"/>
        </w:rPr>
        <w:t xml:space="preserve">identified </w:t>
      </w:r>
      <w:r w:rsidR="00577D4E" w:rsidRPr="00842F43">
        <w:rPr>
          <w:rFonts w:ascii="Fira Sans" w:hAnsi="Fira Sans"/>
          <w:sz w:val="20"/>
          <w:szCs w:val="20"/>
        </w:rPr>
        <w:t xml:space="preserve">both </w:t>
      </w:r>
      <w:r w:rsidRPr="00842F43">
        <w:rPr>
          <w:rFonts w:ascii="Fira Sans" w:hAnsi="Fira Sans"/>
          <w:sz w:val="20"/>
          <w:szCs w:val="20"/>
        </w:rPr>
        <w:t>timing</w:t>
      </w:r>
      <w:r w:rsidR="00577D4E" w:rsidRPr="00842F43">
        <w:rPr>
          <w:rFonts w:ascii="Fira Sans" w:hAnsi="Fira Sans"/>
          <w:sz w:val="20"/>
          <w:szCs w:val="20"/>
        </w:rPr>
        <w:t xml:space="preserve"> of intervention</w:t>
      </w:r>
      <w:r w:rsidRPr="00842F43">
        <w:rPr>
          <w:rFonts w:ascii="Fira Sans" w:hAnsi="Fira Sans"/>
          <w:sz w:val="20"/>
          <w:szCs w:val="20"/>
        </w:rPr>
        <w:t xml:space="preserve"> and </w:t>
      </w:r>
      <w:r w:rsidR="00577D4E" w:rsidRPr="00842F43">
        <w:rPr>
          <w:rFonts w:ascii="Fira Sans" w:hAnsi="Fira Sans"/>
          <w:sz w:val="20"/>
          <w:szCs w:val="20"/>
        </w:rPr>
        <w:t>pre-</w:t>
      </w:r>
      <w:r w:rsidRPr="00842F43">
        <w:rPr>
          <w:rFonts w:ascii="Fira Sans" w:hAnsi="Fira Sans"/>
          <w:sz w:val="20"/>
          <w:szCs w:val="20"/>
        </w:rPr>
        <w:t>screening for symptoms</w:t>
      </w:r>
      <w:r w:rsidR="00577D4E" w:rsidRPr="00842F43">
        <w:rPr>
          <w:rFonts w:ascii="Fira Sans" w:hAnsi="Fira Sans"/>
          <w:sz w:val="20"/>
          <w:szCs w:val="20"/>
        </w:rPr>
        <w:t>,</w:t>
      </w:r>
      <w:r w:rsidRPr="00842F43">
        <w:rPr>
          <w:rFonts w:ascii="Fira Sans" w:hAnsi="Fira Sans"/>
          <w:sz w:val="20"/>
          <w:szCs w:val="20"/>
        </w:rPr>
        <w:t xml:space="preserve"> as key uncertainties in our study programme. </w:t>
      </w:r>
      <w:r w:rsidR="00BA4D34" w:rsidRPr="00842F43">
        <w:rPr>
          <w:rFonts w:ascii="Fira Sans" w:hAnsi="Fira Sans"/>
          <w:sz w:val="20"/>
          <w:szCs w:val="20"/>
        </w:rPr>
        <w:t>We</w:t>
      </w:r>
      <w:r w:rsidRPr="00842F43">
        <w:rPr>
          <w:rFonts w:ascii="Fira Sans" w:hAnsi="Fira Sans"/>
          <w:sz w:val="20"/>
          <w:szCs w:val="20"/>
        </w:rPr>
        <w:t xml:space="preserve"> therefore </w:t>
      </w:r>
      <w:r w:rsidR="00E85F2F" w:rsidRPr="00842F43">
        <w:rPr>
          <w:rFonts w:ascii="Fira Sans" w:hAnsi="Fira Sans"/>
          <w:sz w:val="20"/>
          <w:szCs w:val="20"/>
        </w:rPr>
        <w:t xml:space="preserve">elected to investigate delivery of </w:t>
      </w:r>
      <w:r w:rsidR="008A12FB" w:rsidRPr="00842F43">
        <w:rPr>
          <w:rFonts w:ascii="Fira Sans" w:hAnsi="Fira Sans"/>
          <w:sz w:val="20"/>
          <w:szCs w:val="20"/>
        </w:rPr>
        <w:t xml:space="preserve">an early </w:t>
      </w:r>
      <w:r w:rsidR="00E85F2F" w:rsidRPr="00842F43">
        <w:rPr>
          <w:rFonts w:ascii="Fira Sans" w:hAnsi="Fira Sans"/>
          <w:sz w:val="20"/>
          <w:szCs w:val="20"/>
        </w:rPr>
        <w:t xml:space="preserve">EMDR </w:t>
      </w:r>
      <w:r w:rsidR="00577D4E" w:rsidRPr="00842F43">
        <w:rPr>
          <w:rFonts w:ascii="Fira Sans" w:hAnsi="Fira Sans"/>
          <w:sz w:val="20"/>
          <w:szCs w:val="20"/>
        </w:rPr>
        <w:t xml:space="preserve">R-TEP </w:t>
      </w:r>
      <w:r w:rsidR="00E85F2F" w:rsidRPr="00842F43">
        <w:rPr>
          <w:rFonts w:ascii="Fira Sans" w:hAnsi="Fira Sans"/>
          <w:sz w:val="20"/>
          <w:szCs w:val="20"/>
        </w:rPr>
        <w:t xml:space="preserve">intervention, </w:t>
      </w:r>
      <w:r w:rsidR="00B0677F" w:rsidRPr="00842F43">
        <w:rPr>
          <w:rFonts w:ascii="Fira Sans" w:hAnsi="Fira Sans"/>
          <w:sz w:val="20"/>
          <w:szCs w:val="20"/>
        </w:rPr>
        <w:t>offered to all survivors,</w:t>
      </w:r>
      <w:r w:rsidR="00E85F2F" w:rsidRPr="00842F43">
        <w:rPr>
          <w:rFonts w:ascii="Fira Sans" w:hAnsi="Fira Sans"/>
          <w:sz w:val="20"/>
          <w:szCs w:val="20"/>
        </w:rPr>
        <w:t xml:space="preserve"> to prevent</w:t>
      </w:r>
      <w:r w:rsidR="008A12FB" w:rsidRPr="00842F43">
        <w:rPr>
          <w:rFonts w:ascii="Fira Sans" w:hAnsi="Fira Sans"/>
          <w:sz w:val="20"/>
          <w:szCs w:val="20"/>
        </w:rPr>
        <w:t xml:space="preserve"> development of PTSD</w:t>
      </w:r>
      <w:r w:rsidR="00E9691E" w:rsidRPr="00842F43">
        <w:rPr>
          <w:rFonts w:ascii="Fira Sans" w:hAnsi="Fira Sans"/>
          <w:sz w:val="20"/>
          <w:szCs w:val="20"/>
        </w:rPr>
        <w:t>, symptom entrenchment</w:t>
      </w:r>
      <w:r w:rsidR="008A12FB" w:rsidRPr="00842F43">
        <w:rPr>
          <w:rFonts w:ascii="Fira Sans" w:hAnsi="Fira Sans"/>
          <w:sz w:val="20"/>
          <w:szCs w:val="20"/>
        </w:rPr>
        <w:t xml:space="preserve"> </w:t>
      </w:r>
      <w:r w:rsidR="00E85F2F" w:rsidRPr="00842F43">
        <w:rPr>
          <w:rFonts w:ascii="Fira Sans" w:hAnsi="Fira Sans"/>
          <w:sz w:val="20"/>
          <w:szCs w:val="20"/>
        </w:rPr>
        <w:t>and</w:t>
      </w:r>
      <w:r w:rsidR="008A12FB" w:rsidRPr="00842F43">
        <w:rPr>
          <w:rFonts w:ascii="Fira Sans" w:hAnsi="Fira Sans"/>
          <w:sz w:val="20"/>
          <w:szCs w:val="20"/>
        </w:rPr>
        <w:t xml:space="preserve"> </w:t>
      </w:r>
      <w:r w:rsidR="00487F7C" w:rsidRPr="00842F43">
        <w:rPr>
          <w:rFonts w:ascii="Fira Sans" w:hAnsi="Fira Sans"/>
          <w:sz w:val="20"/>
          <w:szCs w:val="20"/>
        </w:rPr>
        <w:t xml:space="preserve">to </w:t>
      </w:r>
      <w:r w:rsidR="00E85F2F" w:rsidRPr="00842F43">
        <w:rPr>
          <w:rFonts w:ascii="Fira Sans" w:hAnsi="Fira Sans"/>
          <w:sz w:val="20"/>
          <w:szCs w:val="20"/>
        </w:rPr>
        <w:t xml:space="preserve">avoid </w:t>
      </w:r>
      <w:r w:rsidR="008A12FB" w:rsidRPr="00842F43">
        <w:rPr>
          <w:rFonts w:ascii="Fira Sans" w:hAnsi="Fira Sans"/>
          <w:sz w:val="20"/>
          <w:szCs w:val="20"/>
        </w:rPr>
        <w:t>excessive suffering</w:t>
      </w:r>
      <w:r w:rsidR="00E85F2F" w:rsidRPr="00842F43">
        <w:rPr>
          <w:rFonts w:ascii="Fira Sans" w:hAnsi="Fira Sans"/>
          <w:sz w:val="20"/>
          <w:szCs w:val="20"/>
        </w:rPr>
        <w:t xml:space="preserve">. </w:t>
      </w:r>
    </w:p>
    <w:p w14:paraId="33C19FA5" w14:textId="6217E6DC" w:rsidR="00533BC6" w:rsidRPr="00842F43" w:rsidRDefault="003A7545" w:rsidP="00842F43">
      <w:pPr>
        <w:shd w:val="clear" w:color="auto" w:fill="FFFFFF"/>
        <w:spacing w:before="100" w:beforeAutospacing="1" w:after="100" w:afterAutospacing="1" w:line="360" w:lineRule="auto"/>
        <w:rPr>
          <w:rFonts w:ascii="Fira Sans" w:hAnsi="Fira Sans"/>
          <w:sz w:val="20"/>
          <w:szCs w:val="20"/>
        </w:rPr>
      </w:pPr>
      <w:r w:rsidRPr="00842F43">
        <w:rPr>
          <w:rFonts w:ascii="Fira Sans" w:hAnsi="Fira Sans"/>
          <w:sz w:val="20"/>
          <w:szCs w:val="20"/>
        </w:rPr>
        <w:t>T</w:t>
      </w:r>
      <w:r w:rsidR="00B87D77" w:rsidRPr="00842F43">
        <w:rPr>
          <w:rFonts w:ascii="Fira Sans" w:hAnsi="Fira Sans"/>
          <w:sz w:val="20"/>
          <w:szCs w:val="20"/>
        </w:rPr>
        <w:t xml:space="preserve">his study investigated the feasibility of </w:t>
      </w:r>
      <w:r w:rsidR="00604DD9" w:rsidRPr="00842F43">
        <w:rPr>
          <w:rFonts w:ascii="Fira Sans" w:hAnsi="Fira Sans"/>
          <w:sz w:val="20"/>
          <w:szCs w:val="20"/>
        </w:rPr>
        <w:t xml:space="preserve">conducting a randomised controlled trial of </w:t>
      </w:r>
      <w:r w:rsidR="00B87D77" w:rsidRPr="00842F43">
        <w:rPr>
          <w:rFonts w:ascii="Fira Sans" w:hAnsi="Fira Sans"/>
          <w:sz w:val="20"/>
          <w:szCs w:val="20"/>
        </w:rPr>
        <w:t xml:space="preserve">online EMDR </w:t>
      </w:r>
      <w:r w:rsidR="00BA7E42" w:rsidRPr="00842F43">
        <w:rPr>
          <w:rFonts w:ascii="Fira Sans" w:hAnsi="Fira Sans"/>
          <w:sz w:val="20"/>
          <w:szCs w:val="20"/>
        </w:rPr>
        <w:t xml:space="preserve">R-TEP </w:t>
      </w:r>
      <w:r w:rsidR="00A902EA" w:rsidRPr="00842F43">
        <w:rPr>
          <w:rFonts w:ascii="Fira Sans" w:hAnsi="Fira Sans"/>
          <w:sz w:val="20"/>
          <w:szCs w:val="20"/>
        </w:rPr>
        <w:t>with</w:t>
      </w:r>
      <w:r w:rsidR="00B87D77" w:rsidRPr="00842F43">
        <w:rPr>
          <w:rFonts w:ascii="Fira Sans" w:hAnsi="Fira Sans"/>
          <w:sz w:val="20"/>
          <w:szCs w:val="20"/>
        </w:rPr>
        <w:t xml:space="preserve"> a cohort of intensive care survivors. Through the inclusion of a control group (CG) who received usual care, we aimed to gather preliminary evidence of possible clinical effectiveness.</w:t>
      </w:r>
      <w:r w:rsidR="00656208" w:rsidRPr="00842F43">
        <w:rPr>
          <w:rFonts w:ascii="Fira Sans" w:hAnsi="Fira Sans"/>
          <w:sz w:val="20"/>
          <w:szCs w:val="20"/>
        </w:rPr>
        <w:t xml:space="preserve"> </w:t>
      </w:r>
      <w:r w:rsidR="0096443E" w:rsidRPr="00842F43">
        <w:rPr>
          <w:rFonts w:ascii="Fira Sans" w:hAnsi="Fira Sans"/>
          <w:sz w:val="20"/>
          <w:szCs w:val="20"/>
        </w:rPr>
        <w:t>Findings</w:t>
      </w:r>
      <w:r w:rsidR="00B87D77" w:rsidRPr="00842F43">
        <w:rPr>
          <w:rFonts w:ascii="Fira Sans" w:hAnsi="Fira Sans"/>
          <w:sz w:val="20"/>
          <w:szCs w:val="20"/>
        </w:rPr>
        <w:t xml:space="preserve"> will inform the development and delivery of a subsequent, fully</w:t>
      </w:r>
      <w:r w:rsidR="00182B82" w:rsidRPr="00842F43">
        <w:rPr>
          <w:rFonts w:ascii="Fira Sans" w:hAnsi="Fira Sans"/>
          <w:sz w:val="20"/>
          <w:szCs w:val="20"/>
        </w:rPr>
        <w:t>-</w:t>
      </w:r>
      <w:r w:rsidR="00B87D77" w:rsidRPr="00842F43">
        <w:rPr>
          <w:rFonts w:ascii="Fira Sans" w:hAnsi="Fira Sans"/>
          <w:sz w:val="20"/>
          <w:szCs w:val="20"/>
        </w:rPr>
        <w:t>powered randomised controlled trial (RCT)</w:t>
      </w:r>
      <w:r w:rsidR="00BE166C" w:rsidRPr="00842F43">
        <w:rPr>
          <w:rFonts w:ascii="Fira Sans" w:hAnsi="Fira Sans"/>
          <w:sz w:val="20"/>
          <w:szCs w:val="20"/>
        </w:rPr>
        <w:t xml:space="preserve">, </w:t>
      </w:r>
      <w:r w:rsidR="00656208" w:rsidRPr="00842F43">
        <w:rPr>
          <w:rFonts w:ascii="Fira Sans" w:hAnsi="Fira Sans"/>
          <w:sz w:val="20"/>
          <w:szCs w:val="20"/>
        </w:rPr>
        <w:t xml:space="preserve">in a broader cohort of intensive care survivors, </w:t>
      </w:r>
      <w:r w:rsidR="00BE166C" w:rsidRPr="00842F43">
        <w:rPr>
          <w:rFonts w:ascii="Fira Sans" w:hAnsi="Fira Sans"/>
          <w:sz w:val="20"/>
          <w:szCs w:val="20"/>
        </w:rPr>
        <w:t>which m</w:t>
      </w:r>
      <w:r w:rsidRPr="00842F43">
        <w:rPr>
          <w:rFonts w:ascii="Fira Sans" w:hAnsi="Fira Sans"/>
          <w:sz w:val="20"/>
          <w:szCs w:val="20"/>
        </w:rPr>
        <w:t>a</w:t>
      </w:r>
      <w:r w:rsidR="00BE166C" w:rsidRPr="00842F43">
        <w:rPr>
          <w:rFonts w:ascii="Fira Sans" w:hAnsi="Fira Sans"/>
          <w:sz w:val="20"/>
          <w:szCs w:val="20"/>
        </w:rPr>
        <w:t>y inform psychological care pathways for this underserved population</w:t>
      </w:r>
      <w:r w:rsidR="00B87D77" w:rsidRPr="00842F43">
        <w:rPr>
          <w:rFonts w:ascii="Fira Sans" w:hAnsi="Fira Sans"/>
          <w:sz w:val="20"/>
          <w:szCs w:val="20"/>
        </w:rPr>
        <w:t>.</w:t>
      </w:r>
    </w:p>
    <w:p w14:paraId="542D9559" w14:textId="5D8BF38C" w:rsidR="00E002FA" w:rsidRPr="00842F43" w:rsidRDefault="00533BC6" w:rsidP="00842F43">
      <w:pPr>
        <w:spacing w:line="360" w:lineRule="auto"/>
        <w:rPr>
          <w:rFonts w:ascii="Fira Sans" w:hAnsi="Fira Sans"/>
          <w:sz w:val="20"/>
          <w:szCs w:val="20"/>
        </w:rPr>
      </w:pPr>
      <w:r w:rsidRPr="00842F43">
        <w:rPr>
          <w:rFonts w:ascii="Fira Sans" w:hAnsi="Fira Sans"/>
          <w:sz w:val="20"/>
          <w:szCs w:val="20"/>
        </w:rPr>
        <w:t>METHOD</w:t>
      </w:r>
    </w:p>
    <w:p w14:paraId="7AC6A36B" w14:textId="77777777" w:rsidR="00BE26AB" w:rsidRPr="00842F43" w:rsidRDefault="00BE26AB" w:rsidP="00842F43">
      <w:pPr>
        <w:spacing w:line="360" w:lineRule="auto"/>
        <w:rPr>
          <w:rFonts w:ascii="Fira Sans" w:hAnsi="Fira Sans"/>
          <w:i/>
          <w:iCs/>
          <w:sz w:val="20"/>
          <w:szCs w:val="20"/>
        </w:rPr>
      </w:pPr>
    </w:p>
    <w:p w14:paraId="5E26F0A5" w14:textId="0A5505A8" w:rsidR="00BB24B2" w:rsidRPr="00842F43" w:rsidRDefault="00BB24B2" w:rsidP="00842F43">
      <w:pPr>
        <w:spacing w:line="360" w:lineRule="auto"/>
        <w:rPr>
          <w:rFonts w:ascii="Fira Sans" w:hAnsi="Fira Sans"/>
          <w:i/>
          <w:iCs/>
          <w:sz w:val="20"/>
          <w:szCs w:val="20"/>
        </w:rPr>
      </w:pPr>
      <w:r w:rsidRPr="00842F43">
        <w:rPr>
          <w:rFonts w:ascii="Fira Sans" w:hAnsi="Fira Sans"/>
          <w:i/>
          <w:iCs/>
          <w:sz w:val="20"/>
          <w:szCs w:val="20"/>
        </w:rPr>
        <w:t>Trial design</w:t>
      </w:r>
    </w:p>
    <w:p w14:paraId="75A69A64" w14:textId="1D31A70F" w:rsidR="00C14137" w:rsidRPr="00842F43" w:rsidRDefault="00892800" w:rsidP="00842F43">
      <w:pPr>
        <w:spacing w:line="360" w:lineRule="auto"/>
        <w:rPr>
          <w:rFonts w:ascii="Fira Sans" w:hAnsi="Fira Sans"/>
          <w:color w:val="333333"/>
          <w:sz w:val="20"/>
          <w:szCs w:val="20"/>
          <w:shd w:val="clear" w:color="auto" w:fill="FFFFFF"/>
        </w:rPr>
      </w:pPr>
      <w:r w:rsidRPr="00842F43">
        <w:rPr>
          <w:rFonts w:ascii="Fira Sans" w:hAnsi="Fira Sans"/>
          <w:sz w:val="20"/>
          <w:szCs w:val="20"/>
        </w:rPr>
        <w:t>C</w:t>
      </w:r>
      <w:r w:rsidR="00857597" w:rsidRPr="00842F43">
        <w:rPr>
          <w:rFonts w:ascii="Fira Sans" w:hAnsi="Fira Sans"/>
          <w:sz w:val="20"/>
          <w:szCs w:val="20"/>
        </w:rPr>
        <w:t>OV</w:t>
      </w:r>
      <w:r w:rsidRPr="00842F43">
        <w:rPr>
          <w:rFonts w:ascii="Fira Sans" w:hAnsi="Fira Sans"/>
          <w:sz w:val="20"/>
          <w:szCs w:val="20"/>
        </w:rPr>
        <w:t>EMERALD was an investigator</w:t>
      </w:r>
      <w:r w:rsidR="00FD799F" w:rsidRPr="00842F43">
        <w:rPr>
          <w:rFonts w:ascii="Fira Sans" w:hAnsi="Fira Sans"/>
          <w:sz w:val="20"/>
          <w:szCs w:val="20"/>
        </w:rPr>
        <w:t>-</w:t>
      </w:r>
      <w:r w:rsidRPr="00842F43">
        <w:rPr>
          <w:rFonts w:ascii="Fira Sans" w:hAnsi="Fira Sans"/>
          <w:sz w:val="20"/>
          <w:szCs w:val="20"/>
        </w:rPr>
        <w:t>initiated, single</w:t>
      </w:r>
      <w:r w:rsidR="00FD799F" w:rsidRPr="00842F43">
        <w:rPr>
          <w:rFonts w:ascii="Fira Sans" w:hAnsi="Fira Sans"/>
          <w:sz w:val="20"/>
          <w:szCs w:val="20"/>
        </w:rPr>
        <w:t>-</w:t>
      </w:r>
      <w:r w:rsidRPr="00842F43">
        <w:rPr>
          <w:rFonts w:ascii="Fira Sans" w:hAnsi="Fira Sans"/>
          <w:sz w:val="20"/>
          <w:szCs w:val="20"/>
        </w:rPr>
        <w:t xml:space="preserve">centre, </w:t>
      </w:r>
      <w:r w:rsidR="00B0677F" w:rsidRPr="00842F43">
        <w:rPr>
          <w:rFonts w:ascii="Fira Sans" w:hAnsi="Fira Sans"/>
          <w:sz w:val="20"/>
          <w:szCs w:val="20"/>
        </w:rPr>
        <w:t>pilot</w:t>
      </w:r>
      <w:r w:rsidRPr="00842F43">
        <w:rPr>
          <w:rFonts w:ascii="Fira Sans" w:hAnsi="Fira Sans"/>
          <w:sz w:val="20"/>
          <w:szCs w:val="20"/>
        </w:rPr>
        <w:t xml:space="preserve"> </w:t>
      </w:r>
      <w:r w:rsidR="005B56D6" w:rsidRPr="00842F43">
        <w:rPr>
          <w:rFonts w:ascii="Fira Sans" w:hAnsi="Fira Sans"/>
          <w:sz w:val="20"/>
          <w:szCs w:val="20"/>
        </w:rPr>
        <w:t xml:space="preserve">feasibility </w:t>
      </w:r>
      <w:r w:rsidR="00A902EA" w:rsidRPr="00842F43">
        <w:rPr>
          <w:rFonts w:ascii="Fira Sans" w:hAnsi="Fira Sans"/>
          <w:sz w:val="20"/>
          <w:szCs w:val="20"/>
        </w:rPr>
        <w:t>study</w:t>
      </w:r>
      <w:r w:rsidRPr="00842F43">
        <w:rPr>
          <w:rFonts w:ascii="Fira Sans" w:hAnsi="Fira Sans"/>
          <w:sz w:val="20"/>
          <w:szCs w:val="20"/>
        </w:rPr>
        <w:t xml:space="preserve">. </w:t>
      </w:r>
      <w:r w:rsidR="009119F8" w:rsidRPr="00842F43">
        <w:rPr>
          <w:rFonts w:ascii="Fira Sans" w:hAnsi="Fira Sans"/>
          <w:sz w:val="20"/>
          <w:szCs w:val="20"/>
        </w:rPr>
        <w:t xml:space="preserve">Registered on </w:t>
      </w:r>
      <w:r w:rsidRPr="00842F43">
        <w:rPr>
          <w:rFonts w:ascii="Fira Sans" w:hAnsi="Fira Sans"/>
          <w:color w:val="000000"/>
          <w:sz w:val="20"/>
          <w:szCs w:val="20"/>
          <w:shd w:val="clear" w:color="auto" w:fill="FFFFFF"/>
        </w:rPr>
        <w:t>ClinicalTrials.gov</w:t>
      </w:r>
      <w:r w:rsidR="009119F8" w:rsidRPr="00842F43">
        <w:rPr>
          <w:rFonts w:ascii="Fira Sans" w:hAnsi="Fira Sans"/>
          <w:color w:val="000000"/>
          <w:sz w:val="20"/>
          <w:szCs w:val="20"/>
          <w:shd w:val="clear" w:color="auto" w:fill="FFFFFF"/>
        </w:rPr>
        <w:t xml:space="preserve"> (NCT04455360), in advance of beginning the trial</w:t>
      </w:r>
      <w:r w:rsidR="00FD799F" w:rsidRPr="00842F43">
        <w:rPr>
          <w:rFonts w:ascii="Fira Sans" w:hAnsi="Fira Sans"/>
          <w:color w:val="000000"/>
          <w:sz w:val="20"/>
          <w:szCs w:val="20"/>
          <w:shd w:val="clear" w:color="auto" w:fill="FFFFFF"/>
        </w:rPr>
        <w:t>:</w:t>
      </w:r>
      <w:r w:rsidR="00C86EE4" w:rsidRPr="00842F43">
        <w:rPr>
          <w:rFonts w:ascii="Fira Sans" w:hAnsi="Fira Sans"/>
          <w:color w:val="000000"/>
          <w:sz w:val="20"/>
          <w:szCs w:val="20"/>
          <w:shd w:val="clear" w:color="auto" w:fill="FFFFFF"/>
        </w:rPr>
        <w:t xml:space="preserve"> </w:t>
      </w:r>
      <w:r w:rsidR="00C86EE4" w:rsidRPr="00842F43">
        <w:rPr>
          <w:rFonts w:ascii="Fira Sans" w:hAnsi="Fira Sans"/>
          <w:color w:val="333333"/>
          <w:sz w:val="20"/>
          <w:szCs w:val="20"/>
          <w:shd w:val="clear" w:color="auto" w:fill="FFFFFF"/>
        </w:rPr>
        <w:t>London-Fulham Research Ethics Committee granted ethical approval on 24</w:t>
      </w:r>
      <w:r w:rsidR="00C86EE4" w:rsidRPr="00842F43">
        <w:rPr>
          <w:rFonts w:ascii="Fira Sans" w:hAnsi="Fira Sans"/>
          <w:color w:val="333333"/>
          <w:sz w:val="20"/>
          <w:szCs w:val="20"/>
          <w:vertAlign w:val="superscript"/>
        </w:rPr>
        <w:t>th</w:t>
      </w:r>
      <w:r w:rsidR="00C86EE4" w:rsidRPr="00842F43">
        <w:rPr>
          <w:rFonts w:ascii="Fira Sans" w:hAnsi="Fira Sans"/>
          <w:color w:val="333333"/>
          <w:sz w:val="20"/>
          <w:szCs w:val="20"/>
          <w:shd w:val="clear" w:color="auto" w:fill="FFFFFF"/>
        </w:rPr>
        <w:t xml:space="preserve"> August 2020 (Reference: 20/HRA/3633). </w:t>
      </w:r>
      <w:r w:rsidR="00656208" w:rsidRPr="00842F43">
        <w:rPr>
          <w:rFonts w:ascii="Fira Sans" w:hAnsi="Fira Sans"/>
          <w:color w:val="333333"/>
          <w:sz w:val="20"/>
          <w:szCs w:val="20"/>
          <w:shd w:val="clear" w:color="auto" w:fill="FFFFFF"/>
        </w:rPr>
        <w:t>At the time of th</w:t>
      </w:r>
      <w:r w:rsidR="000A7ABA" w:rsidRPr="00842F43">
        <w:rPr>
          <w:rFonts w:ascii="Fira Sans" w:hAnsi="Fira Sans"/>
          <w:color w:val="333333"/>
          <w:sz w:val="20"/>
          <w:szCs w:val="20"/>
          <w:shd w:val="clear" w:color="auto" w:fill="FFFFFF"/>
        </w:rPr>
        <w:t>is</w:t>
      </w:r>
      <w:r w:rsidR="00656208" w:rsidRPr="00842F43">
        <w:rPr>
          <w:rFonts w:ascii="Fira Sans" w:hAnsi="Fira Sans"/>
          <w:color w:val="333333"/>
          <w:sz w:val="20"/>
          <w:szCs w:val="20"/>
          <w:shd w:val="clear" w:color="auto" w:fill="FFFFFF"/>
        </w:rPr>
        <w:t xml:space="preserve"> study, only </w:t>
      </w:r>
      <w:r w:rsidR="000A7ABA" w:rsidRPr="00842F43">
        <w:rPr>
          <w:rFonts w:ascii="Fira Sans" w:hAnsi="Fira Sans"/>
          <w:color w:val="333333"/>
          <w:sz w:val="20"/>
          <w:szCs w:val="20"/>
          <w:shd w:val="clear" w:color="auto" w:fill="FFFFFF"/>
        </w:rPr>
        <w:t xml:space="preserve">COVID-19 related </w:t>
      </w:r>
      <w:r w:rsidR="00656208" w:rsidRPr="00842F43">
        <w:rPr>
          <w:rFonts w:ascii="Fira Sans" w:hAnsi="Fira Sans"/>
          <w:color w:val="333333"/>
          <w:sz w:val="20"/>
          <w:szCs w:val="20"/>
          <w:shd w:val="clear" w:color="auto" w:fill="FFFFFF"/>
        </w:rPr>
        <w:t xml:space="preserve">research </w:t>
      </w:r>
      <w:r w:rsidR="000A7ABA" w:rsidRPr="00842F43">
        <w:rPr>
          <w:rFonts w:ascii="Fira Sans" w:hAnsi="Fira Sans"/>
          <w:color w:val="333333"/>
          <w:sz w:val="20"/>
          <w:szCs w:val="20"/>
          <w:shd w:val="clear" w:color="auto" w:fill="FFFFFF"/>
        </w:rPr>
        <w:t>wo</w:t>
      </w:r>
      <w:r w:rsidR="00656208" w:rsidRPr="00842F43">
        <w:rPr>
          <w:rFonts w:ascii="Fira Sans" w:hAnsi="Fira Sans"/>
          <w:color w:val="333333"/>
          <w:sz w:val="20"/>
          <w:szCs w:val="20"/>
          <w:shd w:val="clear" w:color="auto" w:fill="FFFFFF"/>
        </w:rPr>
        <w:t xml:space="preserve">uld be considered by UK Health Research Authority. </w:t>
      </w:r>
      <w:r w:rsidR="00C86EE4" w:rsidRPr="00842F43">
        <w:rPr>
          <w:rFonts w:ascii="Fira Sans" w:hAnsi="Fira Sans"/>
          <w:color w:val="333333"/>
          <w:sz w:val="20"/>
          <w:szCs w:val="20"/>
          <w:shd w:val="clear" w:color="auto" w:fill="FFFFFF"/>
        </w:rPr>
        <w:t xml:space="preserve">The full study protocol </w:t>
      </w:r>
      <w:r w:rsidR="00E41698" w:rsidRPr="00842F43">
        <w:rPr>
          <w:rFonts w:ascii="Fira Sans" w:hAnsi="Fira Sans"/>
          <w:color w:val="333333"/>
          <w:sz w:val="20"/>
          <w:szCs w:val="20"/>
          <w:shd w:val="clear" w:color="auto" w:fill="FFFFFF"/>
        </w:rPr>
        <w:t>has been</w:t>
      </w:r>
      <w:r w:rsidR="00C86EE4" w:rsidRPr="00842F43">
        <w:rPr>
          <w:rFonts w:ascii="Fira Sans" w:hAnsi="Fira Sans"/>
          <w:color w:val="333333"/>
          <w:sz w:val="20"/>
          <w:szCs w:val="20"/>
          <w:shd w:val="clear" w:color="auto" w:fill="FFFFFF"/>
        </w:rPr>
        <w:t xml:space="preserve"> published </w:t>
      </w:r>
      <w:r w:rsidR="00770825" w:rsidRPr="00842F43">
        <w:rPr>
          <w:rFonts w:ascii="Fira Sans" w:hAnsi="Fira Sans"/>
          <w:color w:val="333333"/>
          <w:sz w:val="20"/>
          <w:szCs w:val="20"/>
          <w:shd w:val="clear" w:color="auto" w:fill="FFFFFF"/>
        </w:rPr>
        <w:t>elsewhere</w:t>
      </w:r>
      <w:r w:rsidR="00754CF3" w:rsidRPr="00842F43">
        <w:rPr>
          <w:rFonts w:ascii="Fira Sans" w:hAnsi="Fira Sans"/>
          <w:color w:val="333333"/>
          <w:sz w:val="20"/>
          <w:szCs w:val="20"/>
          <w:shd w:val="clear" w:color="auto" w:fill="FFFFFF"/>
        </w:rPr>
        <w:t>.</w:t>
      </w:r>
      <w:r w:rsidR="00770825" w:rsidRPr="00842F43">
        <w:rPr>
          <w:rFonts w:ascii="Fira Sans" w:hAnsi="Fira Sans"/>
          <w:color w:val="333333"/>
          <w:sz w:val="20"/>
          <w:szCs w:val="20"/>
          <w:shd w:val="clear" w:color="auto" w:fill="FFFFFF"/>
          <w:vertAlign w:val="superscript"/>
        </w:rPr>
        <w:fldChar w:fldCharType="begin" w:fldLock="1"/>
      </w:r>
      <w:r w:rsidR="00744E81" w:rsidRPr="00842F43">
        <w:rPr>
          <w:rFonts w:ascii="Fira Sans" w:hAnsi="Fira Sans"/>
          <w:color w:val="333333"/>
          <w:sz w:val="20"/>
          <w:szCs w:val="20"/>
          <w:shd w:val="clear" w:color="auto" w:fill="FFFFFF"/>
          <w:vertAlign w:val="superscript"/>
        </w:rPr>
        <w:instrText>ADDIN CSL_CITATION {"citationItems":[{"id":"ITEM-1","itemData":{"DOI":"10.1186/s13063-020-04805-1","ISSN":"1745-6215","abstract":"Primary Objective: To determine the feasibility of delivering a protocolised, remote, online, Eye Movement Desensitisation and Reprocessing (EMDR) intervention, within 12-weeks of hospital discharge, for adult survivors of Covid-19 related critical illness. Secondary objectives: To investigate whether remotely delivered EMDR can improve psychological outcome following Covid-19 related critical illness, specifically Post-Traumatic Stress Disorder (PTSD), anxiety and depression. This is a single centre, randomised controlled cohort feasibility trial. Participants will be recruited following discharge from the Intensive Care Unit at University Hospital Southampton, United Kingdom. Eligible patients will have received mechanical ventilation for a minimum of 24 hours, tested Covid-19 positive by polymerase chain reaction, will be over the age of 18 years and have the capacity to provide informed consent. Patients will be excluded if they have pre-existing cognitive impairment, pre-existing psychotic diagnosis or are not expected to survive post-hospital discharge. Group one: patients in the control arm will receive their standard package of prescribed care, following discharge home from hospital. If they experience any adverse physical or psychological health-conditions, they will access care through the usual available channels. Group two: patients randomly allocated to the intervention arm will receive their standard package of prescribed care, following discharge home from hospital. In addition, they will be referred to the Intensive Psychological Therapies Service in Poole, United Kingdom. They will receive an online appointment within 12-weeks of discharge home from hospital. They will receive a maximum of eight, weekly sessions of EMDR, delivered by a trained psychological therapist, following the Recent Traumatic Episode Protocol (R-TEP). Appendices 1 and 2 of the attached trial protocol contain a detailed description of the R-TEP intervention, written in accordance with the Template for Intervention Description and Replication (TIDieR) checklist and guide. The primary outcome from this trial will be feasibility. Feasibility will be determined by recruitment rates, expressed as a percentage of eligible patients approached, completion of the EMDR intervention, completion of final assessment at 6-months, incidence of attributable adverse events and protocol adherence by the psychological therapists. Secondary, exploratory outcomes will be assessed by co…","author":[{"dropping-particle":"","family":"Bates","given":"Andrew","non-dropping-particle":"","parse-names":false,"suffix":""},{"dropping-particle":"","family":"Rushbrook","given":"Sophie","non-dropping-particle":"","parse-names":false,"suffix":""},{"dropping-particle":"","family":"Shapiro","given":"Elan","non-dropping-particle":"","parse-names":false,"suffix":""},{"dropping-particle":"","family":"Grocott","given":"Michael","non-dropping-particle":"","parse-names":false,"suffix":""},{"dropping-particle":"","family":"Cusack","given":"Rebecca","non-dropping-particle":"","parse-names":false,"suffix":""}],"container-title":"Trials","id":"ITEM-1","issue":"1","issued":{"date-parts":[["2020","12","17"]]},"page":"929","publisher":"BioMed Central","title":"CovEMERALD: Assessing the feasibility and preliminary effectiveness of remotely delivered Eye Movement Desensitisation and Reprocessing following Covid-19 related critical illness: A structured summary of a study protocol for a randomised controlled trial","type":"article-journal","volume":"21"},"uris":["http://www.mendeley.com/documents/?uuid=5ae0022c-647a-37bb-a927-aa44a41d4f7a"]}],"mendeley":{"formattedCitation":"(41)","manualFormatting":"(41)","plainTextFormattedCitation":"(41)","previouslyFormattedCitation":"(41)"},"properties":{"noteIndex":0},"schema":"https://github.com/citation-style-language/schema/raw/master/csl-citation.json"}</w:instrText>
      </w:r>
      <w:r w:rsidR="00770825" w:rsidRPr="00842F43">
        <w:rPr>
          <w:rFonts w:ascii="Fira Sans" w:hAnsi="Fira Sans"/>
          <w:color w:val="333333"/>
          <w:sz w:val="20"/>
          <w:szCs w:val="20"/>
          <w:shd w:val="clear" w:color="auto" w:fill="FFFFFF"/>
          <w:vertAlign w:val="superscript"/>
        </w:rPr>
        <w:fldChar w:fldCharType="separate"/>
      </w:r>
      <w:r w:rsidR="00FC7B65" w:rsidRPr="00842F43">
        <w:rPr>
          <w:rFonts w:ascii="Fira Sans" w:hAnsi="Fira Sans"/>
          <w:noProof/>
          <w:color w:val="333333"/>
          <w:sz w:val="20"/>
          <w:szCs w:val="20"/>
          <w:shd w:val="clear" w:color="auto" w:fill="FFFFFF"/>
          <w:vertAlign w:val="superscript"/>
        </w:rPr>
        <w:t>(</w:t>
      </w:r>
      <w:r w:rsidR="00744E81" w:rsidRPr="00842F43">
        <w:rPr>
          <w:rFonts w:ascii="Fira Sans" w:hAnsi="Fira Sans"/>
          <w:noProof/>
          <w:color w:val="333333"/>
          <w:sz w:val="20"/>
          <w:szCs w:val="20"/>
          <w:shd w:val="clear" w:color="auto" w:fill="FFFFFF"/>
          <w:vertAlign w:val="superscript"/>
        </w:rPr>
        <w:t>41</w:t>
      </w:r>
      <w:r w:rsidR="00FC7B65" w:rsidRPr="00842F43">
        <w:rPr>
          <w:rFonts w:ascii="Fira Sans" w:hAnsi="Fira Sans"/>
          <w:noProof/>
          <w:color w:val="333333"/>
          <w:sz w:val="20"/>
          <w:szCs w:val="20"/>
          <w:shd w:val="clear" w:color="auto" w:fill="FFFFFF"/>
          <w:vertAlign w:val="superscript"/>
        </w:rPr>
        <w:t>)</w:t>
      </w:r>
      <w:r w:rsidR="00770825" w:rsidRPr="00842F43">
        <w:rPr>
          <w:rFonts w:ascii="Fira Sans" w:hAnsi="Fira Sans"/>
          <w:color w:val="333333"/>
          <w:sz w:val="20"/>
          <w:szCs w:val="20"/>
          <w:shd w:val="clear" w:color="auto" w:fill="FFFFFF"/>
          <w:vertAlign w:val="superscript"/>
        </w:rPr>
        <w:fldChar w:fldCharType="end"/>
      </w:r>
      <w:r w:rsidR="00770825" w:rsidRPr="00842F43">
        <w:rPr>
          <w:rFonts w:ascii="Fira Sans" w:hAnsi="Fira Sans"/>
          <w:color w:val="333333"/>
          <w:sz w:val="20"/>
          <w:szCs w:val="20"/>
          <w:shd w:val="clear" w:color="auto" w:fill="FFFFFF"/>
        </w:rPr>
        <w:t xml:space="preserve"> Th</w:t>
      </w:r>
      <w:r w:rsidR="00FD799F" w:rsidRPr="00842F43">
        <w:rPr>
          <w:rFonts w:ascii="Fira Sans" w:hAnsi="Fira Sans"/>
          <w:color w:val="333333"/>
          <w:sz w:val="20"/>
          <w:szCs w:val="20"/>
          <w:shd w:val="clear" w:color="auto" w:fill="FFFFFF"/>
        </w:rPr>
        <w:t>e</w:t>
      </w:r>
      <w:r w:rsidR="00770825" w:rsidRPr="00842F43">
        <w:rPr>
          <w:rFonts w:ascii="Fira Sans" w:hAnsi="Fira Sans"/>
          <w:color w:val="333333"/>
          <w:sz w:val="20"/>
          <w:szCs w:val="20"/>
          <w:shd w:val="clear" w:color="auto" w:fill="FFFFFF"/>
        </w:rPr>
        <w:t xml:space="preserve"> study was conducted according to Medical Research Council </w:t>
      </w:r>
      <w:r w:rsidR="00E517EE" w:rsidRPr="00842F43">
        <w:rPr>
          <w:rFonts w:ascii="Fira Sans" w:hAnsi="Fira Sans"/>
          <w:color w:val="333333"/>
          <w:sz w:val="20"/>
          <w:szCs w:val="20"/>
          <w:shd w:val="clear" w:color="auto" w:fill="FFFFFF"/>
        </w:rPr>
        <w:t xml:space="preserve">(MRC) </w:t>
      </w:r>
      <w:r w:rsidR="00770825" w:rsidRPr="00842F43">
        <w:rPr>
          <w:rFonts w:ascii="Fira Sans" w:hAnsi="Fira Sans"/>
          <w:color w:val="333333"/>
          <w:sz w:val="20"/>
          <w:szCs w:val="20"/>
          <w:shd w:val="clear" w:color="auto" w:fill="FFFFFF"/>
        </w:rPr>
        <w:t>guidance on developing complex interventions</w:t>
      </w:r>
      <w:r w:rsidR="00ED23D9" w:rsidRPr="00842F43">
        <w:rPr>
          <w:rFonts w:ascii="Fira Sans" w:hAnsi="Fira Sans"/>
          <w:color w:val="333333"/>
          <w:sz w:val="20"/>
          <w:szCs w:val="20"/>
          <w:shd w:val="clear" w:color="auto" w:fill="FFFFFF"/>
          <w:vertAlign w:val="superscript"/>
        </w:rPr>
        <w:fldChar w:fldCharType="begin" w:fldLock="1"/>
      </w:r>
      <w:r w:rsidR="00D61B6C" w:rsidRPr="00842F43">
        <w:rPr>
          <w:rFonts w:ascii="Fira Sans" w:hAnsi="Fira Sans"/>
          <w:color w:val="333333"/>
          <w:sz w:val="20"/>
          <w:szCs w:val="20"/>
          <w:shd w:val="clear" w:color="auto" w:fill="FFFFFF"/>
          <w:vertAlign w:val="superscript"/>
        </w:rPr>
        <w:instrText>ADDIN CSL_CITATION {"citationItems":[{"id":"ITEM-1","itemData":{"DOI":"10.1136/BMJ.A1655","ISSN":"1756-1833","PMID":"18824488","abstract":"Evaluating complex interventions is complicated. The Medical Research Council's evaluation framework (2000) brought welcome clarity to the task. Now the council has updated its guidance\n\nComplex interventions are widely used in the health service, in public health practice, and in areas of social policy that have important health consequences, such as education, transport, and housing. They present various problems for evaluators, in addition to the practical and methodological difficulties that any successful evaluation must overcome. In 2000, the Medical Research Council (MRC) published a framework1 to help researchers and research funders to recognise and adopt appropriate methods. The framework has been highly influential, and the accompanying BMJ paper is widely cited.2 However, much valuable experience has since accumulated of both conventional and more innovative methods. This has now been incorporated in comprehensively revised and updated guidance recently released by the MRC (www.mrc.ac.uk/complexinterventionsguidance). In this article we summarise the issues that prompted the revision and the key messages of the new guidance.\n\n#### Summary points\n\nAs experience of evaluating complex interventions has accumulated since the 2000 framework was published, interest in the methodology has also grown. Several recent papers have identified limitations in the framework, recommending, for example, greater attention to early phase piloting and development …","author":[{"dropping-particle":"","family":"Craig","given":"Peter","non-dropping-particle":"","parse-names":false,"suffix":""},{"dropping-particle":"","family":"Dieppe","given":"Paul","non-dropping-particle":"","parse-names":false,"suffix":""},{"dropping-particle":"","family":"Macintyre","given":"Sally","non-dropping-particle":"","parse-names":false,"suffix":""},{"dropping-particle":"","family":"Michie","given":"Susan","non-dropping-particle":"","parse-names":false,"suffix":""},{"dropping-particle":"","family":"Nazareth","given":"Irwin","non-dropping-particle":"","parse-names":false,"suffix":""},{"dropping-particle":"","family":"Petticrew","given":"Mark","non-dropping-particle":"","parse-names":false,"suffix":""}],"container-title":"BMJ","id":"ITEM-1","issued":{"date-parts":[["2008","9","29"]]},"publisher":"British Medical Journal Publishing Group","title":"Developing and evaluating complex interventions: the new Medical Research Council guidance","type":"article-journal","volume":"337"},"uris":["http://www.mendeley.com/documents/?uuid=46733e84-bd72-3c6b-acab-f47a61ce2caf"]}],"mendeley":{"formattedCitation":"(42)","manualFormatting":"(42)","plainTextFormattedCitation":"(42)","previouslyFormattedCitation":"(42)"},"properties":{"noteIndex":0},"schema":"https://github.com/citation-style-language/schema/raw/master/csl-citation.json"}</w:instrText>
      </w:r>
      <w:r w:rsidR="00ED23D9" w:rsidRPr="00842F43">
        <w:rPr>
          <w:rFonts w:ascii="Fira Sans" w:hAnsi="Fira Sans"/>
          <w:color w:val="333333"/>
          <w:sz w:val="20"/>
          <w:szCs w:val="20"/>
          <w:shd w:val="clear" w:color="auto" w:fill="FFFFFF"/>
          <w:vertAlign w:val="superscript"/>
        </w:rPr>
        <w:fldChar w:fldCharType="separate"/>
      </w:r>
      <w:r w:rsidR="00FC7B65" w:rsidRPr="00842F43">
        <w:rPr>
          <w:rFonts w:ascii="Fira Sans" w:hAnsi="Fira Sans"/>
          <w:noProof/>
          <w:color w:val="333333"/>
          <w:sz w:val="20"/>
          <w:szCs w:val="20"/>
          <w:shd w:val="clear" w:color="auto" w:fill="FFFFFF"/>
          <w:vertAlign w:val="superscript"/>
        </w:rPr>
        <w:t>(</w:t>
      </w:r>
      <w:r w:rsidR="00D61B6C" w:rsidRPr="00842F43">
        <w:rPr>
          <w:rFonts w:ascii="Fira Sans" w:hAnsi="Fira Sans"/>
          <w:noProof/>
          <w:color w:val="333333"/>
          <w:sz w:val="20"/>
          <w:szCs w:val="20"/>
          <w:shd w:val="clear" w:color="auto" w:fill="FFFFFF"/>
          <w:vertAlign w:val="superscript"/>
        </w:rPr>
        <w:t>42</w:t>
      </w:r>
      <w:r w:rsidR="00FC7B65" w:rsidRPr="00842F43">
        <w:rPr>
          <w:rFonts w:ascii="Fira Sans" w:hAnsi="Fira Sans"/>
          <w:noProof/>
          <w:color w:val="333333"/>
          <w:sz w:val="20"/>
          <w:szCs w:val="20"/>
          <w:shd w:val="clear" w:color="auto" w:fill="FFFFFF"/>
          <w:vertAlign w:val="superscript"/>
        </w:rPr>
        <w:t>)</w:t>
      </w:r>
      <w:r w:rsidR="00ED23D9" w:rsidRPr="00842F43">
        <w:rPr>
          <w:rFonts w:ascii="Fira Sans" w:hAnsi="Fira Sans"/>
          <w:color w:val="333333"/>
          <w:sz w:val="20"/>
          <w:szCs w:val="20"/>
          <w:shd w:val="clear" w:color="auto" w:fill="FFFFFF"/>
          <w:vertAlign w:val="superscript"/>
        </w:rPr>
        <w:fldChar w:fldCharType="end"/>
      </w:r>
      <w:r w:rsidR="00ED23D9" w:rsidRPr="00842F43">
        <w:rPr>
          <w:rFonts w:ascii="Fira Sans" w:hAnsi="Fira Sans"/>
          <w:color w:val="333333"/>
          <w:sz w:val="20"/>
          <w:szCs w:val="20"/>
          <w:shd w:val="clear" w:color="auto" w:fill="FFFFFF"/>
        </w:rPr>
        <w:t xml:space="preserve"> and is reported according to Consolidated Standards of Reporting Trials (CONSORT) extension to randomised pilot and feasibility trials</w:t>
      </w:r>
      <w:r w:rsidR="00754CF3" w:rsidRPr="00842F43">
        <w:rPr>
          <w:rFonts w:ascii="Fira Sans" w:hAnsi="Fira Sans"/>
          <w:color w:val="333333"/>
          <w:sz w:val="20"/>
          <w:szCs w:val="20"/>
          <w:shd w:val="clear" w:color="auto" w:fill="FFFFFF"/>
        </w:rPr>
        <w:t>.</w:t>
      </w:r>
      <w:r w:rsidR="00ED23D9" w:rsidRPr="00842F43">
        <w:rPr>
          <w:rFonts w:ascii="Fira Sans" w:hAnsi="Fira Sans"/>
          <w:color w:val="333333"/>
          <w:sz w:val="20"/>
          <w:szCs w:val="20"/>
          <w:shd w:val="clear" w:color="auto" w:fill="FFFFFF"/>
          <w:vertAlign w:val="superscript"/>
        </w:rPr>
        <w:fldChar w:fldCharType="begin" w:fldLock="1"/>
      </w:r>
      <w:r w:rsidR="00D515C0" w:rsidRPr="00842F43">
        <w:rPr>
          <w:rFonts w:ascii="Fira Sans" w:hAnsi="Fira Sans"/>
          <w:color w:val="333333"/>
          <w:sz w:val="20"/>
          <w:szCs w:val="20"/>
          <w:shd w:val="clear" w:color="auto" w:fill="FFFFFF"/>
          <w:vertAlign w:val="superscript"/>
        </w:rPr>
        <w:instrText>ADDIN CSL_CITATION {"citationItems":[{"id":"ITEM-1","itemData":{"DOI":"10.1186/s40814-016-0105-8","abstract":"on behalf of the PAFS consensus group Abstract The Consolidated Standards of Reporting Trials (CONSORT) statement is a guideline designed to improve the transparency and quality of the reporting of randomised controlled trials (RCTs). In this article we present an extension to that statement for randomised pilot and feasibility trials conducted in advance of a future definitive RCT. The checklist applies to any randomised study in which a future definitive RCT, or part of it, is conducted on a smaller scale, regardless of its design (eg, cluster, factorial, crossover) or the terms used by authors to describe the study (eg, pilot, feasibility, trial, study). The extension does not directly apply to internal pilot studies built into the design of a main trial, non-randomised pilot and feasibility studies, or phase II studies, but these studies all have some similarities to randomised pilot and feasibility studies and so many of the principles might also apply. The development of the extension was motivated by the growing number of studies described as feasibility or pilot studies and by research that has identified weaknesses in their reporting and conduct. We followed recommended good practice to develop the extension, including carrying out a Delphi survey, holding a consensus meeting and research team meetings, and piloting the checklist. The aims and objectives of pilot and feasibility randomised studies differ from those of other randomised trials. Consequently, although much of the information to be reported in these trials is similar to those in randomised controlled trials (RCTs) assessing effectiveness and efficacy, there are some key differences in the type of information and in the appropriate interpretation of standard CONSORT reporting items. We have retained some of the original CONSORT statement items, but most have been adapted, some removed, and new items added. The new items cover how participants were identified and consent obtained; if applicable, the prespecified criteria used to judge whether or how to proceed with a future definitive RCT; if relevant, other important unintended consequences; implications for progression from pilot to future definitive RCT, including any proposed amendments; and ethical approval or approval by a research review committee confirmed with a reference number. This article includes the 26 item checklist, a separate checklist for the abstract, a template for a CONSORT flowchart for these studies, and an ex…","author":[{"dropping-particle":"","family":"Eldridge","given":"Sandra M","non-dropping-particle":"","parse-names":false,"suffix":""},{"dropping-particle":"","family":"Chan","given":"Claire L","non-dropping-particle":"","parse-names":false,"suffix":""},{"dropping-particle":"","family":"Campbell","given":"Michael J","non-dropping-particle":"","parse-names":false,"suffix":""},{"dropping-particle":"","family":"Bond","given":"Christine M","non-dropping-particle":"","parse-names":false,"suffix":""},{"dropping-particle":"","family":"Hopewell","given":"Sally","non-dropping-particle":"","parse-names":false,"suffix":""},{"dropping-particle":"","family":"Thabane","given":"Lehana","non-dropping-particle":"","parse-names":false,"suffix":""},{"dropping-particle":"","family":"Lancaster","given":"Gillian A","non-dropping-particle":"","parse-names":false,"suffix":""}],"id":"ITEM-1","issued":{"date-parts":[["0"]]},"title":"CONSORT 2010 statement: extension to randomised pilot and feasibility trials","type":"article-journal"},"uris":["http://www.mendeley.com/documents/?uuid=ca1b6a02-b6b4-3b7b-bf50-bcc7b88bb09f"]}],"mendeley":{"formattedCitation":"(43)","manualFormatting":"(25)","plainTextFormattedCitation":"(43)","previouslyFormattedCitation":"(43)"},"properties":{"noteIndex":0},"schema":"https://github.com/citation-style-language/schema/raw/master/csl-citation.json"}</w:instrText>
      </w:r>
      <w:r w:rsidR="00ED23D9" w:rsidRPr="00842F43">
        <w:rPr>
          <w:rFonts w:ascii="Fira Sans" w:hAnsi="Fira Sans"/>
          <w:color w:val="333333"/>
          <w:sz w:val="20"/>
          <w:szCs w:val="20"/>
          <w:shd w:val="clear" w:color="auto" w:fill="FFFFFF"/>
          <w:vertAlign w:val="superscript"/>
        </w:rPr>
        <w:fldChar w:fldCharType="separate"/>
      </w:r>
      <w:r w:rsidR="00FC7B65" w:rsidRPr="00842F43">
        <w:rPr>
          <w:rFonts w:ascii="Fira Sans" w:hAnsi="Fira Sans"/>
          <w:noProof/>
          <w:color w:val="333333"/>
          <w:sz w:val="20"/>
          <w:szCs w:val="20"/>
          <w:shd w:val="clear" w:color="auto" w:fill="FFFFFF"/>
          <w:vertAlign w:val="superscript"/>
        </w:rPr>
        <w:t>(</w:t>
      </w:r>
      <w:r w:rsidR="00D61B6C" w:rsidRPr="00842F43">
        <w:rPr>
          <w:rFonts w:ascii="Fira Sans" w:hAnsi="Fira Sans"/>
          <w:noProof/>
          <w:color w:val="333333"/>
          <w:sz w:val="20"/>
          <w:szCs w:val="20"/>
          <w:shd w:val="clear" w:color="auto" w:fill="FFFFFF"/>
          <w:vertAlign w:val="superscript"/>
        </w:rPr>
        <w:t>43</w:t>
      </w:r>
      <w:r w:rsidR="00FC7B65" w:rsidRPr="00842F43">
        <w:rPr>
          <w:rFonts w:ascii="Fira Sans" w:hAnsi="Fira Sans"/>
          <w:noProof/>
          <w:color w:val="333333"/>
          <w:sz w:val="20"/>
          <w:szCs w:val="20"/>
          <w:shd w:val="clear" w:color="auto" w:fill="FFFFFF"/>
          <w:vertAlign w:val="superscript"/>
        </w:rPr>
        <w:t>)</w:t>
      </w:r>
      <w:r w:rsidR="00ED23D9" w:rsidRPr="00842F43">
        <w:rPr>
          <w:rFonts w:ascii="Fira Sans" w:hAnsi="Fira Sans"/>
          <w:color w:val="333333"/>
          <w:sz w:val="20"/>
          <w:szCs w:val="20"/>
          <w:shd w:val="clear" w:color="auto" w:fill="FFFFFF"/>
          <w:vertAlign w:val="superscript"/>
        </w:rPr>
        <w:fldChar w:fldCharType="end"/>
      </w:r>
      <w:r w:rsidR="00ED23D9" w:rsidRPr="00842F43">
        <w:rPr>
          <w:rFonts w:ascii="Fira Sans" w:hAnsi="Fira Sans"/>
          <w:color w:val="333333"/>
          <w:sz w:val="20"/>
          <w:szCs w:val="20"/>
          <w:shd w:val="clear" w:color="auto" w:fill="FFFFFF"/>
        </w:rPr>
        <w:t xml:space="preserve"> All study activity was undertaken at University Hospital Southampton </w:t>
      </w:r>
      <w:r w:rsidR="00181920" w:rsidRPr="00842F43">
        <w:rPr>
          <w:rFonts w:ascii="Fira Sans" w:hAnsi="Fira Sans"/>
          <w:color w:val="333333"/>
          <w:sz w:val="20"/>
          <w:szCs w:val="20"/>
          <w:shd w:val="clear" w:color="auto" w:fill="FFFFFF"/>
        </w:rPr>
        <w:t xml:space="preserve">(UHS) </w:t>
      </w:r>
      <w:r w:rsidR="00ED23D9" w:rsidRPr="00842F43">
        <w:rPr>
          <w:rFonts w:ascii="Fira Sans" w:hAnsi="Fira Sans"/>
          <w:color w:val="333333"/>
          <w:sz w:val="20"/>
          <w:szCs w:val="20"/>
          <w:shd w:val="clear" w:color="auto" w:fill="FFFFFF"/>
        </w:rPr>
        <w:t>National Health Service Foundation Trust</w:t>
      </w:r>
      <w:r w:rsidR="000D0B2E" w:rsidRPr="00842F43">
        <w:rPr>
          <w:rFonts w:ascii="Fira Sans" w:hAnsi="Fira Sans"/>
          <w:color w:val="333333"/>
          <w:sz w:val="20"/>
          <w:szCs w:val="20"/>
          <w:shd w:val="clear" w:color="auto" w:fill="FFFFFF"/>
        </w:rPr>
        <w:t xml:space="preserve"> (NHS FT)</w:t>
      </w:r>
      <w:r w:rsidR="00ED23D9" w:rsidRPr="00842F43">
        <w:rPr>
          <w:rFonts w:ascii="Fira Sans" w:hAnsi="Fira Sans"/>
          <w:color w:val="333333"/>
          <w:sz w:val="20"/>
          <w:szCs w:val="20"/>
          <w:shd w:val="clear" w:color="auto" w:fill="FFFFFF"/>
        </w:rPr>
        <w:t xml:space="preserve">, a </w:t>
      </w:r>
      <w:r w:rsidR="00181920" w:rsidRPr="00842F43">
        <w:rPr>
          <w:rFonts w:ascii="Fira Sans" w:hAnsi="Fira Sans"/>
          <w:color w:val="333333"/>
          <w:sz w:val="20"/>
          <w:szCs w:val="20"/>
          <w:shd w:val="clear" w:color="auto" w:fill="FFFFFF"/>
        </w:rPr>
        <w:t xml:space="preserve">large regional centre servicing </w:t>
      </w:r>
      <w:r w:rsidR="00C1046C" w:rsidRPr="00842F43">
        <w:rPr>
          <w:rFonts w:ascii="Fira Sans" w:hAnsi="Fira Sans"/>
          <w:color w:val="333333"/>
          <w:sz w:val="20"/>
          <w:szCs w:val="20"/>
          <w:shd w:val="clear" w:color="auto" w:fill="FFFFFF"/>
        </w:rPr>
        <w:t xml:space="preserve">a population of </w:t>
      </w:r>
      <w:r w:rsidR="00181920" w:rsidRPr="00842F43">
        <w:rPr>
          <w:rFonts w:ascii="Fira Sans" w:hAnsi="Fira Sans"/>
          <w:color w:val="333333"/>
          <w:sz w:val="20"/>
          <w:szCs w:val="20"/>
          <w:shd w:val="clear" w:color="auto" w:fill="FFFFFF"/>
        </w:rPr>
        <w:t xml:space="preserve">1.9 million in central southern United Kingdom. </w:t>
      </w:r>
    </w:p>
    <w:p w14:paraId="65C32450" w14:textId="77777777" w:rsidR="00BE26AB" w:rsidRPr="00842F43" w:rsidRDefault="00BE26AB" w:rsidP="00842F43">
      <w:pPr>
        <w:spacing w:line="360" w:lineRule="auto"/>
        <w:rPr>
          <w:rFonts w:ascii="Fira Sans" w:hAnsi="Fira Sans"/>
          <w:i/>
          <w:iCs/>
          <w:sz w:val="20"/>
          <w:szCs w:val="20"/>
        </w:rPr>
      </w:pPr>
    </w:p>
    <w:p w14:paraId="209841BF" w14:textId="10714DD2" w:rsidR="00BE26AB" w:rsidRPr="00842F43" w:rsidRDefault="00BE26AB" w:rsidP="00842F43">
      <w:pPr>
        <w:spacing w:line="360" w:lineRule="auto"/>
        <w:rPr>
          <w:rFonts w:ascii="Fira Sans" w:hAnsi="Fira Sans"/>
          <w:i/>
          <w:iCs/>
          <w:sz w:val="20"/>
          <w:szCs w:val="20"/>
        </w:rPr>
      </w:pPr>
      <w:r w:rsidRPr="00842F43">
        <w:rPr>
          <w:rFonts w:ascii="Fira Sans" w:hAnsi="Fira Sans"/>
          <w:i/>
          <w:iCs/>
          <w:sz w:val="20"/>
          <w:szCs w:val="20"/>
        </w:rPr>
        <w:t>Patients</w:t>
      </w:r>
    </w:p>
    <w:p w14:paraId="70F1BAE3" w14:textId="33DBC069" w:rsidR="00FD799F" w:rsidRPr="00842F43" w:rsidRDefault="00181920" w:rsidP="00842F43">
      <w:pPr>
        <w:spacing w:line="360" w:lineRule="auto"/>
        <w:rPr>
          <w:rFonts w:ascii="Fira Sans" w:hAnsi="Fira Sans"/>
          <w:sz w:val="20"/>
          <w:szCs w:val="20"/>
        </w:rPr>
      </w:pPr>
      <w:r w:rsidRPr="00842F43">
        <w:rPr>
          <w:rFonts w:ascii="Fira Sans" w:hAnsi="Fira Sans"/>
          <w:sz w:val="20"/>
          <w:szCs w:val="20"/>
        </w:rPr>
        <w:t xml:space="preserve">Patients were eligible </w:t>
      </w:r>
      <w:r w:rsidR="00C1046C" w:rsidRPr="00842F43">
        <w:rPr>
          <w:rFonts w:ascii="Fira Sans" w:hAnsi="Fira Sans"/>
          <w:sz w:val="20"/>
          <w:szCs w:val="20"/>
        </w:rPr>
        <w:t xml:space="preserve">to enrol in the study </w:t>
      </w:r>
      <w:r w:rsidRPr="00842F43">
        <w:rPr>
          <w:rFonts w:ascii="Fira Sans" w:hAnsi="Fira Sans"/>
          <w:sz w:val="20"/>
          <w:szCs w:val="20"/>
        </w:rPr>
        <w:t xml:space="preserve">if they </w:t>
      </w:r>
      <w:r w:rsidR="00A94345" w:rsidRPr="00842F43">
        <w:rPr>
          <w:rFonts w:ascii="Fira Sans" w:hAnsi="Fira Sans"/>
          <w:sz w:val="20"/>
          <w:szCs w:val="20"/>
        </w:rPr>
        <w:t xml:space="preserve">had been admitted to intensive care for at least 24 hours </w:t>
      </w:r>
      <w:r w:rsidR="00EE277F" w:rsidRPr="00842F43">
        <w:rPr>
          <w:rFonts w:ascii="Fira Sans" w:hAnsi="Fira Sans"/>
          <w:sz w:val="20"/>
          <w:szCs w:val="20"/>
        </w:rPr>
        <w:t>following a</w:t>
      </w:r>
      <w:r w:rsidR="00A94345" w:rsidRPr="00842F43">
        <w:rPr>
          <w:rFonts w:ascii="Fira Sans" w:hAnsi="Fira Sans"/>
          <w:sz w:val="20"/>
          <w:szCs w:val="20"/>
        </w:rPr>
        <w:t xml:space="preserve"> </w:t>
      </w:r>
      <w:r w:rsidR="00EE277F" w:rsidRPr="00842F43">
        <w:rPr>
          <w:rFonts w:ascii="Fira Sans" w:hAnsi="Fira Sans"/>
          <w:sz w:val="20"/>
          <w:szCs w:val="20"/>
        </w:rPr>
        <w:t xml:space="preserve">positive </w:t>
      </w:r>
      <w:r w:rsidR="00A94345" w:rsidRPr="00842F43">
        <w:rPr>
          <w:rFonts w:ascii="Fira Sans" w:hAnsi="Fira Sans"/>
          <w:sz w:val="20"/>
          <w:szCs w:val="20"/>
        </w:rPr>
        <w:t xml:space="preserve">COVID-19 </w:t>
      </w:r>
      <w:r w:rsidR="00EE277F" w:rsidRPr="00842F43">
        <w:rPr>
          <w:rFonts w:ascii="Fira Sans" w:hAnsi="Fira Sans"/>
          <w:sz w:val="20"/>
          <w:szCs w:val="20"/>
        </w:rPr>
        <w:t>test (</w:t>
      </w:r>
      <w:r w:rsidR="00A94345" w:rsidRPr="00842F43">
        <w:rPr>
          <w:rFonts w:ascii="Fira Sans" w:hAnsi="Fira Sans"/>
          <w:sz w:val="20"/>
          <w:szCs w:val="20"/>
        </w:rPr>
        <w:t>polymerase chain reaction</w:t>
      </w:r>
      <w:r w:rsidR="00EE277F" w:rsidRPr="00842F43">
        <w:rPr>
          <w:rFonts w:ascii="Fira Sans" w:hAnsi="Fira Sans"/>
          <w:sz w:val="20"/>
          <w:szCs w:val="20"/>
        </w:rPr>
        <w:t>)</w:t>
      </w:r>
      <w:r w:rsidR="00A94345" w:rsidRPr="00842F43">
        <w:rPr>
          <w:rFonts w:ascii="Fira Sans" w:hAnsi="Fira Sans"/>
          <w:sz w:val="20"/>
          <w:szCs w:val="20"/>
        </w:rPr>
        <w:t>, were aged 18 years or over, had capacity to provide informed consent</w:t>
      </w:r>
      <w:r w:rsidR="00EE277F" w:rsidRPr="00842F43">
        <w:rPr>
          <w:rFonts w:ascii="Fira Sans" w:hAnsi="Fira Sans"/>
          <w:sz w:val="20"/>
          <w:szCs w:val="20"/>
        </w:rPr>
        <w:t xml:space="preserve">, and had been discharged from hospital for less than </w:t>
      </w:r>
      <w:r w:rsidR="00FD799F" w:rsidRPr="00842F43">
        <w:rPr>
          <w:rFonts w:ascii="Fira Sans" w:hAnsi="Fira Sans"/>
          <w:sz w:val="20"/>
          <w:szCs w:val="20"/>
        </w:rPr>
        <w:t xml:space="preserve">three </w:t>
      </w:r>
      <w:r w:rsidR="00EE277F" w:rsidRPr="00842F43">
        <w:rPr>
          <w:rFonts w:ascii="Fira Sans" w:hAnsi="Fira Sans"/>
          <w:sz w:val="20"/>
          <w:szCs w:val="20"/>
        </w:rPr>
        <w:t>months</w:t>
      </w:r>
      <w:r w:rsidR="00A94345" w:rsidRPr="00842F43">
        <w:rPr>
          <w:rFonts w:ascii="Fira Sans" w:hAnsi="Fira Sans"/>
          <w:sz w:val="20"/>
          <w:szCs w:val="20"/>
        </w:rPr>
        <w:t xml:space="preserve">. Patients were excluded if they had cognitive impairment, </w:t>
      </w:r>
      <w:r w:rsidR="00FD799F" w:rsidRPr="00842F43">
        <w:rPr>
          <w:rFonts w:ascii="Fira Sans" w:hAnsi="Fira Sans"/>
          <w:sz w:val="20"/>
          <w:szCs w:val="20"/>
        </w:rPr>
        <w:t xml:space="preserve">a </w:t>
      </w:r>
      <w:r w:rsidR="00A94345" w:rsidRPr="00842F43">
        <w:rPr>
          <w:rFonts w:ascii="Fira Sans" w:hAnsi="Fira Sans"/>
          <w:sz w:val="20"/>
          <w:szCs w:val="20"/>
        </w:rPr>
        <w:t xml:space="preserve">pre-existing diagnosis </w:t>
      </w:r>
      <w:r w:rsidR="00FD799F" w:rsidRPr="00842F43">
        <w:rPr>
          <w:rFonts w:ascii="Fira Sans" w:hAnsi="Fira Sans"/>
          <w:sz w:val="20"/>
          <w:szCs w:val="20"/>
        </w:rPr>
        <w:t xml:space="preserve">of psychosis, </w:t>
      </w:r>
      <w:r w:rsidR="003A7545" w:rsidRPr="00842F43">
        <w:rPr>
          <w:rFonts w:ascii="Fira Sans" w:hAnsi="Fira Sans"/>
          <w:sz w:val="20"/>
          <w:szCs w:val="20"/>
        </w:rPr>
        <w:t xml:space="preserve">suffered acute brain injury, </w:t>
      </w:r>
      <w:r w:rsidR="00A94345" w:rsidRPr="00842F43">
        <w:rPr>
          <w:rFonts w:ascii="Fira Sans" w:hAnsi="Fira Sans"/>
          <w:sz w:val="20"/>
          <w:szCs w:val="20"/>
        </w:rPr>
        <w:t>or were not expected to survive beyond hospital discharge.</w:t>
      </w:r>
      <w:r w:rsidR="00C1046C" w:rsidRPr="00842F43">
        <w:rPr>
          <w:rFonts w:ascii="Fira Sans" w:hAnsi="Fira Sans"/>
          <w:sz w:val="20"/>
          <w:szCs w:val="20"/>
        </w:rPr>
        <w:t xml:space="preserve"> Initial i</w:t>
      </w:r>
      <w:r w:rsidR="003D2BDD" w:rsidRPr="00842F43">
        <w:rPr>
          <w:rFonts w:ascii="Fira Sans" w:hAnsi="Fira Sans"/>
          <w:sz w:val="20"/>
          <w:szCs w:val="20"/>
        </w:rPr>
        <w:t>nclusion criteria</w:t>
      </w:r>
      <w:r w:rsidR="00285EB3" w:rsidRPr="00842F43">
        <w:rPr>
          <w:rFonts w:ascii="Fira Sans" w:hAnsi="Fira Sans"/>
          <w:sz w:val="20"/>
          <w:szCs w:val="20"/>
        </w:rPr>
        <w:t xml:space="preserve"> i</w:t>
      </w:r>
      <w:r w:rsidR="003D2BDD" w:rsidRPr="00842F43">
        <w:rPr>
          <w:rFonts w:ascii="Fira Sans" w:hAnsi="Fira Sans"/>
          <w:sz w:val="20"/>
          <w:szCs w:val="20"/>
        </w:rPr>
        <w:t>ncluded 24 hours of mechanical ventilation</w:t>
      </w:r>
      <w:r w:rsidR="00FD799F" w:rsidRPr="00842F43">
        <w:rPr>
          <w:rFonts w:ascii="Fira Sans" w:hAnsi="Fira Sans"/>
          <w:sz w:val="20"/>
          <w:szCs w:val="20"/>
        </w:rPr>
        <w:t>,</w:t>
      </w:r>
      <w:r w:rsidR="008D1766" w:rsidRPr="00842F43">
        <w:rPr>
          <w:rFonts w:ascii="Fira Sans" w:hAnsi="Fira Sans"/>
          <w:sz w:val="20"/>
          <w:szCs w:val="20"/>
        </w:rPr>
        <w:t xml:space="preserve"> </w:t>
      </w:r>
      <w:r w:rsidR="00FD799F" w:rsidRPr="00842F43">
        <w:rPr>
          <w:rFonts w:ascii="Fira Sans" w:hAnsi="Fira Sans"/>
          <w:sz w:val="20"/>
          <w:szCs w:val="20"/>
        </w:rPr>
        <w:t>but t</w:t>
      </w:r>
      <w:r w:rsidR="003D2BDD" w:rsidRPr="00842F43">
        <w:rPr>
          <w:rFonts w:ascii="Fira Sans" w:hAnsi="Fira Sans"/>
          <w:sz w:val="20"/>
          <w:szCs w:val="20"/>
        </w:rPr>
        <w:t xml:space="preserve">his was removed on the advice of </w:t>
      </w:r>
      <w:r w:rsidR="00F95F69" w:rsidRPr="00842F43">
        <w:rPr>
          <w:rFonts w:ascii="Fira Sans" w:hAnsi="Fira Sans"/>
          <w:sz w:val="20"/>
          <w:szCs w:val="20"/>
        </w:rPr>
        <w:t xml:space="preserve">our patient and public involvement </w:t>
      </w:r>
      <w:r w:rsidR="00FD799F" w:rsidRPr="00842F43">
        <w:rPr>
          <w:rFonts w:ascii="Fira Sans" w:hAnsi="Fira Sans"/>
          <w:sz w:val="20"/>
          <w:szCs w:val="20"/>
        </w:rPr>
        <w:t xml:space="preserve">(PPI) </w:t>
      </w:r>
      <w:r w:rsidR="00F95F69" w:rsidRPr="00842F43">
        <w:rPr>
          <w:rFonts w:ascii="Fira Sans" w:hAnsi="Fira Sans"/>
          <w:sz w:val="20"/>
          <w:szCs w:val="20"/>
        </w:rPr>
        <w:t>group</w:t>
      </w:r>
      <w:r w:rsidR="003D2BDD" w:rsidRPr="00842F43">
        <w:rPr>
          <w:rFonts w:ascii="Fira Sans" w:hAnsi="Fira Sans"/>
          <w:sz w:val="20"/>
          <w:szCs w:val="20"/>
        </w:rPr>
        <w:t xml:space="preserve">, following reports of distress associated with non-invasive positive pressure ventilation. </w:t>
      </w:r>
    </w:p>
    <w:p w14:paraId="14A3DAD7" w14:textId="23126AE5" w:rsidR="00FD799F" w:rsidRPr="00842F43" w:rsidRDefault="00FD799F" w:rsidP="00842F43">
      <w:pPr>
        <w:spacing w:line="360" w:lineRule="auto"/>
        <w:rPr>
          <w:rFonts w:ascii="Fira Sans" w:hAnsi="Fira Sans"/>
          <w:sz w:val="20"/>
          <w:szCs w:val="20"/>
        </w:rPr>
      </w:pPr>
      <w:r w:rsidRPr="00842F43">
        <w:rPr>
          <w:rFonts w:ascii="Fira Sans" w:hAnsi="Fira Sans"/>
          <w:sz w:val="20"/>
          <w:szCs w:val="20"/>
        </w:rPr>
        <w:t xml:space="preserve">Recruitment occurred between October 2020 and April 2021. </w:t>
      </w:r>
      <w:r w:rsidR="00897FB9" w:rsidRPr="00842F43">
        <w:rPr>
          <w:rFonts w:ascii="Fira Sans" w:hAnsi="Fira Sans"/>
          <w:sz w:val="20"/>
          <w:szCs w:val="20"/>
        </w:rPr>
        <w:t xml:space="preserve">Consecutive patients were screened for eligibility, following </w:t>
      </w:r>
      <w:r w:rsidR="00754CF3" w:rsidRPr="00842F43">
        <w:rPr>
          <w:rFonts w:ascii="Fira Sans" w:hAnsi="Fira Sans"/>
          <w:sz w:val="20"/>
          <w:szCs w:val="20"/>
        </w:rPr>
        <w:t>hospital-</w:t>
      </w:r>
      <w:r w:rsidR="00897FB9" w:rsidRPr="00842F43">
        <w:rPr>
          <w:rFonts w:ascii="Fira Sans" w:hAnsi="Fira Sans"/>
          <w:sz w:val="20"/>
          <w:szCs w:val="20"/>
        </w:rPr>
        <w:t>discharge</w:t>
      </w:r>
      <w:r w:rsidR="00754CF3" w:rsidRPr="00842F43">
        <w:rPr>
          <w:rFonts w:ascii="Fira Sans" w:hAnsi="Fira Sans"/>
          <w:sz w:val="20"/>
          <w:szCs w:val="20"/>
        </w:rPr>
        <w:t xml:space="preserve">. </w:t>
      </w:r>
      <w:r w:rsidR="00B47C90" w:rsidRPr="00842F43">
        <w:rPr>
          <w:rFonts w:ascii="Fira Sans" w:hAnsi="Fira Sans"/>
          <w:sz w:val="20"/>
          <w:szCs w:val="20"/>
        </w:rPr>
        <w:t>T</w:t>
      </w:r>
      <w:r w:rsidR="00897FB9" w:rsidRPr="00842F43">
        <w:rPr>
          <w:rFonts w:ascii="Fira Sans" w:hAnsi="Fira Sans"/>
          <w:sz w:val="20"/>
          <w:szCs w:val="20"/>
        </w:rPr>
        <w:t>he C</w:t>
      </w:r>
      <w:r w:rsidR="00754CF3" w:rsidRPr="00842F43">
        <w:rPr>
          <w:rFonts w:ascii="Fira Sans" w:hAnsi="Fira Sans"/>
          <w:sz w:val="20"/>
          <w:szCs w:val="20"/>
        </w:rPr>
        <w:t>hief Investigator</w:t>
      </w:r>
      <w:r w:rsidR="00897FB9" w:rsidRPr="00842F43">
        <w:rPr>
          <w:rFonts w:ascii="Fira Sans" w:hAnsi="Fira Sans"/>
          <w:sz w:val="20"/>
          <w:szCs w:val="20"/>
        </w:rPr>
        <w:t xml:space="preserve"> telephoned </w:t>
      </w:r>
      <w:r w:rsidR="00B47C90" w:rsidRPr="00842F43">
        <w:rPr>
          <w:rFonts w:ascii="Fira Sans" w:hAnsi="Fira Sans"/>
          <w:sz w:val="20"/>
          <w:szCs w:val="20"/>
        </w:rPr>
        <w:t xml:space="preserve">potential </w:t>
      </w:r>
      <w:r w:rsidR="00897FB9" w:rsidRPr="00842F43">
        <w:rPr>
          <w:rFonts w:ascii="Fira Sans" w:hAnsi="Fira Sans"/>
          <w:sz w:val="20"/>
          <w:szCs w:val="20"/>
        </w:rPr>
        <w:t xml:space="preserve">participants </w:t>
      </w:r>
      <w:r w:rsidR="00B47C90" w:rsidRPr="00842F43">
        <w:rPr>
          <w:rFonts w:ascii="Fira Sans" w:hAnsi="Fira Sans"/>
          <w:sz w:val="20"/>
          <w:szCs w:val="20"/>
        </w:rPr>
        <w:t xml:space="preserve">once </w:t>
      </w:r>
      <w:r w:rsidR="00B47C90" w:rsidRPr="00842F43">
        <w:rPr>
          <w:rFonts w:ascii="Fira Sans" w:hAnsi="Fira Sans"/>
          <w:sz w:val="20"/>
          <w:szCs w:val="20"/>
        </w:rPr>
        <w:lastRenderedPageBreak/>
        <w:t xml:space="preserve">eligibility criteria were </w:t>
      </w:r>
      <w:r w:rsidR="00953111" w:rsidRPr="00842F43">
        <w:rPr>
          <w:rFonts w:ascii="Fira Sans" w:hAnsi="Fira Sans"/>
          <w:sz w:val="20"/>
          <w:szCs w:val="20"/>
        </w:rPr>
        <w:t>confirmed</w:t>
      </w:r>
      <w:r w:rsidR="00897FB9" w:rsidRPr="00842F43">
        <w:rPr>
          <w:rFonts w:ascii="Fira Sans" w:hAnsi="Fira Sans"/>
          <w:sz w:val="20"/>
          <w:szCs w:val="20"/>
        </w:rPr>
        <w:t>.</w:t>
      </w:r>
      <w:r w:rsidR="003D6B10" w:rsidRPr="00842F43">
        <w:rPr>
          <w:rFonts w:ascii="Fira Sans" w:hAnsi="Fira Sans"/>
          <w:sz w:val="20"/>
          <w:szCs w:val="20"/>
        </w:rPr>
        <w:t xml:space="preserve"> </w:t>
      </w:r>
      <w:r w:rsidR="00754CF3" w:rsidRPr="00842F43">
        <w:rPr>
          <w:rFonts w:ascii="Fira Sans" w:hAnsi="Fira Sans"/>
          <w:sz w:val="20"/>
          <w:szCs w:val="20"/>
        </w:rPr>
        <w:t>P</w:t>
      </w:r>
      <w:r w:rsidR="00160FFB" w:rsidRPr="00842F43">
        <w:rPr>
          <w:rFonts w:ascii="Fira Sans" w:hAnsi="Fira Sans"/>
          <w:sz w:val="20"/>
          <w:szCs w:val="20"/>
        </w:rPr>
        <w:t>atient information sheets</w:t>
      </w:r>
      <w:r w:rsidR="00B47C90" w:rsidRPr="00842F43">
        <w:rPr>
          <w:rFonts w:ascii="Fira Sans" w:hAnsi="Fira Sans"/>
          <w:sz w:val="20"/>
          <w:szCs w:val="20"/>
        </w:rPr>
        <w:t xml:space="preserve"> were posted or </w:t>
      </w:r>
      <w:r w:rsidR="003C0F55" w:rsidRPr="00842F43">
        <w:rPr>
          <w:rFonts w:ascii="Fira Sans" w:hAnsi="Fira Sans"/>
          <w:sz w:val="20"/>
          <w:szCs w:val="20"/>
        </w:rPr>
        <w:t>e-mailed,</w:t>
      </w:r>
      <w:r w:rsidR="00160FFB" w:rsidRPr="00842F43">
        <w:rPr>
          <w:rFonts w:ascii="Fira Sans" w:hAnsi="Fira Sans"/>
          <w:sz w:val="20"/>
          <w:szCs w:val="20"/>
        </w:rPr>
        <w:t xml:space="preserve"> and a follow-up phone call arranged</w:t>
      </w:r>
      <w:r w:rsidR="00B47C90" w:rsidRPr="00842F43">
        <w:rPr>
          <w:rFonts w:ascii="Fira Sans" w:hAnsi="Fira Sans"/>
          <w:sz w:val="20"/>
          <w:szCs w:val="20"/>
        </w:rPr>
        <w:t xml:space="preserve">. </w:t>
      </w:r>
      <w:r w:rsidRPr="00842F43">
        <w:rPr>
          <w:rFonts w:ascii="Fira Sans" w:hAnsi="Fira Sans"/>
          <w:sz w:val="20"/>
          <w:szCs w:val="20"/>
        </w:rPr>
        <w:t>If</w:t>
      </w:r>
      <w:r w:rsidR="00953111" w:rsidRPr="00842F43">
        <w:rPr>
          <w:rFonts w:ascii="Fira Sans" w:hAnsi="Fira Sans"/>
          <w:sz w:val="20"/>
          <w:szCs w:val="20"/>
        </w:rPr>
        <w:t xml:space="preserve"> </w:t>
      </w:r>
      <w:r w:rsidR="00FB3A51" w:rsidRPr="00842F43">
        <w:rPr>
          <w:rFonts w:ascii="Fira Sans" w:hAnsi="Fira Sans"/>
          <w:sz w:val="20"/>
          <w:szCs w:val="20"/>
        </w:rPr>
        <w:t xml:space="preserve">the patient expressed a desire to participate in the study, research staff documented the conversation and </w:t>
      </w:r>
      <w:r w:rsidR="00F95F69" w:rsidRPr="00842F43">
        <w:rPr>
          <w:rFonts w:ascii="Fira Sans" w:hAnsi="Fira Sans"/>
          <w:sz w:val="20"/>
          <w:szCs w:val="20"/>
        </w:rPr>
        <w:t>recorded</w:t>
      </w:r>
      <w:r w:rsidR="00FB3A51" w:rsidRPr="00842F43">
        <w:rPr>
          <w:rFonts w:ascii="Fira Sans" w:hAnsi="Fira Sans"/>
          <w:sz w:val="20"/>
          <w:szCs w:val="20"/>
        </w:rPr>
        <w:t xml:space="preserve"> consent </w:t>
      </w:r>
      <w:r w:rsidR="00F95F69" w:rsidRPr="00842F43">
        <w:rPr>
          <w:rFonts w:ascii="Fira Sans" w:hAnsi="Fira Sans"/>
          <w:sz w:val="20"/>
          <w:szCs w:val="20"/>
        </w:rPr>
        <w:t>in writing</w:t>
      </w:r>
      <w:r w:rsidR="00FB3A51" w:rsidRPr="00842F43">
        <w:rPr>
          <w:rFonts w:ascii="Fira Sans" w:hAnsi="Fira Sans"/>
          <w:sz w:val="20"/>
          <w:szCs w:val="20"/>
        </w:rPr>
        <w:t xml:space="preserve">. </w:t>
      </w:r>
      <w:r w:rsidR="00B47C90" w:rsidRPr="00842F43">
        <w:rPr>
          <w:rFonts w:ascii="Fira Sans" w:hAnsi="Fira Sans"/>
          <w:sz w:val="20"/>
          <w:szCs w:val="20"/>
        </w:rPr>
        <w:t xml:space="preserve">Consenting participants </w:t>
      </w:r>
      <w:r w:rsidR="00EE5268" w:rsidRPr="00842F43">
        <w:rPr>
          <w:rFonts w:ascii="Fira Sans" w:hAnsi="Fira Sans"/>
          <w:sz w:val="20"/>
          <w:szCs w:val="20"/>
        </w:rPr>
        <w:t xml:space="preserve">were emailed a link to </w:t>
      </w:r>
      <w:r w:rsidR="00B47C90" w:rsidRPr="00842F43">
        <w:rPr>
          <w:rFonts w:ascii="Fira Sans" w:hAnsi="Fira Sans"/>
          <w:sz w:val="20"/>
          <w:szCs w:val="20"/>
        </w:rPr>
        <w:t xml:space="preserve">complete a demographic questionnaire and </w:t>
      </w:r>
      <w:r w:rsidR="003A7545" w:rsidRPr="00842F43">
        <w:rPr>
          <w:rFonts w:ascii="Fira Sans" w:hAnsi="Fira Sans"/>
          <w:sz w:val="20"/>
          <w:szCs w:val="20"/>
        </w:rPr>
        <w:t>b</w:t>
      </w:r>
      <w:r w:rsidR="00B47C90" w:rsidRPr="00842F43">
        <w:rPr>
          <w:rFonts w:ascii="Fira Sans" w:hAnsi="Fira Sans"/>
          <w:sz w:val="20"/>
          <w:szCs w:val="20"/>
        </w:rPr>
        <w:t>aseline assessments on an electronic data management system, ALEA Clinical</w:t>
      </w:r>
      <w:r w:rsidR="00B47C90" w:rsidRPr="00842F43">
        <w:rPr>
          <w:rFonts w:ascii="Fira Sans" w:hAnsi="Fira Sans"/>
          <w:sz w:val="20"/>
          <w:szCs w:val="20"/>
          <w:vertAlign w:val="superscript"/>
        </w:rPr>
        <w:t>TM</w:t>
      </w:r>
      <w:r w:rsidR="00B47C90" w:rsidRPr="00842F43">
        <w:rPr>
          <w:rFonts w:ascii="Fira Sans" w:hAnsi="Fira Sans"/>
          <w:sz w:val="20"/>
          <w:szCs w:val="20"/>
        </w:rPr>
        <w:t>.</w:t>
      </w:r>
      <w:r w:rsidR="00124460" w:rsidRPr="00842F43">
        <w:rPr>
          <w:rFonts w:ascii="Fira Sans" w:hAnsi="Fira Sans"/>
          <w:sz w:val="20"/>
          <w:szCs w:val="20"/>
        </w:rPr>
        <w:t xml:space="preserve"> All trial procedures were completed remotely due to ongoing COVID-19 restrictions. </w:t>
      </w:r>
    </w:p>
    <w:p w14:paraId="6A253CB2" w14:textId="574F34A7" w:rsidR="00DB4E40" w:rsidRPr="00842F43" w:rsidRDefault="00124460" w:rsidP="00842F43">
      <w:pPr>
        <w:spacing w:line="360" w:lineRule="auto"/>
        <w:rPr>
          <w:rFonts w:ascii="Fira Sans" w:hAnsi="Fira Sans"/>
          <w:sz w:val="20"/>
          <w:szCs w:val="20"/>
        </w:rPr>
      </w:pPr>
      <w:r w:rsidRPr="00842F43">
        <w:rPr>
          <w:rFonts w:ascii="Fira Sans" w:hAnsi="Fira Sans"/>
          <w:sz w:val="20"/>
          <w:szCs w:val="20"/>
        </w:rPr>
        <w:t xml:space="preserve"> </w:t>
      </w:r>
    </w:p>
    <w:p w14:paraId="55454403" w14:textId="7092435D" w:rsidR="00FD799F" w:rsidRPr="00842F43" w:rsidRDefault="00937EAF" w:rsidP="00842F43">
      <w:pPr>
        <w:spacing w:line="360" w:lineRule="auto"/>
        <w:rPr>
          <w:rFonts w:ascii="Fira Sans" w:hAnsi="Fira Sans"/>
          <w:i/>
          <w:iCs/>
          <w:sz w:val="20"/>
          <w:szCs w:val="20"/>
        </w:rPr>
      </w:pPr>
      <w:r w:rsidRPr="00842F43">
        <w:rPr>
          <w:rFonts w:ascii="Fira Sans" w:hAnsi="Fira Sans"/>
          <w:i/>
          <w:iCs/>
          <w:sz w:val="20"/>
          <w:szCs w:val="20"/>
        </w:rPr>
        <w:t xml:space="preserve">Randomisation and treatment </w:t>
      </w:r>
    </w:p>
    <w:p w14:paraId="3AD099B1" w14:textId="5A7D03B0" w:rsidR="00486161" w:rsidRPr="00842F43" w:rsidRDefault="003A3F41" w:rsidP="00842F43">
      <w:pPr>
        <w:spacing w:line="360" w:lineRule="auto"/>
        <w:rPr>
          <w:rFonts w:ascii="Fira Sans" w:hAnsi="Fira Sans"/>
          <w:color w:val="333333"/>
          <w:sz w:val="20"/>
          <w:szCs w:val="20"/>
          <w:shd w:val="clear" w:color="auto" w:fill="FFFFFF"/>
        </w:rPr>
      </w:pPr>
      <w:r w:rsidRPr="00842F43">
        <w:rPr>
          <w:rFonts w:ascii="Fira Sans" w:hAnsi="Fira Sans"/>
          <w:color w:val="333333"/>
          <w:sz w:val="20"/>
          <w:szCs w:val="20"/>
          <w:shd w:val="clear" w:color="auto" w:fill="FFFFFF"/>
        </w:rPr>
        <w:t>We</w:t>
      </w:r>
      <w:r w:rsidR="00670FE1" w:rsidRPr="00842F43">
        <w:rPr>
          <w:rFonts w:ascii="Fira Sans" w:hAnsi="Fira Sans"/>
          <w:color w:val="333333"/>
          <w:sz w:val="20"/>
          <w:szCs w:val="20"/>
          <w:shd w:val="clear" w:color="auto" w:fill="FFFFFF"/>
        </w:rPr>
        <w:t xml:space="preserve"> a</w:t>
      </w:r>
      <w:r w:rsidR="00853FBC" w:rsidRPr="00842F43">
        <w:rPr>
          <w:rFonts w:ascii="Fira Sans" w:hAnsi="Fira Sans"/>
          <w:color w:val="333333"/>
          <w:sz w:val="20"/>
          <w:szCs w:val="20"/>
          <w:shd w:val="clear" w:color="auto" w:fill="FFFFFF"/>
        </w:rPr>
        <w:t>ssigned</w:t>
      </w:r>
      <w:r w:rsidRPr="00842F43">
        <w:rPr>
          <w:rFonts w:ascii="Fira Sans" w:hAnsi="Fira Sans"/>
          <w:color w:val="333333"/>
          <w:sz w:val="20"/>
          <w:szCs w:val="20"/>
          <w:shd w:val="clear" w:color="auto" w:fill="FFFFFF"/>
        </w:rPr>
        <w:t xml:space="preserve"> participants</w:t>
      </w:r>
      <w:r w:rsidR="00FD799F" w:rsidRPr="00842F43">
        <w:rPr>
          <w:rFonts w:ascii="Fira Sans" w:hAnsi="Fira Sans"/>
          <w:color w:val="333333"/>
          <w:sz w:val="20"/>
          <w:szCs w:val="20"/>
          <w:shd w:val="clear" w:color="auto" w:fill="FFFFFF"/>
        </w:rPr>
        <w:t xml:space="preserve"> </w:t>
      </w:r>
      <w:r w:rsidRPr="00842F43">
        <w:rPr>
          <w:rFonts w:ascii="Fira Sans" w:hAnsi="Fira Sans"/>
          <w:color w:val="333333"/>
          <w:sz w:val="20"/>
          <w:szCs w:val="20"/>
          <w:shd w:val="clear" w:color="auto" w:fill="FFFFFF"/>
        </w:rPr>
        <w:t>in a 1:1 ratio</w:t>
      </w:r>
      <w:r w:rsidR="00FA071E" w:rsidRPr="00842F43">
        <w:rPr>
          <w:rFonts w:ascii="Fira Sans" w:hAnsi="Fira Sans"/>
          <w:sz w:val="20"/>
          <w:szCs w:val="20"/>
        </w:rPr>
        <w:t xml:space="preserve"> </w:t>
      </w:r>
      <w:r w:rsidR="00670FE1" w:rsidRPr="00842F43">
        <w:rPr>
          <w:rFonts w:ascii="Fira Sans" w:hAnsi="Fira Sans"/>
          <w:color w:val="333333"/>
          <w:sz w:val="20"/>
          <w:szCs w:val="20"/>
          <w:shd w:val="clear" w:color="auto" w:fill="FFFFFF"/>
        </w:rPr>
        <w:t xml:space="preserve">to receive either </w:t>
      </w:r>
      <w:r w:rsidR="0064576D" w:rsidRPr="00842F43">
        <w:rPr>
          <w:rFonts w:ascii="Fira Sans" w:hAnsi="Fira Sans"/>
          <w:color w:val="333333"/>
          <w:sz w:val="20"/>
          <w:szCs w:val="20"/>
          <w:shd w:val="clear" w:color="auto" w:fill="FFFFFF"/>
        </w:rPr>
        <w:t>usual</w:t>
      </w:r>
      <w:r w:rsidR="00670FE1" w:rsidRPr="00842F43">
        <w:rPr>
          <w:rFonts w:ascii="Fira Sans" w:hAnsi="Fira Sans"/>
          <w:color w:val="333333"/>
          <w:sz w:val="20"/>
          <w:szCs w:val="20"/>
          <w:shd w:val="clear" w:color="auto" w:fill="FFFFFF"/>
        </w:rPr>
        <w:t xml:space="preserve"> care </w:t>
      </w:r>
      <w:r w:rsidR="00285EB3" w:rsidRPr="00842F43">
        <w:rPr>
          <w:rFonts w:ascii="Fira Sans" w:hAnsi="Fira Sans"/>
          <w:color w:val="333333"/>
          <w:sz w:val="20"/>
          <w:szCs w:val="20"/>
          <w:shd w:val="clear" w:color="auto" w:fill="FFFFFF"/>
        </w:rPr>
        <w:t xml:space="preserve">(control group CG) </w:t>
      </w:r>
      <w:r w:rsidR="00670FE1" w:rsidRPr="00842F43">
        <w:rPr>
          <w:rFonts w:ascii="Fira Sans" w:hAnsi="Fira Sans"/>
          <w:color w:val="333333"/>
          <w:sz w:val="20"/>
          <w:szCs w:val="20"/>
          <w:shd w:val="clear" w:color="auto" w:fill="FFFFFF"/>
        </w:rPr>
        <w:t xml:space="preserve">or </w:t>
      </w:r>
      <w:r w:rsidR="0064576D" w:rsidRPr="00842F43">
        <w:rPr>
          <w:rFonts w:ascii="Fira Sans" w:hAnsi="Fira Sans"/>
          <w:color w:val="333333"/>
          <w:sz w:val="20"/>
          <w:szCs w:val="20"/>
          <w:shd w:val="clear" w:color="auto" w:fill="FFFFFF"/>
        </w:rPr>
        <w:t>usual</w:t>
      </w:r>
      <w:r w:rsidR="001A5261" w:rsidRPr="00842F43">
        <w:rPr>
          <w:rFonts w:ascii="Fira Sans" w:hAnsi="Fira Sans"/>
          <w:color w:val="333333"/>
          <w:sz w:val="20"/>
          <w:szCs w:val="20"/>
          <w:shd w:val="clear" w:color="auto" w:fill="FFFFFF"/>
        </w:rPr>
        <w:t xml:space="preserve"> </w:t>
      </w:r>
      <w:r w:rsidR="00670FE1" w:rsidRPr="00842F43">
        <w:rPr>
          <w:rFonts w:ascii="Fira Sans" w:hAnsi="Fira Sans"/>
          <w:color w:val="333333"/>
          <w:sz w:val="20"/>
          <w:szCs w:val="20"/>
          <w:shd w:val="clear" w:color="auto" w:fill="FFFFFF"/>
        </w:rPr>
        <w:t>care plus online EMDR (Intervention)</w:t>
      </w:r>
      <w:r w:rsidR="00853FBC" w:rsidRPr="00842F43">
        <w:rPr>
          <w:rFonts w:ascii="Fira Sans" w:hAnsi="Fira Sans"/>
          <w:color w:val="333333"/>
          <w:sz w:val="20"/>
          <w:szCs w:val="20"/>
          <w:shd w:val="clear" w:color="auto" w:fill="FFFFFF"/>
        </w:rPr>
        <w:t xml:space="preserve"> using </w:t>
      </w:r>
      <w:r w:rsidR="00EB18E5" w:rsidRPr="00842F43">
        <w:rPr>
          <w:rFonts w:ascii="Fira Sans" w:hAnsi="Fira Sans"/>
          <w:color w:val="333333"/>
          <w:sz w:val="20"/>
          <w:szCs w:val="20"/>
          <w:shd w:val="clear" w:color="auto" w:fill="FFFFFF"/>
        </w:rPr>
        <w:t xml:space="preserve">computer generated </w:t>
      </w:r>
      <w:r w:rsidR="00853FBC" w:rsidRPr="00842F43">
        <w:rPr>
          <w:rFonts w:ascii="Fira Sans" w:hAnsi="Fira Sans"/>
          <w:color w:val="333333"/>
          <w:sz w:val="20"/>
          <w:szCs w:val="20"/>
          <w:shd w:val="clear" w:color="auto" w:fill="FFFFFF"/>
        </w:rPr>
        <w:t>random permutation</w:t>
      </w:r>
      <w:r w:rsidR="00BE26AB" w:rsidRPr="00842F43">
        <w:rPr>
          <w:rFonts w:ascii="Fira Sans" w:hAnsi="Fira Sans"/>
          <w:color w:val="333333"/>
          <w:sz w:val="20"/>
          <w:szCs w:val="20"/>
          <w:shd w:val="clear" w:color="auto" w:fill="FFFFFF"/>
        </w:rPr>
        <w:t xml:space="preserve"> </w:t>
      </w:r>
      <w:r w:rsidR="00BE26AB" w:rsidRPr="00842F43">
        <w:rPr>
          <w:rFonts w:ascii="Fira Sans" w:hAnsi="Fira Sans"/>
          <w:sz w:val="20"/>
          <w:szCs w:val="20"/>
        </w:rPr>
        <w:t>( ALEA Clinical</w:t>
      </w:r>
      <w:r w:rsidR="00BE26AB" w:rsidRPr="00842F43">
        <w:rPr>
          <w:rFonts w:ascii="Fira Sans" w:hAnsi="Fira Sans"/>
          <w:sz w:val="20"/>
          <w:szCs w:val="20"/>
          <w:vertAlign w:val="superscript"/>
        </w:rPr>
        <w:t>TM</w:t>
      </w:r>
      <w:r w:rsidR="00BE26AB" w:rsidRPr="00842F43">
        <w:rPr>
          <w:rFonts w:ascii="Fira Sans" w:hAnsi="Fira Sans"/>
          <w:sz w:val="20"/>
          <w:szCs w:val="20"/>
        </w:rPr>
        <w:t>)</w:t>
      </w:r>
      <w:r w:rsidR="00AD454B" w:rsidRPr="00842F43">
        <w:rPr>
          <w:rFonts w:ascii="Fira Sans" w:hAnsi="Fira Sans"/>
          <w:color w:val="333333"/>
          <w:sz w:val="20"/>
          <w:szCs w:val="20"/>
          <w:shd w:val="clear" w:color="auto" w:fill="FFFFFF"/>
        </w:rPr>
        <w:t>:</w:t>
      </w:r>
      <w:r w:rsidR="00E40EB4" w:rsidRPr="00842F43">
        <w:rPr>
          <w:rFonts w:ascii="Fira Sans" w:hAnsi="Fira Sans"/>
          <w:color w:val="333333"/>
          <w:sz w:val="20"/>
          <w:szCs w:val="20"/>
          <w:shd w:val="clear" w:color="auto" w:fill="FFFFFF"/>
        </w:rPr>
        <w:t xml:space="preserve"> </w:t>
      </w:r>
      <w:r w:rsidR="00AD454B" w:rsidRPr="00842F43">
        <w:rPr>
          <w:rFonts w:ascii="Fira Sans" w:hAnsi="Fira Sans"/>
          <w:color w:val="333333"/>
          <w:sz w:val="20"/>
          <w:szCs w:val="20"/>
          <w:shd w:val="clear" w:color="auto" w:fill="FFFFFF"/>
        </w:rPr>
        <w:t>n</w:t>
      </w:r>
      <w:r w:rsidR="00E40EB4" w:rsidRPr="00842F43">
        <w:rPr>
          <w:rFonts w:ascii="Fira Sans" w:hAnsi="Fira Sans"/>
          <w:color w:val="333333"/>
          <w:sz w:val="20"/>
          <w:szCs w:val="20"/>
          <w:shd w:val="clear" w:color="auto" w:fill="FFFFFF"/>
        </w:rPr>
        <w:t>o stratification factors were applied.</w:t>
      </w:r>
      <w:r w:rsidR="00FD799F" w:rsidRPr="00842F43">
        <w:rPr>
          <w:rFonts w:ascii="Fira Sans" w:hAnsi="Fira Sans"/>
          <w:color w:val="333333"/>
          <w:sz w:val="20"/>
          <w:szCs w:val="20"/>
          <w:shd w:val="clear" w:color="auto" w:fill="FFFFFF"/>
        </w:rPr>
        <w:t xml:space="preserve"> </w:t>
      </w:r>
      <w:r w:rsidR="00DB0052" w:rsidRPr="00842F43">
        <w:rPr>
          <w:rFonts w:ascii="Fira Sans" w:hAnsi="Fira Sans"/>
          <w:color w:val="333333"/>
          <w:sz w:val="20"/>
          <w:szCs w:val="20"/>
          <w:shd w:val="clear" w:color="auto" w:fill="FFFFFF"/>
        </w:rPr>
        <w:t xml:space="preserve">A brief description of usual care is provided in </w:t>
      </w:r>
      <w:r w:rsidR="007438CF" w:rsidRPr="00842F43">
        <w:rPr>
          <w:rFonts w:ascii="Fira Sans" w:hAnsi="Fira Sans"/>
          <w:color w:val="333333"/>
          <w:sz w:val="20"/>
          <w:szCs w:val="20"/>
          <w:shd w:val="clear" w:color="auto" w:fill="FFFFFF"/>
        </w:rPr>
        <w:t xml:space="preserve">Supplementary </w:t>
      </w:r>
      <w:r w:rsidR="00DB0052" w:rsidRPr="00842F43">
        <w:rPr>
          <w:rFonts w:ascii="Fira Sans" w:hAnsi="Fira Sans"/>
          <w:color w:val="333333"/>
          <w:sz w:val="20"/>
          <w:szCs w:val="20"/>
          <w:shd w:val="clear" w:color="auto" w:fill="FFFFFF"/>
        </w:rPr>
        <w:t xml:space="preserve">file: Usual care description. </w:t>
      </w:r>
      <w:r w:rsidR="0016736F" w:rsidRPr="00842F43">
        <w:rPr>
          <w:rFonts w:ascii="Fira Sans" w:hAnsi="Fira Sans"/>
          <w:color w:val="333333"/>
          <w:sz w:val="20"/>
          <w:szCs w:val="20"/>
          <w:shd w:val="clear" w:color="auto" w:fill="FFFFFF"/>
        </w:rPr>
        <w:t xml:space="preserve">Following </w:t>
      </w:r>
      <w:r w:rsidR="00E309E0" w:rsidRPr="00842F43">
        <w:rPr>
          <w:rFonts w:ascii="Fira Sans" w:hAnsi="Fira Sans"/>
          <w:color w:val="333333"/>
          <w:sz w:val="20"/>
          <w:szCs w:val="20"/>
          <w:shd w:val="clear" w:color="auto" w:fill="FFFFFF"/>
        </w:rPr>
        <w:t>consent, t</w:t>
      </w:r>
      <w:r w:rsidR="000D0B2E" w:rsidRPr="00842F43">
        <w:rPr>
          <w:rFonts w:ascii="Fira Sans" w:hAnsi="Fira Sans"/>
          <w:color w:val="333333"/>
          <w:sz w:val="20"/>
          <w:szCs w:val="20"/>
          <w:shd w:val="clear" w:color="auto" w:fill="FFFFFF"/>
        </w:rPr>
        <w:t xml:space="preserve">he study team </w:t>
      </w:r>
      <w:r w:rsidR="00E309E0" w:rsidRPr="00842F43">
        <w:rPr>
          <w:rFonts w:ascii="Fira Sans" w:hAnsi="Fira Sans"/>
          <w:color w:val="333333"/>
          <w:sz w:val="20"/>
          <w:szCs w:val="20"/>
          <w:shd w:val="clear" w:color="auto" w:fill="FFFFFF"/>
        </w:rPr>
        <w:t xml:space="preserve">provided contact </w:t>
      </w:r>
      <w:r w:rsidR="000D0B2E" w:rsidRPr="00842F43">
        <w:rPr>
          <w:rFonts w:ascii="Fira Sans" w:hAnsi="Fira Sans"/>
          <w:color w:val="333333"/>
          <w:sz w:val="20"/>
          <w:szCs w:val="20"/>
          <w:shd w:val="clear" w:color="auto" w:fill="FFFFFF"/>
        </w:rPr>
        <w:t xml:space="preserve">details of participants in the intervention arm to </w:t>
      </w:r>
      <w:r w:rsidR="001A5261" w:rsidRPr="00842F43">
        <w:rPr>
          <w:rFonts w:ascii="Fira Sans" w:hAnsi="Fira Sans"/>
          <w:color w:val="333333"/>
          <w:sz w:val="20"/>
          <w:szCs w:val="20"/>
          <w:shd w:val="clear" w:color="auto" w:fill="FFFFFF"/>
        </w:rPr>
        <w:t xml:space="preserve">the </w:t>
      </w:r>
      <w:r w:rsidR="000D0B2E" w:rsidRPr="00842F43">
        <w:rPr>
          <w:rFonts w:ascii="Fira Sans" w:hAnsi="Fira Sans"/>
          <w:color w:val="333333"/>
          <w:sz w:val="20"/>
          <w:szCs w:val="20"/>
          <w:shd w:val="clear" w:color="auto" w:fill="FFFFFF"/>
        </w:rPr>
        <w:t>Intensive Psychological Therapies Service</w:t>
      </w:r>
      <w:r w:rsidRPr="00842F43">
        <w:rPr>
          <w:rFonts w:ascii="Fira Sans" w:hAnsi="Fira Sans"/>
          <w:color w:val="333333"/>
          <w:sz w:val="20"/>
          <w:szCs w:val="20"/>
          <w:shd w:val="clear" w:color="auto" w:fill="FFFFFF"/>
        </w:rPr>
        <w:t xml:space="preserve"> (IPTS)</w:t>
      </w:r>
      <w:r w:rsidR="000D0B2E" w:rsidRPr="00842F43">
        <w:rPr>
          <w:rFonts w:ascii="Fira Sans" w:hAnsi="Fira Sans"/>
          <w:color w:val="333333"/>
          <w:sz w:val="20"/>
          <w:szCs w:val="20"/>
          <w:shd w:val="clear" w:color="auto" w:fill="FFFFFF"/>
        </w:rPr>
        <w:t xml:space="preserve"> </w:t>
      </w:r>
      <w:r w:rsidR="00DF489D" w:rsidRPr="00842F43">
        <w:rPr>
          <w:rFonts w:ascii="Fira Sans" w:hAnsi="Fira Sans"/>
          <w:color w:val="333333"/>
          <w:sz w:val="20"/>
          <w:szCs w:val="20"/>
          <w:shd w:val="clear" w:color="auto" w:fill="FFFFFF"/>
        </w:rPr>
        <w:t xml:space="preserve">at </w:t>
      </w:r>
      <w:r w:rsidR="000D0B2E" w:rsidRPr="00842F43">
        <w:rPr>
          <w:rFonts w:ascii="Fira Sans" w:hAnsi="Fira Sans"/>
          <w:color w:val="333333"/>
          <w:sz w:val="20"/>
          <w:szCs w:val="20"/>
          <w:shd w:val="clear" w:color="auto" w:fill="FFFFFF"/>
        </w:rPr>
        <w:t>Dorset Healthcare University NHS FT</w:t>
      </w:r>
      <w:r w:rsidR="00FD799F" w:rsidRPr="00842F43">
        <w:rPr>
          <w:rFonts w:ascii="Fira Sans" w:hAnsi="Fira Sans"/>
          <w:color w:val="333333"/>
          <w:sz w:val="20"/>
          <w:szCs w:val="20"/>
          <w:shd w:val="clear" w:color="auto" w:fill="FFFFFF"/>
        </w:rPr>
        <w:t>:</w:t>
      </w:r>
      <w:r w:rsidR="000D0B2E" w:rsidRPr="00842F43">
        <w:rPr>
          <w:rFonts w:ascii="Fira Sans" w:hAnsi="Fira Sans"/>
          <w:color w:val="333333"/>
          <w:sz w:val="20"/>
          <w:szCs w:val="20"/>
          <w:shd w:val="clear" w:color="auto" w:fill="FFFFFF"/>
        </w:rPr>
        <w:t xml:space="preserve"> </w:t>
      </w:r>
      <w:r w:rsidR="00FD799F" w:rsidRPr="00842F43">
        <w:rPr>
          <w:rFonts w:ascii="Fira Sans" w:hAnsi="Fira Sans"/>
          <w:color w:val="333333"/>
          <w:sz w:val="20"/>
          <w:szCs w:val="20"/>
          <w:shd w:val="clear" w:color="auto" w:fill="FFFFFF"/>
        </w:rPr>
        <w:t>a</w:t>
      </w:r>
      <w:r w:rsidR="00FD6AC0" w:rsidRPr="00842F43">
        <w:rPr>
          <w:rFonts w:ascii="Fira Sans" w:hAnsi="Fira Sans"/>
          <w:color w:val="333333"/>
          <w:sz w:val="20"/>
          <w:szCs w:val="20"/>
          <w:shd w:val="clear" w:color="auto" w:fill="FFFFFF"/>
        </w:rPr>
        <w:t>ll s</w:t>
      </w:r>
      <w:r w:rsidR="007654BD" w:rsidRPr="00842F43">
        <w:rPr>
          <w:rFonts w:ascii="Fira Sans" w:hAnsi="Fira Sans"/>
          <w:color w:val="333333"/>
          <w:sz w:val="20"/>
          <w:szCs w:val="20"/>
          <w:shd w:val="clear" w:color="auto" w:fill="FFFFFF"/>
        </w:rPr>
        <w:t>ession</w:t>
      </w:r>
      <w:r w:rsidR="00486161" w:rsidRPr="00842F43">
        <w:rPr>
          <w:rFonts w:ascii="Fira Sans" w:hAnsi="Fira Sans"/>
          <w:color w:val="333333"/>
          <w:sz w:val="20"/>
          <w:szCs w:val="20"/>
          <w:shd w:val="clear" w:color="auto" w:fill="FFFFFF"/>
        </w:rPr>
        <w:t xml:space="preserve">s took </w:t>
      </w:r>
      <w:r w:rsidR="007654BD" w:rsidRPr="00842F43">
        <w:rPr>
          <w:rFonts w:ascii="Fira Sans" w:hAnsi="Fira Sans"/>
          <w:color w:val="333333"/>
          <w:sz w:val="20"/>
          <w:szCs w:val="20"/>
          <w:shd w:val="clear" w:color="auto" w:fill="FFFFFF"/>
        </w:rPr>
        <w:t xml:space="preserve">place via </w:t>
      </w:r>
      <w:r w:rsidR="00E472D8" w:rsidRPr="00842F43">
        <w:rPr>
          <w:rFonts w:ascii="Fira Sans" w:hAnsi="Fira Sans"/>
          <w:color w:val="333333"/>
          <w:sz w:val="20"/>
          <w:szCs w:val="20"/>
          <w:shd w:val="clear" w:color="auto" w:fill="FFFFFF"/>
        </w:rPr>
        <w:t>Zoom</w:t>
      </w:r>
      <w:r w:rsidR="00E472D8" w:rsidRPr="00842F43">
        <w:rPr>
          <w:rFonts w:ascii="Fira Sans" w:hAnsi="Fira Sans"/>
          <w:color w:val="333333"/>
          <w:sz w:val="20"/>
          <w:szCs w:val="20"/>
          <w:shd w:val="clear" w:color="auto" w:fill="FFFFFF"/>
          <w:vertAlign w:val="superscript"/>
        </w:rPr>
        <w:t xml:space="preserve"> TN</w:t>
      </w:r>
      <w:r w:rsidR="00A83AB6" w:rsidRPr="00842F43">
        <w:rPr>
          <w:rFonts w:ascii="Fira Sans" w:hAnsi="Fira Sans"/>
          <w:color w:val="333333"/>
          <w:sz w:val="20"/>
          <w:szCs w:val="20"/>
          <w:shd w:val="clear" w:color="auto" w:fill="FFFFFF"/>
        </w:rPr>
        <w:t xml:space="preserve"> </w:t>
      </w:r>
      <w:r w:rsidR="007654BD" w:rsidRPr="00842F43">
        <w:rPr>
          <w:rFonts w:ascii="Fira Sans" w:hAnsi="Fira Sans"/>
          <w:color w:val="333333"/>
          <w:sz w:val="20"/>
          <w:szCs w:val="20"/>
          <w:shd w:val="clear" w:color="auto" w:fill="FFFFFF"/>
        </w:rPr>
        <w:t>videoconferencing</w:t>
      </w:r>
      <w:r w:rsidR="00A83AB6" w:rsidRPr="00842F43">
        <w:rPr>
          <w:rFonts w:ascii="Fira Sans" w:hAnsi="Fira Sans"/>
          <w:color w:val="333333"/>
          <w:sz w:val="20"/>
          <w:szCs w:val="20"/>
          <w:shd w:val="clear" w:color="auto" w:fill="FFFFFF"/>
        </w:rPr>
        <w:t xml:space="preserve"> platf</w:t>
      </w:r>
      <w:r w:rsidR="00926BB9" w:rsidRPr="00842F43">
        <w:rPr>
          <w:rFonts w:ascii="Fira Sans" w:hAnsi="Fira Sans"/>
          <w:color w:val="333333"/>
          <w:sz w:val="20"/>
          <w:szCs w:val="20"/>
          <w:shd w:val="clear" w:color="auto" w:fill="FFFFFF"/>
        </w:rPr>
        <w:t>or</w:t>
      </w:r>
      <w:r w:rsidR="00A83AB6" w:rsidRPr="00842F43">
        <w:rPr>
          <w:rFonts w:ascii="Fira Sans" w:hAnsi="Fira Sans"/>
          <w:color w:val="333333"/>
          <w:sz w:val="20"/>
          <w:szCs w:val="20"/>
          <w:shd w:val="clear" w:color="auto" w:fill="FFFFFF"/>
        </w:rPr>
        <w:t>m</w:t>
      </w:r>
      <w:r w:rsidR="00FB3A51" w:rsidRPr="00842F43">
        <w:rPr>
          <w:rFonts w:ascii="Fira Sans" w:hAnsi="Fira Sans"/>
          <w:color w:val="333333"/>
          <w:sz w:val="20"/>
          <w:szCs w:val="20"/>
          <w:shd w:val="clear" w:color="auto" w:fill="FFFFFF"/>
        </w:rPr>
        <w:t>.</w:t>
      </w:r>
      <w:r w:rsidR="00486161" w:rsidRPr="00842F43">
        <w:rPr>
          <w:rFonts w:ascii="Fira Sans" w:hAnsi="Fira Sans"/>
          <w:color w:val="333333"/>
          <w:sz w:val="20"/>
          <w:szCs w:val="20"/>
          <w:shd w:val="clear" w:color="auto" w:fill="FFFFFF"/>
        </w:rPr>
        <w:t xml:space="preserve"> </w:t>
      </w:r>
      <w:r w:rsidR="005F4647" w:rsidRPr="00842F43">
        <w:rPr>
          <w:rFonts w:ascii="Fira Sans" w:hAnsi="Fira Sans"/>
          <w:color w:val="333333"/>
          <w:sz w:val="20"/>
          <w:szCs w:val="20"/>
          <w:shd w:val="clear" w:color="auto" w:fill="FFFFFF"/>
        </w:rPr>
        <w:t xml:space="preserve">The </w:t>
      </w:r>
      <w:r w:rsidR="00BE26AB" w:rsidRPr="00842F43">
        <w:rPr>
          <w:rFonts w:ascii="Fira Sans" w:hAnsi="Fira Sans"/>
          <w:color w:val="333333"/>
          <w:sz w:val="20"/>
          <w:szCs w:val="20"/>
          <w:shd w:val="clear" w:color="auto" w:fill="FFFFFF"/>
        </w:rPr>
        <w:t xml:space="preserve">EMDR R-TEP </w:t>
      </w:r>
      <w:r w:rsidR="005F4647" w:rsidRPr="00842F43">
        <w:rPr>
          <w:rFonts w:ascii="Fira Sans" w:hAnsi="Fira Sans"/>
          <w:color w:val="333333"/>
          <w:sz w:val="20"/>
          <w:szCs w:val="20"/>
          <w:shd w:val="clear" w:color="auto" w:fill="FFFFFF"/>
        </w:rPr>
        <w:t>intervention is described in detail</w:t>
      </w:r>
      <w:r w:rsidR="00FD799F" w:rsidRPr="00842F43">
        <w:rPr>
          <w:rFonts w:ascii="Fira Sans" w:hAnsi="Fira Sans"/>
          <w:color w:val="333333"/>
          <w:sz w:val="20"/>
          <w:szCs w:val="20"/>
          <w:shd w:val="clear" w:color="auto" w:fill="FFFFFF"/>
        </w:rPr>
        <w:t xml:space="preserve"> </w:t>
      </w:r>
      <w:r w:rsidR="005F4647" w:rsidRPr="00842F43">
        <w:rPr>
          <w:rFonts w:ascii="Fira Sans" w:hAnsi="Fira Sans"/>
          <w:color w:val="333333"/>
          <w:sz w:val="20"/>
          <w:szCs w:val="20"/>
          <w:shd w:val="clear" w:color="auto" w:fill="FFFFFF"/>
        </w:rPr>
        <w:t>according to the Template for Intervention Description and Replication Checklist</w:t>
      </w:r>
      <w:r w:rsidR="00FD799F" w:rsidRPr="00842F43">
        <w:rPr>
          <w:rFonts w:ascii="Fira Sans" w:hAnsi="Fira Sans"/>
          <w:color w:val="333333"/>
          <w:sz w:val="20"/>
          <w:szCs w:val="20"/>
          <w:shd w:val="clear" w:color="auto" w:fill="FFFFFF"/>
        </w:rPr>
        <w:t xml:space="preserve"> </w:t>
      </w:r>
      <w:r w:rsidR="005F4647" w:rsidRPr="00842F43">
        <w:rPr>
          <w:rFonts w:ascii="Fira Sans" w:hAnsi="Fira Sans"/>
          <w:color w:val="333333"/>
          <w:sz w:val="20"/>
          <w:szCs w:val="20"/>
          <w:shd w:val="clear" w:color="auto" w:fill="FFFFFF"/>
          <w:vertAlign w:val="superscript"/>
        </w:rPr>
        <w:fldChar w:fldCharType="begin" w:fldLock="1"/>
      </w:r>
      <w:r w:rsidR="00D61B6C" w:rsidRPr="00842F43">
        <w:rPr>
          <w:rFonts w:ascii="Fira Sans" w:hAnsi="Fira Sans"/>
          <w:color w:val="333333"/>
          <w:sz w:val="20"/>
          <w:szCs w:val="20"/>
          <w:shd w:val="clear" w:color="auto" w:fill="FFFFFF"/>
          <w:vertAlign w:val="superscript"/>
        </w:rPr>
        <w:instrText>ADDIN CSL_CITATION {"citationItems":[{"id":"ITEM-1","itemData":{"DOI":"10.1136/bmj.g1687","ISSN":"1756-1833","PMID":"24609605","abstract":"Without a complete published description of interventions, clinicians and patients cannot reliably implement interventions that are shown to be useful, and other researchers cannot replicate or build on research findings. The quality of description of interventions in publications, however, is remarkably poor. To improve the completeness of reporting, and ultimately the replicability, of interventions, an international group of experts and stakeholders developed the Template for Intervention Description and Replication (TIDieR) checklist and guide. The process involved a literature review for relevant checklists and research, a Delphi survey of an international panel of experts to guide item selection, and a face to face panel meeting. The resultant 12 item TIDieR checklist (brief name, why, what (materials), what (procedure), who provided, how, where, when and how much, tailoring, modifications, how well (planned), how well (actual)) is an extension of the CONSORT 2010 statement (item 5) and the SPIRIT 2013 statement (item 11). While the emphasis of the checklist is on trials, the guidance is intended to apply across all evaluative study designs. This paper presents the TIDieR checklist and guide, with an explanation and elaboration for each item, and examples of good reporting. The TIDieR checklist and guide should improve the reporting of interventions and make it easier for authors to structure accounts of their interventions, reviewers and editors to assess the descriptions, and readers to use the information.","author":[{"dropping-particle":"","family":"Hoffmann","given":"Tammy C","non-dropping-particle":"","parse-names":false,"suffix":""},{"dropping-particle":"","family":"Glasziou","given":"Paul P","non-dropping-particle":"","parse-names":false,"suffix":""},{"dropping-particle":"","family":"Boutron","given":"Isabelle","non-dropping-particle":"","parse-names":false,"suffix":""},{"dropping-particle":"","family":"Milne","given":"Ruairidh","non-dropping-particle":"","parse-names":false,"suffix":""},{"dropping-particle":"","family":"Perera","given":"Rafael","non-dropping-particle":"","parse-names":false,"suffix":""},{"dropping-particle":"","family":"Moher","given":"David","non-dropping-particle":"","parse-names":false,"suffix":""},{"dropping-particle":"","family":"Altman","given":"Douglas G","non-dropping-particle":"","parse-names":false,"suffix":""},{"dropping-particle":"","family":"Barbour","given":"Virginia","non-dropping-particle":"","parse-names":false,"suffix":""},{"dropping-particle":"","family":"Macdonald","given":"Helen","non-dropping-particle":"","parse-names":false,"suffix":""},{"dropping-particle":"","family":"Johnston","given":"Marie","non-dropping-particle":"","parse-names":false,"suffix":""},{"dropping-particle":"","family":"Lamb","given":"Sarah E","non-dropping-particle":"","parse-names":false,"suffix":""},{"dropping-particle":"","family":"Dixon-Woods","given":"Mary","non-dropping-particle":"","parse-names":false,"suffix":""},{"dropping-particle":"","family":"McCulloch","given":"Peter","non-dropping-particle":"","parse-names":false,"suffix":""},{"dropping-particle":"","family":"Wyatt","given":"Jeremy C","non-dropping-particle":"","parse-names":false,"suffix":""},{"dropping-particle":"","family":"Chan","given":"An-Wen","non-dropping-particle":"","parse-names":false,"suffix":""},{"dropping-particle":"","family":"Michie","given":"Susan","non-dropping-particle":"","parse-names":false,"suffix":""}],"container-title":"BMJ (Clinical research ed.)","id":"ITEM-1","issued":{"date-parts":[["2014","3","7"]]},"page":"g1687","publisher":"British Medical Journal Publishing Group","title":"Better reporting of interventions: template for intervention description and replication (TIDieR) checklist and guide.","type":"article-journal","volume":"348"},"uris":["http://www.mendeley.com/documents/?uuid=2545edf2-5c22-3ee3-8a96-42fe68d267f0"]}],"mendeley":{"formattedCitation":"(44)","manualFormatting":"(44)","plainTextFormattedCitation":"(44)","previouslyFormattedCitation":"(44)"},"properties":{"noteIndex":0},"schema":"https://github.com/citation-style-language/schema/raw/master/csl-citation.json"}</w:instrText>
      </w:r>
      <w:r w:rsidR="005F4647" w:rsidRPr="00842F43">
        <w:rPr>
          <w:rFonts w:ascii="Fira Sans" w:hAnsi="Fira Sans"/>
          <w:color w:val="333333"/>
          <w:sz w:val="20"/>
          <w:szCs w:val="20"/>
          <w:shd w:val="clear" w:color="auto" w:fill="FFFFFF"/>
          <w:vertAlign w:val="superscript"/>
        </w:rPr>
        <w:fldChar w:fldCharType="separate"/>
      </w:r>
      <w:r w:rsidR="00FC7B65" w:rsidRPr="00842F43">
        <w:rPr>
          <w:rFonts w:ascii="Fira Sans" w:hAnsi="Fira Sans"/>
          <w:noProof/>
          <w:color w:val="333333"/>
          <w:sz w:val="20"/>
          <w:szCs w:val="20"/>
          <w:shd w:val="clear" w:color="auto" w:fill="FFFFFF"/>
          <w:vertAlign w:val="superscript"/>
        </w:rPr>
        <w:t>(</w:t>
      </w:r>
      <w:r w:rsidR="00D61B6C" w:rsidRPr="00842F43">
        <w:rPr>
          <w:rFonts w:ascii="Fira Sans" w:hAnsi="Fira Sans"/>
          <w:noProof/>
          <w:color w:val="333333"/>
          <w:sz w:val="20"/>
          <w:szCs w:val="20"/>
          <w:shd w:val="clear" w:color="auto" w:fill="FFFFFF"/>
          <w:vertAlign w:val="superscript"/>
        </w:rPr>
        <w:t>44</w:t>
      </w:r>
      <w:r w:rsidR="00FC7B65" w:rsidRPr="00842F43">
        <w:rPr>
          <w:rFonts w:ascii="Fira Sans" w:hAnsi="Fira Sans"/>
          <w:noProof/>
          <w:color w:val="333333"/>
          <w:sz w:val="20"/>
          <w:szCs w:val="20"/>
          <w:shd w:val="clear" w:color="auto" w:fill="FFFFFF"/>
          <w:vertAlign w:val="superscript"/>
        </w:rPr>
        <w:t>)</w:t>
      </w:r>
      <w:r w:rsidR="005F4647" w:rsidRPr="00842F43">
        <w:rPr>
          <w:rFonts w:ascii="Fira Sans" w:hAnsi="Fira Sans"/>
          <w:color w:val="333333"/>
          <w:sz w:val="20"/>
          <w:szCs w:val="20"/>
          <w:shd w:val="clear" w:color="auto" w:fill="FFFFFF"/>
          <w:vertAlign w:val="superscript"/>
        </w:rPr>
        <w:fldChar w:fldCharType="end"/>
      </w:r>
      <w:r w:rsidR="005F4647" w:rsidRPr="00842F43">
        <w:rPr>
          <w:rFonts w:ascii="Fira Sans" w:hAnsi="Fira Sans"/>
          <w:color w:val="333333"/>
          <w:sz w:val="20"/>
          <w:szCs w:val="20"/>
          <w:shd w:val="clear" w:color="auto" w:fill="FFFFFF"/>
        </w:rPr>
        <w:t xml:space="preserve"> </w:t>
      </w:r>
      <w:r w:rsidR="00FD799F" w:rsidRPr="00842F43">
        <w:rPr>
          <w:rFonts w:ascii="Fira Sans" w:hAnsi="Fira Sans"/>
          <w:color w:val="333333"/>
          <w:sz w:val="20"/>
          <w:szCs w:val="20"/>
          <w:shd w:val="clear" w:color="auto" w:fill="FFFFFF"/>
        </w:rPr>
        <w:t>(see</w:t>
      </w:r>
      <w:r w:rsidR="00FA071E" w:rsidRPr="00842F43">
        <w:rPr>
          <w:rFonts w:ascii="Fira Sans" w:hAnsi="Fira Sans"/>
          <w:color w:val="333333"/>
          <w:sz w:val="20"/>
          <w:szCs w:val="20"/>
          <w:shd w:val="clear" w:color="auto" w:fill="FFFFFF"/>
        </w:rPr>
        <w:t xml:space="preserve"> </w:t>
      </w:r>
      <w:r w:rsidR="007438CF" w:rsidRPr="00842F43">
        <w:rPr>
          <w:rFonts w:ascii="Fira Sans" w:hAnsi="Fira Sans"/>
          <w:color w:val="333333"/>
          <w:sz w:val="20"/>
          <w:szCs w:val="20"/>
          <w:shd w:val="clear" w:color="auto" w:fill="FFFFFF"/>
        </w:rPr>
        <w:t>Supplementary fi</w:t>
      </w:r>
      <w:r w:rsidR="005F4647" w:rsidRPr="00842F43">
        <w:rPr>
          <w:rFonts w:ascii="Fira Sans" w:hAnsi="Fira Sans"/>
          <w:color w:val="333333"/>
          <w:sz w:val="20"/>
          <w:szCs w:val="20"/>
          <w:shd w:val="clear" w:color="auto" w:fill="FFFFFF"/>
        </w:rPr>
        <w:t>le</w:t>
      </w:r>
      <w:r w:rsidR="00DB0052" w:rsidRPr="00842F43">
        <w:rPr>
          <w:rFonts w:ascii="Fira Sans" w:hAnsi="Fira Sans"/>
          <w:color w:val="333333"/>
          <w:sz w:val="20"/>
          <w:szCs w:val="20"/>
          <w:shd w:val="clear" w:color="auto" w:fill="FFFFFF"/>
        </w:rPr>
        <w:t>: TIDieR Checklist</w:t>
      </w:r>
      <w:r w:rsidR="00FD799F" w:rsidRPr="00842F43">
        <w:rPr>
          <w:rFonts w:ascii="Fira Sans" w:hAnsi="Fira Sans"/>
          <w:color w:val="333333"/>
          <w:sz w:val="20"/>
          <w:szCs w:val="20"/>
          <w:shd w:val="clear" w:color="auto" w:fill="FFFFFF"/>
        </w:rPr>
        <w:t>)</w:t>
      </w:r>
      <w:r w:rsidR="005F4647" w:rsidRPr="00842F43">
        <w:rPr>
          <w:rFonts w:ascii="Fira Sans" w:hAnsi="Fira Sans"/>
          <w:color w:val="333333"/>
          <w:sz w:val="20"/>
          <w:szCs w:val="20"/>
          <w:shd w:val="clear" w:color="auto" w:fill="FFFFFF"/>
        </w:rPr>
        <w:t xml:space="preserve">. </w:t>
      </w:r>
      <w:r w:rsidR="00DF489D" w:rsidRPr="00842F43">
        <w:rPr>
          <w:rFonts w:ascii="Fira Sans" w:hAnsi="Fira Sans"/>
          <w:color w:val="333333"/>
          <w:sz w:val="20"/>
          <w:szCs w:val="20"/>
          <w:shd w:val="clear" w:color="auto" w:fill="FFFFFF"/>
        </w:rPr>
        <w:t>Briefly, t</w:t>
      </w:r>
      <w:r w:rsidR="00486161" w:rsidRPr="00842F43">
        <w:rPr>
          <w:rFonts w:ascii="Fira Sans" w:hAnsi="Fira Sans"/>
          <w:color w:val="333333"/>
          <w:sz w:val="20"/>
          <w:szCs w:val="20"/>
          <w:shd w:val="clear" w:color="auto" w:fill="FFFFFF"/>
        </w:rPr>
        <w:t>he s</w:t>
      </w:r>
      <w:r w:rsidR="007654BD" w:rsidRPr="00842F43">
        <w:rPr>
          <w:rFonts w:ascii="Fira Sans" w:hAnsi="Fira Sans"/>
          <w:color w:val="333333"/>
          <w:sz w:val="20"/>
          <w:szCs w:val="20"/>
          <w:shd w:val="clear" w:color="auto" w:fill="FFFFFF"/>
        </w:rPr>
        <w:t>essions consist</w:t>
      </w:r>
      <w:r w:rsidR="00FB3A51" w:rsidRPr="00842F43">
        <w:rPr>
          <w:rFonts w:ascii="Fira Sans" w:hAnsi="Fira Sans"/>
          <w:color w:val="333333"/>
          <w:sz w:val="20"/>
          <w:szCs w:val="20"/>
          <w:shd w:val="clear" w:color="auto" w:fill="FFFFFF"/>
        </w:rPr>
        <w:t xml:space="preserve">ed </w:t>
      </w:r>
      <w:r w:rsidR="007654BD" w:rsidRPr="00842F43">
        <w:rPr>
          <w:rFonts w:ascii="Fira Sans" w:hAnsi="Fira Sans"/>
          <w:color w:val="333333"/>
          <w:sz w:val="20"/>
          <w:szCs w:val="20"/>
          <w:shd w:val="clear" w:color="auto" w:fill="FFFFFF"/>
        </w:rPr>
        <w:t xml:space="preserve">of </w:t>
      </w:r>
      <w:r w:rsidR="00926BB9" w:rsidRPr="00842F43">
        <w:rPr>
          <w:rFonts w:ascii="Fira Sans" w:hAnsi="Fira Sans"/>
          <w:color w:val="333333"/>
          <w:sz w:val="20"/>
          <w:szCs w:val="20"/>
          <w:shd w:val="clear" w:color="auto" w:fill="FFFFFF"/>
        </w:rPr>
        <w:t>eight</w:t>
      </w:r>
      <w:r w:rsidR="007654BD" w:rsidRPr="00842F43">
        <w:rPr>
          <w:rFonts w:ascii="Fira Sans" w:hAnsi="Fira Sans"/>
          <w:color w:val="333333"/>
          <w:sz w:val="20"/>
          <w:szCs w:val="20"/>
          <w:shd w:val="clear" w:color="auto" w:fill="FFFFFF"/>
        </w:rPr>
        <w:t xml:space="preserve"> phases</w:t>
      </w:r>
      <w:r w:rsidR="00AD454B" w:rsidRPr="00842F43">
        <w:rPr>
          <w:rFonts w:ascii="Fira Sans" w:hAnsi="Fira Sans"/>
          <w:color w:val="333333"/>
          <w:sz w:val="20"/>
          <w:szCs w:val="20"/>
          <w:shd w:val="clear" w:color="auto" w:fill="FFFFFF"/>
        </w:rPr>
        <w:t>:</w:t>
      </w:r>
      <w:r w:rsidR="00A378DA" w:rsidRPr="00842F43">
        <w:rPr>
          <w:rFonts w:ascii="Fira Sans" w:hAnsi="Fira Sans"/>
          <w:color w:val="333333"/>
          <w:sz w:val="20"/>
          <w:szCs w:val="20"/>
          <w:shd w:val="clear" w:color="auto" w:fill="FFFFFF"/>
        </w:rPr>
        <w:t xml:space="preserve"> history taking</w:t>
      </w:r>
      <w:r w:rsidR="00AD454B" w:rsidRPr="00842F43">
        <w:rPr>
          <w:rFonts w:ascii="Fira Sans" w:hAnsi="Fira Sans"/>
          <w:color w:val="333333"/>
          <w:sz w:val="20"/>
          <w:szCs w:val="20"/>
          <w:shd w:val="clear" w:color="auto" w:fill="FFFFFF"/>
        </w:rPr>
        <w:t>;</w:t>
      </w:r>
      <w:r w:rsidR="00A378DA" w:rsidRPr="00842F43">
        <w:rPr>
          <w:rFonts w:ascii="Fira Sans" w:hAnsi="Fira Sans"/>
          <w:color w:val="333333"/>
          <w:sz w:val="20"/>
          <w:szCs w:val="20"/>
          <w:shd w:val="clear" w:color="auto" w:fill="FFFFFF"/>
        </w:rPr>
        <w:t xml:space="preserve"> preparation with attention to safety and containment</w:t>
      </w:r>
      <w:r w:rsidR="00AD454B" w:rsidRPr="00842F43">
        <w:rPr>
          <w:rFonts w:ascii="Fira Sans" w:hAnsi="Fira Sans"/>
          <w:color w:val="333333"/>
          <w:sz w:val="20"/>
          <w:szCs w:val="20"/>
          <w:shd w:val="clear" w:color="auto" w:fill="FFFFFF"/>
        </w:rPr>
        <w:t>;</w:t>
      </w:r>
      <w:r w:rsidR="00A378DA" w:rsidRPr="00842F43">
        <w:rPr>
          <w:rFonts w:ascii="Fira Sans" w:hAnsi="Fira Sans"/>
          <w:color w:val="333333"/>
          <w:sz w:val="20"/>
          <w:szCs w:val="20"/>
          <w:shd w:val="clear" w:color="auto" w:fill="FFFFFF"/>
        </w:rPr>
        <w:t xml:space="preserve"> assessment of points of disturbance</w:t>
      </w:r>
      <w:r w:rsidR="004A2FDD" w:rsidRPr="00842F43">
        <w:rPr>
          <w:rFonts w:ascii="Fira Sans" w:hAnsi="Fira Sans"/>
          <w:color w:val="333333"/>
          <w:sz w:val="20"/>
          <w:szCs w:val="20"/>
          <w:shd w:val="clear" w:color="auto" w:fill="FFFFFF"/>
        </w:rPr>
        <w:t xml:space="preserve"> (using 0-10 scale of Subjective Units of Distress </w:t>
      </w:r>
      <w:r w:rsidR="00AD454B" w:rsidRPr="00842F43">
        <w:rPr>
          <w:rFonts w:ascii="Fira Sans" w:hAnsi="Fira Sans"/>
          <w:color w:val="333333"/>
          <w:sz w:val="20"/>
          <w:szCs w:val="20"/>
          <w:shd w:val="clear" w:color="auto" w:fill="FFFFFF"/>
        </w:rPr>
        <w:t>[</w:t>
      </w:r>
      <w:r w:rsidR="004A2FDD" w:rsidRPr="00842F43">
        <w:rPr>
          <w:rFonts w:ascii="Fira Sans" w:hAnsi="Fira Sans"/>
          <w:color w:val="333333"/>
          <w:sz w:val="20"/>
          <w:szCs w:val="20"/>
          <w:shd w:val="clear" w:color="auto" w:fill="FFFFFF"/>
        </w:rPr>
        <w:t>SUD</w:t>
      </w:r>
      <w:r w:rsidR="00AD454B" w:rsidRPr="00842F43">
        <w:rPr>
          <w:rFonts w:ascii="Fira Sans" w:hAnsi="Fira Sans"/>
          <w:color w:val="333333"/>
          <w:sz w:val="20"/>
          <w:szCs w:val="20"/>
          <w:shd w:val="clear" w:color="auto" w:fill="FFFFFF"/>
        </w:rPr>
        <w:t>]</w:t>
      </w:r>
      <w:r w:rsidR="00BE26AB" w:rsidRPr="00842F43">
        <w:rPr>
          <w:rFonts w:ascii="Fira Sans" w:hAnsi="Fira Sans"/>
          <w:color w:val="333333"/>
          <w:sz w:val="20"/>
          <w:szCs w:val="20"/>
          <w:shd w:val="clear" w:color="auto" w:fill="FFFFFF"/>
        </w:rPr>
        <w:t xml:space="preserve"> 0=no distress, 10=highest anxiety/distress ever felt</w:t>
      </w:r>
      <w:r w:rsidR="004A2FDD" w:rsidRPr="00842F43">
        <w:rPr>
          <w:rFonts w:ascii="Fira Sans" w:hAnsi="Fira Sans"/>
          <w:color w:val="333333"/>
          <w:sz w:val="20"/>
          <w:szCs w:val="20"/>
          <w:shd w:val="clear" w:color="auto" w:fill="FFFFFF"/>
        </w:rPr>
        <w:t>)</w:t>
      </w:r>
      <w:r w:rsidR="00AD454B" w:rsidRPr="00842F43">
        <w:rPr>
          <w:rFonts w:ascii="Fira Sans" w:hAnsi="Fira Sans"/>
          <w:color w:val="333333"/>
          <w:sz w:val="20"/>
          <w:szCs w:val="20"/>
          <w:shd w:val="clear" w:color="auto" w:fill="FFFFFF"/>
        </w:rPr>
        <w:t>;</w:t>
      </w:r>
      <w:r w:rsidR="00A378DA" w:rsidRPr="00842F43">
        <w:rPr>
          <w:rFonts w:ascii="Fira Sans" w:hAnsi="Fira Sans"/>
          <w:color w:val="333333"/>
          <w:sz w:val="20"/>
          <w:szCs w:val="20"/>
          <w:shd w:val="clear" w:color="auto" w:fill="FFFFFF"/>
        </w:rPr>
        <w:t xml:space="preserve"> focussed processing and desensitisation with bilateral stimulation</w:t>
      </w:r>
      <w:r w:rsidR="00AD454B" w:rsidRPr="00842F43">
        <w:rPr>
          <w:rFonts w:ascii="Fira Sans" w:hAnsi="Fira Sans"/>
          <w:color w:val="333333"/>
          <w:sz w:val="20"/>
          <w:szCs w:val="20"/>
          <w:shd w:val="clear" w:color="auto" w:fill="FFFFFF"/>
        </w:rPr>
        <w:t>;</w:t>
      </w:r>
      <w:r w:rsidR="00A378DA" w:rsidRPr="00842F43">
        <w:rPr>
          <w:rFonts w:ascii="Fira Sans" w:hAnsi="Fira Sans"/>
          <w:color w:val="333333"/>
          <w:sz w:val="20"/>
          <w:szCs w:val="20"/>
          <w:shd w:val="clear" w:color="auto" w:fill="FFFFFF"/>
        </w:rPr>
        <w:t xml:space="preserve"> installation of positive cognition with bilateral stimulation</w:t>
      </w:r>
      <w:r w:rsidR="00AD454B" w:rsidRPr="00842F43">
        <w:rPr>
          <w:rFonts w:ascii="Fira Sans" w:hAnsi="Fira Sans"/>
          <w:color w:val="333333"/>
          <w:sz w:val="20"/>
          <w:szCs w:val="20"/>
          <w:shd w:val="clear" w:color="auto" w:fill="FFFFFF"/>
        </w:rPr>
        <w:t>;</w:t>
      </w:r>
      <w:r w:rsidR="00A378DA" w:rsidRPr="00842F43">
        <w:rPr>
          <w:rFonts w:ascii="Fira Sans" w:hAnsi="Fira Sans"/>
          <w:color w:val="333333"/>
          <w:sz w:val="20"/>
          <w:szCs w:val="20"/>
          <w:shd w:val="clear" w:color="auto" w:fill="FFFFFF"/>
        </w:rPr>
        <w:t xml:space="preserve"> episode body scan</w:t>
      </w:r>
      <w:r w:rsidR="00AD454B" w:rsidRPr="00842F43">
        <w:rPr>
          <w:rFonts w:ascii="Fira Sans" w:hAnsi="Fira Sans"/>
          <w:color w:val="333333"/>
          <w:sz w:val="20"/>
          <w:szCs w:val="20"/>
          <w:shd w:val="clear" w:color="auto" w:fill="FFFFFF"/>
        </w:rPr>
        <w:t>;</w:t>
      </w:r>
      <w:r w:rsidR="00A378DA" w:rsidRPr="00842F43">
        <w:rPr>
          <w:rFonts w:ascii="Fira Sans" w:hAnsi="Fira Sans"/>
          <w:color w:val="333333"/>
          <w:sz w:val="20"/>
          <w:szCs w:val="20"/>
          <w:shd w:val="clear" w:color="auto" w:fill="FFFFFF"/>
        </w:rPr>
        <w:t xml:space="preserve"> </w:t>
      </w:r>
      <w:r w:rsidR="00486161" w:rsidRPr="00842F43">
        <w:rPr>
          <w:rFonts w:ascii="Fira Sans" w:hAnsi="Fira Sans"/>
          <w:color w:val="333333"/>
          <w:sz w:val="20"/>
          <w:szCs w:val="20"/>
          <w:shd w:val="clear" w:color="auto" w:fill="FFFFFF"/>
        </w:rPr>
        <w:t>episode closure</w:t>
      </w:r>
      <w:r w:rsidR="00AD454B" w:rsidRPr="00842F43">
        <w:rPr>
          <w:rFonts w:ascii="Fira Sans" w:hAnsi="Fira Sans"/>
          <w:color w:val="333333"/>
          <w:sz w:val="20"/>
          <w:szCs w:val="20"/>
          <w:shd w:val="clear" w:color="auto" w:fill="FFFFFF"/>
        </w:rPr>
        <w:t>;</w:t>
      </w:r>
      <w:r w:rsidR="00486161" w:rsidRPr="00842F43">
        <w:rPr>
          <w:rFonts w:ascii="Fira Sans" w:hAnsi="Fira Sans"/>
          <w:color w:val="333333"/>
          <w:sz w:val="20"/>
          <w:szCs w:val="20"/>
          <w:shd w:val="clear" w:color="auto" w:fill="FFFFFF"/>
        </w:rPr>
        <w:t xml:space="preserve"> re-evaluation of SUD and validity of positive cognition.</w:t>
      </w:r>
      <w:r w:rsidR="00EA0766" w:rsidRPr="00842F43">
        <w:rPr>
          <w:rFonts w:ascii="Fira Sans" w:hAnsi="Fira Sans"/>
          <w:color w:val="333333"/>
          <w:sz w:val="20"/>
          <w:szCs w:val="20"/>
          <w:shd w:val="clear" w:color="auto" w:fill="FFFFFF"/>
        </w:rPr>
        <w:t xml:space="preserve"> </w:t>
      </w:r>
      <w:r w:rsidR="00486161" w:rsidRPr="00842F43">
        <w:rPr>
          <w:rFonts w:ascii="Fira Sans" w:hAnsi="Fira Sans"/>
          <w:color w:val="333333"/>
          <w:sz w:val="20"/>
          <w:szCs w:val="20"/>
          <w:shd w:val="clear" w:color="auto" w:fill="FFFFFF"/>
        </w:rPr>
        <w:t xml:space="preserve">Each session lasted </w:t>
      </w:r>
      <w:r w:rsidR="00BF20E1" w:rsidRPr="00842F43">
        <w:rPr>
          <w:rFonts w:ascii="Fira Sans" w:hAnsi="Fira Sans"/>
          <w:color w:val="333333"/>
          <w:sz w:val="20"/>
          <w:szCs w:val="20"/>
          <w:shd w:val="clear" w:color="auto" w:fill="FFFFFF"/>
        </w:rPr>
        <w:t xml:space="preserve">between </w:t>
      </w:r>
      <w:r w:rsidR="00486161" w:rsidRPr="00842F43">
        <w:rPr>
          <w:rFonts w:ascii="Fira Sans" w:hAnsi="Fira Sans"/>
          <w:color w:val="333333"/>
          <w:sz w:val="20"/>
          <w:szCs w:val="20"/>
          <w:shd w:val="clear" w:color="auto" w:fill="FFFFFF"/>
        </w:rPr>
        <w:t>60-90 minutes.</w:t>
      </w:r>
      <w:r w:rsidR="004A2FDD" w:rsidRPr="00842F43">
        <w:rPr>
          <w:rFonts w:ascii="Fira Sans" w:hAnsi="Fira Sans"/>
          <w:color w:val="333333"/>
          <w:sz w:val="20"/>
          <w:szCs w:val="20"/>
          <w:shd w:val="clear" w:color="auto" w:fill="FFFFFF"/>
        </w:rPr>
        <w:t xml:space="preserve"> </w:t>
      </w:r>
      <w:r w:rsidR="00DF489D" w:rsidRPr="00842F43">
        <w:rPr>
          <w:rFonts w:ascii="Fira Sans" w:hAnsi="Fira Sans"/>
          <w:color w:val="333333"/>
          <w:sz w:val="20"/>
          <w:szCs w:val="20"/>
          <w:shd w:val="clear" w:color="auto" w:fill="FFFFFF"/>
        </w:rPr>
        <w:t>A</w:t>
      </w:r>
      <w:r w:rsidR="00160FFB" w:rsidRPr="00842F43">
        <w:rPr>
          <w:rFonts w:ascii="Fira Sans" w:hAnsi="Fira Sans"/>
          <w:color w:val="333333"/>
          <w:sz w:val="20"/>
          <w:szCs w:val="20"/>
          <w:shd w:val="clear" w:color="auto" w:fill="FFFFFF"/>
        </w:rPr>
        <w:t>dditional sessions were offered</w:t>
      </w:r>
      <w:r w:rsidR="00DF489D" w:rsidRPr="00842F43">
        <w:rPr>
          <w:rFonts w:ascii="Fira Sans" w:hAnsi="Fira Sans"/>
          <w:color w:val="333333"/>
          <w:sz w:val="20"/>
          <w:szCs w:val="20"/>
          <w:shd w:val="clear" w:color="auto" w:fill="FFFFFF"/>
        </w:rPr>
        <w:t xml:space="preserve"> if</w:t>
      </w:r>
      <w:r w:rsidR="003C04E6" w:rsidRPr="00842F43">
        <w:rPr>
          <w:rFonts w:ascii="Fira Sans" w:hAnsi="Fira Sans"/>
          <w:color w:val="333333"/>
          <w:sz w:val="20"/>
          <w:szCs w:val="20"/>
          <w:shd w:val="clear" w:color="auto" w:fill="FFFFFF"/>
        </w:rPr>
        <w:t xml:space="preserve"> </w:t>
      </w:r>
      <w:r w:rsidR="00DF489D" w:rsidRPr="00842F43">
        <w:rPr>
          <w:rFonts w:ascii="Fira Sans" w:hAnsi="Fira Sans"/>
          <w:color w:val="333333"/>
          <w:sz w:val="20"/>
          <w:szCs w:val="20"/>
          <w:shd w:val="clear" w:color="auto" w:fill="FFFFFF"/>
        </w:rPr>
        <w:t xml:space="preserve">SUD </w:t>
      </w:r>
      <w:r w:rsidR="00AD454B" w:rsidRPr="00842F43">
        <w:rPr>
          <w:rFonts w:ascii="Fira Sans" w:hAnsi="Fira Sans"/>
          <w:color w:val="333333"/>
          <w:sz w:val="20"/>
          <w:szCs w:val="20"/>
          <w:shd w:val="clear" w:color="auto" w:fill="FFFFFF"/>
        </w:rPr>
        <w:t xml:space="preserve">scores </w:t>
      </w:r>
      <w:r w:rsidR="00DF489D" w:rsidRPr="00842F43">
        <w:rPr>
          <w:rFonts w:ascii="Fira Sans" w:hAnsi="Fira Sans"/>
          <w:color w:val="333333"/>
          <w:sz w:val="20"/>
          <w:szCs w:val="20"/>
          <w:shd w:val="clear" w:color="auto" w:fill="FFFFFF"/>
        </w:rPr>
        <w:t xml:space="preserve">were </w:t>
      </w:r>
      <w:r w:rsidR="003C04E6" w:rsidRPr="00842F43">
        <w:rPr>
          <w:rFonts w:ascii="Fira Sans" w:hAnsi="Fira Sans"/>
          <w:color w:val="333333"/>
          <w:sz w:val="20"/>
          <w:szCs w:val="20"/>
          <w:shd w:val="clear" w:color="auto" w:fill="FFFFFF"/>
        </w:rPr>
        <w:t>≥2</w:t>
      </w:r>
      <w:r w:rsidR="00244027" w:rsidRPr="00842F43">
        <w:rPr>
          <w:rFonts w:ascii="Fira Sans" w:hAnsi="Fira Sans"/>
          <w:color w:val="333333"/>
          <w:sz w:val="20"/>
          <w:szCs w:val="20"/>
          <w:shd w:val="clear" w:color="auto" w:fill="FFFFFF"/>
        </w:rPr>
        <w:t xml:space="preserve"> on re-evaluation</w:t>
      </w:r>
      <w:r w:rsidR="00160FFB" w:rsidRPr="00842F43">
        <w:rPr>
          <w:rFonts w:ascii="Fira Sans" w:hAnsi="Fira Sans"/>
          <w:color w:val="333333"/>
          <w:sz w:val="20"/>
          <w:szCs w:val="20"/>
          <w:shd w:val="clear" w:color="auto" w:fill="FFFFFF"/>
        </w:rPr>
        <w:t xml:space="preserve">. </w:t>
      </w:r>
      <w:r w:rsidR="00D621B7" w:rsidRPr="00842F43">
        <w:rPr>
          <w:rFonts w:ascii="Fira Sans" w:hAnsi="Fira Sans"/>
          <w:color w:val="333333"/>
          <w:sz w:val="20"/>
          <w:szCs w:val="20"/>
          <w:shd w:val="clear" w:color="auto" w:fill="FFFFFF"/>
        </w:rPr>
        <w:t xml:space="preserve">Up to 8 sessions of EMDR were offered. </w:t>
      </w:r>
      <w:r w:rsidR="00160FFB" w:rsidRPr="00842F43">
        <w:rPr>
          <w:rFonts w:ascii="Fira Sans" w:hAnsi="Fira Sans"/>
          <w:color w:val="333333"/>
          <w:sz w:val="20"/>
          <w:szCs w:val="20"/>
          <w:shd w:val="clear" w:color="auto" w:fill="FFFFFF"/>
        </w:rPr>
        <w:t>If no points of disturbance were identified</w:t>
      </w:r>
      <w:r w:rsidR="003C04E6" w:rsidRPr="00842F43">
        <w:rPr>
          <w:rFonts w:ascii="Fira Sans" w:hAnsi="Fira Sans"/>
          <w:color w:val="333333"/>
          <w:sz w:val="20"/>
          <w:szCs w:val="20"/>
          <w:shd w:val="clear" w:color="auto" w:fill="FFFFFF"/>
        </w:rPr>
        <w:t xml:space="preserve"> (SUD ≤1)</w:t>
      </w:r>
      <w:r w:rsidR="00160FFB" w:rsidRPr="00842F43">
        <w:rPr>
          <w:rFonts w:ascii="Fira Sans" w:hAnsi="Fira Sans"/>
          <w:color w:val="333333"/>
          <w:sz w:val="20"/>
          <w:szCs w:val="20"/>
          <w:shd w:val="clear" w:color="auto" w:fill="FFFFFF"/>
        </w:rPr>
        <w:t xml:space="preserve">, sessions </w:t>
      </w:r>
      <w:r w:rsidR="00AD454B" w:rsidRPr="00842F43">
        <w:rPr>
          <w:rFonts w:ascii="Fira Sans" w:hAnsi="Fira Sans"/>
          <w:color w:val="333333"/>
          <w:sz w:val="20"/>
          <w:szCs w:val="20"/>
          <w:shd w:val="clear" w:color="auto" w:fill="FFFFFF"/>
        </w:rPr>
        <w:t>were</w:t>
      </w:r>
      <w:r w:rsidR="00160FFB" w:rsidRPr="00842F43">
        <w:rPr>
          <w:rFonts w:ascii="Fira Sans" w:hAnsi="Fira Sans"/>
          <w:color w:val="333333"/>
          <w:sz w:val="20"/>
          <w:szCs w:val="20"/>
          <w:shd w:val="clear" w:color="auto" w:fill="FFFFFF"/>
        </w:rPr>
        <w:t xml:space="preserve"> discontinued. </w:t>
      </w:r>
      <w:r w:rsidR="00130105" w:rsidRPr="00842F43">
        <w:rPr>
          <w:rFonts w:ascii="Fira Sans" w:hAnsi="Fira Sans"/>
          <w:color w:val="333333"/>
          <w:sz w:val="20"/>
          <w:szCs w:val="20"/>
          <w:shd w:val="clear" w:color="auto" w:fill="FFFFFF"/>
        </w:rPr>
        <w:t>P</w:t>
      </w:r>
      <w:r w:rsidR="00781AD3" w:rsidRPr="00842F43">
        <w:rPr>
          <w:rFonts w:ascii="Fira Sans" w:hAnsi="Fira Sans"/>
          <w:color w:val="333333"/>
          <w:sz w:val="20"/>
          <w:szCs w:val="20"/>
          <w:shd w:val="clear" w:color="auto" w:fill="FFFFFF"/>
        </w:rPr>
        <w:t xml:space="preserve">articipant flow </w:t>
      </w:r>
      <w:r w:rsidR="00130105" w:rsidRPr="00842F43">
        <w:rPr>
          <w:rFonts w:ascii="Fira Sans" w:hAnsi="Fira Sans"/>
          <w:color w:val="333333"/>
          <w:sz w:val="20"/>
          <w:szCs w:val="20"/>
          <w:shd w:val="clear" w:color="auto" w:fill="FFFFFF"/>
        </w:rPr>
        <w:t xml:space="preserve">through the study is </w:t>
      </w:r>
      <w:r w:rsidR="00AD454B" w:rsidRPr="00842F43">
        <w:rPr>
          <w:rFonts w:ascii="Fira Sans" w:hAnsi="Fira Sans"/>
          <w:color w:val="333333"/>
          <w:sz w:val="20"/>
          <w:szCs w:val="20"/>
          <w:shd w:val="clear" w:color="auto" w:fill="FFFFFF"/>
        </w:rPr>
        <w:t>shown</w:t>
      </w:r>
      <w:r w:rsidR="00781AD3" w:rsidRPr="00842F43">
        <w:rPr>
          <w:rFonts w:ascii="Fira Sans" w:hAnsi="Fira Sans"/>
          <w:color w:val="333333"/>
          <w:sz w:val="20"/>
          <w:szCs w:val="20"/>
          <w:shd w:val="clear" w:color="auto" w:fill="FFFFFF"/>
        </w:rPr>
        <w:t xml:space="preserve"> in </w:t>
      </w:r>
      <w:r w:rsidR="00DE473C" w:rsidRPr="00842F43">
        <w:rPr>
          <w:rFonts w:ascii="Fira Sans" w:hAnsi="Fira Sans"/>
          <w:color w:val="333333"/>
          <w:sz w:val="20"/>
          <w:szCs w:val="20"/>
          <w:shd w:val="clear" w:color="auto" w:fill="FFFFFF"/>
        </w:rPr>
        <w:t>Fig 1</w:t>
      </w:r>
      <w:r w:rsidR="000A36AC" w:rsidRPr="00842F43">
        <w:rPr>
          <w:rFonts w:ascii="Fira Sans" w:hAnsi="Fira Sans"/>
          <w:color w:val="333333"/>
          <w:sz w:val="20"/>
          <w:szCs w:val="20"/>
          <w:shd w:val="clear" w:color="auto" w:fill="FFFFFF"/>
        </w:rPr>
        <w:t xml:space="preserve">: </w:t>
      </w:r>
      <w:r w:rsidR="00DE473C" w:rsidRPr="00842F43">
        <w:rPr>
          <w:rFonts w:ascii="Fira Sans" w:hAnsi="Fira Sans"/>
          <w:color w:val="333333"/>
          <w:sz w:val="20"/>
          <w:szCs w:val="20"/>
          <w:shd w:val="clear" w:color="auto" w:fill="FFFFFF"/>
        </w:rPr>
        <w:t>Participant flow diagram.</w:t>
      </w:r>
    </w:p>
    <w:p w14:paraId="6C808E71" w14:textId="58314969" w:rsidR="00370E23" w:rsidRPr="00842F43" w:rsidRDefault="00370E23" w:rsidP="00842F43">
      <w:pPr>
        <w:spacing w:line="360" w:lineRule="auto"/>
        <w:rPr>
          <w:rFonts w:ascii="Fira Sans" w:hAnsi="Fira Sans"/>
          <w:color w:val="333333"/>
          <w:sz w:val="20"/>
          <w:szCs w:val="20"/>
          <w:shd w:val="clear" w:color="auto" w:fill="FFFFFF"/>
        </w:rPr>
      </w:pPr>
    </w:p>
    <w:p w14:paraId="532A2284" w14:textId="22BB5CE6" w:rsidR="00AD454B" w:rsidRPr="00842F43" w:rsidRDefault="007438CF" w:rsidP="00842F43">
      <w:pPr>
        <w:spacing w:line="360" w:lineRule="auto"/>
        <w:rPr>
          <w:rFonts w:ascii="Fira Sans" w:hAnsi="Fira Sans"/>
          <w:color w:val="4472C4" w:themeColor="accent1"/>
          <w:sz w:val="20"/>
          <w:szCs w:val="20"/>
        </w:rPr>
      </w:pPr>
      <w:r w:rsidRPr="00842F43">
        <w:rPr>
          <w:rFonts w:ascii="Fira Sans" w:hAnsi="Fira Sans"/>
          <w:noProof/>
          <w:sz w:val="20"/>
          <w:szCs w:val="20"/>
        </w:rPr>
        <w:lastRenderedPageBreak/>
        <w:drawing>
          <wp:inline distT="0" distB="0" distL="0" distR="0" wp14:anchorId="08E7BB39" wp14:editId="4916029F">
            <wp:extent cx="3983525" cy="4930638"/>
            <wp:effectExtent l="0" t="0" r="444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11417" cy="4965161"/>
                    </a:xfrm>
                    <a:prstGeom prst="rect">
                      <a:avLst/>
                    </a:prstGeom>
                  </pic:spPr>
                </pic:pic>
              </a:graphicData>
            </a:graphic>
          </wp:inline>
        </w:drawing>
      </w:r>
    </w:p>
    <w:p w14:paraId="3AB6BF15" w14:textId="21265469" w:rsidR="00370E23" w:rsidRPr="00842F43" w:rsidRDefault="00370E23" w:rsidP="00842F43">
      <w:pPr>
        <w:spacing w:line="360" w:lineRule="auto"/>
        <w:rPr>
          <w:rFonts w:ascii="Fira Sans" w:hAnsi="Fira Sans"/>
          <w:color w:val="000000" w:themeColor="text1"/>
          <w:sz w:val="20"/>
          <w:szCs w:val="20"/>
        </w:rPr>
      </w:pPr>
      <w:r w:rsidRPr="00842F43">
        <w:rPr>
          <w:rFonts w:ascii="Fira Sans" w:hAnsi="Fira Sans"/>
          <w:color w:val="000000" w:themeColor="text1"/>
          <w:sz w:val="20"/>
          <w:szCs w:val="20"/>
        </w:rPr>
        <w:t>Figure 1: Participant flow diagram</w:t>
      </w:r>
    </w:p>
    <w:p w14:paraId="53F9F644" w14:textId="376979C7" w:rsidR="00370E23" w:rsidRPr="00842F43" w:rsidRDefault="00370E23" w:rsidP="00842F43">
      <w:pPr>
        <w:spacing w:line="360" w:lineRule="auto"/>
        <w:rPr>
          <w:rFonts w:ascii="Fira Sans" w:hAnsi="Fira Sans"/>
          <w:color w:val="4472C4" w:themeColor="accent1"/>
          <w:sz w:val="20"/>
          <w:szCs w:val="20"/>
        </w:rPr>
      </w:pPr>
    </w:p>
    <w:p w14:paraId="26BA1A47" w14:textId="127B1486" w:rsidR="00B47C90" w:rsidRPr="00842F43" w:rsidRDefault="00160FFB" w:rsidP="00842F43">
      <w:pPr>
        <w:spacing w:line="360" w:lineRule="auto"/>
        <w:rPr>
          <w:rFonts w:ascii="Fira Sans" w:hAnsi="Fira Sans"/>
          <w:sz w:val="20"/>
          <w:szCs w:val="20"/>
        </w:rPr>
      </w:pPr>
      <w:r w:rsidRPr="00842F43">
        <w:rPr>
          <w:rFonts w:ascii="Fira Sans" w:hAnsi="Fira Sans"/>
          <w:sz w:val="20"/>
          <w:szCs w:val="20"/>
        </w:rPr>
        <w:t>Outcome measures and data collection</w:t>
      </w:r>
    </w:p>
    <w:p w14:paraId="5F4BACC7" w14:textId="0EEFF5D7" w:rsidR="00E517EE" w:rsidRPr="00842F43" w:rsidRDefault="00E517EE" w:rsidP="00842F43">
      <w:pPr>
        <w:spacing w:line="360" w:lineRule="auto"/>
        <w:rPr>
          <w:rFonts w:ascii="Fira Sans" w:hAnsi="Fira Sans"/>
          <w:sz w:val="20"/>
          <w:szCs w:val="20"/>
        </w:rPr>
      </w:pPr>
      <w:r w:rsidRPr="00842F43">
        <w:rPr>
          <w:rFonts w:ascii="Fira Sans" w:hAnsi="Fira Sans"/>
          <w:color w:val="000000" w:themeColor="text1"/>
          <w:sz w:val="20"/>
          <w:szCs w:val="20"/>
        </w:rPr>
        <w:t>Our</w:t>
      </w:r>
      <w:r w:rsidR="00FB3A51" w:rsidRPr="00842F43">
        <w:rPr>
          <w:rFonts w:ascii="Fira Sans" w:hAnsi="Fira Sans"/>
          <w:color w:val="000000" w:themeColor="text1"/>
          <w:sz w:val="20"/>
          <w:szCs w:val="20"/>
        </w:rPr>
        <w:t xml:space="preserve"> primary aim was </w:t>
      </w:r>
      <w:r w:rsidR="00A75186" w:rsidRPr="00842F43">
        <w:rPr>
          <w:rFonts w:ascii="Fira Sans" w:hAnsi="Fira Sans"/>
          <w:color w:val="000000" w:themeColor="text1"/>
          <w:sz w:val="20"/>
          <w:szCs w:val="20"/>
        </w:rPr>
        <w:t xml:space="preserve">to assess </w:t>
      </w:r>
      <w:r w:rsidRPr="00842F43">
        <w:rPr>
          <w:rFonts w:ascii="Fira Sans" w:hAnsi="Fira Sans"/>
          <w:color w:val="000000" w:themeColor="text1"/>
          <w:sz w:val="20"/>
          <w:szCs w:val="20"/>
        </w:rPr>
        <w:t xml:space="preserve">the </w:t>
      </w:r>
      <w:r w:rsidR="00A75186" w:rsidRPr="00842F43">
        <w:rPr>
          <w:rFonts w:ascii="Fira Sans" w:hAnsi="Fira Sans"/>
          <w:color w:val="000000" w:themeColor="text1"/>
          <w:sz w:val="20"/>
          <w:szCs w:val="20"/>
        </w:rPr>
        <w:t>feasibility of delivering online EMDR to adult survivors of COVID-19 related critical illness.</w:t>
      </w:r>
      <w:r w:rsidR="00244027" w:rsidRPr="00842F43">
        <w:rPr>
          <w:rFonts w:ascii="Fira Sans" w:hAnsi="Fira Sans"/>
          <w:color w:val="000000" w:themeColor="text1"/>
          <w:sz w:val="20"/>
          <w:szCs w:val="20"/>
        </w:rPr>
        <w:t xml:space="preserve"> </w:t>
      </w:r>
      <w:r w:rsidR="00C27FD7" w:rsidRPr="00842F43">
        <w:rPr>
          <w:rFonts w:ascii="Fira Sans" w:hAnsi="Fira Sans"/>
          <w:color w:val="000000" w:themeColor="text1"/>
          <w:sz w:val="20"/>
          <w:szCs w:val="20"/>
        </w:rPr>
        <w:t>F</w:t>
      </w:r>
      <w:r w:rsidR="00A75186" w:rsidRPr="00842F43">
        <w:rPr>
          <w:rFonts w:ascii="Fira Sans" w:hAnsi="Fira Sans"/>
          <w:color w:val="000000" w:themeColor="text1"/>
          <w:sz w:val="20"/>
          <w:szCs w:val="20"/>
        </w:rPr>
        <w:t xml:space="preserve">easibility objectives </w:t>
      </w:r>
      <w:r w:rsidR="005965E7" w:rsidRPr="00842F43">
        <w:rPr>
          <w:rFonts w:ascii="Fira Sans" w:hAnsi="Fira Sans"/>
          <w:color w:val="000000" w:themeColor="text1"/>
          <w:sz w:val="20"/>
          <w:szCs w:val="20"/>
        </w:rPr>
        <w:t xml:space="preserve">were selected from </w:t>
      </w:r>
      <w:r w:rsidRPr="00842F43">
        <w:rPr>
          <w:rFonts w:ascii="Fira Sans" w:hAnsi="Fira Sans"/>
          <w:color w:val="000000" w:themeColor="text1"/>
          <w:sz w:val="20"/>
          <w:szCs w:val="20"/>
        </w:rPr>
        <w:t>MRC</w:t>
      </w:r>
      <w:r w:rsidR="005965E7" w:rsidRPr="00842F43">
        <w:rPr>
          <w:rFonts w:ascii="Fira Sans" w:hAnsi="Fira Sans"/>
          <w:color w:val="000000" w:themeColor="text1"/>
          <w:sz w:val="20"/>
          <w:szCs w:val="20"/>
        </w:rPr>
        <w:t xml:space="preserve"> </w:t>
      </w:r>
      <w:r w:rsidRPr="00842F43">
        <w:rPr>
          <w:rFonts w:ascii="Fira Sans" w:hAnsi="Fira Sans"/>
          <w:color w:val="000000" w:themeColor="text1"/>
          <w:sz w:val="20"/>
          <w:szCs w:val="20"/>
        </w:rPr>
        <w:t xml:space="preserve">and </w:t>
      </w:r>
      <w:r w:rsidRPr="00842F43">
        <w:rPr>
          <w:rFonts w:ascii="Fira Sans" w:hAnsi="Fira Sans"/>
          <w:noProof/>
          <w:sz w:val="20"/>
          <w:szCs w:val="20"/>
        </w:rPr>
        <w:t>National Institute for Health and Care Research</w:t>
      </w:r>
      <w:r w:rsidRPr="00842F43">
        <w:rPr>
          <w:rFonts w:ascii="Fira Sans" w:hAnsi="Fira Sans"/>
          <w:color w:val="000000" w:themeColor="text1"/>
          <w:sz w:val="20"/>
          <w:szCs w:val="20"/>
        </w:rPr>
        <w:t xml:space="preserve"> </w:t>
      </w:r>
      <w:r w:rsidR="005965E7" w:rsidRPr="00842F43">
        <w:rPr>
          <w:rFonts w:ascii="Fira Sans" w:hAnsi="Fira Sans"/>
          <w:color w:val="000000" w:themeColor="text1"/>
          <w:sz w:val="20"/>
          <w:szCs w:val="20"/>
        </w:rPr>
        <w:t>guid</w:t>
      </w:r>
      <w:r w:rsidRPr="00842F43">
        <w:rPr>
          <w:rFonts w:ascii="Fira Sans" w:hAnsi="Fira Sans"/>
          <w:color w:val="000000" w:themeColor="text1"/>
          <w:sz w:val="20"/>
          <w:szCs w:val="20"/>
        </w:rPr>
        <w:t>ance</w:t>
      </w:r>
      <w:r w:rsidR="005965E7" w:rsidRPr="00842F43">
        <w:rPr>
          <w:rFonts w:ascii="Fira Sans" w:hAnsi="Fira Sans"/>
          <w:color w:val="000000" w:themeColor="text1"/>
          <w:sz w:val="20"/>
          <w:szCs w:val="20"/>
          <w:vertAlign w:val="superscript"/>
        </w:rPr>
        <w:fldChar w:fldCharType="begin" w:fldLock="1"/>
      </w:r>
      <w:r w:rsidR="00D61B6C" w:rsidRPr="00842F43">
        <w:rPr>
          <w:rFonts w:ascii="Fira Sans" w:hAnsi="Fira Sans"/>
          <w:color w:val="000000" w:themeColor="text1"/>
          <w:sz w:val="20"/>
          <w:szCs w:val="20"/>
          <w:vertAlign w:val="superscript"/>
        </w:rPr>
        <w:instrText>ADDIN CSL_CITATION {"citationItems":[{"id":"ITEM-1","itemData":{"DOI":"10.1136/bmj.n2061","author":[{"dropping-particle":"","family":"Skivington","given":"Kathryn","non-dropping-particle":"","parse-names":false,"suffix":""},{"dropping-particle":"","family":"Matthews","given":"Lynsay","non-dropping-particle":"","parse-names":false,"suffix":""},{"dropping-particle":"","family":"Simpson","given":"Sharon Anne","non-dropping-particle":"","parse-names":false,"suffix":""},{"dropping-particle":"","family":"Craig","given":"Peter","non-dropping-particle":"","parse-names":false,"suffix":""},{"dropping-particle":"","family":"Baird","given":"Janis","non-dropping-particle":"","parse-names":false,"suffix":""},{"dropping-particle":"","family":"Blazeby","given":"Jane M","non-dropping-particle":"","parse-names":false,"suffix":""},{"dropping-particle":"","family":"Boyd","given":"Kathleen Anne","non-dropping-particle":"","parse-names":false,"suffix":""},{"dropping-particle":"","family":"Craig","given":"Neil","non-dropping-particle":"","parse-names":false,"suffix":""},{"dropping-particle":"","family":"French","given":"David P","non-dropping-particle":"","parse-names":false,"suffix":""},{"dropping-particle":"","family":"Mcintosh","given":"Emma","non-dropping-particle":"","parse-names":false,"suffix":""},{"dropping-particle":"","family":"Petticrew","given":"Mark","non-dropping-particle":"","parse-names":false,"suffix":""},{"dropping-particle":"","family":"Rycroft-Malone","given":"Jo","non-dropping-particle":"","parse-names":false,"suffix":""},{"dropping-particle":"","family":"White","given":"Martin","non-dropping-particle":"","parse-names":false,"suffix":""},{"dropping-particle":"","family":"Moore","given":"Laurence","non-dropping-particle":"","parse-names":false,"suffix":""}],"container-title":"BMJ","id":"ITEM-1","issue":"n2061","issued":{"date-parts":[["2021"]]},"title":"A new framework for developing and evaluating complex interventions: update of Medical Research Council guidance","type":"article-journal","volume":"374"},"uris":["http://www.mendeley.com/documents/?uuid=76e9c1ae-19e9-3374-a4b7-022500b56fa5"]}],"mendeley":{"formattedCitation":"(45)","manualFormatting":"(45)","plainTextFormattedCitation":"(45)","previouslyFormattedCitation":"(45)"},"properties":{"noteIndex":0},"schema":"https://github.com/citation-style-language/schema/raw/master/csl-citation.json"}</w:instrText>
      </w:r>
      <w:r w:rsidR="005965E7" w:rsidRPr="00842F43">
        <w:rPr>
          <w:rFonts w:ascii="Fira Sans" w:hAnsi="Fira Sans"/>
          <w:color w:val="000000" w:themeColor="text1"/>
          <w:sz w:val="20"/>
          <w:szCs w:val="20"/>
          <w:vertAlign w:val="superscript"/>
        </w:rPr>
        <w:fldChar w:fldCharType="separate"/>
      </w:r>
      <w:r w:rsidR="00FC7B65" w:rsidRPr="00842F43">
        <w:rPr>
          <w:rFonts w:ascii="Fira Sans" w:hAnsi="Fira Sans"/>
          <w:noProof/>
          <w:color w:val="000000" w:themeColor="text1"/>
          <w:sz w:val="20"/>
          <w:szCs w:val="20"/>
          <w:vertAlign w:val="superscript"/>
        </w:rPr>
        <w:t>(</w:t>
      </w:r>
      <w:r w:rsidR="00D61B6C" w:rsidRPr="00842F43">
        <w:rPr>
          <w:rFonts w:ascii="Fira Sans" w:hAnsi="Fira Sans"/>
          <w:noProof/>
          <w:color w:val="000000" w:themeColor="text1"/>
          <w:sz w:val="20"/>
          <w:szCs w:val="20"/>
          <w:vertAlign w:val="superscript"/>
        </w:rPr>
        <w:t>45</w:t>
      </w:r>
      <w:r w:rsidR="00FC7B65" w:rsidRPr="00842F43">
        <w:rPr>
          <w:rFonts w:ascii="Fira Sans" w:hAnsi="Fira Sans"/>
          <w:noProof/>
          <w:color w:val="000000" w:themeColor="text1"/>
          <w:sz w:val="20"/>
          <w:szCs w:val="20"/>
          <w:vertAlign w:val="superscript"/>
        </w:rPr>
        <w:t>)</w:t>
      </w:r>
      <w:r w:rsidR="005965E7" w:rsidRPr="00842F43">
        <w:rPr>
          <w:rFonts w:ascii="Fira Sans" w:hAnsi="Fira Sans"/>
          <w:color w:val="000000" w:themeColor="text1"/>
          <w:sz w:val="20"/>
          <w:szCs w:val="20"/>
          <w:vertAlign w:val="superscript"/>
        </w:rPr>
        <w:fldChar w:fldCharType="end"/>
      </w:r>
      <w:r w:rsidR="00C27FD7" w:rsidRPr="00842F43">
        <w:rPr>
          <w:rFonts w:ascii="Fira Sans" w:hAnsi="Fira Sans"/>
          <w:color w:val="000000" w:themeColor="text1"/>
          <w:sz w:val="20"/>
          <w:szCs w:val="20"/>
          <w:vertAlign w:val="superscript"/>
        </w:rPr>
        <w:t xml:space="preserve"> </w:t>
      </w:r>
      <w:r w:rsidR="00C27FD7" w:rsidRPr="00842F43">
        <w:rPr>
          <w:rFonts w:ascii="Fira Sans" w:hAnsi="Fira Sans"/>
          <w:color w:val="000000" w:themeColor="text1"/>
          <w:sz w:val="20"/>
          <w:szCs w:val="20"/>
        </w:rPr>
        <w:t>and pre-published</w:t>
      </w:r>
      <w:r w:rsidR="00C27FD7" w:rsidRPr="00842F43">
        <w:rPr>
          <w:rFonts w:ascii="Fira Sans" w:hAnsi="Fira Sans"/>
          <w:color w:val="000000" w:themeColor="text1"/>
          <w:sz w:val="20"/>
          <w:szCs w:val="20"/>
        </w:rPr>
        <w:fldChar w:fldCharType="begin" w:fldLock="1"/>
      </w:r>
      <w:r w:rsidR="00807E73" w:rsidRPr="00842F43">
        <w:rPr>
          <w:rFonts w:ascii="Fira Sans" w:hAnsi="Fira Sans"/>
          <w:color w:val="000000" w:themeColor="text1"/>
          <w:sz w:val="20"/>
          <w:szCs w:val="20"/>
        </w:rPr>
        <w:instrText>ADDIN CSL_CITATION {"citationItems":[{"id":"ITEM-1","itemData":{"DOI":"10.1186/s13063-020-04805-1","ISSN":"1745-6215","abstract":"Primary Objective: To determine the feasibility of delivering a protocolised, remote, online, Eye Movement Desensitisation and Reprocessing (EMDR) intervention, within 12-weeks of hospital discharge, for adult survivors of Covid-19 related critical illness. Secondary objectives: To investigate whether remotely delivered EMDR can improve psychological outcome following Covid-19 related critical illness, specifically Post-Traumatic Stress Disorder (PTSD), anxiety and depression. This is a single centre, randomised controlled cohort feasibility trial. Participants will be recruited following discharge from the Intensive Care Unit at University Hospital Southampton, United Kingdom. Eligible patients will have received mechanical ventilation for a minimum of 24 hours, tested Covid-19 positive by polymerase chain reaction, will be over the age of 18 years and have the capacity to provide informed consent. Patients will be excluded if they have pre-existing cognitive impairment, pre-existing psychotic diagnosis or are not expected to survive post-hospital discharge. Group one: patients in the control arm will receive their standard package of prescribed care, following discharge home from hospital. If they experience any adverse physical or psychological health-conditions, they will access care through the usual available channels. Group two: patients randomly allocated to the intervention arm will receive their standard package of prescribed care, following discharge home from hospital. In addition, they will be referred to the Intensive Psychological Therapies Service in Poole, United Kingdom. They will receive an online appointment within 12-weeks of discharge home from hospital. They will receive a maximum of eight, weekly sessions of EMDR, delivered by a trained psychological therapist, following the Recent Traumatic Episode Protocol (R-TEP). Appendices 1 and 2 of the attached trial protocol contain a detailed description of the R-TEP intervention, written in accordance with the Template for Intervention Description and Replication (TIDieR) checklist and guide. The primary outcome from this trial will be feasibility. Feasibility will be determined by recruitment rates, expressed as a percentage of eligible patients approached, completion of the EMDR intervention, completion of final assessment at 6-months, incidence of attributable adverse events and protocol adherence by the psychological therapists. Secondary, exploratory outcomes will be assessed by co…","author":[{"dropping-particle":"","family":"Bates","given":"Andrew","non-dropping-particle":"","parse-names":false,"suffix":""},{"dropping-particle":"","family":"Rushbrook","given":"Sophie","non-dropping-particle":"","parse-names":false,"suffix":""},{"dropping-particle":"","family":"Shapiro","given":"Elan","non-dropping-particle":"","parse-names":false,"suffix":""},{"dropping-particle":"","family":"Grocott","given":"Michael","non-dropping-particle":"","parse-names":false,"suffix":""},{"dropping-particle":"","family":"Cusack","given":"Rebecca","non-dropping-particle":"","parse-names":false,"suffix":""}],"container-title":"Trials","id":"ITEM-1","issue":"1","issued":{"date-parts":[["2020","12","17"]]},"page":"929","publisher":"BioMed Central","title":"CovEMERALD: Assessing the feasibility and preliminary effectiveness of remotely delivered Eye Movement Desensitisation and Reprocessing following Covid-19 related critical illness: A structured summary of a study protocol for a randomised controlled trial","type":"article-journal","volume":"21"},"uris":["http://www.mendeley.com/documents/?uuid=5ae0022c-647a-37bb-a927-aa44a41d4f7a"]}],"mendeley":{"formattedCitation":"(41)","plainTextFormattedCitation":"(41)","previouslyFormattedCitation":"(41)"},"properties":{"noteIndex":0},"schema":"https://github.com/citation-style-language/schema/raw/master/csl-citation.json"}</w:instrText>
      </w:r>
      <w:r w:rsidR="00C27FD7" w:rsidRPr="00842F43">
        <w:rPr>
          <w:rFonts w:ascii="Fira Sans" w:hAnsi="Fira Sans"/>
          <w:color w:val="000000" w:themeColor="text1"/>
          <w:sz w:val="20"/>
          <w:szCs w:val="20"/>
        </w:rPr>
        <w:fldChar w:fldCharType="separate"/>
      </w:r>
      <w:r w:rsidR="00C27FD7" w:rsidRPr="00842F43">
        <w:rPr>
          <w:rFonts w:ascii="Fira Sans" w:hAnsi="Fira Sans"/>
          <w:noProof/>
          <w:color w:val="000000" w:themeColor="text1"/>
          <w:sz w:val="20"/>
          <w:szCs w:val="20"/>
        </w:rPr>
        <w:t>(41)</w:t>
      </w:r>
      <w:r w:rsidR="00C27FD7" w:rsidRPr="00842F43">
        <w:rPr>
          <w:rFonts w:ascii="Fira Sans" w:hAnsi="Fira Sans"/>
          <w:color w:val="000000" w:themeColor="text1"/>
          <w:sz w:val="20"/>
          <w:szCs w:val="20"/>
        </w:rPr>
        <w:fldChar w:fldCharType="end"/>
      </w:r>
      <w:r w:rsidR="00C27FD7" w:rsidRPr="00842F43">
        <w:rPr>
          <w:rFonts w:ascii="Fira Sans" w:hAnsi="Fira Sans"/>
          <w:noProof/>
          <w:sz w:val="20"/>
          <w:szCs w:val="20"/>
        </w:rPr>
        <w:t>:</w:t>
      </w:r>
      <w:r w:rsidR="00A75186" w:rsidRPr="00842F43">
        <w:rPr>
          <w:rFonts w:ascii="Fira Sans" w:hAnsi="Fira Sans"/>
          <w:color w:val="000000" w:themeColor="text1"/>
          <w:sz w:val="20"/>
          <w:szCs w:val="20"/>
        </w:rPr>
        <w:t xml:space="preserve"> </w:t>
      </w:r>
      <w:proofErr w:type="spellStart"/>
      <w:r w:rsidR="00A75186" w:rsidRPr="00842F43">
        <w:rPr>
          <w:rFonts w:ascii="Fira Sans" w:hAnsi="Fira Sans"/>
          <w:color w:val="000000" w:themeColor="text1"/>
          <w:sz w:val="20"/>
          <w:szCs w:val="20"/>
        </w:rPr>
        <w:t>i</w:t>
      </w:r>
      <w:proofErr w:type="spellEnd"/>
      <w:r w:rsidR="00A75186" w:rsidRPr="00842F43">
        <w:rPr>
          <w:rFonts w:ascii="Fira Sans" w:hAnsi="Fira Sans"/>
          <w:color w:val="000000" w:themeColor="text1"/>
          <w:sz w:val="20"/>
          <w:szCs w:val="20"/>
        </w:rPr>
        <w:t>) recruitment rate &gt;30% of patients approached</w:t>
      </w:r>
      <w:r w:rsidRPr="00842F43">
        <w:rPr>
          <w:rFonts w:ascii="Fira Sans" w:hAnsi="Fira Sans"/>
          <w:color w:val="000000" w:themeColor="text1"/>
          <w:sz w:val="20"/>
          <w:szCs w:val="20"/>
        </w:rPr>
        <w:t>;</w:t>
      </w:r>
      <w:r w:rsidR="00A75186" w:rsidRPr="00842F43">
        <w:rPr>
          <w:rFonts w:ascii="Fira Sans" w:hAnsi="Fira Sans"/>
          <w:color w:val="000000" w:themeColor="text1"/>
          <w:sz w:val="20"/>
          <w:szCs w:val="20"/>
        </w:rPr>
        <w:t xml:space="preserve"> ii) intervention </w:t>
      </w:r>
      <w:r w:rsidR="00244027" w:rsidRPr="00842F43">
        <w:rPr>
          <w:rFonts w:ascii="Fira Sans" w:hAnsi="Fira Sans"/>
          <w:color w:val="000000" w:themeColor="text1"/>
          <w:sz w:val="20"/>
          <w:szCs w:val="20"/>
        </w:rPr>
        <w:t xml:space="preserve">session </w:t>
      </w:r>
      <w:r w:rsidR="00A75186" w:rsidRPr="00842F43">
        <w:rPr>
          <w:rFonts w:ascii="Fira Sans" w:hAnsi="Fira Sans"/>
          <w:color w:val="000000" w:themeColor="text1"/>
          <w:sz w:val="20"/>
          <w:szCs w:val="20"/>
        </w:rPr>
        <w:t>adherence &gt;75%</w:t>
      </w:r>
      <w:r w:rsidR="00054EFB" w:rsidRPr="00842F43">
        <w:rPr>
          <w:rFonts w:ascii="Fira Sans" w:hAnsi="Fira Sans"/>
          <w:color w:val="000000" w:themeColor="text1"/>
          <w:sz w:val="20"/>
          <w:szCs w:val="20"/>
        </w:rPr>
        <w:t>,</w:t>
      </w:r>
      <w:r w:rsidR="00A75186" w:rsidRPr="00842F43">
        <w:rPr>
          <w:rFonts w:ascii="Fira Sans" w:hAnsi="Fira Sans"/>
          <w:color w:val="000000" w:themeColor="text1"/>
          <w:sz w:val="20"/>
          <w:szCs w:val="20"/>
        </w:rPr>
        <w:t xml:space="preserve"> calculated from sessions </w:t>
      </w:r>
      <w:r w:rsidR="003D7A0A" w:rsidRPr="00842F43">
        <w:rPr>
          <w:rFonts w:ascii="Fira Sans" w:hAnsi="Fira Sans"/>
          <w:color w:val="000000" w:themeColor="text1"/>
          <w:sz w:val="20"/>
          <w:szCs w:val="20"/>
        </w:rPr>
        <w:t>completed as a proportion of</w:t>
      </w:r>
      <w:r w:rsidR="00054EFB" w:rsidRPr="00842F43">
        <w:rPr>
          <w:rFonts w:ascii="Fira Sans" w:hAnsi="Fira Sans"/>
          <w:color w:val="000000" w:themeColor="text1"/>
          <w:sz w:val="20"/>
          <w:szCs w:val="20"/>
        </w:rPr>
        <w:t xml:space="preserve"> sessions </w:t>
      </w:r>
      <w:r w:rsidR="003D7A0A" w:rsidRPr="00842F43">
        <w:rPr>
          <w:rFonts w:ascii="Fira Sans" w:hAnsi="Fira Sans"/>
          <w:color w:val="000000" w:themeColor="text1"/>
          <w:sz w:val="20"/>
          <w:szCs w:val="20"/>
        </w:rPr>
        <w:t>offered</w:t>
      </w:r>
      <w:r w:rsidRPr="00842F43">
        <w:rPr>
          <w:rFonts w:ascii="Fira Sans" w:hAnsi="Fira Sans"/>
          <w:color w:val="000000" w:themeColor="text1"/>
          <w:sz w:val="20"/>
          <w:szCs w:val="20"/>
        </w:rPr>
        <w:t>;</w:t>
      </w:r>
      <w:r w:rsidR="00054EFB" w:rsidRPr="00842F43">
        <w:rPr>
          <w:rFonts w:ascii="Fira Sans" w:hAnsi="Fira Sans"/>
          <w:color w:val="000000" w:themeColor="text1"/>
          <w:sz w:val="20"/>
          <w:szCs w:val="20"/>
        </w:rPr>
        <w:t xml:space="preserve"> </w:t>
      </w:r>
      <w:r w:rsidR="00A75186" w:rsidRPr="00842F43">
        <w:rPr>
          <w:rFonts w:ascii="Fira Sans" w:hAnsi="Fira Sans"/>
          <w:color w:val="000000" w:themeColor="text1"/>
          <w:sz w:val="20"/>
          <w:szCs w:val="20"/>
        </w:rPr>
        <w:t xml:space="preserve">iii) protocol adherence &gt;75% </w:t>
      </w:r>
      <w:r w:rsidR="00054EFB" w:rsidRPr="00842F43">
        <w:rPr>
          <w:rFonts w:ascii="Fira Sans" w:hAnsi="Fira Sans"/>
          <w:color w:val="000000" w:themeColor="text1"/>
          <w:sz w:val="20"/>
          <w:szCs w:val="20"/>
        </w:rPr>
        <w:t>of all participants, based upon deviations and violations</w:t>
      </w:r>
      <w:r w:rsidRPr="00842F43">
        <w:rPr>
          <w:rFonts w:ascii="Fira Sans" w:hAnsi="Fira Sans"/>
          <w:color w:val="000000" w:themeColor="text1"/>
          <w:sz w:val="20"/>
          <w:szCs w:val="20"/>
        </w:rPr>
        <w:t>;</w:t>
      </w:r>
      <w:r w:rsidR="00054EFB" w:rsidRPr="00842F43">
        <w:rPr>
          <w:rFonts w:ascii="Fira Sans" w:hAnsi="Fira Sans"/>
          <w:color w:val="000000" w:themeColor="text1"/>
          <w:sz w:val="20"/>
          <w:szCs w:val="20"/>
        </w:rPr>
        <w:t xml:space="preserve">  iv) </w:t>
      </w:r>
      <w:r w:rsidR="00A75186" w:rsidRPr="00842F43">
        <w:rPr>
          <w:rFonts w:ascii="Fira Sans" w:hAnsi="Fira Sans"/>
          <w:color w:val="000000" w:themeColor="text1"/>
          <w:sz w:val="20"/>
          <w:szCs w:val="20"/>
        </w:rPr>
        <w:t xml:space="preserve">trial completion </w:t>
      </w:r>
      <w:r w:rsidRPr="00842F43">
        <w:rPr>
          <w:rFonts w:ascii="Fira Sans" w:hAnsi="Fira Sans"/>
          <w:color w:val="000000" w:themeColor="text1"/>
          <w:sz w:val="20"/>
          <w:szCs w:val="20"/>
        </w:rPr>
        <w:t xml:space="preserve">of </w:t>
      </w:r>
      <w:r w:rsidR="00A75186" w:rsidRPr="00842F43">
        <w:rPr>
          <w:rFonts w:ascii="Fira Sans" w:hAnsi="Fira Sans"/>
          <w:color w:val="000000" w:themeColor="text1"/>
          <w:sz w:val="20"/>
          <w:szCs w:val="20"/>
        </w:rPr>
        <w:t>&gt;75%</w:t>
      </w:r>
      <w:r w:rsidR="00054EFB" w:rsidRPr="00842F43">
        <w:rPr>
          <w:rFonts w:ascii="Fira Sans" w:hAnsi="Fira Sans"/>
          <w:color w:val="000000" w:themeColor="text1"/>
          <w:sz w:val="20"/>
          <w:szCs w:val="20"/>
        </w:rPr>
        <w:t xml:space="preserve"> of study activities completed</w:t>
      </w:r>
      <w:r w:rsidR="000A7ABA" w:rsidRPr="00842F43">
        <w:rPr>
          <w:rFonts w:ascii="Fira Sans" w:hAnsi="Fira Sans"/>
          <w:color w:val="000000" w:themeColor="text1"/>
          <w:sz w:val="20"/>
          <w:szCs w:val="20"/>
        </w:rPr>
        <w:t xml:space="preserve">; and </w:t>
      </w:r>
      <w:r w:rsidR="00241341" w:rsidRPr="00842F43">
        <w:rPr>
          <w:rFonts w:ascii="Fira Sans" w:hAnsi="Fira Sans"/>
          <w:color w:val="000000" w:themeColor="text1"/>
          <w:sz w:val="20"/>
          <w:szCs w:val="20"/>
        </w:rPr>
        <w:t>v) review of serious events attributable to trial procedures</w:t>
      </w:r>
      <w:r w:rsidR="0096443E" w:rsidRPr="00842F43">
        <w:rPr>
          <w:rFonts w:ascii="Fira Sans" w:hAnsi="Fira Sans"/>
          <w:color w:val="000000" w:themeColor="text1"/>
          <w:sz w:val="20"/>
          <w:szCs w:val="20"/>
        </w:rPr>
        <w:t xml:space="preserve">. </w:t>
      </w:r>
      <w:r w:rsidR="00054EFB" w:rsidRPr="00842F43">
        <w:rPr>
          <w:rFonts w:ascii="Fira Sans" w:hAnsi="Fira Sans"/>
          <w:sz w:val="20"/>
          <w:szCs w:val="20"/>
        </w:rPr>
        <w:t xml:space="preserve">These were not defined as </w:t>
      </w:r>
      <w:r w:rsidR="00274A2B" w:rsidRPr="00842F43">
        <w:rPr>
          <w:rFonts w:ascii="Fira Sans" w:hAnsi="Fira Sans"/>
          <w:sz w:val="20"/>
          <w:szCs w:val="20"/>
        </w:rPr>
        <w:t xml:space="preserve">progression </w:t>
      </w:r>
      <w:r w:rsidR="003C0F55" w:rsidRPr="00842F43">
        <w:rPr>
          <w:rFonts w:ascii="Fira Sans" w:hAnsi="Fira Sans"/>
          <w:sz w:val="20"/>
          <w:szCs w:val="20"/>
        </w:rPr>
        <w:t>criteria but</w:t>
      </w:r>
      <w:r w:rsidR="00054EFB" w:rsidRPr="00842F43">
        <w:rPr>
          <w:rFonts w:ascii="Fira Sans" w:hAnsi="Fira Sans"/>
          <w:sz w:val="20"/>
          <w:szCs w:val="20"/>
        </w:rPr>
        <w:t xml:space="preserve"> would </w:t>
      </w:r>
      <w:r w:rsidR="00926BB9" w:rsidRPr="00842F43">
        <w:rPr>
          <w:rFonts w:ascii="Fira Sans" w:hAnsi="Fira Sans"/>
          <w:sz w:val="20"/>
          <w:szCs w:val="20"/>
        </w:rPr>
        <w:t xml:space="preserve">inform </w:t>
      </w:r>
      <w:r w:rsidR="00817665" w:rsidRPr="00842F43">
        <w:rPr>
          <w:rFonts w:ascii="Fira Sans" w:hAnsi="Fira Sans"/>
          <w:sz w:val="20"/>
          <w:szCs w:val="20"/>
        </w:rPr>
        <w:t xml:space="preserve">refinement of study design. </w:t>
      </w:r>
    </w:p>
    <w:p w14:paraId="6D7BD472" w14:textId="7D0C7AC4" w:rsidR="00F93C5A" w:rsidRPr="00842F43" w:rsidRDefault="00E517EE" w:rsidP="00842F43">
      <w:pPr>
        <w:spacing w:line="360" w:lineRule="auto"/>
        <w:rPr>
          <w:rFonts w:ascii="Fira Sans" w:hAnsi="Fira Sans"/>
          <w:sz w:val="20"/>
          <w:szCs w:val="20"/>
          <w:vertAlign w:val="superscript"/>
        </w:rPr>
      </w:pPr>
      <w:r w:rsidRPr="00842F43">
        <w:rPr>
          <w:rFonts w:ascii="Fira Sans" w:hAnsi="Fira Sans"/>
          <w:sz w:val="20"/>
          <w:szCs w:val="20"/>
        </w:rPr>
        <w:t>We recorded baseline demographic</w:t>
      </w:r>
      <w:r w:rsidR="00C27FD7" w:rsidRPr="00842F43">
        <w:rPr>
          <w:rFonts w:ascii="Fira Sans" w:hAnsi="Fira Sans"/>
          <w:sz w:val="20"/>
          <w:szCs w:val="20"/>
        </w:rPr>
        <w:t xml:space="preserve"> data, ICU-admission history and medical history;</w:t>
      </w:r>
      <w:r w:rsidRPr="00842F43">
        <w:rPr>
          <w:rFonts w:ascii="Fira Sans" w:hAnsi="Fira Sans"/>
          <w:sz w:val="20"/>
          <w:szCs w:val="20"/>
        </w:rPr>
        <w:t xml:space="preserve"> comorbidities, intensive care bed days, length of hospital inpatient stay, total benzodiazepine use, total days of ventilation, (intubated and non-invasive positive pressure ventilation) and illness severity using the Acute Physiology and Chronic Health Evaluation (APACHE) II score. </w:t>
      </w:r>
      <w:r w:rsidR="00C27FD7" w:rsidRPr="00842F43">
        <w:rPr>
          <w:rFonts w:ascii="Fira Sans" w:hAnsi="Fira Sans"/>
          <w:color w:val="000000"/>
          <w:sz w:val="20"/>
          <w:szCs w:val="20"/>
        </w:rPr>
        <w:t>Secondary</w:t>
      </w:r>
      <w:r w:rsidR="00274A2B" w:rsidRPr="00842F43">
        <w:rPr>
          <w:rFonts w:ascii="Fira Sans" w:hAnsi="Fira Sans"/>
          <w:color w:val="000000"/>
          <w:sz w:val="20"/>
          <w:szCs w:val="20"/>
        </w:rPr>
        <w:t xml:space="preserve"> clinical outcomes were assessed by comparing change in </w:t>
      </w:r>
      <w:r w:rsidR="007F22F1" w:rsidRPr="00842F43">
        <w:rPr>
          <w:rFonts w:ascii="Fira Sans" w:hAnsi="Fira Sans"/>
          <w:color w:val="000000"/>
          <w:sz w:val="20"/>
          <w:szCs w:val="20"/>
        </w:rPr>
        <w:t xml:space="preserve">self-reported </w:t>
      </w:r>
      <w:r w:rsidR="00274A2B" w:rsidRPr="00842F43">
        <w:rPr>
          <w:rFonts w:ascii="Fira Sans" w:hAnsi="Fira Sans"/>
          <w:color w:val="000000"/>
          <w:sz w:val="20"/>
          <w:szCs w:val="20"/>
        </w:rPr>
        <w:t xml:space="preserve">symptoms from </w:t>
      </w:r>
      <w:r w:rsidRPr="00842F43">
        <w:rPr>
          <w:rFonts w:ascii="Fira Sans" w:hAnsi="Fira Sans"/>
          <w:color w:val="000000"/>
          <w:sz w:val="20"/>
          <w:szCs w:val="20"/>
        </w:rPr>
        <w:t>B</w:t>
      </w:r>
      <w:r w:rsidR="00274A2B" w:rsidRPr="00842F43">
        <w:rPr>
          <w:rFonts w:ascii="Fira Sans" w:hAnsi="Fira Sans"/>
          <w:color w:val="000000"/>
          <w:sz w:val="20"/>
          <w:szCs w:val="20"/>
        </w:rPr>
        <w:t xml:space="preserve">aseline to </w:t>
      </w:r>
      <w:r w:rsidRPr="00842F43">
        <w:rPr>
          <w:rFonts w:ascii="Fira Sans" w:hAnsi="Fira Sans"/>
          <w:color w:val="000000"/>
          <w:sz w:val="20"/>
          <w:szCs w:val="20"/>
        </w:rPr>
        <w:t>Follow-up</w:t>
      </w:r>
      <w:r w:rsidR="00D861A7" w:rsidRPr="00842F43">
        <w:rPr>
          <w:rFonts w:ascii="Fira Sans" w:hAnsi="Fira Sans"/>
          <w:color w:val="000000"/>
          <w:sz w:val="20"/>
          <w:szCs w:val="20"/>
        </w:rPr>
        <w:t xml:space="preserve"> (6-months post-hospital discharge)</w:t>
      </w:r>
      <w:r w:rsidR="00274A2B" w:rsidRPr="00842F43">
        <w:rPr>
          <w:rFonts w:ascii="Fira Sans" w:hAnsi="Fira Sans"/>
          <w:color w:val="000000"/>
          <w:sz w:val="20"/>
          <w:szCs w:val="20"/>
        </w:rPr>
        <w:t xml:space="preserve">, between the </w:t>
      </w:r>
      <w:r w:rsidR="001A5261" w:rsidRPr="00842F43">
        <w:rPr>
          <w:rFonts w:ascii="Fira Sans" w:hAnsi="Fira Sans"/>
          <w:color w:val="000000"/>
          <w:sz w:val="20"/>
          <w:szCs w:val="20"/>
        </w:rPr>
        <w:t>control (CG)</w:t>
      </w:r>
      <w:r w:rsidR="0016736F" w:rsidRPr="00842F43">
        <w:rPr>
          <w:rFonts w:ascii="Fira Sans" w:hAnsi="Fira Sans"/>
          <w:color w:val="000000"/>
          <w:sz w:val="20"/>
          <w:szCs w:val="20"/>
        </w:rPr>
        <w:t xml:space="preserve"> </w:t>
      </w:r>
      <w:r w:rsidR="00274A2B" w:rsidRPr="00842F43">
        <w:rPr>
          <w:rFonts w:ascii="Fira Sans" w:hAnsi="Fira Sans"/>
          <w:color w:val="000000"/>
          <w:sz w:val="20"/>
          <w:szCs w:val="20"/>
        </w:rPr>
        <w:t xml:space="preserve">and </w:t>
      </w:r>
      <w:r w:rsidR="00C27FD7" w:rsidRPr="00842F43">
        <w:rPr>
          <w:rFonts w:ascii="Fira Sans" w:hAnsi="Fira Sans"/>
          <w:color w:val="000000"/>
          <w:sz w:val="20"/>
          <w:szCs w:val="20"/>
        </w:rPr>
        <w:t>intervention</w:t>
      </w:r>
      <w:r w:rsidR="006701B4" w:rsidRPr="00842F43">
        <w:rPr>
          <w:rFonts w:ascii="Fira Sans" w:hAnsi="Fira Sans"/>
          <w:color w:val="000000"/>
          <w:sz w:val="20"/>
          <w:szCs w:val="20"/>
        </w:rPr>
        <w:t xml:space="preserve"> </w:t>
      </w:r>
      <w:r w:rsidR="00274A2B" w:rsidRPr="00842F43">
        <w:rPr>
          <w:rFonts w:ascii="Fira Sans" w:hAnsi="Fira Sans"/>
          <w:color w:val="000000"/>
          <w:sz w:val="20"/>
          <w:szCs w:val="20"/>
        </w:rPr>
        <w:t xml:space="preserve">groups. </w:t>
      </w:r>
      <w:r w:rsidR="005836FE" w:rsidRPr="00842F43">
        <w:rPr>
          <w:rFonts w:ascii="Fira Sans" w:hAnsi="Fira Sans"/>
          <w:sz w:val="20"/>
          <w:szCs w:val="20"/>
        </w:rPr>
        <w:t xml:space="preserve">The </w:t>
      </w:r>
      <w:r w:rsidR="009A5E6D" w:rsidRPr="00842F43">
        <w:rPr>
          <w:rFonts w:ascii="Fira Sans" w:hAnsi="Fira Sans"/>
          <w:sz w:val="20"/>
          <w:szCs w:val="20"/>
        </w:rPr>
        <w:t>P</w:t>
      </w:r>
      <w:r w:rsidR="00F264BB" w:rsidRPr="00842F43">
        <w:rPr>
          <w:rFonts w:ascii="Fira Sans" w:hAnsi="Fira Sans"/>
          <w:sz w:val="20"/>
          <w:szCs w:val="20"/>
        </w:rPr>
        <w:t xml:space="preserve">ost-traumatic </w:t>
      </w:r>
      <w:r w:rsidR="009A5E6D" w:rsidRPr="00842F43">
        <w:rPr>
          <w:rFonts w:ascii="Fira Sans" w:hAnsi="Fira Sans"/>
          <w:sz w:val="20"/>
          <w:szCs w:val="20"/>
        </w:rPr>
        <w:t>S</w:t>
      </w:r>
      <w:r w:rsidR="00F264BB" w:rsidRPr="00842F43">
        <w:rPr>
          <w:rFonts w:ascii="Fira Sans" w:hAnsi="Fira Sans"/>
          <w:sz w:val="20"/>
          <w:szCs w:val="20"/>
        </w:rPr>
        <w:t xml:space="preserve">tress </w:t>
      </w:r>
      <w:r w:rsidR="009A5E6D" w:rsidRPr="00842F43">
        <w:rPr>
          <w:rFonts w:ascii="Fira Sans" w:hAnsi="Fira Sans"/>
          <w:sz w:val="20"/>
          <w:szCs w:val="20"/>
        </w:rPr>
        <w:t>D</w:t>
      </w:r>
      <w:r w:rsidR="00F264BB" w:rsidRPr="00842F43">
        <w:rPr>
          <w:rFonts w:ascii="Fira Sans" w:hAnsi="Fira Sans"/>
          <w:sz w:val="20"/>
          <w:szCs w:val="20"/>
        </w:rPr>
        <w:t xml:space="preserve">isorder </w:t>
      </w:r>
      <w:r w:rsidR="009A5E6D" w:rsidRPr="00842F43">
        <w:rPr>
          <w:rFonts w:ascii="Fira Sans" w:hAnsi="Fira Sans"/>
          <w:sz w:val="20"/>
          <w:szCs w:val="20"/>
        </w:rPr>
        <w:t>C</w:t>
      </w:r>
      <w:r w:rsidR="00F264BB" w:rsidRPr="00842F43">
        <w:rPr>
          <w:rFonts w:ascii="Fira Sans" w:hAnsi="Fira Sans"/>
          <w:sz w:val="20"/>
          <w:szCs w:val="20"/>
        </w:rPr>
        <w:t>hecklist-</w:t>
      </w:r>
      <w:r w:rsidR="009A5E6D" w:rsidRPr="00842F43">
        <w:rPr>
          <w:rFonts w:ascii="Fira Sans" w:hAnsi="Fira Sans"/>
          <w:sz w:val="20"/>
          <w:szCs w:val="20"/>
        </w:rPr>
        <w:t>C</w:t>
      </w:r>
      <w:r w:rsidR="00F264BB" w:rsidRPr="00842F43">
        <w:rPr>
          <w:rFonts w:ascii="Fira Sans" w:hAnsi="Fira Sans"/>
          <w:sz w:val="20"/>
          <w:szCs w:val="20"/>
        </w:rPr>
        <w:t>ivilian version (PCL-C)</w:t>
      </w:r>
      <w:r w:rsidR="004F76D7" w:rsidRPr="00842F43">
        <w:rPr>
          <w:rFonts w:ascii="Fira Sans" w:hAnsi="Fira Sans"/>
          <w:sz w:val="20"/>
          <w:szCs w:val="20"/>
        </w:rPr>
        <w:t>;</w:t>
      </w:r>
      <w:r w:rsidR="00852633" w:rsidRPr="00842F43">
        <w:rPr>
          <w:rFonts w:ascii="Fira Sans" w:hAnsi="Fira Sans"/>
          <w:sz w:val="20"/>
          <w:szCs w:val="20"/>
        </w:rPr>
        <w:t xml:space="preserve"> is a 17 question, patient-reported outcome measure,</w:t>
      </w:r>
      <w:r w:rsidR="00826274" w:rsidRPr="00842F43">
        <w:rPr>
          <w:rFonts w:ascii="Fira Sans" w:hAnsi="Fira Sans"/>
          <w:sz w:val="20"/>
          <w:szCs w:val="20"/>
        </w:rPr>
        <w:t xml:space="preserve"> widely-used and validated in populations including intensive care survivors</w:t>
      </w:r>
      <w:r w:rsidR="007A515C" w:rsidRPr="00842F43">
        <w:rPr>
          <w:rFonts w:ascii="Fira Sans" w:hAnsi="Fira Sans"/>
          <w:sz w:val="20"/>
          <w:szCs w:val="20"/>
        </w:rPr>
        <w:t>.</w:t>
      </w:r>
      <w:r w:rsidR="007A515C" w:rsidRPr="00842F43">
        <w:rPr>
          <w:rFonts w:ascii="Fira Sans" w:hAnsi="Fira Sans"/>
          <w:sz w:val="20"/>
          <w:szCs w:val="20"/>
          <w:vertAlign w:val="superscript"/>
        </w:rPr>
        <w:fldChar w:fldCharType="begin" w:fldLock="1"/>
      </w:r>
      <w:r w:rsidR="00D515C0" w:rsidRPr="00842F43">
        <w:rPr>
          <w:rFonts w:ascii="Fira Sans" w:hAnsi="Fira Sans"/>
          <w:sz w:val="20"/>
          <w:szCs w:val="20"/>
          <w:vertAlign w:val="superscript"/>
        </w:rPr>
        <w:instrText>ADDIN CSL_CITATION {"citationItems":[{"id":"ITEM-1","itemData":{"DOI":"10.1186/s13054-018-2223-6","abstract":"Background: Survivors of intensive care are known to be at increased risk of developing longer-term psychopathology issues. We present a large UK multicentre study assessing the anxiety, depression and post-traumatic stress disorder (PTSD) caseness in the first year following discharge from an intensive care unit (ICU). Methods: Design: prospective multicentre follow-up study of survivors of ICU in the UK. Setting: patients from 26 ICUs in the UK. Inclusion criteria: patients who had received at least 24 h of level 3 ICU care and were 16 years of age or older. Interventions: postal follow up: Hospital Anxiety and Depression Score (HADS) and the Post-Traumatic Stress Disorder (PTSD) Check List-Civilian (PCL-C) at 3 and 12 months following discharge from ICU. Main outcome measure: caseness of anxiety, depression and PTSD, 2-year survival.","author":[{"dropping-particle":"","family":"Hatch","given":"Robert","non-dropping-particle":"","parse-names":false,"suffix":""},{"dropping-particle":"","family":"Young","given":"Duncan","non-dropping-particle":"","parse-names":false,"suffix":""},{"dropping-particle":"","family":"Barber","given":"Vicki","non-dropping-particle":"","parse-names":false,"suffix":""},{"dropping-particle":"","family":"Griffiths","given":"John","non-dropping-particle":"","parse-names":false,"suffix":""},{"dropping-particle":"","family":"Harrison","given":"David A","non-dropping-particle":"","parse-names":false,"suffix":""},{"dropping-particle":"","family":"Watkinson","given":"Peter","non-dropping-particle":"","parse-names":false,"suffix":""}],"id":"ITEM-1","issued":{"date-parts":[["0"]]},"title":"Anxiety, Depression and Post Traumatic Stress Disorder after critical illness: a UK-wide prospective cohort study","type":"article-journal"},"uris":["http://www.mendeley.com/documents/?uuid=30472d1b-c2bf-3e08-b700-5454fcb51968"]},{"id":"ITEM-2","itemData":{"DOI":"10.1037/A0034889","ISSN":"1939-134X","PMID":"24188155","abstract":"This study aimed to assess the diagnostic accuracy of the Posttraumatic Stress Disorder Checklist- Civilian Version (PCL-C; Weathers, Litz, Herman, Huska, &amp; Keane, 1993) and to establish the most accurate cutoff for prevalence estimation of posttraumatic stress disorder (PTSD) in a representative military sample compared to a clinical interview. Danish soldiers (N = 415; 94.4% male, mean age 26.6 years) were assessed with the PCL-C and the Structured Clinical Interview for the DSM-IV (SCID; First, Spitzer, Gibbon, &amp; Williams, 2002) 2.5 years after their return from deployment to Afghanistan. Diagnostic accuracy of the PCL-C was assessed through receiver operating characteristic curve analysis. The PCL-C displayed high overall accuracy (area under the curve =95, confidence interval [.92, .98]) and performed well (sensitivity&gt;.70 and specificity ≥ .90), with cutoff scores ranging from 37 to 44. When including sensitivity values a little below .70 (.69), the PCL-C performed well for cutoff levels up to 53. Prevalence of PTSD varied considerably with the application of different cutoff values and scoring methods. Our results show that the PCL-C is a relevant and valid tool for screening for probable PTSD in active military samples. However, it is of great importance that cutoff scores be chosen based on the sample and the purpose of the particular study or screening. © 2013 American Psychological Association.","author":[{"dropping-particle":"","family":"Karstoft","given":"Karen Inge","non-dropping-particle":"","parse-names":false,"suffix":""},{"dropping-particle":"","family":"Andersen","given":"Søren Bo","non-dropping-particle":"","parse-names":false,"suffix":""},{"dropping-particle":"","family":"Bertelsen","given":"Mette","non-dropping-particle":"","parse-names":false,"suffix":""},{"dropping-particle":"","family":"Madsen","given":"Trine","non-dropping-particle":"","parse-names":false,"suffix":""}],"container-title":"Psychological Assessment","id":"ITEM-2","issue":"1","issued":{"date-parts":[["2013","3"]]},"page":"321","publisher":"US: American Psychological Association","title":"Diagnostic accuracy of the Posttraumatic Stress Disorder Checklist–Civilian Version in a representative military sample.","type":"article-journal","volume":"26"},"uris":["http://www.mendeley.com/documents/?uuid=ea9ef5e6-b9c8-3af7-bfe6-217b28a3caae"]},{"id":"ITEM-3","itemData":{"DOI":"10.1002/jts.22059","ISSN":"08949867","author":[{"dropping-particle":"","family":"Blevins","given":"Christy A.","non-dropping-particle":"","parse-names":false,"suffix":""},{"dropping-particle":"","family":"Weathers","given":"Frank W.","non-dropping-particle":"","parse-names":false,"suffix":""},{"dropping-particle":"","family":"Davis","given":"Margaret T.","non-dropping-particle":"","parse-names":false,"suffix":""},{"dropping-particle":"","family":"Witte","given":"Tracy K.","non-dropping-particle":"","parse-names":false,"suffix":""},{"dropping-particle":"","family":"Domino","given":"Jessica L.","non-dropping-particle":"","parse-names":false,"suffix":""}],"container-title":"Journal of Traumatic Stress","id":"ITEM-3","issue":"6","issued":{"date-parts":[["2015","12"]]},"page":"489-498","title":"The Posttraumatic Stress Disorder Checklist for &lt;i&gt;DSM-5&lt;/i&gt; (PCL-5): Development and Initial Psychometric Evaluation","type":"article-journal","volume":"28"},"uris":["http://www.mendeley.com/documents/?uuid=d28d6839-46ea-348e-98d6-546227e2406d"]}],"mendeley":{"formattedCitation":"(6,46,47)","plainTextFormattedCitation":"(6,46,47)","previouslyFormattedCitation":"(6,46,47)"},"properties":{"noteIndex":0},"schema":"https://github.com/citation-style-language/schema/raw/master/csl-citation.json"}</w:instrText>
      </w:r>
      <w:r w:rsidR="007A515C" w:rsidRPr="00842F43">
        <w:rPr>
          <w:rFonts w:ascii="Fira Sans" w:hAnsi="Fira Sans"/>
          <w:sz w:val="20"/>
          <w:szCs w:val="20"/>
          <w:vertAlign w:val="superscript"/>
        </w:rPr>
        <w:fldChar w:fldCharType="separate"/>
      </w:r>
      <w:r w:rsidR="006E1E08" w:rsidRPr="00842F43">
        <w:rPr>
          <w:rFonts w:ascii="Fira Sans" w:hAnsi="Fira Sans"/>
          <w:noProof/>
          <w:sz w:val="20"/>
          <w:szCs w:val="20"/>
        </w:rPr>
        <w:t>(6,46,47)</w:t>
      </w:r>
      <w:r w:rsidR="007A515C" w:rsidRPr="00842F43">
        <w:rPr>
          <w:rFonts w:ascii="Fira Sans" w:hAnsi="Fira Sans"/>
          <w:sz w:val="20"/>
          <w:szCs w:val="20"/>
          <w:vertAlign w:val="superscript"/>
        </w:rPr>
        <w:fldChar w:fldCharType="end"/>
      </w:r>
      <w:r w:rsidR="007A515C" w:rsidRPr="00842F43">
        <w:rPr>
          <w:rFonts w:ascii="Fira Sans" w:hAnsi="Fira Sans"/>
          <w:sz w:val="20"/>
          <w:szCs w:val="20"/>
        </w:rPr>
        <w:t xml:space="preserve"> </w:t>
      </w:r>
      <w:r w:rsidR="005E29B0" w:rsidRPr="00842F43">
        <w:rPr>
          <w:rFonts w:ascii="Fira Sans" w:hAnsi="Fira Sans"/>
          <w:sz w:val="20"/>
          <w:szCs w:val="20"/>
        </w:rPr>
        <w:t>P</w:t>
      </w:r>
      <w:r w:rsidR="00852633" w:rsidRPr="00842F43">
        <w:rPr>
          <w:rFonts w:ascii="Fira Sans" w:hAnsi="Fira Sans"/>
          <w:sz w:val="20"/>
          <w:szCs w:val="20"/>
        </w:rPr>
        <w:t xml:space="preserve">articipants report frequency of </w:t>
      </w:r>
      <w:r w:rsidR="00852633" w:rsidRPr="00842F43">
        <w:rPr>
          <w:rFonts w:ascii="Fira Sans" w:hAnsi="Fira Sans"/>
          <w:sz w:val="20"/>
          <w:szCs w:val="20"/>
        </w:rPr>
        <w:lastRenderedPageBreak/>
        <w:t>experiencing PTSD symptoms</w:t>
      </w:r>
      <w:r w:rsidR="005E29B0" w:rsidRPr="00842F43">
        <w:rPr>
          <w:rFonts w:ascii="Fira Sans" w:hAnsi="Fira Sans"/>
          <w:sz w:val="20"/>
          <w:szCs w:val="20"/>
        </w:rPr>
        <w:t>, giving a total score between 17-85.</w:t>
      </w:r>
      <w:r w:rsidR="00852633" w:rsidRPr="00842F43">
        <w:rPr>
          <w:rFonts w:ascii="Fira Sans" w:hAnsi="Fira Sans"/>
          <w:sz w:val="20"/>
          <w:szCs w:val="20"/>
        </w:rPr>
        <w:t xml:space="preserve"> </w:t>
      </w:r>
      <w:r w:rsidR="005E29B0" w:rsidRPr="00842F43">
        <w:rPr>
          <w:rFonts w:ascii="Fira Sans" w:hAnsi="Fira Sans"/>
          <w:sz w:val="20"/>
          <w:szCs w:val="20"/>
        </w:rPr>
        <w:t>PCL-C</w:t>
      </w:r>
      <w:r w:rsidR="00852633" w:rsidRPr="00842F43">
        <w:rPr>
          <w:rFonts w:ascii="Fira Sans" w:hAnsi="Fira Sans"/>
          <w:sz w:val="20"/>
          <w:szCs w:val="20"/>
        </w:rPr>
        <w:t xml:space="preserve"> has </w:t>
      </w:r>
      <w:r w:rsidR="00080684" w:rsidRPr="00842F43">
        <w:rPr>
          <w:rFonts w:ascii="Fira Sans" w:hAnsi="Fira Sans"/>
          <w:sz w:val="20"/>
          <w:szCs w:val="20"/>
        </w:rPr>
        <w:t>estimated</w:t>
      </w:r>
      <w:r w:rsidR="00BA4151" w:rsidRPr="00842F43">
        <w:rPr>
          <w:rFonts w:ascii="Fira Sans" w:hAnsi="Fira Sans"/>
          <w:sz w:val="20"/>
          <w:szCs w:val="20"/>
        </w:rPr>
        <w:t xml:space="preserve"> sensitivity and specificity for PTSD caseness</w:t>
      </w:r>
      <w:r w:rsidR="00080684" w:rsidRPr="00842F43">
        <w:rPr>
          <w:rFonts w:ascii="Fira Sans" w:hAnsi="Fira Sans"/>
          <w:sz w:val="20"/>
          <w:szCs w:val="20"/>
        </w:rPr>
        <w:t>,</w:t>
      </w:r>
      <w:r w:rsidR="00BA4151" w:rsidRPr="00842F43">
        <w:rPr>
          <w:rFonts w:ascii="Fira Sans" w:hAnsi="Fira Sans"/>
          <w:sz w:val="20"/>
          <w:szCs w:val="20"/>
        </w:rPr>
        <w:t xml:space="preserve"> in primary care populations of 28-30</w:t>
      </w:r>
      <w:r w:rsidR="00080684" w:rsidRPr="00842F43">
        <w:rPr>
          <w:rFonts w:ascii="Fira Sans" w:hAnsi="Fira Sans"/>
          <w:sz w:val="20"/>
          <w:szCs w:val="20"/>
        </w:rPr>
        <w:fldChar w:fldCharType="begin" w:fldLock="1"/>
      </w:r>
      <w:r w:rsidR="00F94450" w:rsidRPr="00842F43">
        <w:rPr>
          <w:rFonts w:ascii="Fira Sans" w:hAnsi="Fira Sans"/>
          <w:sz w:val="20"/>
          <w:szCs w:val="20"/>
        </w:rPr>
        <w:instrText>ADDIN CSL_CITATION {"citationItems":[{"id":"ITEM-1","itemData":{"abstract":"~~ PTSD affects a substantial number of women in medical settings and is associated with significant distress and impairment. There are effective methods of treating trauma-related distress, but a minority seek such care. Thus, primary care is an important setting in which to identify individuals with PTSD. We sent questionnaires, including the PTSD Checklist-Civilian Version (PCL-C), to 419 female veterans who were seen in our primary care clinic in 1998; 56% (N = 221) returned the measures. A random subset (n = 49) was interviewed to establish psychiatric diagnoses. The results provide qualified support for the use of the PCL-C total score with a lowered cutoff score as a screening measure for PTSD in female veterans in primary care. KEY WORDS posttraumatic stress disorder; psychometrics; primary care. Primary care has been referred to as the de fact0 mental health system because of the large proportion of individuals with mental health problems that are seen only by general medical providers (Regier et al., 1993). Although the majority of research to date has focused on depression and general anxiety, recent studies suggest that posttrau-matic stress disorder (PTSD) is also an important problem in the primary care setting.","author":[{"dropping-particle":"","family":"L A N G , ' ~ ~","given":"Ariel J","non-dropping-particle":"","parse-names":false,"suffix":""},{"dropping-particle":"","family":"Laffaye","given":"Charlene","non-dropping-particle":"","parse-names":false,"suffix":""},{"dropping-particle":"","family":"Leslie","given":"?","non-dropping-particle":"","parse-names":false,"suffix":""},{"dropping-particle":"","family":"Satz","given":"E","non-dropping-particle":"","parse-names":false,"suffix":""},{"dropping-particle":"","family":"D R E S S E L H A U ~ ~","given":"Timothy R","non-dropping-particle":"","parse-names":false,"suffix":""},{"dropping-particle":"","family":"Stein216","given":"Murray B","non-dropping-particle":"","parse-names":false,"suffix":""}],"container-title":"Journal of Traumatic Stress","id":"ITEM-1","issue":"3","issued":{"date-parts":[["2003"]]},"page":"257-264","title":"Sensitivity and Specificity of the PTSD Checklist in Detecting PTSD in Female Veterans in Primary Care","type":"article-journal","volume":"16"},"uris":["http://www.mendeley.com/documents/?uuid=493a8be6-23da-32ec-8021-7ccc483ff68b"]}],"mendeley":{"formattedCitation":"(48)","plainTextFormattedCitation":"(48)","previouslyFormattedCitation":"(48)"},"properties":{"noteIndex":0},"schema":"https://github.com/citation-style-language/schema/raw/master/csl-citation.json"}</w:instrText>
      </w:r>
      <w:r w:rsidR="00080684" w:rsidRPr="00842F43">
        <w:rPr>
          <w:rFonts w:ascii="Fira Sans" w:hAnsi="Fira Sans"/>
          <w:sz w:val="20"/>
          <w:szCs w:val="20"/>
        </w:rPr>
        <w:fldChar w:fldCharType="separate"/>
      </w:r>
      <w:r w:rsidR="00080684" w:rsidRPr="00842F43">
        <w:rPr>
          <w:rFonts w:ascii="Fira Sans" w:hAnsi="Fira Sans"/>
          <w:noProof/>
          <w:sz w:val="20"/>
          <w:szCs w:val="20"/>
        </w:rPr>
        <w:t>(48)</w:t>
      </w:r>
      <w:r w:rsidR="00080684" w:rsidRPr="00842F43">
        <w:rPr>
          <w:rFonts w:ascii="Fira Sans" w:hAnsi="Fira Sans"/>
          <w:sz w:val="20"/>
          <w:szCs w:val="20"/>
        </w:rPr>
        <w:fldChar w:fldCharType="end"/>
      </w:r>
      <w:r w:rsidR="00BA4151" w:rsidRPr="00842F43">
        <w:rPr>
          <w:rFonts w:ascii="Fira Sans" w:hAnsi="Fira Sans"/>
          <w:sz w:val="20"/>
          <w:szCs w:val="20"/>
        </w:rPr>
        <w:t xml:space="preserve">, with </w:t>
      </w:r>
      <w:r w:rsidR="00852633" w:rsidRPr="00842F43">
        <w:rPr>
          <w:rFonts w:ascii="Fira Sans" w:hAnsi="Fira Sans"/>
          <w:sz w:val="20"/>
          <w:szCs w:val="20"/>
        </w:rPr>
        <w:t xml:space="preserve">an estimated minimal clinically important difference </w:t>
      </w:r>
      <w:r w:rsidR="00DF1C83" w:rsidRPr="00842F43">
        <w:rPr>
          <w:rFonts w:ascii="Fira Sans" w:hAnsi="Fira Sans"/>
          <w:sz w:val="20"/>
          <w:szCs w:val="20"/>
        </w:rPr>
        <w:t xml:space="preserve">(MCID) </w:t>
      </w:r>
      <w:r w:rsidR="005E29B0" w:rsidRPr="00842F43">
        <w:rPr>
          <w:rFonts w:ascii="Fira Sans" w:hAnsi="Fira Sans"/>
          <w:sz w:val="20"/>
          <w:szCs w:val="20"/>
        </w:rPr>
        <w:t>in the range of 5.7-10.2 (midpoint of 7.9) based upon comparison with clinician assessment.</w:t>
      </w:r>
      <w:r w:rsidR="005E29B0"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{"citationItems":[{"id":"ITEM-1","itemData":{"DOI":"10.1007/s11126-017-9522-y","ISSN":"0033-2720","abstract":"This study sought to determine the minimal clinically important difference (MCID) for two frequently used measures of symptom severity in Post-Traumatic Stress Disorder: the Clinician Administered PTSD Scale (CAPS) and the PTSD Symptom Checklist (PCL). Data from a randomized clinical trial of antipsychotic medication in military-related treatment-resistant PTSD (N= 267) included assessments 4 times over 26 weeks. Methods for estimating the MCID were based on both the anchor-based approach, using the Clinical Global Impressions (CGI) severity and improvement scales, rated by both clinicians and patients; and the distribution-based approach (based on standardized z-scores). Severity and change scores on the CAPS and PCL were converted to z-scores and compared across CGI levels using analysis of variance. The average difference in CAPS z-scores between each of three CGI levels between “moderate” to “severe” and from “no change” to “much improved” was 0.758 for clinician CGI ratings and 0.525 for patient CGI ratings and were similar for the PCL (0.483 and 0.471) with all differences significant at p&amp;lt;.0001). Clinically meaningful CAPS and PCL severity and change z-scores range between 0.5–0.8 standard deviations. The MCID estimates suggested here provide an empirical basis for determining whether statistically significant changes in CAPS and PCL scores are clinically meaningful.","author":[{"dropping-particle":"","family":"Stefanovics","given":"Elina A.","non-dropping-particle":"","parse-names":false,"suffix":""},{"dropping-particle":"","family":"Rosenheck","given":"Robert A.","non-dropping-particle":"","parse-names":false,"suffix":""},{"dropping-particle":"","family":"Jones","given":"Karen M.","non-dropping-particle":"","parse-names":false,"suffix":""},{"dropping-particle":"","family":"Huang","given":"Grant","non-dropping-particle":"","parse-names":false,"suffix":""},{"dropping-particle":"","family":"Krystal","given":"John H.","non-dropping-particle":"","parse-names":false,"suffix":""}],"container-title":"Psychiatric Quarterly","id":"ITEM-1","issue":"1","issued":{"date-parts":[["2018","3","21"]]},"page":"141-155","publisher":"Springer","title":"Minimal Clinically Important Differences (MCID) in Assessing Outcomes of Post-Traumatic Stress Disorder","type":"article-journal","volume":"89"},"uris":["http://www.mendeley.com/documents/?uuid=4df4354e-af5a-363c-a8ad-17e1d0ae73c6"]}],"mendeley":{"formattedCitation":"(49)","plainTextFormattedCitation":"(49)","previouslyFormattedCitation":"(49)"},"properties":{"noteIndex":0},"schema":"https://github.com/citation-style-language/schema/raw/master/csl-citation.json"}</w:instrText>
      </w:r>
      <w:r w:rsidR="005E29B0" w:rsidRPr="00842F43">
        <w:rPr>
          <w:rFonts w:ascii="Fira Sans" w:hAnsi="Fira Sans"/>
          <w:sz w:val="20"/>
          <w:szCs w:val="20"/>
          <w:vertAlign w:val="superscript"/>
        </w:rPr>
        <w:fldChar w:fldCharType="separate"/>
      </w:r>
      <w:r w:rsidR="00080684" w:rsidRPr="00842F43">
        <w:rPr>
          <w:rFonts w:ascii="Fira Sans" w:hAnsi="Fira Sans"/>
          <w:noProof/>
          <w:sz w:val="20"/>
          <w:szCs w:val="20"/>
        </w:rPr>
        <w:t>(49)</w:t>
      </w:r>
      <w:r w:rsidR="005E29B0" w:rsidRPr="00842F43">
        <w:rPr>
          <w:rFonts w:ascii="Fira Sans" w:hAnsi="Fira Sans"/>
          <w:sz w:val="20"/>
          <w:szCs w:val="20"/>
          <w:vertAlign w:val="superscript"/>
        </w:rPr>
        <w:fldChar w:fldCharType="end"/>
      </w:r>
    </w:p>
    <w:p w14:paraId="19EF3C56" w14:textId="3A21704C" w:rsidR="00304995" w:rsidRPr="00842F43" w:rsidRDefault="00304995" w:rsidP="00842F43">
      <w:pPr>
        <w:spacing w:line="360" w:lineRule="auto"/>
        <w:rPr>
          <w:rFonts w:ascii="Fira Sans" w:hAnsi="Fira Sans"/>
          <w:sz w:val="20"/>
          <w:szCs w:val="20"/>
        </w:rPr>
      </w:pPr>
      <w:r w:rsidRPr="00842F43">
        <w:rPr>
          <w:rFonts w:ascii="Fira Sans" w:hAnsi="Fira Sans"/>
          <w:sz w:val="20"/>
          <w:szCs w:val="20"/>
        </w:rPr>
        <w:t>Anxiety and depressive symptoms were measured by the Hospital Anxiety and Depression Scale (HADS)</w:t>
      </w:r>
      <w:r w:rsidR="00BC40CC" w:rsidRPr="00842F43">
        <w:rPr>
          <w:rFonts w:ascii="Fira Sans" w:hAnsi="Fira Sans"/>
          <w:sz w:val="20"/>
          <w:szCs w:val="20"/>
          <w:vertAlign w:val="superscript"/>
        </w:rPr>
        <w:t>(50)</w:t>
      </w:r>
      <w:r w:rsidRPr="00842F43">
        <w:rPr>
          <w:rFonts w:ascii="Fira Sans" w:hAnsi="Fira Sans"/>
          <w:sz w:val="20"/>
          <w:szCs w:val="20"/>
        </w:rPr>
        <w:t>; HADS was the most frequently used assessment tool in a meta-analysis of post-ICU depressive symptoms</w:t>
      </w:r>
      <w:r w:rsidRPr="00842F43">
        <w:rPr>
          <w:rFonts w:ascii="Fira Sans" w:hAnsi="Fira Sans"/>
          <w:sz w:val="20"/>
          <w:szCs w:val="20"/>
        </w:rPr>
        <w:fldChar w:fldCharType="begin" w:fldLock="1"/>
      </w:r>
      <w:r w:rsidR="00F94450" w:rsidRPr="00842F43">
        <w:rPr>
          <w:rFonts w:ascii="Fira Sans" w:hAnsi="Fira Sans"/>
          <w:sz w:val="20"/>
          <w:szCs w:val="20"/>
        </w:rPr>
        <w:instrText>ADDIN CSL_CITATION {"citationItems":[{"id":"ITEM-1","itemData":{"DOI":"10.1097/CCM.0000000000001811","author":[{"dropping-particle":"","family":"Rabiee","given":"A","non-dropping-particle":"","parse-names":false,"suffix":""},{"dropping-particle":"","family":"Nikayin","given":"S","non-dropping-particle":"","parse-names":false,"suffix":""},{"dropping-particle":"","family":"Hashem","given":"M D","non-dropping-particle":"","parse-names":false,"suffix":""}],"container-title":"Crit Care Med","id":"ITEM-1","issued":{"date-parts":[["2016"]]},"title":"Depressive symptoms after critical illness: a systematic review and meta-analysis","type":"article-journal","volume":"44"},"uris":["http://www.mendeley.com/documents/?uuid=71a5b73e-e1b1-49c1-9f31-5de94a409942"]}],"mendeley":{"formattedCitation":"(51)","plainTextFormattedCitation":"(51)","previouslyFormattedCitation":"(51)"},"properties":{"noteIndex":0},"schema":"https://github.com/citation-style-language/schema/raw/master/csl-citation.json"}</w:instrText>
      </w:r>
      <w:r w:rsidRPr="00842F43">
        <w:rPr>
          <w:rFonts w:ascii="Fira Sans" w:hAnsi="Fira Sans"/>
          <w:sz w:val="20"/>
          <w:szCs w:val="20"/>
        </w:rPr>
        <w:fldChar w:fldCharType="separate"/>
      </w:r>
      <w:r w:rsidR="00080684" w:rsidRPr="00842F43">
        <w:rPr>
          <w:rFonts w:ascii="Fira Sans" w:hAnsi="Fira Sans"/>
          <w:noProof/>
          <w:sz w:val="20"/>
          <w:szCs w:val="20"/>
        </w:rPr>
        <w:t>(51)</w:t>
      </w:r>
      <w:r w:rsidRPr="00842F43">
        <w:rPr>
          <w:rFonts w:ascii="Fira Sans" w:hAnsi="Fira Sans"/>
          <w:sz w:val="20"/>
          <w:szCs w:val="20"/>
        </w:rPr>
        <w:fldChar w:fldCharType="end"/>
      </w:r>
      <w:r w:rsidRPr="00842F43">
        <w:rPr>
          <w:rFonts w:ascii="Fira Sans" w:hAnsi="Fira Sans"/>
          <w:noProof/>
          <w:sz w:val="20"/>
          <w:szCs w:val="20"/>
        </w:rPr>
        <w:t xml:space="preserve"> and was used in the UK’s largest study of post-ICU mental health.</w:t>
      </w:r>
      <w:r w:rsidRPr="00842F43">
        <w:rPr>
          <w:rFonts w:ascii="Fira Sans" w:hAnsi="Fira Sans"/>
          <w:noProof/>
          <w:sz w:val="20"/>
          <w:szCs w:val="20"/>
          <w:vertAlign w:val="superscript"/>
        </w:rPr>
        <w:fldChar w:fldCharType="begin" w:fldLock="1"/>
      </w:r>
      <w:r w:rsidRPr="00842F43">
        <w:rPr>
          <w:rFonts w:ascii="Fira Sans" w:hAnsi="Fira Sans"/>
          <w:noProof/>
          <w:sz w:val="20"/>
          <w:szCs w:val="20"/>
          <w:vertAlign w:val="superscript"/>
        </w:rPr>
        <w:instrText>ADDIN CSL_CITATION {"citationItems":[{"id":"ITEM-1","itemData":{"DOI":"10.1186/s13054-018-2223-6","abstract":"Background: Survivors of intensive care are known to be at increased risk of developing longer-term psychopathology issues. We present a large UK multicentre study assessing the anxiety, depression and post-traumatic stress disorder (PTSD) caseness in the first year following discharge from an intensive care unit (ICU). Methods: Design: prospective multicentre follow-up study of survivors of ICU in the UK. Setting: patients from 26 ICUs in the UK. Inclusion criteria: patients who had received at least 24 h of level 3 ICU care and were 16 years of age or older. Interventions: postal follow up: Hospital Anxiety and Depression Score (HADS) and the Post-Traumatic Stress Disorder (PTSD) Check List-Civilian (PCL-C) at 3 and 12 months following discharge from ICU. Main outcome measure: caseness of anxiety, depression and PTSD, 2-year survival.","author":[{"dropping-particle":"","family":"Hatch","given":"Robert","non-dropping-particle":"","parse-names":false,"suffix":""},{"dropping-particle":"","family":"Young","given":"Duncan","non-dropping-particle":"","parse-names":false,"suffix":""},{"dropping-particle":"","family":"Barber","given":"Vicki","non-dropping-particle":"","parse-names":false,"suffix":""},{"dropping-particle":"","family":"Griffiths","given":"John","non-dropping-particle":"","parse-names":false,"suffix":""},{"dropping-particle":"","family":"Harrison","given":"David A","non-dropping-particle":"","parse-names":false,"suffix":""},{"dropping-particle":"","family":"Watkinson","given":"Peter","non-dropping-particle":"","parse-names":false,"suffix":""}],"id":"ITEM-1","issued":{"date-parts":[["0"]]},"title":"Anxiety, Depression and Post Traumatic Stress Disorder after critical illness: a UK-wide prospective cohort study","type":"article-journal"},"uris":["http://www.mendeley.com/documents/?uuid=30472d1b-c2bf-3e08-b700-5454fcb51968"]}],"mendeley":{"formattedCitation":"(6)","plainTextFormattedCitation":"(6)","previouslyFormattedCitation":"(6)"},"properties":{"noteIndex":0},"schema":"https://github.com/citation-style-language/schema/raw/master/csl-citation.json"}</w:instrText>
      </w:r>
      <w:r w:rsidRPr="00842F43">
        <w:rPr>
          <w:rFonts w:ascii="Fira Sans" w:hAnsi="Fira Sans"/>
          <w:noProof/>
          <w:sz w:val="20"/>
          <w:szCs w:val="20"/>
          <w:vertAlign w:val="superscript"/>
        </w:rPr>
        <w:fldChar w:fldCharType="separate"/>
      </w:r>
      <w:r w:rsidRPr="00842F43">
        <w:rPr>
          <w:rFonts w:ascii="Fira Sans" w:hAnsi="Fira Sans"/>
          <w:noProof/>
          <w:sz w:val="20"/>
          <w:szCs w:val="20"/>
          <w:vertAlign w:val="superscript"/>
        </w:rPr>
        <w:t>(6)</w:t>
      </w:r>
      <w:r w:rsidRPr="00842F43">
        <w:rPr>
          <w:rFonts w:ascii="Fira Sans" w:hAnsi="Fira Sans"/>
          <w:noProof/>
          <w:sz w:val="20"/>
          <w:szCs w:val="20"/>
          <w:vertAlign w:val="superscript"/>
        </w:rPr>
        <w:fldChar w:fldCharType="end"/>
      </w:r>
      <w:r w:rsidRPr="00842F43">
        <w:rPr>
          <w:rFonts w:ascii="Fira Sans" w:hAnsi="Fira Sans"/>
          <w:sz w:val="20"/>
          <w:szCs w:val="20"/>
        </w:rPr>
        <w:t xml:space="preserve"> Scores can be reported separately for anxiety and depression sub-scales, with ≥8</w:t>
      </w:r>
      <w:r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{"citationItems":[{"id":"ITEM-1","itemData":{"DOI":"10.1016/S0022-3999(01)00296-3","author":[{"dropping-particle":"","family":"Bjelland","given":"I","non-dropping-particle":"","parse-names":false,"suffix":""},{"dropping-particle":"","family":"Dahl","given":"A A","non-dropping-particle":"","parse-names":false,"suffix":""},{"dropping-particle":"","family":"Haug","given":"T T","non-dropping-particle":"","parse-names":false,"suffix":""},{"dropping-particle":"","family":"Neckelmann","given":"D","non-dropping-particle":"","parse-names":false,"suffix":""}],"container-title":"J Psychosom Res","id":"ITEM-1","issued":{"date-parts":[["2002"]]},"title":"The validity of the Hospital Anxiety and Depression Scale. An updated literature review","type":"article-journal","volume":"52"},"uris":["http://www.mendeley.com/documents/?uuid=989de0b5-2605-4c27-8b03-087cad7d3ac1"]}],"mendeley":{"formattedCitation":"(52)","plainTextFormattedCitation":"(52)","previouslyFormattedCitation":"(52)"},"properties":{"noteIndex":0},"schema":"https://github.com/citation-style-language/schema/raw/master/csl-citation.json"}</w:instrText>
      </w:r>
      <w:r w:rsidRPr="00842F43">
        <w:rPr>
          <w:rFonts w:ascii="Fira Sans" w:hAnsi="Fira Sans"/>
          <w:sz w:val="20"/>
          <w:szCs w:val="20"/>
          <w:vertAlign w:val="superscript"/>
        </w:rPr>
        <w:fldChar w:fldCharType="separate"/>
      </w:r>
      <w:r w:rsidR="00080684" w:rsidRPr="00842F43">
        <w:rPr>
          <w:rFonts w:ascii="Fira Sans" w:hAnsi="Fira Sans"/>
          <w:noProof/>
          <w:sz w:val="20"/>
          <w:szCs w:val="20"/>
        </w:rPr>
        <w:t>(52)</w:t>
      </w:r>
      <w:r w:rsidRPr="00842F43">
        <w:rPr>
          <w:rFonts w:ascii="Fira Sans" w:hAnsi="Fira Sans"/>
          <w:sz w:val="20"/>
          <w:szCs w:val="20"/>
          <w:vertAlign w:val="superscript"/>
        </w:rPr>
        <w:fldChar w:fldCharType="end"/>
      </w:r>
      <w:r w:rsidRPr="00842F43">
        <w:rPr>
          <w:rFonts w:ascii="Fira Sans" w:hAnsi="Fira Sans"/>
          <w:sz w:val="20"/>
          <w:szCs w:val="20"/>
          <w:vertAlign w:val="superscript"/>
        </w:rPr>
        <w:t xml:space="preserve"> </w:t>
      </w:r>
      <w:r w:rsidRPr="00842F43">
        <w:rPr>
          <w:rFonts w:ascii="Fira Sans" w:hAnsi="Fira Sans"/>
          <w:sz w:val="20"/>
          <w:szCs w:val="20"/>
        </w:rPr>
        <w:t>defining caseness for each. HADS MCID, for both subscales, is estimated between 1.7</w:t>
      </w:r>
      <w:r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{"citationItems":[{"id":"ITEM-1","itemData":{"DOI":"10.1097/HCR.0000000000000379","ISSN":"1932-751X","PMID":"30489438","abstract":"PURPOSE The Hospital Anxiety and Depression Scale (HADS) is frequently used by clinicians to assess anxiety and depression in patients with cardiovascular disease; yet, its minimal clinically important difference (MCID) has not been established. The purpose of this study was to establish an MCID for the HADS in patients with cardiovascular disease. METHODS A sample of 591 patients (74% male; ethnicity = 89% white; mean ± standard deviation [SD]: age = 63 ± 10 yr; and body mass index = 29.1 ± 5.6 kg/m) with cardiovascular disease enrolled in a 3-mo cardiac rehabilitation program were included in this study. The MCID for the HADS was estimated using distribution-based methods (ie, standard deviation, effect size, standard error of measurement, and minimal detectable change), anchor-based methods (ie, health transition question, correlation and linear regression, and receiver operating characteristic curve), and Delphi methodology (ie, clinical consensus). RESULTS A total of 18 MCID values were calculated ranging from 0.81 to 5.21 (Anxiety subscale) and 0.5 to 5.57 (Depression subscale). The final MCID for the HADS, triangulated from the distribution-based, anchor-based, and Delphi-based findings, was 1.7 points. CONCLUSIONS Our work provides the first estimates of an MCID by triangulating multiple methodologies for the HADS in patients with cardiovascular disease. This MCID may serve as an indicator of treatment success for clinicians and researchers and guide future interventions to improve the mental health of patients with cardiovascular disease.","author":[{"dropping-particle":"","family":"Lemay","given":"Kyle R","non-dropping-particle":"","parse-names":false,"suffix":""},{"dropping-particle":"","family":"Tulloch","given":"Heather E","non-dropping-particle":"","parse-names":false,"suffix":""},{"dropping-particle":"","family":"Pipe","given":"Andrew L","non-dropping-particle":"","parse-names":false,"suffix":""},{"dropping-particle":"","family":"Reed","given":"Jennifer L","non-dropping-particle":"","parse-names":false,"suffix":""}],"container-title":"Journal of cardiopulmonary rehabilitation and prevention","id":"ITEM-1","issue":"6","issued":{"date-parts":[["2019"]]},"page":"E6-E11","publisher":"J Cardiopulm Rehabil Prev","title":"Establishing the Minimal Clinically Important Difference for the Hospital Anxiety and Depression Scale in Patients With Cardiovascular Disease.","type":"article-journal","volume":"39"},"uris":["http://www.mendeley.com/documents/?uuid=65d17b38-ca69-3648-824f-c2f599662ec5"]}],"mendeley":{"formattedCitation":"(53)","plainTextFormattedCitation":"(53)","previouslyFormattedCitation":"(53)"},"properties":{"noteIndex":0},"schema":"https://github.com/citation-style-language/schema/raw/master/csl-citation.json"}</w:instrText>
      </w:r>
      <w:r w:rsidRPr="00842F43">
        <w:rPr>
          <w:rFonts w:ascii="Fira Sans" w:hAnsi="Fira Sans"/>
          <w:sz w:val="20"/>
          <w:szCs w:val="20"/>
          <w:vertAlign w:val="superscript"/>
        </w:rPr>
        <w:fldChar w:fldCharType="separate"/>
      </w:r>
      <w:r w:rsidR="00080684" w:rsidRPr="00842F43">
        <w:rPr>
          <w:rFonts w:ascii="Fira Sans" w:hAnsi="Fira Sans"/>
          <w:noProof/>
          <w:sz w:val="20"/>
          <w:szCs w:val="20"/>
        </w:rPr>
        <w:t>(53)</w:t>
      </w:r>
      <w:r w:rsidRPr="00842F43">
        <w:rPr>
          <w:rFonts w:ascii="Fira Sans" w:hAnsi="Fira Sans"/>
          <w:sz w:val="20"/>
          <w:szCs w:val="20"/>
          <w:vertAlign w:val="superscript"/>
        </w:rPr>
        <w:fldChar w:fldCharType="end"/>
      </w:r>
      <w:r w:rsidRPr="00842F43">
        <w:rPr>
          <w:rFonts w:ascii="Fira Sans" w:hAnsi="Fira Sans"/>
          <w:sz w:val="20"/>
          <w:szCs w:val="20"/>
        </w:rPr>
        <w:t xml:space="preserve"> and 2</w:t>
      </w:r>
      <w:r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{"citationItems":[{"id":"ITEM-1","itemData":{"DOI":"10.1183/13993003.congress-2019.PA3407","ISSN":"0903-1936","abstract":"Background: The HADS is a brief questionnaire, comprising two subscales (anxiety: HADS-A and depression: HADS-D) that is widely used to measure the effects of PR on mood disorder. However, limited data exist in bronchiectasis. We aimed to: 1) assess the responsiveness of HADS to PR in patients with bronchiectasis and symptoms of anxiety and/or depression (HADS-A or HADS-D≥8); and 2) provide MCID estimates for the HADS subscales.\n\nMethod: HADS, Medical Research Council (MRC) Dyspnoea scale, Chronic Respiratory Questionnaire (CRQ) and Incremental Shuttle Walk (ISW) were measured before and after an 8-week PR programme. Anchor-and distribution-based methods were used to estimate the MCID of HADS-A and HADS-D.\n\nResults: The response to PR is described in Table [1][1] with HADS-A and HADS-D showing effect sizes of 0.40 and 0.32 respectively. Using 11 and 17 different estimates for HADS-A and HADS-D respectively, the MCID for both subscales was -2.\n\nConclusion: The HADS is responsive to PR in bronchiectasis patients with symptoms of mood disorder, with an MCID of -2 for each subscale.\n\nView this table:\n\nTable 1. \n\n\n\nFootnotes \n\nCite this article as: European Respiratory Journal 2019; 54: Suppl. 63, PA3407.\n\nThis is an ERS International Congress abstract. No full-text version is available. Further material to accompany this abstract may be available at [www.ers-education.org][2] (ERS member access only).\n\n [1]: #T1\n [2]: http://www.ers-education.org","author":[{"dropping-particle":"","family":"Wynne","given":"Stephanie","non-dropping-particle":"","parse-names":false,"suffix":""},{"dropping-particle":"","family":"Patel","given":"Suhani","non-dropping-particle":"","parse-names":false,"suffix":""},{"dropping-particle":"","family":"Barker","given":"Ruth E.","non-dropping-particle":"","parse-names":false,"suffix":""},{"dropping-particle":"","family":"Jones","given":"Sarah E.","non-dropping-particle":"","parse-names":false,"suffix":""},{"dropping-particle":"","family":"Walsh","given":"Jessica A.","non-dropping-particle":"","parse-names":false,"suffix":""},{"dropping-particle":"","family":"Kon","given":"Samantha Sc.","non-dropping-particle":"","parse-names":false,"suffix":""},{"dropping-particle":"","family":"Cairn","given":"Julius","non-dropping-particle":"","parse-names":false,"suffix":""},{"dropping-particle":"","family":"Loebinger","given":"Michael R.","non-dropping-particle":"","parse-names":false,"suffix":""},{"dropping-particle":"","family":"Wilson","given":"Robert","non-dropping-particle":"","parse-names":false,"suffix":""},{"dropping-particle":"","family":"Man","given":"William Dc.","non-dropping-particle":"","parse-names":false,"suffix":""},{"dropping-particle":"","family":"Nolan","given":"Claire M.","non-dropping-particle":"","parse-names":false,"suffix":""}],"container-title":"Rehabilitation and chronic care","id":"ITEM-1","issue":"suppl 63","issued":{"date-parts":[["2019","9","28"]]},"page":"PA3407","publisher":"European Respiratory Society","title":"The Hospital Anxiety and Depression Scale (HADS) in Bronchiectasis: Response to pulmonary rehabilitation (PR) and Minimum Clinically Important Difference (MCID)","type":"paper-conference","volume":"54"},"uris":["http://www.mendeley.com/documents/?uuid=40030209-9b27-37f2-bc59-0c2a7a39beec"]}],"mendeley":{"formattedCitation":"(54)","plainTextFormattedCitation":"(54)","previouslyFormattedCitation":"(54)"},"properties":{"noteIndex":0},"schema":"https://github.com/citation-style-language/schema/raw/master/csl-citation.json"}</w:instrText>
      </w:r>
      <w:r w:rsidRPr="00842F43">
        <w:rPr>
          <w:rFonts w:ascii="Fira Sans" w:hAnsi="Fira Sans"/>
          <w:sz w:val="20"/>
          <w:szCs w:val="20"/>
          <w:vertAlign w:val="superscript"/>
        </w:rPr>
        <w:fldChar w:fldCharType="separate"/>
      </w:r>
      <w:r w:rsidR="00080684" w:rsidRPr="00842F43">
        <w:rPr>
          <w:rFonts w:ascii="Fira Sans" w:hAnsi="Fira Sans"/>
          <w:noProof/>
          <w:sz w:val="20"/>
          <w:szCs w:val="20"/>
        </w:rPr>
        <w:t>(54)</w:t>
      </w:r>
      <w:r w:rsidRPr="00842F43">
        <w:rPr>
          <w:rFonts w:ascii="Fira Sans" w:hAnsi="Fira Sans"/>
          <w:sz w:val="20"/>
          <w:szCs w:val="20"/>
          <w:vertAlign w:val="superscript"/>
        </w:rPr>
        <w:fldChar w:fldCharType="end"/>
      </w:r>
      <w:r w:rsidRPr="00842F43">
        <w:rPr>
          <w:rFonts w:ascii="Fira Sans" w:hAnsi="Fira Sans"/>
          <w:sz w:val="20"/>
          <w:szCs w:val="20"/>
        </w:rPr>
        <w:t xml:space="preserve"> points. </w:t>
      </w:r>
    </w:p>
    <w:p w14:paraId="6704D88B" w14:textId="1D12EC9D" w:rsidR="00B3172A" w:rsidRPr="00842F43" w:rsidRDefault="007A515C" w:rsidP="00842F43">
      <w:pPr>
        <w:spacing w:line="360" w:lineRule="auto"/>
        <w:rPr>
          <w:rFonts w:ascii="Fira Sans" w:hAnsi="Fira Sans"/>
          <w:sz w:val="20"/>
          <w:szCs w:val="20"/>
        </w:rPr>
      </w:pPr>
      <w:r w:rsidRPr="00842F43">
        <w:rPr>
          <w:rFonts w:ascii="Fira Sans" w:hAnsi="Fira Sans"/>
          <w:sz w:val="20"/>
          <w:szCs w:val="20"/>
        </w:rPr>
        <w:t>PTSD is associated with a range of sequelae, which will be of interest in the main trial</w:t>
      </w:r>
      <w:r w:rsidR="00304995" w:rsidRPr="00842F43">
        <w:rPr>
          <w:rFonts w:ascii="Fira Sans" w:hAnsi="Fira Sans"/>
          <w:sz w:val="20"/>
          <w:szCs w:val="20"/>
        </w:rPr>
        <w:t xml:space="preserve"> and future research workstreams</w:t>
      </w:r>
      <w:r w:rsidRPr="00842F43">
        <w:rPr>
          <w:rFonts w:ascii="Fira Sans" w:hAnsi="Fira Sans"/>
          <w:sz w:val="20"/>
          <w:szCs w:val="20"/>
        </w:rPr>
        <w:t xml:space="preserve">. </w:t>
      </w:r>
      <w:r w:rsidR="00D4062D" w:rsidRPr="00842F43">
        <w:rPr>
          <w:rFonts w:ascii="Fira Sans" w:hAnsi="Fira Sans"/>
          <w:sz w:val="20"/>
          <w:szCs w:val="20"/>
        </w:rPr>
        <w:t>The following exploratory outcomes were measured</w:t>
      </w:r>
      <w:r w:rsidR="00304995" w:rsidRPr="00842F43">
        <w:rPr>
          <w:rFonts w:ascii="Fira Sans" w:hAnsi="Fira Sans"/>
          <w:sz w:val="20"/>
          <w:szCs w:val="20"/>
        </w:rPr>
        <w:t xml:space="preserve"> </w:t>
      </w:r>
      <w:r w:rsidRPr="00842F43">
        <w:rPr>
          <w:rFonts w:ascii="Fira Sans" w:hAnsi="Fira Sans"/>
          <w:sz w:val="20"/>
          <w:szCs w:val="20"/>
        </w:rPr>
        <w:t xml:space="preserve">in order to explore </w:t>
      </w:r>
      <w:r w:rsidR="00FF446F" w:rsidRPr="00842F43">
        <w:rPr>
          <w:rFonts w:ascii="Fira Sans" w:hAnsi="Fira Sans"/>
          <w:sz w:val="20"/>
          <w:szCs w:val="20"/>
        </w:rPr>
        <w:t>uncertainty around follow-up rates, questionnaire</w:t>
      </w:r>
      <w:r w:rsidRPr="00842F43">
        <w:rPr>
          <w:rFonts w:ascii="Fira Sans" w:hAnsi="Fira Sans"/>
          <w:sz w:val="20"/>
          <w:szCs w:val="20"/>
        </w:rPr>
        <w:t xml:space="preserve"> </w:t>
      </w:r>
      <w:r w:rsidR="00FF446F" w:rsidRPr="00842F43">
        <w:rPr>
          <w:rFonts w:ascii="Fira Sans" w:hAnsi="Fira Sans"/>
          <w:sz w:val="20"/>
          <w:szCs w:val="20"/>
        </w:rPr>
        <w:t xml:space="preserve">response rate and time needed to clean and analyse the data; </w:t>
      </w:r>
      <w:r w:rsidR="00F84539" w:rsidRPr="00842F43">
        <w:rPr>
          <w:rFonts w:ascii="Fira Sans" w:hAnsi="Fira Sans"/>
          <w:sz w:val="20"/>
          <w:szCs w:val="20"/>
        </w:rPr>
        <w:t xml:space="preserve"> </w:t>
      </w:r>
      <w:r w:rsidR="009A5E6D" w:rsidRPr="00842F43">
        <w:rPr>
          <w:rFonts w:ascii="Fira Sans" w:hAnsi="Fira Sans"/>
          <w:sz w:val="20"/>
          <w:szCs w:val="20"/>
        </w:rPr>
        <w:t xml:space="preserve">Quality of life was measured using </w:t>
      </w:r>
      <w:r w:rsidR="007C3845" w:rsidRPr="00842F43">
        <w:rPr>
          <w:rFonts w:ascii="Fira Sans" w:hAnsi="Fira Sans"/>
          <w:sz w:val="20"/>
          <w:szCs w:val="20"/>
        </w:rPr>
        <w:t>EuroQol Five Dimension-Five level scale (EQ-5D-5L)</w:t>
      </w:r>
      <w:r w:rsidR="00780026" w:rsidRPr="00842F43">
        <w:rPr>
          <w:rFonts w:ascii="Fira Sans" w:hAnsi="Fira Sans"/>
          <w:sz w:val="20"/>
          <w:szCs w:val="20"/>
          <w:vertAlign w:val="superscript"/>
        </w:rPr>
        <w:fldChar w:fldCharType="begin" w:fldLock="1"/>
      </w:r>
      <w:r w:rsidR="00A06A6E" w:rsidRPr="00842F43">
        <w:rPr>
          <w:rFonts w:ascii="Fira Sans" w:hAnsi="Fira Sans"/>
          <w:sz w:val="20"/>
          <w:szCs w:val="20"/>
          <w:vertAlign w:val="superscript"/>
        </w:rPr>
        <w:instrText>ADDIN CSL_CITATION {"citationItems":[{"id":"ITEM-1","itemData":{"DOI":"10.1007/s11136-011-9903-x","abstract":"Purpose This article introduces the new 5-level EQ-5D (EQ-5D-5L) health status measure. Methods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 Results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 Discomfort and Anxiety/Depression dimensions. Hypothetical health states were well understood though participants stressed the need for the internal coherence of health states. Conclusions A 5-level version of the EQ-5D has been developed by the EuroQol Group. Further testing is required to determine whether the new version improves sensitivity and reduces ceiling effects. Keywords Health-related quality of life Á EQ-5D Á Development Á 5 level EQ-5D TM is a trade mark of the EuroQol Group. All EQ-5D products are distributed exclusively from the EuroQol Executive Office (userinformationservice@euroqol.org). M. Herdman (&amp;) Insight Consulting and Research, Cami Ral 266 28 7 a ,","author":[{"dropping-particle":"","family":"Herdman","given":"M","non-dropping-particle":"","parse-names":false,"suffix":""},{"dropping-particle":"","family":"Gudex","given":"• C","non-dropping-particle":"","parse-names":false,"suffix":""},{"dropping-particle":"","family":"Lloyd","given":"• A","non-dropping-particle":"","parse-names":false,"suffix":""},{"dropping-particle":"","family":"Janssen","given":"M F","non-dropping-particle":"","parse-names":false,"suffix":""},{"dropping-particle":"","family":"Kind","given":"• P","non-dropping-particle":"","parse-names":false,"suffix":""},{"dropping-particle":"","family":"Parkin","given":"• D","non-dropping-particle":"","parse-names":false,"suffix":""},{"dropping-particle":"","family":"Bonsel","given":"• G","non-dropping-particle":"","parse-names":false,"suffix":""},{"dropping-particle":"","family":"Badia","given":"• X","non-dropping-particle":"","parse-names":false,"suffix":""},{"dropping-particle":"","family":"Lloyd","given":"A","non-dropping-particle":"","parse-names":false,"suffix":""},{"dropping-particle":"","family":"Kind","given":"P","non-dropping-particle":"","parse-names":false,"suffix":""},{"dropping-particle":"","family":"Parkin","given":"D","non-dropping-particle":"","parse-names":false,"suffix":""},{"dropping-particle":"","family":"Badia","given":"X","non-dropping-particle":"","parse-names":false,"suffix":""}],"id":"ITEM-1","issued":{"date-parts":[["0"]]},"title":"Development and preliminary testing of the new five-level version of EQ-5D (EQ-5D-5L)","type":"article-journal"},"uris":["http://www.mendeley.com/documents/?uuid=2f3b53d3-2ad8-34c8-8eb0-41cdfc4b2ca9"]}],"mendeley":{"formattedCitation":"(55)","manualFormatting":"(55)","plainTextFormattedCitation":"(55)","previouslyFormattedCitation":"(55)"},"properties":{"noteIndex":0},"schema":"https://github.com/citation-style-language/schema/raw/master/csl-citation.json"}</w:instrText>
      </w:r>
      <w:r w:rsidR="00780026" w:rsidRPr="00842F43">
        <w:rPr>
          <w:rFonts w:ascii="Fira Sans" w:hAnsi="Fira Sans"/>
          <w:sz w:val="20"/>
          <w:szCs w:val="20"/>
          <w:vertAlign w:val="superscript"/>
        </w:rPr>
        <w:fldChar w:fldCharType="separate"/>
      </w:r>
      <w:r w:rsidR="00FC7B65" w:rsidRPr="00842F43">
        <w:rPr>
          <w:rFonts w:ascii="Fira Sans" w:hAnsi="Fira Sans"/>
          <w:noProof/>
          <w:sz w:val="20"/>
          <w:szCs w:val="20"/>
          <w:vertAlign w:val="superscript"/>
        </w:rPr>
        <w:t>(</w:t>
      </w:r>
      <w:r w:rsidR="00A06A6E" w:rsidRPr="00842F43">
        <w:rPr>
          <w:rFonts w:ascii="Fira Sans" w:hAnsi="Fira Sans"/>
          <w:noProof/>
          <w:sz w:val="20"/>
          <w:szCs w:val="20"/>
          <w:vertAlign w:val="superscript"/>
        </w:rPr>
        <w:t>55</w:t>
      </w:r>
      <w:r w:rsidR="00FC7B65" w:rsidRPr="00842F43">
        <w:rPr>
          <w:rFonts w:ascii="Fira Sans" w:hAnsi="Fira Sans"/>
          <w:noProof/>
          <w:sz w:val="20"/>
          <w:szCs w:val="20"/>
          <w:vertAlign w:val="superscript"/>
        </w:rPr>
        <w:t>)</w:t>
      </w:r>
      <w:r w:rsidR="00780026" w:rsidRPr="00842F43">
        <w:rPr>
          <w:rFonts w:ascii="Fira Sans" w:hAnsi="Fira Sans"/>
          <w:sz w:val="20"/>
          <w:szCs w:val="20"/>
          <w:vertAlign w:val="superscript"/>
        </w:rPr>
        <w:fldChar w:fldCharType="end"/>
      </w:r>
      <w:r w:rsidR="00E517EE" w:rsidRPr="00842F43">
        <w:rPr>
          <w:rFonts w:ascii="Fira Sans" w:hAnsi="Fira Sans"/>
          <w:sz w:val="20"/>
          <w:szCs w:val="20"/>
        </w:rPr>
        <w:t>;</w:t>
      </w:r>
      <w:r w:rsidR="007C3845" w:rsidRPr="00842F43">
        <w:rPr>
          <w:rFonts w:ascii="Fira Sans" w:hAnsi="Fira Sans"/>
          <w:sz w:val="20"/>
          <w:szCs w:val="20"/>
        </w:rPr>
        <w:t xml:space="preserve"> </w:t>
      </w:r>
      <w:r w:rsidR="00D4062D" w:rsidRPr="00842F43">
        <w:rPr>
          <w:rFonts w:ascii="Fira Sans" w:hAnsi="Fira Sans"/>
          <w:sz w:val="20"/>
          <w:szCs w:val="20"/>
        </w:rPr>
        <w:t>We used the Brief Resilience Scale (BRS)</w:t>
      </w:r>
      <w:r w:rsidR="00D4062D"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{"citationItems":[{"id":"ITEM-1","itemData":{"DOI":"10.1080/10705500802222972","ISSN":"1070-5503","abstract":"Background: While resilience has been defined as resistance to illness, adaptation, and thriving, the ability to bounce back or recover from stress is closest to its original meaning. Previous resilience measures assess resources that may promote resilience rather than recovery, resistance, adaptation, or thriving. Purpose: To test a new brief resilience scale. Method: The brief resilience scale (BRS) was created to assess the ability to bounce back or recover from stress. Its psychometric characteristics were examined in four samples, including two student samples and samples with cardiac and chronic pain patients. Results: The BRS was reliable and measured as a unitary construct. It was predictably related to personal characteristics, social relations, coping, and health in all samples. It was negatively related to anxiety, depression, negative affect, and physical symptoms when other resilience measures and optimism, social support, and Type D personality (high negative affect and high social inhibition) were controlled. There were large differences in BRS scores between cardiac patients with and without Type D and women with and without fibromyalgia. Conclusion: The BRS is a reliable means of assessing resilience as the ability to bounce back or recover from stress and may provide unique and important information about people coping with health-related stressors.","author":[{"dropping-particle":"","family":"Smith","given":"Bruce W.","non-dropping-particle":"","parse-names":false,"suffix":""},{"dropping-particle":"","family":"Dalen","given":"Jeanne","non-dropping-particle":"","parse-names":false,"suffix":""},{"dropping-particle":"","family":"Wiggins","given":"Kathryn","non-dropping-particle":"","parse-names":false,"suffix":""},{"dropping-particle":"","family":"Tooley","given":"Erin","non-dropping-particle":"","parse-names":false,"suffix":""},{"dropping-particle":"","family":"Christopher","given":"Paulette","non-dropping-particle":"","parse-names":false,"suffix":""},{"dropping-particle":"","family":"Bernard","given":"Jennifer","non-dropping-particle":"","parse-names":false,"suffix":""}],"container-title":"International Journal of Behavioral Medicine","id":"ITEM-1","issue":"3","issued":{"date-parts":[["2008","9"]]},"page":"194-200","publisher":"Springer","title":"The brief resilience scale: Assessing the ability to bounce back","type":"article-journal","volume":"15"},"uris":["http://www.mendeley.com/documents/?uuid=a6dd1ddf-b4fa-3065-944d-d2169c7d3fe3"]}],"mendeley":{"formattedCitation":"(56)","plainTextFormattedCitation":"(56)","previouslyFormattedCitation":"(56)"},"properties":{"noteIndex":0},"schema":"https://github.com/citation-style-language/schema/raw/master/csl-citation.json"}</w:instrText>
      </w:r>
      <w:r w:rsidR="00D4062D" w:rsidRPr="00842F43">
        <w:rPr>
          <w:rFonts w:ascii="Fira Sans" w:hAnsi="Fira Sans"/>
          <w:sz w:val="20"/>
          <w:szCs w:val="20"/>
          <w:vertAlign w:val="superscript"/>
        </w:rPr>
        <w:fldChar w:fldCharType="separate"/>
      </w:r>
      <w:r w:rsidR="00080684" w:rsidRPr="00842F43">
        <w:rPr>
          <w:rFonts w:ascii="Fira Sans" w:hAnsi="Fira Sans"/>
          <w:noProof/>
          <w:sz w:val="20"/>
          <w:szCs w:val="20"/>
        </w:rPr>
        <w:t>(56)</w:t>
      </w:r>
      <w:r w:rsidR="00D4062D" w:rsidRPr="00842F43">
        <w:rPr>
          <w:rFonts w:ascii="Fira Sans" w:hAnsi="Fira Sans"/>
          <w:sz w:val="20"/>
          <w:szCs w:val="20"/>
          <w:vertAlign w:val="superscript"/>
        </w:rPr>
        <w:fldChar w:fldCharType="end"/>
      </w:r>
      <w:r w:rsidR="00D4062D" w:rsidRPr="00842F43">
        <w:rPr>
          <w:rFonts w:ascii="Fira Sans" w:hAnsi="Fira Sans"/>
          <w:sz w:val="20"/>
          <w:szCs w:val="20"/>
        </w:rPr>
        <w:t xml:space="preserve"> to assess resilience. </w:t>
      </w:r>
      <w:r w:rsidR="00304995" w:rsidRPr="00842F43">
        <w:rPr>
          <w:rFonts w:ascii="Fira Sans" w:hAnsi="Fira Sans"/>
          <w:sz w:val="20"/>
          <w:szCs w:val="20"/>
        </w:rPr>
        <w:t xml:space="preserve">Emerging research is exploring whether bolstering </w:t>
      </w:r>
      <w:r w:rsidR="00E517EE" w:rsidRPr="00842F43">
        <w:rPr>
          <w:rFonts w:ascii="Fira Sans" w:hAnsi="Fira Sans"/>
          <w:sz w:val="20"/>
          <w:szCs w:val="20"/>
        </w:rPr>
        <w:t>resilience</w:t>
      </w:r>
      <w:r w:rsidR="00304995" w:rsidRPr="00842F43">
        <w:rPr>
          <w:rFonts w:ascii="Fira Sans" w:hAnsi="Fira Sans"/>
          <w:sz w:val="20"/>
          <w:szCs w:val="20"/>
        </w:rPr>
        <w:t xml:space="preserve">, may offer innovative techniques in ameliorating </w:t>
      </w:r>
      <w:r w:rsidR="00720B21" w:rsidRPr="00842F43">
        <w:rPr>
          <w:rFonts w:ascii="Fira Sans" w:hAnsi="Fira Sans"/>
          <w:sz w:val="20"/>
          <w:szCs w:val="20"/>
        </w:rPr>
        <w:t>PTSD symptoms</w:t>
      </w:r>
      <w:r w:rsidR="00720B21"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{"citationItems":[{"id":"ITEM-1","itemData":{"DOI":"10.1016/J.EXPNEUROL.2016.07.002","ISSN":"0014-4886","abstract":"All individuals experience stressful life events, and up to 84% of the general population will experience at least one potentially traumatic event. In some cases, acute or chronic stressors lead to the development of posttraumatic stress disorder (PTSD) or other psychopathology; however, the majority of people are resilient to such effects. Resilience is the ability to adapt successfully in the face of stress and adversity. A wealth of research has begun to identify the genetic, epigenetic, neural, and environmental underpinnings of resilience, and has indicated that resilience is mediated by adaptive changes encompassing several environmental factors, neural circuits, numerous neurotransmitters, and molecular pathways. The first part of this review focuses on recent findings regarding the genetic, epigenetic, developmental, psychosocial, and neurochemical factors as well as neural circuits and molecular pathways that underlie the development of resilience. Emerging and exciting areas of research and novel methodological approaches, including genome-wide gene expression studies, immune, endocannabinoid, oxytocin, and glutamatergic systems, are explored to help delineate innovative mechanisms that may contribute to resilience. The second part reviews several interventions and preventative approaches designed to enhance resilience in both developmental and adult populations. Specifically, the review will delineate approaches aimed to bolster resilience in individuals with PTSD. Furthermore, we discuss novel pharmacologic approaches, including the N-methyl-d-aspartate (NMDA) receptor ketamine and neuropeptide Y (NPY), as exciting new prospects for not only the treatment of PTSD but as new targets to enhance resilience. Our growing understanding of resilience and interventions will hopefully lead to the development of new strategies for not just treating PTSD but also screening and early identification of at-risk youth and adults. Taken together, efforts aimed at dissemination and implementation of novel interventions to enhance resilience will have to keep pace with the growth of new preventive and treatment strategies.","author":[{"dropping-particle":"","family":"Horn","given":"Sarah R.","non-dropping-particle":"","parse-names":false,"suffix":""},{"dropping-particle":"","family":"Charney","given":"Dennis S.","non-dropping-particle":"","parse-names":false,"suffix":""},{"dropping-particle":"","family":"Feder","given":"Adriana","non-dropping-particle":"","parse-names":false,"suffix":""}],"container-title":"Experimental Neurology","id":"ITEM-1","issued":{"date-parts":[["2016","10","1"]]},"page":"119-132","publisher":"Academic Press","title":"Understanding resilience: New approaches for preventing and treating PTSD","type":"article-journal","volume":"284"},"uris":["http://www.mendeley.com/documents/?uuid=2fb274da-a8d4-31a2-ab9b-c77e4b6e89b2"]}],"mendeley":{"formattedCitation":"(57)","plainTextFormattedCitation":"(57)","previouslyFormattedCitation":"(57)"},"properties":{"noteIndex":0},"schema":"https://github.com/citation-style-language/schema/raw/master/csl-citation.json"}</w:instrText>
      </w:r>
      <w:r w:rsidR="00720B21" w:rsidRPr="00842F43">
        <w:rPr>
          <w:rFonts w:ascii="Fira Sans" w:hAnsi="Fira Sans"/>
          <w:sz w:val="20"/>
          <w:szCs w:val="20"/>
          <w:vertAlign w:val="superscript"/>
        </w:rPr>
        <w:fldChar w:fldCharType="separate"/>
      </w:r>
      <w:r w:rsidR="00080684" w:rsidRPr="00842F43">
        <w:rPr>
          <w:rFonts w:ascii="Fira Sans" w:hAnsi="Fira Sans"/>
          <w:noProof/>
          <w:sz w:val="20"/>
          <w:szCs w:val="20"/>
        </w:rPr>
        <w:t>(57)</w:t>
      </w:r>
      <w:r w:rsidR="00720B21" w:rsidRPr="00842F43">
        <w:rPr>
          <w:rFonts w:ascii="Fira Sans" w:hAnsi="Fira Sans"/>
          <w:sz w:val="20"/>
          <w:szCs w:val="20"/>
          <w:vertAlign w:val="superscript"/>
        </w:rPr>
        <w:fldChar w:fldCharType="end"/>
      </w:r>
      <w:r w:rsidR="00720B21" w:rsidRPr="00842F43">
        <w:rPr>
          <w:rFonts w:ascii="Fira Sans" w:hAnsi="Fira Sans"/>
          <w:sz w:val="20"/>
          <w:szCs w:val="20"/>
        </w:rPr>
        <w:t>.</w:t>
      </w:r>
      <w:r w:rsidR="00E517EE" w:rsidRPr="00842F43">
        <w:rPr>
          <w:rFonts w:ascii="Fira Sans" w:hAnsi="Fira Sans"/>
          <w:sz w:val="20"/>
          <w:szCs w:val="20"/>
        </w:rPr>
        <w:t xml:space="preserve"> </w:t>
      </w:r>
      <w:r w:rsidR="00D4062D" w:rsidRPr="00842F43">
        <w:rPr>
          <w:rFonts w:ascii="Fira Sans" w:hAnsi="Fira Sans"/>
          <w:sz w:val="20"/>
          <w:szCs w:val="20"/>
        </w:rPr>
        <w:t>We used the Council of Nutrition Appetite Questionnaire (CNAQ)</w:t>
      </w:r>
      <w:r w:rsidR="00D4062D" w:rsidRPr="00842F43">
        <w:rPr>
          <w:rFonts w:ascii="Fira Sans" w:hAnsi="Fira Sans"/>
          <w:sz w:val="20"/>
          <w:szCs w:val="20"/>
          <w:vertAlign w:val="superscript"/>
        </w:rPr>
        <w:fldChar w:fldCharType="begin" w:fldLock="1"/>
      </w:r>
      <w:r w:rsidR="00A06A6E" w:rsidRPr="00842F43">
        <w:rPr>
          <w:rFonts w:ascii="Fira Sans" w:hAnsi="Fira Sans"/>
          <w:sz w:val="20"/>
          <w:szCs w:val="20"/>
          <w:vertAlign w:val="superscript"/>
        </w:rPr>
        <w:instrText>ADDIN CSL_CITATION {"citationItems":[{"id":"ITEM-1","itemData":{"DOI":"10.1093/ajcn/82.5.1074","ISSN":"0002-9165","author":[{"dropping-particle":"","family":"Wilson","given":"Margaret-Mary G","non-dropping-particle":"","parse-names":false,"suffix":""},{"dropping-particle":"","family":"Thomas","given":"David R","non-dropping-particle":"","parse-names":false,"suffix":""},{"dropping-particle":"","family":"Rubenstein","given":"Laurence Z","non-dropping-particle":"","parse-names":false,"suffix":""},{"dropping-particle":"","family":"Chibnall","given":"John T","non-dropping-particle":"","parse-names":false,"suffix":""},{"dropping-particle":"","family":"Anderson","given":"Stephanie","non-dropping-particle":"","parse-names":false,"suffix":""},{"dropping-particle":"","family":"Baxi","given":"Amy","non-dropping-particle":"","parse-names":false,"suffix":""},{"dropping-particle":"","family":"Diebold","given":"Marilyn R","non-dropping-particle":"","parse-names":false,"suffix":""},{"dropping-particle":"","family":"Morley","given":"John E","non-dropping-particle":"","parse-names":false,"suffix":""}],"container-title":"The American Journal of Clinical Nutrition","id":"ITEM-1","issue":"5","issued":{"date-parts":[["2005","11","1"]]},"page":"1074-1081","publisher":"Oxford Academic","title":"Appetite assessment: simple appetite questionnaire predicts weight loss in community-dwelling adults and nursing home residents","type":"article-journal","volume":"82"},"uris":["http://www.mendeley.com/documents/?uuid=a8582f07-b4d2-3a26-9ffe-1a79d9165661"]}],"mendeley":{"formattedCitation":"(58)","manualFormatting":"(58)","plainTextFormattedCitation":"(58)","previouslyFormattedCitation":"(58)"},"properties":{"noteIndex":0},"schema":"https://github.com/citation-style-language/schema/raw/master/csl-citation.json"}</w:instrText>
      </w:r>
      <w:r w:rsidR="00D4062D" w:rsidRPr="00842F43">
        <w:rPr>
          <w:rFonts w:ascii="Fira Sans" w:hAnsi="Fira Sans"/>
          <w:sz w:val="20"/>
          <w:szCs w:val="20"/>
          <w:vertAlign w:val="superscript"/>
        </w:rPr>
        <w:fldChar w:fldCharType="separate"/>
      </w:r>
      <w:r w:rsidR="00D4062D" w:rsidRPr="00842F43">
        <w:rPr>
          <w:rFonts w:ascii="Fira Sans" w:hAnsi="Fira Sans"/>
          <w:noProof/>
          <w:sz w:val="20"/>
          <w:szCs w:val="20"/>
          <w:vertAlign w:val="superscript"/>
        </w:rPr>
        <w:t>(</w:t>
      </w:r>
      <w:r w:rsidR="00A06A6E" w:rsidRPr="00842F43">
        <w:rPr>
          <w:rFonts w:ascii="Fira Sans" w:hAnsi="Fira Sans"/>
          <w:noProof/>
          <w:sz w:val="20"/>
          <w:szCs w:val="20"/>
          <w:vertAlign w:val="superscript"/>
        </w:rPr>
        <w:t>58</w:t>
      </w:r>
      <w:r w:rsidR="00D4062D" w:rsidRPr="00842F43">
        <w:rPr>
          <w:rFonts w:ascii="Fira Sans" w:hAnsi="Fira Sans"/>
          <w:noProof/>
          <w:sz w:val="20"/>
          <w:szCs w:val="20"/>
          <w:vertAlign w:val="superscript"/>
        </w:rPr>
        <w:t>)</w:t>
      </w:r>
      <w:r w:rsidR="00D4062D" w:rsidRPr="00842F43">
        <w:rPr>
          <w:rFonts w:ascii="Fira Sans" w:hAnsi="Fira Sans"/>
          <w:sz w:val="20"/>
          <w:szCs w:val="20"/>
          <w:vertAlign w:val="superscript"/>
        </w:rPr>
        <w:fldChar w:fldCharType="end"/>
      </w:r>
      <w:r w:rsidR="00D4062D" w:rsidRPr="00842F43">
        <w:rPr>
          <w:rFonts w:ascii="Fira Sans" w:hAnsi="Fira Sans"/>
          <w:sz w:val="20"/>
          <w:szCs w:val="20"/>
        </w:rPr>
        <w:t xml:space="preserve"> to measure appetite and predicted weight change, as </w:t>
      </w:r>
      <w:r w:rsidR="0075101B" w:rsidRPr="00842F43">
        <w:rPr>
          <w:rFonts w:ascii="Fira Sans" w:hAnsi="Fira Sans"/>
          <w:sz w:val="20"/>
          <w:szCs w:val="20"/>
        </w:rPr>
        <w:t xml:space="preserve">PTSD </w:t>
      </w:r>
      <w:r w:rsidR="00F06CA2" w:rsidRPr="00842F43">
        <w:rPr>
          <w:rFonts w:ascii="Fira Sans" w:hAnsi="Fira Sans"/>
          <w:sz w:val="20"/>
          <w:szCs w:val="20"/>
        </w:rPr>
        <w:t>is independently</w:t>
      </w:r>
      <w:r w:rsidR="0075101B" w:rsidRPr="00842F43">
        <w:rPr>
          <w:rFonts w:ascii="Fira Sans" w:hAnsi="Fira Sans"/>
          <w:sz w:val="20"/>
          <w:szCs w:val="20"/>
        </w:rPr>
        <w:t xml:space="preserve"> associated with </w:t>
      </w:r>
      <w:r w:rsidR="00F06CA2" w:rsidRPr="00842F43">
        <w:rPr>
          <w:rFonts w:ascii="Fira Sans" w:hAnsi="Fira Sans"/>
          <w:sz w:val="20"/>
          <w:szCs w:val="20"/>
        </w:rPr>
        <w:t>both weight gain and loss</w:t>
      </w:r>
      <w:r w:rsidR="00F06CA2"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{"citationItems":[{"id":"ITEM-1","itemData":{"DOI":"10.1002/oby.21025","ISSN":"1930-739X","PMID":"25776806","abstract":"OBJECTIVE To prospectively examine the association between post-traumatic stress disorder (PTSD) and weight change. METHODS Longitudinal analysis techniques were used to examine data (2001-2008) from Millennium Cohort Study participants, consisting of U.S. service members and veterans. Using the PTSD Checklist-Civilian Version, PTSD was assessed as none, resolved, new onset, or persistent. Subsequent weight change was assessed as stable (≤3% loss or gain), &gt;3% weight loss, &gt;3% but &lt;10% weight gain, and ≥10% weight gain. RESULTS Of the 38,352 participants, 2391 (6.2%) had PTSD (838 resolved, 1024 new onset, and 529 persistent), and 11% of participants subsequently had ≥10% weight gain. In multivariable models, PTSD was associated with higher odds of ≥10% weight gain (new onset OR: 1.44 [95% CI: 1.20-1.73]; persistent OR: 1.51 [CI: 1.17-1.96]; resolved OR: 1.30 [CI: 1.05-1.60]) compared with those without PTSD. New-onset and persistent PTSD were also associated with higher odds of &gt;3% weight loss (OR: 1.41 [CI: 1.17-1.71]; OR: 1.42 [CI: 1.09-1.86], respectively). CONCLUSIONS PTSD is independently associated with a higher risk of weight gain and loss, the former of which leads to a higher prevalence of overweight and obesity and a higher risk of comorbidities associated with excessive body adiposity.","author":[{"dropping-particle":"","family":"LeardMann","given":"Cynthia A","non-dropping-particle":"","parse-names":false,"suffix":""},{"dropping-particle":"","family":"Woodall","given":"Kelly A","non-dropping-particle":"","parse-names":false,"suffix":""},{"dropping-particle":"","family":"Littman","given":"Alyson J","non-dropping-particle":"","parse-names":false,"suffix":""},{"dropping-particle":"","family":"Jacobson","given":"Isabel G","non-dropping-particle":"","parse-names":false,"suffix":""},{"dropping-particle":"","family":"Boyko","given":"Edward J","non-dropping-particle":"","parse-names":false,"suffix":""},{"dropping-particle":"","family":"Smith","given":"Besa","non-dropping-particle":"","parse-names":false,"suffix":""},{"dropping-particle":"","family":"Wells","given":"Timothy S","non-dropping-particle":"","parse-names":false,"suffix":""},{"dropping-particle":"","family":"Crum-Cianflone","given":"Nancy F","non-dropping-particle":"","parse-names":false,"suffix":""}],"container-title":"Obesity (Silver Spring, Md.)","id":"ITEM-1","issue":"4","issued":{"date-parts":[["2015","4"]]},"page":"886-92","publisher":"Obesity (Silver Spring)","title":"Post-traumatic stress disorder predicts future weight change in the Millennium Cohort Study.","type":"article-journal","volume":"23"},"uris":["http://www.mendeley.com/documents/?uuid=2d63faa3-3b22-333d-9ef9-b328812ed8c0"]}],"mendeley":{"formattedCitation":"(59)","plainTextFormattedCitation":"(59)","previouslyFormattedCitation":"(59)"},"properties":{"noteIndex":0},"schema":"https://github.com/citation-style-language/schema/raw/master/csl-citation.json"}</w:instrText>
      </w:r>
      <w:r w:rsidR="00F06CA2" w:rsidRPr="00842F43">
        <w:rPr>
          <w:rFonts w:ascii="Fira Sans" w:hAnsi="Fira Sans"/>
          <w:sz w:val="20"/>
          <w:szCs w:val="20"/>
          <w:vertAlign w:val="superscript"/>
        </w:rPr>
        <w:fldChar w:fldCharType="separate"/>
      </w:r>
      <w:r w:rsidR="00080684" w:rsidRPr="00842F43">
        <w:rPr>
          <w:rFonts w:ascii="Fira Sans" w:hAnsi="Fira Sans"/>
          <w:noProof/>
          <w:sz w:val="20"/>
          <w:szCs w:val="20"/>
        </w:rPr>
        <w:t>(59)</w:t>
      </w:r>
      <w:r w:rsidR="00F06CA2" w:rsidRPr="00842F43">
        <w:rPr>
          <w:rFonts w:ascii="Fira Sans" w:hAnsi="Fira Sans"/>
          <w:sz w:val="20"/>
          <w:szCs w:val="20"/>
          <w:vertAlign w:val="superscript"/>
        </w:rPr>
        <w:fldChar w:fldCharType="end"/>
      </w:r>
      <w:r w:rsidR="00F06CA2" w:rsidRPr="00842F43">
        <w:rPr>
          <w:rFonts w:ascii="Fira Sans" w:hAnsi="Fira Sans"/>
          <w:sz w:val="20"/>
          <w:szCs w:val="20"/>
        </w:rPr>
        <w:t xml:space="preserve">. </w:t>
      </w:r>
      <w:r w:rsidR="00F57520" w:rsidRPr="00842F43">
        <w:rPr>
          <w:rFonts w:ascii="Fira Sans" w:hAnsi="Fira Sans"/>
          <w:sz w:val="20"/>
          <w:szCs w:val="20"/>
        </w:rPr>
        <w:t xml:space="preserve">We </w:t>
      </w:r>
      <w:r w:rsidR="00E517EE" w:rsidRPr="00842F43">
        <w:rPr>
          <w:rFonts w:ascii="Fira Sans" w:hAnsi="Fira Sans"/>
          <w:sz w:val="20"/>
          <w:szCs w:val="20"/>
        </w:rPr>
        <w:t xml:space="preserve">originally </w:t>
      </w:r>
      <w:r w:rsidR="00B3172A" w:rsidRPr="00842F43">
        <w:rPr>
          <w:rFonts w:ascii="Fira Sans" w:hAnsi="Fira Sans"/>
          <w:sz w:val="20"/>
          <w:szCs w:val="20"/>
        </w:rPr>
        <w:t>intend</w:t>
      </w:r>
      <w:r w:rsidR="00F57520" w:rsidRPr="00842F43">
        <w:rPr>
          <w:rFonts w:ascii="Fira Sans" w:hAnsi="Fira Sans"/>
          <w:sz w:val="20"/>
          <w:szCs w:val="20"/>
        </w:rPr>
        <w:t xml:space="preserve">ed to </w:t>
      </w:r>
      <w:r w:rsidR="00B3172A" w:rsidRPr="00842F43">
        <w:rPr>
          <w:rFonts w:ascii="Fira Sans" w:hAnsi="Fira Sans"/>
          <w:sz w:val="20"/>
          <w:szCs w:val="20"/>
        </w:rPr>
        <w:t>assess cognitive function</w:t>
      </w:r>
      <w:r w:rsidR="005D6B1D" w:rsidRPr="00842F43">
        <w:rPr>
          <w:rFonts w:ascii="Fira Sans" w:hAnsi="Fira Sans"/>
          <w:sz w:val="20"/>
          <w:szCs w:val="20"/>
        </w:rPr>
        <w:t xml:space="preserve">, </w:t>
      </w:r>
      <w:r w:rsidR="00F57520" w:rsidRPr="00842F43">
        <w:rPr>
          <w:rFonts w:ascii="Fira Sans" w:hAnsi="Fira Sans"/>
          <w:sz w:val="20"/>
          <w:szCs w:val="20"/>
        </w:rPr>
        <w:t xml:space="preserve">physical activity, </w:t>
      </w:r>
      <w:r w:rsidR="004E1577" w:rsidRPr="00842F43">
        <w:rPr>
          <w:rFonts w:ascii="Fira Sans" w:hAnsi="Fira Sans"/>
          <w:sz w:val="20"/>
          <w:szCs w:val="20"/>
        </w:rPr>
        <w:t>functional disability</w:t>
      </w:r>
      <w:r w:rsidR="005D6B1D" w:rsidRPr="00842F43">
        <w:rPr>
          <w:rFonts w:ascii="Fira Sans" w:hAnsi="Fira Sans"/>
          <w:sz w:val="20"/>
          <w:szCs w:val="20"/>
        </w:rPr>
        <w:t xml:space="preserve">, </w:t>
      </w:r>
      <w:r w:rsidR="00F57520" w:rsidRPr="00842F43">
        <w:rPr>
          <w:rFonts w:ascii="Fira Sans" w:hAnsi="Fira Sans"/>
          <w:sz w:val="20"/>
          <w:szCs w:val="20"/>
        </w:rPr>
        <w:t>and re</w:t>
      </w:r>
      <w:r w:rsidR="00241341" w:rsidRPr="00842F43">
        <w:rPr>
          <w:rFonts w:ascii="Fira Sans" w:hAnsi="Fira Sans"/>
          <w:sz w:val="20"/>
          <w:szCs w:val="20"/>
        </w:rPr>
        <w:t>port</w:t>
      </w:r>
      <w:r w:rsidR="00F57520" w:rsidRPr="00842F43">
        <w:rPr>
          <w:rFonts w:ascii="Fira Sans" w:hAnsi="Fira Sans"/>
          <w:sz w:val="20"/>
          <w:szCs w:val="20"/>
        </w:rPr>
        <w:t xml:space="preserve"> episodes of delirium </w:t>
      </w:r>
      <w:r w:rsidR="007502FD" w:rsidRPr="00842F43">
        <w:rPr>
          <w:rFonts w:ascii="Fira Sans" w:hAnsi="Fira Sans"/>
          <w:sz w:val="20"/>
          <w:szCs w:val="20"/>
        </w:rPr>
        <w:t>in ICU</w:t>
      </w:r>
      <w:r w:rsidR="005D6B1D" w:rsidRPr="00842F43">
        <w:rPr>
          <w:rFonts w:ascii="Fira Sans" w:hAnsi="Fira Sans"/>
          <w:sz w:val="20"/>
          <w:szCs w:val="20"/>
        </w:rPr>
        <w:t xml:space="preserve">: </w:t>
      </w:r>
      <w:r w:rsidR="00E517EE" w:rsidRPr="00842F43">
        <w:rPr>
          <w:rFonts w:ascii="Fira Sans" w:hAnsi="Fira Sans"/>
          <w:color w:val="000000" w:themeColor="text1"/>
          <w:sz w:val="20"/>
          <w:szCs w:val="20"/>
        </w:rPr>
        <w:t>h</w:t>
      </w:r>
      <w:r w:rsidR="00A44961" w:rsidRPr="00842F43">
        <w:rPr>
          <w:rFonts w:ascii="Fira Sans" w:hAnsi="Fira Sans"/>
          <w:color w:val="000000" w:themeColor="text1"/>
          <w:sz w:val="20"/>
          <w:szCs w:val="20"/>
        </w:rPr>
        <w:t xml:space="preserve">owever, lack of researcher time meant we were unable to perform remote </w:t>
      </w:r>
      <w:r w:rsidR="005D6B1D" w:rsidRPr="00842F43">
        <w:rPr>
          <w:rFonts w:ascii="Fira Sans" w:hAnsi="Fira Sans"/>
          <w:color w:val="000000" w:themeColor="text1"/>
          <w:sz w:val="20"/>
          <w:szCs w:val="20"/>
        </w:rPr>
        <w:t xml:space="preserve">cognition </w:t>
      </w:r>
      <w:r w:rsidR="00A44961" w:rsidRPr="00842F43">
        <w:rPr>
          <w:rFonts w:ascii="Fira Sans" w:hAnsi="Fira Sans"/>
          <w:color w:val="000000" w:themeColor="text1"/>
          <w:sz w:val="20"/>
          <w:szCs w:val="20"/>
        </w:rPr>
        <w:t>testing</w:t>
      </w:r>
      <w:r w:rsidR="00E517EE" w:rsidRPr="00842F43">
        <w:rPr>
          <w:rFonts w:ascii="Fira Sans" w:hAnsi="Fira Sans"/>
          <w:color w:val="000000" w:themeColor="text1"/>
          <w:sz w:val="20"/>
          <w:szCs w:val="20"/>
        </w:rPr>
        <w:t>,</w:t>
      </w:r>
      <w:r w:rsidR="00A44961" w:rsidRPr="00842F43">
        <w:rPr>
          <w:rFonts w:ascii="Fira Sans" w:hAnsi="Fira Sans"/>
          <w:color w:val="000000" w:themeColor="text1"/>
          <w:sz w:val="20"/>
          <w:szCs w:val="20"/>
        </w:rPr>
        <w:t xml:space="preserve"> </w:t>
      </w:r>
      <w:r w:rsidR="004E1577" w:rsidRPr="00842F43">
        <w:rPr>
          <w:rFonts w:ascii="Fira Sans" w:hAnsi="Fira Sans"/>
          <w:color w:val="000000" w:themeColor="text1"/>
          <w:sz w:val="20"/>
          <w:szCs w:val="20"/>
        </w:rPr>
        <w:t xml:space="preserve">our </w:t>
      </w:r>
      <w:r w:rsidR="00241341" w:rsidRPr="00842F43">
        <w:rPr>
          <w:rFonts w:ascii="Fira Sans" w:hAnsi="Fira Sans"/>
          <w:color w:val="000000" w:themeColor="text1"/>
          <w:sz w:val="20"/>
          <w:szCs w:val="20"/>
        </w:rPr>
        <w:t>PPI group</w:t>
      </w:r>
      <w:r w:rsidR="004E1577" w:rsidRPr="00842F43">
        <w:rPr>
          <w:rFonts w:ascii="Fira Sans" w:hAnsi="Fira Sans"/>
          <w:color w:val="000000" w:themeColor="text1"/>
          <w:sz w:val="20"/>
          <w:szCs w:val="20"/>
        </w:rPr>
        <w:t xml:space="preserve"> recommended removal of </w:t>
      </w:r>
      <w:r w:rsidR="005D6B1D" w:rsidRPr="00842F43">
        <w:rPr>
          <w:rFonts w:ascii="Fira Sans" w:hAnsi="Fira Sans"/>
          <w:color w:val="000000" w:themeColor="text1"/>
          <w:sz w:val="20"/>
          <w:szCs w:val="20"/>
        </w:rPr>
        <w:t>functional disability assessment</w:t>
      </w:r>
      <w:r w:rsidR="004E1577" w:rsidRPr="00842F43">
        <w:rPr>
          <w:rFonts w:ascii="Fira Sans" w:hAnsi="Fira Sans"/>
          <w:color w:val="000000" w:themeColor="text1"/>
          <w:sz w:val="20"/>
          <w:szCs w:val="20"/>
        </w:rPr>
        <w:t xml:space="preserve"> </w:t>
      </w:r>
      <w:r w:rsidR="005D6B1D" w:rsidRPr="00842F43">
        <w:rPr>
          <w:rFonts w:ascii="Fira Sans" w:hAnsi="Fira Sans"/>
          <w:color w:val="000000" w:themeColor="text1"/>
          <w:sz w:val="20"/>
          <w:szCs w:val="20"/>
        </w:rPr>
        <w:t>due to</w:t>
      </w:r>
      <w:r w:rsidR="004E1577" w:rsidRPr="00842F43">
        <w:rPr>
          <w:rFonts w:ascii="Fira Sans" w:hAnsi="Fira Sans"/>
          <w:color w:val="000000" w:themeColor="text1"/>
          <w:sz w:val="20"/>
          <w:szCs w:val="20"/>
        </w:rPr>
        <w:t xml:space="preserve"> participant burden, </w:t>
      </w:r>
      <w:r w:rsidR="00A44961" w:rsidRPr="00842F43">
        <w:rPr>
          <w:rFonts w:ascii="Fira Sans" w:hAnsi="Fira Sans"/>
          <w:color w:val="000000" w:themeColor="text1"/>
          <w:sz w:val="20"/>
          <w:szCs w:val="20"/>
        </w:rPr>
        <w:t>COVID restrictions denied the opportunity to use physical activity monitors</w:t>
      </w:r>
      <w:r w:rsidR="00E517EE" w:rsidRPr="00842F43">
        <w:rPr>
          <w:rFonts w:ascii="Fira Sans" w:hAnsi="Fira Sans"/>
          <w:color w:val="000000" w:themeColor="text1"/>
          <w:sz w:val="20"/>
          <w:szCs w:val="20"/>
        </w:rPr>
        <w:t>,</w:t>
      </w:r>
      <w:r w:rsidR="00A44961" w:rsidRPr="00842F43">
        <w:rPr>
          <w:rFonts w:ascii="Fira Sans" w:hAnsi="Fira Sans"/>
          <w:color w:val="000000" w:themeColor="text1"/>
          <w:sz w:val="20"/>
          <w:szCs w:val="20"/>
        </w:rPr>
        <w:t xml:space="preserve"> </w:t>
      </w:r>
      <w:r w:rsidR="00E517EE" w:rsidRPr="00842F43">
        <w:rPr>
          <w:rFonts w:ascii="Fira Sans" w:hAnsi="Fira Sans"/>
          <w:color w:val="000000" w:themeColor="text1"/>
          <w:sz w:val="20"/>
          <w:szCs w:val="20"/>
        </w:rPr>
        <w:t xml:space="preserve">and </w:t>
      </w:r>
      <w:r w:rsidR="005D6B1D" w:rsidRPr="00842F43">
        <w:rPr>
          <w:rFonts w:ascii="Fira Sans" w:hAnsi="Fira Sans"/>
          <w:color w:val="000000" w:themeColor="text1"/>
          <w:sz w:val="20"/>
          <w:szCs w:val="20"/>
        </w:rPr>
        <w:t xml:space="preserve">delirium episodes had been recorded in the ICU notes only rarely, due to </w:t>
      </w:r>
      <w:r w:rsidR="00037E12" w:rsidRPr="00842F43">
        <w:rPr>
          <w:rFonts w:ascii="Fira Sans" w:hAnsi="Fira Sans"/>
          <w:color w:val="000000" w:themeColor="text1"/>
          <w:sz w:val="20"/>
          <w:szCs w:val="20"/>
        </w:rPr>
        <w:t xml:space="preserve">necessary adaptation of </w:t>
      </w:r>
      <w:r w:rsidR="005D6B1D" w:rsidRPr="00842F43">
        <w:rPr>
          <w:rFonts w:ascii="Fira Sans" w:hAnsi="Fira Sans"/>
          <w:color w:val="000000" w:themeColor="text1"/>
          <w:sz w:val="20"/>
          <w:szCs w:val="20"/>
        </w:rPr>
        <w:t>clinical</w:t>
      </w:r>
      <w:r w:rsidR="00037E12" w:rsidRPr="00842F43">
        <w:rPr>
          <w:rFonts w:ascii="Fira Sans" w:hAnsi="Fira Sans"/>
          <w:color w:val="000000" w:themeColor="text1"/>
          <w:sz w:val="20"/>
          <w:szCs w:val="20"/>
        </w:rPr>
        <w:t xml:space="preserve"> practices</w:t>
      </w:r>
      <w:r w:rsidR="00A44961" w:rsidRPr="00842F43">
        <w:rPr>
          <w:rFonts w:ascii="Fira Sans" w:hAnsi="Fira Sans"/>
          <w:color w:val="000000" w:themeColor="text1"/>
          <w:sz w:val="20"/>
          <w:szCs w:val="20"/>
        </w:rPr>
        <w:t>.</w:t>
      </w:r>
      <w:r w:rsidR="00E517EE" w:rsidRPr="00842F43">
        <w:rPr>
          <w:rFonts w:ascii="Fira Sans" w:hAnsi="Fira Sans"/>
          <w:color w:val="000000" w:themeColor="text1"/>
          <w:sz w:val="20"/>
          <w:szCs w:val="20"/>
        </w:rPr>
        <w:t xml:space="preserve"> </w:t>
      </w:r>
      <w:r w:rsidR="00B3172A" w:rsidRPr="00842F43">
        <w:rPr>
          <w:rFonts w:ascii="Fira Sans" w:hAnsi="Fira Sans"/>
          <w:sz w:val="20"/>
          <w:szCs w:val="20"/>
        </w:rPr>
        <w:t xml:space="preserve">Full details and definitions of outcome variables are available in </w:t>
      </w:r>
      <w:r w:rsidR="0095604E" w:rsidRPr="00842F43">
        <w:rPr>
          <w:rFonts w:ascii="Fira Sans" w:hAnsi="Fira Sans"/>
          <w:sz w:val="20"/>
          <w:szCs w:val="20"/>
        </w:rPr>
        <w:t>Supp</w:t>
      </w:r>
      <w:r w:rsidR="00E571BD" w:rsidRPr="00842F43">
        <w:rPr>
          <w:rFonts w:ascii="Fira Sans" w:hAnsi="Fira Sans"/>
          <w:sz w:val="20"/>
          <w:szCs w:val="20"/>
        </w:rPr>
        <w:t>l</w:t>
      </w:r>
      <w:r w:rsidR="0095604E" w:rsidRPr="00842F43">
        <w:rPr>
          <w:rFonts w:ascii="Fira Sans" w:hAnsi="Fira Sans"/>
          <w:sz w:val="20"/>
          <w:szCs w:val="20"/>
        </w:rPr>
        <w:t>ementary</w:t>
      </w:r>
      <w:r w:rsidR="00E571BD" w:rsidRPr="00842F43">
        <w:rPr>
          <w:rFonts w:ascii="Fira Sans" w:hAnsi="Fira Sans"/>
          <w:sz w:val="20"/>
          <w:szCs w:val="20"/>
        </w:rPr>
        <w:t xml:space="preserve"> file</w:t>
      </w:r>
      <w:r w:rsidR="003C0F55" w:rsidRPr="00842F43">
        <w:rPr>
          <w:rFonts w:ascii="Fira Sans" w:hAnsi="Fira Sans"/>
          <w:sz w:val="20"/>
          <w:szCs w:val="20"/>
        </w:rPr>
        <w:t>: Table</w:t>
      </w:r>
      <w:r w:rsidR="00CF41BE" w:rsidRPr="00842F43">
        <w:rPr>
          <w:rFonts w:ascii="Fira Sans" w:hAnsi="Fira Sans"/>
          <w:sz w:val="20"/>
          <w:szCs w:val="20"/>
        </w:rPr>
        <w:t xml:space="preserve"> S</w:t>
      </w:r>
      <w:r w:rsidR="006265C2" w:rsidRPr="00842F43">
        <w:rPr>
          <w:rFonts w:ascii="Fira Sans" w:hAnsi="Fira Sans"/>
          <w:sz w:val="20"/>
          <w:szCs w:val="20"/>
        </w:rPr>
        <w:t>1</w:t>
      </w:r>
      <w:r w:rsidR="00B3172A" w:rsidRPr="00842F43">
        <w:rPr>
          <w:rFonts w:ascii="Fira Sans" w:hAnsi="Fira Sans"/>
          <w:sz w:val="20"/>
          <w:szCs w:val="20"/>
        </w:rPr>
        <w:t xml:space="preserve">. Patient reported outcomes were completed </w:t>
      </w:r>
      <w:r w:rsidR="00732E2A" w:rsidRPr="00842F43">
        <w:rPr>
          <w:rFonts w:ascii="Fira Sans" w:hAnsi="Fira Sans"/>
          <w:sz w:val="20"/>
          <w:szCs w:val="20"/>
        </w:rPr>
        <w:t>online. All other data were collected by research staff and stored securely, using ALEA Clinical</w:t>
      </w:r>
      <w:r w:rsidR="00732E2A" w:rsidRPr="00842F43">
        <w:rPr>
          <w:rFonts w:ascii="Fira Sans" w:hAnsi="Fira Sans"/>
          <w:sz w:val="20"/>
          <w:szCs w:val="20"/>
          <w:vertAlign w:val="superscript"/>
        </w:rPr>
        <w:t>TM</w:t>
      </w:r>
      <w:r w:rsidR="00732E2A" w:rsidRPr="00842F43">
        <w:rPr>
          <w:rFonts w:ascii="Fira Sans" w:hAnsi="Fira Sans"/>
          <w:sz w:val="20"/>
          <w:szCs w:val="20"/>
        </w:rPr>
        <w:t xml:space="preserve">. </w:t>
      </w:r>
    </w:p>
    <w:p w14:paraId="40DA03C5" w14:textId="77777777" w:rsidR="00E517EE" w:rsidRPr="00842F43" w:rsidRDefault="00E517EE" w:rsidP="00842F43">
      <w:pPr>
        <w:spacing w:line="360" w:lineRule="auto"/>
        <w:rPr>
          <w:rFonts w:ascii="Fira Sans" w:hAnsi="Fira Sans"/>
          <w:sz w:val="20"/>
          <w:szCs w:val="20"/>
        </w:rPr>
      </w:pPr>
    </w:p>
    <w:p w14:paraId="63280F3D" w14:textId="6D8C97CB" w:rsidR="00B140C5" w:rsidRPr="00842F43" w:rsidRDefault="00715B8B" w:rsidP="00842F43">
      <w:pPr>
        <w:spacing w:line="360" w:lineRule="auto"/>
        <w:rPr>
          <w:rFonts w:ascii="Fira Sans" w:hAnsi="Fira Sans"/>
          <w:sz w:val="20"/>
          <w:szCs w:val="20"/>
        </w:rPr>
      </w:pPr>
      <w:r w:rsidRPr="00842F43">
        <w:rPr>
          <w:rFonts w:ascii="Fira Sans" w:hAnsi="Fira Sans"/>
          <w:sz w:val="20"/>
          <w:szCs w:val="20"/>
        </w:rPr>
        <w:t>Statistical analysis</w:t>
      </w:r>
    </w:p>
    <w:p w14:paraId="58838FF8" w14:textId="012F1DEB" w:rsidR="00BF20E1" w:rsidRPr="00842F43" w:rsidRDefault="00BF20E1" w:rsidP="00842F43">
      <w:pPr>
        <w:spacing w:line="360" w:lineRule="auto"/>
        <w:rPr>
          <w:rFonts w:ascii="Fira Sans" w:hAnsi="Fira Sans"/>
          <w:color w:val="4472C4" w:themeColor="accent1"/>
          <w:sz w:val="20"/>
          <w:szCs w:val="20"/>
        </w:rPr>
      </w:pPr>
      <w:r w:rsidRPr="00842F43">
        <w:rPr>
          <w:rFonts w:ascii="Fira Sans" w:hAnsi="Fira Sans"/>
          <w:sz w:val="20"/>
          <w:szCs w:val="20"/>
        </w:rPr>
        <w:t>T</w:t>
      </w:r>
      <w:r w:rsidR="00AF7470" w:rsidRPr="00842F43">
        <w:rPr>
          <w:rFonts w:ascii="Fira Sans" w:hAnsi="Fira Sans"/>
          <w:sz w:val="20"/>
          <w:szCs w:val="20"/>
        </w:rPr>
        <w:t xml:space="preserve">his </w:t>
      </w:r>
      <w:r w:rsidRPr="00842F43">
        <w:rPr>
          <w:rFonts w:ascii="Fira Sans" w:hAnsi="Fira Sans"/>
          <w:sz w:val="20"/>
          <w:szCs w:val="20"/>
        </w:rPr>
        <w:t>was</w:t>
      </w:r>
      <w:r w:rsidR="00AF7470" w:rsidRPr="00842F43">
        <w:rPr>
          <w:rFonts w:ascii="Fira Sans" w:hAnsi="Fira Sans"/>
          <w:sz w:val="20"/>
          <w:szCs w:val="20"/>
        </w:rPr>
        <w:t xml:space="preserve"> a feasibility trial</w:t>
      </w:r>
      <w:r w:rsidR="00642A5C" w:rsidRPr="00842F43">
        <w:rPr>
          <w:rFonts w:ascii="Fira Sans" w:hAnsi="Fira Sans"/>
          <w:sz w:val="20"/>
          <w:szCs w:val="20"/>
        </w:rPr>
        <w:t xml:space="preserve"> </w:t>
      </w:r>
      <w:r w:rsidRPr="00842F43">
        <w:rPr>
          <w:rFonts w:ascii="Fira Sans" w:hAnsi="Fira Sans"/>
          <w:sz w:val="20"/>
          <w:szCs w:val="20"/>
        </w:rPr>
        <w:t xml:space="preserve">in which </w:t>
      </w:r>
      <w:r w:rsidR="00642A5C" w:rsidRPr="00842F43">
        <w:rPr>
          <w:rFonts w:ascii="Fira Sans" w:hAnsi="Fira Sans"/>
          <w:sz w:val="20"/>
          <w:szCs w:val="20"/>
        </w:rPr>
        <w:t>t</w:t>
      </w:r>
      <w:r w:rsidR="00670909" w:rsidRPr="00842F43">
        <w:rPr>
          <w:rFonts w:ascii="Fira Sans" w:hAnsi="Fira Sans"/>
          <w:sz w:val="20"/>
          <w:szCs w:val="20"/>
        </w:rPr>
        <w:t xml:space="preserve">he effectiveness of EMDR </w:t>
      </w:r>
      <w:r w:rsidRPr="00842F43">
        <w:rPr>
          <w:rFonts w:ascii="Fira Sans" w:hAnsi="Fira Sans"/>
          <w:sz w:val="20"/>
          <w:szCs w:val="20"/>
        </w:rPr>
        <w:t>was</w:t>
      </w:r>
      <w:r w:rsidR="00670909" w:rsidRPr="00842F43">
        <w:rPr>
          <w:rFonts w:ascii="Fira Sans" w:hAnsi="Fira Sans"/>
          <w:sz w:val="20"/>
          <w:szCs w:val="20"/>
        </w:rPr>
        <w:t xml:space="preserve"> not evaluated</w:t>
      </w:r>
      <w:r w:rsidR="001255E2" w:rsidRPr="00842F43">
        <w:rPr>
          <w:rFonts w:ascii="Fira Sans" w:hAnsi="Fira Sans"/>
          <w:sz w:val="20"/>
          <w:szCs w:val="20"/>
        </w:rPr>
        <w:t xml:space="preserve">, </w:t>
      </w:r>
      <w:r w:rsidRPr="00842F43">
        <w:rPr>
          <w:rFonts w:ascii="Fira Sans" w:hAnsi="Fira Sans"/>
          <w:sz w:val="20"/>
          <w:szCs w:val="20"/>
        </w:rPr>
        <w:t xml:space="preserve">so </w:t>
      </w:r>
      <w:r w:rsidR="00670909" w:rsidRPr="00842F43">
        <w:rPr>
          <w:rFonts w:ascii="Fira Sans" w:hAnsi="Fira Sans"/>
          <w:sz w:val="20"/>
          <w:szCs w:val="20"/>
        </w:rPr>
        <w:t>a</w:t>
      </w:r>
      <w:r w:rsidR="00AF7470" w:rsidRPr="00842F43">
        <w:rPr>
          <w:rFonts w:ascii="Fira Sans" w:hAnsi="Fira Sans"/>
          <w:sz w:val="20"/>
          <w:szCs w:val="20"/>
        </w:rPr>
        <w:t xml:space="preserve"> formal power calculation is not appropriate. </w:t>
      </w:r>
      <w:r w:rsidR="00BA739E" w:rsidRPr="00842F43">
        <w:rPr>
          <w:rFonts w:ascii="Fira Sans" w:hAnsi="Fira Sans"/>
          <w:sz w:val="20"/>
          <w:szCs w:val="20"/>
        </w:rPr>
        <w:t xml:space="preserve">Sample size </w:t>
      </w:r>
      <w:r w:rsidRPr="00842F43">
        <w:rPr>
          <w:rFonts w:ascii="Fira Sans" w:hAnsi="Fira Sans"/>
          <w:sz w:val="20"/>
          <w:szCs w:val="20"/>
        </w:rPr>
        <w:t>was</w:t>
      </w:r>
      <w:r w:rsidR="00BA739E" w:rsidRPr="00842F43">
        <w:rPr>
          <w:rFonts w:ascii="Fira Sans" w:hAnsi="Fira Sans"/>
          <w:sz w:val="20"/>
          <w:szCs w:val="20"/>
        </w:rPr>
        <w:t xml:space="preserve"> based upon recommendations for </w:t>
      </w:r>
      <w:r w:rsidR="003A29DD" w:rsidRPr="00842F43">
        <w:rPr>
          <w:rFonts w:ascii="Fira Sans" w:hAnsi="Fira Sans"/>
          <w:sz w:val="20"/>
          <w:szCs w:val="20"/>
        </w:rPr>
        <w:t>feasibility studies</w:t>
      </w:r>
      <w:r w:rsidR="005D6B1D" w:rsidRPr="00842F43">
        <w:rPr>
          <w:rFonts w:ascii="Fira Sans" w:hAnsi="Fira Sans"/>
          <w:sz w:val="20"/>
          <w:szCs w:val="20"/>
        </w:rPr>
        <w:t>,</w:t>
      </w:r>
      <w:r w:rsidR="003A29DD" w:rsidRPr="00842F43">
        <w:rPr>
          <w:rFonts w:ascii="Fira Sans" w:hAnsi="Fira Sans"/>
          <w:sz w:val="20"/>
          <w:szCs w:val="20"/>
          <w:vertAlign w:val="superscript"/>
        </w:rPr>
        <w:fldChar w:fldCharType="begin" w:fldLock="1"/>
      </w:r>
      <w:r w:rsidR="00A06A6E" w:rsidRPr="00842F43">
        <w:rPr>
          <w:rFonts w:ascii="Fira Sans" w:hAnsi="Fira Sans"/>
          <w:sz w:val="20"/>
          <w:szCs w:val="20"/>
          <w:vertAlign w:val="superscript"/>
        </w:rPr>
        <w:instrText>ADDIN CSL_CITATION {"citationItems":[{"id":"ITEM-1","itemData":{"DOI":"10.1002/nur.20247","ISSN":"01606891","author":[{"dropping-particle":"","family":"Hertzog","given":"Melody A.","non-dropping-particle":"","parse-names":false,"suffix":""}],"container-title":"Research in Nursing &amp; Health","id":"ITEM-1","issue":"2","issued":{"date-parts":[["2008","4","1"]]},"page":"180-191","publisher":"John Wiley &amp; Sons, Ltd","title":"Considerations in determining sample size for pilot studies","type":"article-journal","volume":"31"},"uris":["http://www.mendeley.com/documents/?uuid=24a7b9a6-3dd8-371e-96a3-009895a48fe8"]}],"mendeley":{"formattedCitation":"(60)","manualFormatting":"(60)","plainTextFormattedCitation":"(60)","previouslyFormattedCitation":"(60)"},"properties":{"noteIndex":0},"schema":"https://github.com/citation-style-language/schema/raw/master/csl-citation.json"}</w:instrText>
      </w:r>
      <w:r w:rsidR="003A29DD" w:rsidRPr="00842F43">
        <w:rPr>
          <w:rFonts w:ascii="Fira Sans" w:hAnsi="Fira Sans"/>
          <w:sz w:val="20"/>
          <w:szCs w:val="20"/>
          <w:vertAlign w:val="superscript"/>
        </w:rPr>
        <w:fldChar w:fldCharType="separate"/>
      </w:r>
      <w:r w:rsidR="005D6B1D" w:rsidRPr="00842F43">
        <w:rPr>
          <w:rFonts w:ascii="Fira Sans" w:hAnsi="Fira Sans"/>
          <w:noProof/>
          <w:sz w:val="20"/>
          <w:szCs w:val="20"/>
          <w:vertAlign w:val="superscript"/>
        </w:rPr>
        <w:t>(</w:t>
      </w:r>
      <w:r w:rsidR="00A06A6E" w:rsidRPr="00842F43">
        <w:rPr>
          <w:rFonts w:ascii="Fira Sans" w:hAnsi="Fira Sans"/>
          <w:noProof/>
          <w:sz w:val="20"/>
          <w:szCs w:val="20"/>
          <w:vertAlign w:val="superscript"/>
        </w:rPr>
        <w:t>60</w:t>
      </w:r>
      <w:r w:rsidR="005D6B1D" w:rsidRPr="00842F43">
        <w:rPr>
          <w:rFonts w:ascii="Fira Sans" w:hAnsi="Fira Sans"/>
          <w:noProof/>
          <w:sz w:val="20"/>
          <w:szCs w:val="20"/>
          <w:vertAlign w:val="superscript"/>
        </w:rPr>
        <w:t>)</w:t>
      </w:r>
      <w:r w:rsidR="003A29DD" w:rsidRPr="00842F43">
        <w:rPr>
          <w:rFonts w:ascii="Fira Sans" w:hAnsi="Fira Sans"/>
          <w:sz w:val="20"/>
          <w:szCs w:val="20"/>
          <w:vertAlign w:val="superscript"/>
        </w:rPr>
        <w:fldChar w:fldCharType="end"/>
      </w:r>
      <w:r w:rsidR="00BA739E" w:rsidRPr="00842F43">
        <w:rPr>
          <w:rFonts w:ascii="Fira Sans" w:hAnsi="Fira Sans"/>
          <w:sz w:val="20"/>
          <w:szCs w:val="20"/>
        </w:rPr>
        <w:t xml:space="preserve"> and previously</w:t>
      </w:r>
      <w:r w:rsidRPr="00842F43">
        <w:rPr>
          <w:rFonts w:ascii="Fira Sans" w:hAnsi="Fira Sans"/>
          <w:sz w:val="20"/>
          <w:szCs w:val="20"/>
        </w:rPr>
        <w:t>-</w:t>
      </w:r>
      <w:r w:rsidR="00BA739E" w:rsidRPr="00842F43">
        <w:rPr>
          <w:rFonts w:ascii="Fira Sans" w:hAnsi="Fira Sans"/>
          <w:sz w:val="20"/>
          <w:szCs w:val="20"/>
        </w:rPr>
        <w:t>reported ICU recovery feasibility studies of complex interventions</w:t>
      </w:r>
      <w:r w:rsidR="005D6B1D" w:rsidRPr="00842F43">
        <w:rPr>
          <w:rFonts w:ascii="Fira Sans" w:hAnsi="Fira Sans"/>
          <w:sz w:val="20"/>
          <w:szCs w:val="20"/>
        </w:rPr>
        <w:t>.</w:t>
      </w:r>
      <w:r w:rsidR="00BA739E"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{"citationItems":[{"id":"ITEM-1","itemData":{"DOI":"10.1186/s40814-017-0224-x","ISSN":"2055-5784","abstract":"Early rehabilitation has been found to prevent delirium and weakness that can hamper the recovery of intensive care unit (ICU) survivors. Integrated clinical practice guidelines for managing patient pain, agitation and delirium (PAD) have been developed. The Awakening and Breathing Coordination, Delirium monitoring/management, and Early exercise/mobility (ABCDE) bundle provides a strategy to implement PAD guidelines into everyday clinical practice. However, there is limited evidence on the effectiveness of the ABCDE bundle in the literature. The purpose of this study was to evaluate the feasibility of conducting a full-scale randomised controlled trial comparing the ABCDE bundle to standard care in an ICU. Trial feasibility was defined as the successful recruitment and retention of trial participants, adherence to the intervention, identification of barriers to the intervention, and the rigorous collection of outcome data. A prospective, single-centre, randomised controlled feasibility study was conducted. Thirty adult mechanically ventilated participants were recruited from an eight-bed ICU in south east Queensland, Australia, between April 2015 and December 2015. Participants were randomised to receive either the ABCDE bundle or standard routine management. The ABCDE bundle integrated prescribed awakening and breathing trials, delirium monitoring and management, and prescribed exercise and mobility regimes. Feasibility outcomes measured included recruitment and retention rates, intervention fidelity, and the feasibility of participant outcome data collection. Outcome measurement assessors were blinded to participant assignment. It was not possible to blind the research team or the participant to group assignment. In total, 30 (81.1%) of 37 eligible participants consented and were randomised to the intervention group (n</w:instrText>
      </w:r>
      <w:r w:rsidR="00F94450" w:rsidRPr="00842F43">
        <w:rPr>
          <w:rFonts w:ascii="Arial" w:hAnsi="Arial" w:cs="Arial"/>
          <w:sz w:val="20"/>
          <w:szCs w:val="20"/>
          <w:vertAlign w:val="superscript"/>
        </w:rPr>
        <w:instrText> </w:instrText>
      </w:r>
      <w:r w:rsidR="00F94450" w:rsidRPr="00842F43">
        <w:rPr>
          <w:rFonts w:ascii="Fira Sans" w:hAnsi="Fira Sans"/>
          <w:sz w:val="20"/>
          <w:szCs w:val="20"/>
          <w:vertAlign w:val="superscript"/>
        </w:rPr>
        <w:instrText>=</w:instrText>
      </w:r>
      <w:r w:rsidR="00F94450" w:rsidRPr="00842F43">
        <w:rPr>
          <w:rFonts w:ascii="Arial" w:hAnsi="Arial" w:cs="Arial"/>
          <w:sz w:val="20"/>
          <w:szCs w:val="20"/>
          <w:vertAlign w:val="superscript"/>
        </w:rPr>
        <w:instrText> </w:instrText>
      </w:r>
      <w:r w:rsidR="00F94450" w:rsidRPr="00842F43">
        <w:rPr>
          <w:rFonts w:ascii="Fira Sans" w:hAnsi="Fira Sans"/>
          <w:sz w:val="20"/>
          <w:szCs w:val="20"/>
          <w:vertAlign w:val="superscript"/>
        </w:rPr>
        <w:instrText>15) or the control group (n</w:instrText>
      </w:r>
      <w:r w:rsidR="00F94450" w:rsidRPr="00842F43">
        <w:rPr>
          <w:rFonts w:ascii="Arial" w:hAnsi="Arial" w:cs="Arial"/>
          <w:sz w:val="20"/>
          <w:szCs w:val="20"/>
          <w:vertAlign w:val="superscript"/>
        </w:rPr>
        <w:instrText> </w:instrText>
      </w:r>
      <w:r w:rsidR="00F94450" w:rsidRPr="00842F43">
        <w:rPr>
          <w:rFonts w:ascii="Fira Sans" w:hAnsi="Fira Sans"/>
          <w:sz w:val="20"/>
          <w:szCs w:val="20"/>
          <w:vertAlign w:val="superscript"/>
        </w:rPr>
        <w:instrText>=</w:instrText>
      </w:r>
      <w:r w:rsidR="00F94450" w:rsidRPr="00842F43">
        <w:rPr>
          <w:rFonts w:ascii="Arial" w:hAnsi="Arial" w:cs="Arial"/>
          <w:sz w:val="20"/>
          <w:szCs w:val="20"/>
          <w:vertAlign w:val="superscript"/>
        </w:rPr>
        <w:instrText> </w:instrText>
      </w:r>
      <w:r w:rsidR="00F94450" w:rsidRPr="00842F43">
        <w:rPr>
          <w:rFonts w:ascii="Fira Sans" w:hAnsi="Fira Sans"/>
          <w:sz w:val="20"/>
          <w:szCs w:val="20"/>
          <w:vertAlign w:val="superscript"/>
        </w:rPr>
        <w:instrText>15). Of these, 23 (76.6%) participants successfully completed the 90-day post discharge assessment. A lengthy recruitment period of 8&amp;nbsp;months was related to overly stringent inclusion and exclusion criteria. Intervention adherence exceeded defined success rates with participation in awakening and breathing trials, delirium monitoring and exercise interventions performed on 80.2, 97.4 and 90.2% of ventilated days respectively. Outcome assessments were successfully and accurately performed at ICU and hospital discharge and 90-day post hospital discharge. Intervention participants were deemed to be delir…","author":[{"dropping-particle":"","family":"Sosnowski","given":"Kellie","non-dropping-particle":"","parse-names":false,"suffix":""},{"dropping-particle":"","family":"Mitchell","given":"Marion L.","non-dropping-particle":"","parse-names":false,"suffix":""},{"dropping-particle":"","family":"White","given":"Hayden","non-dropping-particle":"","parse-names":false,"suffix":""},{"dropping-particle":"","family":"Morrison","given":"Lynette","non-dropping-particle":"","parse-names":false,"suffix":""},{"dropping-particle":"","family":"Sutton","given":"Joanne","non-dropping-particle":"","parse-names":false,"suffix":""},{"dropping-particle":"","family":"Sharratt","given":"Jessica","non-dropping-particle":"","parse-names":false,"suffix":""},{"dropping-particle":"","family":"Lin","given":"Frances","non-dropping-particle":"","parse-names":false,"suffix":""}],"container-title":"Pilot and Feasibility Studies","id":"ITEM-1","issue":"1","issued":{"date-parts":[["2018","12","11"]]},"page":"32","publisher":"BioMed Central","title":"A feasibility study of a randomised controlled trial to examine the impact of the ABCDE bundle on quality of life in ICU survivors","type":"article-journal","volume":"4"},"uris":["http://www.mendeley.com/documents/?uuid=574b1c18-feb6-30a5-8b6b-97b6ab1ad311"]}],"mendeley":{"formattedCitation":"(61)","manualFormatting":"(34)","plainTextFormattedCitation":"(61)","previouslyFormattedCitation":"(61)"},"properties":{"noteIndex":0},"schema":"https://github.com/citation-style-language/schema/raw/master/csl-citation.json"}</w:instrText>
      </w:r>
      <w:r w:rsidR="00BA739E" w:rsidRPr="00842F43">
        <w:rPr>
          <w:rFonts w:ascii="Fira Sans" w:hAnsi="Fira Sans"/>
          <w:sz w:val="20"/>
          <w:szCs w:val="20"/>
          <w:vertAlign w:val="superscript"/>
        </w:rPr>
        <w:fldChar w:fldCharType="separate"/>
      </w:r>
      <w:r w:rsidR="005D6B1D" w:rsidRPr="00842F43">
        <w:rPr>
          <w:rFonts w:ascii="Fira Sans" w:hAnsi="Fira Sans"/>
          <w:noProof/>
          <w:sz w:val="20"/>
          <w:szCs w:val="20"/>
          <w:vertAlign w:val="superscript"/>
        </w:rPr>
        <w:t>(</w:t>
      </w:r>
      <w:r w:rsidR="00A06A6E" w:rsidRPr="00842F43">
        <w:rPr>
          <w:rFonts w:ascii="Fira Sans" w:hAnsi="Fira Sans"/>
          <w:noProof/>
          <w:sz w:val="20"/>
          <w:szCs w:val="20"/>
          <w:vertAlign w:val="superscript"/>
        </w:rPr>
        <w:t>61</w:t>
      </w:r>
      <w:r w:rsidR="005D6B1D" w:rsidRPr="00842F43">
        <w:rPr>
          <w:rFonts w:ascii="Fira Sans" w:hAnsi="Fira Sans"/>
          <w:noProof/>
          <w:sz w:val="20"/>
          <w:szCs w:val="20"/>
          <w:vertAlign w:val="superscript"/>
        </w:rPr>
        <w:t>)</w:t>
      </w:r>
      <w:r w:rsidR="00BA739E" w:rsidRPr="00842F43">
        <w:rPr>
          <w:rFonts w:ascii="Fira Sans" w:hAnsi="Fira Sans"/>
          <w:sz w:val="20"/>
          <w:szCs w:val="20"/>
          <w:vertAlign w:val="superscript"/>
        </w:rPr>
        <w:fldChar w:fldCharType="end"/>
      </w:r>
      <w:r w:rsidR="00BA739E" w:rsidRPr="00842F43">
        <w:rPr>
          <w:rFonts w:ascii="Fira Sans" w:hAnsi="Fira Sans"/>
          <w:sz w:val="20"/>
          <w:szCs w:val="20"/>
        </w:rPr>
        <w:t xml:space="preserve"> </w:t>
      </w:r>
      <w:r w:rsidR="00A611A7" w:rsidRPr="00842F43">
        <w:rPr>
          <w:rFonts w:ascii="Fira Sans" w:hAnsi="Fira Sans"/>
          <w:sz w:val="20"/>
          <w:szCs w:val="20"/>
        </w:rPr>
        <w:t>Twenty-six consenting participants ensure</w:t>
      </w:r>
      <w:r w:rsidRPr="00842F43">
        <w:rPr>
          <w:rFonts w:ascii="Fira Sans" w:hAnsi="Fira Sans"/>
          <w:sz w:val="20"/>
          <w:szCs w:val="20"/>
        </w:rPr>
        <w:t>d</w:t>
      </w:r>
      <w:r w:rsidR="00A611A7" w:rsidRPr="00842F43">
        <w:rPr>
          <w:rFonts w:ascii="Fira Sans" w:hAnsi="Fira Sans"/>
          <w:sz w:val="20"/>
          <w:szCs w:val="20"/>
        </w:rPr>
        <w:t xml:space="preserve"> a comprehensive evaluation of feasibility</w:t>
      </w:r>
      <w:r w:rsidR="00BF5896" w:rsidRPr="00842F43">
        <w:rPr>
          <w:rFonts w:ascii="Fira Sans" w:hAnsi="Fira Sans"/>
          <w:sz w:val="20"/>
          <w:szCs w:val="20"/>
        </w:rPr>
        <w:t xml:space="preserve">, with 13 randomised to </w:t>
      </w:r>
      <w:r w:rsidR="001A5261" w:rsidRPr="00842F43">
        <w:rPr>
          <w:rFonts w:ascii="Fira Sans" w:hAnsi="Fira Sans"/>
          <w:sz w:val="20"/>
          <w:szCs w:val="20"/>
        </w:rPr>
        <w:t>CG</w:t>
      </w:r>
      <w:r w:rsidR="0016736F" w:rsidRPr="00842F43">
        <w:rPr>
          <w:rFonts w:ascii="Fira Sans" w:hAnsi="Fira Sans"/>
          <w:sz w:val="20"/>
          <w:szCs w:val="20"/>
        </w:rPr>
        <w:t xml:space="preserve"> </w:t>
      </w:r>
      <w:r w:rsidR="00BF5896" w:rsidRPr="00842F43">
        <w:rPr>
          <w:rFonts w:ascii="Fira Sans" w:hAnsi="Fira Sans"/>
          <w:sz w:val="20"/>
          <w:szCs w:val="20"/>
        </w:rPr>
        <w:t>and 13 to EMDR</w:t>
      </w:r>
      <w:r w:rsidR="00A611A7" w:rsidRPr="00842F43">
        <w:rPr>
          <w:rFonts w:ascii="Fira Sans" w:hAnsi="Fira Sans"/>
          <w:sz w:val="20"/>
          <w:szCs w:val="20"/>
        </w:rPr>
        <w:t>.</w:t>
      </w:r>
      <w:r w:rsidR="00A44961" w:rsidRPr="00842F43" w:rsidDel="00775FC6">
        <w:rPr>
          <w:rFonts w:ascii="Fira Sans" w:hAnsi="Fira Sans"/>
          <w:sz w:val="20"/>
          <w:szCs w:val="20"/>
        </w:rPr>
        <w:t xml:space="preserve"> </w:t>
      </w:r>
      <w:r w:rsidR="00B658C9" w:rsidRPr="00842F43">
        <w:rPr>
          <w:rFonts w:ascii="Fira Sans" w:hAnsi="Fira Sans"/>
          <w:sz w:val="20"/>
          <w:szCs w:val="20"/>
        </w:rPr>
        <w:t xml:space="preserve">The </w:t>
      </w:r>
      <w:r w:rsidRPr="00842F43">
        <w:rPr>
          <w:rFonts w:ascii="Fira Sans" w:hAnsi="Fira Sans"/>
          <w:sz w:val="20"/>
          <w:szCs w:val="20"/>
        </w:rPr>
        <w:t xml:space="preserve">study </w:t>
      </w:r>
      <w:r w:rsidR="00B658C9" w:rsidRPr="00842F43">
        <w:rPr>
          <w:rFonts w:ascii="Fira Sans" w:hAnsi="Fira Sans"/>
          <w:sz w:val="20"/>
          <w:szCs w:val="20"/>
        </w:rPr>
        <w:t xml:space="preserve">statistician </w:t>
      </w:r>
      <w:r w:rsidR="0012100A" w:rsidRPr="00842F43">
        <w:rPr>
          <w:rFonts w:ascii="Fira Sans" w:hAnsi="Fira Sans"/>
          <w:sz w:val="20"/>
          <w:szCs w:val="20"/>
        </w:rPr>
        <w:t>was blind to group allocation and downloaded data from ALEA</w:t>
      </w:r>
      <w:r w:rsidR="0012100A" w:rsidRPr="00842F43">
        <w:rPr>
          <w:rFonts w:ascii="Fira Sans" w:hAnsi="Fira Sans"/>
          <w:sz w:val="20"/>
          <w:szCs w:val="20"/>
          <w:vertAlign w:val="superscript"/>
        </w:rPr>
        <w:t xml:space="preserve">TM </w:t>
      </w:r>
      <w:r w:rsidR="0012100A" w:rsidRPr="00842F43">
        <w:rPr>
          <w:rFonts w:ascii="Fira Sans" w:hAnsi="Fira Sans"/>
          <w:sz w:val="20"/>
          <w:szCs w:val="20"/>
        </w:rPr>
        <w:t>to IBM SPSS</w:t>
      </w:r>
      <w:r w:rsidR="0012100A" w:rsidRPr="00842F43">
        <w:rPr>
          <w:rFonts w:ascii="Fira Sans" w:hAnsi="Fira Sans"/>
          <w:sz w:val="20"/>
          <w:szCs w:val="20"/>
          <w:vertAlign w:val="superscript"/>
        </w:rPr>
        <w:t>TM</w:t>
      </w:r>
      <w:r w:rsidR="0012100A" w:rsidRPr="00842F43">
        <w:rPr>
          <w:rFonts w:ascii="Fira Sans" w:hAnsi="Fira Sans"/>
          <w:sz w:val="20"/>
          <w:szCs w:val="20"/>
        </w:rPr>
        <w:t xml:space="preserve"> to perform statistical analyses</w:t>
      </w:r>
      <w:r w:rsidR="00BF5896" w:rsidRPr="00842F43">
        <w:rPr>
          <w:rFonts w:ascii="Fira Sans" w:hAnsi="Fira Sans"/>
          <w:sz w:val="20"/>
          <w:szCs w:val="20"/>
        </w:rPr>
        <w:t xml:space="preserve"> of clinical outcomes</w:t>
      </w:r>
      <w:r w:rsidR="0012100A" w:rsidRPr="00842F43">
        <w:rPr>
          <w:rFonts w:ascii="Fira Sans" w:hAnsi="Fira Sans"/>
          <w:sz w:val="20"/>
          <w:szCs w:val="20"/>
        </w:rPr>
        <w:t xml:space="preserve">. </w:t>
      </w:r>
      <w:r w:rsidR="000857FE" w:rsidRPr="00842F43">
        <w:rPr>
          <w:rFonts w:ascii="Fira Sans" w:hAnsi="Fira Sans"/>
          <w:color w:val="333333"/>
          <w:sz w:val="20"/>
          <w:szCs w:val="20"/>
          <w:shd w:val="clear" w:color="auto" w:fill="FFFFFF"/>
        </w:rPr>
        <w:t>Demographics and baseline characteristics were compared using the Pearson Chi-Square test, or the Fisher’s exact test, if nominal, or the Student’s t test, or Mann–Whitney U test, if quantitative.</w:t>
      </w:r>
      <w:r w:rsidR="009E2DF3" w:rsidRPr="00842F43">
        <w:rPr>
          <w:rFonts w:ascii="Fira Sans" w:hAnsi="Fira Sans"/>
          <w:sz w:val="20"/>
          <w:szCs w:val="20"/>
        </w:rPr>
        <w:t xml:space="preserve"> </w:t>
      </w:r>
      <w:r w:rsidR="00547949" w:rsidRPr="00842F43">
        <w:rPr>
          <w:rFonts w:ascii="Fira Sans" w:hAnsi="Fira Sans"/>
          <w:sz w:val="20"/>
          <w:szCs w:val="20"/>
        </w:rPr>
        <w:t>Demographic</w:t>
      </w:r>
      <w:r w:rsidR="006D42EB" w:rsidRPr="00842F43">
        <w:rPr>
          <w:rFonts w:ascii="Fira Sans" w:hAnsi="Fira Sans"/>
          <w:sz w:val="20"/>
          <w:szCs w:val="20"/>
        </w:rPr>
        <w:t xml:space="preserve"> data are reported as</w:t>
      </w:r>
      <w:r w:rsidR="009E2DF3" w:rsidRPr="00842F43">
        <w:rPr>
          <w:rFonts w:ascii="Fira Sans" w:hAnsi="Fira Sans"/>
          <w:sz w:val="20"/>
          <w:szCs w:val="20"/>
        </w:rPr>
        <w:t xml:space="preserve"> numbers (</w:t>
      </w:r>
      <w:r w:rsidR="006D42EB" w:rsidRPr="00842F43">
        <w:rPr>
          <w:rFonts w:ascii="Fira Sans" w:hAnsi="Fira Sans"/>
          <w:sz w:val="20"/>
          <w:szCs w:val="20"/>
        </w:rPr>
        <w:t>percentage</w:t>
      </w:r>
      <w:r w:rsidR="009E2DF3" w:rsidRPr="00842F43">
        <w:rPr>
          <w:rFonts w:ascii="Fira Sans" w:hAnsi="Fira Sans"/>
          <w:sz w:val="20"/>
          <w:szCs w:val="20"/>
        </w:rPr>
        <w:t>), mean (standard deviation (SD)) and median (inter-quartile range (IQR)) where appropriate</w:t>
      </w:r>
      <w:r w:rsidR="003A29DD" w:rsidRPr="00842F43">
        <w:rPr>
          <w:rFonts w:ascii="Fira Sans" w:hAnsi="Fira Sans"/>
          <w:sz w:val="20"/>
          <w:szCs w:val="20"/>
        </w:rPr>
        <w:t>.</w:t>
      </w:r>
      <w:r w:rsidR="006D42EB" w:rsidRPr="00842F43">
        <w:rPr>
          <w:rFonts w:ascii="Fira Sans" w:hAnsi="Fira Sans"/>
          <w:sz w:val="20"/>
          <w:szCs w:val="20"/>
        </w:rPr>
        <w:t xml:space="preserve"> </w:t>
      </w:r>
      <w:r w:rsidR="003A29DD" w:rsidRPr="00842F43">
        <w:rPr>
          <w:rFonts w:ascii="Fira Sans" w:hAnsi="Fira Sans"/>
          <w:sz w:val="20"/>
          <w:szCs w:val="20"/>
        </w:rPr>
        <w:t xml:space="preserve">Clinical </w:t>
      </w:r>
      <w:r w:rsidR="00547949" w:rsidRPr="00842F43">
        <w:rPr>
          <w:rFonts w:ascii="Fira Sans" w:hAnsi="Fira Sans"/>
          <w:sz w:val="20"/>
          <w:szCs w:val="20"/>
        </w:rPr>
        <w:t xml:space="preserve">outcome data are reported as change from </w:t>
      </w:r>
      <w:r w:rsidRPr="00842F43">
        <w:rPr>
          <w:rFonts w:ascii="Fira Sans" w:hAnsi="Fira Sans"/>
          <w:sz w:val="20"/>
          <w:szCs w:val="20"/>
        </w:rPr>
        <w:t>B</w:t>
      </w:r>
      <w:r w:rsidR="00547949" w:rsidRPr="00842F43">
        <w:rPr>
          <w:rFonts w:ascii="Fira Sans" w:hAnsi="Fira Sans"/>
          <w:sz w:val="20"/>
          <w:szCs w:val="20"/>
        </w:rPr>
        <w:t xml:space="preserve">aseline to </w:t>
      </w:r>
      <w:r w:rsidRPr="00842F43">
        <w:rPr>
          <w:rFonts w:ascii="Fira Sans" w:hAnsi="Fira Sans"/>
          <w:sz w:val="20"/>
          <w:szCs w:val="20"/>
        </w:rPr>
        <w:t>F</w:t>
      </w:r>
      <w:r w:rsidR="00547949" w:rsidRPr="00842F43">
        <w:rPr>
          <w:rFonts w:ascii="Fira Sans" w:hAnsi="Fira Sans"/>
          <w:sz w:val="20"/>
          <w:szCs w:val="20"/>
        </w:rPr>
        <w:t>ollow-up. These data</w:t>
      </w:r>
      <w:r w:rsidR="00B779E2" w:rsidRPr="00842F43">
        <w:rPr>
          <w:rFonts w:ascii="Fira Sans" w:hAnsi="Fira Sans"/>
          <w:sz w:val="20"/>
          <w:szCs w:val="20"/>
        </w:rPr>
        <w:t xml:space="preserve"> </w:t>
      </w:r>
      <w:r w:rsidR="006D42EB" w:rsidRPr="00842F43">
        <w:rPr>
          <w:rFonts w:ascii="Fira Sans" w:hAnsi="Fira Sans"/>
          <w:sz w:val="20"/>
          <w:szCs w:val="20"/>
        </w:rPr>
        <w:t>we</w:t>
      </w:r>
      <w:r w:rsidR="00B779E2" w:rsidRPr="00842F43">
        <w:rPr>
          <w:rFonts w:ascii="Fira Sans" w:hAnsi="Fira Sans"/>
          <w:sz w:val="20"/>
          <w:szCs w:val="20"/>
        </w:rPr>
        <w:t xml:space="preserve">re </w:t>
      </w:r>
      <w:r w:rsidR="006D42EB" w:rsidRPr="00842F43">
        <w:rPr>
          <w:rFonts w:ascii="Fira Sans" w:hAnsi="Fira Sans"/>
          <w:sz w:val="20"/>
          <w:szCs w:val="20"/>
        </w:rPr>
        <w:t>assessed for normal distribution using the Shapiro-Wilk test</w:t>
      </w:r>
      <w:r w:rsidR="008C5C7B" w:rsidRPr="00842F43">
        <w:rPr>
          <w:rFonts w:ascii="Fira Sans" w:hAnsi="Fira Sans"/>
          <w:sz w:val="20"/>
          <w:szCs w:val="20"/>
        </w:rPr>
        <w:t>.</w:t>
      </w:r>
      <w:r w:rsidR="00D97503"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{"citationItems":[{"id":"ITEM-1","itemData":{"ISBN":"9789673631575","abstract":"The importance of normal distribution is undeniable since it is an underlying assumption of many statistical procedures such as I-tests, linear regression analysis, discriminant analysis and Analysis of Variance (ANOVA). When the normality assumption is violated, interpretation and inferences may not be reliable or valid. The three common procedures in assessing whether a random sample of independent observations of size n come from a population with a normal distribution are: graphical methods (histograms, boxplots, Q-Q-plots), numerical methods (skewness and kurtosis indices) and formal normality tests. This paper* compares the power of four formal tests of normality: Shapiro-Wilk (SW) test, Kolmogorov-Smirnov (KS) test, Lillie/ors (LF) test and Anderson-Darling (AD) test. Power comparisons of these four tests were obtained via Monte Carlo simulation of sample data generated from alternative distributions that follow symmetric and asymmetric distributions. Ten thousand samples of various sample size were generated from each of the given alternative symmetric and asymmetric distributions. The power of each test was then obtained by comparing the test of normality statistics with the respective critical values. Results show that Shapiro-Wilk test is the most powerful normality test, followed by Anderson-Darling test, Lillie/ors test and Kolmogorov-Smirnov test. However, the power of all four tests is still low for small sample size.","author":[{"dropping-particle":"","family":"Mohd Razali","given":"Nornadiah","non-dropping-particle":"","parse-names":false,"suffix":""},{"dropping-particle":"","family":"Bee Wah","given":"Yap","non-dropping-particle":"","parse-names":false,"suffix":""}],"container-title":"Journal of Statistical Modeling and Analytics","id":"ITEM-1","issued":{"date-parts":[["2011"]]},"number-of-pages":"21-33","title":"Power comparisons of Shapiro-Wilk, Kolmogorov-Smirnov, Lilliefors and Anderson-Darling tests","type":"book","volume":"2"},"uris":["http://www.mendeley.com/documents/?uuid=6aaea2be-8bc9-3917-9348-2373f4901770"]}],"mendeley":{"formattedCitation":"(62)","manualFormatting":"(35)","plainTextFormattedCitation":"(62)","previouslyFormattedCitation":"(62)"},"properties":{"noteIndex":0},"schema":"https://github.com/citation-style-language/schema/raw/master/csl-citation.json"}</w:instrText>
      </w:r>
      <w:r w:rsidR="00D97503" w:rsidRPr="00842F43">
        <w:rPr>
          <w:rFonts w:ascii="Fira Sans" w:hAnsi="Fira Sans"/>
          <w:sz w:val="20"/>
          <w:szCs w:val="20"/>
          <w:vertAlign w:val="superscript"/>
        </w:rPr>
        <w:fldChar w:fldCharType="separate"/>
      </w:r>
      <w:r w:rsidR="005D6B1D" w:rsidRPr="00842F43">
        <w:rPr>
          <w:rFonts w:ascii="Fira Sans" w:hAnsi="Fira Sans"/>
          <w:noProof/>
          <w:sz w:val="20"/>
          <w:szCs w:val="20"/>
          <w:vertAlign w:val="superscript"/>
        </w:rPr>
        <w:t>(</w:t>
      </w:r>
      <w:r w:rsidR="00572CA0" w:rsidRPr="00842F43">
        <w:rPr>
          <w:rFonts w:ascii="Fira Sans" w:hAnsi="Fira Sans"/>
          <w:noProof/>
          <w:sz w:val="20"/>
          <w:szCs w:val="20"/>
          <w:vertAlign w:val="superscript"/>
        </w:rPr>
        <w:t>62</w:t>
      </w:r>
      <w:r w:rsidR="005D6B1D" w:rsidRPr="00842F43">
        <w:rPr>
          <w:rFonts w:ascii="Fira Sans" w:hAnsi="Fira Sans"/>
          <w:noProof/>
          <w:sz w:val="20"/>
          <w:szCs w:val="20"/>
          <w:vertAlign w:val="superscript"/>
        </w:rPr>
        <w:t>)</w:t>
      </w:r>
      <w:r w:rsidR="00D97503" w:rsidRPr="00842F43">
        <w:rPr>
          <w:rFonts w:ascii="Fira Sans" w:hAnsi="Fira Sans"/>
          <w:sz w:val="20"/>
          <w:szCs w:val="20"/>
          <w:vertAlign w:val="superscript"/>
        </w:rPr>
        <w:fldChar w:fldCharType="end"/>
      </w:r>
      <w:r w:rsidR="00D97503" w:rsidRPr="00842F43">
        <w:rPr>
          <w:rFonts w:ascii="Fira Sans" w:hAnsi="Fira Sans"/>
          <w:noProof/>
          <w:sz w:val="20"/>
          <w:szCs w:val="20"/>
        </w:rPr>
        <w:t xml:space="preserve"> Nor</w:t>
      </w:r>
      <w:r w:rsidR="00547949" w:rsidRPr="00842F43">
        <w:rPr>
          <w:rFonts w:ascii="Fira Sans" w:hAnsi="Fira Sans"/>
          <w:noProof/>
          <w:sz w:val="20"/>
          <w:szCs w:val="20"/>
        </w:rPr>
        <w:t>ma</w:t>
      </w:r>
      <w:r w:rsidR="00D97503" w:rsidRPr="00842F43">
        <w:rPr>
          <w:rFonts w:ascii="Fira Sans" w:hAnsi="Fira Sans"/>
          <w:noProof/>
          <w:sz w:val="20"/>
          <w:szCs w:val="20"/>
        </w:rPr>
        <w:t xml:space="preserve">lly distributed </w:t>
      </w:r>
      <w:r w:rsidR="00547949" w:rsidRPr="00842F43">
        <w:rPr>
          <w:rFonts w:ascii="Fira Sans" w:hAnsi="Fira Sans"/>
          <w:noProof/>
          <w:sz w:val="20"/>
          <w:szCs w:val="20"/>
        </w:rPr>
        <w:t>variables</w:t>
      </w:r>
      <w:r w:rsidR="00D97503" w:rsidRPr="00842F43">
        <w:rPr>
          <w:rFonts w:ascii="Fira Sans" w:hAnsi="Fira Sans"/>
          <w:noProof/>
          <w:sz w:val="20"/>
          <w:szCs w:val="20"/>
        </w:rPr>
        <w:t xml:space="preserve"> are </w:t>
      </w:r>
      <w:r w:rsidR="00B779E2" w:rsidRPr="00842F43">
        <w:rPr>
          <w:rFonts w:ascii="Fira Sans" w:hAnsi="Fira Sans"/>
          <w:sz w:val="20"/>
          <w:szCs w:val="20"/>
        </w:rPr>
        <w:t xml:space="preserve">reported as mean </w:t>
      </w:r>
      <w:r w:rsidR="000E5D91" w:rsidRPr="00842F43">
        <w:rPr>
          <w:rFonts w:ascii="Fira Sans" w:hAnsi="Fira Sans"/>
          <w:sz w:val="20"/>
          <w:szCs w:val="20"/>
        </w:rPr>
        <w:t>(SD</w:t>
      </w:r>
      <w:r w:rsidR="004E5998" w:rsidRPr="00842F43">
        <w:rPr>
          <w:rFonts w:ascii="Fira Sans" w:hAnsi="Fira Sans"/>
          <w:sz w:val="20"/>
          <w:szCs w:val="20"/>
        </w:rPr>
        <w:t>)</w:t>
      </w:r>
      <w:r w:rsidR="00B779E2" w:rsidRPr="00842F43">
        <w:rPr>
          <w:rFonts w:ascii="Fira Sans" w:hAnsi="Fira Sans"/>
          <w:sz w:val="20"/>
          <w:szCs w:val="20"/>
        </w:rPr>
        <w:t xml:space="preserve">. </w:t>
      </w:r>
      <w:r w:rsidR="00D97503" w:rsidRPr="00842F43">
        <w:rPr>
          <w:rFonts w:ascii="Fira Sans" w:hAnsi="Fira Sans"/>
          <w:sz w:val="20"/>
          <w:szCs w:val="20"/>
        </w:rPr>
        <w:t xml:space="preserve">Non-normally distributed variables are reported as median </w:t>
      </w:r>
      <w:r w:rsidR="000E5D91" w:rsidRPr="00842F43">
        <w:rPr>
          <w:rFonts w:ascii="Fira Sans" w:hAnsi="Fira Sans"/>
          <w:sz w:val="20"/>
          <w:szCs w:val="20"/>
        </w:rPr>
        <w:t>(IQR</w:t>
      </w:r>
      <w:r w:rsidR="00D97503" w:rsidRPr="00842F43">
        <w:rPr>
          <w:rFonts w:ascii="Fira Sans" w:hAnsi="Fira Sans"/>
          <w:sz w:val="20"/>
          <w:szCs w:val="20"/>
        </w:rPr>
        <w:t>).</w:t>
      </w:r>
      <w:r w:rsidR="004C2F7D" w:rsidRPr="00842F43">
        <w:rPr>
          <w:rFonts w:ascii="Fira Sans" w:hAnsi="Fira Sans"/>
          <w:sz w:val="20"/>
          <w:szCs w:val="20"/>
        </w:rPr>
        <w:t xml:space="preserve"> Where appropriate, variables are reported as number (percentage) of the study population.</w:t>
      </w:r>
      <w:r w:rsidRPr="00842F43">
        <w:rPr>
          <w:rFonts w:ascii="Fira Sans" w:hAnsi="Fira Sans"/>
          <w:sz w:val="20"/>
          <w:szCs w:val="20"/>
        </w:rPr>
        <w:t xml:space="preserve"> </w:t>
      </w:r>
    </w:p>
    <w:p w14:paraId="30D74917" w14:textId="77777777" w:rsidR="0096443E" w:rsidRPr="00842F43" w:rsidRDefault="0096443E" w:rsidP="00842F43">
      <w:pPr>
        <w:spacing w:line="360" w:lineRule="auto"/>
        <w:rPr>
          <w:rFonts w:ascii="Fira Sans" w:hAnsi="Fira Sans"/>
          <w:sz w:val="20"/>
          <w:szCs w:val="20"/>
        </w:rPr>
      </w:pPr>
    </w:p>
    <w:p w14:paraId="7B65FC61" w14:textId="510B12A6" w:rsidR="00817665" w:rsidRPr="00842F43" w:rsidRDefault="00850F7E" w:rsidP="00842F43">
      <w:pPr>
        <w:spacing w:line="360" w:lineRule="auto"/>
        <w:rPr>
          <w:rFonts w:ascii="Fira Sans" w:hAnsi="Fira Sans"/>
          <w:sz w:val="20"/>
          <w:szCs w:val="20"/>
        </w:rPr>
      </w:pPr>
      <w:r w:rsidRPr="00842F43">
        <w:rPr>
          <w:rFonts w:ascii="Fira Sans" w:hAnsi="Fira Sans"/>
          <w:sz w:val="20"/>
          <w:szCs w:val="20"/>
        </w:rPr>
        <w:lastRenderedPageBreak/>
        <w:t>R</w:t>
      </w:r>
      <w:r w:rsidR="00BF20E1" w:rsidRPr="00842F43">
        <w:rPr>
          <w:rFonts w:ascii="Fira Sans" w:hAnsi="Fira Sans"/>
          <w:sz w:val="20"/>
          <w:szCs w:val="20"/>
        </w:rPr>
        <w:t>ESULTS</w:t>
      </w:r>
      <w:r w:rsidRPr="00842F43">
        <w:rPr>
          <w:rFonts w:ascii="Fira Sans" w:hAnsi="Fira Sans"/>
          <w:sz w:val="20"/>
          <w:szCs w:val="20"/>
        </w:rPr>
        <w:t xml:space="preserve"> </w:t>
      </w:r>
    </w:p>
    <w:p w14:paraId="6F95CEFD" w14:textId="54FA44B9" w:rsidR="002344D0" w:rsidRPr="00842F43" w:rsidRDefault="00876E91" w:rsidP="00842F43">
      <w:pPr>
        <w:spacing w:line="360" w:lineRule="auto"/>
        <w:rPr>
          <w:rFonts w:ascii="Fira Sans" w:hAnsi="Fira Sans"/>
          <w:i/>
          <w:iCs/>
          <w:sz w:val="20"/>
          <w:szCs w:val="20"/>
        </w:rPr>
      </w:pPr>
      <w:r w:rsidRPr="00842F43">
        <w:rPr>
          <w:rFonts w:ascii="Fira Sans" w:hAnsi="Fira Sans"/>
          <w:i/>
          <w:iCs/>
          <w:sz w:val="20"/>
          <w:szCs w:val="20"/>
        </w:rPr>
        <w:t>Feasibility</w:t>
      </w:r>
    </w:p>
    <w:p w14:paraId="096CD200" w14:textId="220CCD2D" w:rsidR="00D90C7F" w:rsidRPr="00842F43" w:rsidRDefault="00FC6CDB" w:rsidP="00842F43">
      <w:pPr>
        <w:spacing w:line="360" w:lineRule="auto"/>
        <w:rPr>
          <w:rFonts w:ascii="Fira Sans" w:hAnsi="Fira Sans"/>
          <w:sz w:val="20"/>
          <w:szCs w:val="20"/>
        </w:rPr>
      </w:pPr>
      <w:r w:rsidRPr="00842F43">
        <w:rPr>
          <w:rFonts w:ascii="Fira Sans" w:hAnsi="Fira Sans"/>
          <w:sz w:val="20"/>
          <w:szCs w:val="20"/>
        </w:rPr>
        <w:t xml:space="preserve">Seventy-five </w:t>
      </w:r>
      <w:r w:rsidR="008C5C7B" w:rsidRPr="00842F43">
        <w:rPr>
          <w:rFonts w:ascii="Fira Sans" w:hAnsi="Fira Sans"/>
          <w:sz w:val="20"/>
          <w:szCs w:val="20"/>
        </w:rPr>
        <w:t xml:space="preserve">consecutive, discharged </w:t>
      </w:r>
      <w:r w:rsidRPr="00842F43">
        <w:rPr>
          <w:rFonts w:ascii="Fira Sans" w:hAnsi="Fira Sans"/>
          <w:sz w:val="20"/>
          <w:szCs w:val="20"/>
        </w:rPr>
        <w:t>patients were screened for inclusion</w:t>
      </w:r>
      <w:r w:rsidR="0096443E" w:rsidRPr="00842F43">
        <w:rPr>
          <w:rFonts w:ascii="Fira Sans" w:hAnsi="Fira Sans"/>
          <w:sz w:val="20"/>
          <w:szCs w:val="20"/>
        </w:rPr>
        <w:t xml:space="preserve"> </w:t>
      </w:r>
      <w:r w:rsidR="00913285" w:rsidRPr="00842F43">
        <w:rPr>
          <w:rFonts w:ascii="Fira Sans" w:hAnsi="Fira Sans"/>
          <w:sz w:val="20"/>
          <w:szCs w:val="20"/>
        </w:rPr>
        <w:t>between October 2020 and April 2021</w:t>
      </w:r>
      <w:r w:rsidRPr="00842F43">
        <w:rPr>
          <w:rFonts w:ascii="Fira Sans" w:hAnsi="Fira Sans"/>
          <w:sz w:val="20"/>
          <w:szCs w:val="20"/>
        </w:rPr>
        <w:t xml:space="preserve">. </w:t>
      </w:r>
      <w:r w:rsidR="00442FF6" w:rsidRPr="00842F43">
        <w:rPr>
          <w:rFonts w:ascii="Fira Sans" w:hAnsi="Fira Sans"/>
          <w:sz w:val="20"/>
          <w:szCs w:val="20"/>
        </w:rPr>
        <w:t xml:space="preserve">Nine did not meet inclusion criteria. </w:t>
      </w:r>
      <w:r w:rsidR="00C74DDD" w:rsidRPr="00842F43">
        <w:rPr>
          <w:rFonts w:ascii="Fira Sans" w:hAnsi="Fira Sans"/>
          <w:sz w:val="20"/>
          <w:szCs w:val="20"/>
        </w:rPr>
        <w:t xml:space="preserve">We could not find contact details for </w:t>
      </w:r>
      <w:r w:rsidR="00442FF6" w:rsidRPr="00842F43">
        <w:rPr>
          <w:rFonts w:ascii="Fira Sans" w:hAnsi="Fira Sans"/>
          <w:sz w:val="20"/>
          <w:szCs w:val="20"/>
        </w:rPr>
        <w:t xml:space="preserve">10 patients and five were missed due to lack of research time for the CI. </w:t>
      </w:r>
      <w:r w:rsidR="00BC54F5" w:rsidRPr="00842F43">
        <w:rPr>
          <w:rFonts w:ascii="Fira Sans" w:hAnsi="Fira Sans"/>
          <w:sz w:val="20"/>
          <w:szCs w:val="20"/>
        </w:rPr>
        <w:t xml:space="preserve">Fifty-one eligible patients were approached, with 26(51%) consenting to participation over the 7-month recruitment period. </w:t>
      </w:r>
      <w:r w:rsidR="003B4619" w:rsidRPr="00842F43">
        <w:rPr>
          <w:rFonts w:ascii="Fira Sans" w:hAnsi="Fira Sans"/>
          <w:sz w:val="20"/>
          <w:szCs w:val="20"/>
        </w:rPr>
        <w:t>Thirteen participants</w:t>
      </w:r>
      <w:r w:rsidR="00670479" w:rsidRPr="00842F43">
        <w:rPr>
          <w:rFonts w:ascii="Fira Sans" w:hAnsi="Fira Sans"/>
          <w:sz w:val="20"/>
          <w:szCs w:val="20"/>
        </w:rPr>
        <w:t xml:space="preserve"> </w:t>
      </w:r>
      <w:r w:rsidR="003A31DB" w:rsidRPr="00842F43">
        <w:rPr>
          <w:rFonts w:ascii="Fira Sans" w:hAnsi="Fira Sans"/>
          <w:sz w:val="20"/>
          <w:szCs w:val="20"/>
        </w:rPr>
        <w:t xml:space="preserve">were </w:t>
      </w:r>
      <w:r w:rsidR="00670479" w:rsidRPr="00842F43">
        <w:rPr>
          <w:rFonts w:ascii="Fira Sans" w:hAnsi="Fira Sans"/>
          <w:sz w:val="20"/>
          <w:szCs w:val="20"/>
        </w:rPr>
        <w:t>allocated to</w:t>
      </w:r>
      <w:r w:rsidR="001A5261" w:rsidRPr="00842F43">
        <w:rPr>
          <w:rFonts w:ascii="Fira Sans" w:hAnsi="Fira Sans"/>
          <w:sz w:val="20"/>
          <w:szCs w:val="20"/>
        </w:rPr>
        <w:t xml:space="preserve"> the CG</w:t>
      </w:r>
      <w:r w:rsidR="00FD7DFC" w:rsidRPr="00842F43">
        <w:rPr>
          <w:rFonts w:ascii="Fira Sans" w:hAnsi="Fira Sans"/>
          <w:sz w:val="20"/>
          <w:szCs w:val="20"/>
        </w:rPr>
        <w:t xml:space="preserve">, and </w:t>
      </w:r>
      <w:r w:rsidR="003A31DB" w:rsidRPr="00842F43">
        <w:rPr>
          <w:rFonts w:ascii="Fira Sans" w:hAnsi="Fira Sans"/>
          <w:sz w:val="20"/>
          <w:szCs w:val="20"/>
        </w:rPr>
        <w:t xml:space="preserve">13 </w:t>
      </w:r>
      <w:r w:rsidR="0011715F" w:rsidRPr="00842F43">
        <w:rPr>
          <w:rFonts w:ascii="Fira Sans" w:hAnsi="Fira Sans"/>
          <w:sz w:val="20"/>
          <w:szCs w:val="20"/>
        </w:rPr>
        <w:t>to the intervention group</w:t>
      </w:r>
      <w:r w:rsidR="00F5645F" w:rsidRPr="00842F43">
        <w:rPr>
          <w:rFonts w:ascii="Fira Sans" w:hAnsi="Fira Sans"/>
          <w:sz w:val="20"/>
          <w:szCs w:val="20"/>
        </w:rPr>
        <w:t xml:space="preserve">. </w:t>
      </w:r>
      <w:r w:rsidR="00442FF6" w:rsidRPr="00842F43">
        <w:rPr>
          <w:rFonts w:ascii="Fira Sans" w:hAnsi="Fira Sans"/>
          <w:sz w:val="20"/>
          <w:szCs w:val="20"/>
        </w:rPr>
        <w:t xml:space="preserve">Recruitment, randomisation, retention and trial completion data are shown in Figure 2: Study flowchart (CONSORT) diagram. </w:t>
      </w:r>
      <w:r w:rsidR="003B4619" w:rsidRPr="00842F43">
        <w:rPr>
          <w:rFonts w:ascii="Fira Sans" w:hAnsi="Fira Sans"/>
          <w:sz w:val="20"/>
          <w:szCs w:val="20"/>
        </w:rPr>
        <w:t xml:space="preserve">Sixteen </w:t>
      </w:r>
      <w:r w:rsidR="00AB37AB" w:rsidRPr="00842F43">
        <w:rPr>
          <w:rFonts w:ascii="Fira Sans" w:hAnsi="Fira Sans"/>
          <w:sz w:val="20"/>
          <w:szCs w:val="20"/>
        </w:rPr>
        <w:t xml:space="preserve">(62%) </w:t>
      </w:r>
      <w:r w:rsidR="003B4619" w:rsidRPr="00842F43">
        <w:rPr>
          <w:rFonts w:ascii="Fira Sans" w:hAnsi="Fira Sans"/>
          <w:sz w:val="20"/>
          <w:szCs w:val="20"/>
        </w:rPr>
        <w:t>males and 10</w:t>
      </w:r>
      <w:r w:rsidR="00AB37AB" w:rsidRPr="00842F43">
        <w:rPr>
          <w:rFonts w:ascii="Fira Sans" w:hAnsi="Fira Sans"/>
          <w:sz w:val="20"/>
          <w:szCs w:val="20"/>
        </w:rPr>
        <w:t xml:space="preserve"> (38%)</w:t>
      </w:r>
      <w:r w:rsidR="003B4619" w:rsidRPr="00842F43">
        <w:rPr>
          <w:rFonts w:ascii="Fira Sans" w:hAnsi="Fira Sans"/>
          <w:sz w:val="20"/>
          <w:szCs w:val="20"/>
        </w:rPr>
        <w:t xml:space="preserve"> females were recruited, matching the proportion of patients admitted with severe COVID-19. Demographic and clinical characteristics are summarised in Table 1. There were no significant differences between groups in age, gender, ethnicity, BMI</w:t>
      </w:r>
      <w:r w:rsidR="007B0173" w:rsidRPr="00842F43">
        <w:rPr>
          <w:rFonts w:ascii="Fira Sans" w:hAnsi="Fira Sans"/>
          <w:sz w:val="20"/>
          <w:szCs w:val="20"/>
        </w:rPr>
        <w:t xml:space="preserve">, </w:t>
      </w:r>
      <w:r w:rsidR="003B4619" w:rsidRPr="00842F43">
        <w:rPr>
          <w:rFonts w:ascii="Fira Sans" w:hAnsi="Fira Sans"/>
          <w:sz w:val="20"/>
          <w:szCs w:val="20"/>
        </w:rPr>
        <w:t>admission severity (APACHEII)</w:t>
      </w:r>
      <w:r w:rsidR="007B0173" w:rsidRPr="00842F43">
        <w:rPr>
          <w:rFonts w:ascii="Fira Sans" w:hAnsi="Fira Sans"/>
          <w:sz w:val="20"/>
          <w:szCs w:val="20"/>
        </w:rPr>
        <w:t>, m</w:t>
      </w:r>
      <w:r w:rsidR="003A29DD" w:rsidRPr="00842F43">
        <w:rPr>
          <w:rFonts w:ascii="Fira Sans" w:hAnsi="Fira Sans"/>
          <w:sz w:val="20"/>
          <w:szCs w:val="20"/>
        </w:rPr>
        <w:t xml:space="preserve">edian ICU and hospital </w:t>
      </w:r>
      <w:r w:rsidR="0068371B" w:rsidRPr="00842F43">
        <w:rPr>
          <w:rFonts w:ascii="Fira Sans" w:hAnsi="Fira Sans"/>
          <w:sz w:val="20"/>
          <w:szCs w:val="20"/>
        </w:rPr>
        <w:t>length of stay (</w:t>
      </w:r>
      <w:r w:rsidR="003A29DD" w:rsidRPr="00842F43">
        <w:rPr>
          <w:rFonts w:ascii="Fira Sans" w:hAnsi="Fira Sans"/>
          <w:sz w:val="20"/>
          <w:szCs w:val="20"/>
        </w:rPr>
        <w:t>LOS</w:t>
      </w:r>
      <w:r w:rsidR="0068371B" w:rsidRPr="00842F43">
        <w:rPr>
          <w:rFonts w:ascii="Fira Sans" w:hAnsi="Fira Sans"/>
          <w:sz w:val="20"/>
          <w:szCs w:val="20"/>
        </w:rPr>
        <w:t>)</w:t>
      </w:r>
      <w:r w:rsidR="007B0173" w:rsidRPr="00842F43">
        <w:rPr>
          <w:rFonts w:ascii="Fira Sans" w:hAnsi="Fira Sans"/>
          <w:sz w:val="20"/>
          <w:szCs w:val="20"/>
        </w:rPr>
        <w:t>. B</w:t>
      </w:r>
      <w:r w:rsidR="003A29DD" w:rsidRPr="00842F43">
        <w:rPr>
          <w:rFonts w:ascii="Fira Sans" w:hAnsi="Fira Sans"/>
          <w:sz w:val="20"/>
          <w:szCs w:val="20"/>
        </w:rPr>
        <w:t xml:space="preserve">enzodiazepine use was higher in the EMDR </w:t>
      </w:r>
      <w:r w:rsidR="007B0173" w:rsidRPr="00842F43">
        <w:rPr>
          <w:rFonts w:ascii="Fira Sans" w:hAnsi="Fira Sans"/>
          <w:sz w:val="20"/>
          <w:szCs w:val="20"/>
        </w:rPr>
        <w:t xml:space="preserve">R-TEP </w:t>
      </w:r>
      <w:r w:rsidR="003A29DD" w:rsidRPr="00842F43">
        <w:rPr>
          <w:rFonts w:ascii="Fira Sans" w:hAnsi="Fira Sans"/>
          <w:sz w:val="20"/>
          <w:szCs w:val="20"/>
        </w:rPr>
        <w:t>group</w:t>
      </w:r>
      <w:r w:rsidR="007B0173" w:rsidRPr="00842F43">
        <w:rPr>
          <w:rFonts w:ascii="Fira Sans" w:hAnsi="Fira Sans"/>
          <w:sz w:val="20"/>
          <w:szCs w:val="20"/>
        </w:rPr>
        <w:t xml:space="preserve"> (46%) vs CG (23%), although this was not </w:t>
      </w:r>
      <w:r w:rsidR="00876E91" w:rsidRPr="00842F43">
        <w:rPr>
          <w:rFonts w:ascii="Fira Sans" w:hAnsi="Fira Sans"/>
          <w:sz w:val="20"/>
          <w:szCs w:val="20"/>
        </w:rPr>
        <w:t xml:space="preserve">statistically </w:t>
      </w:r>
      <w:r w:rsidR="007B0173" w:rsidRPr="00842F43">
        <w:rPr>
          <w:rFonts w:ascii="Fira Sans" w:hAnsi="Fira Sans"/>
          <w:sz w:val="20"/>
          <w:szCs w:val="20"/>
        </w:rPr>
        <w:t>significant</w:t>
      </w:r>
      <w:r w:rsidR="003A29DD" w:rsidRPr="00842F43">
        <w:rPr>
          <w:rFonts w:ascii="Fira Sans" w:hAnsi="Fira Sans"/>
          <w:sz w:val="20"/>
          <w:szCs w:val="20"/>
        </w:rPr>
        <w:t>.</w:t>
      </w:r>
      <w:r w:rsidR="00D90C7F" w:rsidRPr="00842F43">
        <w:rPr>
          <w:rFonts w:ascii="Fira Sans" w:hAnsi="Fira Sans"/>
          <w:sz w:val="20"/>
          <w:szCs w:val="20"/>
        </w:rPr>
        <w:t xml:space="preserve"> </w:t>
      </w:r>
    </w:p>
    <w:p w14:paraId="49E68FBC" w14:textId="75DA19EE" w:rsidR="000808C2" w:rsidRPr="00842F43" w:rsidRDefault="00370E23" w:rsidP="00842F43">
      <w:pPr>
        <w:spacing w:line="360" w:lineRule="auto"/>
        <w:rPr>
          <w:rFonts w:ascii="Fira Sans" w:hAnsi="Fira Sans"/>
          <w:sz w:val="20"/>
          <w:szCs w:val="20"/>
        </w:rPr>
      </w:pPr>
      <w:r w:rsidRPr="00842F43">
        <w:rPr>
          <w:rFonts w:ascii="Fira Sans" w:hAnsi="Fira Sans"/>
          <w:noProof/>
          <w:sz w:val="20"/>
          <w:szCs w:val="20"/>
        </w:rPr>
        <w:drawing>
          <wp:inline distT="0" distB="0" distL="0" distR="0" wp14:anchorId="4B21C907" wp14:editId="692F6B84">
            <wp:extent cx="3439794" cy="4244400"/>
            <wp:effectExtent l="0" t="0" r="254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39794" cy="4244400"/>
                    </a:xfrm>
                    <a:prstGeom prst="rect">
                      <a:avLst/>
                    </a:prstGeom>
                  </pic:spPr>
                </pic:pic>
              </a:graphicData>
            </a:graphic>
          </wp:inline>
        </w:drawing>
      </w:r>
    </w:p>
    <w:p w14:paraId="32F2C7E8" w14:textId="43E3881B" w:rsidR="000808C2" w:rsidRPr="00842F43" w:rsidRDefault="000808C2" w:rsidP="00842F43">
      <w:pPr>
        <w:spacing w:line="360" w:lineRule="auto"/>
        <w:rPr>
          <w:rFonts w:ascii="Fira Sans" w:hAnsi="Fira Sans"/>
          <w:sz w:val="20"/>
          <w:szCs w:val="20"/>
        </w:rPr>
      </w:pPr>
      <w:r w:rsidRPr="00842F43">
        <w:rPr>
          <w:rFonts w:ascii="Fira Sans" w:hAnsi="Fira Sans"/>
          <w:sz w:val="20"/>
          <w:szCs w:val="20"/>
        </w:rPr>
        <w:t xml:space="preserve">Figure </w:t>
      </w:r>
      <w:r w:rsidR="0095604E" w:rsidRPr="00842F43">
        <w:rPr>
          <w:rFonts w:ascii="Fira Sans" w:hAnsi="Fira Sans"/>
          <w:sz w:val="20"/>
          <w:szCs w:val="20"/>
        </w:rPr>
        <w:t>2</w:t>
      </w:r>
      <w:r w:rsidRPr="00842F43">
        <w:rPr>
          <w:rFonts w:ascii="Fira Sans" w:hAnsi="Fira Sans"/>
          <w:sz w:val="20"/>
          <w:szCs w:val="20"/>
        </w:rPr>
        <w:t>. Study flowchart (CONSORT diagram)</w:t>
      </w:r>
    </w:p>
    <w:p w14:paraId="4BF93854" w14:textId="77777777" w:rsidR="000808C2" w:rsidRPr="00842F43" w:rsidRDefault="000808C2" w:rsidP="00842F43">
      <w:pPr>
        <w:spacing w:line="360" w:lineRule="auto"/>
        <w:rPr>
          <w:rFonts w:ascii="Fira Sans" w:hAnsi="Fira Sans"/>
          <w:sz w:val="20"/>
          <w:szCs w:val="20"/>
        </w:rPr>
      </w:pPr>
    </w:p>
    <w:p w14:paraId="3B755FC3" w14:textId="19866D22" w:rsidR="000808C2" w:rsidRPr="00842F43" w:rsidRDefault="000808C2" w:rsidP="00842F43">
      <w:pPr>
        <w:spacing w:line="360" w:lineRule="auto"/>
        <w:rPr>
          <w:rFonts w:ascii="Fira Sans" w:hAnsi="Fira Sans"/>
          <w:sz w:val="20"/>
          <w:szCs w:val="20"/>
        </w:rPr>
      </w:pPr>
      <w:r w:rsidRPr="00842F43">
        <w:rPr>
          <w:rFonts w:ascii="Fira Sans" w:hAnsi="Fira Sans"/>
          <w:sz w:val="20"/>
          <w:szCs w:val="20"/>
        </w:rPr>
        <w:t>Table 1. Demographic and clinical characteristics at Baseline</w:t>
      </w:r>
    </w:p>
    <w:p w14:paraId="20E799E1" w14:textId="77777777" w:rsidR="000808C2" w:rsidRPr="00842F43" w:rsidRDefault="000808C2" w:rsidP="00842F43">
      <w:pPr>
        <w:spacing w:line="360" w:lineRule="auto"/>
        <w:rPr>
          <w:rFonts w:ascii="Fira Sans" w:hAnsi="Fira Sans"/>
          <w:sz w:val="20"/>
          <w:szCs w:val="20"/>
        </w:rPr>
      </w:pPr>
    </w:p>
    <w:p w14:paraId="047C4260" w14:textId="66EA88C4" w:rsidR="004E5998" w:rsidRPr="00842F43" w:rsidRDefault="004E5998" w:rsidP="00842F43">
      <w:pPr>
        <w:spacing w:line="360" w:lineRule="auto"/>
        <w:rPr>
          <w:rFonts w:ascii="Fira Sans" w:hAnsi="Fira Sans"/>
          <w:sz w:val="20"/>
          <w:szCs w:val="20"/>
        </w:rPr>
      </w:pPr>
    </w:p>
    <w:tbl>
      <w:tblPr>
        <w:tblStyle w:val="PlainTable2"/>
        <w:tblW w:w="9026" w:type="dxa"/>
        <w:tblLook w:val="0620" w:firstRow="1" w:lastRow="0" w:firstColumn="0" w:lastColumn="0" w:noHBand="1" w:noVBand="1"/>
      </w:tblPr>
      <w:tblGrid>
        <w:gridCol w:w="2603"/>
        <w:gridCol w:w="1652"/>
        <w:gridCol w:w="1680"/>
        <w:gridCol w:w="1660"/>
        <w:gridCol w:w="1431"/>
      </w:tblGrid>
      <w:tr w:rsidR="004E5998" w:rsidRPr="00842F43" w14:paraId="4D7EE9B2" w14:textId="77777777" w:rsidTr="002340E0">
        <w:trPr>
          <w:cnfStyle w:val="100000000000" w:firstRow="1" w:lastRow="0" w:firstColumn="0" w:lastColumn="0" w:oddVBand="0" w:evenVBand="0" w:oddHBand="0" w:evenHBand="0" w:firstRowFirstColumn="0" w:firstRowLastColumn="0" w:lastRowFirstColumn="0" w:lastRowLastColumn="0"/>
        </w:trPr>
        <w:tc>
          <w:tcPr>
            <w:tcW w:w="2603" w:type="dxa"/>
          </w:tcPr>
          <w:p w14:paraId="2E0AFD2C" w14:textId="77777777" w:rsidR="004E5998" w:rsidRPr="00842F43" w:rsidRDefault="004E5998" w:rsidP="00842F43">
            <w:pPr>
              <w:spacing w:line="360" w:lineRule="auto"/>
              <w:rPr>
                <w:rFonts w:ascii="Fira Sans" w:hAnsi="Fira Sans"/>
                <w:b w:val="0"/>
                <w:bCs w:val="0"/>
                <w:sz w:val="20"/>
                <w:szCs w:val="20"/>
              </w:rPr>
            </w:pPr>
            <w:r w:rsidRPr="00842F43">
              <w:rPr>
                <w:rFonts w:ascii="Fira Sans" w:hAnsi="Fira Sans"/>
                <w:b w:val="0"/>
                <w:bCs w:val="0"/>
                <w:sz w:val="20"/>
                <w:szCs w:val="20"/>
              </w:rPr>
              <w:t>Variables</w:t>
            </w:r>
          </w:p>
        </w:tc>
        <w:tc>
          <w:tcPr>
            <w:tcW w:w="1652" w:type="dxa"/>
          </w:tcPr>
          <w:p w14:paraId="769F3F79" w14:textId="77777777" w:rsidR="004E5998" w:rsidRPr="00842F43" w:rsidRDefault="004E5998" w:rsidP="00842F43">
            <w:pPr>
              <w:spacing w:line="360" w:lineRule="auto"/>
              <w:rPr>
                <w:rFonts w:ascii="Fira Sans" w:hAnsi="Fira Sans"/>
                <w:b w:val="0"/>
                <w:bCs w:val="0"/>
                <w:sz w:val="20"/>
                <w:szCs w:val="20"/>
              </w:rPr>
            </w:pPr>
            <w:r w:rsidRPr="00842F43">
              <w:rPr>
                <w:rFonts w:ascii="Fira Sans" w:hAnsi="Fira Sans"/>
                <w:b w:val="0"/>
                <w:bCs w:val="0"/>
                <w:sz w:val="20"/>
                <w:szCs w:val="20"/>
              </w:rPr>
              <w:t>All</w:t>
            </w:r>
          </w:p>
          <w:p w14:paraId="5652F187" w14:textId="77777777" w:rsidR="004E5998" w:rsidRPr="00842F43" w:rsidRDefault="004E5998" w:rsidP="00842F43">
            <w:pPr>
              <w:spacing w:line="360" w:lineRule="auto"/>
              <w:rPr>
                <w:rFonts w:ascii="Fira Sans" w:hAnsi="Fira Sans"/>
                <w:b w:val="0"/>
                <w:bCs w:val="0"/>
                <w:sz w:val="20"/>
                <w:szCs w:val="20"/>
              </w:rPr>
            </w:pPr>
            <w:r w:rsidRPr="00842F43">
              <w:rPr>
                <w:rFonts w:ascii="Fira Sans" w:hAnsi="Fira Sans"/>
                <w:b w:val="0"/>
                <w:bCs w:val="0"/>
                <w:sz w:val="20"/>
                <w:szCs w:val="20"/>
              </w:rPr>
              <w:t>(N=26)</w:t>
            </w:r>
          </w:p>
        </w:tc>
        <w:tc>
          <w:tcPr>
            <w:tcW w:w="1680" w:type="dxa"/>
          </w:tcPr>
          <w:p w14:paraId="4708A986" w14:textId="77777777" w:rsidR="004E5998" w:rsidRPr="00842F43" w:rsidRDefault="004E5998" w:rsidP="00842F43">
            <w:pPr>
              <w:spacing w:line="360" w:lineRule="auto"/>
              <w:rPr>
                <w:rFonts w:ascii="Fira Sans" w:hAnsi="Fira Sans"/>
                <w:b w:val="0"/>
                <w:bCs w:val="0"/>
                <w:sz w:val="20"/>
                <w:szCs w:val="20"/>
              </w:rPr>
            </w:pPr>
            <w:r w:rsidRPr="00842F43">
              <w:rPr>
                <w:rFonts w:ascii="Fira Sans" w:hAnsi="Fira Sans"/>
                <w:b w:val="0"/>
                <w:bCs w:val="0"/>
                <w:sz w:val="20"/>
                <w:szCs w:val="20"/>
              </w:rPr>
              <w:t>Control (N=13)</w:t>
            </w:r>
          </w:p>
        </w:tc>
        <w:tc>
          <w:tcPr>
            <w:tcW w:w="1660" w:type="dxa"/>
          </w:tcPr>
          <w:p w14:paraId="325C5F95" w14:textId="77777777" w:rsidR="004E5998" w:rsidRPr="00842F43" w:rsidRDefault="004E5998" w:rsidP="00842F43">
            <w:pPr>
              <w:spacing w:line="360" w:lineRule="auto"/>
              <w:rPr>
                <w:rFonts w:ascii="Fira Sans" w:hAnsi="Fira Sans"/>
                <w:b w:val="0"/>
                <w:bCs w:val="0"/>
                <w:sz w:val="20"/>
                <w:szCs w:val="20"/>
              </w:rPr>
            </w:pPr>
            <w:r w:rsidRPr="00842F43">
              <w:rPr>
                <w:rFonts w:ascii="Fira Sans" w:hAnsi="Fira Sans"/>
                <w:b w:val="0"/>
                <w:bCs w:val="0"/>
                <w:sz w:val="20"/>
                <w:szCs w:val="20"/>
              </w:rPr>
              <w:t>EMDR (N=13)</w:t>
            </w:r>
          </w:p>
        </w:tc>
        <w:tc>
          <w:tcPr>
            <w:tcW w:w="1431" w:type="dxa"/>
          </w:tcPr>
          <w:p w14:paraId="1CCBB22B" w14:textId="77777777" w:rsidR="004E5998" w:rsidRPr="00842F43" w:rsidRDefault="004E5998" w:rsidP="00842F43">
            <w:pPr>
              <w:spacing w:line="360" w:lineRule="auto"/>
              <w:rPr>
                <w:rFonts w:ascii="Fira Sans" w:hAnsi="Fira Sans"/>
                <w:b w:val="0"/>
                <w:bCs w:val="0"/>
                <w:sz w:val="20"/>
                <w:szCs w:val="20"/>
              </w:rPr>
            </w:pPr>
            <w:r w:rsidRPr="00842F43">
              <w:rPr>
                <w:rFonts w:ascii="Fira Sans" w:hAnsi="Fira Sans"/>
                <w:b w:val="0"/>
                <w:bCs w:val="0"/>
                <w:sz w:val="20"/>
                <w:szCs w:val="20"/>
              </w:rPr>
              <w:t>p-value</w:t>
            </w:r>
          </w:p>
        </w:tc>
      </w:tr>
      <w:tr w:rsidR="004E5998" w:rsidRPr="00842F43" w14:paraId="773D0884" w14:textId="77777777" w:rsidTr="002340E0">
        <w:tc>
          <w:tcPr>
            <w:tcW w:w="2603" w:type="dxa"/>
          </w:tcPr>
          <w:p w14:paraId="18D835D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Age, mean (SD), years</w:t>
            </w:r>
          </w:p>
        </w:tc>
        <w:tc>
          <w:tcPr>
            <w:tcW w:w="1652" w:type="dxa"/>
          </w:tcPr>
          <w:p w14:paraId="399673B0"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58.0 (15.3)</w:t>
            </w:r>
          </w:p>
        </w:tc>
        <w:tc>
          <w:tcPr>
            <w:tcW w:w="1680" w:type="dxa"/>
          </w:tcPr>
          <w:p w14:paraId="5BE1071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58.3 (16.5)</w:t>
            </w:r>
          </w:p>
        </w:tc>
        <w:tc>
          <w:tcPr>
            <w:tcW w:w="1660" w:type="dxa"/>
          </w:tcPr>
          <w:p w14:paraId="62D9191A"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57.7 (14.8)</w:t>
            </w:r>
          </w:p>
        </w:tc>
        <w:tc>
          <w:tcPr>
            <w:tcW w:w="1431" w:type="dxa"/>
          </w:tcPr>
          <w:p w14:paraId="3DA4D2F0"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0.923</w:t>
            </w:r>
          </w:p>
        </w:tc>
      </w:tr>
      <w:tr w:rsidR="004E5998" w:rsidRPr="00842F43" w14:paraId="4C91873E" w14:textId="77777777" w:rsidTr="002340E0">
        <w:tc>
          <w:tcPr>
            <w:tcW w:w="2603" w:type="dxa"/>
          </w:tcPr>
          <w:p w14:paraId="7B7CAD28"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lastRenderedPageBreak/>
              <w:t>Gender, male n (%)</w:t>
            </w:r>
          </w:p>
        </w:tc>
        <w:tc>
          <w:tcPr>
            <w:tcW w:w="1652" w:type="dxa"/>
          </w:tcPr>
          <w:p w14:paraId="790BC573"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16 (61.5)</w:t>
            </w:r>
          </w:p>
        </w:tc>
        <w:tc>
          <w:tcPr>
            <w:tcW w:w="1680" w:type="dxa"/>
          </w:tcPr>
          <w:p w14:paraId="53A2B89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8 (61.5)</w:t>
            </w:r>
          </w:p>
        </w:tc>
        <w:tc>
          <w:tcPr>
            <w:tcW w:w="1660" w:type="dxa"/>
          </w:tcPr>
          <w:p w14:paraId="2490AE1C"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8 (61.5)</w:t>
            </w:r>
          </w:p>
        </w:tc>
        <w:tc>
          <w:tcPr>
            <w:tcW w:w="1431" w:type="dxa"/>
          </w:tcPr>
          <w:p w14:paraId="5D742A8F"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1.00</w:t>
            </w:r>
          </w:p>
        </w:tc>
      </w:tr>
      <w:tr w:rsidR="004E5998" w:rsidRPr="00842F43" w14:paraId="1CE753D6" w14:textId="77777777" w:rsidTr="002340E0">
        <w:tc>
          <w:tcPr>
            <w:tcW w:w="2603" w:type="dxa"/>
          </w:tcPr>
          <w:p w14:paraId="05FE2075"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BMI</w:t>
            </w:r>
          </w:p>
        </w:tc>
        <w:tc>
          <w:tcPr>
            <w:tcW w:w="1652" w:type="dxa"/>
          </w:tcPr>
          <w:p w14:paraId="012FCE3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32.7 (6.82)</w:t>
            </w:r>
          </w:p>
        </w:tc>
        <w:tc>
          <w:tcPr>
            <w:tcW w:w="1680" w:type="dxa"/>
          </w:tcPr>
          <w:p w14:paraId="220615A7"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32.5 (6.70)</w:t>
            </w:r>
          </w:p>
        </w:tc>
        <w:tc>
          <w:tcPr>
            <w:tcW w:w="1660" w:type="dxa"/>
          </w:tcPr>
          <w:p w14:paraId="5E797811"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32.9 (7.21)</w:t>
            </w:r>
          </w:p>
        </w:tc>
        <w:tc>
          <w:tcPr>
            <w:tcW w:w="1431" w:type="dxa"/>
          </w:tcPr>
          <w:p w14:paraId="750005B1"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0.885</w:t>
            </w:r>
          </w:p>
        </w:tc>
      </w:tr>
      <w:tr w:rsidR="004E5998" w:rsidRPr="00842F43" w14:paraId="3FF4C27E" w14:textId="77777777" w:rsidTr="002340E0">
        <w:tc>
          <w:tcPr>
            <w:tcW w:w="2603" w:type="dxa"/>
          </w:tcPr>
          <w:p w14:paraId="7187E805"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Ethnicity n (%)</w:t>
            </w:r>
          </w:p>
        </w:tc>
        <w:tc>
          <w:tcPr>
            <w:tcW w:w="1652" w:type="dxa"/>
          </w:tcPr>
          <w:p w14:paraId="05DCF943" w14:textId="77777777" w:rsidR="004E5998" w:rsidRPr="00842F43" w:rsidRDefault="004E5998" w:rsidP="00842F43">
            <w:pPr>
              <w:spacing w:line="360" w:lineRule="auto"/>
              <w:rPr>
                <w:rFonts w:ascii="Fira Sans" w:hAnsi="Fira Sans"/>
                <w:sz w:val="20"/>
                <w:szCs w:val="20"/>
              </w:rPr>
            </w:pPr>
          </w:p>
        </w:tc>
        <w:tc>
          <w:tcPr>
            <w:tcW w:w="1680" w:type="dxa"/>
          </w:tcPr>
          <w:p w14:paraId="0953331E" w14:textId="77777777" w:rsidR="004E5998" w:rsidRPr="00842F43" w:rsidRDefault="004E5998" w:rsidP="00842F43">
            <w:pPr>
              <w:spacing w:line="360" w:lineRule="auto"/>
              <w:rPr>
                <w:rFonts w:ascii="Fira Sans" w:hAnsi="Fira Sans"/>
                <w:sz w:val="20"/>
                <w:szCs w:val="20"/>
              </w:rPr>
            </w:pPr>
          </w:p>
        </w:tc>
        <w:tc>
          <w:tcPr>
            <w:tcW w:w="1660" w:type="dxa"/>
          </w:tcPr>
          <w:p w14:paraId="57DCCD14" w14:textId="77777777" w:rsidR="004E5998" w:rsidRPr="00842F43" w:rsidRDefault="004E5998" w:rsidP="00842F43">
            <w:pPr>
              <w:spacing w:line="360" w:lineRule="auto"/>
              <w:rPr>
                <w:rFonts w:ascii="Fira Sans" w:hAnsi="Fira Sans"/>
                <w:sz w:val="20"/>
                <w:szCs w:val="20"/>
              </w:rPr>
            </w:pPr>
          </w:p>
        </w:tc>
        <w:tc>
          <w:tcPr>
            <w:tcW w:w="1431" w:type="dxa"/>
          </w:tcPr>
          <w:p w14:paraId="4CB4678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0.593</w:t>
            </w:r>
          </w:p>
        </w:tc>
      </w:tr>
      <w:tr w:rsidR="004E5998" w:rsidRPr="00842F43" w14:paraId="06146EA2" w14:textId="77777777" w:rsidTr="002340E0">
        <w:tc>
          <w:tcPr>
            <w:tcW w:w="2603" w:type="dxa"/>
          </w:tcPr>
          <w:p w14:paraId="2BD63FCE"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White (British)</w:t>
            </w:r>
          </w:p>
        </w:tc>
        <w:tc>
          <w:tcPr>
            <w:tcW w:w="1652" w:type="dxa"/>
          </w:tcPr>
          <w:p w14:paraId="555A881E"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23 (88.5)</w:t>
            </w:r>
          </w:p>
        </w:tc>
        <w:tc>
          <w:tcPr>
            <w:tcW w:w="1680" w:type="dxa"/>
          </w:tcPr>
          <w:p w14:paraId="0D24CF47"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11 (84.6)</w:t>
            </w:r>
          </w:p>
        </w:tc>
        <w:tc>
          <w:tcPr>
            <w:tcW w:w="1660" w:type="dxa"/>
          </w:tcPr>
          <w:p w14:paraId="58308B3E"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12 (92.3)</w:t>
            </w:r>
          </w:p>
        </w:tc>
        <w:tc>
          <w:tcPr>
            <w:tcW w:w="1431" w:type="dxa"/>
          </w:tcPr>
          <w:p w14:paraId="595AA90E" w14:textId="77777777" w:rsidR="004E5998" w:rsidRPr="00842F43" w:rsidRDefault="004E5998" w:rsidP="00842F43">
            <w:pPr>
              <w:spacing w:line="360" w:lineRule="auto"/>
              <w:rPr>
                <w:rFonts w:ascii="Fira Sans" w:hAnsi="Fira Sans"/>
                <w:sz w:val="20"/>
                <w:szCs w:val="20"/>
              </w:rPr>
            </w:pPr>
          </w:p>
        </w:tc>
      </w:tr>
      <w:tr w:rsidR="004E5998" w:rsidRPr="00842F43" w14:paraId="02F09D32" w14:textId="77777777" w:rsidTr="002340E0">
        <w:tc>
          <w:tcPr>
            <w:tcW w:w="2603" w:type="dxa"/>
          </w:tcPr>
          <w:p w14:paraId="58E4E995"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White (Other)</w:t>
            </w:r>
          </w:p>
        </w:tc>
        <w:tc>
          <w:tcPr>
            <w:tcW w:w="1652" w:type="dxa"/>
          </w:tcPr>
          <w:p w14:paraId="60E1E3D3"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2 (7.7)</w:t>
            </w:r>
          </w:p>
        </w:tc>
        <w:tc>
          <w:tcPr>
            <w:tcW w:w="1680" w:type="dxa"/>
          </w:tcPr>
          <w:p w14:paraId="54EE08AB"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660" w:type="dxa"/>
          </w:tcPr>
          <w:p w14:paraId="4ACF5AFE"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431" w:type="dxa"/>
          </w:tcPr>
          <w:p w14:paraId="0FE29812" w14:textId="77777777" w:rsidR="004E5998" w:rsidRPr="00842F43" w:rsidRDefault="004E5998" w:rsidP="00842F43">
            <w:pPr>
              <w:spacing w:line="360" w:lineRule="auto"/>
              <w:rPr>
                <w:rFonts w:ascii="Fira Sans" w:hAnsi="Fira Sans"/>
                <w:sz w:val="20"/>
                <w:szCs w:val="20"/>
              </w:rPr>
            </w:pPr>
          </w:p>
        </w:tc>
      </w:tr>
      <w:tr w:rsidR="004E5998" w:rsidRPr="00842F43" w14:paraId="6869A32F" w14:textId="77777777" w:rsidTr="002340E0">
        <w:tc>
          <w:tcPr>
            <w:tcW w:w="2603" w:type="dxa"/>
          </w:tcPr>
          <w:p w14:paraId="63CB328C"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Unknown</w:t>
            </w:r>
          </w:p>
        </w:tc>
        <w:tc>
          <w:tcPr>
            <w:tcW w:w="1652" w:type="dxa"/>
          </w:tcPr>
          <w:p w14:paraId="055F053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(3.8)</w:t>
            </w:r>
          </w:p>
        </w:tc>
        <w:tc>
          <w:tcPr>
            <w:tcW w:w="1680" w:type="dxa"/>
          </w:tcPr>
          <w:p w14:paraId="29581674"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660" w:type="dxa"/>
          </w:tcPr>
          <w:p w14:paraId="33622334"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 (0.0)</w:t>
            </w:r>
          </w:p>
        </w:tc>
        <w:tc>
          <w:tcPr>
            <w:tcW w:w="1431" w:type="dxa"/>
          </w:tcPr>
          <w:p w14:paraId="56ED4B2B" w14:textId="77777777" w:rsidR="004E5998" w:rsidRPr="00842F43" w:rsidRDefault="004E5998" w:rsidP="00842F43">
            <w:pPr>
              <w:spacing w:line="360" w:lineRule="auto"/>
              <w:rPr>
                <w:rFonts w:ascii="Fira Sans" w:hAnsi="Fira Sans"/>
                <w:sz w:val="20"/>
                <w:szCs w:val="20"/>
              </w:rPr>
            </w:pPr>
          </w:p>
        </w:tc>
      </w:tr>
      <w:tr w:rsidR="004E5998" w:rsidRPr="00842F43" w14:paraId="1B3BF4AC" w14:textId="77777777" w:rsidTr="002340E0">
        <w:tc>
          <w:tcPr>
            <w:tcW w:w="2603" w:type="dxa"/>
          </w:tcPr>
          <w:p w14:paraId="37A637DD"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Medical History n (%)</w:t>
            </w:r>
          </w:p>
        </w:tc>
        <w:tc>
          <w:tcPr>
            <w:tcW w:w="1652" w:type="dxa"/>
          </w:tcPr>
          <w:p w14:paraId="7EB9E170" w14:textId="77777777" w:rsidR="004E5998" w:rsidRPr="00842F43" w:rsidRDefault="004E5998" w:rsidP="00842F43">
            <w:pPr>
              <w:spacing w:line="360" w:lineRule="auto"/>
              <w:rPr>
                <w:rFonts w:ascii="Fira Sans" w:hAnsi="Fira Sans"/>
                <w:sz w:val="20"/>
                <w:szCs w:val="20"/>
              </w:rPr>
            </w:pPr>
          </w:p>
        </w:tc>
        <w:tc>
          <w:tcPr>
            <w:tcW w:w="1680" w:type="dxa"/>
          </w:tcPr>
          <w:p w14:paraId="3C0A82D1" w14:textId="77777777" w:rsidR="004E5998" w:rsidRPr="00842F43" w:rsidRDefault="004E5998" w:rsidP="00842F43">
            <w:pPr>
              <w:spacing w:line="360" w:lineRule="auto"/>
              <w:rPr>
                <w:rFonts w:ascii="Fira Sans" w:hAnsi="Fira Sans"/>
                <w:sz w:val="20"/>
                <w:szCs w:val="20"/>
              </w:rPr>
            </w:pPr>
          </w:p>
        </w:tc>
        <w:tc>
          <w:tcPr>
            <w:tcW w:w="1660" w:type="dxa"/>
          </w:tcPr>
          <w:p w14:paraId="7A4972F3" w14:textId="77777777" w:rsidR="004E5998" w:rsidRPr="00842F43" w:rsidRDefault="004E5998" w:rsidP="00842F43">
            <w:pPr>
              <w:spacing w:line="360" w:lineRule="auto"/>
              <w:rPr>
                <w:rFonts w:ascii="Fira Sans" w:hAnsi="Fira Sans"/>
                <w:sz w:val="20"/>
                <w:szCs w:val="20"/>
              </w:rPr>
            </w:pPr>
          </w:p>
        </w:tc>
        <w:tc>
          <w:tcPr>
            <w:tcW w:w="1431" w:type="dxa"/>
          </w:tcPr>
          <w:p w14:paraId="6ECBCB1C" w14:textId="77777777" w:rsidR="004E5998" w:rsidRPr="00842F43" w:rsidRDefault="004E5998" w:rsidP="00842F43">
            <w:pPr>
              <w:spacing w:line="360" w:lineRule="auto"/>
              <w:rPr>
                <w:rFonts w:ascii="Fira Sans" w:hAnsi="Fira Sans"/>
                <w:sz w:val="20"/>
                <w:szCs w:val="20"/>
              </w:rPr>
            </w:pPr>
          </w:p>
        </w:tc>
      </w:tr>
      <w:tr w:rsidR="004E5998" w:rsidRPr="00842F43" w14:paraId="5FA2E465" w14:textId="77777777" w:rsidTr="002340E0">
        <w:tc>
          <w:tcPr>
            <w:tcW w:w="2603" w:type="dxa"/>
          </w:tcPr>
          <w:p w14:paraId="66263BEE"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Anxiety</w:t>
            </w:r>
          </w:p>
        </w:tc>
        <w:tc>
          <w:tcPr>
            <w:tcW w:w="1652" w:type="dxa"/>
          </w:tcPr>
          <w:p w14:paraId="63D6044F"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(3.8)</w:t>
            </w:r>
          </w:p>
        </w:tc>
        <w:tc>
          <w:tcPr>
            <w:tcW w:w="1680" w:type="dxa"/>
          </w:tcPr>
          <w:p w14:paraId="2470254A"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 (0.0)</w:t>
            </w:r>
          </w:p>
        </w:tc>
        <w:tc>
          <w:tcPr>
            <w:tcW w:w="1660" w:type="dxa"/>
          </w:tcPr>
          <w:p w14:paraId="7D53528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431" w:type="dxa"/>
          </w:tcPr>
          <w:p w14:paraId="00914223"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0.308</w:t>
            </w:r>
          </w:p>
        </w:tc>
      </w:tr>
      <w:tr w:rsidR="004E5998" w:rsidRPr="00842F43" w14:paraId="19CB906D" w14:textId="77777777" w:rsidTr="002340E0">
        <w:tc>
          <w:tcPr>
            <w:tcW w:w="2603" w:type="dxa"/>
          </w:tcPr>
          <w:p w14:paraId="0720F2ED"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Bipolar</w:t>
            </w:r>
          </w:p>
        </w:tc>
        <w:tc>
          <w:tcPr>
            <w:tcW w:w="1652" w:type="dxa"/>
          </w:tcPr>
          <w:p w14:paraId="1614332F"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(3.8)</w:t>
            </w:r>
          </w:p>
        </w:tc>
        <w:tc>
          <w:tcPr>
            <w:tcW w:w="1680" w:type="dxa"/>
          </w:tcPr>
          <w:p w14:paraId="1FFC57AF"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 (0.0)</w:t>
            </w:r>
          </w:p>
        </w:tc>
        <w:tc>
          <w:tcPr>
            <w:tcW w:w="1660" w:type="dxa"/>
          </w:tcPr>
          <w:p w14:paraId="2EBCA49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431" w:type="dxa"/>
          </w:tcPr>
          <w:p w14:paraId="16035B20"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0.308</w:t>
            </w:r>
          </w:p>
        </w:tc>
      </w:tr>
      <w:tr w:rsidR="004E5998" w:rsidRPr="00842F43" w14:paraId="072E4D94" w14:textId="77777777" w:rsidTr="002340E0">
        <w:tc>
          <w:tcPr>
            <w:tcW w:w="2603" w:type="dxa"/>
          </w:tcPr>
          <w:p w14:paraId="3170691C"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Cancer</w:t>
            </w:r>
          </w:p>
        </w:tc>
        <w:tc>
          <w:tcPr>
            <w:tcW w:w="1652" w:type="dxa"/>
          </w:tcPr>
          <w:p w14:paraId="407D23E6"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(3.8)</w:t>
            </w:r>
          </w:p>
        </w:tc>
        <w:tc>
          <w:tcPr>
            <w:tcW w:w="1680" w:type="dxa"/>
          </w:tcPr>
          <w:p w14:paraId="1BD70865"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660" w:type="dxa"/>
          </w:tcPr>
          <w:p w14:paraId="2369DC5E"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 (0.0)</w:t>
            </w:r>
          </w:p>
        </w:tc>
        <w:tc>
          <w:tcPr>
            <w:tcW w:w="1431" w:type="dxa"/>
          </w:tcPr>
          <w:p w14:paraId="2F37B52D"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0.308</w:t>
            </w:r>
          </w:p>
        </w:tc>
      </w:tr>
      <w:tr w:rsidR="004E5998" w:rsidRPr="00842F43" w14:paraId="183065FF" w14:textId="77777777" w:rsidTr="002340E0">
        <w:tc>
          <w:tcPr>
            <w:tcW w:w="2603" w:type="dxa"/>
          </w:tcPr>
          <w:p w14:paraId="1662CC28"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Cardiovascular</w:t>
            </w:r>
          </w:p>
        </w:tc>
        <w:tc>
          <w:tcPr>
            <w:tcW w:w="1652" w:type="dxa"/>
          </w:tcPr>
          <w:p w14:paraId="673EE68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4 (15.4)</w:t>
            </w:r>
          </w:p>
        </w:tc>
        <w:tc>
          <w:tcPr>
            <w:tcW w:w="1680" w:type="dxa"/>
          </w:tcPr>
          <w:p w14:paraId="731DEA1B"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4 (30.8)</w:t>
            </w:r>
          </w:p>
        </w:tc>
        <w:tc>
          <w:tcPr>
            <w:tcW w:w="1660" w:type="dxa"/>
          </w:tcPr>
          <w:p w14:paraId="5DAB08B1"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 (0.0)</w:t>
            </w:r>
          </w:p>
        </w:tc>
        <w:tc>
          <w:tcPr>
            <w:tcW w:w="1431" w:type="dxa"/>
          </w:tcPr>
          <w:p w14:paraId="057943F3"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0.030*</w:t>
            </w:r>
          </w:p>
        </w:tc>
      </w:tr>
      <w:tr w:rsidR="004E5998" w:rsidRPr="00842F43" w14:paraId="24B860AB" w14:textId="77777777" w:rsidTr="002340E0">
        <w:tc>
          <w:tcPr>
            <w:tcW w:w="2603" w:type="dxa"/>
          </w:tcPr>
          <w:p w14:paraId="13C59B44"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Depression</w:t>
            </w:r>
          </w:p>
        </w:tc>
        <w:tc>
          <w:tcPr>
            <w:tcW w:w="1652" w:type="dxa"/>
          </w:tcPr>
          <w:p w14:paraId="1EE238F3"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(3.8)</w:t>
            </w:r>
          </w:p>
        </w:tc>
        <w:tc>
          <w:tcPr>
            <w:tcW w:w="1680" w:type="dxa"/>
          </w:tcPr>
          <w:p w14:paraId="67AF936C"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660" w:type="dxa"/>
          </w:tcPr>
          <w:p w14:paraId="55B78B9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 (0.0)</w:t>
            </w:r>
          </w:p>
        </w:tc>
        <w:tc>
          <w:tcPr>
            <w:tcW w:w="1431" w:type="dxa"/>
          </w:tcPr>
          <w:p w14:paraId="7D724B1C"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0.308</w:t>
            </w:r>
          </w:p>
        </w:tc>
      </w:tr>
      <w:tr w:rsidR="004E5998" w:rsidRPr="00842F43" w14:paraId="4DC0B82D" w14:textId="77777777" w:rsidTr="002340E0">
        <w:tc>
          <w:tcPr>
            <w:tcW w:w="2603" w:type="dxa"/>
          </w:tcPr>
          <w:p w14:paraId="50613E63"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Endocrine</w:t>
            </w:r>
          </w:p>
        </w:tc>
        <w:tc>
          <w:tcPr>
            <w:tcW w:w="1652" w:type="dxa"/>
          </w:tcPr>
          <w:p w14:paraId="3DA333A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5 (19.2)</w:t>
            </w:r>
          </w:p>
        </w:tc>
        <w:tc>
          <w:tcPr>
            <w:tcW w:w="1680" w:type="dxa"/>
          </w:tcPr>
          <w:p w14:paraId="3900954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2 (15.4)</w:t>
            </w:r>
          </w:p>
        </w:tc>
        <w:tc>
          <w:tcPr>
            <w:tcW w:w="1660" w:type="dxa"/>
          </w:tcPr>
          <w:p w14:paraId="666AE2C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3 (23.1)</w:t>
            </w:r>
          </w:p>
        </w:tc>
        <w:tc>
          <w:tcPr>
            <w:tcW w:w="1431" w:type="dxa"/>
          </w:tcPr>
          <w:p w14:paraId="2D8B22BF"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0.619</w:t>
            </w:r>
          </w:p>
        </w:tc>
      </w:tr>
      <w:tr w:rsidR="004E5998" w:rsidRPr="00842F43" w14:paraId="426C3B0B" w14:textId="77777777" w:rsidTr="002340E0">
        <w:tc>
          <w:tcPr>
            <w:tcW w:w="2603" w:type="dxa"/>
          </w:tcPr>
          <w:p w14:paraId="7566786D"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Gastrointestinal</w:t>
            </w:r>
          </w:p>
        </w:tc>
        <w:tc>
          <w:tcPr>
            <w:tcW w:w="1652" w:type="dxa"/>
          </w:tcPr>
          <w:p w14:paraId="7726E4E1"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3 (11.5)</w:t>
            </w:r>
          </w:p>
        </w:tc>
        <w:tc>
          <w:tcPr>
            <w:tcW w:w="1680" w:type="dxa"/>
          </w:tcPr>
          <w:p w14:paraId="2A27928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660" w:type="dxa"/>
          </w:tcPr>
          <w:p w14:paraId="4B2D62EB"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2 (15.4)</w:t>
            </w:r>
          </w:p>
        </w:tc>
        <w:tc>
          <w:tcPr>
            <w:tcW w:w="1431" w:type="dxa"/>
          </w:tcPr>
          <w:p w14:paraId="2738A05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0.539</w:t>
            </w:r>
          </w:p>
        </w:tc>
      </w:tr>
      <w:tr w:rsidR="004E5998" w:rsidRPr="00842F43" w14:paraId="4B8AF0FC" w14:textId="77777777" w:rsidTr="002340E0">
        <w:tc>
          <w:tcPr>
            <w:tcW w:w="2603" w:type="dxa"/>
          </w:tcPr>
          <w:p w14:paraId="4D21DE20"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Musculoskeletal</w:t>
            </w:r>
          </w:p>
        </w:tc>
        <w:tc>
          <w:tcPr>
            <w:tcW w:w="1652" w:type="dxa"/>
          </w:tcPr>
          <w:p w14:paraId="27535641"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3 (11.5)</w:t>
            </w:r>
          </w:p>
        </w:tc>
        <w:tc>
          <w:tcPr>
            <w:tcW w:w="1680" w:type="dxa"/>
          </w:tcPr>
          <w:p w14:paraId="4320D348"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2 (15.4)</w:t>
            </w:r>
          </w:p>
        </w:tc>
        <w:tc>
          <w:tcPr>
            <w:tcW w:w="1660" w:type="dxa"/>
          </w:tcPr>
          <w:p w14:paraId="5D563890"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431" w:type="dxa"/>
          </w:tcPr>
          <w:p w14:paraId="4FC4CA1F"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0.539</w:t>
            </w:r>
          </w:p>
        </w:tc>
      </w:tr>
      <w:tr w:rsidR="004E5998" w:rsidRPr="00842F43" w14:paraId="7AF94487" w14:textId="77777777" w:rsidTr="002340E0">
        <w:tc>
          <w:tcPr>
            <w:tcW w:w="2603" w:type="dxa"/>
          </w:tcPr>
          <w:p w14:paraId="2C4BD8B4"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Neurological</w:t>
            </w:r>
          </w:p>
        </w:tc>
        <w:tc>
          <w:tcPr>
            <w:tcW w:w="1652" w:type="dxa"/>
          </w:tcPr>
          <w:p w14:paraId="74C52D1B"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(3.8)</w:t>
            </w:r>
          </w:p>
        </w:tc>
        <w:tc>
          <w:tcPr>
            <w:tcW w:w="1680" w:type="dxa"/>
          </w:tcPr>
          <w:p w14:paraId="4B605C18"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660" w:type="dxa"/>
          </w:tcPr>
          <w:p w14:paraId="4AB9E527"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 (0.0)</w:t>
            </w:r>
          </w:p>
        </w:tc>
        <w:tc>
          <w:tcPr>
            <w:tcW w:w="1431" w:type="dxa"/>
          </w:tcPr>
          <w:p w14:paraId="5898DA3D"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0.308</w:t>
            </w:r>
          </w:p>
        </w:tc>
      </w:tr>
      <w:tr w:rsidR="004E5998" w:rsidRPr="00842F43" w14:paraId="515E7992" w14:textId="77777777" w:rsidTr="002340E0">
        <w:tc>
          <w:tcPr>
            <w:tcW w:w="2603" w:type="dxa"/>
          </w:tcPr>
          <w:p w14:paraId="47C6DE3D"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PTSD</w:t>
            </w:r>
          </w:p>
        </w:tc>
        <w:tc>
          <w:tcPr>
            <w:tcW w:w="1652" w:type="dxa"/>
          </w:tcPr>
          <w:p w14:paraId="334892EB"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(3.8)</w:t>
            </w:r>
          </w:p>
        </w:tc>
        <w:tc>
          <w:tcPr>
            <w:tcW w:w="1680" w:type="dxa"/>
          </w:tcPr>
          <w:p w14:paraId="0239032A"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 (0.0)</w:t>
            </w:r>
          </w:p>
        </w:tc>
        <w:tc>
          <w:tcPr>
            <w:tcW w:w="1660" w:type="dxa"/>
          </w:tcPr>
          <w:p w14:paraId="603B01CD"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431" w:type="dxa"/>
          </w:tcPr>
          <w:p w14:paraId="52C1015F"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0.308</w:t>
            </w:r>
          </w:p>
        </w:tc>
      </w:tr>
      <w:tr w:rsidR="004E5998" w:rsidRPr="00842F43" w14:paraId="6941B8DA" w14:textId="77777777" w:rsidTr="002340E0">
        <w:tc>
          <w:tcPr>
            <w:tcW w:w="2603" w:type="dxa"/>
          </w:tcPr>
          <w:p w14:paraId="306AAAA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Renal</w:t>
            </w:r>
          </w:p>
        </w:tc>
        <w:tc>
          <w:tcPr>
            <w:tcW w:w="1652" w:type="dxa"/>
          </w:tcPr>
          <w:p w14:paraId="0720E577"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(3.8)</w:t>
            </w:r>
          </w:p>
        </w:tc>
        <w:tc>
          <w:tcPr>
            <w:tcW w:w="1680" w:type="dxa"/>
          </w:tcPr>
          <w:p w14:paraId="140FCD31"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 (0.0)</w:t>
            </w:r>
          </w:p>
        </w:tc>
        <w:tc>
          <w:tcPr>
            <w:tcW w:w="1660" w:type="dxa"/>
          </w:tcPr>
          <w:p w14:paraId="3D3F84CD"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431" w:type="dxa"/>
          </w:tcPr>
          <w:p w14:paraId="48D6888F"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0.308</w:t>
            </w:r>
          </w:p>
        </w:tc>
      </w:tr>
      <w:tr w:rsidR="004E5998" w:rsidRPr="00842F43" w14:paraId="4AD225BC" w14:textId="77777777" w:rsidTr="002340E0">
        <w:tc>
          <w:tcPr>
            <w:tcW w:w="2603" w:type="dxa"/>
          </w:tcPr>
          <w:p w14:paraId="195D7A6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   Respiratory</w:t>
            </w:r>
          </w:p>
        </w:tc>
        <w:tc>
          <w:tcPr>
            <w:tcW w:w="1652" w:type="dxa"/>
          </w:tcPr>
          <w:p w14:paraId="322DC13F"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4 (15.4)</w:t>
            </w:r>
          </w:p>
        </w:tc>
        <w:tc>
          <w:tcPr>
            <w:tcW w:w="1680" w:type="dxa"/>
          </w:tcPr>
          <w:p w14:paraId="205B6315"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3 (23.1)</w:t>
            </w:r>
          </w:p>
        </w:tc>
        <w:tc>
          <w:tcPr>
            <w:tcW w:w="1660" w:type="dxa"/>
          </w:tcPr>
          <w:p w14:paraId="6CF4E44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 (7.7)</w:t>
            </w:r>
          </w:p>
        </w:tc>
        <w:tc>
          <w:tcPr>
            <w:tcW w:w="1431" w:type="dxa"/>
          </w:tcPr>
          <w:p w14:paraId="09E5AAB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0.277</w:t>
            </w:r>
          </w:p>
        </w:tc>
      </w:tr>
      <w:tr w:rsidR="004E5998" w:rsidRPr="00842F43" w14:paraId="39F9F561" w14:textId="77777777" w:rsidTr="002340E0">
        <w:tc>
          <w:tcPr>
            <w:tcW w:w="2603" w:type="dxa"/>
          </w:tcPr>
          <w:p w14:paraId="7AFE8A8A"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APACHE II Score^</w:t>
            </w:r>
          </w:p>
        </w:tc>
        <w:tc>
          <w:tcPr>
            <w:tcW w:w="1652" w:type="dxa"/>
          </w:tcPr>
          <w:p w14:paraId="1215C9E5"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11 (7,13)</w:t>
            </w:r>
          </w:p>
        </w:tc>
        <w:tc>
          <w:tcPr>
            <w:tcW w:w="1680" w:type="dxa"/>
          </w:tcPr>
          <w:p w14:paraId="68EF101C"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11 (8,12)</w:t>
            </w:r>
          </w:p>
        </w:tc>
        <w:tc>
          <w:tcPr>
            <w:tcW w:w="1660" w:type="dxa"/>
          </w:tcPr>
          <w:p w14:paraId="3649EBAC"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11 (7,13)</w:t>
            </w:r>
          </w:p>
        </w:tc>
        <w:tc>
          <w:tcPr>
            <w:tcW w:w="1431" w:type="dxa"/>
          </w:tcPr>
          <w:p w14:paraId="4CE2F5BB"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0.757</w:t>
            </w:r>
          </w:p>
        </w:tc>
      </w:tr>
      <w:tr w:rsidR="004E5998" w:rsidRPr="00842F43" w14:paraId="2203460F" w14:textId="77777777" w:rsidTr="002340E0">
        <w:tc>
          <w:tcPr>
            <w:tcW w:w="2603" w:type="dxa"/>
          </w:tcPr>
          <w:p w14:paraId="45475A09"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 xml:space="preserve">ICU LoS^ </w:t>
            </w:r>
          </w:p>
        </w:tc>
        <w:tc>
          <w:tcPr>
            <w:tcW w:w="1652" w:type="dxa"/>
          </w:tcPr>
          <w:p w14:paraId="5D55F644"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8 (5,18)</w:t>
            </w:r>
          </w:p>
        </w:tc>
        <w:tc>
          <w:tcPr>
            <w:tcW w:w="1680" w:type="dxa"/>
          </w:tcPr>
          <w:p w14:paraId="45D5773A" w14:textId="37A81851" w:rsidR="004E5998" w:rsidRPr="00842F43" w:rsidRDefault="00232831" w:rsidP="00842F43">
            <w:pPr>
              <w:spacing w:line="360" w:lineRule="auto"/>
              <w:rPr>
                <w:rFonts w:ascii="Fira Sans" w:hAnsi="Fira Sans"/>
                <w:sz w:val="20"/>
                <w:szCs w:val="20"/>
              </w:rPr>
            </w:pPr>
            <w:r w:rsidRPr="00842F43">
              <w:rPr>
                <w:rFonts w:ascii="Fira Sans" w:hAnsi="Fira Sans"/>
                <w:sz w:val="20"/>
                <w:szCs w:val="20"/>
              </w:rPr>
              <w:t>6 (5,18)</w:t>
            </w:r>
          </w:p>
        </w:tc>
        <w:tc>
          <w:tcPr>
            <w:tcW w:w="1660" w:type="dxa"/>
          </w:tcPr>
          <w:p w14:paraId="294BD4D2" w14:textId="6E30CA5F" w:rsidR="004E5998" w:rsidRPr="00842F43" w:rsidRDefault="00232831" w:rsidP="00842F43">
            <w:pPr>
              <w:spacing w:line="360" w:lineRule="auto"/>
              <w:rPr>
                <w:rFonts w:ascii="Fira Sans" w:hAnsi="Fira Sans"/>
                <w:sz w:val="20"/>
                <w:szCs w:val="20"/>
              </w:rPr>
            </w:pPr>
            <w:r w:rsidRPr="00842F43">
              <w:rPr>
                <w:rFonts w:ascii="Fira Sans" w:hAnsi="Fira Sans"/>
                <w:sz w:val="20"/>
                <w:szCs w:val="20"/>
              </w:rPr>
              <w:t>9 (7,17)</w:t>
            </w:r>
          </w:p>
        </w:tc>
        <w:tc>
          <w:tcPr>
            <w:tcW w:w="1431" w:type="dxa"/>
          </w:tcPr>
          <w:p w14:paraId="5D305394"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0.719</w:t>
            </w:r>
          </w:p>
        </w:tc>
      </w:tr>
      <w:tr w:rsidR="004E5998" w:rsidRPr="00842F43" w14:paraId="517F1635" w14:textId="77777777" w:rsidTr="002340E0">
        <w:tc>
          <w:tcPr>
            <w:tcW w:w="2603" w:type="dxa"/>
          </w:tcPr>
          <w:p w14:paraId="72A37980"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Hospital LoS^</w:t>
            </w:r>
          </w:p>
        </w:tc>
        <w:tc>
          <w:tcPr>
            <w:tcW w:w="1652" w:type="dxa"/>
          </w:tcPr>
          <w:p w14:paraId="04790B5B"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16 (10,30)</w:t>
            </w:r>
          </w:p>
        </w:tc>
        <w:tc>
          <w:tcPr>
            <w:tcW w:w="1680" w:type="dxa"/>
          </w:tcPr>
          <w:p w14:paraId="32B54C3F" w14:textId="23BE0307" w:rsidR="004E5998" w:rsidRPr="00842F43" w:rsidRDefault="00232831" w:rsidP="00842F43">
            <w:pPr>
              <w:spacing w:line="360" w:lineRule="auto"/>
              <w:rPr>
                <w:rFonts w:ascii="Fira Sans" w:hAnsi="Fira Sans"/>
                <w:sz w:val="20"/>
                <w:szCs w:val="20"/>
              </w:rPr>
            </w:pPr>
            <w:r w:rsidRPr="00842F43">
              <w:rPr>
                <w:rFonts w:ascii="Fira Sans" w:hAnsi="Fira Sans"/>
                <w:sz w:val="20"/>
                <w:szCs w:val="20"/>
              </w:rPr>
              <w:t>13(10,30)</w:t>
            </w:r>
          </w:p>
        </w:tc>
        <w:tc>
          <w:tcPr>
            <w:tcW w:w="1660" w:type="dxa"/>
          </w:tcPr>
          <w:p w14:paraId="703ACA7A" w14:textId="082E3629" w:rsidR="004E5998" w:rsidRPr="00842F43" w:rsidRDefault="00232831" w:rsidP="00842F43">
            <w:pPr>
              <w:spacing w:line="360" w:lineRule="auto"/>
              <w:rPr>
                <w:rFonts w:ascii="Fira Sans" w:hAnsi="Fira Sans"/>
                <w:sz w:val="20"/>
                <w:szCs w:val="20"/>
              </w:rPr>
            </w:pPr>
            <w:r w:rsidRPr="00842F43">
              <w:rPr>
                <w:rFonts w:ascii="Fira Sans" w:hAnsi="Fira Sans"/>
                <w:sz w:val="20"/>
                <w:szCs w:val="20"/>
              </w:rPr>
              <w:t>9(7,17)</w:t>
            </w:r>
          </w:p>
        </w:tc>
        <w:tc>
          <w:tcPr>
            <w:tcW w:w="1431" w:type="dxa"/>
          </w:tcPr>
          <w:p w14:paraId="1A769000"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0.976</w:t>
            </w:r>
          </w:p>
        </w:tc>
      </w:tr>
      <w:tr w:rsidR="004E5998" w:rsidRPr="00842F43" w14:paraId="0CB605A6" w14:textId="77777777" w:rsidTr="002340E0">
        <w:tc>
          <w:tcPr>
            <w:tcW w:w="2603" w:type="dxa"/>
          </w:tcPr>
          <w:p w14:paraId="1383D0AA" w14:textId="77777777" w:rsidR="004E5998" w:rsidRPr="00842F43" w:rsidRDefault="004E5998" w:rsidP="00842F43">
            <w:pPr>
              <w:spacing w:line="360" w:lineRule="auto"/>
              <w:rPr>
                <w:rFonts w:ascii="Fira Sans" w:hAnsi="Fira Sans"/>
                <w:sz w:val="20"/>
                <w:szCs w:val="20"/>
                <w:highlight w:val="yellow"/>
              </w:rPr>
            </w:pPr>
            <w:r w:rsidRPr="00842F43">
              <w:rPr>
                <w:rFonts w:ascii="Fira Sans" w:hAnsi="Fira Sans"/>
                <w:sz w:val="20"/>
                <w:szCs w:val="20"/>
              </w:rPr>
              <w:t>Total ventilation days^</w:t>
            </w:r>
          </w:p>
        </w:tc>
        <w:tc>
          <w:tcPr>
            <w:tcW w:w="1652" w:type="dxa"/>
          </w:tcPr>
          <w:p w14:paraId="42E8C254"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6 (4,15)</w:t>
            </w:r>
          </w:p>
        </w:tc>
        <w:tc>
          <w:tcPr>
            <w:tcW w:w="1680" w:type="dxa"/>
          </w:tcPr>
          <w:p w14:paraId="7673EFAC"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6 (4,19)</w:t>
            </w:r>
          </w:p>
        </w:tc>
        <w:tc>
          <w:tcPr>
            <w:tcW w:w="1660" w:type="dxa"/>
          </w:tcPr>
          <w:p w14:paraId="58BE8D8C"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5 (3,13)</w:t>
            </w:r>
          </w:p>
        </w:tc>
        <w:tc>
          <w:tcPr>
            <w:tcW w:w="1431" w:type="dxa"/>
          </w:tcPr>
          <w:p w14:paraId="21491BA3"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0.881</w:t>
            </w:r>
          </w:p>
        </w:tc>
      </w:tr>
      <w:tr w:rsidR="004E5998" w:rsidRPr="00842F43" w14:paraId="2E0C2DCA" w14:textId="77777777" w:rsidTr="002340E0">
        <w:tc>
          <w:tcPr>
            <w:tcW w:w="2603" w:type="dxa"/>
          </w:tcPr>
          <w:p w14:paraId="3E036515"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Benzodiazepine use n (%)</w:t>
            </w:r>
          </w:p>
        </w:tc>
        <w:tc>
          <w:tcPr>
            <w:tcW w:w="1652" w:type="dxa"/>
          </w:tcPr>
          <w:p w14:paraId="23499DD0"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9 (34.6)</w:t>
            </w:r>
          </w:p>
        </w:tc>
        <w:tc>
          <w:tcPr>
            <w:tcW w:w="1680" w:type="dxa"/>
          </w:tcPr>
          <w:p w14:paraId="5A37FD77"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3 (23.1)</w:t>
            </w:r>
          </w:p>
        </w:tc>
        <w:tc>
          <w:tcPr>
            <w:tcW w:w="1660" w:type="dxa"/>
          </w:tcPr>
          <w:p w14:paraId="3103B452"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6 (46.2)</w:t>
            </w:r>
          </w:p>
        </w:tc>
        <w:tc>
          <w:tcPr>
            <w:tcW w:w="1431" w:type="dxa"/>
          </w:tcPr>
          <w:p w14:paraId="76296B74" w14:textId="77777777" w:rsidR="004E5998" w:rsidRPr="00842F43" w:rsidRDefault="004E5998" w:rsidP="00842F43">
            <w:pPr>
              <w:spacing w:line="360" w:lineRule="auto"/>
              <w:rPr>
                <w:rFonts w:ascii="Fira Sans" w:hAnsi="Fira Sans"/>
                <w:sz w:val="20"/>
                <w:szCs w:val="20"/>
              </w:rPr>
            </w:pPr>
            <w:r w:rsidRPr="00842F43">
              <w:rPr>
                <w:rFonts w:ascii="Fira Sans" w:hAnsi="Fira Sans"/>
                <w:sz w:val="20"/>
                <w:szCs w:val="20"/>
              </w:rPr>
              <w:t>0.216</w:t>
            </w:r>
          </w:p>
        </w:tc>
      </w:tr>
    </w:tbl>
    <w:p w14:paraId="7AE97E90" w14:textId="77777777" w:rsidR="00341417" w:rsidRPr="00842F43" w:rsidRDefault="00341417" w:rsidP="00842F43">
      <w:pPr>
        <w:shd w:val="clear" w:color="auto" w:fill="FFFFFF"/>
        <w:spacing w:after="100" w:afterAutospacing="1" w:line="360" w:lineRule="auto"/>
        <w:rPr>
          <w:rFonts w:ascii="Fira Sans" w:hAnsi="Fira Sans"/>
          <w:color w:val="333333"/>
          <w:sz w:val="20"/>
          <w:szCs w:val="20"/>
        </w:rPr>
      </w:pPr>
    </w:p>
    <w:p w14:paraId="2445608C" w14:textId="508E373A" w:rsidR="004E5998" w:rsidRPr="00842F43" w:rsidRDefault="004E5998" w:rsidP="00842F43">
      <w:pPr>
        <w:shd w:val="clear" w:color="auto" w:fill="FFFFFF"/>
        <w:spacing w:after="100" w:afterAutospacing="1" w:line="360" w:lineRule="auto"/>
        <w:rPr>
          <w:rFonts w:ascii="Fira Sans" w:hAnsi="Fira Sans"/>
          <w:color w:val="333333"/>
          <w:sz w:val="20"/>
          <w:szCs w:val="20"/>
        </w:rPr>
      </w:pPr>
      <w:r w:rsidRPr="00842F43">
        <w:rPr>
          <w:rFonts w:ascii="Fira Sans" w:hAnsi="Fira Sans"/>
          <w:color w:val="333333"/>
          <w:sz w:val="20"/>
          <w:szCs w:val="20"/>
        </w:rPr>
        <w:t>SD: Standard deviation; IQR: Inter-quartile range; BMI: Body mass index; PTSD: Post-traumatic stress disorder; APACHE: Acute Physiology and Chronic Health Evaluation; ICU: Intensive Care Unit; LoS: Length of Stay. Data are presented as mean (SD), ^median (IQR) or n (%).</w:t>
      </w:r>
    </w:p>
    <w:p w14:paraId="14959D40" w14:textId="77777777" w:rsidR="004E5998" w:rsidRPr="00842F43" w:rsidRDefault="004E5998" w:rsidP="00842F43">
      <w:pPr>
        <w:spacing w:line="360" w:lineRule="auto"/>
        <w:rPr>
          <w:rFonts w:ascii="Fira Sans" w:hAnsi="Fira Sans"/>
          <w:sz w:val="20"/>
          <w:szCs w:val="20"/>
        </w:rPr>
      </w:pPr>
    </w:p>
    <w:p w14:paraId="39EFE01D" w14:textId="2CC09E45" w:rsidR="00817665" w:rsidRPr="00842F43" w:rsidRDefault="00C57C5E" w:rsidP="00842F43">
      <w:pPr>
        <w:spacing w:line="360" w:lineRule="auto"/>
        <w:rPr>
          <w:rFonts w:ascii="Fira Sans" w:hAnsi="Fira Sans"/>
          <w:sz w:val="20"/>
          <w:szCs w:val="20"/>
        </w:rPr>
      </w:pPr>
      <w:r w:rsidRPr="00842F43">
        <w:rPr>
          <w:rFonts w:ascii="Fira Sans" w:hAnsi="Fira Sans"/>
          <w:sz w:val="20"/>
          <w:szCs w:val="20"/>
        </w:rPr>
        <w:t xml:space="preserve">One </w:t>
      </w:r>
      <w:r w:rsidR="005736AC" w:rsidRPr="00842F43">
        <w:rPr>
          <w:rFonts w:ascii="Fira Sans" w:hAnsi="Fira Sans"/>
          <w:sz w:val="20"/>
          <w:szCs w:val="20"/>
        </w:rPr>
        <w:t>participant</w:t>
      </w:r>
      <w:r w:rsidRPr="00842F43">
        <w:rPr>
          <w:rFonts w:ascii="Fira Sans" w:hAnsi="Fira Sans"/>
          <w:sz w:val="20"/>
          <w:szCs w:val="20"/>
        </w:rPr>
        <w:t xml:space="preserve"> </w:t>
      </w:r>
      <w:r w:rsidR="001314A5" w:rsidRPr="00842F43">
        <w:rPr>
          <w:rFonts w:ascii="Fira Sans" w:hAnsi="Fira Sans"/>
          <w:sz w:val="20"/>
          <w:szCs w:val="20"/>
        </w:rPr>
        <w:t xml:space="preserve">allocated to </w:t>
      </w:r>
      <w:r w:rsidR="00AB37AB" w:rsidRPr="00842F43">
        <w:rPr>
          <w:rFonts w:ascii="Fira Sans" w:hAnsi="Fira Sans"/>
          <w:sz w:val="20"/>
          <w:szCs w:val="20"/>
        </w:rPr>
        <w:t>intervention</w:t>
      </w:r>
      <w:r w:rsidR="001314A5" w:rsidRPr="00842F43">
        <w:rPr>
          <w:rFonts w:ascii="Fira Sans" w:hAnsi="Fira Sans"/>
          <w:sz w:val="20"/>
          <w:szCs w:val="20"/>
        </w:rPr>
        <w:t xml:space="preserve"> </w:t>
      </w:r>
      <w:r w:rsidR="00037E12" w:rsidRPr="00842F43">
        <w:rPr>
          <w:rFonts w:ascii="Fira Sans" w:hAnsi="Fira Sans"/>
          <w:sz w:val="20"/>
          <w:szCs w:val="20"/>
        </w:rPr>
        <w:t xml:space="preserve">did not </w:t>
      </w:r>
      <w:r w:rsidR="001314A5" w:rsidRPr="00842F43">
        <w:rPr>
          <w:rFonts w:ascii="Fira Sans" w:hAnsi="Fira Sans"/>
          <w:sz w:val="20"/>
          <w:szCs w:val="20"/>
        </w:rPr>
        <w:t>undertak</w:t>
      </w:r>
      <w:r w:rsidR="00037E12" w:rsidRPr="00842F43">
        <w:rPr>
          <w:rFonts w:ascii="Fira Sans" w:hAnsi="Fira Sans"/>
          <w:sz w:val="20"/>
          <w:szCs w:val="20"/>
        </w:rPr>
        <w:t>e</w:t>
      </w:r>
      <w:r w:rsidR="001314A5" w:rsidRPr="00842F43">
        <w:rPr>
          <w:rFonts w:ascii="Fira Sans" w:hAnsi="Fira Sans"/>
          <w:sz w:val="20"/>
          <w:szCs w:val="20"/>
        </w:rPr>
        <w:t xml:space="preserve"> a</w:t>
      </w:r>
      <w:r w:rsidR="00037E12" w:rsidRPr="00842F43">
        <w:rPr>
          <w:rFonts w:ascii="Fira Sans" w:hAnsi="Fira Sans"/>
          <w:sz w:val="20"/>
          <w:szCs w:val="20"/>
        </w:rPr>
        <w:t>ny</w:t>
      </w:r>
      <w:r w:rsidR="001314A5" w:rsidRPr="00842F43">
        <w:rPr>
          <w:rFonts w:ascii="Fira Sans" w:hAnsi="Fira Sans"/>
          <w:sz w:val="20"/>
          <w:szCs w:val="20"/>
        </w:rPr>
        <w:t xml:space="preserve"> </w:t>
      </w:r>
      <w:r w:rsidR="00AB37AB" w:rsidRPr="00842F43">
        <w:rPr>
          <w:rFonts w:ascii="Fira Sans" w:hAnsi="Fira Sans"/>
          <w:sz w:val="20"/>
          <w:szCs w:val="20"/>
        </w:rPr>
        <w:t xml:space="preserve">EMDR </w:t>
      </w:r>
      <w:r w:rsidR="001314A5" w:rsidRPr="00842F43">
        <w:rPr>
          <w:rFonts w:ascii="Fira Sans" w:hAnsi="Fira Sans"/>
          <w:sz w:val="20"/>
          <w:szCs w:val="20"/>
        </w:rPr>
        <w:t>session</w:t>
      </w:r>
      <w:r w:rsidR="00037E12" w:rsidRPr="00842F43">
        <w:rPr>
          <w:rFonts w:ascii="Fira Sans" w:hAnsi="Fira Sans"/>
          <w:sz w:val="20"/>
          <w:szCs w:val="20"/>
        </w:rPr>
        <w:t>s and</w:t>
      </w:r>
      <w:r w:rsidR="001314A5" w:rsidRPr="00842F43">
        <w:rPr>
          <w:rFonts w:ascii="Fira Sans" w:hAnsi="Fira Sans"/>
          <w:sz w:val="20"/>
          <w:szCs w:val="20"/>
        </w:rPr>
        <w:t xml:space="preserve"> </w:t>
      </w:r>
      <w:r w:rsidR="000F66AF" w:rsidRPr="00842F43">
        <w:rPr>
          <w:rFonts w:ascii="Fira Sans" w:hAnsi="Fira Sans"/>
          <w:sz w:val="20"/>
          <w:szCs w:val="20"/>
        </w:rPr>
        <w:t>did not give a reason</w:t>
      </w:r>
      <w:r w:rsidR="001314A5" w:rsidRPr="00842F43">
        <w:rPr>
          <w:rFonts w:ascii="Fira Sans" w:hAnsi="Fira Sans"/>
          <w:sz w:val="20"/>
          <w:szCs w:val="20"/>
        </w:rPr>
        <w:t>:</w:t>
      </w:r>
      <w:r w:rsidR="005736AC" w:rsidRPr="00842F43">
        <w:rPr>
          <w:rFonts w:ascii="Fira Sans" w:hAnsi="Fira Sans"/>
          <w:sz w:val="20"/>
          <w:szCs w:val="20"/>
        </w:rPr>
        <w:t xml:space="preserve"> </w:t>
      </w:r>
      <w:r w:rsidR="001314A5" w:rsidRPr="00842F43">
        <w:rPr>
          <w:rFonts w:ascii="Fira Sans" w:hAnsi="Fira Sans"/>
          <w:sz w:val="20"/>
          <w:szCs w:val="20"/>
        </w:rPr>
        <w:t>t</w:t>
      </w:r>
      <w:r w:rsidR="0073429D" w:rsidRPr="00842F43">
        <w:rPr>
          <w:rFonts w:ascii="Fira Sans" w:hAnsi="Fira Sans"/>
          <w:sz w:val="20"/>
          <w:szCs w:val="20"/>
        </w:rPr>
        <w:t xml:space="preserve">he </w:t>
      </w:r>
      <w:r w:rsidR="003B4619" w:rsidRPr="00842F43">
        <w:rPr>
          <w:rFonts w:ascii="Fira Sans" w:hAnsi="Fira Sans"/>
          <w:sz w:val="20"/>
          <w:szCs w:val="20"/>
        </w:rPr>
        <w:t>12</w:t>
      </w:r>
      <w:r w:rsidR="0073429D" w:rsidRPr="00842F43">
        <w:rPr>
          <w:rFonts w:ascii="Fira Sans" w:hAnsi="Fira Sans"/>
          <w:sz w:val="20"/>
          <w:szCs w:val="20"/>
        </w:rPr>
        <w:t xml:space="preserve"> </w:t>
      </w:r>
      <w:r w:rsidR="00F60385" w:rsidRPr="00842F43">
        <w:rPr>
          <w:rFonts w:ascii="Fira Sans" w:hAnsi="Fira Sans"/>
          <w:sz w:val="20"/>
          <w:szCs w:val="20"/>
        </w:rPr>
        <w:t xml:space="preserve">remaining </w:t>
      </w:r>
      <w:r w:rsidR="0073429D" w:rsidRPr="00842F43">
        <w:rPr>
          <w:rFonts w:ascii="Fira Sans" w:hAnsi="Fira Sans"/>
          <w:sz w:val="20"/>
          <w:szCs w:val="20"/>
        </w:rPr>
        <w:t xml:space="preserve">participants attended </w:t>
      </w:r>
      <w:r w:rsidR="00784A17" w:rsidRPr="00842F43">
        <w:rPr>
          <w:rFonts w:ascii="Fira Sans" w:hAnsi="Fira Sans"/>
          <w:sz w:val="20"/>
          <w:szCs w:val="20"/>
        </w:rPr>
        <w:t>34</w:t>
      </w:r>
      <w:r w:rsidR="0073429D" w:rsidRPr="00842F43">
        <w:rPr>
          <w:rFonts w:ascii="Fira Sans" w:hAnsi="Fira Sans"/>
          <w:sz w:val="20"/>
          <w:szCs w:val="20"/>
        </w:rPr>
        <w:t xml:space="preserve"> of </w:t>
      </w:r>
      <w:r w:rsidR="00784A17" w:rsidRPr="00842F43">
        <w:rPr>
          <w:rFonts w:ascii="Fira Sans" w:hAnsi="Fira Sans"/>
          <w:sz w:val="20"/>
          <w:szCs w:val="20"/>
        </w:rPr>
        <w:t>41</w:t>
      </w:r>
      <w:r w:rsidR="0073429D" w:rsidRPr="00842F43">
        <w:rPr>
          <w:rFonts w:ascii="Fira Sans" w:hAnsi="Fira Sans"/>
          <w:sz w:val="20"/>
          <w:szCs w:val="20"/>
        </w:rPr>
        <w:t xml:space="preserve"> arranged sessions</w:t>
      </w:r>
      <w:r w:rsidR="00784A17" w:rsidRPr="00842F43">
        <w:rPr>
          <w:rFonts w:ascii="Fira Sans" w:hAnsi="Fira Sans"/>
          <w:sz w:val="20"/>
          <w:szCs w:val="20"/>
        </w:rPr>
        <w:t xml:space="preserve">, giving </w:t>
      </w:r>
      <w:r w:rsidR="003B4619" w:rsidRPr="00842F43">
        <w:rPr>
          <w:rFonts w:ascii="Fira Sans" w:hAnsi="Fira Sans"/>
          <w:sz w:val="20"/>
          <w:szCs w:val="20"/>
        </w:rPr>
        <w:t xml:space="preserve">an </w:t>
      </w:r>
      <w:r w:rsidR="00784A17" w:rsidRPr="00842F43">
        <w:rPr>
          <w:rFonts w:ascii="Fira Sans" w:hAnsi="Fira Sans"/>
          <w:sz w:val="20"/>
          <w:szCs w:val="20"/>
        </w:rPr>
        <w:t xml:space="preserve">intervention session adherence of </w:t>
      </w:r>
      <w:r w:rsidR="000F66AF" w:rsidRPr="00842F43">
        <w:rPr>
          <w:rFonts w:ascii="Fira Sans" w:hAnsi="Fira Sans"/>
          <w:sz w:val="20"/>
          <w:szCs w:val="20"/>
        </w:rPr>
        <w:t>8</w:t>
      </w:r>
      <w:r w:rsidR="00784A17" w:rsidRPr="00842F43">
        <w:rPr>
          <w:rFonts w:ascii="Fira Sans" w:hAnsi="Fira Sans"/>
          <w:sz w:val="20"/>
          <w:szCs w:val="20"/>
        </w:rPr>
        <w:t>3%.</w:t>
      </w:r>
      <w:r w:rsidR="000F66AF" w:rsidRPr="00842F43">
        <w:rPr>
          <w:rFonts w:ascii="Fira Sans" w:hAnsi="Fira Sans"/>
          <w:sz w:val="20"/>
          <w:szCs w:val="20"/>
        </w:rPr>
        <w:t xml:space="preserve"> </w:t>
      </w:r>
      <w:r w:rsidR="003B4619" w:rsidRPr="00842F43">
        <w:rPr>
          <w:rFonts w:ascii="Fira Sans" w:hAnsi="Fira Sans"/>
          <w:sz w:val="20"/>
          <w:szCs w:val="20"/>
        </w:rPr>
        <w:t>Five</w:t>
      </w:r>
      <w:r w:rsidR="00FF780B" w:rsidRPr="00842F43">
        <w:rPr>
          <w:rFonts w:ascii="Fira Sans" w:hAnsi="Fira Sans"/>
          <w:sz w:val="20"/>
          <w:szCs w:val="20"/>
        </w:rPr>
        <w:t xml:space="preserve"> sessions were missed due to physical ill health, one due to denial of</w:t>
      </w:r>
      <w:r w:rsidR="00C371D9" w:rsidRPr="00842F43">
        <w:rPr>
          <w:rFonts w:ascii="Fira Sans" w:hAnsi="Fira Sans"/>
          <w:sz w:val="20"/>
          <w:szCs w:val="20"/>
        </w:rPr>
        <w:t xml:space="preserve"> </w:t>
      </w:r>
      <w:r w:rsidR="00FF780B" w:rsidRPr="00842F43">
        <w:rPr>
          <w:rFonts w:ascii="Fira Sans" w:hAnsi="Fira Sans"/>
          <w:sz w:val="20"/>
          <w:szCs w:val="20"/>
        </w:rPr>
        <w:t xml:space="preserve">psychological disturbance, and one due to confusion over appointment date. </w:t>
      </w:r>
      <w:r w:rsidR="00AB37AB" w:rsidRPr="00842F43">
        <w:rPr>
          <w:rFonts w:ascii="Fira Sans" w:hAnsi="Fira Sans"/>
          <w:sz w:val="20"/>
          <w:szCs w:val="20"/>
        </w:rPr>
        <w:t xml:space="preserve">Mean session attendance was 3.25 per participant. </w:t>
      </w:r>
      <w:r w:rsidR="003B4619" w:rsidRPr="00842F43">
        <w:rPr>
          <w:rFonts w:ascii="Fira Sans" w:hAnsi="Fira Sans"/>
          <w:sz w:val="20"/>
          <w:szCs w:val="20"/>
        </w:rPr>
        <w:t>Five</w:t>
      </w:r>
      <w:r w:rsidR="00FF780B" w:rsidRPr="00842F43">
        <w:rPr>
          <w:rFonts w:ascii="Fira Sans" w:hAnsi="Fira Sans"/>
          <w:sz w:val="20"/>
          <w:szCs w:val="20"/>
        </w:rPr>
        <w:t xml:space="preserve"> participants needed only one session as </w:t>
      </w:r>
      <w:r w:rsidR="003B4619" w:rsidRPr="00842F43">
        <w:rPr>
          <w:rFonts w:ascii="Fira Sans" w:hAnsi="Fira Sans"/>
          <w:sz w:val="20"/>
          <w:szCs w:val="20"/>
        </w:rPr>
        <w:t>their B</w:t>
      </w:r>
      <w:r w:rsidR="00FF780B" w:rsidRPr="00842F43">
        <w:rPr>
          <w:rFonts w:ascii="Fira Sans" w:hAnsi="Fira Sans"/>
          <w:sz w:val="20"/>
          <w:szCs w:val="20"/>
        </w:rPr>
        <w:t xml:space="preserve">aseline SUD was 1/10. </w:t>
      </w:r>
      <w:r w:rsidR="001A523E" w:rsidRPr="00842F43">
        <w:rPr>
          <w:rFonts w:ascii="Fira Sans" w:hAnsi="Fira Sans"/>
          <w:sz w:val="20"/>
          <w:szCs w:val="20"/>
        </w:rPr>
        <w:t xml:space="preserve">One patient from each group did not complete the 6-month follow-up assessments. One declined but gave no reason and one could not be contacted. </w:t>
      </w:r>
      <w:r w:rsidR="001314A5" w:rsidRPr="00842F43">
        <w:rPr>
          <w:rFonts w:ascii="Fira Sans" w:hAnsi="Fira Sans"/>
          <w:sz w:val="20"/>
          <w:szCs w:val="20"/>
        </w:rPr>
        <w:t>Twenty-three</w:t>
      </w:r>
      <w:r w:rsidR="001A523E" w:rsidRPr="00842F43">
        <w:rPr>
          <w:rFonts w:ascii="Fira Sans" w:hAnsi="Fira Sans"/>
          <w:sz w:val="20"/>
          <w:szCs w:val="20"/>
        </w:rPr>
        <w:t xml:space="preserve"> participants (88%) completed all study procedures. </w:t>
      </w:r>
      <w:r w:rsidR="003A31DB" w:rsidRPr="00842F43">
        <w:rPr>
          <w:rFonts w:ascii="Fira Sans" w:hAnsi="Fira Sans"/>
          <w:sz w:val="20"/>
          <w:szCs w:val="20"/>
        </w:rPr>
        <w:t xml:space="preserve">There were no protocol deviations </w:t>
      </w:r>
      <w:r w:rsidR="00BC1CDA" w:rsidRPr="00842F43">
        <w:rPr>
          <w:rFonts w:ascii="Fira Sans" w:hAnsi="Fira Sans"/>
          <w:sz w:val="20"/>
          <w:szCs w:val="20"/>
        </w:rPr>
        <w:t>and no reported adverse events</w:t>
      </w:r>
      <w:r w:rsidR="003A31DB" w:rsidRPr="00842F43">
        <w:rPr>
          <w:rFonts w:ascii="Fira Sans" w:hAnsi="Fira Sans"/>
          <w:sz w:val="20"/>
          <w:szCs w:val="20"/>
        </w:rPr>
        <w:t xml:space="preserve">. </w:t>
      </w:r>
    </w:p>
    <w:p w14:paraId="13258F4B" w14:textId="25F399A7" w:rsidR="00531AD5" w:rsidRPr="00842F43" w:rsidRDefault="00531AD5" w:rsidP="00842F43">
      <w:pPr>
        <w:spacing w:line="360" w:lineRule="auto"/>
        <w:rPr>
          <w:rFonts w:ascii="Fira Sans" w:hAnsi="Fira Sans"/>
          <w:sz w:val="20"/>
          <w:szCs w:val="20"/>
        </w:rPr>
      </w:pPr>
    </w:p>
    <w:p w14:paraId="5FCB6B62" w14:textId="79CA7CA8" w:rsidR="001314A5" w:rsidRPr="00842F43" w:rsidRDefault="00876E91" w:rsidP="00842F43">
      <w:pPr>
        <w:spacing w:line="360" w:lineRule="auto"/>
        <w:rPr>
          <w:rFonts w:ascii="Fira Sans" w:hAnsi="Fira Sans"/>
          <w:i/>
          <w:iCs/>
          <w:sz w:val="20"/>
          <w:szCs w:val="20"/>
        </w:rPr>
      </w:pPr>
      <w:r w:rsidRPr="00842F43">
        <w:rPr>
          <w:rFonts w:ascii="Fira Sans" w:hAnsi="Fira Sans"/>
          <w:i/>
          <w:iCs/>
          <w:sz w:val="20"/>
          <w:szCs w:val="20"/>
        </w:rPr>
        <w:t>Secondary</w:t>
      </w:r>
      <w:r w:rsidR="001314A5" w:rsidRPr="00842F43">
        <w:rPr>
          <w:rFonts w:ascii="Fira Sans" w:hAnsi="Fira Sans"/>
          <w:i/>
          <w:iCs/>
          <w:sz w:val="20"/>
          <w:szCs w:val="20"/>
        </w:rPr>
        <w:t xml:space="preserve"> outcomes</w:t>
      </w:r>
    </w:p>
    <w:p w14:paraId="46EDA8E9" w14:textId="1808312E" w:rsidR="001314A5" w:rsidRPr="00842F43" w:rsidRDefault="00C250F4" w:rsidP="00842F43">
      <w:pPr>
        <w:spacing w:line="360" w:lineRule="auto"/>
        <w:rPr>
          <w:rFonts w:ascii="Fira Sans" w:hAnsi="Fira Sans"/>
          <w:color w:val="000000" w:themeColor="text1"/>
          <w:sz w:val="20"/>
          <w:szCs w:val="20"/>
        </w:rPr>
      </w:pPr>
      <w:r w:rsidRPr="00842F43">
        <w:rPr>
          <w:rFonts w:ascii="Fira Sans" w:hAnsi="Fira Sans"/>
          <w:sz w:val="20"/>
          <w:szCs w:val="20"/>
        </w:rPr>
        <w:lastRenderedPageBreak/>
        <w:t>The m</w:t>
      </w:r>
      <w:r w:rsidR="001314A5" w:rsidRPr="00842F43">
        <w:rPr>
          <w:rFonts w:ascii="Fira Sans" w:hAnsi="Fira Sans"/>
          <w:sz w:val="20"/>
          <w:szCs w:val="20"/>
        </w:rPr>
        <w:t xml:space="preserve">ean </w:t>
      </w:r>
      <w:r w:rsidRPr="00842F43">
        <w:rPr>
          <w:rFonts w:ascii="Fira Sans" w:hAnsi="Fira Sans"/>
          <w:sz w:val="20"/>
          <w:szCs w:val="20"/>
        </w:rPr>
        <w:t>B</w:t>
      </w:r>
      <w:r w:rsidR="001314A5" w:rsidRPr="00842F43">
        <w:rPr>
          <w:rFonts w:ascii="Fira Sans" w:hAnsi="Fira Sans"/>
          <w:sz w:val="20"/>
          <w:szCs w:val="20"/>
        </w:rPr>
        <w:t xml:space="preserve">aseline PCL-C score for </w:t>
      </w:r>
      <w:r w:rsidRPr="00842F43">
        <w:rPr>
          <w:rFonts w:ascii="Fira Sans" w:hAnsi="Fira Sans"/>
          <w:sz w:val="20"/>
          <w:szCs w:val="20"/>
        </w:rPr>
        <w:t>the</w:t>
      </w:r>
      <w:r w:rsidR="003C5018" w:rsidRPr="00842F43">
        <w:rPr>
          <w:rFonts w:ascii="Fira Sans" w:hAnsi="Fira Sans"/>
          <w:sz w:val="20"/>
          <w:szCs w:val="20"/>
        </w:rPr>
        <w:t xml:space="preserve"> whole</w:t>
      </w:r>
      <w:r w:rsidR="001314A5" w:rsidRPr="00842F43">
        <w:rPr>
          <w:rFonts w:ascii="Fira Sans" w:hAnsi="Fira Sans"/>
          <w:sz w:val="20"/>
          <w:szCs w:val="20"/>
        </w:rPr>
        <w:t xml:space="preserve"> </w:t>
      </w:r>
      <w:r w:rsidR="00BC1CDA" w:rsidRPr="00842F43">
        <w:rPr>
          <w:rFonts w:ascii="Fira Sans" w:hAnsi="Fira Sans"/>
          <w:sz w:val="20"/>
          <w:szCs w:val="20"/>
        </w:rPr>
        <w:t>intervention</w:t>
      </w:r>
      <w:r w:rsidRPr="00842F43">
        <w:rPr>
          <w:rFonts w:ascii="Fira Sans" w:hAnsi="Fira Sans"/>
          <w:sz w:val="20"/>
          <w:szCs w:val="20"/>
        </w:rPr>
        <w:t xml:space="preserve"> </w:t>
      </w:r>
      <w:r w:rsidR="001314A5" w:rsidRPr="00842F43">
        <w:rPr>
          <w:rFonts w:ascii="Fira Sans" w:hAnsi="Fira Sans"/>
          <w:sz w:val="20"/>
          <w:szCs w:val="20"/>
        </w:rPr>
        <w:t xml:space="preserve">group </w:t>
      </w:r>
      <w:r w:rsidRPr="00842F43">
        <w:rPr>
          <w:rFonts w:ascii="Fira Sans" w:hAnsi="Fira Sans"/>
          <w:sz w:val="20"/>
          <w:szCs w:val="20"/>
        </w:rPr>
        <w:t xml:space="preserve">was </w:t>
      </w:r>
      <w:r w:rsidR="001314A5" w:rsidRPr="00842F43">
        <w:rPr>
          <w:rFonts w:ascii="Fira Sans" w:hAnsi="Fira Sans"/>
          <w:sz w:val="20"/>
          <w:szCs w:val="20"/>
        </w:rPr>
        <w:t>29.2</w:t>
      </w:r>
      <w:r w:rsidRPr="00842F43">
        <w:rPr>
          <w:rFonts w:ascii="Fira Sans" w:hAnsi="Fira Sans"/>
          <w:sz w:val="20"/>
          <w:szCs w:val="20"/>
        </w:rPr>
        <w:t xml:space="preserve"> </w:t>
      </w:r>
      <w:r w:rsidR="003C5018" w:rsidRPr="00842F43">
        <w:rPr>
          <w:rFonts w:ascii="Fira Sans" w:hAnsi="Fira Sans"/>
          <w:sz w:val="20"/>
          <w:szCs w:val="20"/>
        </w:rPr>
        <w:t>although</w:t>
      </w:r>
      <w:r w:rsidRPr="00842F43">
        <w:rPr>
          <w:rFonts w:ascii="Fira Sans" w:hAnsi="Fira Sans"/>
          <w:sz w:val="20"/>
          <w:szCs w:val="20"/>
        </w:rPr>
        <w:t xml:space="preserve"> 48.7</w:t>
      </w:r>
      <w:r w:rsidR="001314A5" w:rsidRPr="00842F43">
        <w:rPr>
          <w:rFonts w:ascii="Fira Sans" w:hAnsi="Fira Sans"/>
          <w:sz w:val="20"/>
          <w:szCs w:val="20"/>
        </w:rPr>
        <w:t xml:space="preserve"> </w:t>
      </w:r>
      <w:r w:rsidRPr="00842F43">
        <w:rPr>
          <w:rFonts w:ascii="Fira Sans" w:hAnsi="Fira Sans"/>
          <w:sz w:val="20"/>
          <w:szCs w:val="20"/>
        </w:rPr>
        <w:t>in t</w:t>
      </w:r>
      <w:r w:rsidR="001314A5" w:rsidRPr="00842F43">
        <w:rPr>
          <w:rFonts w:ascii="Fira Sans" w:hAnsi="Fira Sans"/>
          <w:sz w:val="20"/>
          <w:szCs w:val="20"/>
        </w:rPr>
        <w:t>he 7 participants who required more than one session.</w:t>
      </w:r>
      <w:r w:rsidRPr="00842F43">
        <w:rPr>
          <w:rFonts w:ascii="Fira Sans" w:hAnsi="Fira Sans"/>
          <w:sz w:val="20"/>
          <w:szCs w:val="20"/>
        </w:rPr>
        <w:t xml:space="preserve"> </w:t>
      </w:r>
      <w:r w:rsidR="001314A5" w:rsidRPr="00842F43">
        <w:rPr>
          <w:rFonts w:ascii="Fira Sans" w:hAnsi="Fira Sans"/>
          <w:color w:val="000000" w:themeColor="text1"/>
          <w:sz w:val="20"/>
          <w:szCs w:val="20"/>
        </w:rPr>
        <w:t>Clinical outcomes are summarised in Table 2. Mean PCL-C score decreased by 8 points (S</w:t>
      </w:r>
      <w:r w:rsidR="004E1577" w:rsidRPr="00842F43">
        <w:rPr>
          <w:rFonts w:ascii="Fira Sans" w:hAnsi="Fira Sans"/>
          <w:color w:val="000000" w:themeColor="text1"/>
          <w:sz w:val="20"/>
          <w:szCs w:val="20"/>
        </w:rPr>
        <w:t>tandard deviation (SD)</w:t>
      </w:r>
      <w:r w:rsidR="001314A5" w:rsidRPr="00842F43">
        <w:rPr>
          <w:rFonts w:ascii="Fira Sans" w:hAnsi="Fira Sans"/>
          <w:color w:val="000000" w:themeColor="text1"/>
          <w:sz w:val="20"/>
          <w:szCs w:val="20"/>
        </w:rPr>
        <w:t xml:space="preserve"> 10.49) in the </w:t>
      </w:r>
      <w:r w:rsidR="00BC1CDA" w:rsidRPr="00842F43">
        <w:rPr>
          <w:rFonts w:ascii="Fira Sans" w:hAnsi="Fira Sans"/>
          <w:color w:val="000000" w:themeColor="text1"/>
          <w:sz w:val="20"/>
          <w:szCs w:val="20"/>
        </w:rPr>
        <w:t>intervention</w:t>
      </w:r>
      <w:r w:rsidR="00EE7A2A" w:rsidRPr="00842F43">
        <w:rPr>
          <w:rFonts w:ascii="Fira Sans" w:hAnsi="Fira Sans"/>
          <w:color w:val="000000" w:themeColor="text1"/>
          <w:sz w:val="20"/>
          <w:szCs w:val="20"/>
        </w:rPr>
        <w:t xml:space="preserve"> </w:t>
      </w:r>
      <w:r w:rsidR="001314A5" w:rsidRPr="00842F43">
        <w:rPr>
          <w:rFonts w:ascii="Fira Sans" w:hAnsi="Fira Sans"/>
          <w:color w:val="000000" w:themeColor="text1"/>
          <w:sz w:val="20"/>
          <w:szCs w:val="20"/>
        </w:rPr>
        <w:t xml:space="preserve">group </w:t>
      </w:r>
      <w:r w:rsidR="008E35A8" w:rsidRPr="00842F43">
        <w:rPr>
          <w:rFonts w:ascii="Fira Sans" w:hAnsi="Fira Sans"/>
          <w:color w:val="000000" w:themeColor="text1"/>
          <w:sz w:val="20"/>
          <w:szCs w:val="20"/>
        </w:rPr>
        <w:t>but</w:t>
      </w:r>
      <w:r w:rsidR="001314A5" w:rsidRPr="00842F43">
        <w:rPr>
          <w:rFonts w:ascii="Fira Sans" w:hAnsi="Fira Sans"/>
          <w:color w:val="000000" w:themeColor="text1"/>
          <w:sz w:val="20"/>
          <w:szCs w:val="20"/>
        </w:rPr>
        <w:t xml:space="preserve"> increased by 0.75 (SD 15.17) in the </w:t>
      </w:r>
      <w:r w:rsidR="000E0BAD" w:rsidRPr="00842F43">
        <w:rPr>
          <w:rFonts w:ascii="Fira Sans" w:hAnsi="Fira Sans"/>
          <w:color w:val="000000" w:themeColor="text1"/>
          <w:sz w:val="20"/>
          <w:szCs w:val="20"/>
        </w:rPr>
        <w:t>CG</w:t>
      </w:r>
      <w:r w:rsidR="0016736F" w:rsidRPr="00842F43">
        <w:rPr>
          <w:rFonts w:ascii="Fira Sans" w:hAnsi="Fira Sans"/>
          <w:color w:val="000000" w:themeColor="text1"/>
          <w:sz w:val="20"/>
          <w:szCs w:val="20"/>
        </w:rPr>
        <w:t xml:space="preserve"> </w:t>
      </w:r>
      <w:r w:rsidR="001314A5" w:rsidRPr="00842F43">
        <w:rPr>
          <w:rFonts w:ascii="Fira Sans" w:hAnsi="Fira Sans"/>
          <w:color w:val="000000" w:themeColor="text1"/>
          <w:sz w:val="20"/>
          <w:szCs w:val="20"/>
        </w:rPr>
        <w:t xml:space="preserve">(p=0.126). There was wide variability in response among participants in the </w:t>
      </w:r>
      <w:r w:rsidR="00BC1CDA" w:rsidRPr="00842F43">
        <w:rPr>
          <w:rFonts w:ascii="Fira Sans" w:hAnsi="Fira Sans"/>
          <w:color w:val="000000" w:themeColor="text1"/>
          <w:sz w:val="20"/>
          <w:szCs w:val="20"/>
        </w:rPr>
        <w:t>intervention</w:t>
      </w:r>
      <w:r w:rsidR="001314A5" w:rsidRPr="00842F43">
        <w:rPr>
          <w:rFonts w:ascii="Fira Sans" w:hAnsi="Fira Sans"/>
          <w:color w:val="000000" w:themeColor="text1"/>
          <w:sz w:val="20"/>
          <w:szCs w:val="20"/>
        </w:rPr>
        <w:t xml:space="preserve"> group</w:t>
      </w:r>
      <w:r w:rsidR="008E35A8"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 xml:space="preserve"> 9 reported a reduction in PCL-C scores, </w:t>
      </w:r>
      <w:r w:rsidR="008E35A8"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from -3 to -29</w:t>
      </w:r>
      <w:r w:rsidR="008E35A8" w:rsidRPr="00842F43">
        <w:rPr>
          <w:rFonts w:ascii="Fira Sans" w:hAnsi="Fira Sans"/>
          <w:color w:val="000000" w:themeColor="text1"/>
          <w:sz w:val="20"/>
          <w:szCs w:val="20"/>
        </w:rPr>
        <w:t>),</w:t>
      </w:r>
      <w:r w:rsidR="00EE7A2A" w:rsidRPr="00842F43">
        <w:rPr>
          <w:rFonts w:ascii="Fira Sans" w:hAnsi="Fira Sans"/>
          <w:color w:val="000000" w:themeColor="text1"/>
          <w:sz w:val="20"/>
          <w:szCs w:val="20"/>
        </w:rPr>
        <w:t xml:space="preserve"> one</w:t>
      </w:r>
      <w:r w:rsidR="001314A5" w:rsidRPr="00842F43">
        <w:rPr>
          <w:rFonts w:ascii="Fira Sans" w:hAnsi="Fira Sans"/>
          <w:color w:val="000000" w:themeColor="text1"/>
          <w:sz w:val="20"/>
          <w:szCs w:val="20"/>
        </w:rPr>
        <w:t xml:space="preserve"> participant reported no change</w:t>
      </w:r>
      <w:r w:rsidR="008E35A8"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 xml:space="preserve"> and</w:t>
      </w:r>
      <w:r w:rsidR="00EE7A2A" w:rsidRPr="00842F43">
        <w:rPr>
          <w:rFonts w:ascii="Fira Sans" w:hAnsi="Fira Sans"/>
          <w:color w:val="000000" w:themeColor="text1"/>
          <w:sz w:val="20"/>
          <w:szCs w:val="20"/>
        </w:rPr>
        <w:t xml:space="preserve"> one</w:t>
      </w:r>
      <w:r w:rsidR="001314A5" w:rsidRPr="00842F43">
        <w:rPr>
          <w:rFonts w:ascii="Fira Sans" w:hAnsi="Fira Sans"/>
          <w:color w:val="000000" w:themeColor="text1"/>
          <w:sz w:val="20"/>
          <w:szCs w:val="20"/>
        </w:rPr>
        <w:t xml:space="preserve"> reported </w:t>
      </w:r>
      <w:r w:rsidR="00554427" w:rsidRPr="00842F43">
        <w:rPr>
          <w:rFonts w:ascii="Fira Sans" w:hAnsi="Fira Sans"/>
          <w:color w:val="000000" w:themeColor="text1"/>
          <w:sz w:val="20"/>
          <w:szCs w:val="20"/>
        </w:rPr>
        <w:t xml:space="preserve">an increase of 10 points </w:t>
      </w:r>
      <w:r w:rsidR="008E35A8" w:rsidRPr="00842F43">
        <w:rPr>
          <w:rFonts w:ascii="Fira Sans" w:hAnsi="Fira Sans"/>
          <w:color w:val="000000" w:themeColor="text1"/>
          <w:sz w:val="20"/>
          <w:szCs w:val="20"/>
        </w:rPr>
        <w:t>(a combat veteran with previously reported PTSD diagnosis)</w:t>
      </w:r>
      <w:r w:rsidR="001314A5" w:rsidRPr="00842F43">
        <w:rPr>
          <w:rFonts w:ascii="Fira Sans" w:hAnsi="Fira Sans"/>
          <w:color w:val="000000" w:themeColor="text1"/>
          <w:sz w:val="20"/>
          <w:szCs w:val="20"/>
        </w:rPr>
        <w:t xml:space="preserve">. In the </w:t>
      </w:r>
      <w:r w:rsidR="000E0BAD" w:rsidRPr="00842F43">
        <w:rPr>
          <w:rFonts w:ascii="Fira Sans" w:hAnsi="Fira Sans"/>
          <w:color w:val="000000" w:themeColor="text1"/>
          <w:sz w:val="20"/>
          <w:szCs w:val="20"/>
        </w:rPr>
        <w:t>CG</w:t>
      </w:r>
      <w:r w:rsidR="001314A5" w:rsidRPr="00842F43">
        <w:rPr>
          <w:rFonts w:ascii="Fira Sans" w:hAnsi="Fira Sans"/>
          <w:color w:val="000000" w:themeColor="text1"/>
          <w:sz w:val="20"/>
          <w:szCs w:val="20"/>
        </w:rPr>
        <w:t>, 3 of 12 participants reported a reduced PCL-C score</w:t>
      </w:r>
      <w:r w:rsidR="008E35A8" w:rsidRPr="00842F43">
        <w:rPr>
          <w:rFonts w:ascii="Fira Sans" w:hAnsi="Fira Sans"/>
          <w:color w:val="000000" w:themeColor="text1"/>
          <w:sz w:val="20"/>
          <w:szCs w:val="20"/>
        </w:rPr>
        <w:t xml:space="preserve"> (</w:t>
      </w:r>
      <w:r w:rsidR="001314A5" w:rsidRPr="00842F43">
        <w:rPr>
          <w:rFonts w:ascii="Fira Sans" w:hAnsi="Fira Sans"/>
          <w:color w:val="000000" w:themeColor="text1"/>
          <w:sz w:val="20"/>
          <w:szCs w:val="20"/>
        </w:rPr>
        <w:t>ranging from -5 to -37</w:t>
      </w:r>
      <w:r w:rsidR="008E35A8"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 xml:space="preserve"> </w:t>
      </w:r>
      <w:r w:rsidR="008E35A8" w:rsidRPr="00842F43">
        <w:rPr>
          <w:rFonts w:ascii="Fira Sans" w:hAnsi="Fira Sans"/>
          <w:color w:val="000000" w:themeColor="text1"/>
          <w:sz w:val="20"/>
          <w:szCs w:val="20"/>
        </w:rPr>
        <w:t>3</w:t>
      </w:r>
      <w:r w:rsidR="001314A5" w:rsidRPr="00842F43">
        <w:rPr>
          <w:rFonts w:ascii="Fira Sans" w:hAnsi="Fira Sans"/>
          <w:color w:val="000000" w:themeColor="text1"/>
          <w:sz w:val="20"/>
          <w:szCs w:val="20"/>
        </w:rPr>
        <w:t xml:space="preserve"> reported no change</w:t>
      </w:r>
      <w:r w:rsidR="008E35A8"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 xml:space="preserve"> 6 reported increased PCL-C scores</w:t>
      </w:r>
      <w:r w:rsidR="008E35A8" w:rsidRPr="00842F43">
        <w:rPr>
          <w:rFonts w:ascii="Fira Sans" w:hAnsi="Fira Sans"/>
          <w:color w:val="000000" w:themeColor="text1"/>
          <w:sz w:val="20"/>
          <w:szCs w:val="20"/>
        </w:rPr>
        <w:t xml:space="preserve"> (</w:t>
      </w:r>
      <w:r w:rsidR="001314A5" w:rsidRPr="00842F43">
        <w:rPr>
          <w:rFonts w:ascii="Fira Sans" w:hAnsi="Fira Sans"/>
          <w:color w:val="000000" w:themeColor="text1"/>
          <w:sz w:val="20"/>
          <w:szCs w:val="20"/>
        </w:rPr>
        <w:t>from +3 to +24</w:t>
      </w:r>
      <w:r w:rsidR="008E35A8"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 xml:space="preserve">. </w:t>
      </w:r>
    </w:p>
    <w:p w14:paraId="2675BBB4" w14:textId="42AB2A73" w:rsidR="001314A5" w:rsidRPr="00842F43" w:rsidRDefault="009F38AE" w:rsidP="00842F43">
      <w:pPr>
        <w:spacing w:line="360" w:lineRule="auto"/>
        <w:rPr>
          <w:rFonts w:ascii="Fira Sans" w:hAnsi="Fira Sans"/>
          <w:color w:val="000000" w:themeColor="text1"/>
          <w:sz w:val="20"/>
          <w:szCs w:val="20"/>
        </w:rPr>
      </w:pPr>
      <w:r w:rsidRPr="00842F43">
        <w:rPr>
          <w:rFonts w:ascii="Fira Sans" w:hAnsi="Fira Sans"/>
          <w:color w:val="000000" w:themeColor="text1"/>
          <w:sz w:val="20"/>
          <w:szCs w:val="20"/>
        </w:rPr>
        <w:t>M</w:t>
      </w:r>
      <w:r w:rsidR="001314A5" w:rsidRPr="00842F43">
        <w:rPr>
          <w:rFonts w:ascii="Fira Sans" w:hAnsi="Fira Sans"/>
          <w:color w:val="000000" w:themeColor="text1"/>
          <w:sz w:val="20"/>
          <w:szCs w:val="20"/>
        </w:rPr>
        <w:t xml:space="preserve">ean change in overall HADS scores </w:t>
      </w:r>
      <w:r w:rsidR="00D6010F" w:rsidRPr="00842F43">
        <w:rPr>
          <w:rFonts w:ascii="Fira Sans" w:hAnsi="Fira Sans"/>
          <w:color w:val="000000" w:themeColor="text1"/>
          <w:sz w:val="20"/>
          <w:szCs w:val="20"/>
        </w:rPr>
        <w:t>was</w:t>
      </w:r>
      <w:r w:rsidR="001314A5" w:rsidRPr="00842F43">
        <w:rPr>
          <w:rFonts w:ascii="Fira Sans" w:hAnsi="Fira Sans"/>
          <w:color w:val="000000" w:themeColor="text1"/>
          <w:sz w:val="20"/>
          <w:szCs w:val="20"/>
        </w:rPr>
        <w:t xml:space="preserve"> comparable between groups, with a reduction of 0.91 (SD 4.21) in </w:t>
      </w:r>
      <w:r w:rsidR="00BC1CDA" w:rsidRPr="00842F43">
        <w:rPr>
          <w:rFonts w:ascii="Fira Sans" w:hAnsi="Fira Sans"/>
          <w:color w:val="000000" w:themeColor="text1"/>
          <w:sz w:val="20"/>
          <w:szCs w:val="20"/>
        </w:rPr>
        <w:t>intervention</w:t>
      </w:r>
      <w:r w:rsidR="001314A5" w:rsidRPr="00842F43">
        <w:rPr>
          <w:rFonts w:ascii="Fira Sans" w:hAnsi="Fira Sans"/>
          <w:color w:val="000000" w:themeColor="text1"/>
          <w:sz w:val="20"/>
          <w:szCs w:val="20"/>
        </w:rPr>
        <w:t xml:space="preserve"> group </w:t>
      </w:r>
      <w:r w:rsidR="00D6010F" w:rsidRPr="00842F43">
        <w:rPr>
          <w:rFonts w:ascii="Fira Sans" w:hAnsi="Fira Sans"/>
          <w:color w:val="000000" w:themeColor="text1"/>
          <w:sz w:val="20"/>
          <w:szCs w:val="20"/>
        </w:rPr>
        <w:t>and</w:t>
      </w:r>
      <w:r w:rsidR="001314A5" w:rsidRPr="00842F43">
        <w:rPr>
          <w:rFonts w:ascii="Fira Sans" w:hAnsi="Fira Sans"/>
          <w:color w:val="000000" w:themeColor="text1"/>
          <w:sz w:val="20"/>
          <w:szCs w:val="20"/>
        </w:rPr>
        <w:t xml:space="preserve"> a reduction of 0.42 (SD 6.63) in the CG (p=0.835). </w:t>
      </w:r>
      <w:r w:rsidR="00D6010F" w:rsidRPr="00842F43">
        <w:rPr>
          <w:rFonts w:ascii="Fira Sans" w:hAnsi="Fira Sans"/>
          <w:color w:val="000000" w:themeColor="text1"/>
          <w:sz w:val="20"/>
          <w:szCs w:val="20"/>
        </w:rPr>
        <w:t xml:space="preserve">Mean </w:t>
      </w:r>
      <w:r w:rsidR="001314A5" w:rsidRPr="00842F43">
        <w:rPr>
          <w:rFonts w:ascii="Fira Sans" w:hAnsi="Fira Sans"/>
          <w:color w:val="000000" w:themeColor="text1"/>
          <w:sz w:val="20"/>
          <w:szCs w:val="20"/>
        </w:rPr>
        <w:t xml:space="preserve">HADS-Anxiety </w:t>
      </w:r>
      <w:r w:rsidR="00D6010F" w:rsidRPr="00842F43">
        <w:rPr>
          <w:rFonts w:ascii="Fira Sans" w:hAnsi="Fira Sans"/>
          <w:color w:val="000000" w:themeColor="text1"/>
          <w:sz w:val="20"/>
          <w:szCs w:val="20"/>
        </w:rPr>
        <w:t xml:space="preserve">scores </w:t>
      </w:r>
      <w:r w:rsidRPr="00842F43">
        <w:rPr>
          <w:rFonts w:ascii="Fira Sans" w:hAnsi="Fira Sans"/>
          <w:color w:val="000000" w:themeColor="text1"/>
          <w:sz w:val="20"/>
          <w:szCs w:val="20"/>
        </w:rPr>
        <w:t>decreased</w:t>
      </w:r>
      <w:r w:rsidR="001314A5" w:rsidRPr="00842F43">
        <w:rPr>
          <w:rFonts w:ascii="Fira Sans" w:hAnsi="Fira Sans"/>
          <w:color w:val="000000" w:themeColor="text1"/>
          <w:sz w:val="20"/>
          <w:szCs w:val="20"/>
        </w:rPr>
        <w:t xml:space="preserve"> by 0.45 (SD 2.30) in</w:t>
      </w:r>
      <w:r w:rsidR="00BC1CDA" w:rsidRPr="00842F43">
        <w:rPr>
          <w:rFonts w:ascii="Fira Sans" w:hAnsi="Fira Sans"/>
          <w:color w:val="000000" w:themeColor="text1"/>
          <w:sz w:val="20"/>
          <w:szCs w:val="20"/>
        </w:rPr>
        <w:t xml:space="preserve"> the</w:t>
      </w:r>
      <w:r w:rsidR="001314A5" w:rsidRPr="00842F43">
        <w:rPr>
          <w:rFonts w:ascii="Fira Sans" w:hAnsi="Fira Sans"/>
          <w:color w:val="000000" w:themeColor="text1"/>
          <w:sz w:val="20"/>
          <w:szCs w:val="20"/>
        </w:rPr>
        <w:t xml:space="preserve"> </w:t>
      </w:r>
      <w:r w:rsidR="00BC1CDA" w:rsidRPr="00842F43">
        <w:rPr>
          <w:rFonts w:ascii="Fira Sans" w:hAnsi="Fira Sans"/>
          <w:color w:val="000000" w:themeColor="text1"/>
          <w:sz w:val="20"/>
          <w:szCs w:val="20"/>
        </w:rPr>
        <w:t>intervention</w:t>
      </w:r>
      <w:r w:rsidR="001314A5" w:rsidRPr="00842F43">
        <w:rPr>
          <w:rFonts w:ascii="Fira Sans" w:hAnsi="Fira Sans"/>
          <w:color w:val="000000" w:themeColor="text1"/>
          <w:sz w:val="20"/>
          <w:szCs w:val="20"/>
        </w:rPr>
        <w:t xml:space="preserve"> </w:t>
      </w:r>
      <w:r w:rsidR="00BC1CDA" w:rsidRPr="00842F43">
        <w:rPr>
          <w:rFonts w:ascii="Fira Sans" w:hAnsi="Fira Sans"/>
          <w:color w:val="000000" w:themeColor="text1"/>
          <w:sz w:val="20"/>
          <w:szCs w:val="20"/>
        </w:rPr>
        <w:t xml:space="preserve">group </w:t>
      </w:r>
      <w:r w:rsidR="001314A5" w:rsidRPr="00842F43">
        <w:rPr>
          <w:rFonts w:ascii="Fira Sans" w:hAnsi="Fira Sans"/>
          <w:color w:val="000000" w:themeColor="text1"/>
          <w:sz w:val="20"/>
          <w:szCs w:val="20"/>
        </w:rPr>
        <w:t>and 0.83 (SD 4.02) in the CG (p=0.787)</w:t>
      </w:r>
      <w:r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 xml:space="preserve"> </w:t>
      </w:r>
      <w:r w:rsidRPr="00842F43">
        <w:rPr>
          <w:rFonts w:ascii="Fira Sans" w:hAnsi="Fira Sans"/>
          <w:color w:val="000000" w:themeColor="text1"/>
          <w:sz w:val="20"/>
          <w:szCs w:val="20"/>
        </w:rPr>
        <w:t xml:space="preserve">median </w:t>
      </w:r>
      <w:r w:rsidR="001314A5" w:rsidRPr="00842F43">
        <w:rPr>
          <w:rFonts w:ascii="Fira Sans" w:hAnsi="Fira Sans"/>
          <w:color w:val="000000" w:themeColor="text1"/>
          <w:sz w:val="20"/>
          <w:szCs w:val="20"/>
        </w:rPr>
        <w:t xml:space="preserve">HADS-Depression </w:t>
      </w:r>
      <w:r w:rsidRPr="00842F43">
        <w:rPr>
          <w:rFonts w:ascii="Fira Sans" w:hAnsi="Fira Sans"/>
          <w:color w:val="000000" w:themeColor="text1"/>
          <w:sz w:val="20"/>
          <w:szCs w:val="20"/>
        </w:rPr>
        <w:t xml:space="preserve">scores </w:t>
      </w:r>
      <w:r w:rsidR="001314A5" w:rsidRPr="00842F43">
        <w:rPr>
          <w:rFonts w:ascii="Fira Sans" w:hAnsi="Fira Sans"/>
          <w:color w:val="000000" w:themeColor="text1"/>
          <w:sz w:val="20"/>
          <w:szCs w:val="20"/>
        </w:rPr>
        <w:t>fell by 2 (</w:t>
      </w:r>
      <w:r w:rsidR="000E5D91" w:rsidRPr="00842F43">
        <w:rPr>
          <w:rFonts w:ascii="Fira Sans" w:hAnsi="Fira Sans"/>
          <w:color w:val="000000" w:themeColor="text1"/>
          <w:sz w:val="20"/>
          <w:szCs w:val="20"/>
        </w:rPr>
        <w:t>Inter Quartile Range (</w:t>
      </w:r>
      <w:r w:rsidR="001314A5" w:rsidRPr="00842F43">
        <w:rPr>
          <w:rFonts w:ascii="Fira Sans" w:hAnsi="Fira Sans"/>
          <w:color w:val="000000" w:themeColor="text1"/>
          <w:sz w:val="20"/>
          <w:szCs w:val="20"/>
        </w:rPr>
        <w:t>IQR</w:t>
      </w:r>
      <w:r w:rsidR="000E5D91"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 xml:space="preserve"> -3,1) in the </w:t>
      </w:r>
      <w:r w:rsidR="00BC1CDA" w:rsidRPr="00842F43">
        <w:rPr>
          <w:rFonts w:ascii="Fira Sans" w:hAnsi="Fira Sans"/>
          <w:color w:val="000000" w:themeColor="text1"/>
          <w:sz w:val="20"/>
          <w:szCs w:val="20"/>
        </w:rPr>
        <w:t>intervention</w:t>
      </w:r>
      <w:r w:rsidR="00EE7A2A" w:rsidRPr="00842F43">
        <w:rPr>
          <w:rFonts w:ascii="Fira Sans" w:hAnsi="Fira Sans"/>
          <w:color w:val="000000" w:themeColor="text1"/>
          <w:sz w:val="20"/>
          <w:szCs w:val="20"/>
        </w:rPr>
        <w:t xml:space="preserve"> </w:t>
      </w:r>
      <w:r w:rsidRPr="00842F43">
        <w:rPr>
          <w:rFonts w:ascii="Fira Sans" w:hAnsi="Fira Sans"/>
          <w:color w:val="000000" w:themeColor="text1"/>
          <w:sz w:val="20"/>
          <w:szCs w:val="20"/>
        </w:rPr>
        <w:t>but</w:t>
      </w:r>
      <w:r w:rsidR="001314A5" w:rsidRPr="00842F43">
        <w:rPr>
          <w:rFonts w:ascii="Fira Sans" w:hAnsi="Fira Sans"/>
          <w:color w:val="000000" w:themeColor="text1"/>
          <w:sz w:val="20"/>
          <w:szCs w:val="20"/>
        </w:rPr>
        <w:t xml:space="preserve"> increase</w:t>
      </w:r>
      <w:r w:rsidRPr="00842F43">
        <w:rPr>
          <w:rFonts w:ascii="Fira Sans" w:hAnsi="Fira Sans"/>
          <w:color w:val="000000" w:themeColor="text1"/>
          <w:sz w:val="20"/>
          <w:szCs w:val="20"/>
        </w:rPr>
        <w:t>d</w:t>
      </w:r>
      <w:r w:rsidR="001314A5" w:rsidRPr="00842F43">
        <w:rPr>
          <w:rFonts w:ascii="Fira Sans" w:hAnsi="Fira Sans"/>
          <w:color w:val="000000" w:themeColor="text1"/>
          <w:sz w:val="20"/>
          <w:szCs w:val="20"/>
        </w:rPr>
        <w:t xml:space="preserve"> </w:t>
      </w:r>
      <w:r w:rsidRPr="00842F43">
        <w:rPr>
          <w:rFonts w:ascii="Fira Sans" w:hAnsi="Fira Sans"/>
          <w:color w:val="000000" w:themeColor="text1"/>
          <w:sz w:val="20"/>
          <w:szCs w:val="20"/>
        </w:rPr>
        <w:t>by</w:t>
      </w:r>
      <w:r w:rsidR="001314A5" w:rsidRPr="00842F43">
        <w:rPr>
          <w:rFonts w:ascii="Fira Sans" w:hAnsi="Fira Sans"/>
          <w:color w:val="000000" w:themeColor="text1"/>
          <w:sz w:val="20"/>
          <w:szCs w:val="20"/>
        </w:rPr>
        <w:t xml:space="preserve"> 1 (</w:t>
      </w:r>
      <w:r w:rsidR="000E5D91" w:rsidRPr="00842F43">
        <w:rPr>
          <w:rFonts w:ascii="Fira Sans" w:hAnsi="Fira Sans"/>
          <w:color w:val="000000" w:themeColor="text1"/>
          <w:sz w:val="20"/>
          <w:szCs w:val="20"/>
        </w:rPr>
        <w:t>I</w:t>
      </w:r>
      <w:r w:rsidR="001314A5" w:rsidRPr="00842F43">
        <w:rPr>
          <w:rFonts w:ascii="Fira Sans" w:hAnsi="Fira Sans"/>
          <w:color w:val="000000" w:themeColor="text1"/>
          <w:sz w:val="20"/>
          <w:szCs w:val="20"/>
        </w:rPr>
        <w:t xml:space="preserve">QR -1.5,2) in the CG (p=0.263). Median change in resilience </w:t>
      </w:r>
      <w:r w:rsidRPr="00842F43">
        <w:rPr>
          <w:rFonts w:ascii="Fira Sans" w:hAnsi="Fira Sans"/>
          <w:color w:val="000000" w:themeColor="text1"/>
          <w:sz w:val="20"/>
          <w:szCs w:val="20"/>
        </w:rPr>
        <w:t xml:space="preserve">score </w:t>
      </w:r>
      <w:r w:rsidR="001314A5" w:rsidRPr="00842F43">
        <w:rPr>
          <w:rFonts w:ascii="Fira Sans" w:hAnsi="Fira Sans"/>
          <w:color w:val="000000" w:themeColor="text1"/>
          <w:sz w:val="20"/>
          <w:szCs w:val="20"/>
        </w:rPr>
        <w:t xml:space="preserve">was </w:t>
      </w:r>
      <w:r w:rsidR="00EE7A2A"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 xml:space="preserve">0.17 (IQR -0.03,0.50) in the </w:t>
      </w:r>
      <w:r w:rsidR="00BC1CDA" w:rsidRPr="00842F43">
        <w:rPr>
          <w:rFonts w:ascii="Fira Sans" w:hAnsi="Fira Sans"/>
          <w:color w:val="000000" w:themeColor="text1"/>
          <w:sz w:val="20"/>
          <w:szCs w:val="20"/>
        </w:rPr>
        <w:t>intervention</w:t>
      </w:r>
      <w:r w:rsidR="001314A5" w:rsidRPr="00842F43">
        <w:rPr>
          <w:rFonts w:ascii="Fira Sans" w:hAnsi="Fira Sans"/>
          <w:color w:val="000000" w:themeColor="text1"/>
          <w:sz w:val="20"/>
          <w:szCs w:val="20"/>
        </w:rPr>
        <w:t xml:space="preserve"> group, </w:t>
      </w:r>
      <w:r w:rsidRPr="00842F43">
        <w:rPr>
          <w:rFonts w:ascii="Fira Sans" w:hAnsi="Fira Sans"/>
          <w:color w:val="000000" w:themeColor="text1"/>
          <w:sz w:val="20"/>
          <w:szCs w:val="20"/>
        </w:rPr>
        <w:t>and</w:t>
      </w:r>
      <w:r w:rsidR="001314A5" w:rsidRPr="00842F43">
        <w:rPr>
          <w:rFonts w:ascii="Fira Sans" w:hAnsi="Fira Sans"/>
          <w:color w:val="000000" w:themeColor="text1"/>
          <w:sz w:val="20"/>
          <w:szCs w:val="20"/>
        </w:rPr>
        <w:t xml:space="preserve"> 0 (IQR -.33,0.17) in the CG (p=0.658). Mean change in CNAQ was 1.6 (SD 3.95) in </w:t>
      </w:r>
      <w:r w:rsidR="00BC1CDA" w:rsidRPr="00842F43">
        <w:rPr>
          <w:rFonts w:ascii="Fira Sans" w:hAnsi="Fira Sans"/>
          <w:color w:val="000000" w:themeColor="text1"/>
          <w:sz w:val="20"/>
          <w:szCs w:val="20"/>
        </w:rPr>
        <w:t>intervention</w:t>
      </w:r>
      <w:r w:rsidR="001314A5" w:rsidRPr="00842F43">
        <w:rPr>
          <w:rFonts w:ascii="Fira Sans" w:hAnsi="Fira Sans"/>
          <w:color w:val="000000" w:themeColor="text1"/>
          <w:sz w:val="20"/>
          <w:szCs w:val="20"/>
        </w:rPr>
        <w:t xml:space="preserve"> group </w:t>
      </w:r>
      <w:r w:rsidRPr="00842F43">
        <w:rPr>
          <w:rFonts w:ascii="Fira Sans" w:hAnsi="Fira Sans"/>
          <w:color w:val="000000" w:themeColor="text1"/>
          <w:sz w:val="20"/>
          <w:szCs w:val="20"/>
        </w:rPr>
        <w:t>and</w:t>
      </w:r>
      <w:r w:rsidR="001314A5" w:rsidRPr="00842F43">
        <w:rPr>
          <w:rFonts w:ascii="Fira Sans" w:hAnsi="Fira Sans"/>
          <w:color w:val="000000" w:themeColor="text1"/>
          <w:sz w:val="20"/>
          <w:szCs w:val="20"/>
        </w:rPr>
        <w:t xml:space="preserve"> 1.5 (SD 2.54) in the CG (p=0.943). </w:t>
      </w:r>
      <w:r w:rsidRPr="00842F43">
        <w:rPr>
          <w:rFonts w:ascii="Fira Sans" w:hAnsi="Fira Sans"/>
          <w:color w:val="000000" w:themeColor="text1"/>
          <w:sz w:val="20"/>
          <w:szCs w:val="20"/>
        </w:rPr>
        <w:t>Mean</w:t>
      </w:r>
      <w:r w:rsidR="001314A5" w:rsidRPr="00842F43">
        <w:rPr>
          <w:rFonts w:ascii="Fira Sans" w:hAnsi="Fira Sans"/>
          <w:color w:val="000000" w:themeColor="text1"/>
          <w:sz w:val="20"/>
          <w:szCs w:val="20"/>
        </w:rPr>
        <w:t xml:space="preserve"> EQ-5D-5L score</w:t>
      </w:r>
      <w:r w:rsidRPr="00842F43">
        <w:rPr>
          <w:rFonts w:ascii="Fira Sans" w:hAnsi="Fira Sans"/>
          <w:color w:val="000000" w:themeColor="text1"/>
          <w:sz w:val="20"/>
          <w:szCs w:val="20"/>
        </w:rPr>
        <w:t>s</w:t>
      </w:r>
      <w:r w:rsidR="001314A5" w:rsidRPr="00842F43">
        <w:rPr>
          <w:rFonts w:ascii="Fira Sans" w:hAnsi="Fira Sans"/>
          <w:color w:val="000000" w:themeColor="text1"/>
          <w:sz w:val="20"/>
          <w:szCs w:val="20"/>
        </w:rPr>
        <w:t xml:space="preserve"> </w:t>
      </w:r>
      <w:r w:rsidRPr="00842F43">
        <w:rPr>
          <w:rFonts w:ascii="Fira Sans" w:hAnsi="Fira Sans"/>
          <w:color w:val="000000" w:themeColor="text1"/>
          <w:sz w:val="20"/>
          <w:szCs w:val="20"/>
        </w:rPr>
        <w:t xml:space="preserve">declined by </w:t>
      </w:r>
      <w:r w:rsidR="001314A5" w:rsidRPr="00842F43">
        <w:rPr>
          <w:rFonts w:ascii="Fira Sans" w:hAnsi="Fira Sans"/>
          <w:color w:val="000000" w:themeColor="text1"/>
          <w:sz w:val="20"/>
          <w:szCs w:val="20"/>
        </w:rPr>
        <w:t xml:space="preserve">0.04 (SD 0.14) in the </w:t>
      </w:r>
      <w:r w:rsidR="00BC1CDA" w:rsidRPr="00842F43">
        <w:rPr>
          <w:rFonts w:ascii="Fira Sans" w:hAnsi="Fira Sans"/>
          <w:color w:val="000000" w:themeColor="text1"/>
          <w:sz w:val="20"/>
          <w:szCs w:val="20"/>
        </w:rPr>
        <w:t>intervention</w:t>
      </w:r>
      <w:r w:rsidR="001314A5" w:rsidRPr="00842F43">
        <w:rPr>
          <w:rFonts w:ascii="Fira Sans" w:hAnsi="Fira Sans"/>
          <w:color w:val="000000" w:themeColor="text1"/>
          <w:sz w:val="20"/>
          <w:szCs w:val="20"/>
        </w:rPr>
        <w:t xml:space="preserve"> group </w:t>
      </w:r>
      <w:r w:rsidRPr="00842F43">
        <w:rPr>
          <w:rFonts w:ascii="Fira Sans" w:hAnsi="Fira Sans"/>
          <w:color w:val="000000" w:themeColor="text1"/>
          <w:sz w:val="20"/>
          <w:szCs w:val="20"/>
        </w:rPr>
        <w:t>and</w:t>
      </w:r>
      <w:r w:rsidR="001314A5" w:rsidRPr="00842F43">
        <w:rPr>
          <w:rFonts w:ascii="Fira Sans" w:hAnsi="Fira Sans"/>
          <w:color w:val="000000" w:themeColor="text1"/>
          <w:sz w:val="20"/>
          <w:szCs w:val="20"/>
        </w:rPr>
        <w:t xml:space="preserve"> -0.02 (SD 0.15) in </w:t>
      </w:r>
      <w:r w:rsidRPr="00842F43">
        <w:rPr>
          <w:rFonts w:ascii="Fira Sans" w:hAnsi="Fira Sans"/>
          <w:color w:val="000000" w:themeColor="text1"/>
          <w:sz w:val="20"/>
          <w:szCs w:val="20"/>
        </w:rPr>
        <w:t xml:space="preserve">the </w:t>
      </w:r>
      <w:r w:rsidR="001314A5" w:rsidRPr="00842F43">
        <w:rPr>
          <w:rFonts w:ascii="Fira Sans" w:hAnsi="Fira Sans"/>
          <w:color w:val="000000" w:themeColor="text1"/>
          <w:sz w:val="20"/>
          <w:szCs w:val="20"/>
        </w:rPr>
        <w:t>CG (p=0.657)</w:t>
      </w:r>
      <w:r w:rsidRPr="00842F43">
        <w:rPr>
          <w:rFonts w:ascii="Fira Sans" w:hAnsi="Fira Sans"/>
          <w:color w:val="000000" w:themeColor="text1"/>
          <w:sz w:val="20"/>
          <w:szCs w:val="20"/>
        </w:rPr>
        <w:t>:</w:t>
      </w:r>
      <w:r w:rsidR="001314A5" w:rsidRPr="00842F43">
        <w:rPr>
          <w:rFonts w:ascii="Fira Sans" w:hAnsi="Fira Sans"/>
          <w:color w:val="000000" w:themeColor="text1"/>
          <w:sz w:val="20"/>
          <w:szCs w:val="20"/>
        </w:rPr>
        <w:t xml:space="preserve"> </w:t>
      </w:r>
      <w:r w:rsidRPr="00842F43">
        <w:rPr>
          <w:rFonts w:ascii="Fira Sans" w:hAnsi="Fira Sans"/>
          <w:color w:val="000000" w:themeColor="text1"/>
          <w:sz w:val="20"/>
          <w:szCs w:val="20"/>
        </w:rPr>
        <w:t>m</w:t>
      </w:r>
      <w:r w:rsidR="001314A5" w:rsidRPr="00842F43">
        <w:rPr>
          <w:rFonts w:ascii="Fira Sans" w:hAnsi="Fira Sans"/>
          <w:color w:val="000000" w:themeColor="text1"/>
          <w:sz w:val="20"/>
          <w:szCs w:val="20"/>
        </w:rPr>
        <w:t xml:space="preserve">ean change in EQ-5D-5L visual analogue score was 11.2 (SD 13.10) in the </w:t>
      </w:r>
      <w:r w:rsidR="00BC1CDA" w:rsidRPr="00842F43">
        <w:rPr>
          <w:rFonts w:ascii="Fira Sans" w:hAnsi="Fira Sans"/>
          <w:color w:val="000000" w:themeColor="text1"/>
          <w:sz w:val="20"/>
          <w:szCs w:val="20"/>
        </w:rPr>
        <w:t>intervention</w:t>
      </w:r>
      <w:r w:rsidR="001314A5" w:rsidRPr="00842F43">
        <w:rPr>
          <w:rFonts w:ascii="Fira Sans" w:hAnsi="Fira Sans"/>
          <w:color w:val="000000" w:themeColor="text1"/>
          <w:sz w:val="20"/>
          <w:szCs w:val="20"/>
        </w:rPr>
        <w:t xml:space="preserve"> group and 10.33 (SD 15.33) in the CG (p=0.889).</w:t>
      </w:r>
    </w:p>
    <w:p w14:paraId="498934BD" w14:textId="77777777" w:rsidR="000808C2" w:rsidRPr="00842F43" w:rsidRDefault="000808C2" w:rsidP="00842F43">
      <w:pPr>
        <w:spacing w:line="360" w:lineRule="auto"/>
        <w:rPr>
          <w:rFonts w:ascii="Fira Sans" w:hAnsi="Fira Sans"/>
          <w:sz w:val="20"/>
          <w:szCs w:val="20"/>
        </w:rPr>
      </w:pPr>
    </w:p>
    <w:p w14:paraId="6B83DB9B" w14:textId="77777777" w:rsidR="000808C2" w:rsidRPr="00842F43" w:rsidRDefault="000808C2" w:rsidP="00842F43">
      <w:pPr>
        <w:spacing w:line="360" w:lineRule="auto"/>
        <w:rPr>
          <w:rFonts w:ascii="Fira Sans" w:hAnsi="Fira Sans"/>
          <w:sz w:val="20"/>
          <w:szCs w:val="20"/>
        </w:rPr>
      </w:pPr>
    </w:p>
    <w:p w14:paraId="739CBE1E" w14:textId="2FB91C6A" w:rsidR="001924AB" w:rsidRPr="00842F43" w:rsidRDefault="001924AB" w:rsidP="00842F43">
      <w:pPr>
        <w:spacing w:line="360" w:lineRule="auto"/>
        <w:rPr>
          <w:rFonts w:ascii="Fira Sans" w:hAnsi="Fira Sans"/>
          <w:sz w:val="20"/>
          <w:szCs w:val="20"/>
        </w:rPr>
      </w:pPr>
      <w:r w:rsidRPr="00842F43">
        <w:rPr>
          <w:rFonts w:ascii="Fira Sans" w:hAnsi="Fira Sans"/>
          <w:sz w:val="20"/>
          <w:szCs w:val="20"/>
        </w:rPr>
        <w:t xml:space="preserve">Table </w:t>
      </w:r>
      <w:r w:rsidR="00F76369" w:rsidRPr="00842F43">
        <w:rPr>
          <w:rFonts w:ascii="Fira Sans" w:hAnsi="Fira Sans"/>
          <w:sz w:val="20"/>
          <w:szCs w:val="20"/>
        </w:rPr>
        <w:t>2</w:t>
      </w:r>
      <w:r w:rsidRPr="00842F43">
        <w:rPr>
          <w:rFonts w:ascii="Fira Sans" w:hAnsi="Fira Sans"/>
          <w:sz w:val="20"/>
          <w:szCs w:val="20"/>
        </w:rPr>
        <w:t xml:space="preserve">. </w:t>
      </w:r>
      <w:r w:rsidR="009F38AE" w:rsidRPr="00842F43">
        <w:rPr>
          <w:rFonts w:ascii="Fira Sans" w:hAnsi="Fira Sans"/>
          <w:color w:val="000000"/>
          <w:sz w:val="20"/>
          <w:szCs w:val="20"/>
        </w:rPr>
        <w:t>C</w:t>
      </w:r>
      <w:r w:rsidRPr="00842F43">
        <w:rPr>
          <w:rFonts w:ascii="Fira Sans" w:hAnsi="Fira Sans"/>
          <w:color w:val="000000"/>
          <w:sz w:val="20"/>
          <w:szCs w:val="20"/>
        </w:rPr>
        <w:t xml:space="preserve">hange from </w:t>
      </w:r>
      <w:r w:rsidR="009F38AE" w:rsidRPr="00842F43">
        <w:rPr>
          <w:rFonts w:ascii="Fira Sans" w:hAnsi="Fira Sans"/>
          <w:color w:val="000000"/>
          <w:sz w:val="20"/>
          <w:szCs w:val="20"/>
        </w:rPr>
        <w:t>B</w:t>
      </w:r>
      <w:r w:rsidRPr="00842F43">
        <w:rPr>
          <w:rFonts w:ascii="Fira Sans" w:hAnsi="Fira Sans"/>
          <w:color w:val="000000"/>
          <w:sz w:val="20"/>
          <w:szCs w:val="20"/>
        </w:rPr>
        <w:t>aseline</w:t>
      </w:r>
      <w:r w:rsidR="003D05B2" w:rsidRPr="00842F43">
        <w:rPr>
          <w:rFonts w:ascii="Fira Sans" w:hAnsi="Fira Sans"/>
          <w:color w:val="000000"/>
          <w:sz w:val="20"/>
          <w:szCs w:val="20"/>
        </w:rPr>
        <w:t xml:space="preserve"> </w:t>
      </w:r>
      <w:r w:rsidR="000E0BAD" w:rsidRPr="00842F43">
        <w:rPr>
          <w:rFonts w:ascii="Fira Sans" w:hAnsi="Fira Sans"/>
          <w:color w:val="000000"/>
          <w:sz w:val="20"/>
          <w:szCs w:val="20"/>
        </w:rPr>
        <w:t>to</w:t>
      </w:r>
      <w:r w:rsidR="00557953" w:rsidRPr="00842F43">
        <w:rPr>
          <w:rFonts w:ascii="Fira Sans" w:hAnsi="Fira Sans"/>
          <w:color w:val="000000"/>
          <w:sz w:val="20"/>
          <w:szCs w:val="20"/>
        </w:rPr>
        <w:t xml:space="preserve"> six</w:t>
      </w:r>
      <w:r w:rsidR="003D05B2" w:rsidRPr="00842F43">
        <w:rPr>
          <w:rFonts w:ascii="Fira Sans" w:hAnsi="Fira Sans"/>
          <w:color w:val="000000"/>
          <w:sz w:val="20"/>
          <w:szCs w:val="20"/>
        </w:rPr>
        <w:t>-</w:t>
      </w:r>
      <w:r w:rsidR="00557953" w:rsidRPr="00842F43">
        <w:rPr>
          <w:rFonts w:ascii="Fira Sans" w:hAnsi="Fira Sans"/>
          <w:color w:val="000000"/>
          <w:sz w:val="20"/>
          <w:szCs w:val="20"/>
        </w:rPr>
        <w:t xml:space="preserve">months </w:t>
      </w:r>
      <w:r w:rsidR="00A6525B" w:rsidRPr="00842F43">
        <w:rPr>
          <w:rFonts w:ascii="Fira Sans" w:hAnsi="Fira Sans"/>
          <w:color w:val="000000"/>
          <w:sz w:val="20"/>
          <w:szCs w:val="20"/>
        </w:rPr>
        <w:t xml:space="preserve">in clinical outcomes </w:t>
      </w:r>
      <w:r w:rsidR="009F38AE" w:rsidRPr="00842F43">
        <w:rPr>
          <w:rFonts w:ascii="Fira Sans" w:hAnsi="Fira Sans"/>
          <w:color w:val="000000"/>
          <w:sz w:val="20"/>
          <w:szCs w:val="20"/>
        </w:rPr>
        <w:t>in</w:t>
      </w:r>
      <w:r w:rsidRPr="00842F43">
        <w:rPr>
          <w:rFonts w:ascii="Fira Sans" w:hAnsi="Fira Sans"/>
          <w:color w:val="000000"/>
          <w:sz w:val="20"/>
          <w:szCs w:val="20"/>
        </w:rPr>
        <w:t xml:space="preserve"> intervention and control groups</w:t>
      </w:r>
    </w:p>
    <w:p w14:paraId="5B6FC970" w14:textId="77777777" w:rsidR="009F38AE" w:rsidRPr="00842F43" w:rsidRDefault="009F38AE" w:rsidP="00842F43">
      <w:pPr>
        <w:spacing w:line="360" w:lineRule="auto"/>
        <w:rPr>
          <w:rFonts w:ascii="Fira Sans" w:hAnsi="Fira Sans"/>
          <w:sz w:val="20"/>
          <w:szCs w:val="20"/>
        </w:rPr>
      </w:pPr>
    </w:p>
    <w:tbl>
      <w:tblPr>
        <w:tblStyle w:val="PlainTable2"/>
        <w:tblW w:w="8844" w:type="dxa"/>
        <w:tblLook w:val="06A0" w:firstRow="1" w:lastRow="0" w:firstColumn="1" w:lastColumn="0" w:noHBand="1" w:noVBand="1"/>
      </w:tblPr>
      <w:tblGrid>
        <w:gridCol w:w="2211"/>
        <w:gridCol w:w="2211"/>
        <w:gridCol w:w="2211"/>
        <w:gridCol w:w="2211"/>
      </w:tblGrid>
      <w:tr w:rsidR="001924AB" w:rsidRPr="00842F43" w14:paraId="639B1F5C" w14:textId="77777777" w:rsidTr="00D8222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11" w:type="dxa"/>
            <w:noWrap/>
            <w:hideMark/>
          </w:tcPr>
          <w:p w14:paraId="5F366C5F" w14:textId="77777777" w:rsidR="001924AB" w:rsidRPr="00842F43" w:rsidRDefault="001924AB" w:rsidP="00842F43">
            <w:pPr>
              <w:spacing w:line="360" w:lineRule="auto"/>
              <w:rPr>
                <w:rFonts w:ascii="Fira Sans" w:hAnsi="Fira Sans"/>
                <w:b w:val="0"/>
                <w:bCs w:val="0"/>
                <w:sz w:val="20"/>
                <w:szCs w:val="20"/>
              </w:rPr>
            </w:pPr>
            <w:r w:rsidRPr="00842F43">
              <w:rPr>
                <w:rFonts w:ascii="Fira Sans" w:hAnsi="Fira Sans"/>
                <w:b w:val="0"/>
                <w:bCs w:val="0"/>
                <w:sz w:val="20"/>
                <w:szCs w:val="20"/>
              </w:rPr>
              <w:t>Questionnaire</w:t>
            </w:r>
          </w:p>
        </w:tc>
        <w:tc>
          <w:tcPr>
            <w:tcW w:w="2211" w:type="dxa"/>
            <w:noWrap/>
            <w:hideMark/>
          </w:tcPr>
          <w:p w14:paraId="45E872DF" w14:textId="77777777" w:rsidR="001924AB" w:rsidRPr="00842F43" w:rsidRDefault="001924AB" w:rsidP="00842F43">
            <w:pPr>
              <w:spacing w:line="360" w:lineRule="auto"/>
              <w:cnfStyle w:val="100000000000" w:firstRow="1" w:lastRow="0" w:firstColumn="0" w:lastColumn="0" w:oddVBand="0" w:evenVBand="0" w:oddHBand="0" w:evenHBand="0" w:firstRowFirstColumn="0" w:firstRowLastColumn="0" w:lastRowFirstColumn="0" w:lastRowLastColumn="0"/>
              <w:rPr>
                <w:rFonts w:ascii="Fira Sans" w:hAnsi="Fira Sans"/>
                <w:b w:val="0"/>
                <w:bCs w:val="0"/>
                <w:sz w:val="20"/>
                <w:szCs w:val="20"/>
              </w:rPr>
            </w:pPr>
            <w:r w:rsidRPr="00842F43">
              <w:rPr>
                <w:rFonts w:ascii="Fira Sans" w:hAnsi="Fira Sans"/>
                <w:b w:val="0"/>
                <w:bCs w:val="0"/>
                <w:sz w:val="20"/>
                <w:szCs w:val="20"/>
              </w:rPr>
              <w:t>Control (N=12)</w:t>
            </w:r>
          </w:p>
        </w:tc>
        <w:tc>
          <w:tcPr>
            <w:tcW w:w="2211" w:type="dxa"/>
            <w:noWrap/>
            <w:hideMark/>
          </w:tcPr>
          <w:p w14:paraId="018BA03E" w14:textId="77777777" w:rsidR="001924AB" w:rsidRPr="00842F43" w:rsidRDefault="001924AB" w:rsidP="00842F43">
            <w:pPr>
              <w:spacing w:line="360" w:lineRule="auto"/>
              <w:cnfStyle w:val="100000000000" w:firstRow="1" w:lastRow="0" w:firstColumn="0" w:lastColumn="0" w:oddVBand="0" w:evenVBand="0" w:oddHBand="0" w:evenHBand="0" w:firstRowFirstColumn="0" w:firstRowLastColumn="0" w:lastRowFirstColumn="0" w:lastRowLastColumn="0"/>
              <w:rPr>
                <w:rFonts w:ascii="Fira Sans" w:hAnsi="Fira Sans"/>
                <w:b w:val="0"/>
                <w:bCs w:val="0"/>
                <w:sz w:val="20"/>
                <w:szCs w:val="20"/>
              </w:rPr>
            </w:pPr>
            <w:r w:rsidRPr="00842F43">
              <w:rPr>
                <w:rFonts w:ascii="Fira Sans" w:hAnsi="Fira Sans"/>
                <w:b w:val="0"/>
                <w:bCs w:val="0"/>
                <w:sz w:val="20"/>
                <w:szCs w:val="20"/>
              </w:rPr>
              <w:t>Intervention (N=11)</w:t>
            </w:r>
          </w:p>
        </w:tc>
        <w:tc>
          <w:tcPr>
            <w:tcW w:w="2211" w:type="dxa"/>
            <w:noWrap/>
            <w:hideMark/>
          </w:tcPr>
          <w:p w14:paraId="648F2C15" w14:textId="77777777" w:rsidR="001924AB" w:rsidRPr="00842F43" w:rsidRDefault="001924AB" w:rsidP="00842F43">
            <w:pPr>
              <w:spacing w:line="360" w:lineRule="auto"/>
              <w:cnfStyle w:val="100000000000" w:firstRow="1" w:lastRow="0" w:firstColumn="0" w:lastColumn="0" w:oddVBand="0" w:evenVBand="0" w:oddHBand="0" w:evenHBand="0" w:firstRowFirstColumn="0" w:firstRowLastColumn="0" w:lastRowFirstColumn="0" w:lastRowLastColumn="0"/>
              <w:rPr>
                <w:rFonts w:ascii="Fira Sans" w:hAnsi="Fira Sans"/>
                <w:b w:val="0"/>
                <w:bCs w:val="0"/>
                <w:sz w:val="20"/>
                <w:szCs w:val="20"/>
              </w:rPr>
            </w:pPr>
            <w:r w:rsidRPr="00842F43">
              <w:rPr>
                <w:rFonts w:ascii="Fira Sans" w:hAnsi="Fira Sans"/>
                <w:b w:val="0"/>
                <w:bCs w:val="0"/>
                <w:sz w:val="20"/>
                <w:szCs w:val="20"/>
              </w:rPr>
              <w:t>p-value</w:t>
            </w:r>
          </w:p>
        </w:tc>
      </w:tr>
      <w:tr w:rsidR="001924AB" w:rsidRPr="00842F43" w14:paraId="358ACABE" w14:textId="77777777" w:rsidTr="00D82224">
        <w:trPr>
          <w:trHeight w:val="288"/>
        </w:trPr>
        <w:tc>
          <w:tcPr>
            <w:cnfStyle w:val="001000000000" w:firstRow="0" w:lastRow="0" w:firstColumn="1" w:lastColumn="0" w:oddVBand="0" w:evenVBand="0" w:oddHBand="0" w:evenHBand="0" w:firstRowFirstColumn="0" w:firstRowLastColumn="0" w:lastRowFirstColumn="0" w:lastRowLastColumn="0"/>
            <w:tcW w:w="2211" w:type="dxa"/>
            <w:noWrap/>
            <w:hideMark/>
          </w:tcPr>
          <w:p w14:paraId="510EE9C8" w14:textId="77777777" w:rsidR="001924AB" w:rsidRPr="00842F43" w:rsidRDefault="001924AB" w:rsidP="00842F43">
            <w:pPr>
              <w:spacing w:line="360" w:lineRule="auto"/>
              <w:rPr>
                <w:rFonts w:ascii="Fira Sans" w:hAnsi="Fira Sans"/>
                <w:b w:val="0"/>
                <w:bCs w:val="0"/>
                <w:sz w:val="20"/>
                <w:szCs w:val="20"/>
              </w:rPr>
            </w:pPr>
            <w:r w:rsidRPr="00842F43">
              <w:rPr>
                <w:rFonts w:ascii="Fira Sans" w:hAnsi="Fira Sans"/>
                <w:b w:val="0"/>
                <w:bCs w:val="0"/>
                <w:sz w:val="20"/>
                <w:szCs w:val="20"/>
              </w:rPr>
              <w:t>PCL-C</w:t>
            </w:r>
          </w:p>
        </w:tc>
        <w:tc>
          <w:tcPr>
            <w:tcW w:w="2211" w:type="dxa"/>
            <w:noWrap/>
            <w:hideMark/>
          </w:tcPr>
          <w:p w14:paraId="442B83EF"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0.75 (15.17)</w:t>
            </w:r>
          </w:p>
        </w:tc>
        <w:tc>
          <w:tcPr>
            <w:tcW w:w="2211" w:type="dxa"/>
            <w:noWrap/>
            <w:hideMark/>
          </w:tcPr>
          <w:p w14:paraId="54713F57"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-8.00 (10.49)</w:t>
            </w:r>
          </w:p>
        </w:tc>
        <w:tc>
          <w:tcPr>
            <w:tcW w:w="2211" w:type="dxa"/>
            <w:noWrap/>
            <w:hideMark/>
          </w:tcPr>
          <w:p w14:paraId="1797CC71"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0.126</w:t>
            </w:r>
          </w:p>
        </w:tc>
      </w:tr>
      <w:tr w:rsidR="001924AB" w:rsidRPr="00842F43" w14:paraId="329815BC" w14:textId="77777777" w:rsidTr="00D82224">
        <w:trPr>
          <w:trHeight w:val="288"/>
        </w:trPr>
        <w:tc>
          <w:tcPr>
            <w:cnfStyle w:val="001000000000" w:firstRow="0" w:lastRow="0" w:firstColumn="1" w:lastColumn="0" w:oddVBand="0" w:evenVBand="0" w:oddHBand="0" w:evenHBand="0" w:firstRowFirstColumn="0" w:firstRowLastColumn="0" w:lastRowFirstColumn="0" w:lastRowLastColumn="0"/>
            <w:tcW w:w="2211" w:type="dxa"/>
            <w:noWrap/>
            <w:hideMark/>
          </w:tcPr>
          <w:p w14:paraId="28909DA3" w14:textId="77777777" w:rsidR="001924AB" w:rsidRPr="00842F43" w:rsidRDefault="001924AB" w:rsidP="00842F43">
            <w:pPr>
              <w:spacing w:line="360" w:lineRule="auto"/>
              <w:rPr>
                <w:rFonts w:ascii="Fira Sans" w:hAnsi="Fira Sans"/>
                <w:b w:val="0"/>
                <w:bCs w:val="0"/>
                <w:sz w:val="20"/>
                <w:szCs w:val="20"/>
              </w:rPr>
            </w:pPr>
            <w:r w:rsidRPr="00842F43">
              <w:rPr>
                <w:rFonts w:ascii="Fira Sans" w:hAnsi="Fira Sans"/>
                <w:b w:val="0"/>
                <w:bCs w:val="0"/>
                <w:sz w:val="20"/>
                <w:szCs w:val="20"/>
              </w:rPr>
              <w:t>HADS Overall</w:t>
            </w:r>
          </w:p>
        </w:tc>
        <w:tc>
          <w:tcPr>
            <w:tcW w:w="2211" w:type="dxa"/>
            <w:noWrap/>
            <w:hideMark/>
          </w:tcPr>
          <w:p w14:paraId="4EFC3C0C"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-0.42 (6.63)</w:t>
            </w:r>
          </w:p>
        </w:tc>
        <w:tc>
          <w:tcPr>
            <w:tcW w:w="2211" w:type="dxa"/>
            <w:noWrap/>
            <w:hideMark/>
          </w:tcPr>
          <w:p w14:paraId="3D987D4A"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-0.91 (4.21)</w:t>
            </w:r>
          </w:p>
        </w:tc>
        <w:tc>
          <w:tcPr>
            <w:tcW w:w="2211" w:type="dxa"/>
            <w:noWrap/>
            <w:hideMark/>
          </w:tcPr>
          <w:p w14:paraId="1E0B4D10"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0.835</w:t>
            </w:r>
          </w:p>
        </w:tc>
      </w:tr>
      <w:tr w:rsidR="001924AB" w:rsidRPr="00842F43" w14:paraId="1C3F4136" w14:textId="77777777" w:rsidTr="00D82224">
        <w:trPr>
          <w:trHeight w:val="288"/>
        </w:trPr>
        <w:tc>
          <w:tcPr>
            <w:cnfStyle w:val="001000000000" w:firstRow="0" w:lastRow="0" w:firstColumn="1" w:lastColumn="0" w:oddVBand="0" w:evenVBand="0" w:oddHBand="0" w:evenHBand="0" w:firstRowFirstColumn="0" w:firstRowLastColumn="0" w:lastRowFirstColumn="0" w:lastRowLastColumn="0"/>
            <w:tcW w:w="2211" w:type="dxa"/>
            <w:noWrap/>
            <w:hideMark/>
          </w:tcPr>
          <w:p w14:paraId="0F86AC9C" w14:textId="77777777" w:rsidR="001924AB" w:rsidRPr="00842F43" w:rsidRDefault="001924AB" w:rsidP="00842F43">
            <w:pPr>
              <w:spacing w:line="360" w:lineRule="auto"/>
              <w:rPr>
                <w:rFonts w:ascii="Fira Sans" w:hAnsi="Fira Sans"/>
                <w:b w:val="0"/>
                <w:bCs w:val="0"/>
                <w:sz w:val="20"/>
                <w:szCs w:val="20"/>
              </w:rPr>
            </w:pPr>
            <w:r w:rsidRPr="00842F43">
              <w:rPr>
                <w:rFonts w:ascii="Fira Sans" w:hAnsi="Fira Sans"/>
                <w:b w:val="0"/>
                <w:bCs w:val="0"/>
                <w:sz w:val="20"/>
                <w:szCs w:val="20"/>
              </w:rPr>
              <w:t>HADS Anxiety</w:t>
            </w:r>
          </w:p>
        </w:tc>
        <w:tc>
          <w:tcPr>
            <w:tcW w:w="2211" w:type="dxa"/>
            <w:noWrap/>
            <w:hideMark/>
          </w:tcPr>
          <w:p w14:paraId="3C9891F2"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-0.83 (4.02)</w:t>
            </w:r>
          </w:p>
        </w:tc>
        <w:tc>
          <w:tcPr>
            <w:tcW w:w="2211" w:type="dxa"/>
            <w:noWrap/>
            <w:hideMark/>
          </w:tcPr>
          <w:p w14:paraId="4423D05F"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-0.45 (2.30)</w:t>
            </w:r>
          </w:p>
        </w:tc>
        <w:tc>
          <w:tcPr>
            <w:tcW w:w="2211" w:type="dxa"/>
            <w:noWrap/>
            <w:hideMark/>
          </w:tcPr>
          <w:p w14:paraId="2CFDB616"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0.787</w:t>
            </w:r>
          </w:p>
        </w:tc>
      </w:tr>
      <w:tr w:rsidR="001924AB" w:rsidRPr="00842F43" w14:paraId="43890779" w14:textId="77777777" w:rsidTr="00D82224">
        <w:trPr>
          <w:trHeight w:val="288"/>
        </w:trPr>
        <w:tc>
          <w:tcPr>
            <w:cnfStyle w:val="001000000000" w:firstRow="0" w:lastRow="0" w:firstColumn="1" w:lastColumn="0" w:oddVBand="0" w:evenVBand="0" w:oddHBand="0" w:evenHBand="0" w:firstRowFirstColumn="0" w:firstRowLastColumn="0" w:lastRowFirstColumn="0" w:lastRowLastColumn="0"/>
            <w:tcW w:w="2211" w:type="dxa"/>
            <w:noWrap/>
            <w:hideMark/>
          </w:tcPr>
          <w:p w14:paraId="41B57894" w14:textId="77777777" w:rsidR="001924AB" w:rsidRPr="00842F43" w:rsidRDefault="001924AB" w:rsidP="00842F43">
            <w:pPr>
              <w:spacing w:line="360" w:lineRule="auto"/>
              <w:rPr>
                <w:rFonts w:ascii="Fira Sans" w:hAnsi="Fira Sans"/>
                <w:b w:val="0"/>
                <w:bCs w:val="0"/>
                <w:sz w:val="20"/>
                <w:szCs w:val="20"/>
              </w:rPr>
            </w:pPr>
            <w:r w:rsidRPr="00842F43">
              <w:rPr>
                <w:rFonts w:ascii="Fira Sans" w:hAnsi="Fira Sans"/>
                <w:b w:val="0"/>
                <w:bCs w:val="0"/>
                <w:sz w:val="20"/>
                <w:szCs w:val="20"/>
              </w:rPr>
              <w:t>HADS Depression*</w:t>
            </w:r>
          </w:p>
        </w:tc>
        <w:tc>
          <w:tcPr>
            <w:tcW w:w="2211" w:type="dxa"/>
            <w:noWrap/>
            <w:hideMark/>
          </w:tcPr>
          <w:p w14:paraId="69DF95F0"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1.00 (-1.50, 2.00)</w:t>
            </w:r>
          </w:p>
        </w:tc>
        <w:tc>
          <w:tcPr>
            <w:tcW w:w="2211" w:type="dxa"/>
            <w:noWrap/>
            <w:hideMark/>
          </w:tcPr>
          <w:p w14:paraId="4187FFAA"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-2.00 (-3.00, 1.00)</w:t>
            </w:r>
          </w:p>
        </w:tc>
        <w:tc>
          <w:tcPr>
            <w:tcW w:w="2211" w:type="dxa"/>
            <w:noWrap/>
            <w:hideMark/>
          </w:tcPr>
          <w:p w14:paraId="1967F0AE"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0.263</w:t>
            </w:r>
          </w:p>
        </w:tc>
      </w:tr>
      <w:tr w:rsidR="001924AB" w:rsidRPr="00842F43" w14:paraId="1BB56AC0" w14:textId="77777777" w:rsidTr="00D82224">
        <w:trPr>
          <w:trHeight w:val="288"/>
        </w:trPr>
        <w:tc>
          <w:tcPr>
            <w:cnfStyle w:val="001000000000" w:firstRow="0" w:lastRow="0" w:firstColumn="1" w:lastColumn="0" w:oddVBand="0" w:evenVBand="0" w:oddHBand="0" w:evenHBand="0" w:firstRowFirstColumn="0" w:firstRowLastColumn="0" w:lastRowFirstColumn="0" w:lastRowLastColumn="0"/>
            <w:tcW w:w="2211" w:type="dxa"/>
            <w:noWrap/>
            <w:hideMark/>
          </w:tcPr>
          <w:p w14:paraId="7AF072A3" w14:textId="77777777" w:rsidR="001924AB" w:rsidRPr="00842F43" w:rsidRDefault="001924AB" w:rsidP="00842F43">
            <w:pPr>
              <w:spacing w:line="360" w:lineRule="auto"/>
              <w:rPr>
                <w:rFonts w:ascii="Fira Sans" w:hAnsi="Fira Sans"/>
                <w:b w:val="0"/>
                <w:bCs w:val="0"/>
                <w:sz w:val="20"/>
                <w:szCs w:val="20"/>
              </w:rPr>
            </w:pPr>
            <w:r w:rsidRPr="00842F43">
              <w:rPr>
                <w:rFonts w:ascii="Fira Sans" w:hAnsi="Fira Sans"/>
                <w:b w:val="0"/>
                <w:bCs w:val="0"/>
                <w:sz w:val="20"/>
                <w:szCs w:val="20"/>
              </w:rPr>
              <w:t>BRS*</w:t>
            </w:r>
          </w:p>
        </w:tc>
        <w:tc>
          <w:tcPr>
            <w:tcW w:w="2211" w:type="dxa"/>
            <w:noWrap/>
            <w:hideMark/>
          </w:tcPr>
          <w:p w14:paraId="756AD491"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0.00 (-0.33, 0.17)</w:t>
            </w:r>
          </w:p>
        </w:tc>
        <w:tc>
          <w:tcPr>
            <w:tcW w:w="2211" w:type="dxa"/>
            <w:noWrap/>
            <w:hideMark/>
          </w:tcPr>
          <w:p w14:paraId="1E69BA89" w14:textId="3EDEA02D"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-0.17 (-</w:t>
            </w:r>
            <w:r w:rsidR="002F43A5" w:rsidRPr="00842F43">
              <w:rPr>
                <w:rFonts w:ascii="Fira Sans" w:hAnsi="Fira Sans"/>
                <w:sz w:val="20"/>
                <w:szCs w:val="20"/>
              </w:rPr>
              <w:t>0.</w:t>
            </w:r>
            <w:r w:rsidRPr="00842F43">
              <w:rPr>
                <w:rFonts w:ascii="Fira Sans" w:hAnsi="Fira Sans"/>
                <w:sz w:val="20"/>
                <w:szCs w:val="20"/>
              </w:rPr>
              <w:t>33, 0.50)</w:t>
            </w:r>
          </w:p>
        </w:tc>
        <w:tc>
          <w:tcPr>
            <w:tcW w:w="2211" w:type="dxa"/>
            <w:noWrap/>
            <w:hideMark/>
          </w:tcPr>
          <w:p w14:paraId="5925D6FC"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0.658</w:t>
            </w:r>
          </w:p>
        </w:tc>
      </w:tr>
      <w:tr w:rsidR="001924AB" w:rsidRPr="00842F43" w14:paraId="6D8BD77A" w14:textId="77777777" w:rsidTr="00D82224">
        <w:trPr>
          <w:trHeight w:val="288"/>
        </w:trPr>
        <w:tc>
          <w:tcPr>
            <w:cnfStyle w:val="001000000000" w:firstRow="0" w:lastRow="0" w:firstColumn="1" w:lastColumn="0" w:oddVBand="0" w:evenVBand="0" w:oddHBand="0" w:evenHBand="0" w:firstRowFirstColumn="0" w:firstRowLastColumn="0" w:lastRowFirstColumn="0" w:lastRowLastColumn="0"/>
            <w:tcW w:w="2211" w:type="dxa"/>
            <w:noWrap/>
            <w:hideMark/>
          </w:tcPr>
          <w:p w14:paraId="19CCFC21" w14:textId="77777777" w:rsidR="001924AB" w:rsidRPr="00842F43" w:rsidRDefault="001924AB" w:rsidP="00842F43">
            <w:pPr>
              <w:spacing w:line="360" w:lineRule="auto"/>
              <w:rPr>
                <w:rFonts w:ascii="Fira Sans" w:hAnsi="Fira Sans"/>
                <w:b w:val="0"/>
                <w:bCs w:val="0"/>
                <w:sz w:val="20"/>
                <w:szCs w:val="20"/>
              </w:rPr>
            </w:pPr>
            <w:r w:rsidRPr="00842F43">
              <w:rPr>
                <w:rFonts w:ascii="Fira Sans" w:hAnsi="Fira Sans"/>
                <w:b w:val="0"/>
                <w:bCs w:val="0"/>
                <w:sz w:val="20"/>
                <w:szCs w:val="20"/>
              </w:rPr>
              <w:t>CNAQ</w:t>
            </w:r>
          </w:p>
        </w:tc>
        <w:tc>
          <w:tcPr>
            <w:tcW w:w="2211" w:type="dxa"/>
            <w:noWrap/>
            <w:hideMark/>
          </w:tcPr>
          <w:p w14:paraId="67F13030"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1.50 (2.54)</w:t>
            </w:r>
          </w:p>
        </w:tc>
        <w:tc>
          <w:tcPr>
            <w:tcW w:w="2211" w:type="dxa"/>
            <w:noWrap/>
            <w:hideMark/>
          </w:tcPr>
          <w:p w14:paraId="2AD2961A"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1.6 (3.95)</w:t>
            </w:r>
          </w:p>
        </w:tc>
        <w:tc>
          <w:tcPr>
            <w:tcW w:w="2211" w:type="dxa"/>
            <w:noWrap/>
            <w:hideMark/>
          </w:tcPr>
          <w:p w14:paraId="6BD5362A"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0.943</w:t>
            </w:r>
          </w:p>
        </w:tc>
      </w:tr>
      <w:tr w:rsidR="001924AB" w:rsidRPr="00842F43" w14:paraId="55982D46" w14:textId="77777777" w:rsidTr="00D82224">
        <w:trPr>
          <w:trHeight w:val="288"/>
        </w:trPr>
        <w:tc>
          <w:tcPr>
            <w:cnfStyle w:val="001000000000" w:firstRow="0" w:lastRow="0" w:firstColumn="1" w:lastColumn="0" w:oddVBand="0" w:evenVBand="0" w:oddHBand="0" w:evenHBand="0" w:firstRowFirstColumn="0" w:firstRowLastColumn="0" w:lastRowFirstColumn="0" w:lastRowLastColumn="0"/>
            <w:tcW w:w="2211" w:type="dxa"/>
            <w:noWrap/>
            <w:hideMark/>
          </w:tcPr>
          <w:p w14:paraId="28D644A7" w14:textId="77777777" w:rsidR="001924AB" w:rsidRPr="00842F43" w:rsidRDefault="001924AB" w:rsidP="00842F43">
            <w:pPr>
              <w:spacing w:line="360" w:lineRule="auto"/>
              <w:rPr>
                <w:rFonts w:ascii="Fira Sans" w:hAnsi="Fira Sans"/>
                <w:b w:val="0"/>
                <w:bCs w:val="0"/>
                <w:sz w:val="20"/>
                <w:szCs w:val="20"/>
              </w:rPr>
            </w:pPr>
            <w:r w:rsidRPr="00842F43">
              <w:rPr>
                <w:rFonts w:ascii="Fira Sans" w:hAnsi="Fira Sans"/>
                <w:b w:val="0"/>
                <w:bCs w:val="0"/>
                <w:sz w:val="20"/>
                <w:szCs w:val="20"/>
              </w:rPr>
              <w:t>EQ-5D-5L Score</w:t>
            </w:r>
          </w:p>
        </w:tc>
        <w:tc>
          <w:tcPr>
            <w:tcW w:w="2211" w:type="dxa"/>
            <w:noWrap/>
            <w:hideMark/>
          </w:tcPr>
          <w:p w14:paraId="3F1492B6"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-0.02 (0.15)</w:t>
            </w:r>
          </w:p>
        </w:tc>
        <w:tc>
          <w:tcPr>
            <w:tcW w:w="2211" w:type="dxa"/>
            <w:noWrap/>
            <w:hideMark/>
          </w:tcPr>
          <w:p w14:paraId="134D1401"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-0.04 (0.14)</w:t>
            </w:r>
          </w:p>
        </w:tc>
        <w:tc>
          <w:tcPr>
            <w:tcW w:w="2211" w:type="dxa"/>
            <w:noWrap/>
            <w:hideMark/>
          </w:tcPr>
          <w:p w14:paraId="0F053392"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0.657</w:t>
            </w:r>
          </w:p>
        </w:tc>
      </w:tr>
      <w:tr w:rsidR="001924AB" w:rsidRPr="00842F43" w14:paraId="0DC64F0A" w14:textId="77777777" w:rsidTr="00D82224">
        <w:trPr>
          <w:trHeight w:val="288"/>
        </w:trPr>
        <w:tc>
          <w:tcPr>
            <w:cnfStyle w:val="001000000000" w:firstRow="0" w:lastRow="0" w:firstColumn="1" w:lastColumn="0" w:oddVBand="0" w:evenVBand="0" w:oddHBand="0" w:evenHBand="0" w:firstRowFirstColumn="0" w:firstRowLastColumn="0" w:lastRowFirstColumn="0" w:lastRowLastColumn="0"/>
            <w:tcW w:w="2211" w:type="dxa"/>
            <w:noWrap/>
            <w:hideMark/>
          </w:tcPr>
          <w:p w14:paraId="4A0DA9F9" w14:textId="77777777" w:rsidR="001924AB" w:rsidRPr="00842F43" w:rsidRDefault="001924AB" w:rsidP="00842F43">
            <w:pPr>
              <w:spacing w:line="360" w:lineRule="auto"/>
              <w:rPr>
                <w:rFonts w:ascii="Fira Sans" w:hAnsi="Fira Sans"/>
                <w:b w:val="0"/>
                <w:bCs w:val="0"/>
                <w:sz w:val="20"/>
                <w:szCs w:val="20"/>
              </w:rPr>
            </w:pPr>
            <w:r w:rsidRPr="00842F43">
              <w:rPr>
                <w:rFonts w:ascii="Fira Sans" w:hAnsi="Fira Sans"/>
                <w:b w:val="0"/>
                <w:bCs w:val="0"/>
                <w:sz w:val="20"/>
                <w:szCs w:val="20"/>
              </w:rPr>
              <w:t>EQ-5D-5L VAS</w:t>
            </w:r>
          </w:p>
        </w:tc>
        <w:tc>
          <w:tcPr>
            <w:tcW w:w="2211" w:type="dxa"/>
            <w:noWrap/>
            <w:hideMark/>
          </w:tcPr>
          <w:p w14:paraId="093EA39B"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10.33 (15.33)</w:t>
            </w:r>
          </w:p>
        </w:tc>
        <w:tc>
          <w:tcPr>
            <w:tcW w:w="2211" w:type="dxa"/>
            <w:noWrap/>
            <w:hideMark/>
          </w:tcPr>
          <w:p w14:paraId="4317253C"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11.2 (13.10)</w:t>
            </w:r>
          </w:p>
        </w:tc>
        <w:tc>
          <w:tcPr>
            <w:tcW w:w="2211" w:type="dxa"/>
            <w:noWrap/>
            <w:hideMark/>
          </w:tcPr>
          <w:p w14:paraId="69FC43EA" w14:textId="77777777" w:rsidR="001924AB" w:rsidRPr="00842F43" w:rsidRDefault="001924AB" w:rsidP="00842F43">
            <w:pPr>
              <w:spacing w:line="360" w:lineRule="auto"/>
              <w:cnfStyle w:val="000000000000" w:firstRow="0" w:lastRow="0" w:firstColumn="0" w:lastColumn="0" w:oddVBand="0" w:evenVBand="0" w:oddHBand="0" w:evenHBand="0" w:firstRowFirstColumn="0" w:firstRowLastColumn="0" w:lastRowFirstColumn="0" w:lastRowLastColumn="0"/>
              <w:rPr>
                <w:rFonts w:ascii="Fira Sans" w:hAnsi="Fira Sans"/>
                <w:sz w:val="20"/>
                <w:szCs w:val="20"/>
              </w:rPr>
            </w:pPr>
            <w:r w:rsidRPr="00842F43">
              <w:rPr>
                <w:rFonts w:ascii="Fira Sans" w:hAnsi="Fira Sans"/>
                <w:sz w:val="20"/>
                <w:szCs w:val="20"/>
              </w:rPr>
              <w:t>0.889</w:t>
            </w:r>
          </w:p>
        </w:tc>
      </w:tr>
    </w:tbl>
    <w:p w14:paraId="29D6C465" w14:textId="36898777" w:rsidR="00344AF5" w:rsidRPr="00842F43" w:rsidRDefault="001924AB" w:rsidP="00842F43">
      <w:pPr>
        <w:shd w:val="clear" w:color="auto" w:fill="FFFFFF"/>
        <w:spacing w:after="100" w:afterAutospacing="1" w:line="360" w:lineRule="auto"/>
        <w:rPr>
          <w:rFonts w:ascii="Fira Sans" w:hAnsi="Fira Sans"/>
          <w:sz w:val="20"/>
          <w:szCs w:val="20"/>
        </w:rPr>
      </w:pPr>
      <w:r w:rsidRPr="00842F43">
        <w:rPr>
          <w:rFonts w:ascii="Fira Sans" w:hAnsi="Fira Sans"/>
          <w:color w:val="333333"/>
          <w:sz w:val="20"/>
          <w:szCs w:val="20"/>
        </w:rPr>
        <w:t>Data are presented as mean (</w:t>
      </w:r>
      <w:r w:rsidR="00D44A31" w:rsidRPr="00842F43">
        <w:rPr>
          <w:rFonts w:ascii="Fira Sans" w:hAnsi="Fira Sans"/>
          <w:color w:val="333333"/>
          <w:sz w:val="20"/>
          <w:szCs w:val="20"/>
        </w:rPr>
        <w:t>Standard Deviation</w:t>
      </w:r>
      <w:r w:rsidRPr="00842F43">
        <w:rPr>
          <w:rFonts w:ascii="Fira Sans" w:hAnsi="Fira Sans"/>
          <w:color w:val="333333"/>
          <w:sz w:val="20"/>
          <w:szCs w:val="20"/>
        </w:rPr>
        <w:t>) and p-value reported from t-test, or *median (I</w:t>
      </w:r>
      <w:r w:rsidR="00D44A31" w:rsidRPr="00842F43">
        <w:rPr>
          <w:rFonts w:ascii="Fira Sans" w:hAnsi="Fira Sans"/>
          <w:color w:val="333333"/>
          <w:sz w:val="20"/>
          <w:szCs w:val="20"/>
        </w:rPr>
        <w:t>nter Quartile Range</w:t>
      </w:r>
      <w:r w:rsidRPr="00842F43">
        <w:rPr>
          <w:rFonts w:ascii="Fira Sans" w:hAnsi="Fira Sans"/>
          <w:color w:val="333333"/>
          <w:sz w:val="20"/>
          <w:szCs w:val="20"/>
        </w:rPr>
        <w:t>) and p-value reported from Wilcoxon rank-sum test.</w:t>
      </w:r>
      <w:r w:rsidR="00820DF1" w:rsidRPr="00842F43">
        <w:rPr>
          <w:rFonts w:ascii="Fira Sans" w:hAnsi="Fira Sans"/>
          <w:sz w:val="20"/>
          <w:szCs w:val="20"/>
        </w:rPr>
        <w:t xml:space="preserve"> PCL-C: P</w:t>
      </w:r>
      <w:r w:rsidR="003D0801" w:rsidRPr="00842F43">
        <w:rPr>
          <w:rFonts w:ascii="Fira Sans" w:hAnsi="Fira Sans"/>
          <w:sz w:val="20"/>
          <w:szCs w:val="20"/>
        </w:rPr>
        <w:t>ost traumatic stress disorder</w:t>
      </w:r>
      <w:r w:rsidR="00820DF1" w:rsidRPr="00842F43">
        <w:rPr>
          <w:rFonts w:ascii="Fira Sans" w:hAnsi="Fira Sans"/>
          <w:sz w:val="20"/>
          <w:szCs w:val="20"/>
        </w:rPr>
        <w:t xml:space="preserve"> Checklist</w:t>
      </w:r>
      <w:r w:rsidR="003D0801" w:rsidRPr="00842F43">
        <w:rPr>
          <w:rFonts w:ascii="Fira Sans" w:hAnsi="Fira Sans"/>
          <w:sz w:val="20"/>
          <w:szCs w:val="20"/>
        </w:rPr>
        <w:t>: Civilian; HADS: Hospital Anxiety and Depression Scale; BRS: Brief resilience scale; CNAQ: Council of nutrition and appetite questionnaire; EQ-5D-5L: EuroQol 5 dimensions-5 levels; VAS: Visual analogue scale.</w:t>
      </w:r>
    </w:p>
    <w:p w14:paraId="4A9477E0" w14:textId="77777777" w:rsidR="00CA5583" w:rsidRPr="00842F43" w:rsidRDefault="00CA5583" w:rsidP="00842F43">
      <w:pPr>
        <w:spacing w:line="360" w:lineRule="auto"/>
        <w:rPr>
          <w:rFonts w:ascii="Fira Sans" w:hAnsi="Fira Sans"/>
          <w:sz w:val="20"/>
          <w:szCs w:val="20"/>
        </w:rPr>
      </w:pPr>
    </w:p>
    <w:p w14:paraId="12A3F021" w14:textId="55D43F7D" w:rsidR="00850F7E" w:rsidRPr="00842F43" w:rsidRDefault="009F38AE" w:rsidP="00842F43">
      <w:pPr>
        <w:spacing w:line="360" w:lineRule="auto"/>
        <w:rPr>
          <w:rFonts w:ascii="Fira Sans" w:hAnsi="Fira Sans"/>
          <w:color w:val="4472C4" w:themeColor="accent1"/>
          <w:sz w:val="20"/>
          <w:szCs w:val="20"/>
        </w:rPr>
      </w:pPr>
      <w:r w:rsidRPr="00842F43">
        <w:rPr>
          <w:rFonts w:ascii="Fira Sans" w:hAnsi="Fira Sans"/>
          <w:sz w:val="20"/>
          <w:szCs w:val="20"/>
        </w:rPr>
        <w:t>DISCUSSION</w:t>
      </w:r>
    </w:p>
    <w:p w14:paraId="576494DF" w14:textId="602808A5" w:rsidR="00896392" w:rsidRPr="00842F43" w:rsidRDefault="00135E3E" w:rsidP="00842F43">
      <w:pPr>
        <w:spacing w:line="360" w:lineRule="auto"/>
        <w:rPr>
          <w:rFonts w:ascii="Fira Sans" w:hAnsi="Fira Sans"/>
          <w:sz w:val="20"/>
          <w:szCs w:val="20"/>
        </w:rPr>
      </w:pPr>
      <w:r w:rsidRPr="00842F43">
        <w:rPr>
          <w:rFonts w:ascii="Fira Sans" w:hAnsi="Fira Sans"/>
          <w:sz w:val="20"/>
          <w:szCs w:val="20"/>
        </w:rPr>
        <w:t>To our knowledge</w:t>
      </w:r>
      <w:r w:rsidR="006560A0" w:rsidRPr="00842F43">
        <w:rPr>
          <w:rFonts w:ascii="Fira Sans" w:hAnsi="Fira Sans"/>
          <w:sz w:val="20"/>
          <w:szCs w:val="20"/>
        </w:rPr>
        <w:t xml:space="preserve"> </w:t>
      </w:r>
      <w:r w:rsidR="002D47B1" w:rsidRPr="00842F43">
        <w:rPr>
          <w:rFonts w:ascii="Fira Sans" w:hAnsi="Fira Sans"/>
          <w:sz w:val="20"/>
          <w:szCs w:val="20"/>
        </w:rPr>
        <w:t>C</w:t>
      </w:r>
      <w:r w:rsidR="00857597" w:rsidRPr="00842F43">
        <w:rPr>
          <w:rFonts w:ascii="Fira Sans" w:hAnsi="Fira Sans"/>
          <w:sz w:val="20"/>
          <w:szCs w:val="20"/>
        </w:rPr>
        <w:t>OV</w:t>
      </w:r>
      <w:r w:rsidR="002D47B1" w:rsidRPr="00842F43">
        <w:rPr>
          <w:rFonts w:ascii="Fira Sans" w:hAnsi="Fira Sans"/>
          <w:sz w:val="20"/>
          <w:szCs w:val="20"/>
        </w:rPr>
        <w:t xml:space="preserve">EMERALD </w:t>
      </w:r>
      <w:r w:rsidR="006560A0" w:rsidRPr="00842F43">
        <w:rPr>
          <w:rFonts w:ascii="Fira Sans" w:hAnsi="Fira Sans"/>
          <w:sz w:val="20"/>
          <w:szCs w:val="20"/>
        </w:rPr>
        <w:t xml:space="preserve">is the first </w:t>
      </w:r>
      <w:r w:rsidR="006A6A3C" w:rsidRPr="00842F43">
        <w:rPr>
          <w:rFonts w:ascii="Fira Sans" w:hAnsi="Fira Sans"/>
          <w:sz w:val="20"/>
          <w:szCs w:val="20"/>
        </w:rPr>
        <w:t xml:space="preserve">investigation </w:t>
      </w:r>
      <w:r w:rsidR="002D47B1" w:rsidRPr="00842F43">
        <w:rPr>
          <w:rFonts w:ascii="Fira Sans" w:hAnsi="Fira Sans"/>
          <w:sz w:val="20"/>
          <w:szCs w:val="20"/>
        </w:rPr>
        <w:t>of</w:t>
      </w:r>
      <w:r w:rsidR="00112500" w:rsidRPr="00842F43">
        <w:rPr>
          <w:rFonts w:ascii="Fira Sans" w:hAnsi="Fira Sans"/>
          <w:sz w:val="20"/>
          <w:szCs w:val="20"/>
        </w:rPr>
        <w:t xml:space="preserve"> a protocolised</w:t>
      </w:r>
      <w:r w:rsidR="006A6A3C" w:rsidRPr="00842F43">
        <w:rPr>
          <w:rFonts w:ascii="Fira Sans" w:hAnsi="Fira Sans"/>
          <w:sz w:val="20"/>
          <w:szCs w:val="20"/>
        </w:rPr>
        <w:t xml:space="preserve"> </w:t>
      </w:r>
      <w:r w:rsidR="002D47B1" w:rsidRPr="00842F43">
        <w:rPr>
          <w:rFonts w:ascii="Fira Sans" w:hAnsi="Fira Sans"/>
          <w:sz w:val="20"/>
          <w:szCs w:val="20"/>
        </w:rPr>
        <w:t xml:space="preserve">EMDR </w:t>
      </w:r>
      <w:r w:rsidR="00112500" w:rsidRPr="00842F43">
        <w:rPr>
          <w:rFonts w:ascii="Fira Sans" w:hAnsi="Fira Sans"/>
          <w:sz w:val="20"/>
          <w:szCs w:val="20"/>
        </w:rPr>
        <w:t>intervention</w:t>
      </w:r>
      <w:r w:rsidR="006A3DFE" w:rsidRPr="00842F43">
        <w:rPr>
          <w:rFonts w:ascii="Fira Sans" w:hAnsi="Fira Sans"/>
          <w:sz w:val="20"/>
          <w:szCs w:val="20"/>
        </w:rPr>
        <w:t xml:space="preserve">, </w:t>
      </w:r>
      <w:r w:rsidR="002D47B1" w:rsidRPr="00842F43">
        <w:rPr>
          <w:rFonts w:ascii="Fira Sans" w:hAnsi="Fira Sans"/>
          <w:sz w:val="20"/>
          <w:szCs w:val="20"/>
        </w:rPr>
        <w:t>fo</w:t>
      </w:r>
      <w:r w:rsidR="00185E20" w:rsidRPr="00842F43">
        <w:rPr>
          <w:rFonts w:ascii="Fira Sans" w:hAnsi="Fira Sans"/>
          <w:sz w:val="20"/>
          <w:szCs w:val="20"/>
        </w:rPr>
        <w:t>llowing a</w:t>
      </w:r>
      <w:r w:rsidR="00344AF5" w:rsidRPr="00842F43">
        <w:rPr>
          <w:rFonts w:ascii="Fira Sans" w:hAnsi="Fira Sans"/>
          <w:sz w:val="20"/>
          <w:szCs w:val="20"/>
        </w:rPr>
        <w:t xml:space="preserve">n </w:t>
      </w:r>
      <w:r w:rsidR="00185E20" w:rsidRPr="00842F43">
        <w:rPr>
          <w:rFonts w:ascii="Fira Sans" w:hAnsi="Fira Sans"/>
          <w:sz w:val="20"/>
          <w:szCs w:val="20"/>
        </w:rPr>
        <w:t>intensive care admission</w:t>
      </w:r>
      <w:r w:rsidR="002D47B1" w:rsidRPr="00842F43">
        <w:rPr>
          <w:rFonts w:ascii="Fira Sans" w:hAnsi="Fira Sans"/>
          <w:sz w:val="20"/>
          <w:szCs w:val="20"/>
        </w:rPr>
        <w:t xml:space="preserve">. </w:t>
      </w:r>
      <w:r w:rsidR="006A6A3C" w:rsidRPr="00842F43">
        <w:rPr>
          <w:rFonts w:ascii="Fira Sans" w:hAnsi="Fira Sans"/>
          <w:sz w:val="20"/>
          <w:szCs w:val="20"/>
        </w:rPr>
        <w:t>We exceeded our</w:t>
      </w:r>
      <w:r w:rsidR="00961BC9" w:rsidRPr="00842F43">
        <w:rPr>
          <w:rFonts w:ascii="Fira Sans" w:hAnsi="Fira Sans"/>
          <w:sz w:val="20"/>
          <w:szCs w:val="20"/>
        </w:rPr>
        <w:t xml:space="preserve"> </w:t>
      </w:r>
      <w:r w:rsidR="00E86E53" w:rsidRPr="00842F43">
        <w:rPr>
          <w:rFonts w:ascii="Fira Sans" w:hAnsi="Fira Sans"/>
          <w:sz w:val="20"/>
          <w:szCs w:val="20"/>
        </w:rPr>
        <w:t>pre-</w:t>
      </w:r>
      <w:r w:rsidR="00961BC9" w:rsidRPr="00842F43">
        <w:rPr>
          <w:rFonts w:ascii="Fira Sans" w:hAnsi="Fira Sans"/>
          <w:sz w:val="20"/>
          <w:szCs w:val="20"/>
        </w:rPr>
        <w:t>published feasibility thresholds</w:t>
      </w:r>
      <w:r w:rsidR="00961BC9" w:rsidRPr="00842F43">
        <w:rPr>
          <w:rFonts w:ascii="Fira Sans" w:hAnsi="Fira Sans"/>
          <w:noProof/>
          <w:sz w:val="20"/>
          <w:szCs w:val="20"/>
        </w:rPr>
        <w:t xml:space="preserve"> </w:t>
      </w:r>
      <w:r w:rsidR="002C4A4E" w:rsidRPr="00842F43">
        <w:rPr>
          <w:rFonts w:ascii="Fira Sans" w:hAnsi="Fira Sans"/>
          <w:noProof/>
          <w:sz w:val="20"/>
          <w:szCs w:val="20"/>
        </w:rPr>
        <w:t>and safe</w:t>
      </w:r>
      <w:r w:rsidR="006A6A3C" w:rsidRPr="00842F43">
        <w:rPr>
          <w:rFonts w:ascii="Fira Sans" w:hAnsi="Fira Sans"/>
          <w:noProof/>
          <w:sz w:val="20"/>
          <w:szCs w:val="20"/>
        </w:rPr>
        <w:t>l</w:t>
      </w:r>
      <w:r w:rsidR="00185E20" w:rsidRPr="00842F43">
        <w:rPr>
          <w:rFonts w:ascii="Fira Sans" w:hAnsi="Fira Sans"/>
          <w:noProof/>
          <w:sz w:val="20"/>
          <w:szCs w:val="20"/>
        </w:rPr>
        <w:t>y</w:t>
      </w:r>
      <w:r w:rsidR="00D528BF" w:rsidRPr="00842F43">
        <w:rPr>
          <w:rFonts w:ascii="Fira Sans" w:hAnsi="Fira Sans"/>
          <w:noProof/>
          <w:sz w:val="20"/>
          <w:szCs w:val="20"/>
        </w:rPr>
        <w:t xml:space="preserve"> deliver</w:t>
      </w:r>
      <w:r w:rsidR="006A6A3C" w:rsidRPr="00842F43">
        <w:rPr>
          <w:rFonts w:ascii="Fira Sans" w:hAnsi="Fira Sans"/>
          <w:noProof/>
          <w:sz w:val="20"/>
          <w:szCs w:val="20"/>
        </w:rPr>
        <w:t>ed</w:t>
      </w:r>
      <w:r w:rsidR="00D528BF" w:rsidRPr="00842F43">
        <w:rPr>
          <w:rFonts w:ascii="Fira Sans" w:hAnsi="Fira Sans"/>
          <w:noProof/>
          <w:sz w:val="20"/>
          <w:szCs w:val="20"/>
        </w:rPr>
        <w:t xml:space="preserve"> </w:t>
      </w:r>
      <w:r w:rsidR="006A6A3C" w:rsidRPr="00842F43">
        <w:rPr>
          <w:rFonts w:ascii="Fira Sans" w:hAnsi="Fira Sans"/>
          <w:noProof/>
          <w:sz w:val="20"/>
          <w:szCs w:val="20"/>
        </w:rPr>
        <w:lastRenderedPageBreak/>
        <w:t>online</w:t>
      </w:r>
      <w:r w:rsidR="00452EDE" w:rsidRPr="00842F43">
        <w:rPr>
          <w:rFonts w:ascii="Fira Sans" w:hAnsi="Fira Sans"/>
          <w:noProof/>
          <w:sz w:val="20"/>
          <w:szCs w:val="20"/>
        </w:rPr>
        <w:t xml:space="preserve"> </w:t>
      </w:r>
      <w:r w:rsidR="00D528BF" w:rsidRPr="00842F43">
        <w:rPr>
          <w:rFonts w:ascii="Fira Sans" w:hAnsi="Fira Sans"/>
          <w:noProof/>
          <w:sz w:val="20"/>
          <w:szCs w:val="20"/>
        </w:rPr>
        <w:t>EMDR</w:t>
      </w:r>
      <w:r w:rsidR="006A6A3C" w:rsidRPr="00842F43">
        <w:rPr>
          <w:rFonts w:ascii="Fira Sans" w:hAnsi="Fira Sans"/>
          <w:noProof/>
          <w:sz w:val="20"/>
          <w:szCs w:val="20"/>
        </w:rPr>
        <w:t xml:space="preserve"> R-TEP</w:t>
      </w:r>
      <w:r w:rsidR="00341417" w:rsidRPr="00842F43">
        <w:rPr>
          <w:rFonts w:ascii="Fira Sans" w:hAnsi="Fira Sans"/>
          <w:noProof/>
          <w:sz w:val="20"/>
          <w:szCs w:val="20"/>
        </w:rPr>
        <w:t xml:space="preserve"> to </w:t>
      </w:r>
      <w:r w:rsidR="006A6A3C" w:rsidRPr="00842F43">
        <w:rPr>
          <w:rFonts w:ascii="Fira Sans" w:hAnsi="Fira Sans"/>
          <w:noProof/>
          <w:sz w:val="20"/>
          <w:szCs w:val="20"/>
        </w:rPr>
        <w:t>a cohort of intnesive care survivors</w:t>
      </w:r>
      <w:r w:rsidR="00E86E53" w:rsidRPr="00842F43">
        <w:rPr>
          <w:rFonts w:ascii="Fira Sans" w:hAnsi="Fira Sans"/>
          <w:noProof/>
          <w:sz w:val="20"/>
          <w:szCs w:val="20"/>
        </w:rPr>
        <w:t>.</w:t>
      </w:r>
      <w:r w:rsidR="001140F6" w:rsidRPr="00842F43">
        <w:rPr>
          <w:rFonts w:ascii="Fira Sans" w:hAnsi="Fira Sans"/>
          <w:noProof/>
          <w:sz w:val="20"/>
          <w:szCs w:val="20"/>
        </w:rPr>
        <w:t xml:space="preserve"> </w:t>
      </w:r>
      <w:r w:rsidR="005C3B39" w:rsidRPr="00842F43">
        <w:rPr>
          <w:rFonts w:ascii="Fira Sans" w:hAnsi="Fira Sans"/>
          <w:noProof/>
          <w:sz w:val="20"/>
          <w:szCs w:val="20"/>
        </w:rPr>
        <w:t xml:space="preserve">We report findings </w:t>
      </w:r>
      <w:r w:rsidR="006A3DFE" w:rsidRPr="00842F43">
        <w:rPr>
          <w:rFonts w:ascii="Fira Sans" w:hAnsi="Fira Sans"/>
          <w:noProof/>
          <w:sz w:val="20"/>
          <w:szCs w:val="20"/>
        </w:rPr>
        <w:t>that will i</w:t>
      </w:r>
      <w:r w:rsidR="005C3B39" w:rsidRPr="00842F43">
        <w:rPr>
          <w:rFonts w:ascii="Fira Sans" w:hAnsi="Fira Sans"/>
          <w:noProof/>
          <w:sz w:val="20"/>
          <w:szCs w:val="20"/>
        </w:rPr>
        <w:t xml:space="preserve">nform design changes, </w:t>
      </w:r>
      <w:r w:rsidR="000F41A6" w:rsidRPr="00842F43">
        <w:rPr>
          <w:rFonts w:ascii="Fira Sans" w:hAnsi="Fira Sans"/>
          <w:noProof/>
          <w:sz w:val="20"/>
          <w:szCs w:val="20"/>
        </w:rPr>
        <w:t>and</w:t>
      </w:r>
      <w:r w:rsidR="005C3B39" w:rsidRPr="00842F43">
        <w:rPr>
          <w:rFonts w:ascii="Fira Sans" w:hAnsi="Fira Sans"/>
          <w:noProof/>
          <w:sz w:val="20"/>
          <w:szCs w:val="20"/>
        </w:rPr>
        <w:t xml:space="preserve"> improve</w:t>
      </w:r>
      <w:r w:rsidR="006A3DFE" w:rsidRPr="00842F43">
        <w:rPr>
          <w:rFonts w:ascii="Fira Sans" w:hAnsi="Fira Sans"/>
          <w:noProof/>
          <w:sz w:val="20"/>
          <w:szCs w:val="20"/>
        </w:rPr>
        <w:t xml:space="preserve"> the chances of </w:t>
      </w:r>
      <w:r w:rsidR="005C3B39" w:rsidRPr="00842F43">
        <w:rPr>
          <w:rFonts w:ascii="Fira Sans" w:hAnsi="Fira Sans"/>
          <w:noProof/>
          <w:sz w:val="20"/>
          <w:szCs w:val="20"/>
        </w:rPr>
        <w:t xml:space="preserve">delivering a </w:t>
      </w:r>
      <w:r w:rsidR="006A6A3C" w:rsidRPr="00842F43">
        <w:rPr>
          <w:rFonts w:ascii="Fira Sans" w:hAnsi="Fira Sans"/>
          <w:noProof/>
          <w:sz w:val="20"/>
          <w:szCs w:val="20"/>
        </w:rPr>
        <w:t>future</w:t>
      </w:r>
      <w:r w:rsidR="005C3B39" w:rsidRPr="00842F43">
        <w:rPr>
          <w:rFonts w:ascii="Fira Sans" w:hAnsi="Fira Sans"/>
          <w:noProof/>
          <w:sz w:val="20"/>
          <w:szCs w:val="20"/>
        </w:rPr>
        <w:t xml:space="preserve"> fully-powered effectiveness RCT. </w:t>
      </w:r>
      <w:r w:rsidR="006A6A3C" w:rsidRPr="00842F43">
        <w:rPr>
          <w:rFonts w:ascii="Fira Sans" w:hAnsi="Fira Sans"/>
          <w:noProof/>
          <w:sz w:val="20"/>
          <w:szCs w:val="20"/>
        </w:rPr>
        <w:t>Our c</w:t>
      </w:r>
      <w:r w:rsidR="005C3B39" w:rsidRPr="00842F43">
        <w:rPr>
          <w:rFonts w:ascii="Fira Sans" w:hAnsi="Fira Sans"/>
          <w:noProof/>
          <w:sz w:val="20"/>
          <w:szCs w:val="20"/>
        </w:rPr>
        <w:t xml:space="preserve">linical findings </w:t>
      </w:r>
      <w:r w:rsidR="00896392" w:rsidRPr="00842F43">
        <w:rPr>
          <w:rFonts w:ascii="Fira Sans" w:hAnsi="Fira Sans"/>
          <w:noProof/>
          <w:sz w:val="20"/>
          <w:szCs w:val="20"/>
        </w:rPr>
        <w:t>indicate</w:t>
      </w:r>
      <w:r w:rsidR="001140F6" w:rsidRPr="00842F43">
        <w:rPr>
          <w:rFonts w:ascii="Fira Sans" w:hAnsi="Fira Sans"/>
          <w:noProof/>
          <w:sz w:val="20"/>
          <w:szCs w:val="20"/>
        </w:rPr>
        <w:t xml:space="preserve"> that </w:t>
      </w:r>
      <w:r w:rsidR="006A6A3C" w:rsidRPr="00842F43">
        <w:rPr>
          <w:rFonts w:ascii="Fira Sans" w:hAnsi="Fira Sans"/>
          <w:noProof/>
          <w:sz w:val="20"/>
          <w:szCs w:val="20"/>
        </w:rPr>
        <w:t>such an</w:t>
      </w:r>
      <w:r w:rsidR="006A3DFE" w:rsidRPr="00842F43">
        <w:rPr>
          <w:rFonts w:ascii="Fira Sans" w:hAnsi="Fira Sans"/>
          <w:noProof/>
          <w:sz w:val="20"/>
          <w:szCs w:val="20"/>
        </w:rPr>
        <w:t xml:space="preserve"> investigation of</w:t>
      </w:r>
      <w:r w:rsidR="002C4A4E" w:rsidRPr="00842F43">
        <w:rPr>
          <w:rFonts w:ascii="Fira Sans" w:hAnsi="Fira Sans"/>
          <w:noProof/>
          <w:sz w:val="20"/>
          <w:szCs w:val="20"/>
        </w:rPr>
        <w:t xml:space="preserve"> EMDR </w:t>
      </w:r>
      <w:r w:rsidR="005C3B39" w:rsidRPr="00842F43">
        <w:rPr>
          <w:rFonts w:ascii="Fira Sans" w:hAnsi="Fira Sans"/>
          <w:noProof/>
          <w:sz w:val="20"/>
          <w:szCs w:val="20"/>
        </w:rPr>
        <w:t>is warranted</w:t>
      </w:r>
      <w:r w:rsidR="006A6A3C" w:rsidRPr="00842F43">
        <w:rPr>
          <w:rFonts w:ascii="Fira Sans" w:hAnsi="Fira Sans"/>
          <w:noProof/>
          <w:sz w:val="20"/>
          <w:szCs w:val="20"/>
        </w:rPr>
        <w:t>,</w:t>
      </w:r>
      <w:r w:rsidR="005C3B39" w:rsidRPr="00842F43">
        <w:rPr>
          <w:rFonts w:ascii="Fira Sans" w:hAnsi="Fira Sans"/>
          <w:noProof/>
          <w:sz w:val="20"/>
          <w:szCs w:val="20"/>
        </w:rPr>
        <w:t xml:space="preserve"> </w:t>
      </w:r>
      <w:r w:rsidR="002C4A4E" w:rsidRPr="00842F43">
        <w:rPr>
          <w:rFonts w:ascii="Fira Sans" w:hAnsi="Fira Sans"/>
          <w:sz w:val="20"/>
          <w:szCs w:val="20"/>
        </w:rPr>
        <w:t>in a broader cohort of intensive care survivors.</w:t>
      </w:r>
    </w:p>
    <w:p w14:paraId="771510D4" w14:textId="78881B1D" w:rsidR="00391EC5" w:rsidRPr="00842F43" w:rsidRDefault="00BC1CDA" w:rsidP="00842F43">
      <w:pPr>
        <w:spacing w:line="360" w:lineRule="auto"/>
        <w:rPr>
          <w:rFonts w:ascii="Fira Sans" w:hAnsi="Fira Sans"/>
          <w:noProof/>
          <w:sz w:val="20"/>
          <w:szCs w:val="20"/>
        </w:rPr>
      </w:pPr>
      <w:r w:rsidRPr="00842F43">
        <w:rPr>
          <w:rFonts w:ascii="Fira Sans" w:hAnsi="Fira Sans"/>
          <w:noProof/>
          <w:sz w:val="20"/>
          <w:szCs w:val="20"/>
        </w:rPr>
        <w:t xml:space="preserve">The primary outcome of this study was feasibility. </w:t>
      </w:r>
      <w:r w:rsidR="00344AF5" w:rsidRPr="00842F43">
        <w:rPr>
          <w:rFonts w:ascii="Fira Sans" w:hAnsi="Fira Sans"/>
          <w:noProof/>
          <w:sz w:val="20"/>
          <w:szCs w:val="20"/>
        </w:rPr>
        <w:t>W</w:t>
      </w:r>
      <w:r w:rsidR="005E1C22" w:rsidRPr="00842F43">
        <w:rPr>
          <w:rFonts w:ascii="Fira Sans" w:hAnsi="Fira Sans"/>
          <w:noProof/>
          <w:sz w:val="20"/>
          <w:szCs w:val="20"/>
        </w:rPr>
        <w:t>e</w:t>
      </w:r>
      <w:r w:rsidR="00344AF5" w:rsidRPr="00842F43">
        <w:rPr>
          <w:rFonts w:ascii="Fira Sans" w:hAnsi="Fira Sans"/>
          <w:noProof/>
          <w:sz w:val="20"/>
          <w:szCs w:val="20"/>
        </w:rPr>
        <w:t xml:space="preserve"> met</w:t>
      </w:r>
      <w:r w:rsidR="007329E9" w:rsidRPr="00842F43">
        <w:rPr>
          <w:rFonts w:ascii="Fira Sans" w:hAnsi="Fira Sans"/>
          <w:noProof/>
          <w:sz w:val="20"/>
          <w:szCs w:val="20"/>
        </w:rPr>
        <w:t xml:space="preserve"> </w:t>
      </w:r>
      <w:r w:rsidR="009B140C" w:rsidRPr="00842F43">
        <w:rPr>
          <w:rFonts w:ascii="Fira Sans" w:hAnsi="Fira Sans"/>
          <w:noProof/>
          <w:sz w:val="20"/>
          <w:szCs w:val="20"/>
        </w:rPr>
        <w:t xml:space="preserve">recruitment </w:t>
      </w:r>
      <w:r w:rsidR="00CC4333" w:rsidRPr="00842F43">
        <w:rPr>
          <w:rFonts w:ascii="Fira Sans" w:hAnsi="Fira Sans"/>
          <w:noProof/>
          <w:sz w:val="20"/>
          <w:szCs w:val="20"/>
        </w:rPr>
        <w:t>target in 7</w:t>
      </w:r>
      <w:r w:rsidRPr="00842F43">
        <w:rPr>
          <w:rFonts w:ascii="Fira Sans" w:hAnsi="Fira Sans"/>
          <w:noProof/>
          <w:sz w:val="20"/>
          <w:szCs w:val="20"/>
        </w:rPr>
        <w:t>-</w:t>
      </w:r>
      <w:r w:rsidR="00CC4333" w:rsidRPr="00842F43">
        <w:rPr>
          <w:rFonts w:ascii="Fira Sans" w:hAnsi="Fira Sans"/>
          <w:noProof/>
          <w:sz w:val="20"/>
          <w:szCs w:val="20"/>
        </w:rPr>
        <w:t xml:space="preserve">months, with a mean of </w:t>
      </w:r>
      <w:r w:rsidR="009B140C" w:rsidRPr="00842F43">
        <w:rPr>
          <w:rFonts w:ascii="Fira Sans" w:hAnsi="Fira Sans"/>
          <w:noProof/>
          <w:sz w:val="20"/>
          <w:szCs w:val="20"/>
        </w:rPr>
        <w:t>3.7 particpants per month</w:t>
      </w:r>
      <w:r w:rsidR="00E8314C" w:rsidRPr="00842F43">
        <w:rPr>
          <w:rFonts w:ascii="Fira Sans" w:hAnsi="Fira Sans"/>
          <w:noProof/>
          <w:sz w:val="20"/>
          <w:szCs w:val="20"/>
        </w:rPr>
        <w:t xml:space="preserve">, during a period of </w:t>
      </w:r>
      <w:r w:rsidR="00807E73" w:rsidRPr="00842F43">
        <w:rPr>
          <w:rFonts w:ascii="Fira Sans" w:hAnsi="Fira Sans"/>
          <w:noProof/>
          <w:sz w:val="20"/>
          <w:szCs w:val="20"/>
        </w:rPr>
        <w:t>unprecedented</w:t>
      </w:r>
      <w:r w:rsidR="00E8314C" w:rsidRPr="00842F43">
        <w:rPr>
          <w:rFonts w:ascii="Fira Sans" w:hAnsi="Fira Sans"/>
          <w:noProof/>
          <w:sz w:val="20"/>
          <w:szCs w:val="20"/>
        </w:rPr>
        <w:t xml:space="preserve"> clincial pressure</w:t>
      </w:r>
      <w:r w:rsidR="009B140C" w:rsidRPr="00842F43">
        <w:rPr>
          <w:rFonts w:ascii="Fira Sans" w:hAnsi="Fira Sans"/>
          <w:noProof/>
          <w:sz w:val="20"/>
          <w:szCs w:val="20"/>
        </w:rPr>
        <w:t xml:space="preserve">. </w:t>
      </w:r>
      <w:r w:rsidR="007B72BB" w:rsidRPr="00842F43">
        <w:rPr>
          <w:rFonts w:ascii="Fira Sans" w:hAnsi="Fira Sans"/>
          <w:noProof/>
          <w:sz w:val="20"/>
          <w:szCs w:val="20"/>
        </w:rPr>
        <w:t xml:space="preserve">We were able to recruit 51% of eligible patients approached, exceding our published target of 30%. </w:t>
      </w:r>
      <w:r w:rsidR="00B0617A" w:rsidRPr="00842F43">
        <w:rPr>
          <w:rFonts w:ascii="Fira Sans" w:hAnsi="Fira Sans"/>
          <w:noProof/>
          <w:sz w:val="20"/>
          <w:szCs w:val="20"/>
        </w:rPr>
        <w:t xml:space="preserve">To achieve </w:t>
      </w:r>
      <w:r w:rsidR="00807E73" w:rsidRPr="00842F43">
        <w:rPr>
          <w:rFonts w:ascii="Fira Sans" w:hAnsi="Fira Sans"/>
          <w:noProof/>
          <w:sz w:val="20"/>
          <w:szCs w:val="20"/>
        </w:rPr>
        <w:t>our recruitment target (n=26)</w:t>
      </w:r>
      <w:r w:rsidR="00B0617A" w:rsidRPr="00842F43">
        <w:rPr>
          <w:rFonts w:ascii="Fira Sans" w:hAnsi="Fira Sans"/>
          <w:noProof/>
          <w:sz w:val="20"/>
          <w:szCs w:val="20"/>
        </w:rPr>
        <w:t xml:space="preserve"> we screened 75 patients. </w:t>
      </w:r>
      <w:r w:rsidR="00807E73" w:rsidRPr="00842F43">
        <w:rPr>
          <w:rFonts w:ascii="Fira Sans" w:hAnsi="Fira Sans"/>
          <w:noProof/>
          <w:sz w:val="20"/>
          <w:szCs w:val="20"/>
        </w:rPr>
        <w:t>Accounting for</w:t>
      </w:r>
      <w:r w:rsidR="00B0617A" w:rsidRPr="00842F43">
        <w:rPr>
          <w:rFonts w:ascii="Fira Sans" w:hAnsi="Fira Sans"/>
          <w:noProof/>
          <w:sz w:val="20"/>
          <w:szCs w:val="20"/>
        </w:rPr>
        <w:t xml:space="preserve"> exclusi</w:t>
      </w:r>
      <w:r w:rsidR="00076D36" w:rsidRPr="00842F43">
        <w:rPr>
          <w:rFonts w:ascii="Fira Sans" w:hAnsi="Fira Sans"/>
          <w:noProof/>
          <w:sz w:val="20"/>
          <w:szCs w:val="20"/>
        </w:rPr>
        <w:t xml:space="preserve">ons, missed patients and trial decliners, 35% of screened patients consented to trial particpation. </w:t>
      </w:r>
      <w:r w:rsidR="000F6508" w:rsidRPr="00842F43">
        <w:rPr>
          <w:rFonts w:ascii="Fira Sans" w:hAnsi="Fira Sans"/>
          <w:noProof/>
          <w:sz w:val="20"/>
          <w:szCs w:val="20"/>
        </w:rPr>
        <w:t xml:space="preserve">Meaningful comparison </w:t>
      </w:r>
      <w:r w:rsidR="00611B59" w:rsidRPr="00842F43">
        <w:rPr>
          <w:rFonts w:ascii="Fira Sans" w:hAnsi="Fira Sans"/>
          <w:noProof/>
          <w:sz w:val="20"/>
          <w:szCs w:val="20"/>
        </w:rPr>
        <w:t>of recruitment rates,</w:t>
      </w:r>
      <w:r w:rsidR="00C51BC2" w:rsidRPr="00842F43">
        <w:rPr>
          <w:rFonts w:ascii="Fira Sans" w:hAnsi="Fira Sans"/>
          <w:noProof/>
          <w:sz w:val="20"/>
          <w:szCs w:val="20"/>
        </w:rPr>
        <w:t xml:space="preserve"> </w:t>
      </w:r>
      <w:r w:rsidR="000F6508" w:rsidRPr="00842F43">
        <w:rPr>
          <w:rFonts w:ascii="Fira Sans" w:hAnsi="Fira Sans"/>
          <w:noProof/>
          <w:sz w:val="20"/>
          <w:szCs w:val="20"/>
        </w:rPr>
        <w:t>are diff</w:t>
      </w:r>
      <w:r w:rsidR="00C51BC2" w:rsidRPr="00842F43">
        <w:rPr>
          <w:rFonts w:ascii="Fira Sans" w:hAnsi="Fira Sans"/>
          <w:noProof/>
          <w:sz w:val="20"/>
          <w:szCs w:val="20"/>
        </w:rPr>
        <w:t>ic</w:t>
      </w:r>
      <w:r w:rsidR="000F6508" w:rsidRPr="00842F43">
        <w:rPr>
          <w:rFonts w:ascii="Fira Sans" w:hAnsi="Fira Sans"/>
          <w:noProof/>
          <w:sz w:val="20"/>
          <w:szCs w:val="20"/>
        </w:rPr>
        <w:t>ult due to the novelty of this intervention</w:t>
      </w:r>
      <w:r w:rsidR="007B72BB" w:rsidRPr="00842F43">
        <w:rPr>
          <w:rFonts w:ascii="Fira Sans" w:hAnsi="Fira Sans"/>
          <w:noProof/>
          <w:sz w:val="20"/>
          <w:szCs w:val="20"/>
        </w:rPr>
        <w:t xml:space="preserve"> in this cohort</w:t>
      </w:r>
      <w:r w:rsidR="000F6508" w:rsidRPr="00842F43">
        <w:rPr>
          <w:rFonts w:ascii="Fira Sans" w:hAnsi="Fira Sans"/>
          <w:noProof/>
          <w:sz w:val="20"/>
          <w:szCs w:val="20"/>
        </w:rPr>
        <w:t>. However, a</w:t>
      </w:r>
      <w:r w:rsidR="00452EDE" w:rsidRPr="00842F43">
        <w:rPr>
          <w:rFonts w:ascii="Fira Sans" w:hAnsi="Fira Sans"/>
          <w:noProof/>
          <w:sz w:val="20"/>
          <w:szCs w:val="20"/>
        </w:rPr>
        <w:t xml:space="preserve"> review of publically funded trials in the UK noted that the median recruitment rate was 0.98 particpants per centre per month, with 50% of RCTs failing to meet recruitment targets</w:t>
      </w:r>
      <w:r w:rsidR="0029553F" w:rsidRPr="00842F43">
        <w:rPr>
          <w:rFonts w:ascii="Fira Sans" w:hAnsi="Fira Sans"/>
          <w:noProof/>
          <w:sz w:val="20"/>
          <w:szCs w:val="20"/>
        </w:rPr>
        <w:t>.</w:t>
      </w:r>
      <w:r w:rsidR="00452EDE" w:rsidRPr="00842F43">
        <w:rPr>
          <w:rFonts w:ascii="Fira Sans" w:hAnsi="Fira Sans"/>
          <w:noProof/>
          <w:sz w:val="20"/>
          <w:szCs w:val="20"/>
          <w:vertAlign w:val="superscript"/>
        </w:rPr>
        <w:fldChar w:fldCharType="begin" w:fldLock="1"/>
      </w:r>
      <w:r w:rsidR="00572CA0" w:rsidRPr="00842F43">
        <w:rPr>
          <w:rFonts w:ascii="Fira Sans" w:hAnsi="Fira Sans"/>
          <w:noProof/>
          <w:sz w:val="20"/>
          <w:szCs w:val="20"/>
          <w:vertAlign w:val="superscript"/>
        </w:rPr>
        <w:instrText>ADDIN CSL_CITATION {"citationItems":[{"id":"ITEM-1","itemData":{"DOI":"10.1136/bmjopen-2016-015276","ISSN":"2044-6055","PMID":"28320800","abstract":"BACKGROUND Substantial amounts of public funds are invested in health research worldwide. Publicly funded randomised controlled trials (RCTs) often recruit participants at a slower than anticipated rate. Many trials fail to reach their planned sample size within the envisaged trial timescale and trial funding envelope. OBJECTIVES To review the consent, recruitment and retention rates for single and multicentre randomised control trials funded and published by the UK's National Institute for Health Research (NIHR) Health Technology Assessment (HTA) Programme. DATA SOURCES AND STUDY SELECTION HTA reports of individually randomised single or multicentre RCTs published from the start of 2004 to the end of April 2016 were reviewed. DATA EXTRACTION Information was extracted, relating to the trial characteristics, sample size, recruitment and retention by two independent reviewers. MAIN OUTCOME MEASURES Target sample size and whether it was achieved; recruitment rates (number of participants recruited per centre per month) and retention rates (randomised participants retained and assessed with valid primary outcome data). RESULTS This review identified 151 individually RCTs from 787 NIHR HTA reports. The final recruitment target sample size was achieved in 56% (85/151) of the RCTs and more than 80% of the final target sample size was achieved for 79% of the RCTs (119/151). The median recruitment rate (participants per centre per month) was found to be 0.92 (IQR 0.43-2.79) and the median retention rate (proportion of participants with valid primary outcome data at follow-up) was estimated at 89% (IQR 79-97%). CONCLUSIONS There is considerable variation in the consent, recruitment and retention rates in publicly funded RCTs. Investigators should bear this in mind at the planning stage of their study and not be overly optimistic about their recruitment projections.","author":[{"dropping-particle":"","family":"Walters","given":"Stephen J","non-dropping-particle":"","parse-names":false,"suffix":""},{"dropping-particle":"","family":"Bonacho Dos Anjos Henriques-Cadby","given":"Inês","non-dropping-particle":"","parse-names":false,"suffix":""},{"dropping-particle":"","family":"Bortolami","given":"Oscar","non-dropping-particle":"","parse-names":false,"suffix":""},{"dropping-particle":"","family":"Flight","given":"Laura","non-dropping-particle":"","parse-names":false,"suffix":""},{"dropping-particle":"","family":"Hind","given":"Daniel","non-dropping-particle":"","parse-names":false,"suffix":""},{"dropping-particle":"","family":"Jacques","given":"Richard M","non-dropping-particle":"","parse-names":false,"suffix":""},{"dropping-particle":"","family":"Knox","given":"Christopher","non-dropping-particle":"","parse-names":false,"suffix":""},{"dropping-particle":"","family":"Nadin","given":"Ben","non-dropping-particle":"","parse-names":false,"suffix":""},{"dropping-particle":"","family":"Rothwell","given":"Joanne","non-dropping-particle":"","parse-names":false,"suffix":""},{"dropping-particle":"","family":"Surtees","given":"Michael","non-dropping-particle":"","parse-names":false,"suffix":""},{"dropping-particle":"","family":"Julious","given":"Steven A","non-dropping-particle":"","parse-names":false,"suffix":""}],"container-title":"BMJ open","id":"ITEM-1","issue":"3","issued":{"date-parts":[["2017","3","20"]]},"page":"e015276","publisher":"British Medical Journal Publishing Group","title":"Recruitment and retention of participants in randomised controlled trials: a review of trials funded and published by the United Kingdom Health Technology Assessment Programme.","type":"article-journal","volume":"7"},"uris":["http://www.mendeley.com/documents/?uuid=109b795c-10a1-3473-9f14-c3deedd9085b"]}],"mendeley":{"formattedCitation":"(63)","manualFormatting":"(63)","plainTextFormattedCitation":"(63)","previouslyFormattedCitation":"(63)"},"properties":{"noteIndex":0},"schema":"https://github.com/citation-style-language/schema/raw/master/csl-citation.json"}</w:instrText>
      </w:r>
      <w:r w:rsidR="00452EDE" w:rsidRPr="00842F43">
        <w:rPr>
          <w:rFonts w:ascii="Fira Sans" w:hAnsi="Fira Sans"/>
          <w:noProof/>
          <w:sz w:val="20"/>
          <w:szCs w:val="20"/>
          <w:vertAlign w:val="superscript"/>
        </w:rPr>
        <w:fldChar w:fldCharType="separate"/>
      </w:r>
      <w:r w:rsidR="005D6B1D" w:rsidRPr="00842F43">
        <w:rPr>
          <w:rFonts w:ascii="Fira Sans" w:hAnsi="Fira Sans"/>
          <w:noProof/>
          <w:sz w:val="20"/>
          <w:szCs w:val="20"/>
          <w:vertAlign w:val="superscript"/>
        </w:rPr>
        <w:t>(</w:t>
      </w:r>
      <w:r w:rsidR="00572CA0" w:rsidRPr="00842F43">
        <w:rPr>
          <w:rFonts w:ascii="Fira Sans" w:hAnsi="Fira Sans"/>
          <w:noProof/>
          <w:sz w:val="20"/>
          <w:szCs w:val="20"/>
          <w:vertAlign w:val="superscript"/>
        </w:rPr>
        <w:t>63</w:t>
      </w:r>
      <w:r w:rsidR="005D6B1D" w:rsidRPr="00842F43">
        <w:rPr>
          <w:rFonts w:ascii="Fira Sans" w:hAnsi="Fira Sans"/>
          <w:noProof/>
          <w:sz w:val="20"/>
          <w:szCs w:val="20"/>
          <w:vertAlign w:val="superscript"/>
        </w:rPr>
        <w:t>)</w:t>
      </w:r>
      <w:r w:rsidR="00452EDE" w:rsidRPr="00842F43">
        <w:rPr>
          <w:rFonts w:ascii="Fira Sans" w:hAnsi="Fira Sans"/>
          <w:noProof/>
          <w:sz w:val="20"/>
          <w:szCs w:val="20"/>
          <w:vertAlign w:val="superscript"/>
        </w:rPr>
        <w:fldChar w:fldCharType="end"/>
      </w:r>
      <w:r w:rsidR="00452EDE" w:rsidRPr="00842F43">
        <w:rPr>
          <w:rFonts w:ascii="Fira Sans" w:hAnsi="Fira Sans"/>
          <w:noProof/>
          <w:sz w:val="20"/>
          <w:szCs w:val="20"/>
        </w:rPr>
        <w:t xml:space="preserve"> </w:t>
      </w:r>
    </w:p>
    <w:p w14:paraId="51F67370" w14:textId="64DB1718" w:rsidR="0076119D" w:rsidRPr="00842F43" w:rsidRDefault="003025F9" w:rsidP="00842F43">
      <w:pPr>
        <w:spacing w:line="360" w:lineRule="auto"/>
        <w:rPr>
          <w:rFonts w:ascii="Fira Sans" w:hAnsi="Fira Sans"/>
          <w:noProof/>
          <w:sz w:val="20"/>
          <w:szCs w:val="20"/>
        </w:rPr>
      </w:pPr>
      <w:r w:rsidRPr="00842F43">
        <w:rPr>
          <w:rFonts w:ascii="Fira Sans" w:hAnsi="Fira Sans"/>
          <w:noProof/>
          <w:sz w:val="20"/>
          <w:szCs w:val="20"/>
        </w:rPr>
        <w:t>Consecutive patients were approached for C</w:t>
      </w:r>
      <w:r w:rsidR="00857597" w:rsidRPr="00842F43">
        <w:rPr>
          <w:rFonts w:ascii="Fira Sans" w:hAnsi="Fira Sans"/>
          <w:noProof/>
          <w:sz w:val="20"/>
          <w:szCs w:val="20"/>
        </w:rPr>
        <w:t>OV</w:t>
      </w:r>
      <w:r w:rsidRPr="00842F43">
        <w:rPr>
          <w:rFonts w:ascii="Fira Sans" w:hAnsi="Fira Sans"/>
          <w:noProof/>
          <w:sz w:val="20"/>
          <w:szCs w:val="20"/>
        </w:rPr>
        <w:t>EMERALD participation</w:t>
      </w:r>
      <w:r w:rsidR="0070118E" w:rsidRPr="00842F43">
        <w:rPr>
          <w:rFonts w:ascii="Fira Sans" w:hAnsi="Fira Sans"/>
          <w:noProof/>
          <w:sz w:val="20"/>
          <w:szCs w:val="20"/>
        </w:rPr>
        <w:t xml:space="preserve"> and t</w:t>
      </w:r>
      <w:r w:rsidRPr="00842F43">
        <w:rPr>
          <w:rFonts w:ascii="Fira Sans" w:hAnsi="Fira Sans"/>
          <w:noProof/>
          <w:sz w:val="20"/>
          <w:szCs w:val="20"/>
        </w:rPr>
        <w:t xml:space="preserve">he demographic </w:t>
      </w:r>
      <w:r w:rsidR="001025A8" w:rsidRPr="00842F43">
        <w:rPr>
          <w:rFonts w:ascii="Fira Sans" w:hAnsi="Fira Sans"/>
          <w:noProof/>
          <w:sz w:val="20"/>
          <w:szCs w:val="20"/>
        </w:rPr>
        <w:t xml:space="preserve">characteristics of the study sample </w:t>
      </w:r>
      <w:r w:rsidR="000E4166" w:rsidRPr="00842F43">
        <w:rPr>
          <w:rFonts w:ascii="Fira Sans" w:hAnsi="Fira Sans"/>
          <w:noProof/>
          <w:sz w:val="20"/>
          <w:szCs w:val="20"/>
        </w:rPr>
        <w:t>were largely</w:t>
      </w:r>
      <w:r w:rsidR="001025A8" w:rsidRPr="00842F43">
        <w:rPr>
          <w:rFonts w:ascii="Fira Sans" w:hAnsi="Fira Sans"/>
          <w:noProof/>
          <w:sz w:val="20"/>
          <w:szCs w:val="20"/>
        </w:rPr>
        <w:t xml:space="preserve"> representative of the wider patient pop</w:t>
      </w:r>
      <w:r w:rsidR="004F46E5" w:rsidRPr="00842F43">
        <w:rPr>
          <w:rFonts w:ascii="Fira Sans" w:hAnsi="Fira Sans"/>
          <w:noProof/>
          <w:sz w:val="20"/>
          <w:szCs w:val="20"/>
        </w:rPr>
        <w:t>ul</w:t>
      </w:r>
      <w:r w:rsidR="001025A8" w:rsidRPr="00842F43">
        <w:rPr>
          <w:rFonts w:ascii="Fira Sans" w:hAnsi="Fira Sans"/>
          <w:noProof/>
          <w:sz w:val="20"/>
          <w:szCs w:val="20"/>
        </w:rPr>
        <w:t>ation:</w:t>
      </w:r>
      <w:r w:rsidRPr="00842F43">
        <w:rPr>
          <w:rFonts w:ascii="Fira Sans" w:hAnsi="Fira Sans"/>
          <w:noProof/>
          <w:sz w:val="20"/>
          <w:szCs w:val="20"/>
        </w:rPr>
        <w:t xml:space="preserve"> </w:t>
      </w:r>
      <w:r w:rsidR="001025A8" w:rsidRPr="00842F43">
        <w:rPr>
          <w:rFonts w:ascii="Fira Sans" w:hAnsi="Fira Sans"/>
          <w:noProof/>
          <w:sz w:val="20"/>
          <w:szCs w:val="20"/>
        </w:rPr>
        <w:t>h</w:t>
      </w:r>
      <w:r w:rsidRPr="00842F43">
        <w:rPr>
          <w:rFonts w:ascii="Fira Sans" w:hAnsi="Fira Sans"/>
          <w:noProof/>
          <w:sz w:val="20"/>
          <w:szCs w:val="20"/>
        </w:rPr>
        <w:t xml:space="preserve">owever, </w:t>
      </w:r>
      <w:r w:rsidR="001025A8" w:rsidRPr="00842F43">
        <w:rPr>
          <w:rFonts w:ascii="Fira Sans" w:hAnsi="Fira Sans"/>
          <w:noProof/>
          <w:sz w:val="20"/>
          <w:szCs w:val="20"/>
        </w:rPr>
        <w:t xml:space="preserve">the </w:t>
      </w:r>
      <w:r w:rsidRPr="00842F43">
        <w:rPr>
          <w:rFonts w:ascii="Fira Sans" w:hAnsi="Fira Sans"/>
          <w:noProof/>
          <w:sz w:val="20"/>
          <w:szCs w:val="20"/>
        </w:rPr>
        <w:t>s</w:t>
      </w:r>
      <w:r w:rsidR="009F60ED" w:rsidRPr="00842F43">
        <w:rPr>
          <w:rFonts w:ascii="Fira Sans" w:hAnsi="Fira Sans"/>
          <w:noProof/>
          <w:sz w:val="20"/>
          <w:szCs w:val="20"/>
        </w:rPr>
        <w:t>elf-declared ethnicity</w:t>
      </w:r>
      <w:r w:rsidR="00144DA6" w:rsidRPr="00842F43">
        <w:rPr>
          <w:rFonts w:ascii="Fira Sans" w:hAnsi="Fira Sans"/>
          <w:noProof/>
          <w:sz w:val="20"/>
          <w:szCs w:val="20"/>
        </w:rPr>
        <w:t xml:space="preserve"> </w:t>
      </w:r>
      <w:r w:rsidR="002C633B" w:rsidRPr="00842F43">
        <w:rPr>
          <w:rFonts w:ascii="Fira Sans" w:hAnsi="Fira Sans"/>
          <w:noProof/>
          <w:sz w:val="20"/>
          <w:szCs w:val="20"/>
        </w:rPr>
        <w:t xml:space="preserve">of </w:t>
      </w:r>
      <w:r w:rsidR="001025A8" w:rsidRPr="00842F43">
        <w:rPr>
          <w:rFonts w:ascii="Fira Sans" w:hAnsi="Fira Sans"/>
          <w:noProof/>
          <w:sz w:val="20"/>
          <w:szCs w:val="20"/>
        </w:rPr>
        <w:t>study</w:t>
      </w:r>
      <w:r w:rsidR="002C633B" w:rsidRPr="00842F43">
        <w:rPr>
          <w:rFonts w:ascii="Fira Sans" w:hAnsi="Fira Sans"/>
          <w:noProof/>
          <w:sz w:val="20"/>
          <w:szCs w:val="20"/>
        </w:rPr>
        <w:t xml:space="preserve"> partic</w:t>
      </w:r>
      <w:r w:rsidR="005136F0" w:rsidRPr="00842F43">
        <w:rPr>
          <w:rFonts w:ascii="Fira Sans" w:hAnsi="Fira Sans"/>
          <w:noProof/>
          <w:sz w:val="20"/>
          <w:szCs w:val="20"/>
        </w:rPr>
        <w:t>i</w:t>
      </w:r>
      <w:r w:rsidR="002C633B" w:rsidRPr="00842F43">
        <w:rPr>
          <w:rFonts w:ascii="Fira Sans" w:hAnsi="Fira Sans"/>
          <w:noProof/>
          <w:sz w:val="20"/>
          <w:szCs w:val="20"/>
        </w:rPr>
        <w:t xml:space="preserve">pants </w:t>
      </w:r>
      <w:r w:rsidR="008D262F" w:rsidRPr="00842F43">
        <w:rPr>
          <w:rFonts w:ascii="Fira Sans" w:hAnsi="Fira Sans"/>
          <w:noProof/>
          <w:sz w:val="20"/>
          <w:szCs w:val="20"/>
        </w:rPr>
        <w:t xml:space="preserve">(96% white) </w:t>
      </w:r>
      <w:r w:rsidR="001025A8" w:rsidRPr="00842F43">
        <w:rPr>
          <w:rFonts w:ascii="Fira Sans" w:hAnsi="Fira Sans"/>
          <w:noProof/>
          <w:sz w:val="20"/>
          <w:szCs w:val="20"/>
        </w:rPr>
        <w:t>indicates</w:t>
      </w:r>
      <w:r w:rsidR="00822CEE" w:rsidRPr="00842F43">
        <w:rPr>
          <w:rFonts w:ascii="Fira Sans" w:hAnsi="Fira Sans"/>
          <w:noProof/>
          <w:sz w:val="20"/>
          <w:szCs w:val="20"/>
        </w:rPr>
        <w:t xml:space="preserve"> </w:t>
      </w:r>
      <w:r w:rsidR="001025A8" w:rsidRPr="00842F43">
        <w:rPr>
          <w:rFonts w:ascii="Fira Sans" w:hAnsi="Fira Sans"/>
          <w:noProof/>
          <w:sz w:val="20"/>
          <w:szCs w:val="20"/>
        </w:rPr>
        <w:t xml:space="preserve">an under-representation </w:t>
      </w:r>
      <w:r w:rsidR="00822CEE" w:rsidRPr="00842F43">
        <w:rPr>
          <w:rFonts w:ascii="Fira Sans" w:hAnsi="Fira Sans"/>
          <w:noProof/>
          <w:sz w:val="20"/>
          <w:szCs w:val="20"/>
        </w:rPr>
        <w:t>of other ethnic groups, based on ICU patient population</w:t>
      </w:r>
      <w:r w:rsidR="001025A8" w:rsidRPr="00842F43">
        <w:rPr>
          <w:rFonts w:ascii="Fira Sans" w:hAnsi="Fira Sans"/>
          <w:noProof/>
          <w:sz w:val="20"/>
          <w:szCs w:val="20"/>
        </w:rPr>
        <w:t>s</w:t>
      </w:r>
      <w:r w:rsidR="008D262F" w:rsidRPr="00842F43">
        <w:rPr>
          <w:rFonts w:ascii="Fira Sans" w:hAnsi="Fira Sans"/>
          <w:noProof/>
          <w:sz w:val="20"/>
          <w:szCs w:val="20"/>
        </w:rPr>
        <w:t xml:space="preserve">. </w:t>
      </w:r>
      <w:r w:rsidR="003604C7" w:rsidRPr="00842F43">
        <w:rPr>
          <w:rFonts w:ascii="Fira Sans" w:hAnsi="Fira Sans"/>
          <w:noProof/>
          <w:sz w:val="20"/>
          <w:szCs w:val="20"/>
        </w:rPr>
        <w:t>Between September 2020 and April 202</w:t>
      </w:r>
      <w:r w:rsidR="00CC0BE4" w:rsidRPr="00842F43">
        <w:rPr>
          <w:rFonts w:ascii="Fira Sans" w:hAnsi="Fira Sans"/>
          <w:noProof/>
          <w:sz w:val="20"/>
          <w:szCs w:val="20"/>
        </w:rPr>
        <w:t>1</w:t>
      </w:r>
      <w:r w:rsidR="003604C7" w:rsidRPr="00842F43">
        <w:rPr>
          <w:rFonts w:ascii="Fira Sans" w:hAnsi="Fira Sans"/>
          <w:noProof/>
          <w:sz w:val="20"/>
          <w:szCs w:val="20"/>
        </w:rPr>
        <w:t xml:space="preserve">, </w:t>
      </w:r>
      <w:r w:rsidR="007940A1" w:rsidRPr="00842F43">
        <w:rPr>
          <w:rFonts w:ascii="Fira Sans" w:hAnsi="Fira Sans"/>
          <w:noProof/>
          <w:sz w:val="20"/>
          <w:szCs w:val="20"/>
        </w:rPr>
        <w:t>28</w:t>
      </w:r>
      <w:r w:rsidR="003604C7" w:rsidRPr="00842F43">
        <w:rPr>
          <w:rFonts w:ascii="Fira Sans" w:hAnsi="Fira Sans"/>
          <w:noProof/>
          <w:sz w:val="20"/>
          <w:szCs w:val="20"/>
        </w:rPr>
        <w:t xml:space="preserve">% of patients admitted to UK intensive care units with COVID-19, were </w:t>
      </w:r>
      <w:r w:rsidR="007940A1" w:rsidRPr="00842F43">
        <w:rPr>
          <w:rFonts w:ascii="Fira Sans" w:hAnsi="Fira Sans"/>
          <w:noProof/>
          <w:sz w:val="20"/>
          <w:szCs w:val="20"/>
        </w:rPr>
        <w:t>of black, asian, mixed or other ethnicity</w:t>
      </w:r>
      <w:r w:rsidR="008D262F" w:rsidRPr="00842F43">
        <w:rPr>
          <w:rFonts w:ascii="Fira Sans" w:hAnsi="Fira Sans"/>
          <w:noProof/>
          <w:sz w:val="20"/>
          <w:szCs w:val="20"/>
          <w:vertAlign w:val="superscript"/>
        </w:rPr>
        <w:fldChar w:fldCharType="begin" w:fldLock="1"/>
      </w:r>
      <w:r w:rsidR="002901B0" w:rsidRPr="00842F43">
        <w:rPr>
          <w:rFonts w:ascii="Fira Sans" w:hAnsi="Fira Sans"/>
          <w:noProof/>
          <w:sz w:val="20"/>
          <w:szCs w:val="20"/>
          <w:vertAlign w:val="superscript"/>
        </w:rPr>
        <w:instrText>ADDIN CSL_CITATION {"citationItems":[{"id":"ITEM-1","itemData":{"URL":"https://www.icnarc.org/Our-Audit/Audits/Cmp/Reports","accessed":{"date-parts":[["2021","12","21"]]},"author":[{"dropping-particle":"","family":"Intensive care national audit and research centre","given":"","non-dropping-particle":"","parse-names":false,"suffix":""}],"id":"ITEM-1","issued":{"date-parts":[["2021"]]},"title":"ICNARC report on COVID-19 in critical care: England, Wales and Northern Ireland. 17th December 2021.","type":"webpage"},"uris":["http://www.mendeley.com/documents/?uuid=e3dddff2-e690-3620-b758-7c4599d181a1"]}],"mendeley":{"formattedCitation":"(12)","plainTextFormattedCitation":"(12)","previouslyFormattedCitation":"(12)"},"properties":{"noteIndex":0},"schema":"https://github.com/citation-style-language/schema/raw/master/csl-citation.json"}</w:instrText>
      </w:r>
      <w:r w:rsidR="008D262F" w:rsidRPr="00842F43">
        <w:rPr>
          <w:rFonts w:ascii="Fira Sans" w:hAnsi="Fira Sans"/>
          <w:noProof/>
          <w:sz w:val="20"/>
          <w:szCs w:val="20"/>
          <w:vertAlign w:val="superscript"/>
        </w:rPr>
        <w:fldChar w:fldCharType="separate"/>
      </w:r>
      <w:r w:rsidR="002901B0" w:rsidRPr="00842F43">
        <w:rPr>
          <w:rFonts w:ascii="Fira Sans" w:hAnsi="Fira Sans"/>
          <w:noProof/>
          <w:sz w:val="20"/>
          <w:szCs w:val="20"/>
          <w:vertAlign w:val="superscript"/>
        </w:rPr>
        <w:t>(12)</w:t>
      </w:r>
      <w:r w:rsidR="008D262F" w:rsidRPr="00842F43">
        <w:rPr>
          <w:rFonts w:ascii="Fira Sans" w:hAnsi="Fira Sans"/>
          <w:noProof/>
          <w:sz w:val="20"/>
          <w:szCs w:val="20"/>
          <w:vertAlign w:val="superscript"/>
        </w:rPr>
        <w:fldChar w:fldCharType="end"/>
      </w:r>
      <w:r w:rsidR="000E4166" w:rsidRPr="00842F43">
        <w:rPr>
          <w:rFonts w:ascii="Fira Sans" w:hAnsi="Fira Sans"/>
          <w:noProof/>
          <w:sz w:val="20"/>
          <w:szCs w:val="20"/>
        </w:rPr>
        <w:t>:</w:t>
      </w:r>
      <w:r w:rsidR="003604C7" w:rsidRPr="00842F43">
        <w:rPr>
          <w:rFonts w:ascii="Fira Sans" w:hAnsi="Fira Sans"/>
          <w:noProof/>
          <w:sz w:val="20"/>
          <w:szCs w:val="20"/>
        </w:rPr>
        <w:t xml:space="preserve"> </w:t>
      </w:r>
      <w:r w:rsidR="008D05A1" w:rsidRPr="00842F43">
        <w:rPr>
          <w:rFonts w:ascii="Fira Sans" w:hAnsi="Fira Sans"/>
          <w:noProof/>
          <w:sz w:val="20"/>
          <w:szCs w:val="20"/>
        </w:rPr>
        <w:t>23% of patients admitted to our unit during the recruitement period were black, asian, mixed or other ethnicity</w:t>
      </w:r>
      <w:r w:rsidR="00B02D10" w:rsidRPr="00842F43">
        <w:rPr>
          <w:rFonts w:ascii="Fira Sans" w:hAnsi="Fira Sans"/>
          <w:noProof/>
          <w:sz w:val="20"/>
          <w:szCs w:val="20"/>
        </w:rPr>
        <w:t xml:space="preserve"> yet in this study &gt;90% of p</w:t>
      </w:r>
      <w:r w:rsidR="00452EDE" w:rsidRPr="00842F43">
        <w:rPr>
          <w:rFonts w:ascii="Fira Sans" w:hAnsi="Fira Sans"/>
          <w:noProof/>
          <w:sz w:val="20"/>
          <w:szCs w:val="20"/>
        </w:rPr>
        <w:t>a</w:t>
      </w:r>
      <w:r w:rsidR="00B02D10" w:rsidRPr="00842F43">
        <w:rPr>
          <w:rFonts w:ascii="Fira Sans" w:hAnsi="Fira Sans"/>
          <w:noProof/>
          <w:sz w:val="20"/>
          <w:szCs w:val="20"/>
        </w:rPr>
        <w:t>rticipants were white.</w:t>
      </w:r>
      <w:r w:rsidR="008D05A1" w:rsidRPr="00842F43">
        <w:rPr>
          <w:rFonts w:ascii="Fira Sans" w:hAnsi="Fira Sans"/>
          <w:noProof/>
          <w:sz w:val="20"/>
          <w:szCs w:val="20"/>
        </w:rPr>
        <w:t xml:space="preserve"> </w:t>
      </w:r>
      <w:r w:rsidR="000E4166" w:rsidRPr="00842F43">
        <w:rPr>
          <w:rFonts w:ascii="Fira Sans" w:hAnsi="Fira Sans"/>
          <w:noProof/>
          <w:sz w:val="20"/>
          <w:szCs w:val="20"/>
        </w:rPr>
        <w:t>Furthermore</w:t>
      </w:r>
      <w:r w:rsidR="00134A5B" w:rsidRPr="00842F43">
        <w:rPr>
          <w:rFonts w:ascii="Fira Sans" w:hAnsi="Fira Sans"/>
          <w:noProof/>
          <w:sz w:val="20"/>
          <w:szCs w:val="20"/>
        </w:rPr>
        <w:t xml:space="preserve">, 14% of patients </w:t>
      </w:r>
      <w:r w:rsidR="00662487" w:rsidRPr="00842F43">
        <w:rPr>
          <w:rFonts w:ascii="Fira Sans" w:hAnsi="Fira Sans"/>
          <w:noProof/>
          <w:sz w:val="20"/>
          <w:szCs w:val="20"/>
        </w:rPr>
        <w:t xml:space="preserve">who we </w:t>
      </w:r>
      <w:r w:rsidR="00134A5B" w:rsidRPr="00842F43">
        <w:rPr>
          <w:rFonts w:ascii="Fira Sans" w:hAnsi="Fira Sans"/>
          <w:noProof/>
          <w:sz w:val="20"/>
          <w:szCs w:val="20"/>
        </w:rPr>
        <w:t>approached declined partic</w:t>
      </w:r>
      <w:r w:rsidR="00662487" w:rsidRPr="00842F43">
        <w:rPr>
          <w:rFonts w:ascii="Fira Sans" w:hAnsi="Fira Sans"/>
          <w:noProof/>
          <w:sz w:val="20"/>
          <w:szCs w:val="20"/>
        </w:rPr>
        <w:t>i</w:t>
      </w:r>
      <w:r w:rsidR="00134A5B" w:rsidRPr="00842F43">
        <w:rPr>
          <w:rFonts w:ascii="Fira Sans" w:hAnsi="Fira Sans"/>
          <w:noProof/>
          <w:sz w:val="20"/>
          <w:szCs w:val="20"/>
        </w:rPr>
        <w:t>pation in our online intervention study, due to lack of digital access</w:t>
      </w:r>
      <w:r w:rsidR="00662487" w:rsidRPr="00842F43">
        <w:rPr>
          <w:rFonts w:ascii="Fira Sans" w:hAnsi="Fira Sans"/>
          <w:noProof/>
          <w:sz w:val="20"/>
          <w:szCs w:val="20"/>
        </w:rPr>
        <w:t>. W</w:t>
      </w:r>
      <w:r w:rsidR="00134A5B" w:rsidRPr="00842F43">
        <w:rPr>
          <w:rFonts w:ascii="Fira Sans" w:hAnsi="Fira Sans"/>
          <w:noProof/>
          <w:sz w:val="20"/>
          <w:szCs w:val="20"/>
        </w:rPr>
        <w:t>idely recognised as a social determinant of health</w:t>
      </w:r>
      <w:r w:rsidR="008005BD" w:rsidRPr="00842F43">
        <w:rPr>
          <w:rFonts w:ascii="Fira Sans" w:hAnsi="Fira Sans"/>
          <w:noProof/>
          <w:sz w:val="20"/>
          <w:szCs w:val="20"/>
          <w:vertAlign w:val="superscript"/>
        </w:rPr>
        <w:t>,</w:t>
      </w:r>
      <w:r w:rsidR="00A5720D" w:rsidRPr="00842F43">
        <w:rPr>
          <w:rFonts w:ascii="Fira Sans" w:hAnsi="Fira Sans"/>
          <w:noProof/>
          <w:sz w:val="20"/>
          <w:szCs w:val="20"/>
          <w:vertAlign w:val="superscript"/>
        </w:rPr>
        <w:fldChar w:fldCharType="begin" w:fldLock="1"/>
      </w:r>
      <w:r w:rsidR="00142197" w:rsidRPr="00842F43">
        <w:rPr>
          <w:rFonts w:ascii="Fira Sans" w:hAnsi="Fira Sans"/>
          <w:noProof/>
          <w:sz w:val="20"/>
          <w:szCs w:val="20"/>
          <w:vertAlign w:val="superscript"/>
        </w:rPr>
        <w:instrText>ADDIN CSL_CITATION {"citationItems":[{"id":"ITEM-1","itemData":{"DOI":"10.1093/jamia/ocaa078","ISSN":"1527-974X","author":[{"dropping-particle":"","family":"Ramsetty","given":"Anita","non-dropping-particle":"","parse-names":false,"suffix":""},{"dropping-particle":"","family":"Adams","given":"Cristin","non-dropping-particle":"","parse-names":false,"suffix":""}],"container-title":"Journal of the American Medical Informatics Association","id":"ITEM-1","issue":"7","issued":{"date-parts":[["2020","7","1"]]},"page":"1147-1148","publisher":"Oxford Academic","title":"Impact of the digital divide in the age of COVID-19","type":"article-journal","volume":"27"},"uris":["http://www.mendeley.com/documents/?uuid=2847beb0-3b65-37f4-9af0-37f765880a5b"]}],"mendeley":{"formattedCitation":"(64)","manualFormatting":"(64)","plainTextFormattedCitation":"(64)","previouslyFormattedCitation":"(64)"},"properties":{"noteIndex":0},"schema":"https://github.com/citation-style-language/schema/raw/master/csl-citation.json"}</w:instrText>
      </w:r>
      <w:r w:rsidR="00A5720D" w:rsidRPr="00842F43">
        <w:rPr>
          <w:rFonts w:ascii="Fira Sans" w:hAnsi="Fira Sans"/>
          <w:noProof/>
          <w:sz w:val="20"/>
          <w:szCs w:val="20"/>
          <w:vertAlign w:val="superscript"/>
        </w:rPr>
        <w:fldChar w:fldCharType="separate"/>
      </w:r>
      <w:r w:rsidR="005D6B1D" w:rsidRPr="00842F43">
        <w:rPr>
          <w:rFonts w:ascii="Fira Sans" w:hAnsi="Fira Sans"/>
          <w:noProof/>
          <w:sz w:val="20"/>
          <w:szCs w:val="20"/>
          <w:vertAlign w:val="superscript"/>
        </w:rPr>
        <w:t>(</w:t>
      </w:r>
      <w:r w:rsidR="00142197" w:rsidRPr="00842F43">
        <w:rPr>
          <w:rFonts w:ascii="Fira Sans" w:hAnsi="Fira Sans"/>
          <w:noProof/>
          <w:sz w:val="20"/>
          <w:szCs w:val="20"/>
          <w:vertAlign w:val="superscript"/>
        </w:rPr>
        <w:t>64</w:t>
      </w:r>
      <w:r w:rsidR="005D6B1D" w:rsidRPr="00842F43">
        <w:rPr>
          <w:rFonts w:ascii="Fira Sans" w:hAnsi="Fira Sans"/>
          <w:noProof/>
          <w:sz w:val="20"/>
          <w:szCs w:val="20"/>
          <w:vertAlign w:val="superscript"/>
        </w:rPr>
        <w:t>)</w:t>
      </w:r>
      <w:r w:rsidR="00A5720D" w:rsidRPr="00842F43">
        <w:rPr>
          <w:rFonts w:ascii="Fira Sans" w:hAnsi="Fira Sans"/>
          <w:noProof/>
          <w:sz w:val="20"/>
          <w:szCs w:val="20"/>
          <w:vertAlign w:val="superscript"/>
        </w:rPr>
        <w:fldChar w:fldCharType="end"/>
      </w:r>
      <w:r w:rsidR="00A5720D" w:rsidRPr="00842F43">
        <w:rPr>
          <w:rFonts w:ascii="Fira Sans" w:hAnsi="Fira Sans"/>
          <w:noProof/>
          <w:sz w:val="20"/>
          <w:szCs w:val="20"/>
        </w:rPr>
        <w:t xml:space="preserve"> and exacerbated by the COVID-19 requir</w:t>
      </w:r>
      <w:r w:rsidR="00662487" w:rsidRPr="00842F43">
        <w:rPr>
          <w:rFonts w:ascii="Fira Sans" w:hAnsi="Fira Sans"/>
          <w:noProof/>
          <w:sz w:val="20"/>
          <w:szCs w:val="20"/>
        </w:rPr>
        <w:t>e</w:t>
      </w:r>
      <w:r w:rsidR="00A5720D" w:rsidRPr="00842F43">
        <w:rPr>
          <w:rFonts w:ascii="Fira Sans" w:hAnsi="Fira Sans"/>
          <w:noProof/>
          <w:sz w:val="20"/>
          <w:szCs w:val="20"/>
        </w:rPr>
        <w:t>ment for social distancing</w:t>
      </w:r>
      <w:r w:rsidR="00662487" w:rsidRPr="00842F43">
        <w:rPr>
          <w:rFonts w:ascii="Fira Sans" w:hAnsi="Fira Sans"/>
          <w:noProof/>
          <w:sz w:val="20"/>
          <w:szCs w:val="20"/>
        </w:rPr>
        <w:t>, the digital divide presents an increasing risk of exacerbating health inequality</w:t>
      </w:r>
      <w:r w:rsidR="007A436A" w:rsidRPr="00842F43">
        <w:rPr>
          <w:rFonts w:ascii="Fira Sans" w:hAnsi="Fira Sans"/>
          <w:noProof/>
          <w:sz w:val="20"/>
          <w:szCs w:val="20"/>
        </w:rPr>
        <w:t>.</w:t>
      </w:r>
      <w:r w:rsidR="007E35AB" w:rsidRPr="00842F43">
        <w:rPr>
          <w:rFonts w:ascii="Fira Sans" w:hAnsi="Fira Sans"/>
          <w:noProof/>
          <w:sz w:val="20"/>
          <w:szCs w:val="20"/>
          <w:vertAlign w:val="superscript"/>
        </w:rPr>
        <w:fldChar w:fldCharType="begin" w:fldLock="1"/>
      </w:r>
      <w:r w:rsidR="00F94450" w:rsidRPr="00842F43">
        <w:rPr>
          <w:rFonts w:ascii="Fira Sans" w:hAnsi="Fira Sans"/>
          <w:noProof/>
          <w:sz w:val="20"/>
          <w:szCs w:val="20"/>
          <w:vertAlign w:val="superscript"/>
        </w:rPr>
        <w:instrText>ADDIN CSL_CITATION {"citationItems":[{"id":"ITEM-1","itemData":{"abstract":"Good Things Foundation worked with NHSX, NHS Digital, NHS England and local partners in health, social care, and community sectors to widen digital participation in health and care. In the context of COVID-19, the lessons learned could not be more timely. The Widening Digital Participation programme completed in March 2020 - just as the country went into lockdown following the outbreak of coronavirus. While the NHS Long Term Plan had already set a vision for mainstreaming use of digital in health care, COVID-19 triggered an immediate rise in the use of online health information and services. In March 2020 alone, online consultations doubled from around 900,00 to over 1.8 million (Bibby &amp; Leavey 2020). In September 2020, NHS England asked NHS leaders to review service use and develop digitally-enabled care pathways to increase inclusion, ensure all patients receive the same level of access and care regardless of their digital preferences, and “ensure it does not affect health inequalities for others, due to barriers such as access, connectivity, confidence or skills” (NHS England 2020). Lessons learned from the Widening Digital Participation programme could not be more timely. The Widening Digital Participation programme aimed to ensure more people have the digital skills, motivation and means to access health information and services online. Phase 1 (2013-16) focused on improving digital health literacy in communities. Phase 2 (2017-20) used co-design to find points in health and care systems which could be improved with digital and community interventions. Phase 2 supported 23 pathfinders, each with a different focus reflecting local needs and partners, from homelessness to self-care of long-term conditions. Partners included Clinical Commissioning Groups, GPs, hospitals, local authorities, care homes, and voluntary and community sector providers. Another 5 pathfinders and 22 mini pathfinders evolved a model of community-led local ‘digital health hubs’, which emerged as a promising way to improve digital health literacy and inclusion. Phase 2 Pathfinders supported 21,178 people. During the programme, a further 166,162 people were made aware of digital health resources through the Good Things Foundation network of community partners; and 53,173 people improved their digital health literacy through Good Things Foundation’s free online learning. When asked, 83% of people using Learn My Way said they felt more confident about using online tools to manage t…","author":[{"dropping-particle":"","family":"Stone","given":"Emma","non-dropping-particle":"","parse-names":false,"suffix":""},{"dropping-particle":"","family":"Nuckley","given":"Peter","non-dropping-particle":"","parse-names":false,"suffix":""},{"dropping-particle":"","family":"Shapiro","given":"Robert","non-dropping-particle":"","parse-names":false,"suffix":""}],"id":"ITEM-1","issued":{"date-parts":[["2020"]]},"publisher-place":"London, UK","title":"Digital Inclusion in Health and Care: Lessons learned from the NHS Widening Digital Participation Programme (2017-2020)","type":"report"},"uris":["http://www.mendeley.com/documents/?uuid=96f4cc25-4d22-48ff-8019-7d5954b95d41"]}],"mendeley":{"formattedCitation":"(65)","manualFormatting":"(38)","plainTextFormattedCitation":"(65)","previouslyFormattedCitation":"(65)"},"properties":{"noteIndex":0},"schema":"https://github.com/citation-style-language/schema/raw/master/csl-citation.json"}</w:instrText>
      </w:r>
      <w:r w:rsidR="007E35AB" w:rsidRPr="00842F43">
        <w:rPr>
          <w:rFonts w:ascii="Fira Sans" w:hAnsi="Fira Sans"/>
          <w:noProof/>
          <w:sz w:val="20"/>
          <w:szCs w:val="20"/>
          <w:vertAlign w:val="superscript"/>
        </w:rPr>
        <w:fldChar w:fldCharType="separate"/>
      </w:r>
      <w:r w:rsidR="008005BD" w:rsidRPr="00842F43">
        <w:rPr>
          <w:rFonts w:ascii="Fira Sans" w:hAnsi="Fira Sans"/>
          <w:noProof/>
          <w:sz w:val="20"/>
          <w:szCs w:val="20"/>
          <w:vertAlign w:val="superscript"/>
        </w:rPr>
        <w:t>(</w:t>
      </w:r>
      <w:r w:rsidR="00142197" w:rsidRPr="00842F43">
        <w:rPr>
          <w:rFonts w:ascii="Fira Sans" w:hAnsi="Fira Sans"/>
          <w:noProof/>
          <w:sz w:val="20"/>
          <w:szCs w:val="20"/>
          <w:vertAlign w:val="superscript"/>
        </w:rPr>
        <w:t>65</w:t>
      </w:r>
      <w:r w:rsidR="008005BD" w:rsidRPr="00842F43">
        <w:rPr>
          <w:rFonts w:ascii="Fira Sans" w:hAnsi="Fira Sans"/>
          <w:noProof/>
          <w:sz w:val="20"/>
          <w:szCs w:val="20"/>
          <w:vertAlign w:val="superscript"/>
        </w:rPr>
        <w:t>)</w:t>
      </w:r>
      <w:r w:rsidR="007E35AB" w:rsidRPr="00842F43">
        <w:rPr>
          <w:rFonts w:ascii="Fira Sans" w:hAnsi="Fira Sans"/>
          <w:noProof/>
          <w:sz w:val="20"/>
          <w:szCs w:val="20"/>
          <w:vertAlign w:val="superscript"/>
        </w:rPr>
        <w:fldChar w:fldCharType="end"/>
      </w:r>
      <w:r w:rsidR="00662487" w:rsidRPr="00842F43">
        <w:rPr>
          <w:rFonts w:ascii="Fira Sans" w:hAnsi="Fira Sans"/>
          <w:noProof/>
          <w:sz w:val="20"/>
          <w:szCs w:val="20"/>
        </w:rPr>
        <w:t xml:space="preserve"> </w:t>
      </w:r>
      <w:r w:rsidR="00B02D10" w:rsidRPr="00842F43">
        <w:rPr>
          <w:rFonts w:ascii="Fira Sans" w:hAnsi="Fira Sans"/>
          <w:noProof/>
          <w:sz w:val="20"/>
          <w:szCs w:val="20"/>
        </w:rPr>
        <w:t>Recently t</w:t>
      </w:r>
      <w:r w:rsidR="004B6E6C" w:rsidRPr="00842F43">
        <w:rPr>
          <w:rFonts w:ascii="Fira Sans" w:hAnsi="Fira Sans"/>
          <w:noProof/>
          <w:sz w:val="20"/>
          <w:szCs w:val="20"/>
        </w:rPr>
        <w:t xml:space="preserve">he UK National Institute for Health and Care Research (NIHR) has published </w:t>
      </w:r>
      <w:r w:rsidR="0009420A" w:rsidRPr="00842F43">
        <w:rPr>
          <w:rFonts w:ascii="Fira Sans" w:hAnsi="Fira Sans"/>
          <w:noProof/>
          <w:sz w:val="20"/>
          <w:szCs w:val="20"/>
        </w:rPr>
        <w:t>guidance</w:t>
      </w:r>
      <w:r w:rsidR="004B6E6C" w:rsidRPr="00842F43">
        <w:rPr>
          <w:rFonts w:ascii="Fira Sans" w:hAnsi="Fira Sans"/>
          <w:noProof/>
          <w:sz w:val="20"/>
          <w:szCs w:val="20"/>
        </w:rPr>
        <w:t xml:space="preserve"> for ensuring inclusivity in research</w:t>
      </w:r>
      <w:r w:rsidR="008005BD" w:rsidRPr="00842F43">
        <w:rPr>
          <w:rFonts w:ascii="Fira Sans" w:hAnsi="Fira Sans"/>
          <w:noProof/>
          <w:sz w:val="20"/>
          <w:szCs w:val="20"/>
        </w:rPr>
        <w:t>,</w:t>
      </w:r>
      <w:r w:rsidR="004B6E6C" w:rsidRPr="00842F43">
        <w:rPr>
          <w:rFonts w:ascii="Fira Sans" w:hAnsi="Fira Sans"/>
          <w:noProof/>
          <w:sz w:val="20"/>
          <w:szCs w:val="20"/>
          <w:vertAlign w:val="superscript"/>
        </w:rPr>
        <w:fldChar w:fldCharType="begin" w:fldLock="1"/>
      </w:r>
      <w:r w:rsidR="00F94450" w:rsidRPr="00842F43">
        <w:rPr>
          <w:rFonts w:ascii="Fira Sans" w:hAnsi="Fira Sans"/>
          <w:noProof/>
          <w:sz w:val="20"/>
          <w:szCs w:val="20"/>
          <w:vertAlign w:val="superscript"/>
        </w:rPr>
        <w:instrText>ADDIN CSL_CITATION {"citationItems":[{"id":"ITEM-1","itemData":{"DOI":"10.1186/s13063-020-04613-7","ISSN":"1745-6215","author":[{"dropping-particle":"","family":"Witham","given":"Miles D.","non-dropping-particle":"","parse-names":false,"suffix":""},{"dropping-particle":"","family":"Anderson","given":"Eleanor","non-dropping-particle":"","parse-names":false,"suffix":""},{"dropping-particle":"","family":"Carroll","given":"Camille","non-dropping-particle":"","parse-names":false,"suffix":""},{"dropping-particle":"","family":"Dark","given":"Paul M.","non-dropping-particle":"","parse-names":false,"suffix":""},{"dropping-particle":"","family":"Down","given":"Kim","non-dropping-particle":"","parse-names":false,"suffix":""},{"dropping-particle":"","family":"Hall","given":"Alistair S.","non-dropping-particle":"","parse-names":false,"suffix":""},{"dropping-particle":"","family":"Knee","given":"Joanna","non-dropping-particle":"","parse-names":false,"suffix":""},{"dropping-particle":"","family":"Maier","given":"Rebecca H.","non-dropping-particle":"","parse-names":false,"suffix":""},{"dropping-particle":"","family":"Mountain","given":"Gail A.","non-dropping-particle":"","parse-names":false,"suffix":""},{"dropping-particle":"","family":"Nestor","given":"Gary","non-dropping-particle":"","parse-names":false,"suffix":""},{"dropping-particle":"","family":"Oliva","given":"Laurie","non-dropping-particle":"","parse-names":false,"suffix":""},{"dropping-particle":"","family":"Prowse","given":"Sarah R.","non-dropping-particle":"","parse-names":false,"suffix":""},{"dropping-particle":"","family":"Tortice","given":"Amanda","non-dropping-particle":"","parse-names":false,"suffix":""},{"dropping-particle":"","family":"Wason","given":"James","non-dropping-particle":"","parse-names":false,"suffix":""},{"dropping-particle":"","family":"Rochester","given":"Lynn","non-dropping-particle":"","parse-names":false,"suffix":""}],"container-title":"Trials","id":"ITEM-1","issue":"1","issued":{"date-parts":[["2020","12","1"]]},"page":"694","title":"Developing a roadmap to improve trial delivery for under-served groups: results from a UK multi-stakeholder process","type":"article-journal","volume":"21"},"uris":["http://www.mendeley.com/documents/?uuid=7cffdabe-87d6-3c2e-894a-65f157b55a18"]}],"mendeley":{"formattedCitation":"(66)","manualFormatting":"(39)","plainTextFormattedCitation":"(66)","previouslyFormattedCitation":"(66)"},"properties":{"noteIndex":0},"schema":"https://github.com/citation-style-language/schema/raw/master/csl-citation.json"}</w:instrText>
      </w:r>
      <w:r w:rsidR="004B6E6C" w:rsidRPr="00842F43">
        <w:rPr>
          <w:rFonts w:ascii="Fira Sans" w:hAnsi="Fira Sans"/>
          <w:noProof/>
          <w:sz w:val="20"/>
          <w:szCs w:val="20"/>
          <w:vertAlign w:val="superscript"/>
        </w:rPr>
        <w:fldChar w:fldCharType="separate"/>
      </w:r>
      <w:r w:rsidR="005D6B1D" w:rsidRPr="00842F43">
        <w:rPr>
          <w:rFonts w:ascii="Fira Sans" w:hAnsi="Fira Sans"/>
          <w:noProof/>
          <w:sz w:val="20"/>
          <w:szCs w:val="20"/>
          <w:vertAlign w:val="superscript"/>
        </w:rPr>
        <w:t>(</w:t>
      </w:r>
      <w:r w:rsidR="00142197" w:rsidRPr="00842F43">
        <w:rPr>
          <w:rFonts w:ascii="Fira Sans" w:hAnsi="Fira Sans"/>
          <w:noProof/>
          <w:sz w:val="20"/>
          <w:szCs w:val="20"/>
          <w:vertAlign w:val="superscript"/>
        </w:rPr>
        <w:t>66</w:t>
      </w:r>
      <w:r w:rsidR="005D6B1D" w:rsidRPr="00842F43">
        <w:rPr>
          <w:rFonts w:ascii="Fira Sans" w:hAnsi="Fira Sans"/>
          <w:noProof/>
          <w:sz w:val="20"/>
          <w:szCs w:val="20"/>
          <w:vertAlign w:val="superscript"/>
        </w:rPr>
        <w:t>)</w:t>
      </w:r>
      <w:r w:rsidR="004B6E6C" w:rsidRPr="00842F43">
        <w:rPr>
          <w:rFonts w:ascii="Fira Sans" w:hAnsi="Fira Sans"/>
          <w:noProof/>
          <w:sz w:val="20"/>
          <w:szCs w:val="20"/>
          <w:vertAlign w:val="superscript"/>
        </w:rPr>
        <w:fldChar w:fldCharType="end"/>
      </w:r>
      <w:r w:rsidR="008005BD" w:rsidRPr="00842F43">
        <w:rPr>
          <w:rFonts w:ascii="Fira Sans" w:hAnsi="Fira Sans"/>
          <w:noProof/>
          <w:sz w:val="20"/>
          <w:szCs w:val="20"/>
        </w:rPr>
        <w:t xml:space="preserve"> </w:t>
      </w:r>
      <w:r w:rsidR="004B6E6C" w:rsidRPr="00842F43">
        <w:rPr>
          <w:rFonts w:ascii="Fira Sans" w:hAnsi="Fira Sans"/>
          <w:noProof/>
          <w:sz w:val="20"/>
          <w:szCs w:val="20"/>
        </w:rPr>
        <w:t xml:space="preserve">which </w:t>
      </w:r>
      <w:r w:rsidR="000E4166" w:rsidRPr="00842F43">
        <w:rPr>
          <w:rFonts w:ascii="Fira Sans" w:hAnsi="Fira Sans"/>
          <w:noProof/>
          <w:sz w:val="20"/>
          <w:szCs w:val="20"/>
        </w:rPr>
        <w:t>will inform the approach to recruitment in future studies</w:t>
      </w:r>
      <w:r w:rsidR="0009420A" w:rsidRPr="00842F43">
        <w:rPr>
          <w:rFonts w:ascii="Fira Sans" w:hAnsi="Fira Sans"/>
          <w:noProof/>
          <w:sz w:val="20"/>
          <w:szCs w:val="20"/>
        </w:rPr>
        <w:t>.</w:t>
      </w:r>
      <w:r w:rsidR="004B6E6C" w:rsidRPr="00842F43">
        <w:rPr>
          <w:rFonts w:ascii="Fira Sans" w:hAnsi="Fira Sans"/>
          <w:noProof/>
          <w:sz w:val="20"/>
          <w:szCs w:val="20"/>
        </w:rPr>
        <w:t xml:space="preserve">  </w:t>
      </w:r>
    </w:p>
    <w:p w14:paraId="68D46343" w14:textId="339F4084" w:rsidR="009F73EB" w:rsidRPr="00842F43" w:rsidRDefault="00241803" w:rsidP="00842F43">
      <w:pPr>
        <w:spacing w:line="360" w:lineRule="auto"/>
        <w:rPr>
          <w:rFonts w:ascii="Fira Sans" w:hAnsi="Fira Sans"/>
          <w:noProof/>
          <w:sz w:val="20"/>
          <w:szCs w:val="20"/>
        </w:rPr>
      </w:pPr>
      <w:r w:rsidRPr="00842F43">
        <w:rPr>
          <w:rFonts w:ascii="Fira Sans" w:hAnsi="Fira Sans"/>
          <w:noProof/>
          <w:sz w:val="20"/>
          <w:szCs w:val="20"/>
        </w:rPr>
        <w:t>A key uncertainty of our trial was whether</w:t>
      </w:r>
      <w:r w:rsidR="0076119D" w:rsidRPr="00842F43">
        <w:rPr>
          <w:rFonts w:ascii="Fira Sans" w:hAnsi="Fira Sans"/>
          <w:noProof/>
          <w:sz w:val="20"/>
          <w:szCs w:val="20"/>
        </w:rPr>
        <w:t xml:space="preserve"> E</w:t>
      </w:r>
      <w:r w:rsidR="00D60251" w:rsidRPr="00842F43">
        <w:rPr>
          <w:rFonts w:ascii="Fira Sans" w:hAnsi="Fira Sans"/>
          <w:noProof/>
          <w:sz w:val="20"/>
          <w:szCs w:val="20"/>
        </w:rPr>
        <w:t>MDR</w:t>
      </w:r>
      <w:r w:rsidR="00E8314C" w:rsidRPr="00842F43">
        <w:rPr>
          <w:rFonts w:ascii="Fira Sans" w:hAnsi="Fira Sans"/>
          <w:noProof/>
          <w:sz w:val="20"/>
          <w:szCs w:val="20"/>
        </w:rPr>
        <w:t xml:space="preserve"> R-TEP</w:t>
      </w:r>
      <w:r w:rsidR="00452EDE" w:rsidRPr="00842F43">
        <w:rPr>
          <w:rFonts w:ascii="Fira Sans" w:hAnsi="Fira Sans"/>
          <w:noProof/>
          <w:sz w:val="20"/>
          <w:szCs w:val="20"/>
        </w:rPr>
        <w:t>,</w:t>
      </w:r>
      <w:r w:rsidR="0076119D" w:rsidRPr="00842F43">
        <w:rPr>
          <w:rFonts w:ascii="Fira Sans" w:hAnsi="Fira Sans"/>
          <w:noProof/>
          <w:sz w:val="20"/>
          <w:szCs w:val="20"/>
        </w:rPr>
        <w:t xml:space="preserve"> </w:t>
      </w:r>
      <w:r w:rsidRPr="00842F43">
        <w:rPr>
          <w:rFonts w:ascii="Fira Sans" w:hAnsi="Fira Sans"/>
          <w:noProof/>
          <w:sz w:val="20"/>
          <w:szCs w:val="20"/>
        </w:rPr>
        <w:t>delivered</w:t>
      </w:r>
      <w:r w:rsidR="00E8314C" w:rsidRPr="00842F43">
        <w:rPr>
          <w:rFonts w:ascii="Fira Sans" w:hAnsi="Fira Sans"/>
          <w:noProof/>
          <w:sz w:val="20"/>
          <w:szCs w:val="20"/>
        </w:rPr>
        <w:t xml:space="preserve"> early</w:t>
      </w:r>
      <w:r w:rsidR="00521994" w:rsidRPr="00842F43">
        <w:rPr>
          <w:rFonts w:ascii="Fira Sans" w:hAnsi="Fira Sans"/>
          <w:noProof/>
          <w:sz w:val="20"/>
          <w:szCs w:val="20"/>
        </w:rPr>
        <w:t xml:space="preserve"> (within 3-months of hospital discharge)</w:t>
      </w:r>
      <w:r w:rsidR="00E8314C" w:rsidRPr="00842F43">
        <w:rPr>
          <w:rFonts w:ascii="Fira Sans" w:hAnsi="Fira Sans"/>
          <w:noProof/>
          <w:sz w:val="20"/>
          <w:szCs w:val="20"/>
        </w:rPr>
        <w:t xml:space="preserve">, </w:t>
      </w:r>
      <w:r w:rsidRPr="00842F43">
        <w:rPr>
          <w:rFonts w:ascii="Fira Sans" w:hAnsi="Fira Sans"/>
          <w:noProof/>
          <w:sz w:val="20"/>
          <w:szCs w:val="20"/>
        </w:rPr>
        <w:t xml:space="preserve">could work as a </w:t>
      </w:r>
      <w:r w:rsidR="00E8314C" w:rsidRPr="00842F43">
        <w:rPr>
          <w:rFonts w:ascii="Fira Sans" w:hAnsi="Fira Sans"/>
          <w:noProof/>
          <w:sz w:val="20"/>
          <w:szCs w:val="20"/>
        </w:rPr>
        <w:t>protective intervention against</w:t>
      </w:r>
      <w:r w:rsidR="0076119D" w:rsidRPr="00842F43">
        <w:rPr>
          <w:rFonts w:ascii="Fira Sans" w:hAnsi="Fira Sans"/>
          <w:noProof/>
          <w:sz w:val="20"/>
          <w:szCs w:val="20"/>
        </w:rPr>
        <w:t xml:space="preserve"> development of </w:t>
      </w:r>
      <w:r w:rsidR="000E4166" w:rsidRPr="00842F43">
        <w:rPr>
          <w:rFonts w:ascii="Fira Sans" w:hAnsi="Fira Sans"/>
          <w:noProof/>
          <w:sz w:val="20"/>
          <w:szCs w:val="20"/>
        </w:rPr>
        <w:t xml:space="preserve">persistent </w:t>
      </w:r>
      <w:r w:rsidR="0076119D" w:rsidRPr="00842F43">
        <w:rPr>
          <w:rFonts w:ascii="Fira Sans" w:hAnsi="Fira Sans"/>
          <w:noProof/>
          <w:sz w:val="20"/>
          <w:szCs w:val="20"/>
        </w:rPr>
        <w:t>post-tra</w:t>
      </w:r>
      <w:r w:rsidR="0013553F" w:rsidRPr="00842F43">
        <w:rPr>
          <w:rFonts w:ascii="Fira Sans" w:hAnsi="Fira Sans"/>
          <w:noProof/>
          <w:sz w:val="20"/>
          <w:szCs w:val="20"/>
        </w:rPr>
        <w:t>u</w:t>
      </w:r>
      <w:r w:rsidR="0076119D" w:rsidRPr="00842F43">
        <w:rPr>
          <w:rFonts w:ascii="Fira Sans" w:hAnsi="Fira Sans"/>
          <w:noProof/>
          <w:sz w:val="20"/>
          <w:szCs w:val="20"/>
        </w:rPr>
        <w:t>matic stress symptoms</w:t>
      </w:r>
      <w:r w:rsidR="00521994" w:rsidRPr="00842F43">
        <w:rPr>
          <w:rFonts w:ascii="Fira Sans" w:hAnsi="Fira Sans"/>
          <w:noProof/>
          <w:sz w:val="20"/>
          <w:szCs w:val="20"/>
        </w:rPr>
        <w:t>, irrespective of symptomology at the time of recruitment.</w:t>
      </w:r>
      <w:r w:rsidR="00986F7B" w:rsidRPr="00842F43">
        <w:rPr>
          <w:rFonts w:ascii="Fira Sans" w:hAnsi="Fira Sans"/>
          <w:noProof/>
          <w:sz w:val="20"/>
          <w:szCs w:val="20"/>
        </w:rPr>
        <w:t xml:space="preserve"> </w:t>
      </w:r>
      <w:r w:rsidR="00521994" w:rsidRPr="00842F43">
        <w:rPr>
          <w:rFonts w:ascii="Fira Sans" w:hAnsi="Fira Sans"/>
          <w:noProof/>
          <w:sz w:val="20"/>
          <w:szCs w:val="20"/>
        </w:rPr>
        <w:t>Eligibile p</w:t>
      </w:r>
      <w:r w:rsidR="00E8314C" w:rsidRPr="00842F43">
        <w:rPr>
          <w:rFonts w:ascii="Fira Sans" w:hAnsi="Fira Sans"/>
          <w:noProof/>
          <w:sz w:val="20"/>
          <w:szCs w:val="20"/>
        </w:rPr>
        <w:t xml:space="preserve">atients </w:t>
      </w:r>
      <w:r w:rsidR="00521994" w:rsidRPr="00842F43">
        <w:rPr>
          <w:rFonts w:ascii="Fira Sans" w:hAnsi="Fira Sans"/>
          <w:noProof/>
          <w:sz w:val="20"/>
          <w:szCs w:val="20"/>
        </w:rPr>
        <w:t>most freque</w:t>
      </w:r>
      <w:r w:rsidRPr="00842F43">
        <w:rPr>
          <w:rFonts w:ascii="Fira Sans" w:hAnsi="Fira Sans"/>
          <w:noProof/>
          <w:sz w:val="20"/>
          <w:szCs w:val="20"/>
        </w:rPr>
        <w:t>n</w:t>
      </w:r>
      <w:r w:rsidR="00521994" w:rsidRPr="00842F43">
        <w:rPr>
          <w:rFonts w:ascii="Fira Sans" w:hAnsi="Fira Sans"/>
          <w:noProof/>
          <w:sz w:val="20"/>
          <w:szCs w:val="20"/>
        </w:rPr>
        <w:t xml:space="preserve">tly </w:t>
      </w:r>
      <w:r w:rsidR="00E8314C" w:rsidRPr="00842F43">
        <w:rPr>
          <w:rFonts w:ascii="Fira Sans" w:hAnsi="Fira Sans"/>
          <w:noProof/>
          <w:sz w:val="20"/>
          <w:szCs w:val="20"/>
        </w:rPr>
        <w:t>cited lack of psychological distress as the main reason for trial decline. Mo</w:t>
      </w:r>
      <w:r w:rsidR="00521994" w:rsidRPr="00842F43">
        <w:rPr>
          <w:rFonts w:ascii="Fira Sans" w:hAnsi="Fira Sans"/>
          <w:noProof/>
          <w:sz w:val="20"/>
          <w:szCs w:val="20"/>
        </w:rPr>
        <w:t>re</w:t>
      </w:r>
      <w:r w:rsidR="00E8314C" w:rsidRPr="00842F43">
        <w:rPr>
          <w:rFonts w:ascii="Fira Sans" w:hAnsi="Fira Sans"/>
          <w:noProof/>
          <w:sz w:val="20"/>
          <w:szCs w:val="20"/>
        </w:rPr>
        <w:t xml:space="preserve">over, </w:t>
      </w:r>
      <w:r w:rsidR="00521994" w:rsidRPr="00842F43">
        <w:rPr>
          <w:rFonts w:ascii="Fira Sans" w:hAnsi="Fira Sans"/>
          <w:noProof/>
          <w:sz w:val="20"/>
          <w:szCs w:val="20"/>
        </w:rPr>
        <w:t xml:space="preserve">of the 12 particpants who received the intervention, </w:t>
      </w:r>
      <w:r w:rsidR="00E8314C" w:rsidRPr="00842F43">
        <w:rPr>
          <w:rFonts w:ascii="Fira Sans" w:hAnsi="Fira Sans"/>
          <w:noProof/>
          <w:sz w:val="20"/>
          <w:szCs w:val="20"/>
        </w:rPr>
        <w:t>f</w:t>
      </w:r>
      <w:r w:rsidR="00A9470D" w:rsidRPr="00842F43">
        <w:rPr>
          <w:rFonts w:ascii="Fira Sans" w:hAnsi="Fira Sans"/>
          <w:noProof/>
          <w:sz w:val="20"/>
          <w:szCs w:val="20"/>
        </w:rPr>
        <w:t>ive patients only had one session, due to no psych</w:t>
      </w:r>
      <w:r w:rsidR="00521994" w:rsidRPr="00842F43">
        <w:rPr>
          <w:rFonts w:ascii="Fira Sans" w:hAnsi="Fira Sans"/>
          <w:noProof/>
          <w:sz w:val="20"/>
          <w:szCs w:val="20"/>
        </w:rPr>
        <w:t>ological</w:t>
      </w:r>
      <w:r w:rsidR="00A9470D" w:rsidRPr="00842F43">
        <w:rPr>
          <w:rFonts w:ascii="Fira Sans" w:hAnsi="Fira Sans"/>
          <w:noProof/>
          <w:sz w:val="20"/>
          <w:szCs w:val="20"/>
        </w:rPr>
        <w:t xml:space="preserve"> distress. </w:t>
      </w:r>
      <w:r w:rsidRPr="00842F43">
        <w:rPr>
          <w:rFonts w:ascii="Fira Sans" w:hAnsi="Fira Sans"/>
          <w:noProof/>
          <w:sz w:val="20"/>
          <w:szCs w:val="20"/>
        </w:rPr>
        <w:t>Our cohort was too small to undertake meaningful sub-group analysis, comparing symptom resolution between those above and below clincial cut-offs. We believe our findings assert that f</w:t>
      </w:r>
      <w:r w:rsidR="00EB5B75" w:rsidRPr="00842F43">
        <w:rPr>
          <w:rFonts w:ascii="Fira Sans" w:hAnsi="Fira Sans"/>
          <w:noProof/>
          <w:sz w:val="20"/>
          <w:szCs w:val="20"/>
        </w:rPr>
        <w:t xml:space="preserve">uture studies should focus on screening for PTSD symptoms before offering EMDR, consistent with </w:t>
      </w:r>
      <w:r w:rsidR="003B4333" w:rsidRPr="00842F43">
        <w:rPr>
          <w:rFonts w:ascii="Fira Sans" w:hAnsi="Fira Sans"/>
          <w:noProof/>
          <w:sz w:val="20"/>
          <w:szCs w:val="20"/>
        </w:rPr>
        <w:t xml:space="preserve">international treatment </w:t>
      </w:r>
      <w:r w:rsidR="00EB5B75" w:rsidRPr="00842F43">
        <w:rPr>
          <w:rFonts w:ascii="Fira Sans" w:hAnsi="Fira Sans"/>
          <w:noProof/>
          <w:sz w:val="20"/>
          <w:szCs w:val="20"/>
        </w:rPr>
        <w:t>guidance</w:t>
      </w:r>
      <w:r w:rsidR="003B4333" w:rsidRPr="00842F43">
        <w:rPr>
          <w:rFonts w:ascii="Fira Sans" w:hAnsi="Fira Sans"/>
          <w:noProof/>
          <w:sz w:val="20"/>
          <w:szCs w:val="20"/>
        </w:rPr>
        <w:t>.</w:t>
      </w:r>
      <w:r w:rsidR="0076119D" w:rsidRPr="00842F43">
        <w:rPr>
          <w:rFonts w:ascii="Fira Sans" w:hAnsi="Fira Sans"/>
          <w:noProof/>
          <w:sz w:val="20"/>
          <w:szCs w:val="20"/>
          <w:vertAlign w:val="superscript"/>
        </w:rPr>
        <w:fldChar w:fldCharType="begin" w:fldLock="1"/>
      </w:r>
      <w:r w:rsidR="001F0C3E" w:rsidRPr="00842F43">
        <w:rPr>
          <w:rFonts w:ascii="Fira Sans" w:hAnsi="Fira Sans"/>
          <w:noProof/>
          <w:sz w:val="20"/>
          <w:szCs w:val="20"/>
          <w:vertAlign w:val="superscript"/>
        </w:rPr>
        <w:instrText>ADDIN CSL_CITATION {"citationItems":[{"id":"ITEM-1","itemData":{"ISBN":"9781462543564","abstract":"Third edition. \"Clinical practice guidelines, which synthesize research evidence to generate specific treatment recommendations for a particular disorder, have been of crucial importance over the last decade in promoting a shift toward evidence-based care. PTSD clinical practice guidelines, on which this book is based, are designed primarily to help clinicians achieve improved mental health outcomes for people affected by trauma and to assist those people and their families, as well as policymakers and service delivery organizations, to develop a more sophisticated understanding of the range of available treatments and the evidence for their efficacy. This book bridges the gap between evidence-based guidelines and routine practice in the real world. The treatment chapters are preceded by contextual chapters that outline recent developments in our understanding of the nature, epidemiology, and assessment of mental health responses to trauma exposure in adults, adolescents, and children, as well as the latest evidence on prevention. The book goes on to foreshadow future developments, tailoring treatment to the unique needs of the individual clinical presentation, dissemination challenges, and economic implications\"--","author":[{"dropping-particle":"","family":"Forbes","given":"David (Clinical psychologist)","non-dropping-particle":"","parse-names":false,"suffix":""},{"dropping-particle":"","family":"Bisson","given":"Jonathan I.","non-dropping-particle":"","parse-names":false,"suffix":""},{"dropping-particle":"","family":"Monson","given":"Candice M.","non-dropping-particle":"","parse-names":false,"suffix":""},{"dropping-particle":"","family":"Berliner","given":"Lucy","non-dropping-particle":"","parse-names":false,"suffix":""}],"id":"ITEM-1","issued":{"date-parts":[["0"]]},"number-of-pages":"558","title":"Effective treatments for PTSD : practice guidelines from the international society for traumatic stress studies","type":"book"},"uris":["http://www.mendeley.com/documents/?uuid=aaae50d0-96a9-310e-8e0d-d23ede6c5b5a"]}],"mendeley":{"formattedCitation":"(67)","manualFormatting":"(24,25,67)","plainTextFormattedCitation":"(67)","previouslyFormattedCitation":"(67)"},"properties":{"noteIndex":0},"schema":"https://github.com/citation-style-language/schema/raw/master/csl-citation.json"}</w:instrText>
      </w:r>
      <w:r w:rsidR="0076119D" w:rsidRPr="00842F43">
        <w:rPr>
          <w:rFonts w:ascii="Fira Sans" w:hAnsi="Fira Sans"/>
          <w:noProof/>
          <w:sz w:val="20"/>
          <w:szCs w:val="20"/>
          <w:vertAlign w:val="superscript"/>
        </w:rPr>
        <w:fldChar w:fldCharType="separate"/>
      </w:r>
      <w:r w:rsidR="008005BD" w:rsidRPr="00842F43">
        <w:rPr>
          <w:rFonts w:ascii="Fira Sans" w:hAnsi="Fira Sans"/>
          <w:noProof/>
          <w:sz w:val="20"/>
          <w:szCs w:val="20"/>
          <w:vertAlign w:val="superscript"/>
        </w:rPr>
        <w:t>(</w:t>
      </w:r>
      <w:r w:rsidR="001F0C3E" w:rsidRPr="00842F43">
        <w:rPr>
          <w:rFonts w:ascii="Fira Sans" w:hAnsi="Fira Sans"/>
          <w:noProof/>
          <w:sz w:val="20"/>
          <w:szCs w:val="20"/>
          <w:vertAlign w:val="superscript"/>
        </w:rPr>
        <w:t>24,25,67</w:t>
      </w:r>
      <w:r w:rsidR="008005BD" w:rsidRPr="00842F43">
        <w:rPr>
          <w:rFonts w:ascii="Fira Sans" w:hAnsi="Fira Sans"/>
          <w:noProof/>
          <w:sz w:val="20"/>
          <w:szCs w:val="20"/>
          <w:vertAlign w:val="superscript"/>
        </w:rPr>
        <w:t>)</w:t>
      </w:r>
      <w:r w:rsidR="0076119D" w:rsidRPr="00842F43">
        <w:rPr>
          <w:rFonts w:ascii="Fira Sans" w:hAnsi="Fira Sans"/>
          <w:noProof/>
          <w:sz w:val="20"/>
          <w:szCs w:val="20"/>
          <w:vertAlign w:val="superscript"/>
        </w:rPr>
        <w:fldChar w:fldCharType="end"/>
      </w:r>
      <w:r w:rsidR="0076119D" w:rsidRPr="00842F43">
        <w:rPr>
          <w:rFonts w:ascii="Fira Sans" w:hAnsi="Fira Sans"/>
          <w:noProof/>
          <w:sz w:val="20"/>
          <w:szCs w:val="20"/>
        </w:rPr>
        <w:t xml:space="preserve"> </w:t>
      </w:r>
    </w:p>
    <w:p w14:paraId="250F1BB4" w14:textId="24951FEC" w:rsidR="00C75FE0" w:rsidRPr="00842F43" w:rsidRDefault="00521994" w:rsidP="00842F43">
      <w:pPr>
        <w:spacing w:line="360" w:lineRule="auto"/>
        <w:rPr>
          <w:rFonts w:ascii="Fira Sans" w:hAnsi="Fira Sans"/>
          <w:noProof/>
          <w:sz w:val="20"/>
          <w:szCs w:val="20"/>
        </w:rPr>
      </w:pPr>
      <w:r w:rsidRPr="00842F43">
        <w:rPr>
          <w:rFonts w:ascii="Fira Sans" w:hAnsi="Fira Sans"/>
          <w:noProof/>
          <w:sz w:val="20"/>
          <w:szCs w:val="20"/>
        </w:rPr>
        <w:t>S</w:t>
      </w:r>
      <w:r w:rsidR="00A35192" w:rsidRPr="00842F43">
        <w:rPr>
          <w:rFonts w:ascii="Fira Sans" w:hAnsi="Fira Sans"/>
          <w:noProof/>
          <w:sz w:val="20"/>
          <w:szCs w:val="20"/>
        </w:rPr>
        <w:t>creening for psychological symp</w:t>
      </w:r>
      <w:r w:rsidR="00986F7B" w:rsidRPr="00842F43">
        <w:rPr>
          <w:rFonts w:ascii="Fira Sans" w:hAnsi="Fira Sans"/>
          <w:noProof/>
          <w:sz w:val="20"/>
          <w:szCs w:val="20"/>
        </w:rPr>
        <w:t>t</w:t>
      </w:r>
      <w:r w:rsidR="00A35192" w:rsidRPr="00842F43">
        <w:rPr>
          <w:rFonts w:ascii="Fira Sans" w:hAnsi="Fira Sans"/>
          <w:noProof/>
          <w:sz w:val="20"/>
          <w:szCs w:val="20"/>
        </w:rPr>
        <w:t>oms at 3</w:t>
      </w:r>
      <w:r w:rsidRPr="00842F43">
        <w:rPr>
          <w:rFonts w:ascii="Fira Sans" w:hAnsi="Fira Sans"/>
          <w:noProof/>
          <w:sz w:val="20"/>
          <w:szCs w:val="20"/>
        </w:rPr>
        <w:t>-</w:t>
      </w:r>
      <w:r w:rsidR="00A35192" w:rsidRPr="00842F43">
        <w:rPr>
          <w:rFonts w:ascii="Fira Sans" w:hAnsi="Fira Sans"/>
          <w:noProof/>
          <w:sz w:val="20"/>
          <w:szCs w:val="20"/>
        </w:rPr>
        <w:t>months</w:t>
      </w:r>
      <w:r w:rsidR="00595417" w:rsidRPr="00842F43">
        <w:rPr>
          <w:rFonts w:ascii="Fira Sans" w:hAnsi="Fira Sans"/>
          <w:noProof/>
          <w:sz w:val="20"/>
          <w:szCs w:val="20"/>
        </w:rPr>
        <w:t xml:space="preserve"> is</w:t>
      </w:r>
      <w:r w:rsidRPr="00842F43">
        <w:rPr>
          <w:rFonts w:ascii="Fira Sans" w:hAnsi="Fira Sans"/>
          <w:noProof/>
          <w:sz w:val="20"/>
          <w:szCs w:val="20"/>
        </w:rPr>
        <w:t xml:space="preserve"> </w:t>
      </w:r>
      <w:r w:rsidR="002D3D5F" w:rsidRPr="00842F43">
        <w:rPr>
          <w:rFonts w:ascii="Fira Sans" w:hAnsi="Fira Sans"/>
          <w:noProof/>
          <w:sz w:val="20"/>
          <w:szCs w:val="20"/>
        </w:rPr>
        <w:t xml:space="preserve">further </w:t>
      </w:r>
      <w:r w:rsidR="00595417" w:rsidRPr="00842F43">
        <w:rPr>
          <w:rFonts w:ascii="Fira Sans" w:hAnsi="Fira Sans"/>
          <w:noProof/>
          <w:sz w:val="20"/>
          <w:szCs w:val="20"/>
        </w:rPr>
        <w:t>supported by our exper</w:t>
      </w:r>
      <w:r w:rsidR="00541EF0" w:rsidRPr="00842F43">
        <w:rPr>
          <w:rFonts w:ascii="Fira Sans" w:hAnsi="Fira Sans"/>
          <w:noProof/>
          <w:sz w:val="20"/>
          <w:szCs w:val="20"/>
        </w:rPr>
        <w:t>ie</w:t>
      </w:r>
      <w:r w:rsidR="00595417" w:rsidRPr="00842F43">
        <w:rPr>
          <w:rFonts w:ascii="Fira Sans" w:hAnsi="Fira Sans"/>
          <w:noProof/>
          <w:sz w:val="20"/>
          <w:szCs w:val="20"/>
        </w:rPr>
        <w:t>nce of EMDR</w:t>
      </w:r>
      <w:r w:rsidR="006B7A39" w:rsidRPr="00842F43">
        <w:rPr>
          <w:rFonts w:ascii="Fira Sans" w:hAnsi="Fira Sans"/>
          <w:noProof/>
          <w:sz w:val="20"/>
          <w:szCs w:val="20"/>
        </w:rPr>
        <w:t xml:space="preserve"> </w:t>
      </w:r>
      <w:r w:rsidR="00595417" w:rsidRPr="00842F43">
        <w:rPr>
          <w:rFonts w:ascii="Fira Sans" w:hAnsi="Fira Sans"/>
          <w:noProof/>
          <w:sz w:val="20"/>
          <w:szCs w:val="20"/>
        </w:rPr>
        <w:t>session adherence</w:t>
      </w:r>
      <w:r w:rsidR="00986F7B" w:rsidRPr="00842F43">
        <w:rPr>
          <w:rFonts w:ascii="Fira Sans" w:hAnsi="Fira Sans"/>
          <w:noProof/>
          <w:sz w:val="20"/>
          <w:szCs w:val="20"/>
        </w:rPr>
        <w:t>:</w:t>
      </w:r>
      <w:r w:rsidR="00595417" w:rsidRPr="00842F43">
        <w:rPr>
          <w:rFonts w:ascii="Fira Sans" w:hAnsi="Fira Sans"/>
          <w:noProof/>
          <w:sz w:val="20"/>
          <w:szCs w:val="20"/>
        </w:rPr>
        <w:t xml:space="preserve"> </w:t>
      </w:r>
      <w:r w:rsidR="00986F7B" w:rsidRPr="00842F43">
        <w:rPr>
          <w:rFonts w:ascii="Fira Sans" w:hAnsi="Fira Sans"/>
          <w:noProof/>
          <w:sz w:val="20"/>
          <w:szCs w:val="20"/>
        </w:rPr>
        <w:t xml:space="preserve">although </w:t>
      </w:r>
      <w:r w:rsidR="00A35192" w:rsidRPr="00842F43">
        <w:rPr>
          <w:rFonts w:ascii="Fira Sans" w:hAnsi="Fira Sans"/>
          <w:noProof/>
          <w:sz w:val="20"/>
          <w:szCs w:val="20"/>
        </w:rPr>
        <w:t>34</w:t>
      </w:r>
      <w:r w:rsidR="00595417" w:rsidRPr="00842F43">
        <w:rPr>
          <w:rFonts w:ascii="Fira Sans" w:hAnsi="Fira Sans"/>
          <w:noProof/>
          <w:sz w:val="20"/>
          <w:szCs w:val="20"/>
        </w:rPr>
        <w:t xml:space="preserve"> of 41</w:t>
      </w:r>
      <w:r w:rsidR="00A35192" w:rsidRPr="00842F43">
        <w:rPr>
          <w:rFonts w:ascii="Fira Sans" w:hAnsi="Fira Sans"/>
          <w:noProof/>
          <w:sz w:val="20"/>
          <w:szCs w:val="20"/>
        </w:rPr>
        <w:t xml:space="preserve"> (83%)</w:t>
      </w:r>
      <w:r w:rsidR="00595417" w:rsidRPr="00842F43">
        <w:rPr>
          <w:rFonts w:ascii="Fira Sans" w:hAnsi="Fira Sans"/>
          <w:noProof/>
          <w:sz w:val="20"/>
          <w:szCs w:val="20"/>
        </w:rPr>
        <w:t xml:space="preserve"> organised sessions were completed</w:t>
      </w:r>
      <w:r w:rsidR="00986F7B" w:rsidRPr="00842F43">
        <w:rPr>
          <w:rFonts w:ascii="Fira Sans" w:hAnsi="Fira Sans"/>
          <w:noProof/>
          <w:sz w:val="20"/>
          <w:szCs w:val="20"/>
        </w:rPr>
        <w:t xml:space="preserve"> </w:t>
      </w:r>
      <w:r w:rsidR="008F5FFB" w:rsidRPr="00842F43">
        <w:rPr>
          <w:rFonts w:ascii="Fira Sans" w:hAnsi="Fira Sans"/>
          <w:noProof/>
          <w:sz w:val="20"/>
          <w:szCs w:val="20"/>
        </w:rPr>
        <w:t xml:space="preserve">suggesting </w:t>
      </w:r>
      <w:r w:rsidR="00986F7B" w:rsidRPr="00842F43">
        <w:rPr>
          <w:rFonts w:ascii="Fira Sans" w:hAnsi="Fira Sans"/>
          <w:noProof/>
          <w:sz w:val="20"/>
          <w:szCs w:val="20"/>
        </w:rPr>
        <w:t xml:space="preserve">that </w:t>
      </w:r>
      <w:r w:rsidR="008F5FFB" w:rsidRPr="00842F43">
        <w:rPr>
          <w:rFonts w:ascii="Fira Sans" w:hAnsi="Fira Sans"/>
          <w:noProof/>
          <w:sz w:val="20"/>
          <w:szCs w:val="20"/>
        </w:rPr>
        <w:t>participants found the intervention accceptable</w:t>
      </w:r>
      <w:r w:rsidR="00986F7B" w:rsidRPr="00842F43">
        <w:rPr>
          <w:rFonts w:ascii="Fira Sans" w:hAnsi="Fira Sans"/>
          <w:noProof/>
          <w:sz w:val="20"/>
          <w:szCs w:val="20"/>
        </w:rPr>
        <w:t>,</w:t>
      </w:r>
      <w:r w:rsidR="007716DD" w:rsidRPr="00842F43">
        <w:rPr>
          <w:rFonts w:ascii="Fira Sans" w:hAnsi="Fira Sans"/>
          <w:noProof/>
          <w:sz w:val="20"/>
          <w:szCs w:val="20"/>
        </w:rPr>
        <w:t xml:space="preserve"> </w:t>
      </w:r>
      <w:r w:rsidR="00986F7B" w:rsidRPr="00842F43">
        <w:rPr>
          <w:rFonts w:ascii="Fira Sans" w:hAnsi="Fira Sans"/>
          <w:noProof/>
          <w:sz w:val="20"/>
          <w:szCs w:val="20"/>
        </w:rPr>
        <w:t>5</w:t>
      </w:r>
      <w:r w:rsidR="007716DD" w:rsidRPr="00842F43">
        <w:rPr>
          <w:rFonts w:ascii="Fira Sans" w:hAnsi="Fira Sans"/>
          <w:noProof/>
          <w:sz w:val="20"/>
          <w:szCs w:val="20"/>
        </w:rPr>
        <w:t xml:space="preserve"> of the</w:t>
      </w:r>
      <w:r w:rsidR="00986F7B" w:rsidRPr="00842F43">
        <w:rPr>
          <w:rFonts w:ascii="Fira Sans" w:hAnsi="Fira Sans"/>
          <w:noProof/>
          <w:sz w:val="20"/>
          <w:szCs w:val="20"/>
        </w:rPr>
        <w:t>se</w:t>
      </w:r>
      <w:r w:rsidR="007716DD" w:rsidRPr="00842F43">
        <w:rPr>
          <w:rFonts w:ascii="Fira Sans" w:hAnsi="Fira Sans"/>
          <w:noProof/>
          <w:sz w:val="20"/>
          <w:szCs w:val="20"/>
        </w:rPr>
        <w:t xml:space="preserve"> </w:t>
      </w:r>
      <w:r w:rsidR="00986F7B" w:rsidRPr="00842F43">
        <w:rPr>
          <w:rFonts w:ascii="Fira Sans" w:hAnsi="Fira Sans"/>
          <w:noProof/>
          <w:sz w:val="20"/>
          <w:szCs w:val="20"/>
        </w:rPr>
        <w:t>7</w:t>
      </w:r>
      <w:r w:rsidR="007716DD" w:rsidRPr="00842F43">
        <w:rPr>
          <w:rFonts w:ascii="Fira Sans" w:hAnsi="Fira Sans"/>
          <w:noProof/>
          <w:sz w:val="20"/>
          <w:szCs w:val="20"/>
        </w:rPr>
        <w:t xml:space="preserve"> missed sessions were due to physical ill</w:t>
      </w:r>
      <w:r w:rsidR="00986F7B" w:rsidRPr="00842F43">
        <w:rPr>
          <w:rFonts w:ascii="Fira Sans" w:hAnsi="Fira Sans"/>
          <w:noProof/>
          <w:sz w:val="20"/>
          <w:szCs w:val="20"/>
        </w:rPr>
        <w:t>ness</w:t>
      </w:r>
      <w:r w:rsidRPr="00842F43">
        <w:rPr>
          <w:rFonts w:ascii="Fira Sans" w:hAnsi="Fira Sans"/>
          <w:noProof/>
          <w:sz w:val="20"/>
          <w:szCs w:val="20"/>
        </w:rPr>
        <w:t xml:space="preserve"> in the early rehabilitation phase</w:t>
      </w:r>
      <w:r w:rsidR="00B0786A" w:rsidRPr="00842F43">
        <w:rPr>
          <w:rFonts w:ascii="Fira Sans" w:hAnsi="Fira Sans"/>
          <w:noProof/>
          <w:sz w:val="20"/>
          <w:szCs w:val="20"/>
        </w:rPr>
        <w:t>.</w:t>
      </w:r>
      <w:r w:rsidR="007716DD" w:rsidRPr="00842F43">
        <w:rPr>
          <w:rFonts w:ascii="Fira Sans" w:hAnsi="Fira Sans"/>
          <w:noProof/>
          <w:sz w:val="20"/>
          <w:szCs w:val="20"/>
        </w:rPr>
        <w:t xml:space="preserve"> </w:t>
      </w:r>
      <w:r w:rsidR="009F73EB" w:rsidRPr="00842F43">
        <w:rPr>
          <w:rFonts w:ascii="Fira Sans" w:hAnsi="Fira Sans"/>
          <w:noProof/>
          <w:sz w:val="20"/>
          <w:szCs w:val="20"/>
        </w:rPr>
        <w:t>To promote RCT scalability and clinical implementation, we propose exploring the alignment of the psychological screening with the 3-month post-hospital discharge follow-up visit, recommended in ICU rehabilitation clincial pathways.</w:t>
      </w:r>
      <w:r w:rsidR="009F73EB" w:rsidRPr="00842F43">
        <w:rPr>
          <w:rFonts w:ascii="Fira Sans" w:hAnsi="Fira Sans"/>
          <w:noProof/>
          <w:sz w:val="20"/>
          <w:szCs w:val="20"/>
          <w:vertAlign w:val="superscript"/>
        </w:rPr>
        <w:fldChar w:fldCharType="begin" w:fldLock="1"/>
      </w:r>
      <w:r w:rsidR="00F94450" w:rsidRPr="00842F43">
        <w:rPr>
          <w:rFonts w:ascii="Fira Sans" w:hAnsi="Fira Sans"/>
          <w:noProof/>
          <w:sz w:val="20"/>
          <w:szCs w:val="20"/>
          <w:vertAlign w:val="superscript"/>
        </w:rPr>
        <w:instrText>ADDIN CSL_CITATION {"citationItems":[{"id":"ITEM-1","itemData":{"author":[{"dropping-particle":"","family":"NICE","given":"","non-dropping-particle":"","parse-names":false,"suffix":""}],"id":"ITEM-1","issued":{"date-parts":[["0"]]},"publisher":"NICE","title":"Overview | Rehabilitation after critical illness in adults | Quality standards | NICE","type":"article-journal"},"uris":["http://www.mendeley.com/documents/?uuid=5a36aad4-4898-3fb1-9383-397c4cc909fd"]}],"mendeley":{"formattedCitation":"(68)","manualFormatting":"(42)","plainTextFormattedCitation":"(68)","previouslyFormattedCitation":"(68)"},"properties":{"noteIndex":0},"schema":"https://github.com/citation-style-language/schema/raw/master/csl-citation.json"}</w:instrText>
      </w:r>
      <w:r w:rsidR="009F73EB" w:rsidRPr="00842F43">
        <w:rPr>
          <w:rFonts w:ascii="Fira Sans" w:hAnsi="Fira Sans"/>
          <w:noProof/>
          <w:sz w:val="20"/>
          <w:szCs w:val="20"/>
          <w:vertAlign w:val="superscript"/>
        </w:rPr>
        <w:fldChar w:fldCharType="separate"/>
      </w:r>
      <w:r w:rsidR="009F73EB" w:rsidRPr="00842F43">
        <w:rPr>
          <w:rFonts w:ascii="Fira Sans" w:hAnsi="Fira Sans"/>
          <w:noProof/>
          <w:sz w:val="20"/>
          <w:szCs w:val="20"/>
          <w:vertAlign w:val="superscript"/>
        </w:rPr>
        <w:t>(</w:t>
      </w:r>
      <w:r w:rsidR="001F0C3E" w:rsidRPr="00842F43">
        <w:rPr>
          <w:rFonts w:ascii="Fira Sans" w:hAnsi="Fira Sans"/>
          <w:noProof/>
          <w:sz w:val="20"/>
          <w:szCs w:val="20"/>
          <w:vertAlign w:val="superscript"/>
        </w:rPr>
        <w:t>68</w:t>
      </w:r>
      <w:r w:rsidR="009F73EB" w:rsidRPr="00842F43">
        <w:rPr>
          <w:rFonts w:ascii="Fira Sans" w:hAnsi="Fira Sans"/>
          <w:noProof/>
          <w:sz w:val="20"/>
          <w:szCs w:val="20"/>
          <w:vertAlign w:val="superscript"/>
        </w:rPr>
        <w:t>)</w:t>
      </w:r>
      <w:r w:rsidR="009F73EB" w:rsidRPr="00842F43">
        <w:rPr>
          <w:rFonts w:ascii="Fira Sans" w:hAnsi="Fira Sans"/>
          <w:noProof/>
          <w:sz w:val="20"/>
          <w:szCs w:val="20"/>
          <w:vertAlign w:val="superscript"/>
        </w:rPr>
        <w:fldChar w:fldCharType="end"/>
      </w:r>
      <w:r w:rsidR="009F73EB" w:rsidRPr="00842F43">
        <w:rPr>
          <w:rFonts w:ascii="Fira Sans" w:hAnsi="Fira Sans"/>
          <w:noProof/>
          <w:sz w:val="20"/>
          <w:szCs w:val="20"/>
          <w:vertAlign w:val="superscript"/>
        </w:rPr>
        <w:t xml:space="preserve"> </w:t>
      </w:r>
      <w:r w:rsidR="009F73EB" w:rsidRPr="00842F43">
        <w:rPr>
          <w:rFonts w:ascii="Fira Sans" w:hAnsi="Fira Sans"/>
          <w:noProof/>
          <w:sz w:val="20"/>
          <w:szCs w:val="20"/>
        </w:rPr>
        <w:t>A recent</w:t>
      </w:r>
      <w:r w:rsidR="007445E3" w:rsidRPr="00842F43">
        <w:rPr>
          <w:rFonts w:ascii="Fira Sans" w:hAnsi="Fira Sans"/>
          <w:noProof/>
          <w:sz w:val="20"/>
          <w:szCs w:val="20"/>
        </w:rPr>
        <w:t>ly</w:t>
      </w:r>
      <w:r w:rsidR="009F73EB" w:rsidRPr="00842F43">
        <w:rPr>
          <w:rFonts w:ascii="Fira Sans" w:hAnsi="Fira Sans"/>
          <w:noProof/>
          <w:sz w:val="20"/>
          <w:szCs w:val="20"/>
        </w:rPr>
        <w:t xml:space="preserve"> published survey reported increas</w:t>
      </w:r>
      <w:r w:rsidR="007445E3" w:rsidRPr="00842F43">
        <w:rPr>
          <w:rFonts w:ascii="Fira Sans" w:hAnsi="Fira Sans"/>
          <w:noProof/>
          <w:sz w:val="20"/>
          <w:szCs w:val="20"/>
        </w:rPr>
        <w:t>ing</w:t>
      </w:r>
      <w:r w:rsidR="009F73EB" w:rsidRPr="00842F43">
        <w:rPr>
          <w:rFonts w:ascii="Fira Sans" w:hAnsi="Fira Sans"/>
          <w:noProof/>
          <w:sz w:val="20"/>
          <w:szCs w:val="20"/>
        </w:rPr>
        <w:t xml:space="preserve"> provision of UK follow-up services, yet highlighted important gaps, most commonly in </w:t>
      </w:r>
      <w:r w:rsidR="009F73EB" w:rsidRPr="00842F43">
        <w:rPr>
          <w:rFonts w:ascii="Fira Sans" w:hAnsi="Fira Sans"/>
          <w:noProof/>
          <w:sz w:val="20"/>
          <w:szCs w:val="20"/>
        </w:rPr>
        <w:lastRenderedPageBreak/>
        <w:t>psychological support</w:t>
      </w:r>
      <w:r w:rsidR="009F73EB" w:rsidRPr="00842F43">
        <w:rPr>
          <w:rFonts w:ascii="Fira Sans" w:hAnsi="Fira Sans"/>
          <w:noProof/>
          <w:sz w:val="20"/>
          <w:szCs w:val="20"/>
        </w:rPr>
        <w:fldChar w:fldCharType="begin" w:fldLock="1"/>
      </w:r>
      <w:r w:rsidR="00F06CA2" w:rsidRPr="00842F43">
        <w:rPr>
          <w:rFonts w:ascii="Fira Sans" w:hAnsi="Fira Sans"/>
          <w:noProof/>
          <w:sz w:val="20"/>
          <w:szCs w:val="20"/>
        </w:rPr>
        <w:instrText>ADDIN CSL_CITATION {"citationItems":[{"id":"ITEM-1","itemData":{"DOI":"10.1136/BMJOPEN-2021-052214","ISBN":"2021052214","ISSN":"2044-6055","PMID":"34607869","abstract":"Objective To comprehensively update and survey the current provision of recovery, rehabilitation and follow-up services for adult critical care patients across the UK.\n\nDesign Cross-sectional, self-administered, predominantly closed-question, electronic, online survey.\n\nSetting Institutions providing adult critical care services identified from national databases.\n\nParticipants Multiprofessional critical care clinicians delivering services at each site.\n\nResults Responses from 176 UK hospital sites were included (176/242, 72.7%). Inpatient recovery and follow-up services were present at 127/176 (72.2%) sites, adopting multiple formats of delivery and primarily delivered by nurses (n=115/127, 90.6%). Outpatient services ran at 130 sites (73.9%), predominantly as outpatient clinics. Most services (n=108/130, 83.1%) were co-delivered by two or more healthcare professionals, typically nurse/intensive care unit (ICU) physician (n=29/130, 22.3%) or nurse/ICU physician/physiotherapist (n=19/130, 14.6%) teams. Clinical psychology was most frequently lacking from inpatient or outpatient services. Lack of funding was consistently the primary barrier to service provision, with other barriers including logistical and service prioritisation factors indicating that infrastructure and profile for services remain inadequate. Posthospital discharge physical rehabilitation programmes were relatively few (n=31/176, 17.6%), but peer support services were available in nearly half of responding institutions (n=85/176, 48.3%). The effects of the COVID-19 pandemic resulted in either increasing, decreasing or reformatting service provision. Future plans for long-term service transformation focus on expansion of current, and establishment of new, outpatient services.\n\nConclusion Overall, these data demonstrate a proliferation of recovery, follow-up and rehabilitation services for critically ill adults in the past decade across the UK, although service gaps remain suggesting further work is required for guideline implementation. Findings can be used to enhance survivorship for critically ill adults, inform policymakers and commissioners, and provide comparative data and experiential insights for clinicians designing models of care in international healthcare jurisdictions.\n\nNo data are available. Data are not publicly available for confidentiality reasons, however all data are reported.","author":[{"dropping-particle":"","family":"Connolly","given":"Bronwen","non-dropping-particle":"","parse-names":false,"suffix":""},{"dropping-particle":"","family":"Milton-Cole","given":"Rhian","non-dropping-particle":"","parse-names":false,"suffix":""},{"dropping-particle":"","family":"Adams","given":"Claire","non-dropping-particle":"","parse-names":false,"suffix":""},{"dropping-particle":"","family":"Battle","given":"Ceri","non-dropping-particle":"","parse-names":false,"suffix":""},{"dropping-particle":"","family":"McPeake","given":"Joanne","non-dropping-particle":"","parse-names":false,"suffix":""},{"dropping-particle":"","family":"Quasim","given":"Tara","non-dropping-particle":"","parse-names":false,"suffix":""},{"dropping-particle":"","family":"Silversides","given":"Jon","non-dropping-particle":"","parse-names":false,"suffix":""},{"dropping-particle":"","family":"Slack","given":"Andrew","non-dropping-particle":"","parse-names":false,"suffix":""},{"dropping-particle":"","family":"Waldmann","given":"Carl","non-dropping-particle":"","parse-names":false,"suffix":""},{"dropping-particle":"","family":"Wilson","given":"Elizabeth","non-dropping-particle":"","parse-names":false,"suffix":""},{"dropping-particle":"","family":"Meyer","given":"Joel","non-dropping-particle":"","parse-names":false,"suffix":""}],"container-title":"BMJ Open","id":"ITEM-1","issue":"10","issued":{"date-parts":[["2021","10","1"]]},"page":"e052214","publisher":"British Medical Journal Publishing Group","title":"Recovery, rehabilitation and follow-up services following critical illness: an updated UK national cross-sectional survey and progress report","type":"article-journal","volume":"11"},"uris":["http://www.mendeley.com/documents/?uuid=472505c0-bf00-3495-9e45-447a84dc122b"]}],"mendeley":{"formattedCitation":"(11)","plainTextFormattedCitation":"(11)","previouslyFormattedCitation":"(11)"},"properties":{"noteIndex":0},"schema":"https://github.com/citation-style-language/schema/raw/master/csl-citation.json"}</w:instrText>
      </w:r>
      <w:r w:rsidR="009F73EB" w:rsidRPr="00842F43">
        <w:rPr>
          <w:rFonts w:ascii="Fira Sans" w:hAnsi="Fira Sans"/>
          <w:noProof/>
          <w:sz w:val="20"/>
          <w:szCs w:val="20"/>
        </w:rPr>
        <w:fldChar w:fldCharType="separate"/>
      </w:r>
      <w:r w:rsidR="009F73EB" w:rsidRPr="00842F43">
        <w:rPr>
          <w:rFonts w:ascii="Fira Sans" w:hAnsi="Fira Sans"/>
          <w:noProof/>
          <w:sz w:val="20"/>
          <w:szCs w:val="20"/>
          <w:vertAlign w:val="superscript"/>
        </w:rPr>
        <w:t>(11)</w:t>
      </w:r>
      <w:r w:rsidR="009F73EB" w:rsidRPr="00842F43">
        <w:rPr>
          <w:rFonts w:ascii="Fira Sans" w:hAnsi="Fira Sans"/>
          <w:noProof/>
          <w:sz w:val="20"/>
          <w:szCs w:val="20"/>
        </w:rPr>
        <w:fldChar w:fldCharType="end"/>
      </w:r>
      <w:r w:rsidR="009F73EB" w:rsidRPr="00842F43">
        <w:rPr>
          <w:rFonts w:ascii="Fira Sans" w:hAnsi="Fira Sans"/>
          <w:noProof/>
          <w:sz w:val="20"/>
          <w:szCs w:val="20"/>
        </w:rPr>
        <w:t xml:space="preserve">. </w:t>
      </w:r>
      <w:r w:rsidR="00657DDD" w:rsidRPr="00842F43">
        <w:rPr>
          <w:rFonts w:ascii="Fira Sans" w:hAnsi="Fira Sans"/>
          <w:noProof/>
          <w:sz w:val="20"/>
          <w:szCs w:val="20"/>
        </w:rPr>
        <w:t>Our work supports the author’s conclusion that improving the evidence base will be key to expanding service delivery and impacting upon patient-centred outcomes.</w:t>
      </w:r>
      <w:r w:rsidR="00657DDD" w:rsidRPr="00842F43">
        <w:rPr>
          <w:rFonts w:ascii="Fira Sans" w:hAnsi="Fira Sans"/>
          <w:i/>
          <w:iCs/>
          <w:noProof/>
          <w:sz w:val="20"/>
          <w:szCs w:val="20"/>
        </w:rPr>
        <w:t xml:space="preserve">   </w:t>
      </w:r>
    </w:p>
    <w:p w14:paraId="71100248" w14:textId="42753836" w:rsidR="000303C3" w:rsidRPr="00842F43" w:rsidRDefault="00E07AAC" w:rsidP="00842F43">
      <w:pPr>
        <w:spacing w:line="360" w:lineRule="auto"/>
        <w:rPr>
          <w:rFonts w:ascii="Fira Sans" w:hAnsi="Fira Sans"/>
          <w:sz w:val="20"/>
          <w:szCs w:val="20"/>
        </w:rPr>
      </w:pPr>
      <w:r w:rsidRPr="00842F43">
        <w:rPr>
          <w:rFonts w:ascii="Fira Sans" w:hAnsi="Fira Sans"/>
          <w:sz w:val="20"/>
          <w:szCs w:val="20"/>
        </w:rPr>
        <w:t>The</w:t>
      </w:r>
      <w:r w:rsidR="008458EE" w:rsidRPr="00842F43">
        <w:rPr>
          <w:rFonts w:ascii="Fira Sans" w:hAnsi="Fira Sans"/>
          <w:sz w:val="20"/>
          <w:szCs w:val="20"/>
        </w:rPr>
        <w:t xml:space="preserve"> </w:t>
      </w:r>
      <w:r w:rsidRPr="00842F43">
        <w:rPr>
          <w:rFonts w:ascii="Fira Sans" w:hAnsi="Fira Sans"/>
          <w:sz w:val="20"/>
          <w:szCs w:val="20"/>
        </w:rPr>
        <w:t>known</w:t>
      </w:r>
      <w:r w:rsidR="008458EE" w:rsidRPr="00842F43">
        <w:rPr>
          <w:rFonts w:ascii="Fira Sans" w:hAnsi="Fira Sans"/>
          <w:sz w:val="20"/>
          <w:szCs w:val="20"/>
        </w:rPr>
        <w:t xml:space="preserve"> relationship between EMDR intervention fidelity and treatment effect size</w:t>
      </w:r>
      <w:r w:rsidR="008458EE"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{"citationItems":[{"id":"ITEM-1","itemData":{"DOI":"10.1002/jclp.1127","ISSN":"0021-9762","PMID":"11748595","abstract":"The controlled treatment outcome studies that examined the efficacy of EMDR in the treatment of posttraumatic stress disorder have yielded a range of results, with the efficacy of EMDR varying across studies. The current study sought to determine if differences in outcome were related to methodological differences. The research was reviewed to identify methodological strengths, weaknesses, and empirical findings. The relationships between effect size and methodology ratings were examined, using the Gold Standard (GS) Scale (adapted from Foa &amp; Meadows, 1997). Results indicated a significant relationship between scores on the GS Scale and effect size, with more rigorous studies according to the GS Scale reporting larger effect sizes. There was also a significant correlation between effect size and treatment fidelity. Additional methodological components not detected by the GS Scale were identified, and suggestions were made for a Revised GS Scale. We conclude by noting that methodological rigor removes noise and thereby decreases error measurement, allowing for the more accurate detection of true treatment effects in EMDR studies.","author":[{"dropping-particle":"","family":"Maxfield","given":"Louise","non-dropping-particle":"","parse-names":false,"suffix":""},{"dropping-particle":"","family":"Hyer","given":"Lee","non-dropping-particle":"","parse-names":false,"suffix":""}],"container-title":"Journal of clinical psychology","id":"ITEM-1","issue":"1","issued":{"date-parts":[["2002","1"]]},"page":"23-41","publisher":"J Clin Psychol","title":"The relationship between efficacy and methodology in studies investigating EMDR treatment of PTSD.","type":"article-journal","volume":"58"},"uris":["http://www.mendeley.com/documents/?uuid=7389e043-a99c-30b4-82d1-32199d2fe59d"]}],"mendeley":{"formattedCitation":"(69)","manualFormatting":"(43)","plainTextFormattedCitation":"(69)","previouslyFormattedCitation":"(69)"},"properties":{"noteIndex":0},"schema":"https://github.com/citation-style-language/schema/raw/master/csl-citation.json"}</w:instrText>
      </w:r>
      <w:r w:rsidR="008458EE" w:rsidRPr="00842F43">
        <w:rPr>
          <w:rFonts w:ascii="Fira Sans" w:hAnsi="Fira Sans"/>
          <w:sz w:val="20"/>
          <w:szCs w:val="20"/>
          <w:vertAlign w:val="superscript"/>
        </w:rPr>
        <w:fldChar w:fldCharType="separate"/>
      </w:r>
      <w:r w:rsidR="00836FB3" w:rsidRPr="00842F43">
        <w:rPr>
          <w:rFonts w:ascii="Fira Sans" w:hAnsi="Fira Sans"/>
          <w:noProof/>
          <w:sz w:val="20"/>
          <w:szCs w:val="20"/>
          <w:vertAlign w:val="superscript"/>
        </w:rPr>
        <w:t>(</w:t>
      </w:r>
      <w:r w:rsidR="001F0C3E" w:rsidRPr="00842F43">
        <w:rPr>
          <w:rFonts w:ascii="Fira Sans" w:hAnsi="Fira Sans"/>
          <w:noProof/>
          <w:sz w:val="20"/>
          <w:szCs w:val="20"/>
          <w:vertAlign w:val="superscript"/>
        </w:rPr>
        <w:t>69</w:t>
      </w:r>
      <w:r w:rsidR="00836FB3" w:rsidRPr="00842F43">
        <w:rPr>
          <w:rFonts w:ascii="Fira Sans" w:hAnsi="Fira Sans"/>
          <w:noProof/>
          <w:sz w:val="20"/>
          <w:szCs w:val="20"/>
          <w:vertAlign w:val="superscript"/>
        </w:rPr>
        <w:t>)</w:t>
      </w:r>
      <w:r w:rsidR="008458EE" w:rsidRPr="00842F43">
        <w:rPr>
          <w:rFonts w:ascii="Fira Sans" w:hAnsi="Fira Sans"/>
          <w:sz w:val="20"/>
          <w:szCs w:val="20"/>
          <w:vertAlign w:val="superscript"/>
        </w:rPr>
        <w:fldChar w:fldCharType="end"/>
      </w:r>
      <w:r w:rsidRPr="00842F43">
        <w:rPr>
          <w:rFonts w:ascii="Fira Sans" w:hAnsi="Fira Sans"/>
          <w:sz w:val="20"/>
          <w:szCs w:val="20"/>
        </w:rPr>
        <w:t xml:space="preserve"> has</w:t>
      </w:r>
      <w:r w:rsidR="008458EE" w:rsidRPr="00842F43">
        <w:rPr>
          <w:rFonts w:ascii="Fira Sans" w:hAnsi="Fira Sans"/>
          <w:sz w:val="20"/>
          <w:szCs w:val="20"/>
        </w:rPr>
        <w:t xml:space="preserve"> </w:t>
      </w:r>
      <w:r w:rsidR="004D627C" w:rsidRPr="00842F43">
        <w:rPr>
          <w:rFonts w:ascii="Fira Sans" w:hAnsi="Fira Sans"/>
          <w:sz w:val="20"/>
          <w:szCs w:val="20"/>
        </w:rPr>
        <w:t xml:space="preserve">important implications for </w:t>
      </w:r>
      <w:r w:rsidRPr="00842F43">
        <w:rPr>
          <w:rFonts w:ascii="Fira Sans" w:hAnsi="Fira Sans"/>
          <w:sz w:val="20"/>
          <w:szCs w:val="20"/>
        </w:rPr>
        <w:t>future studies</w:t>
      </w:r>
      <w:r w:rsidR="0070118E" w:rsidRPr="00842F43">
        <w:rPr>
          <w:rFonts w:ascii="Fira Sans" w:hAnsi="Fira Sans"/>
          <w:sz w:val="20"/>
          <w:szCs w:val="20"/>
        </w:rPr>
        <w:t xml:space="preserve"> of clinical effectiveness</w:t>
      </w:r>
      <w:r w:rsidR="004D627C" w:rsidRPr="00842F43">
        <w:rPr>
          <w:rFonts w:ascii="Fira Sans" w:hAnsi="Fira Sans"/>
          <w:sz w:val="20"/>
          <w:szCs w:val="20"/>
        </w:rPr>
        <w:t xml:space="preserve">. </w:t>
      </w:r>
      <w:r w:rsidR="000303C3" w:rsidRPr="00842F43">
        <w:rPr>
          <w:rFonts w:ascii="Fira Sans" w:hAnsi="Fira Sans"/>
          <w:sz w:val="20"/>
          <w:szCs w:val="20"/>
        </w:rPr>
        <w:t>The</w:t>
      </w:r>
      <w:r w:rsidR="00857597" w:rsidRPr="00842F43">
        <w:rPr>
          <w:rFonts w:ascii="Fira Sans" w:hAnsi="Fira Sans"/>
          <w:sz w:val="20"/>
          <w:szCs w:val="20"/>
        </w:rPr>
        <w:t xml:space="preserve"> COV</w:t>
      </w:r>
      <w:r w:rsidR="000303C3" w:rsidRPr="00842F43">
        <w:rPr>
          <w:rFonts w:ascii="Fira Sans" w:hAnsi="Fira Sans"/>
          <w:sz w:val="20"/>
          <w:szCs w:val="20"/>
        </w:rPr>
        <w:t xml:space="preserve">EMERALD </w:t>
      </w:r>
      <w:r w:rsidR="004D627C" w:rsidRPr="00842F43">
        <w:rPr>
          <w:rFonts w:ascii="Fira Sans" w:hAnsi="Fira Sans"/>
          <w:sz w:val="20"/>
          <w:szCs w:val="20"/>
        </w:rPr>
        <w:t xml:space="preserve">EMDR </w:t>
      </w:r>
      <w:r w:rsidR="002D3D5F" w:rsidRPr="00842F43">
        <w:rPr>
          <w:rFonts w:ascii="Fira Sans" w:hAnsi="Fira Sans"/>
          <w:sz w:val="20"/>
          <w:szCs w:val="20"/>
        </w:rPr>
        <w:t xml:space="preserve">R-TEP </w:t>
      </w:r>
      <w:r w:rsidR="004D627C" w:rsidRPr="00842F43">
        <w:rPr>
          <w:rFonts w:ascii="Fira Sans" w:hAnsi="Fira Sans"/>
          <w:sz w:val="20"/>
          <w:szCs w:val="20"/>
        </w:rPr>
        <w:t xml:space="preserve">intervention </w:t>
      </w:r>
      <w:r w:rsidR="000303C3" w:rsidRPr="00842F43">
        <w:rPr>
          <w:rFonts w:ascii="Fira Sans" w:hAnsi="Fira Sans"/>
          <w:sz w:val="20"/>
          <w:szCs w:val="20"/>
        </w:rPr>
        <w:t xml:space="preserve">was performed by a </w:t>
      </w:r>
      <w:r w:rsidR="004F46E5" w:rsidRPr="00842F43">
        <w:rPr>
          <w:rFonts w:ascii="Fira Sans" w:hAnsi="Fira Sans"/>
          <w:sz w:val="20"/>
          <w:szCs w:val="20"/>
        </w:rPr>
        <w:t>Consultant clinical psychologist and</w:t>
      </w:r>
      <w:r w:rsidR="000303C3" w:rsidRPr="00842F43">
        <w:rPr>
          <w:rFonts w:ascii="Fira Sans" w:hAnsi="Fira Sans"/>
          <w:sz w:val="20"/>
          <w:szCs w:val="20"/>
        </w:rPr>
        <w:t xml:space="preserve"> </w:t>
      </w:r>
      <w:r w:rsidR="004F46E5" w:rsidRPr="00842F43">
        <w:rPr>
          <w:rFonts w:ascii="Fira Sans" w:hAnsi="Fira Sans"/>
          <w:sz w:val="20"/>
          <w:szCs w:val="20"/>
        </w:rPr>
        <w:t>two</w:t>
      </w:r>
      <w:r w:rsidR="000303C3" w:rsidRPr="00842F43">
        <w:rPr>
          <w:rFonts w:ascii="Fira Sans" w:hAnsi="Fira Sans"/>
          <w:sz w:val="20"/>
          <w:szCs w:val="20"/>
        </w:rPr>
        <w:t xml:space="preserve"> </w:t>
      </w:r>
      <w:r w:rsidR="00FB6E39" w:rsidRPr="00842F43">
        <w:rPr>
          <w:rFonts w:ascii="Fira Sans" w:hAnsi="Fira Sans"/>
          <w:sz w:val="20"/>
          <w:szCs w:val="20"/>
        </w:rPr>
        <w:t>trained</w:t>
      </w:r>
      <w:r w:rsidR="003B4333" w:rsidRPr="00842F43">
        <w:rPr>
          <w:rFonts w:ascii="Fira Sans" w:hAnsi="Fira Sans"/>
          <w:sz w:val="20"/>
          <w:szCs w:val="20"/>
        </w:rPr>
        <w:t>,</w:t>
      </w:r>
      <w:r w:rsidR="00FB6E39" w:rsidRPr="00842F43">
        <w:rPr>
          <w:rFonts w:ascii="Fira Sans" w:hAnsi="Fira Sans"/>
          <w:sz w:val="20"/>
          <w:szCs w:val="20"/>
        </w:rPr>
        <w:t xml:space="preserve"> experienced </w:t>
      </w:r>
      <w:r w:rsidR="000303C3" w:rsidRPr="00842F43">
        <w:rPr>
          <w:rFonts w:ascii="Fira Sans" w:hAnsi="Fira Sans"/>
          <w:sz w:val="20"/>
          <w:szCs w:val="20"/>
        </w:rPr>
        <w:t>psychological therapists</w:t>
      </w:r>
      <w:r w:rsidR="004F46E5" w:rsidRPr="00842F43">
        <w:rPr>
          <w:rFonts w:ascii="Fira Sans" w:hAnsi="Fira Sans"/>
          <w:sz w:val="20"/>
          <w:szCs w:val="20"/>
        </w:rPr>
        <w:t>.</w:t>
      </w:r>
      <w:r w:rsidRPr="00842F43">
        <w:rPr>
          <w:rFonts w:ascii="Fira Sans" w:hAnsi="Fira Sans"/>
          <w:sz w:val="20"/>
          <w:szCs w:val="20"/>
        </w:rPr>
        <w:t xml:space="preserve"> </w:t>
      </w:r>
      <w:r w:rsidR="004F46E5" w:rsidRPr="00842F43">
        <w:rPr>
          <w:rFonts w:ascii="Fira Sans" w:hAnsi="Fira Sans"/>
          <w:sz w:val="20"/>
          <w:szCs w:val="20"/>
        </w:rPr>
        <w:t>An EMDR</w:t>
      </w:r>
      <w:r w:rsidRPr="00842F43">
        <w:rPr>
          <w:rFonts w:ascii="Fira Sans" w:hAnsi="Fira Sans"/>
          <w:sz w:val="20"/>
          <w:szCs w:val="20"/>
        </w:rPr>
        <w:t xml:space="preserve"> </w:t>
      </w:r>
      <w:r w:rsidR="000303C3" w:rsidRPr="00842F43">
        <w:rPr>
          <w:rFonts w:ascii="Fira Sans" w:hAnsi="Fira Sans"/>
          <w:sz w:val="20"/>
          <w:szCs w:val="20"/>
        </w:rPr>
        <w:t>consultant offer</w:t>
      </w:r>
      <w:r w:rsidR="004D627C" w:rsidRPr="00842F43">
        <w:rPr>
          <w:rFonts w:ascii="Fira Sans" w:hAnsi="Fira Sans"/>
          <w:sz w:val="20"/>
          <w:szCs w:val="20"/>
        </w:rPr>
        <w:t>ed</w:t>
      </w:r>
      <w:r w:rsidR="000303C3" w:rsidRPr="00842F43">
        <w:rPr>
          <w:rFonts w:ascii="Fira Sans" w:hAnsi="Fira Sans"/>
          <w:sz w:val="20"/>
          <w:szCs w:val="20"/>
        </w:rPr>
        <w:t xml:space="preserve"> </w:t>
      </w:r>
      <w:r w:rsidR="004D627C" w:rsidRPr="00842F43">
        <w:rPr>
          <w:rFonts w:ascii="Fira Sans" w:hAnsi="Fira Sans"/>
          <w:sz w:val="20"/>
          <w:szCs w:val="20"/>
        </w:rPr>
        <w:t xml:space="preserve">clinical </w:t>
      </w:r>
      <w:r w:rsidR="000303C3" w:rsidRPr="00842F43">
        <w:rPr>
          <w:rFonts w:ascii="Fira Sans" w:hAnsi="Fira Sans"/>
          <w:sz w:val="20"/>
          <w:szCs w:val="20"/>
        </w:rPr>
        <w:t>supervision</w:t>
      </w:r>
      <w:r w:rsidRPr="00842F43">
        <w:rPr>
          <w:rFonts w:ascii="Fira Sans" w:hAnsi="Fira Sans"/>
          <w:sz w:val="20"/>
          <w:szCs w:val="20"/>
        </w:rPr>
        <w:t>:</w:t>
      </w:r>
      <w:r w:rsidR="000303C3" w:rsidRPr="00842F43">
        <w:rPr>
          <w:rFonts w:ascii="Fira Sans" w:hAnsi="Fira Sans"/>
          <w:sz w:val="20"/>
          <w:szCs w:val="20"/>
        </w:rPr>
        <w:t xml:space="preserve"> </w:t>
      </w:r>
      <w:r w:rsidRPr="00842F43">
        <w:rPr>
          <w:rFonts w:ascii="Fira Sans" w:hAnsi="Fira Sans"/>
          <w:sz w:val="20"/>
          <w:szCs w:val="20"/>
        </w:rPr>
        <w:t>h</w:t>
      </w:r>
      <w:r w:rsidR="008458EE" w:rsidRPr="00842F43">
        <w:rPr>
          <w:rFonts w:ascii="Fira Sans" w:hAnsi="Fira Sans"/>
          <w:sz w:val="20"/>
          <w:szCs w:val="20"/>
        </w:rPr>
        <w:t xml:space="preserve">owever, </w:t>
      </w:r>
      <w:r w:rsidR="0070118E" w:rsidRPr="00842F43">
        <w:rPr>
          <w:rFonts w:ascii="Fira Sans" w:hAnsi="Fira Sans"/>
          <w:sz w:val="20"/>
          <w:szCs w:val="20"/>
        </w:rPr>
        <w:t xml:space="preserve">we </w:t>
      </w:r>
      <w:r w:rsidRPr="00842F43">
        <w:rPr>
          <w:rFonts w:ascii="Fira Sans" w:hAnsi="Fira Sans"/>
          <w:sz w:val="20"/>
          <w:szCs w:val="20"/>
        </w:rPr>
        <w:t>could</w:t>
      </w:r>
      <w:r w:rsidR="0070118E" w:rsidRPr="00842F43">
        <w:rPr>
          <w:rFonts w:ascii="Fira Sans" w:hAnsi="Fira Sans"/>
          <w:sz w:val="20"/>
          <w:szCs w:val="20"/>
        </w:rPr>
        <w:t xml:space="preserve"> </w:t>
      </w:r>
      <w:r w:rsidRPr="00842F43">
        <w:rPr>
          <w:rFonts w:ascii="Fira Sans" w:hAnsi="Fira Sans"/>
          <w:sz w:val="20"/>
          <w:szCs w:val="20"/>
        </w:rPr>
        <w:t xml:space="preserve">not </w:t>
      </w:r>
      <w:r w:rsidR="005B0FD2" w:rsidRPr="00842F43">
        <w:rPr>
          <w:rFonts w:ascii="Fira Sans" w:hAnsi="Fira Sans"/>
          <w:sz w:val="20"/>
          <w:szCs w:val="20"/>
        </w:rPr>
        <w:t xml:space="preserve">formally </w:t>
      </w:r>
      <w:r w:rsidR="0070118E" w:rsidRPr="00842F43">
        <w:rPr>
          <w:rFonts w:ascii="Fira Sans" w:hAnsi="Fira Sans"/>
          <w:sz w:val="20"/>
          <w:szCs w:val="20"/>
        </w:rPr>
        <w:t xml:space="preserve">check intervention fidelity due to </w:t>
      </w:r>
      <w:r w:rsidR="008458EE" w:rsidRPr="00842F43">
        <w:rPr>
          <w:rFonts w:ascii="Fira Sans" w:hAnsi="Fira Sans"/>
          <w:sz w:val="20"/>
          <w:szCs w:val="20"/>
        </w:rPr>
        <w:t>t</w:t>
      </w:r>
      <w:r w:rsidR="00D971AB" w:rsidRPr="00842F43">
        <w:rPr>
          <w:rFonts w:ascii="Fira Sans" w:hAnsi="Fira Sans"/>
          <w:sz w:val="20"/>
          <w:szCs w:val="20"/>
        </w:rPr>
        <w:t xml:space="preserve">ime and resource </w:t>
      </w:r>
      <w:r w:rsidRPr="00842F43">
        <w:rPr>
          <w:rFonts w:ascii="Fira Sans" w:hAnsi="Fira Sans"/>
          <w:sz w:val="20"/>
          <w:szCs w:val="20"/>
        </w:rPr>
        <w:t>constraints</w:t>
      </w:r>
      <w:r w:rsidR="00D971AB" w:rsidRPr="00842F43">
        <w:rPr>
          <w:rFonts w:ascii="Fira Sans" w:hAnsi="Fira Sans"/>
          <w:sz w:val="20"/>
          <w:szCs w:val="20"/>
        </w:rPr>
        <w:t>.</w:t>
      </w:r>
      <w:r w:rsidR="00D417C9" w:rsidRPr="00842F43">
        <w:rPr>
          <w:rFonts w:ascii="Fira Sans" w:hAnsi="Fira Sans"/>
          <w:sz w:val="20"/>
          <w:szCs w:val="20"/>
        </w:rPr>
        <w:t xml:space="preserve"> </w:t>
      </w:r>
      <w:r w:rsidR="00D11242" w:rsidRPr="00842F43">
        <w:rPr>
          <w:rFonts w:ascii="Fira Sans" w:hAnsi="Fira Sans"/>
          <w:sz w:val="20"/>
          <w:szCs w:val="20"/>
        </w:rPr>
        <w:t xml:space="preserve">Future </w:t>
      </w:r>
      <w:r w:rsidR="00FC2A33" w:rsidRPr="00842F43">
        <w:rPr>
          <w:rFonts w:ascii="Fira Sans" w:hAnsi="Fira Sans"/>
          <w:sz w:val="20"/>
          <w:szCs w:val="20"/>
        </w:rPr>
        <w:t xml:space="preserve">studies </w:t>
      </w:r>
      <w:r w:rsidR="00D417C9" w:rsidRPr="00842F43">
        <w:rPr>
          <w:rFonts w:ascii="Fira Sans" w:hAnsi="Fira Sans"/>
          <w:sz w:val="20"/>
          <w:szCs w:val="20"/>
        </w:rPr>
        <w:t xml:space="preserve">should consider using </w:t>
      </w:r>
      <w:r w:rsidR="00824E5E" w:rsidRPr="00842F43">
        <w:rPr>
          <w:rFonts w:ascii="Fira Sans" w:hAnsi="Fira Sans"/>
          <w:sz w:val="20"/>
          <w:szCs w:val="20"/>
        </w:rPr>
        <w:t>an</w:t>
      </w:r>
      <w:r w:rsidR="00D417C9" w:rsidRPr="00842F43">
        <w:rPr>
          <w:rFonts w:ascii="Fira Sans" w:hAnsi="Fira Sans"/>
          <w:sz w:val="20"/>
          <w:szCs w:val="20"/>
        </w:rPr>
        <w:t xml:space="preserve"> EMDR </w:t>
      </w:r>
      <w:r w:rsidR="000303C3" w:rsidRPr="00842F43">
        <w:rPr>
          <w:rFonts w:ascii="Fira Sans" w:hAnsi="Fira Sans"/>
          <w:sz w:val="20"/>
          <w:szCs w:val="20"/>
        </w:rPr>
        <w:t xml:space="preserve">fidelity </w:t>
      </w:r>
      <w:r w:rsidR="00D417C9" w:rsidRPr="00842F43">
        <w:rPr>
          <w:rFonts w:ascii="Fira Sans" w:hAnsi="Fira Sans"/>
          <w:sz w:val="20"/>
          <w:szCs w:val="20"/>
        </w:rPr>
        <w:t>rating scale</w:t>
      </w:r>
      <w:r w:rsidR="007A436A" w:rsidRPr="00842F43">
        <w:rPr>
          <w:rFonts w:ascii="Fira Sans" w:hAnsi="Fira Sans"/>
          <w:sz w:val="20"/>
          <w:szCs w:val="20"/>
        </w:rPr>
        <w:t>,</w:t>
      </w:r>
      <w:r w:rsidR="00D417C9"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{"citationItems":[{"id":"ITEM-1","itemData":{"URL":"https://emdrfoundation.org/research-grants/emdr-fidelity-rating-scale/","abstract":"The EMDR Fidelity Rating Scale (EFRS) evaluates adherence to EMDR therapy’s standard eight-phase treatment approach and three-pronged protocol (Shapiro, 2001, 2018). Originally developed for use in a study by van der Kolk et al. (2007), the scale has been revised and expanded over the years after receiving feedback from researchers and raters who had used the scale. The EFRS can be used in the evaluation of EMDR treatment sessions for any disorder or presenting problem in which standard EMDR procedural steps and the three-pronged protocol are used to address either memories of adverse life experiences or current triggers eliciting distress.\r\n\r\nThe EFRS is a comprehensive rating instrument used to assess treatment integrity in a single EMDR session and over the course of EMDR treatment. While the EFRS was developed for use in research studies, it can also be used by individual clinicians to monitor fidelity in their own treatment sessions, or by EMDR consultants when assisting clinicians in the development of their EMDR therapy skills. It includes the EFRS Scoring Workbook, which contains an embedded calculator that automatically calculates (1) scores for each session, (2) a therapist’s overall fidelity, and (3) the overall fidelity for a research study. ","accessed":{"date-parts":[["2021","6","10"]]},"author":[{"dropping-particle":"","family":"Korn","given":"Deborah","non-dropping-particle":"","parse-names":false,"suffix":""},{"dropping-particle":"","family":"Maxfield","given":"Louise","non-dropping-particle":"","parse-names":false,"suffix":""},{"dropping-particle":"","family":"Stickgold","given":"Robert","non-dropping-particle":"","parse-names":false,"suffix":""},{"dropping-particle":"","family":"Smyth","given":"Nancy J.","non-dropping-particle":"","parse-names":false,"suffix":""}],"id":"ITEM-1","issued":{"date-parts":[["2018"]]},"title":"EMDR Fidelity Rating Scale | EMDR Foundation","type":"webpage"},"uris":["http://www.mendeley.com/documents/?uuid=2309ca25-5051-360f-8227-fc82b47521e9"]},{"id":"ITEM-2","itemData":{"author":[{"dropping-particle":"","family":"Shapiro","given":"Elan","non-dropping-particle":"","parse-names":false,"suffix":""},{"dropping-particle":"","family":"Laub","given":"Brurit","non-dropping-particle":"","parse-names":false,"suffix":""}],"id":"ITEM-2","issued":{"date-parts":[["0"]]},"title":"EMDR RECENT TRAUMATIC EPISODE PROTOCOL (EMDR R-TEP) FIDELITY SCALE Revised August 2014","type":"report"},"uris":["http://www.mendeley.com/documents/?uuid=a1796276-ea04-3823-9534-521464142da1"]}],"mendeley":{"formattedCitation":"(70,71)","manualFormatting":"(44,45)","plainTextFormattedCitation":"(70,71)","previouslyFormattedCitation":"(70,71)"},"properties":{"noteIndex":0},"schema":"https://github.com/citation-style-language/schema/raw/master/csl-citation.json"}</w:instrText>
      </w:r>
      <w:r w:rsidR="00D417C9" w:rsidRPr="00842F43">
        <w:rPr>
          <w:rFonts w:ascii="Fira Sans" w:hAnsi="Fira Sans"/>
          <w:sz w:val="20"/>
          <w:szCs w:val="20"/>
          <w:vertAlign w:val="superscript"/>
        </w:rPr>
        <w:fldChar w:fldCharType="separate"/>
      </w:r>
      <w:r w:rsidR="00836FB3" w:rsidRPr="00842F43">
        <w:rPr>
          <w:rFonts w:ascii="Fira Sans" w:hAnsi="Fira Sans"/>
          <w:noProof/>
          <w:sz w:val="20"/>
          <w:szCs w:val="20"/>
          <w:vertAlign w:val="superscript"/>
        </w:rPr>
        <w:t>(</w:t>
      </w:r>
      <w:r w:rsidR="001F0C3E" w:rsidRPr="00842F43">
        <w:rPr>
          <w:rFonts w:ascii="Fira Sans" w:hAnsi="Fira Sans"/>
          <w:noProof/>
          <w:sz w:val="20"/>
          <w:szCs w:val="20"/>
          <w:vertAlign w:val="superscript"/>
        </w:rPr>
        <w:t>70,71</w:t>
      </w:r>
      <w:r w:rsidR="00836FB3" w:rsidRPr="00842F43">
        <w:rPr>
          <w:rFonts w:ascii="Fira Sans" w:hAnsi="Fira Sans"/>
          <w:noProof/>
          <w:sz w:val="20"/>
          <w:szCs w:val="20"/>
          <w:vertAlign w:val="superscript"/>
        </w:rPr>
        <w:t>)</w:t>
      </w:r>
      <w:r w:rsidR="00D417C9" w:rsidRPr="00842F43">
        <w:rPr>
          <w:rFonts w:ascii="Fira Sans" w:hAnsi="Fira Sans"/>
          <w:sz w:val="20"/>
          <w:szCs w:val="20"/>
          <w:vertAlign w:val="superscript"/>
        </w:rPr>
        <w:fldChar w:fldCharType="end"/>
      </w:r>
      <w:r w:rsidR="00D417C9" w:rsidRPr="00842F43">
        <w:rPr>
          <w:rFonts w:ascii="Fira Sans" w:hAnsi="Fira Sans"/>
          <w:sz w:val="20"/>
          <w:szCs w:val="20"/>
        </w:rPr>
        <w:t xml:space="preserve"> to </w:t>
      </w:r>
      <w:r w:rsidR="00FC2A33" w:rsidRPr="00842F43">
        <w:rPr>
          <w:rFonts w:ascii="Fira Sans" w:hAnsi="Fira Sans"/>
          <w:sz w:val="20"/>
          <w:szCs w:val="20"/>
        </w:rPr>
        <w:t xml:space="preserve">ensure </w:t>
      </w:r>
      <w:r w:rsidRPr="00842F43">
        <w:rPr>
          <w:rFonts w:ascii="Fira Sans" w:hAnsi="Fira Sans"/>
          <w:sz w:val="20"/>
          <w:szCs w:val="20"/>
        </w:rPr>
        <w:t>validity</w:t>
      </w:r>
      <w:r w:rsidR="008458EE" w:rsidRPr="00842F43">
        <w:rPr>
          <w:rFonts w:ascii="Fira Sans" w:hAnsi="Fira Sans"/>
          <w:sz w:val="20"/>
          <w:szCs w:val="20"/>
        </w:rPr>
        <w:t xml:space="preserve"> </w:t>
      </w:r>
      <w:r w:rsidRPr="00842F43">
        <w:rPr>
          <w:rFonts w:ascii="Fira Sans" w:hAnsi="Fira Sans"/>
          <w:sz w:val="20"/>
          <w:szCs w:val="20"/>
        </w:rPr>
        <w:t xml:space="preserve">and </w:t>
      </w:r>
      <w:r w:rsidR="008458EE" w:rsidRPr="00842F43">
        <w:rPr>
          <w:rFonts w:ascii="Fira Sans" w:hAnsi="Fira Sans"/>
          <w:sz w:val="20"/>
          <w:szCs w:val="20"/>
        </w:rPr>
        <w:t xml:space="preserve">enable replication, </w:t>
      </w:r>
      <w:r w:rsidR="002C633B" w:rsidRPr="00842F43">
        <w:rPr>
          <w:rFonts w:ascii="Fira Sans" w:hAnsi="Fira Sans"/>
          <w:sz w:val="20"/>
          <w:szCs w:val="20"/>
        </w:rPr>
        <w:t>and</w:t>
      </w:r>
      <w:r w:rsidR="008458EE" w:rsidRPr="00842F43">
        <w:rPr>
          <w:rFonts w:ascii="Fira Sans" w:hAnsi="Fira Sans"/>
          <w:sz w:val="20"/>
          <w:szCs w:val="20"/>
        </w:rPr>
        <w:t xml:space="preserve"> </w:t>
      </w:r>
      <w:r w:rsidR="007D4A2C" w:rsidRPr="00842F43">
        <w:rPr>
          <w:rFonts w:ascii="Fira Sans" w:hAnsi="Fira Sans"/>
          <w:sz w:val="20"/>
          <w:szCs w:val="20"/>
        </w:rPr>
        <w:t>provid</w:t>
      </w:r>
      <w:r w:rsidR="002C633B" w:rsidRPr="00842F43">
        <w:rPr>
          <w:rFonts w:ascii="Fira Sans" w:hAnsi="Fira Sans"/>
          <w:sz w:val="20"/>
          <w:szCs w:val="20"/>
        </w:rPr>
        <w:t>e</w:t>
      </w:r>
      <w:r w:rsidR="007D4A2C" w:rsidRPr="00842F43">
        <w:rPr>
          <w:rFonts w:ascii="Fira Sans" w:hAnsi="Fira Sans"/>
          <w:sz w:val="20"/>
          <w:szCs w:val="20"/>
        </w:rPr>
        <w:t xml:space="preserve"> an </w:t>
      </w:r>
      <w:r w:rsidRPr="00842F43">
        <w:rPr>
          <w:rFonts w:ascii="Fira Sans" w:hAnsi="Fira Sans"/>
          <w:sz w:val="20"/>
          <w:szCs w:val="20"/>
        </w:rPr>
        <w:t>account</w:t>
      </w:r>
      <w:r w:rsidR="007D4A2C" w:rsidRPr="00842F43">
        <w:rPr>
          <w:rFonts w:ascii="Fira Sans" w:hAnsi="Fira Sans"/>
          <w:sz w:val="20"/>
          <w:szCs w:val="20"/>
        </w:rPr>
        <w:t xml:space="preserve"> of </w:t>
      </w:r>
      <w:r w:rsidRPr="00842F43">
        <w:rPr>
          <w:rFonts w:ascii="Fira Sans" w:hAnsi="Fira Sans"/>
          <w:sz w:val="20"/>
          <w:szCs w:val="20"/>
        </w:rPr>
        <w:t>possible</w:t>
      </w:r>
      <w:r w:rsidR="007D4A2C" w:rsidRPr="00842F43">
        <w:rPr>
          <w:rFonts w:ascii="Fira Sans" w:hAnsi="Fira Sans"/>
          <w:sz w:val="20"/>
          <w:szCs w:val="20"/>
        </w:rPr>
        <w:t xml:space="preserve"> relationship</w:t>
      </w:r>
      <w:r w:rsidRPr="00842F43">
        <w:rPr>
          <w:rFonts w:ascii="Fira Sans" w:hAnsi="Fira Sans"/>
          <w:sz w:val="20"/>
          <w:szCs w:val="20"/>
        </w:rPr>
        <w:t>s</w:t>
      </w:r>
      <w:r w:rsidR="007D4A2C" w:rsidRPr="00842F43">
        <w:rPr>
          <w:rFonts w:ascii="Fira Sans" w:hAnsi="Fira Sans"/>
          <w:sz w:val="20"/>
          <w:szCs w:val="20"/>
        </w:rPr>
        <w:t xml:space="preserve"> between</w:t>
      </w:r>
      <w:r w:rsidR="0070118E" w:rsidRPr="00842F43">
        <w:rPr>
          <w:rFonts w:ascii="Fira Sans" w:hAnsi="Fira Sans"/>
          <w:sz w:val="20"/>
          <w:szCs w:val="20"/>
        </w:rPr>
        <w:t xml:space="preserve"> </w:t>
      </w:r>
      <w:r w:rsidR="007D4A2C" w:rsidRPr="00842F43">
        <w:rPr>
          <w:rFonts w:ascii="Fira Sans" w:hAnsi="Fira Sans"/>
          <w:sz w:val="20"/>
          <w:szCs w:val="20"/>
        </w:rPr>
        <w:t>intervention fidelity and treatment effect size</w:t>
      </w:r>
      <w:r w:rsidRPr="00842F43">
        <w:rPr>
          <w:rFonts w:ascii="Fira Sans" w:hAnsi="Fira Sans"/>
          <w:sz w:val="20"/>
          <w:szCs w:val="20"/>
        </w:rPr>
        <w:t>,</w:t>
      </w:r>
      <w:r w:rsidR="0070118E" w:rsidRPr="00842F43">
        <w:rPr>
          <w:rFonts w:ascii="Fira Sans" w:hAnsi="Fira Sans"/>
          <w:sz w:val="20"/>
          <w:szCs w:val="20"/>
        </w:rPr>
        <w:t xml:space="preserve"> </w:t>
      </w:r>
      <w:r w:rsidRPr="00842F43">
        <w:rPr>
          <w:rFonts w:ascii="Fira Sans" w:hAnsi="Fira Sans"/>
          <w:sz w:val="20"/>
          <w:szCs w:val="20"/>
        </w:rPr>
        <w:t>including</w:t>
      </w:r>
      <w:r w:rsidR="0070118E" w:rsidRPr="00842F43">
        <w:rPr>
          <w:rFonts w:ascii="Fira Sans" w:hAnsi="Fira Sans"/>
          <w:sz w:val="20"/>
          <w:szCs w:val="20"/>
        </w:rPr>
        <w:t xml:space="preserve"> </w:t>
      </w:r>
      <w:r w:rsidR="007D4A2C" w:rsidRPr="00842F43">
        <w:rPr>
          <w:rFonts w:ascii="Fira Sans" w:hAnsi="Fira Sans"/>
          <w:sz w:val="20"/>
          <w:szCs w:val="20"/>
        </w:rPr>
        <w:t xml:space="preserve">individual </w:t>
      </w:r>
      <w:r w:rsidR="000303C3" w:rsidRPr="00842F43">
        <w:rPr>
          <w:rFonts w:ascii="Fira Sans" w:hAnsi="Fira Sans"/>
          <w:sz w:val="20"/>
          <w:szCs w:val="20"/>
        </w:rPr>
        <w:t>dose-re</w:t>
      </w:r>
      <w:r w:rsidR="004D627C" w:rsidRPr="00842F43">
        <w:rPr>
          <w:rFonts w:ascii="Fira Sans" w:hAnsi="Fira Sans"/>
          <w:sz w:val="20"/>
          <w:szCs w:val="20"/>
        </w:rPr>
        <w:t>s</w:t>
      </w:r>
      <w:r w:rsidR="000303C3" w:rsidRPr="00842F43">
        <w:rPr>
          <w:rFonts w:ascii="Fira Sans" w:hAnsi="Fira Sans"/>
          <w:sz w:val="20"/>
          <w:szCs w:val="20"/>
        </w:rPr>
        <w:t xml:space="preserve">ponse </w:t>
      </w:r>
      <w:r w:rsidR="004D627C" w:rsidRPr="00842F43">
        <w:rPr>
          <w:rFonts w:ascii="Fira Sans" w:hAnsi="Fira Sans"/>
          <w:sz w:val="20"/>
          <w:szCs w:val="20"/>
        </w:rPr>
        <w:t>variability</w:t>
      </w:r>
      <w:r w:rsidR="007D4A2C" w:rsidRPr="00842F43">
        <w:rPr>
          <w:rFonts w:ascii="Fira Sans" w:hAnsi="Fira Sans"/>
          <w:sz w:val="20"/>
          <w:szCs w:val="20"/>
        </w:rPr>
        <w:t xml:space="preserve">. </w:t>
      </w:r>
      <w:r w:rsidR="002D3D5F" w:rsidRPr="00842F43">
        <w:rPr>
          <w:rFonts w:ascii="Fira Sans" w:hAnsi="Fira Sans"/>
          <w:sz w:val="20"/>
          <w:szCs w:val="20"/>
        </w:rPr>
        <w:t xml:space="preserve">Moreover, there are fewer EMDR R-TEP practitioners than those trained in </w:t>
      </w:r>
      <w:r w:rsidR="00093426" w:rsidRPr="00842F43">
        <w:rPr>
          <w:rFonts w:ascii="Fira Sans" w:hAnsi="Fira Sans"/>
          <w:sz w:val="20"/>
          <w:szCs w:val="20"/>
        </w:rPr>
        <w:t xml:space="preserve">standard protocol EMDR. Careful consideration should be given to which EMDR protocol is most useful and scalable in this context.  </w:t>
      </w:r>
    </w:p>
    <w:p w14:paraId="71ED7A0A" w14:textId="060C874E" w:rsidR="0086635D" w:rsidRPr="00842F43" w:rsidRDefault="001B3B0E" w:rsidP="00842F43">
      <w:pPr>
        <w:spacing w:line="360" w:lineRule="auto"/>
        <w:rPr>
          <w:rFonts w:ascii="Fira Sans" w:hAnsi="Fira Sans"/>
          <w:noProof/>
          <w:sz w:val="20"/>
          <w:szCs w:val="20"/>
        </w:rPr>
      </w:pPr>
      <w:r w:rsidRPr="00842F43">
        <w:rPr>
          <w:rFonts w:ascii="Fira Sans" w:hAnsi="Fira Sans"/>
          <w:noProof/>
          <w:sz w:val="20"/>
          <w:szCs w:val="20"/>
        </w:rPr>
        <w:t>There were</w:t>
      </w:r>
      <w:r w:rsidR="00C75FE0" w:rsidRPr="00842F43">
        <w:rPr>
          <w:rFonts w:ascii="Fira Sans" w:hAnsi="Fira Sans"/>
          <w:noProof/>
          <w:sz w:val="20"/>
          <w:szCs w:val="20"/>
        </w:rPr>
        <w:t xml:space="preserve"> no protocol deviations or safety incidents</w:t>
      </w:r>
      <w:r w:rsidR="00B77E6B" w:rsidRPr="00842F43">
        <w:rPr>
          <w:rFonts w:ascii="Fira Sans" w:hAnsi="Fira Sans"/>
          <w:noProof/>
          <w:sz w:val="20"/>
          <w:szCs w:val="20"/>
        </w:rPr>
        <w:t>, consistent with s</w:t>
      </w:r>
      <w:r w:rsidR="00C75FE0" w:rsidRPr="00842F43">
        <w:rPr>
          <w:rFonts w:ascii="Fira Sans" w:hAnsi="Fira Sans"/>
          <w:noProof/>
          <w:sz w:val="20"/>
          <w:szCs w:val="20"/>
        </w:rPr>
        <w:t>ystematic reviews of EMDR</w:t>
      </w:r>
      <w:r w:rsidR="00836FB3" w:rsidRPr="00842F43">
        <w:rPr>
          <w:rFonts w:ascii="Fira Sans" w:hAnsi="Fira Sans"/>
          <w:noProof/>
          <w:sz w:val="20"/>
          <w:szCs w:val="20"/>
        </w:rPr>
        <w:t xml:space="preserve">, </w:t>
      </w:r>
      <w:r w:rsidR="00C75FE0" w:rsidRPr="00842F43">
        <w:rPr>
          <w:rFonts w:ascii="Fira Sans" w:hAnsi="Fira Sans"/>
          <w:noProof/>
          <w:sz w:val="20"/>
          <w:szCs w:val="20"/>
        </w:rPr>
        <w:t xml:space="preserve">incuding those </w:t>
      </w:r>
      <w:r w:rsidRPr="00842F43">
        <w:rPr>
          <w:rFonts w:ascii="Fira Sans" w:hAnsi="Fira Sans"/>
          <w:noProof/>
          <w:sz w:val="20"/>
          <w:szCs w:val="20"/>
        </w:rPr>
        <w:t>studies in</w:t>
      </w:r>
      <w:r w:rsidR="00C75FE0" w:rsidRPr="00842F43">
        <w:rPr>
          <w:rFonts w:ascii="Fira Sans" w:hAnsi="Fira Sans"/>
          <w:noProof/>
          <w:sz w:val="20"/>
          <w:szCs w:val="20"/>
        </w:rPr>
        <w:t xml:space="preserve"> survivors of life-threatening medical events</w:t>
      </w:r>
      <w:r w:rsidR="00836FB3" w:rsidRPr="00842F43">
        <w:rPr>
          <w:rFonts w:ascii="Fira Sans" w:hAnsi="Fira Sans"/>
          <w:noProof/>
          <w:sz w:val="20"/>
          <w:szCs w:val="20"/>
        </w:rPr>
        <w:t>.</w:t>
      </w:r>
      <w:r w:rsidR="00B77E6B" w:rsidRPr="00842F43">
        <w:rPr>
          <w:rFonts w:ascii="Fira Sans" w:hAnsi="Fira Sans"/>
          <w:noProof/>
          <w:sz w:val="20"/>
          <w:szCs w:val="20"/>
          <w:vertAlign w:val="superscript"/>
        </w:rPr>
        <w:fldChar w:fldCharType="begin" w:fldLock="1"/>
      </w:r>
      <w:r w:rsidR="005129D7" w:rsidRPr="00842F43">
        <w:rPr>
          <w:rFonts w:ascii="Fira Sans" w:hAnsi="Fira Sans"/>
          <w:noProof/>
          <w:sz w:val="20"/>
          <w:szCs w:val="20"/>
          <w:vertAlign w:val="superscript"/>
        </w:rPr>
        <w:instrText>ADDIN CSL_CITATION {"citationItems":[{"id":"ITEM-1","itemData":{"DOI":"10.1016/j.janxdis.2019.03.003","ISSN":"1873-7897","PMID":"30925334","abstract":"Post-traumatic stress disorder (PTSD) induced by life-threatening medical events has been associated with adverse physical and mental health outcomes, but it is unclear whether early interventions to prevent the onset of PTSD after these events are efficacious. We conducted a systematic review to address this need. We searched six biomedical electronic databases from database inception to October 2018. Eligible studies used randomized designs, evaluated interventions initiated within 3 months of potentially traumatic medical events, included adult participants, and did not have high risk of bias. The 21 included studies (N</w:instrText>
      </w:r>
      <w:r w:rsidR="005129D7" w:rsidRPr="00842F43">
        <w:rPr>
          <w:rFonts w:ascii="Arial" w:hAnsi="Arial" w:cs="Arial"/>
          <w:noProof/>
          <w:sz w:val="20"/>
          <w:szCs w:val="20"/>
          <w:vertAlign w:val="superscript"/>
        </w:rPr>
        <w:instrText> </w:instrText>
      </w:r>
      <w:r w:rsidR="005129D7" w:rsidRPr="00842F43">
        <w:rPr>
          <w:rFonts w:ascii="Fira Sans" w:hAnsi="Fira Sans"/>
          <w:noProof/>
          <w:sz w:val="20"/>
          <w:szCs w:val="20"/>
          <w:vertAlign w:val="superscript"/>
        </w:rPr>
        <w:instrText>=</w:instrText>
      </w:r>
      <w:r w:rsidR="005129D7" w:rsidRPr="00842F43">
        <w:rPr>
          <w:rFonts w:ascii="Arial" w:hAnsi="Arial" w:cs="Arial"/>
          <w:noProof/>
          <w:sz w:val="20"/>
          <w:szCs w:val="20"/>
          <w:vertAlign w:val="superscript"/>
        </w:rPr>
        <w:instrText> </w:instrText>
      </w:r>
      <w:r w:rsidR="005129D7" w:rsidRPr="00842F43">
        <w:rPr>
          <w:rFonts w:ascii="Fira Sans" w:hAnsi="Fira Sans"/>
          <w:noProof/>
          <w:sz w:val="20"/>
          <w:szCs w:val="20"/>
          <w:vertAlign w:val="superscript"/>
        </w:rPr>
        <w:instrText>4,486) assessed a heterogeneous set of interventions after critical illness (9), cancer diagnosis (8), heart disease (2), and cardiopulmonary surgery (2). Fourteen psychological, 2 pharmacological, and 5 other-type interventions were assessed. Four of the psychological interventions emphasizing cognitive behavioral therapy or meaning-making, 1 other-type palliative care intervention, and 1 pharmacological-only intervention (hydrocortisone administration) were efficacious at reducing PTSD symptoms relative to control. One early, in-hospital counseling intervention was less efficacious at lowering PTSD symptoms than an active control. Clinical and methodological heterogeneity prevented quantitative pooling of data. While several promising interventions were identified, strong evidence of efficacy for any specific early PTSD intervention after medical events is currently lacking.","author":[{"dropping-particle":"","family":"Birk","given":"Jeffrey L","non-dropping-particle":"","parse-names":false,"suffix":""},{"dropping-particle":"","family":"Sumner","given":"Jennifer A","non-dropping-particle":"","parse-names":false,"suffix":""},{"dropping-particle":"","family":"Haerizadeh","given":"Mytra","non-dropping-particle":"","parse-names":false,"suffix":""},{"dropping-particle":"","family":"Heyman-Kantor","given":"Reuben","non-dropping-particle":"","parse-names":false,"suffix":""},{"dropping-particle":"","family":"Falzon","given":"Louise","non-dropping-particle":"","parse-names":false,"suffix":""},{"dropping-particle":"","family":"Gonzalez","given":"Christopher","non-dropping-particle":"","parse-names":false,"suffix":""},{"dropping-particle":"","family":"Gershengoren","given":"Liliya","non-dropping-particle":"","parse-names":false,"suffix":""},{"dropping-particle":"","family":"Shapiro","given":"Peter","non-dropping-particle":"","parse-names":false,"suffix":""},{"dropping-particle":"","family":"Edmondson","given":"Donald","non-dropping-particle":"","parse-names":false,"suffix":""},{"dropping-particle":"","family":"Kronish","given":"Ian M","non-dropping-particle":"","parse-names":false,"suffix":""}],"container-title":"Journal of anxiety disorders","id":"ITEM-1","issued":{"date-parts":[["2019"]]},"page":"24-39","publisher":"NIH Public Access","title":"Early interventions to prevent posttraumatic stress disorder symptoms in survivors of life-threatening medical events: A systematic review.","type":"article-journal","volume":"64"},"uris":["http://www.mendeley.com/documents/?uuid=15415252-4871-3ff1-b6b5-016b9f5f35ef"]}],"mendeley":{"formattedCitation":"(38)","manualFormatting":"(72)","plainTextFormattedCitation":"(38)","previouslyFormattedCitation":"(38)"},"properties":{"noteIndex":0},"schema":"https://github.com/citation-style-language/schema/raw/master/csl-citation.json"}</w:instrText>
      </w:r>
      <w:r w:rsidR="00B77E6B" w:rsidRPr="00842F43">
        <w:rPr>
          <w:rFonts w:ascii="Fira Sans" w:hAnsi="Fira Sans"/>
          <w:noProof/>
          <w:sz w:val="20"/>
          <w:szCs w:val="20"/>
          <w:vertAlign w:val="superscript"/>
        </w:rPr>
        <w:fldChar w:fldCharType="separate"/>
      </w:r>
      <w:r w:rsidR="00BA416A" w:rsidRPr="00842F43">
        <w:rPr>
          <w:rFonts w:ascii="Fira Sans" w:hAnsi="Fira Sans"/>
          <w:noProof/>
          <w:sz w:val="20"/>
          <w:szCs w:val="20"/>
          <w:vertAlign w:val="superscript"/>
        </w:rPr>
        <w:t>(</w:t>
      </w:r>
      <w:r w:rsidR="005129D7" w:rsidRPr="00842F43">
        <w:rPr>
          <w:rFonts w:ascii="Fira Sans" w:hAnsi="Fira Sans"/>
          <w:noProof/>
          <w:sz w:val="20"/>
          <w:szCs w:val="20"/>
          <w:vertAlign w:val="superscript"/>
        </w:rPr>
        <w:t>72</w:t>
      </w:r>
      <w:r w:rsidR="00BA416A" w:rsidRPr="00842F43">
        <w:rPr>
          <w:rFonts w:ascii="Fira Sans" w:hAnsi="Fira Sans"/>
          <w:noProof/>
          <w:sz w:val="20"/>
          <w:szCs w:val="20"/>
          <w:vertAlign w:val="superscript"/>
        </w:rPr>
        <w:t>)</w:t>
      </w:r>
      <w:r w:rsidR="00B77E6B" w:rsidRPr="00842F43">
        <w:rPr>
          <w:rFonts w:ascii="Fira Sans" w:hAnsi="Fira Sans"/>
          <w:noProof/>
          <w:sz w:val="20"/>
          <w:szCs w:val="20"/>
          <w:vertAlign w:val="superscript"/>
        </w:rPr>
        <w:fldChar w:fldCharType="end"/>
      </w:r>
      <w:r w:rsidRPr="00842F43">
        <w:rPr>
          <w:rFonts w:ascii="Fira Sans" w:hAnsi="Fira Sans"/>
          <w:noProof/>
          <w:sz w:val="20"/>
          <w:szCs w:val="20"/>
        </w:rPr>
        <w:t xml:space="preserve"> C</w:t>
      </w:r>
      <w:r w:rsidR="00857597" w:rsidRPr="00842F43">
        <w:rPr>
          <w:rFonts w:ascii="Fira Sans" w:hAnsi="Fira Sans"/>
          <w:noProof/>
          <w:sz w:val="20"/>
          <w:szCs w:val="20"/>
        </w:rPr>
        <w:t>OV</w:t>
      </w:r>
      <w:r w:rsidRPr="00842F43">
        <w:rPr>
          <w:rFonts w:ascii="Fira Sans" w:hAnsi="Fira Sans"/>
          <w:noProof/>
          <w:sz w:val="20"/>
          <w:szCs w:val="20"/>
        </w:rPr>
        <w:t xml:space="preserve">EMERALD exceeded the reported mean completion rate (75%) of 7 </w:t>
      </w:r>
      <w:r w:rsidR="00FC2A33" w:rsidRPr="00842F43">
        <w:rPr>
          <w:rFonts w:ascii="Fira Sans" w:hAnsi="Fira Sans"/>
          <w:noProof/>
          <w:sz w:val="20"/>
          <w:szCs w:val="20"/>
        </w:rPr>
        <w:t xml:space="preserve">other </w:t>
      </w:r>
      <w:r w:rsidRPr="00842F43">
        <w:rPr>
          <w:rFonts w:ascii="Fira Sans" w:hAnsi="Fira Sans"/>
          <w:noProof/>
          <w:sz w:val="20"/>
          <w:szCs w:val="20"/>
        </w:rPr>
        <w:t>studies investigating psychological interventions for ICU survivors</w:t>
      </w:r>
      <w:r w:rsidRPr="00842F43">
        <w:rPr>
          <w:rFonts w:ascii="Fira Sans" w:hAnsi="Fira Sans"/>
          <w:noProof/>
          <w:sz w:val="20"/>
          <w:szCs w:val="20"/>
          <w:vertAlign w:val="superscript"/>
        </w:rPr>
        <w:fldChar w:fldCharType="begin" w:fldLock="1"/>
      </w:r>
      <w:r w:rsidR="005129D7" w:rsidRPr="00842F43">
        <w:rPr>
          <w:rFonts w:ascii="Fira Sans" w:hAnsi="Fira Sans"/>
          <w:noProof/>
          <w:sz w:val="20"/>
          <w:szCs w:val="20"/>
          <w:vertAlign w:val="superscript"/>
        </w:rPr>
        <w:instrText>ADDIN CSL_CITATION {"citationItems":[{"id":"ITEM-1","itemData":{"abstract":"MiNerVa aNestesiologica 465 suffering and fear of one's own death. Many icU procedures are invasive and may cause considerable distress. Furthermore, frightening hallucinations and paranoid delusions are common. 1, 2 research suggests that the cumulative stress patients experience in icU can affect their t he intensive care unit (icU) is an environment that induces significant stress in many patients. stressors include pain, hunger, thirst, sleep deprivation, inability to communicate , loss of control, loss of dignity, an unnatural environment, witnessing other people's","author":[{"dropping-particle":"","family":"Wade","given":"Dorothy M","non-dropping-particle":"","parse-names":false,"suffix":""},{"dropping-particle":"","family":"Moon","given":"Zoe","non-dropping-particle":"","parse-names":false,"suffix":""},{"dropping-particle":"","family":"Windgassen","given":"Sula S","non-dropping-particle":"","parse-names":false,"suffix":""},{"dropping-particle":"","family":"Harrison","given":"M","non-dropping-particle":"","parse-names":false,"suffix":""},{"dropping-particle":"","family":"Morris","given":"Lucy","non-dropping-particle":"","parse-names":false,"suffix":""},{"dropping-particle":"","family":"Weinman","given":"John A","non-dropping-particle":"","parse-names":false,"suffix":""}],"id":"ITEM-1","issued":{"date-parts":[["2015"]]},"title":"Non-pharmacological interventions to reduce icU-related psychological distress: a systematic review","type":"report"},"uris":["http://www.mendeley.com/documents/?uuid=3f23e562-cb1d-31db-89cc-a058339a07a5"]}],"mendeley":{"formattedCitation":"(39)","manualFormatting":"(39)","plainTextFormattedCitation":"(39)","previouslyFormattedCitation":"(39)"},"properties":{"noteIndex":0},"schema":"https://github.com/citation-style-language/schema/raw/master/csl-citation.json"}</w:instrText>
      </w:r>
      <w:r w:rsidRPr="00842F43">
        <w:rPr>
          <w:rFonts w:ascii="Fira Sans" w:hAnsi="Fira Sans"/>
          <w:noProof/>
          <w:sz w:val="20"/>
          <w:szCs w:val="20"/>
          <w:vertAlign w:val="superscript"/>
        </w:rPr>
        <w:fldChar w:fldCharType="separate"/>
      </w:r>
      <w:r w:rsidR="00BA416A" w:rsidRPr="00842F43">
        <w:rPr>
          <w:rFonts w:ascii="Fira Sans" w:hAnsi="Fira Sans"/>
          <w:noProof/>
          <w:sz w:val="20"/>
          <w:szCs w:val="20"/>
          <w:vertAlign w:val="superscript"/>
        </w:rPr>
        <w:t>(</w:t>
      </w:r>
      <w:r w:rsidR="005129D7" w:rsidRPr="00842F43">
        <w:rPr>
          <w:rFonts w:ascii="Fira Sans" w:hAnsi="Fira Sans"/>
          <w:noProof/>
          <w:sz w:val="20"/>
          <w:szCs w:val="20"/>
          <w:vertAlign w:val="superscript"/>
        </w:rPr>
        <w:t>39</w:t>
      </w:r>
      <w:r w:rsidR="00BA416A" w:rsidRPr="00842F43">
        <w:rPr>
          <w:rFonts w:ascii="Fira Sans" w:hAnsi="Fira Sans"/>
          <w:noProof/>
          <w:sz w:val="20"/>
          <w:szCs w:val="20"/>
          <w:vertAlign w:val="superscript"/>
        </w:rPr>
        <w:t>)</w:t>
      </w:r>
      <w:r w:rsidRPr="00842F43">
        <w:rPr>
          <w:rFonts w:ascii="Fira Sans" w:hAnsi="Fira Sans"/>
          <w:noProof/>
          <w:sz w:val="20"/>
          <w:szCs w:val="20"/>
          <w:vertAlign w:val="superscript"/>
        </w:rPr>
        <w:fldChar w:fldCharType="end"/>
      </w:r>
      <w:r w:rsidR="00836FB3" w:rsidRPr="00842F43">
        <w:rPr>
          <w:rFonts w:ascii="Fira Sans" w:hAnsi="Fira Sans"/>
          <w:noProof/>
          <w:sz w:val="20"/>
          <w:szCs w:val="20"/>
        </w:rPr>
        <w:t xml:space="preserve"> </w:t>
      </w:r>
    </w:p>
    <w:p w14:paraId="7DBBF299" w14:textId="37095C23" w:rsidR="001B3B0E" w:rsidRPr="00842F43" w:rsidRDefault="001B3B0E" w:rsidP="00842F43">
      <w:pPr>
        <w:spacing w:line="360" w:lineRule="auto"/>
        <w:rPr>
          <w:rFonts w:ascii="Fira Sans" w:hAnsi="Fira Sans"/>
          <w:noProof/>
          <w:sz w:val="20"/>
          <w:szCs w:val="20"/>
        </w:rPr>
      </w:pPr>
    </w:p>
    <w:p w14:paraId="7D2082FA" w14:textId="2D0AC3CC" w:rsidR="008A3E4E" w:rsidRPr="00842F43" w:rsidRDefault="008A3E4E" w:rsidP="00842F43">
      <w:pPr>
        <w:spacing w:line="360" w:lineRule="auto"/>
        <w:rPr>
          <w:rFonts w:ascii="Fira Sans" w:hAnsi="Fira Sans"/>
          <w:i/>
          <w:iCs/>
          <w:noProof/>
          <w:sz w:val="20"/>
          <w:szCs w:val="20"/>
        </w:rPr>
      </w:pPr>
      <w:r w:rsidRPr="00842F43">
        <w:rPr>
          <w:rFonts w:ascii="Fira Sans" w:hAnsi="Fira Sans"/>
          <w:i/>
          <w:iCs/>
          <w:noProof/>
          <w:sz w:val="20"/>
          <w:szCs w:val="20"/>
        </w:rPr>
        <w:t>Clinical outcomes</w:t>
      </w:r>
    </w:p>
    <w:p w14:paraId="7CBCCAAE" w14:textId="7C1598B3" w:rsidR="00A521D1" w:rsidRPr="00842F43" w:rsidRDefault="00FD08F8" w:rsidP="00842F43">
      <w:pPr>
        <w:spacing w:line="360" w:lineRule="auto"/>
        <w:rPr>
          <w:rFonts w:ascii="Fira Sans" w:hAnsi="Fira Sans"/>
          <w:noProof/>
          <w:sz w:val="20"/>
          <w:szCs w:val="20"/>
        </w:rPr>
      </w:pPr>
      <w:r w:rsidRPr="00842F43">
        <w:rPr>
          <w:rFonts w:ascii="Fira Sans" w:hAnsi="Fira Sans"/>
          <w:noProof/>
          <w:sz w:val="20"/>
          <w:szCs w:val="20"/>
        </w:rPr>
        <w:t>Our</w:t>
      </w:r>
      <w:r w:rsidR="0082389A" w:rsidRPr="00842F43">
        <w:rPr>
          <w:rFonts w:ascii="Fira Sans" w:hAnsi="Fira Sans"/>
          <w:noProof/>
          <w:sz w:val="20"/>
          <w:szCs w:val="20"/>
        </w:rPr>
        <w:t xml:space="preserve"> </w:t>
      </w:r>
      <w:r w:rsidR="001B3B0E" w:rsidRPr="00842F43">
        <w:rPr>
          <w:rFonts w:ascii="Fira Sans" w:hAnsi="Fira Sans"/>
          <w:noProof/>
          <w:sz w:val="20"/>
          <w:szCs w:val="20"/>
        </w:rPr>
        <w:t>study was</w:t>
      </w:r>
      <w:r w:rsidRPr="00842F43">
        <w:rPr>
          <w:rFonts w:ascii="Fira Sans" w:hAnsi="Fira Sans"/>
          <w:noProof/>
          <w:sz w:val="20"/>
          <w:szCs w:val="20"/>
        </w:rPr>
        <w:t xml:space="preserve"> not powered to detect </w:t>
      </w:r>
      <w:r w:rsidR="00611B59" w:rsidRPr="00842F43">
        <w:rPr>
          <w:rFonts w:ascii="Fira Sans" w:hAnsi="Fira Sans"/>
          <w:noProof/>
          <w:sz w:val="20"/>
          <w:szCs w:val="20"/>
        </w:rPr>
        <w:t>efficacy of the intervention compared to usual practice</w:t>
      </w:r>
      <w:r w:rsidR="007A0CB8" w:rsidRPr="00842F43">
        <w:rPr>
          <w:rFonts w:ascii="Fira Sans" w:hAnsi="Fira Sans"/>
          <w:noProof/>
          <w:sz w:val="20"/>
          <w:szCs w:val="20"/>
        </w:rPr>
        <w:t>.</w:t>
      </w:r>
      <w:r w:rsidRPr="00842F43">
        <w:rPr>
          <w:rFonts w:ascii="Fira Sans" w:hAnsi="Fira Sans"/>
          <w:noProof/>
          <w:sz w:val="20"/>
          <w:szCs w:val="20"/>
        </w:rPr>
        <w:t xml:space="preserve"> </w:t>
      </w:r>
      <w:r w:rsidR="00611B59" w:rsidRPr="00842F43">
        <w:rPr>
          <w:rFonts w:ascii="Fira Sans" w:hAnsi="Fira Sans"/>
          <w:noProof/>
          <w:sz w:val="20"/>
          <w:szCs w:val="20"/>
        </w:rPr>
        <w:t xml:space="preserve">The </w:t>
      </w:r>
      <w:r w:rsidR="00A521D1" w:rsidRPr="00842F43">
        <w:rPr>
          <w:rFonts w:ascii="Fira Sans" w:hAnsi="Fira Sans"/>
          <w:noProof/>
          <w:sz w:val="20"/>
          <w:szCs w:val="20"/>
        </w:rPr>
        <w:t xml:space="preserve">reported </w:t>
      </w:r>
      <w:r w:rsidR="00611B59" w:rsidRPr="00842F43">
        <w:rPr>
          <w:rFonts w:ascii="Fira Sans" w:hAnsi="Fira Sans"/>
          <w:noProof/>
          <w:sz w:val="20"/>
          <w:szCs w:val="20"/>
        </w:rPr>
        <w:t xml:space="preserve">values </w:t>
      </w:r>
      <w:r w:rsidR="00A521D1" w:rsidRPr="00842F43">
        <w:rPr>
          <w:rFonts w:ascii="Fira Sans" w:hAnsi="Fira Sans"/>
          <w:noProof/>
          <w:sz w:val="20"/>
          <w:szCs w:val="20"/>
        </w:rPr>
        <w:t>do</w:t>
      </w:r>
      <w:r w:rsidR="00611B59" w:rsidRPr="00842F43">
        <w:rPr>
          <w:rFonts w:ascii="Fira Sans" w:hAnsi="Fira Sans"/>
          <w:noProof/>
          <w:sz w:val="20"/>
          <w:szCs w:val="20"/>
        </w:rPr>
        <w:t xml:space="preserve"> </w:t>
      </w:r>
      <w:r w:rsidR="00A521D1" w:rsidRPr="00842F43">
        <w:rPr>
          <w:rFonts w:ascii="Fira Sans" w:hAnsi="Fira Sans"/>
          <w:noProof/>
          <w:sz w:val="20"/>
          <w:szCs w:val="20"/>
        </w:rPr>
        <w:t>match</w:t>
      </w:r>
      <w:r w:rsidR="00611B59" w:rsidRPr="00842F43">
        <w:rPr>
          <w:rFonts w:ascii="Fira Sans" w:hAnsi="Fira Sans"/>
          <w:noProof/>
          <w:sz w:val="20"/>
          <w:szCs w:val="20"/>
        </w:rPr>
        <w:t xml:space="preserve"> findings from a systematic review of studies of EMDR in survivors of other life-threatening medical events</w:t>
      </w:r>
      <w:r w:rsidR="00611B59" w:rsidRPr="00842F43">
        <w:rPr>
          <w:rFonts w:ascii="Fira Sans" w:hAnsi="Fira Sans"/>
          <w:noProof/>
          <w:sz w:val="20"/>
          <w:szCs w:val="20"/>
          <w:vertAlign w:val="superscript"/>
        </w:rPr>
        <w:fldChar w:fldCharType="begin" w:fldLock="1"/>
      </w:r>
      <w:r w:rsidR="00F94450" w:rsidRPr="00842F43">
        <w:rPr>
          <w:rFonts w:ascii="Fira Sans" w:hAnsi="Fira Sans"/>
          <w:noProof/>
          <w:sz w:val="20"/>
          <w:szCs w:val="20"/>
          <w:vertAlign w:val="superscript"/>
        </w:rPr>
        <w:instrText>ADDIN CSL_CITATION {"citationItems":[{"id":"ITEM-1","itemData":{"DOI":"10.1016/j.jpsychores.2019.109908","ISSN":"1879-1360","PMID":"31884302","abstract":"OBJECTIVE Medical events such as myocardial infarction and cancer diagnosis can induce symptoms of posttraumatic stress disorder (PTSD). The optimal treatment of PTSD symptoms in this context is unknown. METHODS A literature search of 6 biomedical electronic databases was conducted from database inception to November 2018. Studies were eligible if they used a randomized design and evaluated the effect of treatments on medical event-induced PTSD symptoms in adults. A random effects model was used to pool data when two or more comparable studies were available. RESULTS Six trials met full inclusion criteria. Studies ranged in size from 21 to 81 patients, and included patients with PTSD induced by cardiac events, cancer, HIV, multiple sclerosis, and stem cell transplantation. All trials assessed psychological interventions. Two trials comparing a form of exposure-based cognitive behavioral therapy (CBT) with assessment-only control found that CBT resulted in lower PTSD symptoms [Hedges's g = -0.47, (95% CI -0.82 - -0.12), p = .009]. A third trial compared imaginal exposure (another form of exposure-based CBT) with an attention control and found a trend toward reduced PTSD symptoms. Three trials compared eye movement desensitization and reprocessing (EMDR) with active psychological treatments (imaginal exposure, conventional CBT, and relaxation therapy), and found that EMDR was more effective. CONCLUSION CBT and EMDR may be promising approaches to reducing PTSD symptoms due to medical events. However, additional trials are needed in this patient population.","author":[{"dropping-particle":"","family":"Haerizadeh","given":"Mytra","non-dropping-particle":"","parse-names":false,"suffix":""},{"dropping-particle":"","family":"Sumner","given":"Jennifer A","non-dropping-particle":"","parse-names":false,"suffix":""},{"dropping-particle":"","family":"Birk","given":"Jeffrey L","non-dropping-particle":"","parse-names":false,"suffix":""},{"dropping-particle":"","family":"Gonzalez","given":"Christopher","non-dropping-particle":"","parse-names":false,"suffix":""},{"dropping-particle":"","family":"Heyman-Kantor","given":"Reuben","non-dropping-particle":"","parse-names":false,"suffix":""},{"dropping-particle":"","family":"Falzon","given":"Louise","non-dropping-particle":"","parse-names":false,"suffix":""},{"dropping-particle":"","family":"Gershengoren","given":"Liliya","non-dropping-particle":"","parse-names":false,"suffix":""},{"dropping-particle":"","family":"Shapiro","given":"Peter","non-dropping-particle":"","parse-names":false,"suffix":""},{"dropping-particle":"","family":"Kronish","given":"Ian M","non-dropping-particle":"","parse-names":false,"suffix":""}],"container-title":"Journal of psychosomatic research","id":"ITEM-1","issued":{"date-parts":[["2020"]]},"page":"109908","publisher":"NIH Public Access","title":"Interventions for posttraumatic stress disorder symptoms induced by medical events: A systematic review.","type":"article-journal","volume":"129"},"uris":["http://www.mendeley.com/documents/?uuid=1289bbd7-ed3f-3fee-b613-c078b2052706"]}],"mendeley":{"formattedCitation":"(72)","manualFormatting":"(48)","plainTextFormattedCitation":"(72)","previouslyFormattedCitation":"(72)"},"properties":{"noteIndex":0},"schema":"https://github.com/citation-style-language/schema/raw/master/csl-citation.json"}</w:instrText>
      </w:r>
      <w:r w:rsidR="00611B59" w:rsidRPr="00842F43">
        <w:rPr>
          <w:rFonts w:ascii="Fira Sans" w:hAnsi="Fira Sans"/>
          <w:noProof/>
          <w:sz w:val="20"/>
          <w:szCs w:val="20"/>
          <w:vertAlign w:val="superscript"/>
        </w:rPr>
        <w:fldChar w:fldCharType="separate"/>
      </w:r>
      <w:r w:rsidR="00611B59" w:rsidRPr="00842F43">
        <w:rPr>
          <w:rFonts w:ascii="Fira Sans" w:hAnsi="Fira Sans"/>
          <w:noProof/>
          <w:sz w:val="20"/>
          <w:szCs w:val="20"/>
          <w:vertAlign w:val="superscript"/>
        </w:rPr>
        <w:t>(</w:t>
      </w:r>
      <w:r w:rsidR="005129D7" w:rsidRPr="00842F43">
        <w:rPr>
          <w:rFonts w:ascii="Fira Sans" w:hAnsi="Fira Sans"/>
          <w:noProof/>
          <w:sz w:val="20"/>
          <w:szCs w:val="20"/>
          <w:vertAlign w:val="superscript"/>
        </w:rPr>
        <w:t>72</w:t>
      </w:r>
      <w:r w:rsidR="00611B59" w:rsidRPr="00842F43">
        <w:rPr>
          <w:rFonts w:ascii="Fira Sans" w:hAnsi="Fira Sans"/>
          <w:noProof/>
          <w:sz w:val="20"/>
          <w:szCs w:val="20"/>
          <w:vertAlign w:val="superscript"/>
        </w:rPr>
        <w:t>)</w:t>
      </w:r>
      <w:r w:rsidR="00611B59" w:rsidRPr="00842F43">
        <w:rPr>
          <w:rFonts w:ascii="Fira Sans" w:hAnsi="Fira Sans"/>
          <w:noProof/>
          <w:sz w:val="20"/>
          <w:szCs w:val="20"/>
          <w:vertAlign w:val="superscript"/>
        </w:rPr>
        <w:fldChar w:fldCharType="end"/>
      </w:r>
      <w:r w:rsidR="00611B59" w:rsidRPr="00842F43">
        <w:rPr>
          <w:rFonts w:ascii="Fira Sans" w:hAnsi="Fira Sans"/>
          <w:noProof/>
          <w:sz w:val="20"/>
          <w:szCs w:val="20"/>
        </w:rPr>
        <w:t xml:space="preserve"> </w:t>
      </w:r>
      <w:r w:rsidR="00A521D1" w:rsidRPr="00842F43">
        <w:rPr>
          <w:rFonts w:ascii="Fira Sans" w:hAnsi="Fira Sans"/>
          <w:noProof/>
          <w:sz w:val="20"/>
          <w:szCs w:val="20"/>
        </w:rPr>
        <w:t xml:space="preserve">and show a trend towards </w:t>
      </w:r>
      <w:r w:rsidR="007A0CB8" w:rsidRPr="00842F43">
        <w:rPr>
          <w:rFonts w:ascii="Fira Sans" w:hAnsi="Fira Sans"/>
          <w:noProof/>
          <w:sz w:val="20"/>
          <w:szCs w:val="20"/>
        </w:rPr>
        <w:t xml:space="preserve">symptom reduction </w:t>
      </w:r>
      <w:r w:rsidR="00A521D1" w:rsidRPr="00842F43">
        <w:rPr>
          <w:rFonts w:ascii="Fira Sans" w:hAnsi="Fira Sans"/>
          <w:noProof/>
          <w:sz w:val="20"/>
          <w:szCs w:val="20"/>
        </w:rPr>
        <w:t xml:space="preserve">in PTSD </w:t>
      </w:r>
      <w:r w:rsidR="007A0CB8" w:rsidRPr="00842F43">
        <w:rPr>
          <w:rFonts w:ascii="Fira Sans" w:hAnsi="Fira Sans"/>
          <w:noProof/>
          <w:sz w:val="20"/>
          <w:szCs w:val="20"/>
        </w:rPr>
        <w:t>(-8) and depressive symptoms (-2)</w:t>
      </w:r>
      <w:r w:rsidR="00A521D1" w:rsidRPr="00842F43">
        <w:rPr>
          <w:rFonts w:ascii="Fira Sans" w:hAnsi="Fira Sans"/>
          <w:noProof/>
          <w:sz w:val="20"/>
          <w:szCs w:val="20"/>
        </w:rPr>
        <w:t>. These</w:t>
      </w:r>
      <w:r w:rsidR="007A0CB8" w:rsidRPr="00842F43">
        <w:rPr>
          <w:rFonts w:ascii="Fira Sans" w:hAnsi="Fira Sans"/>
          <w:noProof/>
          <w:sz w:val="20"/>
          <w:szCs w:val="20"/>
        </w:rPr>
        <w:t xml:space="preserve"> are in the ranges defined as MCID of </w:t>
      </w:r>
      <w:r w:rsidR="007A0CB8" w:rsidRPr="00842F43">
        <w:rPr>
          <w:rFonts w:ascii="Fira Sans" w:hAnsi="Fira Sans"/>
          <w:sz w:val="20"/>
          <w:szCs w:val="20"/>
        </w:rPr>
        <w:t>5.7-10.2</w:t>
      </w:r>
      <w:r w:rsidR="004078B5"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{"citationItems":[{"id":"ITEM-1","itemData":{"DOI":"10.1007/s11126-017-9522-y","ISSN":"0033-2720","abstract":"This study sought to determine the minimal clinically important difference (MCID) for two frequently used measures of symptom severity in Post-Traumatic Stress Disorder: the Clinician Administered PTSD Scale (CAPS) and the PTSD Symptom Checklist (PCL). Data from a randomized clinical trial of antipsychotic medication in military-related treatment-resistant PTSD (N= 267) included assessments 4 times over 26 weeks. Methods for estimating the MCID were based on both the anchor-based approach, using the Clinical Global Impressions (CGI) severity and improvement scales, rated by both clinicians and patients; and the distribution-based approach (based on standardized z-scores). Severity and change scores on the CAPS and PCL were converted to z-scores and compared across CGI levels using analysis of variance. The average difference in CAPS z-scores between each of three CGI levels between “moderate” to “severe” and from “no change” to “much improved” was 0.758 for clinician CGI ratings and 0.525 for patient CGI ratings and were similar for the PCL (0.483 and 0.471) with all differences significant at p&amp;lt;.0001). Clinically meaningful CAPS and PCL severity and change z-scores range between 0.5–0.8 standard deviations. The MCID estimates suggested here provide an empirical basis for determining whether statistically significant changes in CAPS and PCL scores are clinically meaningful.","author":[{"dropping-particle":"","family":"Stefanovics","given":"Elina A.","non-dropping-particle":"","parse-names":false,"suffix":""},{"dropping-particle":"","family":"Rosenheck","given":"Robert A.","non-dropping-particle":"","parse-names":false,"suffix":""},{"dropping-particle":"","family":"Jones","given":"Karen M.","non-dropping-particle":"","parse-names":false,"suffix":""},{"dropping-particle":"","family":"Huang","given":"Grant","non-dropping-particle":"","parse-names":false,"suffix":""},{"dropping-particle":"","family":"Krystal","given":"John H.","non-dropping-particle":"","parse-names":false,"suffix":""}],"container-title":"Psychiatric Quarterly","id":"ITEM-1","issue":"1","issued":{"date-parts":[["2018","3","21"]]},"page":"141-155","publisher":"Springer","title":"Minimal Clinically Important Differences (MCID) in Assessing Outcomes of Post-Traumatic Stress Disorder","type":"article-journal","volume":"89"},"uris":["http://www.mendeley.com/documents/?uuid=4df4354e-af5a-363c-a8ad-17e1d0ae73c6"]}],"mendeley":{"formattedCitation":"(49)","plainTextFormattedCitation":"(49)","previouslyFormattedCitation":"(49)"},"properties":{"noteIndex":0},"schema":"https://github.com/citation-style-language/schema/raw/master/csl-citation.json"}</w:instrText>
      </w:r>
      <w:r w:rsidR="004078B5" w:rsidRPr="00842F43">
        <w:rPr>
          <w:rFonts w:ascii="Fira Sans" w:hAnsi="Fira Sans"/>
          <w:sz w:val="20"/>
          <w:szCs w:val="20"/>
          <w:vertAlign w:val="superscript"/>
        </w:rPr>
        <w:fldChar w:fldCharType="separate"/>
      </w:r>
      <w:r w:rsidR="00080684" w:rsidRPr="00842F43">
        <w:rPr>
          <w:rFonts w:ascii="Fira Sans" w:hAnsi="Fira Sans"/>
          <w:noProof/>
          <w:sz w:val="20"/>
          <w:szCs w:val="20"/>
        </w:rPr>
        <w:t>(49)</w:t>
      </w:r>
      <w:r w:rsidR="004078B5" w:rsidRPr="00842F43">
        <w:rPr>
          <w:rFonts w:ascii="Fira Sans" w:hAnsi="Fira Sans"/>
          <w:sz w:val="20"/>
          <w:szCs w:val="20"/>
          <w:vertAlign w:val="superscript"/>
        </w:rPr>
        <w:fldChar w:fldCharType="end"/>
      </w:r>
      <w:r w:rsidR="007A0CB8" w:rsidRPr="00842F43">
        <w:rPr>
          <w:rFonts w:ascii="Fira Sans" w:hAnsi="Fira Sans"/>
          <w:sz w:val="20"/>
          <w:szCs w:val="20"/>
        </w:rPr>
        <w:t xml:space="preserve"> </w:t>
      </w:r>
      <w:r w:rsidR="004078B5" w:rsidRPr="00842F43">
        <w:rPr>
          <w:rFonts w:ascii="Fira Sans" w:hAnsi="Fira Sans"/>
          <w:sz w:val="20"/>
          <w:szCs w:val="20"/>
        </w:rPr>
        <w:t>and -2</w:t>
      </w:r>
      <w:r w:rsidR="004078B5" w:rsidRPr="00842F43">
        <w:rPr>
          <w:rFonts w:ascii="Fira Sans" w:hAnsi="Fira Sans"/>
          <w:sz w:val="20"/>
          <w:szCs w:val="20"/>
          <w:vertAlign w:val="superscript"/>
        </w:rPr>
        <w:fldChar w:fldCharType="begin" w:fldLock="1"/>
      </w:r>
      <w:r w:rsidR="00F94450" w:rsidRPr="00842F43">
        <w:rPr>
          <w:rFonts w:ascii="Fira Sans" w:hAnsi="Fira Sans"/>
          <w:sz w:val="20"/>
          <w:szCs w:val="20"/>
          <w:vertAlign w:val="superscript"/>
        </w:rPr>
        <w:instrText>ADDIN CSL_CITATION {"citationItems":[{"id":"ITEM-1","itemData":{"DOI":"10.1097/HCR.0000000000000379","ISSN":"1932-751X","PMID":"30489438","abstract":"PURPOSE The Hospital Anxiety and Depression Scale (HADS) is frequently used by clinicians to assess anxiety and depression in patients with cardiovascular disease; yet, its minimal clinically important difference (MCID) has not been established. The purpose of this study was to establish an MCID for the HADS in patients with cardiovascular disease. METHODS A sample of 591 patients (74% male; ethnicity = 89% white; mean ± standard deviation [SD]: age = 63 ± 10 yr; and body mass index = 29.1 ± 5.6 kg/m) with cardiovascular disease enrolled in a 3-mo cardiac rehabilitation program were included in this study. The MCID for the HADS was estimated using distribution-based methods (ie, standard deviation, effect size, standard error of measurement, and minimal detectable change), anchor-based methods (ie, health transition question, correlation and linear regression, and receiver operating characteristic curve), and Delphi methodology (ie, clinical consensus). RESULTS A total of 18 MCID values were calculated ranging from 0.81 to 5.21 (Anxiety subscale) and 0.5 to 5.57 (Depression subscale). The final MCID for the HADS, triangulated from the distribution-based, anchor-based, and Delphi-based findings, was 1.7 points. CONCLUSIONS Our work provides the first estimates of an MCID by triangulating multiple methodologies for the HADS in patients with cardiovascular disease. This MCID may serve as an indicator of treatment success for clinicians and researchers and guide future interventions to improve the mental health of patients with cardiovascular disease.","author":[{"dropping-particle":"","family":"Lemay","given":"Kyle R","non-dropping-particle":"","parse-names":false,"suffix":""},{"dropping-particle":"","family":"Tulloch","given":"Heather E","non-dropping-particle":"","parse-names":false,"suffix":""},{"dropping-particle":"","family":"Pipe","given":"Andrew L","non-dropping-particle":"","parse-names":false,"suffix":""},{"dropping-particle":"","family":"Reed","given":"Jennifer L","non-dropping-particle":"","parse-names":false,"suffix":""}],"container-title":"Journal of cardiopulmonary rehabilitation and prevention","id":"ITEM-1","issue":"6","issued":{"date-parts":[["2019"]]},"page":"E6-E11","publisher":"J Cardiopulm Rehabil Prev","title":"Establishing the Minimal Clinically Important Difference for the Hospital Anxiety and Depression Scale in Patients With Cardiovascular Disease.","type":"article-journal","volume":"39"},"uris":["http://www.mendeley.com/documents/?uuid=65d17b38-ca69-3648-824f-c2f599662ec5"]}],"mendeley":{"formattedCitation":"(53)","plainTextFormattedCitation":"(53)","previouslyFormattedCitation":"(53)"},"properties":{"noteIndex":0},"schema":"https://github.com/citation-style-language/schema/raw/master/csl-citation.json"}</w:instrText>
      </w:r>
      <w:r w:rsidR="004078B5" w:rsidRPr="00842F43">
        <w:rPr>
          <w:rFonts w:ascii="Fira Sans" w:hAnsi="Fira Sans"/>
          <w:sz w:val="20"/>
          <w:szCs w:val="20"/>
          <w:vertAlign w:val="superscript"/>
        </w:rPr>
        <w:fldChar w:fldCharType="separate"/>
      </w:r>
      <w:r w:rsidR="00080684" w:rsidRPr="00842F43">
        <w:rPr>
          <w:rFonts w:ascii="Fira Sans" w:hAnsi="Fira Sans"/>
          <w:noProof/>
          <w:sz w:val="20"/>
          <w:szCs w:val="20"/>
        </w:rPr>
        <w:t>(53)</w:t>
      </w:r>
      <w:r w:rsidR="004078B5" w:rsidRPr="00842F43">
        <w:rPr>
          <w:rFonts w:ascii="Fira Sans" w:hAnsi="Fira Sans"/>
          <w:sz w:val="20"/>
          <w:szCs w:val="20"/>
          <w:vertAlign w:val="superscript"/>
        </w:rPr>
        <w:fldChar w:fldCharType="end"/>
      </w:r>
      <w:r w:rsidR="004078B5" w:rsidRPr="00842F43">
        <w:rPr>
          <w:rFonts w:ascii="Fira Sans" w:hAnsi="Fira Sans"/>
          <w:sz w:val="20"/>
          <w:szCs w:val="20"/>
        </w:rPr>
        <w:t xml:space="preserve"> respectively</w:t>
      </w:r>
      <w:r w:rsidR="000F41A6" w:rsidRPr="00842F43">
        <w:rPr>
          <w:rFonts w:ascii="Fira Sans" w:hAnsi="Fira Sans"/>
          <w:sz w:val="20"/>
          <w:szCs w:val="20"/>
        </w:rPr>
        <w:t>, however, c</w:t>
      </w:r>
      <w:r w:rsidR="00A521D1" w:rsidRPr="00842F43">
        <w:rPr>
          <w:rFonts w:ascii="Fira Sans" w:hAnsi="Fira Sans"/>
          <w:sz w:val="20"/>
          <w:szCs w:val="20"/>
        </w:rPr>
        <w:t>linical relevance should not be ascribed to these results, g</w:t>
      </w:r>
      <w:r w:rsidR="004078B5" w:rsidRPr="00842F43">
        <w:rPr>
          <w:rFonts w:ascii="Fira Sans" w:hAnsi="Fira Sans"/>
          <w:sz w:val="20"/>
          <w:szCs w:val="20"/>
        </w:rPr>
        <w:t xml:space="preserve">iven the study </w:t>
      </w:r>
      <w:r w:rsidR="00A521D1" w:rsidRPr="00842F43">
        <w:rPr>
          <w:rFonts w:ascii="Fira Sans" w:hAnsi="Fira Sans"/>
          <w:sz w:val="20"/>
          <w:szCs w:val="20"/>
        </w:rPr>
        <w:t xml:space="preserve">design </w:t>
      </w:r>
      <w:r w:rsidR="004078B5" w:rsidRPr="00842F43">
        <w:rPr>
          <w:rFonts w:ascii="Fira Sans" w:hAnsi="Fira Sans"/>
          <w:sz w:val="20"/>
          <w:szCs w:val="20"/>
        </w:rPr>
        <w:t>limitations</w:t>
      </w:r>
      <w:r w:rsidR="00A521D1" w:rsidRPr="00842F43">
        <w:rPr>
          <w:rFonts w:ascii="Fira Sans" w:hAnsi="Fira Sans"/>
          <w:sz w:val="20"/>
          <w:szCs w:val="20"/>
        </w:rPr>
        <w:t>.</w:t>
      </w:r>
      <w:r w:rsidR="00A9435F" w:rsidRPr="00842F43">
        <w:rPr>
          <w:rFonts w:ascii="Fira Sans" w:hAnsi="Fira Sans"/>
          <w:sz w:val="20"/>
          <w:szCs w:val="20"/>
        </w:rPr>
        <w:t xml:space="preserve"> </w:t>
      </w:r>
      <w:r w:rsidR="000F41A6" w:rsidRPr="00842F43">
        <w:rPr>
          <w:rFonts w:ascii="Fira Sans" w:hAnsi="Fira Sans"/>
          <w:sz w:val="20"/>
          <w:szCs w:val="20"/>
        </w:rPr>
        <w:t xml:space="preserve">We </w:t>
      </w:r>
      <w:r w:rsidR="008A3E4E" w:rsidRPr="00842F43">
        <w:rPr>
          <w:rFonts w:ascii="Fira Sans" w:hAnsi="Fira Sans"/>
          <w:sz w:val="20"/>
          <w:szCs w:val="20"/>
        </w:rPr>
        <w:t xml:space="preserve">do, however, </w:t>
      </w:r>
      <w:r w:rsidR="000F41A6" w:rsidRPr="00842F43">
        <w:rPr>
          <w:rFonts w:ascii="Fira Sans" w:hAnsi="Fira Sans"/>
          <w:sz w:val="20"/>
          <w:szCs w:val="20"/>
        </w:rPr>
        <w:t xml:space="preserve">believe these results </w:t>
      </w:r>
      <w:r w:rsidR="0082389A" w:rsidRPr="00842F43">
        <w:rPr>
          <w:rFonts w:ascii="Fira Sans" w:hAnsi="Fira Sans"/>
          <w:noProof/>
          <w:sz w:val="20"/>
          <w:szCs w:val="20"/>
        </w:rPr>
        <w:t xml:space="preserve">support </w:t>
      </w:r>
      <w:r w:rsidR="00435C37" w:rsidRPr="00842F43">
        <w:rPr>
          <w:rFonts w:ascii="Fira Sans" w:hAnsi="Fira Sans"/>
          <w:noProof/>
          <w:sz w:val="20"/>
          <w:szCs w:val="20"/>
        </w:rPr>
        <w:t xml:space="preserve">the case for further </w:t>
      </w:r>
      <w:r w:rsidR="00B00445" w:rsidRPr="00842F43">
        <w:rPr>
          <w:rFonts w:ascii="Fira Sans" w:hAnsi="Fira Sans"/>
          <w:noProof/>
          <w:sz w:val="20"/>
          <w:szCs w:val="20"/>
        </w:rPr>
        <w:t>investigations</w:t>
      </w:r>
      <w:r w:rsidR="0082389A" w:rsidRPr="00842F43">
        <w:rPr>
          <w:rFonts w:ascii="Fira Sans" w:hAnsi="Fira Sans"/>
          <w:noProof/>
          <w:sz w:val="20"/>
          <w:szCs w:val="20"/>
        </w:rPr>
        <w:t xml:space="preserve"> </w:t>
      </w:r>
      <w:r w:rsidR="00B00445" w:rsidRPr="00842F43">
        <w:rPr>
          <w:rFonts w:ascii="Fira Sans" w:hAnsi="Fira Sans"/>
          <w:noProof/>
          <w:sz w:val="20"/>
          <w:szCs w:val="20"/>
        </w:rPr>
        <w:t xml:space="preserve">of </w:t>
      </w:r>
      <w:r w:rsidR="0082389A" w:rsidRPr="00842F43">
        <w:rPr>
          <w:rFonts w:ascii="Fira Sans" w:hAnsi="Fira Sans"/>
          <w:noProof/>
          <w:sz w:val="20"/>
          <w:szCs w:val="20"/>
        </w:rPr>
        <w:t xml:space="preserve">EMDR </w:t>
      </w:r>
      <w:r w:rsidR="00B00445" w:rsidRPr="00842F43">
        <w:rPr>
          <w:rFonts w:ascii="Fira Sans" w:hAnsi="Fira Sans"/>
          <w:noProof/>
          <w:sz w:val="20"/>
          <w:szCs w:val="20"/>
        </w:rPr>
        <w:t xml:space="preserve">for </w:t>
      </w:r>
      <w:r w:rsidR="00A9435F" w:rsidRPr="00842F43">
        <w:rPr>
          <w:rFonts w:ascii="Fira Sans" w:hAnsi="Fira Sans"/>
          <w:noProof/>
          <w:sz w:val="20"/>
          <w:szCs w:val="20"/>
        </w:rPr>
        <w:t>symptom</w:t>
      </w:r>
      <w:r w:rsidR="0082389A" w:rsidRPr="00842F43">
        <w:rPr>
          <w:rFonts w:ascii="Fira Sans" w:hAnsi="Fira Sans"/>
          <w:noProof/>
          <w:sz w:val="20"/>
          <w:szCs w:val="20"/>
        </w:rPr>
        <w:t xml:space="preserve"> reduc</w:t>
      </w:r>
      <w:r w:rsidR="00B00445" w:rsidRPr="00842F43">
        <w:rPr>
          <w:rFonts w:ascii="Fira Sans" w:hAnsi="Fira Sans"/>
          <w:noProof/>
          <w:sz w:val="20"/>
          <w:szCs w:val="20"/>
        </w:rPr>
        <w:t>tion</w:t>
      </w:r>
      <w:r w:rsidR="0082389A" w:rsidRPr="00842F43">
        <w:rPr>
          <w:rFonts w:ascii="Fira Sans" w:hAnsi="Fira Sans"/>
          <w:noProof/>
          <w:sz w:val="20"/>
          <w:szCs w:val="20"/>
        </w:rPr>
        <w:t xml:space="preserve"> </w:t>
      </w:r>
      <w:r w:rsidR="00B00445" w:rsidRPr="00842F43">
        <w:rPr>
          <w:rFonts w:ascii="Fira Sans" w:hAnsi="Fira Sans"/>
          <w:noProof/>
          <w:sz w:val="20"/>
          <w:szCs w:val="20"/>
        </w:rPr>
        <w:t>in</w:t>
      </w:r>
      <w:r w:rsidR="0082389A" w:rsidRPr="00842F43">
        <w:rPr>
          <w:rFonts w:ascii="Fira Sans" w:hAnsi="Fira Sans"/>
          <w:noProof/>
          <w:sz w:val="20"/>
          <w:szCs w:val="20"/>
        </w:rPr>
        <w:t xml:space="preserve"> survivors of critical illness</w:t>
      </w:r>
      <w:r w:rsidR="00435C37" w:rsidRPr="00842F43">
        <w:rPr>
          <w:rFonts w:ascii="Fira Sans" w:hAnsi="Fira Sans"/>
          <w:noProof/>
          <w:sz w:val="20"/>
          <w:szCs w:val="20"/>
        </w:rPr>
        <w:t>.</w:t>
      </w:r>
      <w:r w:rsidR="00B00445" w:rsidRPr="00842F43">
        <w:rPr>
          <w:rFonts w:ascii="Fira Sans" w:hAnsi="Fira Sans"/>
          <w:noProof/>
          <w:sz w:val="20"/>
          <w:szCs w:val="20"/>
        </w:rPr>
        <w:t xml:space="preserve"> </w:t>
      </w:r>
    </w:p>
    <w:p w14:paraId="622693B2" w14:textId="3DE02BFB" w:rsidR="00E07AAC" w:rsidRPr="00842F43" w:rsidRDefault="000769A8" w:rsidP="00842F43">
      <w:pPr>
        <w:spacing w:line="360" w:lineRule="auto"/>
        <w:rPr>
          <w:rFonts w:ascii="Fira Sans" w:hAnsi="Fira Sans"/>
          <w:noProof/>
          <w:sz w:val="20"/>
          <w:szCs w:val="20"/>
        </w:rPr>
      </w:pPr>
      <w:r w:rsidRPr="00842F43">
        <w:rPr>
          <w:rFonts w:ascii="Fira Sans" w:hAnsi="Fira Sans"/>
          <w:noProof/>
          <w:sz w:val="20"/>
          <w:szCs w:val="20"/>
        </w:rPr>
        <w:t>T</w:t>
      </w:r>
      <w:r w:rsidR="00345F6A" w:rsidRPr="00842F43">
        <w:rPr>
          <w:rFonts w:ascii="Fira Sans" w:hAnsi="Fira Sans"/>
          <w:noProof/>
          <w:sz w:val="20"/>
          <w:szCs w:val="20"/>
        </w:rPr>
        <w:t>his trial was conducted during an ongoing global pandemic</w:t>
      </w:r>
      <w:r w:rsidRPr="00842F43">
        <w:rPr>
          <w:rFonts w:ascii="Fira Sans" w:hAnsi="Fira Sans"/>
          <w:noProof/>
          <w:sz w:val="20"/>
          <w:szCs w:val="20"/>
        </w:rPr>
        <w:t xml:space="preserve">, with recognised </w:t>
      </w:r>
      <w:r w:rsidR="007039DB" w:rsidRPr="00842F43">
        <w:rPr>
          <w:rFonts w:ascii="Fira Sans" w:hAnsi="Fira Sans"/>
          <w:noProof/>
          <w:sz w:val="20"/>
          <w:szCs w:val="20"/>
        </w:rPr>
        <w:t xml:space="preserve">adverse </w:t>
      </w:r>
      <w:r w:rsidRPr="00842F43">
        <w:rPr>
          <w:rFonts w:ascii="Fira Sans" w:hAnsi="Fira Sans"/>
          <w:noProof/>
          <w:sz w:val="20"/>
          <w:szCs w:val="20"/>
        </w:rPr>
        <w:t>effect on population mental health</w:t>
      </w:r>
      <w:r w:rsidR="00043BA8" w:rsidRPr="00842F43">
        <w:rPr>
          <w:rFonts w:ascii="Fira Sans" w:hAnsi="Fira Sans"/>
          <w:noProof/>
          <w:sz w:val="20"/>
          <w:szCs w:val="20"/>
        </w:rPr>
        <w:t>.</w:t>
      </w:r>
      <w:r w:rsidR="00345F6A" w:rsidRPr="00842F43">
        <w:rPr>
          <w:rFonts w:ascii="Fira Sans" w:hAnsi="Fira Sans"/>
          <w:noProof/>
          <w:sz w:val="20"/>
          <w:szCs w:val="20"/>
        </w:rPr>
        <w:t xml:space="preserve"> </w:t>
      </w:r>
      <w:r w:rsidR="00E4294B" w:rsidRPr="00842F43">
        <w:rPr>
          <w:rFonts w:ascii="Fira Sans" w:hAnsi="Fira Sans"/>
          <w:noProof/>
          <w:sz w:val="20"/>
          <w:szCs w:val="20"/>
        </w:rPr>
        <w:t>To adequately explore interaction between</w:t>
      </w:r>
      <w:r w:rsidR="00340AB9" w:rsidRPr="00842F43">
        <w:rPr>
          <w:rFonts w:ascii="Fira Sans" w:hAnsi="Fira Sans"/>
          <w:noProof/>
          <w:sz w:val="20"/>
          <w:szCs w:val="20"/>
        </w:rPr>
        <w:t xml:space="preserve"> our patient cohort, contextual and cultural factors</w:t>
      </w:r>
      <w:r w:rsidR="00345F6A" w:rsidRPr="00842F43">
        <w:rPr>
          <w:rFonts w:ascii="Fira Sans" w:hAnsi="Fira Sans"/>
          <w:noProof/>
          <w:sz w:val="20"/>
          <w:szCs w:val="20"/>
        </w:rPr>
        <w:t xml:space="preserve">, we recommend </w:t>
      </w:r>
      <w:r w:rsidR="00340AB9" w:rsidRPr="00842F43">
        <w:rPr>
          <w:rFonts w:ascii="Fira Sans" w:hAnsi="Fira Sans"/>
          <w:noProof/>
          <w:sz w:val="20"/>
          <w:szCs w:val="20"/>
        </w:rPr>
        <w:t>that future researchers consider a mixed-methods approach</w:t>
      </w:r>
      <w:r w:rsidR="00B00445" w:rsidRPr="00842F43">
        <w:rPr>
          <w:rFonts w:ascii="Fira Sans" w:hAnsi="Fira Sans"/>
          <w:noProof/>
          <w:sz w:val="20"/>
          <w:szCs w:val="20"/>
        </w:rPr>
        <w:t xml:space="preserve"> in larger samples</w:t>
      </w:r>
      <w:r w:rsidR="00340AB9" w:rsidRPr="00842F43">
        <w:rPr>
          <w:rFonts w:ascii="Fira Sans" w:hAnsi="Fira Sans"/>
          <w:noProof/>
          <w:sz w:val="20"/>
          <w:szCs w:val="20"/>
        </w:rPr>
        <w:t>.</w:t>
      </w:r>
      <w:r w:rsidR="006B7A39" w:rsidRPr="00842F43">
        <w:rPr>
          <w:rFonts w:ascii="Fira Sans" w:hAnsi="Fira Sans"/>
          <w:noProof/>
          <w:sz w:val="20"/>
          <w:szCs w:val="20"/>
        </w:rPr>
        <w:t xml:space="preserve"> T</w:t>
      </w:r>
      <w:r w:rsidR="00340AB9" w:rsidRPr="00842F43">
        <w:rPr>
          <w:rFonts w:ascii="Fira Sans" w:hAnsi="Fira Sans"/>
          <w:noProof/>
          <w:sz w:val="20"/>
          <w:szCs w:val="20"/>
        </w:rPr>
        <w:t xml:space="preserve">his approach </w:t>
      </w:r>
      <w:r w:rsidR="007039DB" w:rsidRPr="00842F43">
        <w:rPr>
          <w:rFonts w:ascii="Fira Sans" w:hAnsi="Fira Sans"/>
          <w:noProof/>
          <w:sz w:val="20"/>
          <w:szCs w:val="20"/>
        </w:rPr>
        <w:t xml:space="preserve">would </w:t>
      </w:r>
      <w:r w:rsidR="00340AB9" w:rsidRPr="00842F43">
        <w:rPr>
          <w:rFonts w:ascii="Fira Sans" w:hAnsi="Fira Sans"/>
          <w:noProof/>
          <w:sz w:val="20"/>
          <w:szCs w:val="20"/>
        </w:rPr>
        <w:t xml:space="preserve">enhance understanding of when, how and under which circumstances EMDR </w:t>
      </w:r>
      <w:r w:rsidR="001564F2" w:rsidRPr="00842F43">
        <w:rPr>
          <w:rFonts w:ascii="Fira Sans" w:hAnsi="Fira Sans"/>
          <w:noProof/>
          <w:sz w:val="20"/>
          <w:szCs w:val="20"/>
        </w:rPr>
        <w:t>is effective</w:t>
      </w:r>
      <w:r w:rsidR="00BC1CDA" w:rsidRPr="00842F43">
        <w:rPr>
          <w:rFonts w:ascii="Fira Sans" w:hAnsi="Fira Sans"/>
          <w:noProof/>
          <w:sz w:val="20"/>
          <w:szCs w:val="20"/>
        </w:rPr>
        <w:t xml:space="preserve"> and may offer insight into the wide treatment response variability</w:t>
      </w:r>
      <w:r w:rsidR="00836FB3" w:rsidRPr="00842F43">
        <w:rPr>
          <w:rFonts w:ascii="Fira Sans" w:hAnsi="Fira Sans"/>
          <w:noProof/>
          <w:sz w:val="20"/>
          <w:szCs w:val="20"/>
        </w:rPr>
        <w:t>.</w:t>
      </w:r>
      <w:r w:rsidR="004E0115" w:rsidRPr="00842F43">
        <w:rPr>
          <w:rFonts w:ascii="Fira Sans" w:hAnsi="Fira Sans"/>
          <w:noProof/>
          <w:sz w:val="20"/>
          <w:szCs w:val="20"/>
        </w:rPr>
        <w:t xml:space="preserve"> </w:t>
      </w:r>
    </w:p>
    <w:p w14:paraId="2CCDEE66" w14:textId="3CB0376C" w:rsidR="00657DDD" w:rsidRPr="00842F43" w:rsidRDefault="00657DDD" w:rsidP="00842F43">
      <w:pPr>
        <w:spacing w:line="360" w:lineRule="auto"/>
        <w:rPr>
          <w:rFonts w:ascii="Fira Sans" w:hAnsi="Fira Sans"/>
          <w:noProof/>
          <w:sz w:val="20"/>
          <w:szCs w:val="20"/>
        </w:rPr>
      </w:pPr>
    </w:p>
    <w:p w14:paraId="4F4AEBF2" w14:textId="6EE3DAEF" w:rsidR="008A3E4E" w:rsidRPr="00842F43" w:rsidRDefault="008A3E4E" w:rsidP="00842F43">
      <w:pPr>
        <w:spacing w:line="360" w:lineRule="auto"/>
        <w:rPr>
          <w:rFonts w:ascii="Fira Sans" w:hAnsi="Fira Sans"/>
          <w:i/>
          <w:iCs/>
          <w:noProof/>
          <w:sz w:val="20"/>
          <w:szCs w:val="20"/>
        </w:rPr>
      </w:pPr>
      <w:r w:rsidRPr="00842F43">
        <w:rPr>
          <w:rFonts w:ascii="Fira Sans" w:hAnsi="Fira Sans"/>
          <w:i/>
          <w:iCs/>
          <w:noProof/>
          <w:sz w:val="20"/>
          <w:szCs w:val="20"/>
        </w:rPr>
        <w:t>Limitations</w:t>
      </w:r>
    </w:p>
    <w:p w14:paraId="2E4080B7" w14:textId="33B2C111" w:rsidR="008C2619" w:rsidRPr="00842F43" w:rsidRDefault="00986F7B" w:rsidP="00842F43">
      <w:pPr>
        <w:spacing w:line="360" w:lineRule="auto"/>
        <w:rPr>
          <w:rFonts w:ascii="Fira Sans" w:hAnsi="Fira Sans"/>
          <w:noProof/>
          <w:sz w:val="20"/>
          <w:szCs w:val="20"/>
        </w:rPr>
      </w:pPr>
      <w:r w:rsidRPr="00842F43">
        <w:rPr>
          <w:rFonts w:ascii="Fira Sans" w:hAnsi="Fira Sans"/>
          <w:noProof/>
          <w:sz w:val="20"/>
          <w:szCs w:val="20"/>
        </w:rPr>
        <w:t xml:space="preserve">The study has a number of </w:t>
      </w:r>
      <w:r w:rsidR="00D96948" w:rsidRPr="00842F43">
        <w:rPr>
          <w:rFonts w:ascii="Fira Sans" w:hAnsi="Fira Sans"/>
          <w:noProof/>
          <w:sz w:val="20"/>
          <w:szCs w:val="20"/>
        </w:rPr>
        <w:t xml:space="preserve">design </w:t>
      </w:r>
      <w:r w:rsidRPr="00842F43">
        <w:rPr>
          <w:rFonts w:ascii="Fira Sans" w:hAnsi="Fira Sans"/>
          <w:noProof/>
          <w:sz w:val="20"/>
          <w:szCs w:val="20"/>
        </w:rPr>
        <w:t>limitations</w:t>
      </w:r>
      <w:r w:rsidR="00BA790C" w:rsidRPr="00842F43">
        <w:rPr>
          <w:rFonts w:ascii="Fira Sans" w:hAnsi="Fira Sans"/>
          <w:noProof/>
          <w:sz w:val="20"/>
          <w:szCs w:val="20"/>
        </w:rPr>
        <w:t xml:space="preserve"> </w:t>
      </w:r>
      <w:r w:rsidR="00D96948" w:rsidRPr="00842F43">
        <w:rPr>
          <w:rFonts w:ascii="Fira Sans" w:hAnsi="Fira Sans"/>
          <w:noProof/>
          <w:sz w:val="20"/>
          <w:szCs w:val="20"/>
        </w:rPr>
        <w:t>which may affect generalisability,</w:t>
      </w:r>
      <w:r w:rsidR="008A3E4E" w:rsidRPr="00842F43">
        <w:rPr>
          <w:rFonts w:ascii="Fira Sans" w:hAnsi="Fira Sans"/>
          <w:noProof/>
          <w:sz w:val="20"/>
          <w:szCs w:val="20"/>
        </w:rPr>
        <w:t xml:space="preserve"> many of which have been outlined in the discussion;</w:t>
      </w:r>
      <w:r w:rsidR="00D96948" w:rsidRPr="00842F43">
        <w:rPr>
          <w:rFonts w:ascii="Fira Sans" w:hAnsi="Fira Sans"/>
          <w:noProof/>
          <w:sz w:val="20"/>
          <w:szCs w:val="20"/>
        </w:rPr>
        <w:t xml:space="preserve"> </w:t>
      </w:r>
      <w:r w:rsidR="008A3E4E" w:rsidRPr="00842F43">
        <w:rPr>
          <w:rFonts w:ascii="Fira Sans" w:hAnsi="Fira Sans"/>
          <w:noProof/>
          <w:sz w:val="20"/>
          <w:szCs w:val="20"/>
        </w:rPr>
        <w:t>this was</w:t>
      </w:r>
      <w:r w:rsidR="008C2619" w:rsidRPr="00842F43">
        <w:rPr>
          <w:rFonts w:ascii="Fira Sans" w:hAnsi="Fira Sans"/>
          <w:noProof/>
          <w:sz w:val="20"/>
          <w:szCs w:val="20"/>
        </w:rPr>
        <w:t xml:space="preserve"> </w:t>
      </w:r>
      <w:r w:rsidR="001E1664" w:rsidRPr="00842F43">
        <w:rPr>
          <w:rFonts w:ascii="Fira Sans" w:hAnsi="Fira Sans"/>
          <w:noProof/>
          <w:sz w:val="20"/>
          <w:szCs w:val="20"/>
        </w:rPr>
        <w:t>a small</w:t>
      </w:r>
      <w:r w:rsidR="008A3E4E" w:rsidRPr="00842F43">
        <w:rPr>
          <w:rFonts w:ascii="Fira Sans" w:hAnsi="Fira Sans"/>
          <w:noProof/>
          <w:sz w:val="20"/>
          <w:szCs w:val="20"/>
        </w:rPr>
        <w:t>,</w:t>
      </w:r>
      <w:r w:rsidR="00D96948" w:rsidRPr="00842F43">
        <w:rPr>
          <w:rFonts w:ascii="Fira Sans" w:hAnsi="Fira Sans"/>
          <w:noProof/>
          <w:sz w:val="20"/>
          <w:szCs w:val="20"/>
        </w:rPr>
        <w:t xml:space="preserve"> </w:t>
      </w:r>
      <w:r w:rsidR="008C2619" w:rsidRPr="00842F43">
        <w:rPr>
          <w:rFonts w:ascii="Fira Sans" w:hAnsi="Fira Sans"/>
          <w:noProof/>
          <w:sz w:val="20"/>
          <w:szCs w:val="20"/>
        </w:rPr>
        <w:t xml:space="preserve">single-centre </w:t>
      </w:r>
      <w:r w:rsidR="001E1664" w:rsidRPr="00842F43">
        <w:rPr>
          <w:rFonts w:ascii="Fira Sans" w:hAnsi="Fira Sans"/>
          <w:noProof/>
          <w:sz w:val="20"/>
          <w:szCs w:val="20"/>
        </w:rPr>
        <w:t>study</w:t>
      </w:r>
      <w:r w:rsidR="00D96948" w:rsidRPr="00842F43">
        <w:rPr>
          <w:rFonts w:ascii="Fira Sans" w:hAnsi="Fira Sans"/>
          <w:noProof/>
          <w:sz w:val="20"/>
          <w:szCs w:val="20"/>
        </w:rPr>
        <w:t xml:space="preserve">, </w:t>
      </w:r>
      <w:r w:rsidR="001F1BD6" w:rsidRPr="00842F43">
        <w:rPr>
          <w:rFonts w:ascii="Fira Sans" w:hAnsi="Fira Sans"/>
          <w:noProof/>
          <w:sz w:val="20"/>
          <w:szCs w:val="20"/>
        </w:rPr>
        <w:t xml:space="preserve">with </w:t>
      </w:r>
      <w:r w:rsidR="008C2619" w:rsidRPr="00842F43">
        <w:rPr>
          <w:rFonts w:ascii="Fira Sans" w:hAnsi="Fira Sans"/>
          <w:noProof/>
          <w:sz w:val="20"/>
          <w:szCs w:val="20"/>
        </w:rPr>
        <w:t xml:space="preserve">inadequate representation of under-served populations, failure to address digital exclusion, </w:t>
      </w:r>
      <w:r w:rsidR="0038684B" w:rsidRPr="00842F43">
        <w:rPr>
          <w:rFonts w:ascii="Fira Sans" w:hAnsi="Fira Sans"/>
          <w:noProof/>
          <w:sz w:val="20"/>
          <w:szCs w:val="20"/>
        </w:rPr>
        <w:t>and lack of</w:t>
      </w:r>
      <w:r w:rsidR="008C2619" w:rsidRPr="00842F43">
        <w:rPr>
          <w:rFonts w:ascii="Fira Sans" w:hAnsi="Fira Sans"/>
          <w:noProof/>
          <w:sz w:val="20"/>
          <w:szCs w:val="20"/>
        </w:rPr>
        <w:t xml:space="preserve"> intervention fidelity checks</w:t>
      </w:r>
      <w:r w:rsidR="00E1077F" w:rsidRPr="00842F43">
        <w:rPr>
          <w:rFonts w:ascii="Fira Sans" w:hAnsi="Fira Sans"/>
          <w:noProof/>
          <w:sz w:val="20"/>
          <w:szCs w:val="20"/>
        </w:rPr>
        <w:t xml:space="preserve">. </w:t>
      </w:r>
      <w:r w:rsidR="006C43FF" w:rsidRPr="00842F43">
        <w:rPr>
          <w:rFonts w:ascii="Fira Sans" w:hAnsi="Fira Sans"/>
          <w:noProof/>
          <w:sz w:val="20"/>
          <w:szCs w:val="20"/>
        </w:rPr>
        <w:t>M</w:t>
      </w:r>
      <w:r w:rsidR="00E07AAC" w:rsidRPr="00842F43">
        <w:rPr>
          <w:rFonts w:ascii="Fira Sans" w:hAnsi="Fira Sans"/>
          <w:noProof/>
          <w:sz w:val="20"/>
          <w:szCs w:val="20"/>
        </w:rPr>
        <w:t>oreover</w:t>
      </w:r>
      <w:r w:rsidR="0038684B" w:rsidRPr="00842F43">
        <w:rPr>
          <w:rFonts w:ascii="Fira Sans" w:hAnsi="Fira Sans"/>
          <w:noProof/>
          <w:sz w:val="20"/>
          <w:szCs w:val="20"/>
        </w:rPr>
        <w:t>, there is a high</w:t>
      </w:r>
      <w:r w:rsidR="00E07AAC" w:rsidRPr="00842F43">
        <w:rPr>
          <w:rFonts w:ascii="Fira Sans" w:hAnsi="Fira Sans"/>
          <w:noProof/>
          <w:sz w:val="20"/>
          <w:szCs w:val="20"/>
        </w:rPr>
        <w:t xml:space="preserve"> </w:t>
      </w:r>
      <w:r w:rsidR="0038684B" w:rsidRPr="00842F43">
        <w:rPr>
          <w:rFonts w:ascii="Fira Sans" w:hAnsi="Fira Sans"/>
          <w:noProof/>
          <w:sz w:val="20"/>
          <w:szCs w:val="20"/>
        </w:rPr>
        <w:t xml:space="preserve">risk of bias associated with non-blinded clincial outcome measures. </w:t>
      </w:r>
      <w:r w:rsidR="006A3CD1" w:rsidRPr="00842F43">
        <w:rPr>
          <w:rFonts w:ascii="Fira Sans" w:hAnsi="Fira Sans"/>
          <w:noProof/>
          <w:sz w:val="20"/>
          <w:szCs w:val="20"/>
        </w:rPr>
        <w:t xml:space="preserve">Our follow-up period was limited to 6-months due to lack of funding. Given the uncertain mental health trajectory following ICU discharge, future studies should report clincial outcomes up to a minimum of 12-months post-discharge, preferably longer. </w:t>
      </w:r>
      <w:r w:rsidR="00C07BCE" w:rsidRPr="00842F43">
        <w:rPr>
          <w:rFonts w:ascii="Fira Sans" w:hAnsi="Fira Sans"/>
          <w:noProof/>
          <w:sz w:val="20"/>
          <w:szCs w:val="20"/>
        </w:rPr>
        <w:t>Our study was undertaken during a period of unprecedented clincial pressure</w:t>
      </w:r>
      <w:r w:rsidR="00BA790C" w:rsidRPr="00842F43">
        <w:rPr>
          <w:rFonts w:ascii="Fira Sans" w:hAnsi="Fira Sans"/>
          <w:noProof/>
          <w:sz w:val="20"/>
          <w:szCs w:val="20"/>
        </w:rPr>
        <w:t>,</w:t>
      </w:r>
      <w:r w:rsidR="00C07BCE" w:rsidRPr="00842F43">
        <w:rPr>
          <w:rFonts w:ascii="Fira Sans" w:hAnsi="Fira Sans"/>
          <w:noProof/>
          <w:sz w:val="20"/>
          <w:szCs w:val="20"/>
        </w:rPr>
        <w:t xml:space="preserve"> using a </w:t>
      </w:r>
      <w:r w:rsidR="00BA790C" w:rsidRPr="00842F43">
        <w:rPr>
          <w:rFonts w:ascii="Fira Sans" w:hAnsi="Fira Sans"/>
          <w:noProof/>
          <w:sz w:val="20"/>
          <w:szCs w:val="20"/>
        </w:rPr>
        <w:t xml:space="preserve">patient population limited to </w:t>
      </w:r>
      <w:r w:rsidR="00D96948" w:rsidRPr="00842F43">
        <w:rPr>
          <w:rFonts w:ascii="Fira Sans" w:hAnsi="Fira Sans"/>
          <w:noProof/>
          <w:sz w:val="20"/>
          <w:szCs w:val="20"/>
        </w:rPr>
        <w:t xml:space="preserve">sufferers of </w:t>
      </w:r>
      <w:r w:rsidR="00BA790C" w:rsidRPr="00842F43">
        <w:rPr>
          <w:rFonts w:ascii="Fira Sans" w:hAnsi="Fira Sans"/>
          <w:noProof/>
          <w:sz w:val="20"/>
          <w:szCs w:val="20"/>
        </w:rPr>
        <w:t xml:space="preserve">COVID-19. </w:t>
      </w:r>
      <w:r w:rsidR="001F1BD6" w:rsidRPr="00842F43">
        <w:rPr>
          <w:rFonts w:ascii="Fira Sans" w:hAnsi="Fira Sans"/>
          <w:noProof/>
          <w:sz w:val="20"/>
          <w:szCs w:val="20"/>
        </w:rPr>
        <w:t xml:space="preserve">Rapid changes to the UK’s research </w:t>
      </w:r>
      <w:r w:rsidR="001F1BD6" w:rsidRPr="00842F43">
        <w:rPr>
          <w:rFonts w:ascii="Fira Sans" w:hAnsi="Fira Sans"/>
          <w:noProof/>
          <w:sz w:val="20"/>
          <w:szCs w:val="20"/>
        </w:rPr>
        <w:lastRenderedPageBreak/>
        <w:t xml:space="preserve">rules meant that we were limited to undertaking research in this cohort. </w:t>
      </w:r>
      <w:r w:rsidR="00BA790C" w:rsidRPr="00842F43">
        <w:rPr>
          <w:rFonts w:ascii="Fira Sans" w:hAnsi="Fira Sans"/>
          <w:noProof/>
          <w:sz w:val="20"/>
          <w:szCs w:val="20"/>
        </w:rPr>
        <w:t>While this may limit generalisability of our study</w:t>
      </w:r>
      <w:r w:rsidR="001F1BD6" w:rsidRPr="00842F43">
        <w:rPr>
          <w:rFonts w:ascii="Fira Sans" w:hAnsi="Fira Sans"/>
          <w:noProof/>
          <w:sz w:val="20"/>
          <w:szCs w:val="20"/>
        </w:rPr>
        <w:t>, e</w:t>
      </w:r>
      <w:r w:rsidR="00BA790C" w:rsidRPr="00842F43">
        <w:rPr>
          <w:rFonts w:ascii="Fira Sans" w:hAnsi="Fira Sans"/>
          <w:sz w:val="20"/>
          <w:szCs w:val="20"/>
        </w:rPr>
        <w:t xml:space="preserve">merging evidence suggests that post-discharge challenges faced by COVID patients are </w:t>
      </w:r>
      <w:r w:rsidR="00D96948" w:rsidRPr="00842F43">
        <w:rPr>
          <w:rFonts w:ascii="Fira Sans" w:hAnsi="Fira Sans"/>
          <w:sz w:val="20"/>
          <w:szCs w:val="20"/>
        </w:rPr>
        <w:t>comparable to</w:t>
      </w:r>
      <w:r w:rsidR="00BA790C" w:rsidRPr="00842F43">
        <w:rPr>
          <w:rFonts w:ascii="Fira Sans" w:hAnsi="Fira Sans"/>
          <w:sz w:val="20"/>
          <w:szCs w:val="20"/>
        </w:rPr>
        <w:t xml:space="preserve"> those </w:t>
      </w:r>
      <w:r w:rsidR="00D96948" w:rsidRPr="00842F43">
        <w:rPr>
          <w:rFonts w:ascii="Fira Sans" w:hAnsi="Fira Sans"/>
          <w:sz w:val="20"/>
          <w:szCs w:val="20"/>
        </w:rPr>
        <w:t>in wider</w:t>
      </w:r>
      <w:r w:rsidR="00BA790C" w:rsidRPr="00842F43">
        <w:rPr>
          <w:rFonts w:ascii="Fira Sans" w:hAnsi="Fira Sans"/>
          <w:sz w:val="20"/>
          <w:szCs w:val="20"/>
        </w:rPr>
        <w:t xml:space="preserve"> </w:t>
      </w:r>
      <w:r w:rsidR="00D96948" w:rsidRPr="00842F43">
        <w:rPr>
          <w:rFonts w:ascii="Fira Sans" w:hAnsi="Fira Sans"/>
          <w:sz w:val="20"/>
          <w:szCs w:val="20"/>
        </w:rPr>
        <w:t>ICU-survivor cohorts</w:t>
      </w:r>
      <w:r w:rsidR="001F1BD6" w:rsidRPr="00842F43">
        <w:rPr>
          <w:rFonts w:ascii="Fira Sans" w:hAnsi="Fira Sans"/>
          <w:sz w:val="20"/>
          <w:szCs w:val="20"/>
        </w:rPr>
        <w:t>.</w:t>
      </w:r>
      <w:r w:rsidR="00D44A31" w:rsidRPr="00842F43">
        <w:rPr>
          <w:rFonts w:ascii="Fira Sans" w:hAnsi="Fira Sans"/>
          <w:sz w:val="20"/>
          <w:szCs w:val="20"/>
          <w:vertAlign w:val="superscript"/>
        </w:rPr>
        <w:fldChar w:fldCharType="begin" w:fldLock="1"/>
      </w:r>
      <w:r w:rsidR="004E0115" w:rsidRPr="00842F43">
        <w:rPr>
          <w:rFonts w:ascii="Fira Sans" w:hAnsi="Fira Sans"/>
          <w:sz w:val="20"/>
          <w:szCs w:val="20"/>
          <w:vertAlign w:val="superscript"/>
        </w:rPr>
        <w:instrText>ADDIN CSL_CITATION {"citationItems":[{"id":"ITEM-1","itemData":{"DOI":"10.1164/rccm.202110-2335OC","ISSN":"1073-449X","abstract":"Rationale: The outcomes of survivors of critical illness due to coronavirus disease (COVID-19) compared with non–COVID-19 are yet to be established. Objectives: We aimed to investigate new disabili...","author":[{"dropping-particle":"","family":"Hodgson","given":"Carol L.","non-dropping-particle":"","parse-names":false,"suffix":""},{"dropping-particle":"","family":"Higgins","given":"Alisa M.","non-dropping-particle":"","parse-names":false,"suffix":""},{"dropping-particle":"","family":"Bailey","given":"Michael J.","non-dropping-particle":"","parse-names":false,"suffix":""},{"dropping-particle":"","family":"Mather","given":"Anne M.","non-dropping-particle":"","parse-names":false,"suffix":""},{"dropping-particle":"","family":"Beach","given":"Lisa","non-dropping-particle":"","parse-names":false,"suffix":""},{"dropping-particle":"","family":"Bellomo","given":"Rinaldo","non-dropping-particle":"","parse-names":false,"suffix":""},{"dropping-particle":"","family":"Bissett","given":"Bernie","non-dropping-particle":"","parse-names":false,"suffix":""},{"dropping-particle":"","family":"Boden","given":"Ianthe J.","non-dropping-particle":"","parse-names":false,"suffix":""},{"dropping-particle":"","family":"Bradley","given":"Scott","non-dropping-particle":"","parse-names":false,"suffix":""},{"dropping-particle":"","family":"Burrell","given":"Aidan","non-dropping-particle":"","parse-names":false,"suffix":""},{"dropping-particle":"","family":"Cooper","given":"D. James","non-dropping-particle":"","parse-names":false,"suffix":""},{"dropping-particle":"","family":"Fulcher","given":"Bentley J.","non-dropping-particle":"","parse-names":false,"suffix":""},{"dropping-particle":"","family":"Haines","given":"Kimberley J.","non-dropping-particle":"","parse-names":false,"suffix":""},{"dropping-particle":"","family":"Hodgson","given":"Isabelle T.","non-dropping-particle":"","parse-names":false,"suffix":""},{"dropping-particle":"","family":"Hopkins","given":"Jack","non-dropping-particle":"","parse-names":false,"suffix":""},{"dropping-particle":"","family":"Jones","given":"Alice Y. M.","non-dropping-particle":"","parse-names":false,"suffix":""},{"dropping-particle":"","family":"Lane","given":"Stuart","non-dropping-particle":"","parse-names":false,"suffix":""},{"dropping-particle":"","family":"Lawrence","given":"Drew","non-dropping-particle":"","parse-names":false,"suffix":""},{"dropping-particle":"","family":"Lee","given":"Lisa","non-dropping-particle":"van der","parse-names":false,"suffix":""},{"dropping-particle":"","family":"Liacos","given":"Jennifer","non-dropping-particle":"","parse-names":false,"suffix":""},{"dropping-particle":"","family":"Linke","given":"Natalie J.","non-dropping-particle":"","parse-names":false,"suffix":""},{"dropping-particle":"","family":"Gomes","given":"Lonni Marques","non-dropping-particle":"","parse-names":false,"suffix":""},{"dropping-particle":"","family":"Nickels","given":"Marc","non-dropping-particle":"","parse-names":false,"suffix":""},{"dropping-particle":"","family":"Ntoumenopoulos","given":"George","non-dropping-particle":"","parse-names":false,"suffix":""},{"dropping-particle":"","family":"Myles","given":"Paul S.","non-dropping-particle":"","parse-names":false,"suffix":""},{"dropping-particle":"","family":"Patman","given":"Shane","non-dropping-particle":"","parse-names":false,"suffix":""},{"dropping-particle":"","family":"Paton","given":"Michelle","non-dropping-particle":"","parse-names":false,"suffix":""},{"dropping-particle":"","family":"Pound","given":"Gemma","non-dropping-particle":"","parse-names":false,"suffix":""},{"dropping-particle":"","family":"Rai","given":"Sumeet","non-dropping-particle":"","parse-names":false,"suffix":""},{"dropping-particle":"","family":"Rix","given":"Alana","non-dropping-particle":"","parse-names":false,"suffix":""},{"dropping-particle":"","family":"Rollinson","given":"Thomas C.","non-dropping-particle":"","parse-names":false,"suffix":""},{"dropping-particle":"","family":"Tipping","given":"Claire J.","non-dropping-particle":"","parse-names":false,"suffix":""},{"dropping-particle":"","family":"Thomas","given":"Peter","non-dropping-particle":"","parse-names":false,"suffix":""},{"dropping-particle":"","family":"Trapani","given":"Tony","non-dropping-particle":"","parse-names":false,"suffix":""},{"dropping-particle":"","family":"Udy","given":"Andrew A.","non-dropping-particle":"","parse-names":false,"suffix":""},{"dropping-particle":"","family":"Whitehead","given":"Christina","non-dropping-particle":"","parse-names":false,"suffix":""},{"dropping-particle":"","family":"Anderson","given":"Shannah","non-dropping-particle":"","parse-names":false,"suffix":""},{"dropping-particle":"","family":"Neto","given":"Ary Serpa","non-dropping-particle":"","parse-names":false,"suffix":""},{"dropping-particle":"","family":"Young","given":"Meredith","non-dropping-particle":"","parse-names":false,"suffix":""},{"dropping-particle":"","family":"Board","given":"Jasmin","non-dropping-particle":"","parse-names":false,"suffix":""},{"dropping-particle":"","family":"McCracken","given":"Phoebe","non-dropping-particle":"","parse-names":false,"suffix":""},{"dropping-particle":"","family":"Martin","given":"Emma-Leah","non-dropping-particle":"","parse-names":false,"suffix":""},{"dropping-particle":"","family":"Burgess","given":"Nicola","non-dropping-particle":"","parse-names":false,"suffix":""},{"dropping-particle":"","family":"Hearn","given":"Kirsty","non-dropping-particle":"","parse-names":false,"suffix":""},{"dropping-particle":"","family":"Brewster","given":"David","non-dropping-particle":"","parse-names":false,"suffix":""},{"dropping-particle":"","family":"Waanders","given":"Alyssa","non-dropping-particle":"","parse-names":false,"suffix":""},{"dropping-particle":"","family":"Simpson","given":"Shannon","non-dropping-particle":"","parse-names":false,"suffix":""},{"dropping-particle":"","family":"Silva","given":"Yasmin","non-dropping-particle":"de","parse-names":false,"suffix":""},{"dropping-particle":"","family":"Barrett","given":"Jonathon","non-dropping-particle":"","parse-names":false,"suffix":""},{"dropping-particle":"","family":"Hanlon","given":"Gabrielle","non-dropping-particle":"","parse-names":false,"suffix":""},{"dropping-particle":"","family":"Lang","given":"Jenna","non-dropping-particle":"","parse-names":false,"suffix":""},{"dropping-particle":"","family":"Burleigh","given":"Sarah","non-dropping-particle":"","parse-names":false,"suffix":""},{"dropping-particle":"","family":"Killer","given":"Elisha","non-dropping-particle":"","parse-names":false,"suffix":""},{"dropping-particle":"","family":"Wang","given":"Michael","non-dropping-particle":"","parse-names":false,"suffix":""},{"dropping-particle":"","family":"O’Connor","given":"Lauren","non-dropping-particle":"","parse-names":false,"suffix":""},{"dropping-particle":"","family":"Thomas","given":"Lauren","non-dropping-particle":"","parse-names":false,"suffix":""},{"dropping-particle":"","family":"Dennis","given":"Lucy","non-dropping-particle":"","parse-names":false,"suffix":""},{"dropping-particle":"","family":"Caruana","given":"Joanna","non-dropping-particle":"","parse-names":false,"suffix":""},{"dropping-particle":"","family":"Al-Bassam","given":"Wisam","non-dropping-particle":"","parse-names":false,"suffix":""},{"dropping-particle":"","family":"Shealy","given":"Morag","non-dropping-particle":"","parse-names":false,"suffix":""},{"dropping-particle":"","family":"Chapman","given":"Marianne","non-dropping-particle":"","parse-names":false,"suffix":""},{"dropping-particle":"","family":"O’Connor","given":"Stephanie","non-dropping-particle":"","parse-names":false,"suffix":""},{"dropping-particle":"","family":"Sheehan","given":"Janne","non-dropping-particle":"","parse-names":false,"suffix":""},{"dropping-particle":"","family":"Alexander","given":"Emily","non-dropping-particle":"","parse-names":false,"suffix":""},{"dropping-particle":"","family":"Sukkar","given":"Amanda","non-dropping-particle":"","parse-names":false,"suffix":""},{"dropping-particle":"","family":"Davis","given":"Liesl","non-dropping-particle":"","parse-names":false,"suffix":""},{"dropping-particle":"","family":"Bass","given":"Francis","non-dropping-particle":"","parse-names":false,"suffix":""},{"dropping-particle":"","family":"Hammond","given":"Naomi","non-dropping-particle":"","parse-names":false,"suffix":""},{"dropping-particle":"","family":"O’Connor","given":"Anne","non-dropping-particle":"","parse-names":false,"suffix":""},{"dropping-particle":"","family":"Yarad","given":"Elizabeth","non-dropping-particle":"","parse-names":false,"suffix":""},{"dropping-particle":"","family":"Totaro","given":"Richard","non-dropping-particle":"","parse-names":false,"suffix":""},{"dropping-particle":"","family":"Buhr","given":"Heidi","non-dropping-particle":"","parse-names":false,"suffix":""},{"dropping-particle":"","family":"Reddy","given":"Nazmeen","non-dropping-particle":"","parse-names":false,"suffix":""},{"dropping-particle":"","family":"Chaseling","given":"Wendy","non-dropping-particle":"","parse-names":false,"suffix":""},{"dropping-particle":"","family":"Ip","given":"Kelvin","non-dropping-particle":"","parse-names":false,"suffix":""},{"dropping-particle":"","family":"Tronstad","given":"Oystein","non-dropping-particle":"","parse-names":false,"suffix":""},{"dropping-particle":"","family":"Mahoney","given":"Alison","non-dropping-particle":"","parse-names":false,"suffix":""},{"dropping-particle":"","family":"Fanning","given":"Cadi","non-dropping-particle":"","parse-names":false,"suffix":""},{"dropping-particle":"","family":"Esterman","given":"Hariette","non-dropping-particle":"","parse-names":false,"suffix":""},{"dropping-particle":"","family":"Kozary","given":"Alexia","non-dropping-particle":"","parse-names":false,"suffix":""},{"dropping-particle":"","family":"Scott","given":"Bronte","non-dropping-particle":"","parse-names":false,"suffix":""}],"container-title":"American Journal of Respiratory and Critical Care Medicine","id":"ITEM-1","issue":"10","issued":{"date-parts":[["2022","5","15"]]},"page":"1159-1168","publisher":" American Thoracic Society ","title":"Comparison of 6-Month Outcomes of Survivors of COVID-19 versus Non–COVID-19 Critical Illness","type":"article-journal","volume":"205"},"uris":["http://www.mendeley.com/documents/?uuid=9f83d779-0141-3788-a5b4-d518d2c9dcc2"]}],"mendeley":{"formattedCitation":"(74)","manualFormatting":"(73)","plainTextFormattedCitation":"(74)","previouslyFormattedCitation":"(74)"},"properties":{"noteIndex":0},"schema":"https://github.com/citation-style-language/schema/raw/master/csl-citation.json"}</w:instrText>
      </w:r>
      <w:r w:rsidR="00D44A31" w:rsidRPr="00842F43">
        <w:rPr>
          <w:rFonts w:ascii="Fira Sans" w:hAnsi="Fira Sans"/>
          <w:sz w:val="20"/>
          <w:szCs w:val="20"/>
          <w:vertAlign w:val="superscript"/>
        </w:rPr>
        <w:fldChar w:fldCharType="separate"/>
      </w:r>
      <w:r w:rsidR="00080684" w:rsidRPr="00842F43">
        <w:rPr>
          <w:rFonts w:ascii="Fira Sans" w:hAnsi="Fira Sans"/>
          <w:noProof/>
          <w:sz w:val="20"/>
          <w:szCs w:val="20"/>
        </w:rPr>
        <w:t>(7</w:t>
      </w:r>
      <w:r w:rsidR="004E0115" w:rsidRPr="00842F43">
        <w:rPr>
          <w:rFonts w:ascii="Fira Sans" w:hAnsi="Fira Sans"/>
          <w:noProof/>
          <w:sz w:val="20"/>
          <w:szCs w:val="20"/>
        </w:rPr>
        <w:t>3</w:t>
      </w:r>
      <w:r w:rsidR="00080684" w:rsidRPr="00842F43">
        <w:rPr>
          <w:rFonts w:ascii="Fira Sans" w:hAnsi="Fira Sans"/>
          <w:noProof/>
          <w:sz w:val="20"/>
          <w:szCs w:val="20"/>
        </w:rPr>
        <w:t>)</w:t>
      </w:r>
      <w:r w:rsidR="00D44A31" w:rsidRPr="00842F43">
        <w:rPr>
          <w:rFonts w:ascii="Fira Sans" w:hAnsi="Fira Sans"/>
          <w:sz w:val="20"/>
          <w:szCs w:val="20"/>
          <w:vertAlign w:val="superscript"/>
        </w:rPr>
        <w:fldChar w:fldCharType="end"/>
      </w:r>
      <w:r w:rsidR="001F1BD6" w:rsidRPr="00842F43">
        <w:rPr>
          <w:rFonts w:ascii="Fira Sans" w:hAnsi="Fira Sans"/>
          <w:sz w:val="20"/>
          <w:szCs w:val="20"/>
          <w:vertAlign w:val="superscript"/>
        </w:rPr>
        <w:t xml:space="preserve"> </w:t>
      </w:r>
      <w:r w:rsidR="001F1BD6" w:rsidRPr="00842F43">
        <w:rPr>
          <w:rFonts w:ascii="Fira Sans" w:hAnsi="Fira Sans"/>
          <w:sz w:val="20"/>
          <w:szCs w:val="20"/>
        </w:rPr>
        <w:t>However, t</w:t>
      </w:r>
      <w:r w:rsidR="00BA790C" w:rsidRPr="00842F43">
        <w:rPr>
          <w:rFonts w:ascii="Fira Sans" w:hAnsi="Fira Sans"/>
          <w:sz w:val="20"/>
          <w:szCs w:val="20"/>
        </w:rPr>
        <w:t xml:space="preserve">his study </w:t>
      </w:r>
      <w:r w:rsidR="00D96948" w:rsidRPr="00842F43">
        <w:rPr>
          <w:rFonts w:ascii="Fira Sans" w:hAnsi="Fira Sans"/>
          <w:sz w:val="20"/>
          <w:szCs w:val="20"/>
        </w:rPr>
        <w:t xml:space="preserve">does </w:t>
      </w:r>
      <w:r w:rsidR="00BA790C" w:rsidRPr="00842F43">
        <w:rPr>
          <w:rFonts w:ascii="Fira Sans" w:hAnsi="Fira Sans"/>
          <w:sz w:val="20"/>
          <w:szCs w:val="20"/>
        </w:rPr>
        <w:t>need to be repeated in a more representative</w:t>
      </w:r>
      <w:r w:rsidR="00D96948" w:rsidRPr="00842F43">
        <w:rPr>
          <w:rFonts w:ascii="Fira Sans" w:hAnsi="Fira Sans"/>
          <w:sz w:val="20"/>
          <w:szCs w:val="20"/>
        </w:rPr>
        <w:t xml:space="preserve"> cohort </w:t>
      </w:r>
      <w:r w:rsidR="00BA790C" w:rsidRPr="00842F43">
        <w:rPr>
          <w:rFonts w:ascii="Fira Sans" w:hAnsi="Fira Sans"/>
          <w:sz w:val="20"/>
          <w:szCs w:val="20"/>
        </w:rPr>
        <w:t>of IC</w:t>
      </w:r>
      <w:r w:rsidR="00D96948" w:rsidRPr="00842F43">
        <w:rPr>
          <w:rFonts w:ascii="Fira Sans" w:hAnsi="Fira Sans"/>
          <w:sz w:val="20"/>
          <w:szCs w:val="20"/>
        </w:rPr>
        <w:t>U-survivors</w:t>
      </w:r>
      <w:r w:rsidR="00BA790C" w:rsidRPr="00842F43">
        <w:rPr>
          <w:rFonts w:ascii="Fira Sans" w:hAnsi="Fira Sans"/>
          <w:sz w:val="20"/>
          <w:szCs w:val="20"/>
        </w:rPr>
        <w:t>.</w:t>
      </w:r>
      <w:r w:rsidR="00657DDD" w:rsidRPr="00842F43">
        <w:rPr>
          <w:rFonts w:ascii="Fira Sans" w:hAnsi="Fira Sans"/>
          <w:sz w:val="20"/>
          <w:szCs w:val="20"/>
        </w:rPr>
        <w:t xml:space="preserve"> </w:t>
      </w:r>
      <w:r w:rsidR="0038684B" w:rsidRPr="00842F43">
        <w:rPr>
          <w:rFonts w:ascii="Fira Sans" w:hAnsi="Fira Sans"/>
          <w:noProof/>
          <w:sz w:val="20"/>
          <w:szCs w:val="20"/>
        </w:rPr>
        <w:t>Remaining uncertainties require refinement of trial design, before proceeding to a definitive RCT of clinical effectiveness.</w:t>
      </w:r>
      <w:r w:rsidR="008C2619" w:rsidRPr="00842F43">
        <w:rPr>
          <w:rFonts w:ascii="Fira Sans" w:hAnsi="Fira Sans"/>
          <w:noProof/>
          <w:sz w:val="20"/>
          <w:szCs w:val="20"/>
        </w:rPr>
        <w:t xml:space="preserve"> </w:t>
      </w:r>
    </w:p>
    <w:p w14:paraId="5BC7CA25" w14:textId="1AA2DF69" w:rsidR="00334D82" w:rsidRPr="00842F43" w:rsidRDefault="00334D82" w:rsidP="00842F43">
      <w:pPr>
        <w:spacing w:line="360" w:lineRule="auto"/>
        <w:rPr>
          <w:rFonts w:ascii="Fira Sans" w:hAnsi="Fira Sans"/>
          <w:sz w:val="20"/>
          <w:szCs w:val="20"/>
        </w:rPr>
      </w:pPr>
    </w:p>
    <w:p w14:paraId="4A06E6BD" w14:textId="28D846D7" w:rsidR="00850F7E" w:rsidRPr="00842F43" w:rsidRDefault="00E07AAC" w:rsidP="00842F43">
      <w:pPr>
        <w:spacing w:line="360" w:lineRule="auto"/>
        <w:rPr>
          <w:rFonts w:ascii="Fira Sans" w:hAnsi="Fira Sans"/>
          <w:color w:val="4472C4" w:themeColor="accent1"/>
          <w:sz w:val="20"/>
          <w:szCs w:val="20"/>
        </w:rPr>
      </w:pPr>
      <w:r w:rsidRPr="00842F43">
        <w:rPr>
          <w:rFonts w:ascii="Fira Sans" w:hAnsi="Fira Sans"/>
          <w:sz w:val="20"/>
          <w:szCs w:val="20"/>
        </w:rPr>
        <w:t>CONCLUSION</w:t>
      </w:r>
    </w:p>
    <w:p w14:paraId="09A52F33" w14:textId="2EF4B708" w:rsidR="00783213" w:rsidRPr="00842F43" w:rsidRDefault="001F1BD6" w:rsidP="00842F43">
      <w:pPr>
        <w:spacing w:line="360" w:lineRule="auto"/>
        <w:rPr>
          <w:rFonts w:ascii="Fira Sans" w:hAnsi="Fira Sans"/>
          <w:noProof/>
          <w:sz w:val="20"/>
          <w:szCs w:val="20"/>
        </w:rPr>
      </w:pPr>
      <w:r w:rsidRPr="00842F43">
        <w:rPr>
          <w:rFonts w:ascii="Fira Sans" w:hAnsi="Fira Sans"/>
          <w:sz w:val="20"/>
          <w:szCs w:val="20"/>
        </w:rPr>
        <w:t>This study met</w:t>
      </w:r>
      <w:r w:rsidR="00141470" w:rsidRPr="00842F43">
        <w:rPr>
          <w:rFonts w:ascii="Fira Sans" w:hAnsi="Fira Sans"/>
          <w:sz w:val="20"/>
          <w:szCs w:val="20"/>
        </w:rPr>
        <w:t xml:space="preserve"> </w:t>
      </w:r>
      <w:r w:rsidRPr="00842F43">
        <w:rPr>
          <w:rFonts w:ascii="Fira Sans" w:hAnsi="Fira Sans"/>
          <w:sz w:val="20"/>
          <w:szCs w:val="20"/>
        </w:rPr>
        <w:t>feasibility and safety targets.</w:t>
      </w:r>
      <w:r w:rsidR="00141470" w:rsidRPr="00842F43">
        <w:rPr>
          <w:rFonts w:ascii="Fira Sans" w:hAnsi="Fira Sans"/>
          <w:sz w:val="20"/>
          <w:szCs w:val="20"/>
        </w:rPr>
        <w:t xml:space="preserve"> </w:t>
      </w:r>
      <w:r w:rsidRPr="00842F43">
        <w:rPr>
          <w:rFonts w:ascii="Fira Sans" w:hAnsi="Fira Sans"/>
          <w:sz w:val="20"/>
          <w:szCs w:val="20"/>
        </w:rPr>
        <w:t>However, fundamental design changes</w:t>
      </w:r>
      <w:r w:rsidR="00141470" w:rsidRPr="00842F43">
        <w:rPr>
          <w:rFonts w:ascii="Fira Sans" w:hAnsi="Fira Sans"/>
          <w:sz w:val="20"/>
          <w:szCs w:val="20"/>
        </w:rPr>
        <w:t xml:space="preserve"> </w:t>
      </w:r>
      <w:r w:rsidRPr="00842F43">
        <w:rPr>
          <w:rFonts w:ascii="Fira Sans" w:hAnsi="Fira Sans"/>
          <w:sz w:val="20"/>
          <w:szCs w:val="20"/>
        </w:rPr>
        <w:t>will need to be applied</w:t>
      </w:r>
      <w:r w:rsidR="00492B39" w:rsidRPr="00842F43">
        <w:rPr>
          <w:rFonts w:ascii="Fira Sans" w:hAnsi="Fira Sans"/>
          <w:sz w:val="20"/>
          <w:szCs w:val="20"/>
        </w:rPr>
        <w:t xml:space="preserve"> </w:t>
      </w:r>
      <w:r w:rsidR="00141470" w:rsidRPr="00842F43">
        <w:rPr>
          <w:rFonts w:ascii="Fira Sans" w:hAnsi="Fira Sans"/>
          <w:sz w:val="20"/>
          <w:szCs w:val="20"/>
        </w:rPr>
        <w:t xml:space="preserve">before progression to an </w:t>
      </w:r>
      <w:r w:rsidR="00B00445" w:rsidRPr="00842F43">
        <w:rPr>
          <w:rFonts w:ascii="Fira Sans" w:hAnsi="Fira Sans"/>
          <w:sz w:val="20"/>
          <w:szCs w:val="20"/>
        </w:rPr>
        <w:t>adequately powered</w:t>
      </w:r>
      <w:r w:rsidR="00141470" w:rsidRPr="00842F43">
        <w:rPr>
          <w:rFonts w:ascii="Fira Sans" w:hAnsi="Fira Sans"/>
          <w:sz w:val="20"/>
          <w:szCs w:val="20"/>
        </w:rPr>
        <w:t xml:space="preserve">, multi-centre RCT of clinical effectiveness. </w:t>
      </w:r>
      <w:r w:rsidR="00E07AAC" w:rsidRPr="00842F43">
        <w:rPr>
          <w:rFonts w:ascii="Fira Sans" w:hAnsi="Fira Sans"/>
          <w:noProof/>
          <w:sz w:val="20"/>
          <w:szCs w:val="20"/>
        </w:rPr>
        <w:t>A</w:t>
      </w:r>
      <w:r w:rsidR="00424153" w:rsidRPr="00842F43">
        <w:rPr>
          <w:rFonts w:ascii="Fira Sans" w:hAnsi="Fira Sans"/>
          <w:noProof/>
          <w:sz w:val="20"/>
          <w:szCs w:val="20"/>
        </w:rPr>
        <w:t xml:space="preserve"> future trial of EMDR for intensive care survivors should consider a larger number of simultaneously </w:t>
      </w:r>
      <w:r w:rsidR="00D10A1E" w:rsidRPr="00842F43">
        <w:rPr>
          <w:rFonts w:ascii="Fira Sans" w:hAnsi="Fira Sans"/>
          <w:noProof/>
          <w:sz w:val="20"/>
          <w:szCs w:val="20"/>
        </w:rPr>
        <w:t>recruiting sites, and adopting strategies to ensure representative inclusion of under-served ethnic, socio-economic and digitally-excluded populations. We recommend psychological screening of participants, consistent with recommended ICU clinical rehabilitation pathways. The EMDR intervention should be fidelity-checked, and offered online or face-to-face. To support scalability and rapid translation of findings, the RCT should be embedded within established clinical referral pathways. A mixed-methods approach, should be adopted, in order to capture the complexity of interaction between the intervention, outcome, context, culture and mechanisms of change.</w:t>
      </w:r>
    </w:p>
    <w:p w14:paraId="0ECBDF11" w14:textId="77777777" w:rsidR="00C56D26" w:rsidRPr="00842F43" w:rsidRDefault="00C56D26" w:rsidP="00842F43">
      <w:pPr>
        <w:spacing w:line="360" w:lineRule="auto"/>
        <w:rPr>
          <w:rFonts w:ascii="Fira Sans" w:hAnsi="Fira Sans"/>
          <w:sz w:val="20"/>
          <w:szCs w:val="20"/>
        </w:rPr>
      </w:pPr>
    </w:p>
    <w:p w14:paraId="146EE338" w14:textId="09E7704D" w:rsidR="00A70964" w:rsidRPr="00842F43" w:rsidRDefault="00A70964" w:rsidP="00842F43">
      <w:pPr>
        <w:spacing w:line="360" w:lineRule="auto"/>
        <w:rPr>
          <w:rFonts w:ascii="Fira Sans" w:hAnsi="Fira Sans"/>
          <w:sz w:val="20"/>
          <w:szCs w:val="20"/>
        </w:rPr>
      </w:pPr>
      <w:r w:rsidRPr="00842F43">
        <w:rPr>
          <w:rFonts w:ascii="Fira Sans" w:hAnsi="Fira Sans"/>
          <w:sz w:val="20"/>
          <w:szCs w:val="20"/>
        </w:rPr>
        <w:t>List of abbreviations:</w:t>
      </w:r>
    </w:p>
    <w:p w14:paraId="08AD26D9"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APACHE: Acute physiology and chronic health evaluation</w:t>
      </w:r>
    </w:p>
    <w:p w14:paraId="75B7F67F"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BRS: Brief resilience scale</w:t>
      </w:r>
    </w:p>
    <w:p w14:paraId="2D7851A9"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CG: Control group</w:t>
      </w:r>
    </w:p>
    <w:p w14:paraId="7BE18D0B"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EMDR: Eye-movement desensitisation and reprocessing</w:t>
      </w:r>
    </w:p>
    <w:p w14:paraId="16ECD83C"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EQ-5D-5L: EuroQol Five Dimension-Five level scale</w:t>
      </w:r>
    </w:p>
    <w:p w14:paraId="17302561"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 xml:space="preserve">HADS: Hospital Anxiety and Depression Scale </w:t>
      </w:r>
    </w:p>
    <w:p w14:paraId="2D16BAD4"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ICU: Intensive care unit</w:t>
      </w:r>
    </w:p>
    <w:p w14:paraId="5C0A2085"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LOS: Length of stay</w:t>
      </w:r>
    </w:p>
    <w:p w14:paraId="0B8E6F6D"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MRC: Medical Research Council</w:t>
      </w:r>
    </w:p>
    <w:p w14:paraId="72556BA8"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NHS: National Health Service</w:t>
      </w:r>
    </w:p>
    <w:p w14:paraId="520FFBAC"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 xml:space="preserve">PCL-C: Post-traumatic Stress Disorder Checklist-Civilian </w:t>
      </w:r>
    </w:p>
    <w:p w14:paraId="4A36E833"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PTSD: Post-traumatic stress disorder</w:t>
      </w:r>
    </w:p>
    <w:p w14:paraId="3776C9E4"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RCT: Randomised controlled trial</w:t>
      </w:r>
    </w:p>
    <w:p w14:paraId="632BEFBD"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R-TEP: Recent traumatic episode protocol</w:t>
      </w:r>
    </w:p>
    <w:p w14:paraId="2799238B"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SARS: Severe acute respiratory syndrome</w:t>
      </w:r>
    </w:p>
    <w:p w14:paraId="38F544F8"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SUD: Subjective unit of distress</w:t>
      </w:r>
    </w:p>
    <w:p w14:paraId="34639DC9"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UHS: University Hospital Southampton</w:t>
      </w:r>
    </w:p>
    <w:p w14:paraId="6CA8EAA1" w14:textId="77777777" w:rsidR="0068371B" w:rsidRPr="00842F43" w:rsidRDefault="0068371B" w:rsidP="00842F43">
      <w:pPr>
        <w:spacing w:line="360" w:lineRule="auto"/>
        <w:rPr>
          <w:rFonts w:ascii="Fira Sans" w:hAnsi="Fira Sans" w:cstheme="minorHAnsi"/>
          <w:sz w:val="20"/>
          <w:szCs w:val="20"/>
        </w:rPr>
      </w:pPr>
      <w:r w:rsidRPr="00842F43">
        <w:rPr>
          <w:rFonts w:ascii="Fira Sans" w:hAnsi="Fira Sans" w:cstheme="minorHAnsi"/>
          <w:sz w:val="20"/>
          <w:szCs w:val="20"/>
        </w:rPr>
        <w:t>UK: United Kingdom</w:t>
      </w:r>
    </w:p>
    <w:p w14:paraId="128660B2" w14:textId="77777777" w:rsidR="0068371B" w:rsidRPr="00842F43" w:rsidRDefault="0068371B" w:rsidP="00842F43">
      <w:pPr>
        <w:spacing w:line="360" w:lineRule="auto"/>
        <w:rPr>
          <w:rFonts w:ascii="Fira Sans" w:hAnsi="Fira Sans"/>
          <w:sz w:val="20"/>
          <w:szCs w:val="20"/>
        </w:rPr>
      </w:pPr>
    </w:p>
    <w:p w14:paraId="7B6808FF" w14:textId="2152FE5A" w:rsidR="00A70964" w:rsidRPr="00842F43" w:rsidRDefault="00A70964" w:rsidP="00842F43">
      <w:pPr>
        <w:spacing w:line="360" w:lineRule="auto"/>
        <w:rPr>
          <w:rFonts w:ascii="Fira Sans" w:hAnsi="Fira Sans"/>
          <w:sz w:val="20"/>
          <w:szCs w:val="20"/>
        </w:rPr>
      </w:pPr>
      <w:r w:rsidRPr="00842F43">
        <w:rPr>
          <w:rFonts w:ascii="Fira Sans" w:hAnsi="Fira Sans"/>
          <w:sz w:val="20"/>
          <w:szCs w:val="20"/>
        </w:rPr>
        <w:t>Declarations:</w:t>
      </w:r>
    </w:p>
    <w:p w14:paraId="418EE57D" w14:textId="50A06303" w:rsidR="00A70964" w:rsidRPr="00842F43" w:rsidRDefault="00A70964" w:rsidP="00842F43">
      <w:pPr>
        <w:spacing w:line="360" w:lineRule="auto"/>
        <w:rPr>
          <w:rFonts w:ascii="Fira Sans" w:hAnsi="Fira Sans"/>
          <w:sz w:val="20"/>
          <w:szCs w:val="20"/>
        </w:rPr>
      </w:pPr>
      <w:r w:rsidRPr="00842F43">
        <w:rPr>
          <w:rFonts w:ascii="Fira Sans" w:hAnsi="Fira Sans"/>
          <w:sz w:val="20"/>
          <w:szCs w:val="20"/>
        </w:rPr>
        <w:t>Ethics approval and consent to participate</w:t>
      </w:r>
    </w:p>
    <w:p w14:paraId="34035CBB" w14:textId="3907B0A0" w:rsidR="00A70964" w:rsidRPr="00842F43" w:rsidRDefault="00A70964" w:rsidP="00842F43">
      <w:pPr>
        <w:spacing w:line="360" w:lineRule="auto"/>
        <w:rPr>
          <w:rFonts w:ascii="Fira Sans" w:hAnsi="Fira Sans"/>
          <w:sz w:val="20"/>
          <w:szCs w:val="20"/>
        </w:rPr>
      </w:pPr>
      <w:r w:rsidRPr="00842F43">
        <w:rPr>
          <w:rFonts w:ascii="Fira Sans" w:hAnsi="Fira Sans"/>
          <w:color w:val="333333"/>
          <w:sz w:val="20"/>
          <w:szCs w:val="20"/>
          <w:shd w:val="clear" w:color="auto" w:fill="FFFFFF"/>
        </w:rPr>
        <w:lastRenderedPageBreak/>
        <w:t>London-Fulham Research Ethics Committee, United Kingdom granted ethical approval on 24</w:t>
      </w:r>
      <w:r w:rsidRPr="00842F43">
        <w:rPr>
          <w:rFonts w:ascii="Fira Sans" w:hAnsi="Fira Sans"/>
          <w:color w:val="333333"/>
          <w:sz w:val="20"/>
          <w:szCs w:val="20"/>
          <w:vertAlign w:val="superscript"/>
        </w:rPr>
        <w:t>th</w:t>
      </w:r>
      <w:r w:rsidRPr="00842F43">
        <w:rPr>
          <w:rFonts w:ascii="Fira Sans" w:hAnsi="Fira Sans"/>
          <w:color w:val="333333"/>
          <w:sz w:val="20"/>
          <w:szCs w:val="20"/>
          <w:shd w:val="clear" w:color="auto" w:fill="FFFFFF"/>
        </w:rPr>
        <w:t> August 2020. (Reference: 20/HRA/3633). The full study protocol has been published elsewhere</w:t>
      </w:r>
      <w:r w:rsidRPr="00842F43">
        <w:rPr>
          <w:rFonts w:ascii="Fira Sans" w:hAnsi="Fira Sans"/>
          <w:color w:val="333333"/>
          <w:sz w:val="20"/>
          <w:szCs w:val="20"/>
          <w:shd w:val="clear" w:color="auto" w:fill="FFFFFF"/>
        </w:rPr>
        <w:fldChar w:fldCharType="begin" w:fldLock="1"/>
      </w:r>
      <w:r w:rsidR="00D515C0" w:rsidRPr="00842F43">
        <w:rPr>
          <w:rFonts w:ascii="Fira Sans" w:hAnsi="Fira Sans"/>
          <w:color w:val="333333"/>
          <w:sz w:val="20"/>
          <w:szCs w:val="20"/>
          <w:shd w:val="clear" w:color="auto" w:fill="FFFFFF"/>
        </w:rPr>
        <w:instrText>ADDIN CSL_CITATION {"citationItems":[{"id":"ITEM-1","itemData":{"DOI":"10.1186/s13063-020-04805-1","ISSN":"1745-6215","abstract":"Primary Objective: To determine the feasibility of delivering a protocolised, remote, online, Eye Movement Desensitisation and Reprocessing (EMDR) intervention, within 12-weeks of hospital discharge, for adult survivors of Covid-19 related critical illness. Secondary objectives: To investigate whether remotely delivered EMDR can improve psychological outcome following Covid-19 related critical illness, specifically Post-Traumatic Stress Disorder (PTSD), anxiety and depression. This is a single centre, randomised controlled cohort feasibility trial. Participants will be recruited following discharge from the Intensive Care Unit at University Hospital Southampton, United Kingdom. Eligible patients will have received mechanical ventilation for a minimum of 24 hours, tested Covid-19 positive by polymerase chain reaction, will be over the age of 18 years and have the capacity to provide informed consent. Patients will be excluded if they have pre-existing cognitive impairment, pre-existing psychotic diagnosis or are not expected to survive post-hospital discharge. Group one: patients in the control arm will receive their standard package of prescribed care, following discharge home from hospital. If they experience any adverse physical or psychological health-conditions, they will access care through the usual available channels. Group two: patients randomly allocated to the intervention arm will receive their standard package of prescribed care, following discharge home from hospital. In addition, they will be referred to the Intensive Psychological Therapies Service in Poole, United Kingdom. They will receive an online appointment within 12-weeks of discharge home from hospital. They will receive a maximum of eight, weekly sessions of EMDR, delivered by a trained psychological therapist, following the Recent Traumatic Episode Protocol (R-TEP). Appendices 1 and 2 of the attached trial protocol contain a detailed description of the R-TEP intervention, written in accordance with the Template for Intervention Description and Replication (TIDieR) checklist and guide. The primary outcome from this trial will be feasibility. Feasibility will be determined by recruitment rates, expressed as a percentage of eligible patients approached, completion of the EMDR intervention, completion of final assessment at 6-months, incidence of attributable adverse events and protocol adherence by the psychological therapists. Secondary, exploratory outcomes will be assessed by co…","author":[{"dropping-particle":"","family":"Bates","given":"Andrew","non-dropping-particle":"","parse-names":false,"suffix":""},{"dropping-particle":"","family":"Rushbrook","given":"Sophie","non-dropping-particle":"","parse-names":false,"suffix":""},{"dropping-particle":"","family":"Shapiro","given":"Elan","non-dropping-particle":"","parse-names":false,"suffix":""},{"dropping-particle":"","family":"Grocott","given":"Michael","non-dropping-particle":"","parse-names":false,"suffix":""},{"dropping-particle":"","family":"Cusack","given":"Rebecca","non-dropping-particle":"","parse-names":false,"suffix":""}],"container-title":"Trials","id":"ITEM-1","issue":"1","issued":{"date-parts":[["2020","12","17"]]},"page":"929","publisher":"BioMed Central","title":"CovEMERALD: Assessing the feasibility and preliminary effectiveness of remotely delivered Eye Movement Desensitisation and Reprocessing following Covid-19 related critical illness: A structured summary of a study protocol for a randomised controlled trial","type":"article-journal","volume":"21"},"uris":["http://www.mendeley.com/documents/?uuid=5ae0022c-647a-37bb-a927-aa44a41d4f7a"]}],"mendeley":{"formattedCitation":"(41)","plainTextFormattedCitation":"(41)","previouslyFormattedCitation":"(41)"},"properties":{"noteIndex":0},"schema":"https://github.com/citation-style-language/schema/raw/master/csl-citation.json"}</w:instrText>
      </w:r>
      <w:r w:rsidRPr="00842F43">
        <w:rPr>
          <w:rFonts w:ascii="Fira Sans" w:hAnsi="Fira Sans"/>
          <w:color w:val="333333"/>
          <w:sz w:val="20"/>
          <w:szCs w:val="20"/>
          <w:shd w:val="clear" w:color="auto" w:fill="FFFFFF"/>
        </w:rPr>
        <w:fldChar w:fldCharType="separate"/>
      </w:r>
      <w:r w:rsidR="006E1E08" w:rsidRPr="00842F43">
        <w:rPr>
          <w:rFonts w:ascii="Fira Sans" w:hAnsi="Fira Sans"/>
          <w:noProof/>
          <w:color w:val="333333"/>
          <w:sz w:val="20"/>
          <w:szCs w:val="20"/>
          <w:shd w:val="clear" w:color="auto" w:fill="FFFFFF"/>
        </w:rPr>
        <w:t>(41)</w:t>
      </w:r>
      <w:r w:rsidRPr="00842F43">
        <w:rPr>
          <w:rFonts w:ascii="Fira Sans" w:hAnsi="Fira Sans"/>
          <w:color w:val="333333"/>
          <w:sz w:val="20"/>
          <w:szCs w:val="20"/>
          <w:shd w:val="clear" w:color="auto" w:fill="FFFFFF"/>
        </w:rPr>
        <w:fldChar w:fldCharType="end"/>
      </w:r>
      <w:r w:rsidRPr="00842F43">
        <w:rPr>
          <w:rFonts w:ascii="Fira Sans" w:hAnsi="Fira Sans"/>
          <w:color w:val="333333"/>
          <w:sz w:val="20"/>
          <w:szCs w:val="20"/>
          <w:shd w:val="clear" w:color="auto" w:fill="FFFFFF"/>
        </w:rPr>
        <w:t xml:space="preserve">. </w:t>
      </w:r>
      <w:r w:rsidR="002E691D" w:rsidRPr="00842F43">
        <w:rPr>
          <w:rFonts w:ascii="Fira Sans" w:hAnsi="Fira Sans"/>
          <w:color w:val="333333"/>
          <w:sz w:val="20"/>
          <w:szCs w:val="20"/>
          <w:shd w:val="clear" w:color="auto" w:fill="FFFFFF"/>
        </w:rPr>
        <w:t xml:space="preserve">Due to the ongoing requirement to maintain social distancing during the pandemic, verbal consent was obtained and documented during telephone consultation between participants and research staff. Consent forms were posted to all participants. </w:t>
      </w:r>
    </w:p>
    <w:p w14:paraId="07F48FF3" w14:textId="4DCD697A" w:rsidR="00A70964" w:rsidRPr="00842F43" w:rsidRDefault="00A70964" w:rsidP="00842F43">
      <w:pPr>
        <w:spacing w:line="360" w:lineRule="auto"/>
        <w:rPr>
          <w:rFonts w:ascii="Fira Sans" w:hAnsi="Fira Sans"/>
          <w:sz w:val="20"/>
          <w:szCs w:val="20"/>
        </w:rPr>
      </w:pPr>
      <w:r w:rsidRPr="00842F43">
        <w:rPr>
          <w:rFonts w:ascii="Fira Sans" w:hAnsi="Fira Sans"/>
          <w:sz w:val="20"/>
          <w:szCs w:val="20"/>
        </w:rPr>
        <w:t>Consent for publication</w:t>
      </w:r>
    </w:p>
    <w:p w14:paraId="5C545C23" w14:textId="65EDEBD3" w:rsidR="00CB5446" w:rsidRPr="00842F43" w:rsidRDefault="00CB5446" w:rsidP="00842F43">
      <w:pPr>
        <w:spacing w:line="360" w:lineRule="auto"/>
        <w:rPr>
          <w:rFonts w:ascii="Fira Sans" w:hAnsi="Fira Sans"/>
          <w:sz w:val="20"/>
          <w:szCs w:val="20"/>
        </w:rPr>
      </w:pPr>
      <w:r w:rsidRPr="00842F43">
        <w:rPr>
          <w:rFonts w:ascii="Fira Sans" w:hAnsi="Fira Sans"/>
          <w:sz w:val="20"/>
          <w:szCs w:val="20"/>
        </w:rPr>
        <w:t xml:space="preserve">Individual’s data is not included in this manuscript, therefore consent for publication is not required. </w:t>
      </w:r>
    </w:p>
    <w:p w14:paraId="376780B6" w14:textId="2DA6E4A6" w:rsidR="00A70964" w:rsidRPr="00842F43" w:rsidRDefault="00A70964" w:rsidP="00842F43">
      <w:pPr>
        <w:spacing w:line="360" w:lineRule="auto"/>
        <w:rPr>
          <w:rFonts w:ascii="Fira Sans" w:hAnsi="Fira Sans"/>
          <w:sz w:val="20"/>
          <w:szCs w:val="20"/>
        </w:rPr>
      </w:pPr>
      <w:r w:rsidRPr="00842F43">
        <w:rPr>
          <w:rFonts w:ascii="Fira Sans" w:hAnsi="Fira Sans"/>
          <w:sz w:val="20"/>
          <w:szCs w:val="20"/>
        </w:rPr>
        <w:t xml:space="preserve">Availability of data and materials </w:t>
      </w:r>
    </w:p>
    <w:p w14:paraId="23A31372" w14:textId="7C1EC06D" w:rsidR="00220FD5" w:rsidRPr="00842F43" w:rsidRDefault="002E691D" w:rsidP="00842F43">
      <w:pPr>
        <w:spacing w:line="360" w:lineRule="auto"/>
        <w:rPr>
          <w:rFonts w:ascii="Fira Sans" w:hAnsi="Fira Sans"/>
          <w:sz w:val="20"/>
          <w:szCs w:val="20"/>
        </w:rPr>
      </w:pPr>
      <w:r w:rsidRPr="00842F43">
        <w:rPr>
          <w:rFonts w:ascii="Fira Sans" w:hAnsi="Fira Sans"/>
          <w:sz w:val="20"/>
          <w:szCs w:val="20"/>
        </w:rPr>
        <w:t>Datasets used in preparation of this manuscript can be accessed from the corresponding author on reasonable request.</w:t>
      </w:r>
    </w:p>
    <w:p w14:paraId="49BF6638" w14:textId="147DB2BC" w:rsidR="00C72A60" w:rsidRPr="00842F43" w:rsidRDefault="003C0F55" w:rsidP="00842F43">
      <w:pPr>
        <w:spacing w:line="360" w:lineRule="auto"/>
        <w:rPr>
          <w:rFonts w:ascii="Fira Sans" w:hAnsi="Fira Sans"/>
          <w:sz w:val="20"/>
          <w:szCs w:val="20"/>
        </w:rPr>
      </w:pPr>
      <w:r w:rsidRPr="00842F43">
        <w:rPr>
          <w:rFonts w:ascii="Fira Sans" w:hAnsi="Fira Sans"/>
          <w:sz w:val="20"/>
          <w:szCs w:val="20"/>
        </w:rPr>
        <w:t>Authors’</w:t>
      </w:r>
      <w:r w:rsidR="00C72A60" w:rsidRPr="00842F43">
        <w:rPr>
          <w:rFonts w:ascii="Fira Sans" w:hAnsi="Fira Sans"/>
          <w:sz w:val="20"/>
          <w:szCs w:val="20"/>
        </w:rPr>
        <w:t xml:space="preserve"> contributions</w:t>
      </w:r>
      <w:r w:rsidR="00FA78C4" w:rsidRPr="00842F43">
        <w:rPr>
          <w:rFonts w:ascii="Fira Sans" w:hAnsi="Fira Sans"/>
          <w:sz w:val="20"/>
          <w:szCs w:val="20"/>
        </w:rPr>
        <w:t xml:space="preserve"> </w:t>
      </w:r>
    </w:p>
    <w:p w14:paraId="7A0FD5FF" w14:textId="4350B932" w:rsidR="00FA78C4" w:rsidRPr="00842F43" w:rsidRDefault="00FA78C4" w:rsidP="00842F43">
      <w:pPr>
        <w:spacing w:line="360" w:lineRule="auto"/>
        <w:rPr>
          <w:rFonts w:ascii="Fira Sans" w:hAnsi="Fira Sans"/>
          <w:sz w:val="20"/>
          <w:szCs w:val="20"/>
        </w:rPr>
      </w:pPr>
      <w:r w:rsidRPr="00842F43">
        <w:rPr>
          <w:rFonts w:ascii="Fira Sans" w:hAnsi="Fira Sans"/>
          <w:sz w:val="20"/>
          <w:szCs w:val="20"/>
        </w:rPr>
        <w:t xml:space="preserve">AB conceived and </w:t>
      </w:r>
      <w:r w:rsidR="009A722A" w:rsidRPr="00842F43">
        <w:rPr>
          <w:rFonts w:ascii="Fira Sans" w:hAnsi="Fira Sans"/>
          <w:sz w:val="20"/>
          <w:szCs w:val="20"/>
        </w:rPr>
        <w:t>designed</w:t>
      </w:r>
      <w:r w:rsidRPr="00842F43">
        <w:rPr>
          <w:rFonts w:ascii="Fira Sans" w:hAnsi="Fira Sans"/>
          <w:sz w:val="20"/>
          <w:szCs w:val="20"/>
        </w:rPr>
        <w:t xml:space="preserve"> the study, </w:t>
      </w:r>
      <w:r w:rsidR="009A722A" w:rsidRPr="00842F43">
        <w:rPr>
          <w:rFonts w:ascii="Fira Sans" w:hAnsi="Fira Sans"/>
          <w:sz w:val="20"/>
          <w:szCs w:val="20"/>
        </w:rPr>
        <w:t>acquired and interpreted</w:t>
      </w:r>
      <w:r w:rsidRPr="00842F43">
        <w:rPr>
          <w:rFonts w:ascii="Fira Sans" w:hAnsi="Fira Sans"/>
          <w:sz w:val="20"/>
          <w:szCs w:val="20"/>
        </w:rPr>
        <w:t xml:space="preserve"> the </w:t>
      </w:r>
      <w:r w:rsidR="003C0F55" w:rsidRPr="00842F43">
        <w:rPr>
          <w:rFonts w:ascii="Fira Sans" w:hAnsi="Fira Sans"/>
          <w:sz w:val="20"/>
          <w:szCs w:val="20"/>
        </w:rPr>
        <w:t>data,</w:t>
      </w:r>
      <w:r w:rsidR="00C55472" w:rsidRPr="00842F43">
        <w:rPr>
          <w:rFonts w:ascii="Fira Sans" w:hAnsi="Fira Sans"/>
          <w:sz w:val="20"/>
          <w:szCs w:val="20"/>
        </w:rPr>
        <w:t xml:space="preserve"> </w:t>
      </w:r>
      <w:r w:rsidRPr="00842F43">
        <w:rPr>
          <w:rFonts w:ascii="Fira Sans" w:hAnsi="Fira Sans"/>
          <w:sz w:val="20"/>
          <w:szCs w:val="20"/>
        </w:rPr>
        <w:t>and led manuscript preparation</w:t>
      </w:r>
      <w:r w:rsidR="004A286B" w:rsidRPr="00842F43">
        <w:rPr>
          <w:rFonts w:ascii="Fira Sans" w:hAnsi="Fira Sans"/>
          <w:sz w:val="20"/>
          <w:szCs w:val="20"/>
        </w:rPr>
        <w:t>, under the supervision of NP, DSB, RC and M</w:t>
      </w:r>
      <w:r w:rsidR="006442C5" w:rsidRPr="00842F43">
        <w:rPr>
          <w:rFonts w:ascii="Fira Sans" w:hAnsi="Fira Sans"/>
          <w:sz w:val="20"/>
          <w:szCs w:val="20"/>
        </w:rPr>
        <w:t>PW</w:t>
      </w:r>
      <w:r w:rsidR="004A286B" w:rsidRPr="00842F43">
        <w:rPr>
          <w:rFonts w:ascii="Fira Sans" w:hAnsi="Fira Sans"/>
          <w:sz w:val="20"/>
          <w:szCs w:val="20"/>
        </w:rPr>
        <w:t>G</w:t>
      </w:r>
      <w:r w:rsidRPr="00842F43">
        <w:rPr>
          <w:rFonts w:ascii="Fira Sans" w:hAnsi="Fira Sans"/>
          <w:sz w:val="20"/>
          <w:szCs w:val="20"/>
        </w:rPr>
        <w:t xml:space="preserve">. </w:t>
      </w:r>
      <w:r w:rsidR="003C0F55" w:rsidRPr="00842F43">
        <w:rPr>
          <w:rFonts w:ascii="Fira Sans" w:hAnsi="Fira Sans"/>
          <w:sz w:val="20"/>
          <w:szCs w:val="20"/>
        </w:rPr>
        <w:t xml:space="preserve">HG </w:t>
      </w:r>
      <w:r w:rsidR="009A722A" w:rsidRPr="00842F43">
        <w:rPr>
          <w:rFonts w:ascii="Fira Sans" w:hAnsi="Fira Sans"/>
          <w:sz w:val="20"/>
          <w:szCs w:val="20"/>
        </w:rPr>
        <w:t xml:space="preserve">acquired and interpreted the data, </w:t>
      </w:r>
      <w:r w:rsidR="00B85887" w:rsidRPr="00842F43">
        <w:rPr>
          <w:rFonts w:ascii="Fira Sans" w:hAnsi="Fira Sans"/>
          <w:sz w:val="20"/>
          <w:szCs w:val="20"/>
        </w:rPr>
        <w:t xml:space="preserve">designed and formatted the tables. SR </w:t>
      </w:r>
      <w:r w:rsidR="009A722A" w:rsidRPr="00842F43">
        <w:rPr>
          <w:rFonts w:ascii="Fira Sans" w:hAnsi="Fira Sans"/>
          <w:sz w:val="20"/>
          <w:szCs w:val="20"/>
        </w:rPr>
        <w:t xml:space="preserve">conceived and designed the study </w:t>
      </w:r>
      <w:r w:rsidR="00B85887" w:rsidRPr="00842F43">
        <w:rPr>
          <w:rFonts w:ascii="Fira Sans" w:hAnsi="Fira Sans"/>
          <w:sz w:val="20"/>
          <w:szCs w:val="20"/>
        </w:rPr>
        <w:t xml:space="preserve">and led intervention delivery and supervision. ES developed the EMDR R-TEP intervention, trained the psychological therapists and participated in </w:t>
      </w:r>
      <w:r w:rsidR="00F5557A" w:rsidRPr="00842F43">
        <w:rPr>
          <w:rFonts w:ascii="Fira Sans" w:hAnsi="Fira Sans"/>
          <w:sz w:val="20"/>
          <w:szCs w:val="20"/>
        </w:rPr>
        <w:t>study des</w:t>
      </w:r>
      <w:r w:rsidR="00B85887" w:rsidRPr="00842F43">
        <w:rPr>
          <w:rFonts w:ascii="Fira Sans" w:hAnsi="Fira Sans"/>
          <w:sz w:val="20"/>
          <w:szCs w:val="20"/>
        </w:rPr>
        <w:t xml:space="preserve">ign. NP </w:t>
      </w:r>
      <w:r w:rsidR="00F5557A" w:rsidRPr="00842F43">
        <w:rPr>
          <w:rFonts w:ascii="Fira Sans" w:hAnsi="Fira Sans"/>
          <w:sz w:val="20"/>
          <w:szCs w:val="20"/>
        </w:rPr>
        <w:t>provid</w:t>
      </w:r>
      <w:r w:rsidR="004A286B" w:rsidRPr="00842F43">
        <w:rPr>
          <w:rFonts w:ascii="Fira Sans" w:hAnsi="Fira Sans"/>
          <w:sz w:val="20"/>
          <w:szCs w:val="20"/>
        </w:rPr>
        <w:t>ed</w:t>
      </w:r>
      <w:r w:rsidR="00F5557A" w:rsidRPr="00842F43">
        <w:rPr>
          <w:rFonts w:ascii="Fira Sans" w:hAnsi="Fira Sans"/>
          <w:sz w:val="20"/>
          <w:szCs w:val="20"/>
        </w:rPr>
        <w:t xml:space="preserve"> intellectual input and</w:t>
      </w:r>
      <w:r w:rsidR="004A286B" w:rsidRPr="00842F43">
        <w:rPr>
          <w:rFonts w:ascii="Fira Sans" w:hAnsi="Fira Sans"/>
          <w:sz w:val="20"/>
          <w:szCs w:val="20"/>
        </w:rPr>
        <w:t xml:space="preserve"> critical </w:t>
      </w:r>
      <w:r w:rsidR="00F5557A" w:rsidRPr="00842F43">
        <w:rPr>
          <w:rFonts w:ascii="Fira Sans" w:hAnsi="Fira Sans"/>
          <w:sz w:val="20"/>
          <w:szCs w:val="20"/>
        </w:rPr>
        <w:t>revision of the manuscript. DSB contributed to study design, intellectual input and critical revision of the manuscript. M</w:t>
      </w:r>
      <w:r w:rsidR="006442C5" w:rsidRPr="00842F43">
        <w:rPr>
          <w:rFonts w:ascii="Fira Sans" w:hAnsi="Fira Sans"/>
          <w:sz w:val="20"/>
          <w:szCs w:val="20"/>
        </w:rPr>
        <w:t>PW</w:t>
      </w:r>
      <w:r w:rsidR="00F5557A" w:rsidRPr="00842F43">
        <w:rPr>
          <w:rFonts w:ascii="Fira Sans" w:hAnsi="Fira Sans"/>
          <w:sz w:val="20"/>
          <w:szCs w:val="20"/>
        </w:rPr>
        <w:t xml:space="preserve">G </w:t>
      </w:r>
      <w:r w:rsidR="009A722A" w:rsidRPr="00842F43">
        <w:rPr>
          <w:rFonts w:ascii="Fira Sans" w:hAnsi="Fira Sans"/>
          <w:sz w:val="20"/>
          <w:szCs w:val="20"/>
        </w:rPr>
        <w:t xml:space="preserve">designed the </w:t>
      </w:r>
      <w:r w:rsidR="00F5557A" w:rsidRPr="00842F43">
        <w:rPr>
          <w:rFonts w:ascii="Fira Sans" w:hAnsi="Fira Sans"/>
          <w:sz w:val="20"/>
          <w:szCs w:val="20"/>
        </w:rPr>
        <w:t xml:space="preserve">study, provided intellectual input and critical revision of the manuscript. </w:t>
      </w:r>
      <w:r w:rsidR="0068371B" w:rsidRPr="00842F43">
        <w:rPr>
          <w:rFonts w:ascii="Fira Sans" w:hAnsi="Fira Sans"/>
          <w:sz w:val="20"/>
          <w:szCs w:val="20"/>
        </w:rPr>
        <w:t xml:space="preserve">RC </w:t>
      </w:r>
      <w:r w:rsidR="009A722A" w:rsidRPr="00842F43">
        <w:rPr>
          <w:rFonts w:ascii="Fira Sans" w:hAnsi="Fira Sans"/>
          <w:sz w:val="20"/>
          <w:szCs w:val="20"/>
        </w:rPr>
        <w:t>conceived and designed the study</w:t>
      </w:r>
      <w:r w:rsidR="0068371B" w:rsidRPr="00842F43">
        <w:rPr>
          <w:rFonts w:ascii="Fira Sans" w:hAnsi="Fira Sans"/>
          <w:sz w:val="20"/>
          <w:szCs w:val="20"/>
        </w:rPr>
        <w:t xml:space="preserve">, </w:t>
      </w:r>
      <w:r w:rsidR="009A722A" w:rsidRPr="00842F43">
        <w:rPr>
          <w:rFonts w:ascii="Fira Sans" w:hAnsi="Fira Sans"/>
          <w:sz w:val="20"/>
          <w:szCs w:val="20"/>
        </w:rPr>
        <w:t xml:space="preserve">acquired and interpreted the data, </w:t>
      </w:r>
      <w:r w:rsidR="0068371B" w:rsidRPr="00842F43">
        <w:rPr>
          <w:rFonts w:ascii="Fira Sans" w:hAnsi="Fira Sans"/>
          <w:sz w:val="20"/>
          <w:szCs w:val="20"/>
        </w:rPr>
        <w:t xml:space="preserve">provided intellectual input and critical revision of the manuscript. </w:t>
      </w:r>
      <w:r w:rsidR="00B85887" w:rsidRPr="00842F43">
        <w:rPr>
          <w:rFonts w:ascii="Fira Sans" w:hAnsi="Fira Sans"/>
          <w:sz w:val="20"/>
          <w:szCs w:val="20"/>
        </w:rPr>
        <w:t>A</w:t>
      </w:r>
      <w:r w:rsidR="00C55472" w:rsidRPr="00842F43">
        <w:rPr>
          <w:rFonts w:ascii="Fira Sans" w:hAnsi="Fira Sans"/>
          <w:sz w:val="20"/>
          <w:szCs w:val="20"/>
        </w:rPr>
        <w:t>ll</w:t>
      </w:r>
      <w:r w:rsidR="00557953" w:rsidRPr="00842F43">
        <w:rPr>
          <w:rFonts w:ascii="Fira Sans" w:hAnsi="Fira Sans"/>
          <w:sz w:val="20"/>
          <w:szCs w:val="20"/>
        </w:rPr>
        <w:t xml:space="preserve"> </w:t>
      </w:r>
      <w:r w:rsidR="00B85887" w:rsidRPr="00842F43">
        <w:rPr>
          <w:rFonts w:ascii="Fira Sans" w:hAnsi="Fira Sans"/>
          <w:sz w:val="20"/>
          <w:szCs w:val="20"/>
        </w:rPr>
        <w:t>authors contributed</w:t>
      </w:r>
      <w:r w:rsidR="00F5557A" w:rsidRPr="00842F43">
        <w:rPr>
          <w:rFonts w:ascii="Fira Sans" w:hAnsi="Fira Sans"/>
          <w:sz w:val="20"/>
          <w:szCs w:val="20"/>
        </w:rPr>
        <w:t xml:space="preserve"> to</w:t>
      </w:r>
      <w:r w:rsidR="00B85887" w:rsidRPr="00842F43">
        <w:rPr>
          <w:rFonts w:ascii="Fira Sans" w:hAnsi="Fira Sans"/>
          <w:sz w:val="20"/>
          <w:szCs w:val="20"/>
        </w:rPr>
        <w:t>, edited and approved the final manuscript.</w:t>
      </w:r>
    </w:p>
    <w:p w14:paraId="7BD9E1C3" w14:textId="03AEE9AA" w:rsidR="00A70964" w:rsidRPr="00842F43" w:rsidRDefault="00A70964" w:rsidP="00842F43">
      <w:pPr>
        <w:spacing w:line="360" w:lineRule="auto"/>
        <w:rPr>
          <w:rFonts w:ascii="Fira Sans" w:hAnsi="Fira Sans"/>
          <w:sz w:val="20"/>
          <w:szCs w:val="20"/>
        </w:rPr>
      </w:pPr>
      <w:r w:rsidRPr="00842F43">
        <w:rPr>
          <w:rFonts w:ascii="Fira Sans" w:hAnsi="Fira Sans"/>
          <w:sz w:val="20"/>
          <w:szCs w:val="20"/>
        </w:rPr>
        <w:t>Acknowledgements</w:t>
      </w:r>
    </w:p>
    <w:p w14:paraId="6846D5AE" w14:textId="54774805" w:rsidR="00A87AE6" w:rsidRPr="00842F43" w:rsidRDefault="00A87AE6" w:rsidP="00842F43">
      <w:pPr>
        <w:spacing w:line="360" w:lineRule="auto"/>
        <w:rPr>
          <w:rFonts w:ascii="Fira Sans" w:hAnsi="Fira Sans"/>
          <w:sz w:val="20"/>
          <w:szCs w:val="20"/>
        </w:rPr>
      </w:pPr>
      <w:r w:rsidRPr="00842F43">
        <w:rPr>
          <w:rFonts w:ascii="Fira Sans" w:hAnsi="Fira Sans"/>
          <w:sz w:val="20"/>
          <w:szCs w:val="20"/>
        </w:rPr>
        <w:t xml:space="preserve">We would like to thank the Intensive care staff and patients at University Hospital Southampton, for their advice, </w:t>
      </w:r>
      <w:r w:rsidR="003C0F55" w:rsidRPr="00842F43">
        <w:rPr>
          <w:rFonts w:ascii="Fira Sans" w:hAnsi="Fira Sans"/>
          <w:sz w:val="20"/>
          <w:szCs w:val="20"/>
        </w:rPr>
        <w:t>support,</w:t>
      </w:r>
      <w:r w:rsidRPr="00842F43">
        <w:rPr>
          <w:rFonts w:ascii="Fira Sans" w:hAnsi="Fira Sans"/>
          <w:sz w:val="20"/>
          <w:szCs w:val="20"/>
        </w:rPr>
        <w:t xml:space="preserve"> and </w:t>
      </w:r>
      <w:r w:rsidR="00812654" w:rsidRPr="00842F43">
        <w:rPr>
          <w:rFonts w:ascii="Fira Sans" w:hAnsi="Fira Sans"/>
          <w:sz w:val="20"/>
          <w:szCs w:val="20"/>
        </w:rPr>
        <w:t xml:space="preserve">patience during this period of unprecedented pressure. </w:t>
      </w:r>
      <w:r w:rsidR="000F5C8D" w:rsidRPr="00842F43">
        <w:rPr>
          <w:rFonts w:ascii="Fira Sans" w:hAnsi="Fira Sans"/>
          <w:sz w:val="20"/>
          <w:szCs w:val="20"/>
        </w:rPr>
        <w:t xml:space="preserve">In particular we acknowledge the efforts of </w:t>
      </w:r>
      <w:r w:rsidR="00812654" w:rsidRPr="00842F43">
        <w:rPr>
          <w:rFonts w:ascii="Fira Sans" w:hAnsi="Fira Sans"/>
          <w:sz w:val="20"/>
          <w:szCs w:val="20"/>
        </w:rPr>
        <w:t xml:space="preserve">Fiona Hall (UHS </w:t>
      </w:r>
      <w:r w:rsidR="00FA78C4" w:rsidRPr="00842F43">
        <w:rPr>
          <w:rFonts w:ascii="Fira Sans" w:hAnsi="Fira Sans"/>
          <w:sz w:val="20"/>
          <w:szCs w:val="20"/>
        </w:rPr>
        <w:t xml:space="preserve">NHSFT </w:t>
      </w:r>
      <w:r w:rsidR="00312612" w:rsidRPr="00842F43">
        <w:rPr>
          <w:rFonts w:ascii="Fira Sans" w:hAnsi="Fira Sans"/>
          <w:sz w:val="20"/>
          <w:szCs w:val="20"/>
        </w:rPr>
        <w:t xml:space="preserve">ICU </w:t>
      </w:r>
      <w:r w:rsidR="00812654" w:rsidRPr="00842F43">
        <w:rPr>
          <w:rFonts w:ascii="Fira Sans" w:hAnsi="Fira Sans"/>
          <w:sz w:val="20"/>
          <w:szCs w:val="20"/>
        </w:rPr>
        <w:t xml:space="preserve">follow-up </w:t>
      </w:r>
      <w:r w:rsidR="00312612" w:rsidRPr="00842F43">
        <w:rPr>
          <w:rFonts w:ascii="Fira Sans" w:hAnsi="Fira Sans"/>
          <w:sz w:val="20"/>
          <w:szCs w:val="20"/>
        </w:rPr>
        <w:t>senior sister</w:t>
      </w:r>
      <w:r w:rsidR="00812654" w:rsidRPr="00842F43">
        <w:rPr>
          <w:rFonts w:ascii="Fira Sans" w:hAnsi="Fira Sans"/>
          <w:sz w:val="20"/>
          <w:szCs w:val="20"/>
        </w:rPr>
        <w:t>)</w:t>
      </w:r>
      <w:r w:rsidR="000F5C8D" w:rsidRPr="00842F43">
        <w:rPr>
          <w:rFonts w:ascii="Fira Sans" w:hAnsi="Fira Sans"/>
          <w:sz w:val="20"/>
          <w:szCs w:val="20"/>
        </w:rPr>
        <w:t xml:space="preserve"> and </w:t>
      </w:r>
      <w:r w:rsidR="0088424C" w:rsidRPr="00842F43">
        <w:rPr>
          <w:rFonts w:ascii="Fira Sans" w:hAnsi="Fira Sans"/>
          <w:sz w:val="20"/>
          <w:szCs w:val="20"/>
        </w:rPr>
        <w:t>Dr Kathleen Nolan (UHS NHSFT ICU and follow-up Consultant),</w:t>
      </w:r>
      <w:r w:rsidR="00812654" w:rsidRPr="00842F43">
        <w:rPr>
          <w:rFonts w:ascii="Fira Sans" w:hAnsi="Fira Sans"/>
          <w:sz w:val="20"/>
          <w:szCs w:val="20"/>
        </w:rPr>
        <w:t xml:space="preserve"> Janet Hathaway, project manager at Dor</w:t>
      </w:r>
      <w:r w:rsidR="00FA78C4" w:rsidRPr="00842F43">
        <w:rPr>
          <w:rFonts w:ascii="Fira Sans" w:hAnsi="Fira Sans"/>
          <w:sz w:val="20"/>
          <w:szCs w:val="20"/>
        </w:rPr>
        <w:t>set Healthcare University NHSFT</w:t>
      </w:r>
      <w:r w:rsidR="0088424C" w:rsidRPr="00842F43">
        <w:rPr>
          <w:rFonts w:ascii="Fira Sans" w:hAnsi="Fira Sans"/>
          <w:sz w:val="20"/>
          <w:szCs w:val="20"/>
        </w:rPr>
        <w:t>,</w:t>
      </w:r>
      <w:r w:rsidR="00FA78C4" w:rsidRPr="00842F43">
        <w:rPr>
          <w:rFonts w:ascii="Fira Sans" w:hAnsi="Fira Sans"/>
          <w:sz w:val="20"/>
          <w:szCs w:val="20"/>
        </w:rPr>
        <w:t xml:space="preserve"> Lesley Hawkins, senior project manager at UHS NHSFT</w:t>
      </w:r>
      <w:r w:rsidR="0088424C" w:rsidRPr="00842F43">
        <w:rPr>
          <w:rFonts w:ascii="Fira Sans" w:hAnsi="Fira Sans"/>
          <w:sz w:val="20"/>
          <w:szCs w:val="20"/>
        </w:rPr>
        <w:t xml:space="preserve">, </w:t>
      </w:r>
      <w:r w:rsidR="00812654" w:rsidRPr="00842F43">
        <w:rPr>
          <w:rFonts w:ascii="Fira Sans" w:hAnsi="Fira Sans"/>
          <w:sz w:val="20"/>
          <w:szCs w:val="20"/>
        </w:rPr>
        <w:t xml:space="preserve">Tara Walker and Nicola Coulter for delivering the intervention and participating in invaluable trial team meetings. </w:t>
      </w:r>
      <w:r w:rsidR="00FA78C4" w:rsidRPr="00842F43">
        <w:rPr>
          <w:rFonts w:ascii="Fira Sans" w:hAnsi="Fira Sans"/>
          <w:sz w:val="20"/>
          <w:szCs w:val="20"/>
        </w:rPr>
        <w:t>This trial was possible because of their unfailing enthusiasm and support.</w:t>
      </w:r>
    </w:p>
    <w:p w14:paraId="394B731F" w14:textId="57494CA2" w:rsidR="00BA416A" w:rsidRPr="00842F43" w:rsidRDefault="00BA416A" w:rsidP="00842F43">
      <w:pPr>
        <w:widowControl w:val="0"/>
        <w:autoSpaceDE w:val="0"/>
        <w:autoSpaceDN w:val="0"/>
        <w:adjustRightInd w:val="0"/>
        <w:spacing w:line="360" w:lineRule="auto"/>
        <w:rPr>
          <w:rFonts w:ascii="Fira Sans" w:hAnsi="Fira Sans"/>
          <w:sz w:val="20"/>
          <w:szCs w:val="20"/>
        </w:rPr>
      </w:pPr>
    </w:p>
    <w:p w14:paraId="091AC5DC" w14:textId="632539B3" w:rsidR="00487F7C" w:rsidRPr="00842F43" w:rsidRDefault="00487F7C" w:rsidP="00842F43">
      <w:pPr>
        <w:widowControl w:val="0"/>
        <w:autoSpaceDE w:val="0"/>
        <w:autoSpaceDN w:val="0"/>
        <w:adjustRightInd w:val="0"/>
        <w:spacing w:line="360" w:lineRule="auto"/>
        <w:rPr>
          <w:rFonts w:ascii="Fira Sans" w:hAnsi="Fira Sans"/>
          <w:sz w:val="20"/>
          <w:szCs w:val="20"/>
        </w:rPr>
      </w:pPr>
    </w:p>
    <w:p w14:paraId="49A3C06E" w14:textId="7A9A76A8" w:rsidR="00487F7C" w:rsidRPr="00842F43" w:rsidRDefault="00487F7C" w:rsidP="00842F43">
      <w:pPr>
        <w:widowControl w:val="0"/>
        <w:autoSpaceDE w:val="0"/>
        <w:autoSpaceDN w:val="0"/>
        <w:adjustRightInd w:val="0"/>
        <w:spacing w:line="360" w:lineRule="auto"/>
        <w:rPr>
          <w:rFonts w:ascii="Fira Sans" w:hAnsi="Fira Sans"/>
          <w:sz w:val="20"/>
          <w:szCs w:val="20"/>
        </w:rPr>
      </w:pPr>
      <w:r w:rsidRPr="00842F43">
        <w:rPr>
          <w:rFonts w:ascii="Fira Sans" w:hAnsi="Fira Sans"/>
          <w:sz w:val="20"/>
          <w:szCs w:val="20"/>
        </w:rPr>
        <w:fldChar w:fldCharType="begin" w:fldLock="1"/>
      </w:r>
      <w:r w:rsidRPr="00842F43">
        <w:rPr>
          <w:rFonts w:ascii="Fira Sans" w:hAnsi="Fira Sans"/>
          <w:sz w:val="20"/>
          <w:szCs w:val="20"/>
        </w:rPr>
        <w:instrText xml:space="preserve">ADDIN Mendeley Bibliography CSL_BIBLIOGRAPHY </w:instrText>
      </w:r>
      <w:r w:rsidRPr="00842F43">
        <w:rPr>
          <w:rFonts w:ascii="Fira Sans" w:hAnsi="Fira Sans"/>
          <w:sz w:val="20"/>
          <w:szCs w:val="20"/>
        </w:rPr>
        <w:fldChar w:fldCharType="separate"/>
      </w:r>
      <w:r w:rsidRPr="00842F43">
        <w:rPr>
          <w:rFonts w:ascii="Fira Sans" w:hAnsi="Fira Sans"/>
          <w:noProof/>
          <w:sz w:val="20"/>
          <w:szCs w:val="20"/>
        </w:rPr>
        <w:t>Bibliography}</w:t>
      </w:r>
      <w:r w:rsidRPr="00842F43">
        <w:rPr>
          <w:rFonts w:ascii="Fira Sans" w:hAnsi="Fira Sans"/>
          <w:sz w:val="20"/>
          <w:szCs w:val="20"/>
        </w:rPr>
        <w:fldChar w:fldCharType="end"/>
      </w:r>
    </w:p>
    <w:p w14:paraId="2A1A1E0B" w14:textId="51A87430"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 </w:t>
      </w:r>
      <w:r w:rsidRPr="00842F43">
        <w:rPr>
          <w:rFonts w:ascii="Fira Sans" w:hAnsi="Fira Sans"/>
          <w:sz w:val="20"/>
          <w:szCs w:val="20"/>
        </w:rPr>
        <w:tab/>
      </w:r>
      <w:proofErr w:type="spellStart"/>
      <w:r w:rsidR="00057201" w:rsidRPr="00842F43">
        <w:rPr>
          <w:rFonts w:ascii="Fira Sans" w:hAnsi="Fira Sans"/>
          <w:sz w:val="20"/>
          <w:szCs w:val="20"/>
        </w:rPr>
        <w:t>Flaatten</w:t>
      </w:r>
      <w:proofErr w:type="spellEnd"/>
      <w:r w:rsidR="00057201" w:rsidRPr="00842F43">
        <w:rPr>
          <w:rFonts w:ascii="Fira Sans" w:hAnsi="Fira Sans"/>
          <w:sz w:val="20"/>
          <w:szCs w:val="20"/>
        </w:rPr>
        <w:t xml:space="preserve"> H, </w:t>
      </w:r>
      <w:proofErr w:type="spellStart"/>
      <w:r w:rsidR="00057201" w:rsidRPr="00842F43">
        <w:rPr>
          <w:rFonts w:ascii="Fira Sans" w:hAnsi="Fira Sans"/>
          <w:sz w:val="20"/>
          <w:szCs w:val="20"/>
        </w:rPr>
        <w:t>Waldmann</w:t>
      </w:r>
      <w:proofErr w:type="spellEnd"/>
      <w:r w:rsidR="00057201" w:rsidRPr="00842F43">
        <w:rPr>
          <w:rFonts w:ascii="Fira Sans" w:hAnsi="Fira Sans"/>
          <w:sz w:val="20"/>
          <w:szCs w:val="20"/>
        </w:rPr>
        <w:t xml:space="preserve"> C. The Post-ICU Syndrome, History and Definition. In </w:t>
      </w:r>
      <w:proofErr w:type="spellStart"/>
      <w:r w:rsidR="00057201" w:rsidRPr="00842F43">
        <w:rPr>
          <w:rFonts w:ascii="Fira Sans" w:hAnsi="Fira Sans"/>
          <w:sz w:val="20"/>
          <w:szCs w:val="20"/>
        </w:rPr>
        <w:t>Preiser</w:t>
      </w:r>
      <w:proofErr w:type="spellEnd"/>
      <w:r w:rsidR="00057201" w:rsidRPr="00842F43">
        <w:rPr>
          <w:rFonts w:ascii="Fira Sans" w:hAnsi="Fira Sans"/>
          <w:sz w:val="20"/>
          <w:szCs w:val="20"/>
        </w:rPr>
        <w:t xml:space="preserve"> J-C, </w:t>
      </w:r>
      <w:proofErr w:type="spellStart"/>
      <w:r w:rsidR="00057201" w:rsidRPr="00842F43">
        <w:rPr>
          <w:rFonts w:ascii="Fira Sans" w:hAnsi="Fira Sans"/>
          <w:sz w:val="20"/>
          <w:szCs w:val="20"/>
        </w:rPr>
        <w:t>Herridge</w:t>
      </w:r>
      <w:proofErr w:type="spellEnd"/>
      <w:r w:rsidR="00057201" w:rsidRPr="00842F43">
        <w:rPr>
          <w:rFonts w:ascii="Fira Sans" w:hAnsi="Fira Sans"/>
          <w:sz w:val="20"/>
          <w:szCs w:val="20"/>
        </w:rPr>
        <w:t xml:space="preserve"> M, </w:t>
      </w:r>
      <w:proofErr w:type="spellStart"/>
      <w:r w:rsidR="00057201" w:rsidRPr="00842F43">
        <w:rPr>
          <w:rFonts w:ascii="Fira Sans" w:hAnsi="Fira Sans"/>
          <w:sz w:val="20"/>
          <w:szCs w:val="20"/>
        </w:rPr>
        <w:t>Azoulay</w:t>
      </w:r>
      <w:proofErr w:type="spellEnd"/>
      <w:r w:rsidR="00057201" w:rsidRPr="00842F43">
        <w:rPr>
          <w:rFonts w:ascii="Fira Sans" w:hAnsi="Fira Sans"/>
          <w:sz w:val="20"/>
          <w:szCs w:val="20"/>
        </w:rPr>
        <w:t xml:space="preserve">, E. Editors. </w:t>
      </w:r>
      <w:r w:rsidR="00057201" w:rsidRPr="00842F43">
        <w:rPr>
          <w:rFonts w:ascii="Fira Sans" w:hAnsi="Fira Sans"/>
          <w:i/>
          <w:iCs/>
          <w:sz w:val="20"/>
          <w:szCs w:val="20"/>
        </w:rPr>
        <w:t>Post-Intensive Care Syndrome</w:t>
      </w:r>
      <w:r w:rsidR="00057201" w:rsidRPr="00842F43">
        <w:rPr>
          <w:rFonts w:ascii="Fira Sans" w:hAnsi="Fira Sans"/>
          <w:sz w:val="20"/>
          <w:szCs w:val="20"/>
        </w:rPr>
        <w:t>. Springer; Cham, Switzerland 2020. p. 3–12</w:t>
      </w:r>
    </w:p>
    <w:p w14:paraId="46FF5CEB" w14:textId="76E7BE0E"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 </w:t>
      </w:r>
      <w:r w:rsidRPr="00842F43">
        <w:rPr>
          <w:rFonts w:ascii="Fira Sans" w:hAnsi="Fira Sans"/>
          <w:sz w:val="20"/>
          <w:szCs w:val="20"/>
        </w:rPr>
        <w:tab/>
      </w:r>
      <w:proofErr w:type="spellStart"/>
      <w:r w:rsidR="00057201" w:rsidRPr="00842F43">
        <w:rPr>
          <w:rFonts w:ascii="Fira Sans" w:hAnsi="Fira Sans"/>
          <w:sz w:val="20"/>
          <w:szCs w:val="20"/>
        </w:rPr>
        <w:t>Righy</w:t>
      </w:r>
      <w:proofErr w:type="spellEnd"/>
      <w:r w:rsidR="00057201" w:rsidRPr="00842F43">
        <w:rPr>
          <w:rFonts w:ascii="Fira Sans" w:hAnsi="Fira Sans"/>
          <w:sz w:val="20"/>
          <w:szCs w:val="20"/>
        </w:rPr>
        <w:t xml:space="preserve"> C, Rosa RG, Da Silva RTA, et al. Prevalence of post-traumatic stress disorder symptoms in adult critical care survivors: A systematic review and meta-analysis. </w:t>
      </w:r>
      <w:r w:rsidR="00057201" w:rsidRPr="00842F43">
        <w:rPr>
          <w:rFonts w:ascii="Fira Sans" w:hAnsi="Fira Sans"/>
          <w:i/>
          <w:iCs/>
          <w:sz w:val="20"/>
          <w:szCs w:val="20"/>
        </w:rPr>
        <w:t>Crit Care</w:t>
      </w:r>
      <w:r w:rsidR="00057201" w:rsidRPr="00842F43">
        <w:rPr>
          <w:rFonts w:ascii="Fira Sans" w:hAnsi="Fira Sans"/>
          <w:sz w:val="20"/>
          <w:szCs w:val="20"/>
        </w:rPr>
        <w:t xml:space="preserve"> 2019. Jun 11;23(1):213.</w:t>
      </w:r>
    </w:p>
    <w:p w14:paraId="4D9C83CE" w14:textId="3CA45AA2"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 </w:t>
      </w:r>
      <w:r w:rsidRPr="00842F43">
        <w:rPr>
          <w:rFonts w:ascii="Fira Sans" w:hAnsi="Fira Sans"/>
          <w:sz w:val="20"/>
          <w:szCs w:val="20"/>
        </w:rPr>
        <w:tab/>
      </w:r>
      <w:r w:rsidR="00057201" w:rsidRPr="00842F43">
        <w:rPr>
          <w:rFonts w:ascii="Fira Sans" w:hAnsi="Fira Sans"/>
          <w:sz w:val="20"/>
          <w:szCs w:val="20"/>
        </w:rPr>
        <w:t xml:space="preserve">Parker AM, </w:t>
      </w:r>
      <w:proofErr w:type="spellStart"/>
      <w:r w:rsidR="00057201" w:rsidRPr="00842F43">
        <w:rPr>
          <w:rFonts w:ascii="Fira Sans" w:hAnsi="Fira Sans"/>
          <w:sz w:val="20"/>
          <w:szCs w:val="20"/>
        </w:rPr>
        <w:t>Sricharoenchai</w:t>
      </w:r>
      <w:proofErr w:type="spellEnd"/>
      <w:r w:rsidR="00057201" w:rsidRPr="00842F43">
        <w:rPr>
          <w:rFonts w:ascii="Fira Sans" w:hAnsi="Fira Sans"/>
          <w:sz w:val="20"/>
          <w:szCs w:val="20"/>
        </w:rPr>
        <w:t xml:space="preserve"> T, </w:t>
      </w:r>
      <w:proofErr w:type="spellStart"/>
      <w:r w:rsidR="00057201" w:rsidRPr="00842F43">
        <w:rPr>
          <w:rFonts w:ascii="Fira Sans" w:hAnsi="Fira Sans"/>
          <w:sz w:val="20"/>
          <w:szCs w:val="20"/>
        </w:rPr>
        <w:t>Raparla</w:t>
      </w:r>
      <w:proofErr w:type="spellEnd"/>
      <w:r w:rsidR="00057201" w:rsidRPr="00842F43">
        <w:rPr>
          <w:rFonts w:ascii="Fira Sans" w:hAnsi="Fira Sans"/>
          <w:sz w:val="20"/>
          <w:szCs w:val="20"/>
        </w:rPr>
        <w:t xml:space="preserve"> S. Posttraumatic stress disorder in critical illness survivors: a meta-analysis. </w:t>
      </w:r>
      <w:r w:rsidR="00057201" w:rsidRPr="00842F43">
        <w:rPr>
          <w:rFonts w:ascii="Fira Sans" w:hAnsi="Fira Sans"/>
          <w:i/>
          <w:iCs/>
          <w:sz w:val="20"/>
          <w:szCs w:val="20"/>
        </w:rPr>
        <w:t>Crit Care Med</w:t>
      </w:r>
      <w:r w:rsidR="00057201" w:rsidRPr="00842F43">
        <w:rPr>
          <w:rFonts w:ascii="Fira Sans" w:hAnsi="Fira Sans"/>
          <w:sz w:val="20"/>
          <w:szCs w:val="20"/>
        </w:rPr>
        <w:t>. 2015;43(5):1121-1129.</w:t>
      </w:r>
    </w:p>
    <w:p w14:paraId="087946E9" w14:textId="3016188E"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 </w:t>
      </w:r>
      <w:r w:rsidRPr="00842F43">
        <w:rPr>
          <w:rFonts w:ascii="Fira Sans" w:hAnsi="Fira Sans"/>
          <w:sz w:val="20"/>
          <w:szCs w:val="20"/>
        </w:rPr>
        <w:tab/>
      </w:r>
      <w:proofErr w:type="spellStart"/>
      <w:r w:rsidR="00057201" w:rsidRPr="00842F43">
        <w:rPr>
          <w:rFonts w:ascii="Fira Sans" w:hAnsi="Fira Sans"/>
          <w:sz w:val="20"/>
          <w:szCs w:val="20"/>
        </w:rPr>
        <w:t>Nikayin</w:t>
      </w:r>
      <w:proofErr w:type="spellEnd"/>
      <w:r w:rsidR="00057201" w:rsidRPr="00842F43">
        <w:rPr>
          <w:rFonts w:ascii="Fira Sans" w:hAnsi="Fira Sans"/>
          <w:sz w:val="20"/>
          <w:szCs w:val="20"/>
        </w:rPr>
        <w:t xml:space="preserve"> S, </w:t>
      </w:r>
      <w:proofErr w:type="spellStart"/>
      <w:r w:rsidR="00057201" w:rsidRPr="00842F43">
        <w:rPr>
          <w:rFonts w:ascii="Fira Sans" w:hAnsi="Fira Sans"/>
          <w:sz w:val="20"/>
          <w:szCs w:val="20"/>
        </w:rPr>
        <w:t>Rabiee</w:t>
      </w:r>
      <w:proofErr w:type="spellEnd"/>
      <w:r w:rsidR="00057201" w:rsidRPr="00842F43">
        <w:rPr>
          <w:rFonts w:ascii="Fira Sans" w:hAnsi="Fira Sans"/>
          <w:sz w:val="20"/>
          <w:szCs w:val="20"/>
        </w:rPr>
        <w:t xml:space="preserve"> A, Hashem MD, et al. Anxiety symptoms in survivors of critical illness: a systematic review and meta-analysis. </w:t>
      </w:r>
      <w:r w:rsidR="00057201" w:rsidRPr="00842F43">
        <w:rPr>
          <w:rFonts w:ascii="Fira Sans" w:hAnsi="Fira Sans"/>
          <w:i/>
          <w:iCs/>
          <w:sz w:val="20"/>
          <w:szCs w:val="20"/>
        </w:rPr>
        <w:t>Gen Hosp Psychiatry</w:t>
      </w:r>
      <w:r w:rsidR="00057201" w:rsidRPr="00842F43">
        <w:rPr>
          <w:rFonts w:ascii="Fira Sans" w:hAnsi="Fira Sans"/>
          <w:sz w:val="20"/>
          <w:szCs w:val="20"/>
        </w:rPr>
        <w:t>. 2016 Nov;43:23–9.</w:t>
      </w:r>
    </w:p>
    <w:p w14:paraId="2FA220A7" w14:textId="6E8E1BF4"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lastRenderedPageBreak/>
        <w:t xml:space="preserve">5. </w:t>
      </w:r>
      <w:r w:rsidRPr="00842F43">
        <w:rPr>
          <w:rFonts w:ascii="Fira Sans" w:hAnsi="Fira Sans"/>
          <w:sz w:val="20"/>
          <w:szCs w:val="20"/>
        </w:rPr>
        <w:tab/>
      </w:r>
      <w:proofErr w:type="spellStart"/>
      <w:r w:rsidR="00057201" w:rsidRPr="00842F43">
        <w:rPr>
          <w:rFonts w:ascii="Fira Sans" w:hAnsi="Fira Sans"/>
          <w:sz w:val="20"/>
          <w:szCs w:val="20"/>
        </w:rPr>
        <w:t>Davydow</w:t>
      </w:r>
      <w:proofErr w:type="spellEnd"/>
      <w:r w:rsidR="00057201" w:rsidRPr="00842F43">
        <w:rPr>
          <w:rFonts w:ascii="Fira Sans" w:hAnsi="Fira Sans"/>
          <w:sz w:val="20"/>
          <w:szCs w:val="20"/>
        </w:rPr>
        <w:t xml:space="preserve"> DS, Gifford JM, Desai S V. Posttraumatic stress disorder in general intensive care unit survivors: a systematic review. </w:t>
      </w:r>
      <w:r w:rsidR="00057201" w:rsidRPr="00842F43">
        <w:rPr>
          <w:rFonts w:ascii="Fira Sans" w:hAnsi="Fira Sans"/>
          <w:i/>
          <w:iCs/>
          <w:sz w:val="20"/>
          <w:szCs w:val="20"/>
        </w:rPr>
        <w:t>Gen Hosp Psychiatry</w:t>
      </w:r>
      <w:r w:rsidR="00057201" w:rsidRPr="00842F43">
        <w:rPr>
          <w:rFonts w:ascii="Fira Sans" w:hAnsi="Fira Sans"/>
          <w:sz w:val="20"/>
          <w:szCs w:val="20"/>
        </w:rPr>
        <w:t>. 2008;30(5):421–34.</w:t>
      </w:r>
    </w:p>
    <w:p w14:paraId="7C2684B2" w14:textId="77777777" w:rsidR="00057201"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 </w:t>
      </w:r>
      <w:r w:rsidRPr="00842F43">
        <w:rPr>
          <w:rFonts w:ascii="Fira Sans" w:hAnsi="Fira Sans"/>
          <w:sz w:val="20"/>
          <w:szCs w:val="20"/>
        </w:rPr>
        <w:tab/>
      </w:r>
      <w:r w:rsidR="00057201" w:rsidRPr="00842F43">
        <w:rPr>
          <w:rFonts w:ascii="Fira Sans" w:hAnsi="Fira Sans"/>
          <w:sz w:val="20"/>
          <w:szCs w:val="20"/>
        </w:rPr>
        <w:t xml:space="preserve">Hatch R, Young D, Barber V, et al. Anxiety, Depression and Post Traumatic Stress Disorder after critical illness: a UK-wide prospective cohort study. </w:t>
      </w:r>
      <w:r w:rsidR="00057201" w:rsidRPr="00842F43">
        <w:rPr>
          <w:rFonts w:ascii="Fira Sans" w:hAnsi="Fira Sans"/>
          <w:i/>
          <w:iCs/>
          <w:sz w:val="20"/>
          <w:szCs w:val="20"/>
        </w:rPr>
        <w:t>Crit Care.</w:t>
      </w:r>
      <w:r w:rsidR="00057201" w:rsidRPr="00842F43">
        <w:rPr>
          <w:rFonts w:ascii="Fira Sans" w:hAnsi="Fira Sans"/>
          <w:sz w:val="20"/>
          <w:szCs w:val="20"/>
        </w:rPr>
        <w:t xml:space="preserve"> Nov 2018;22,310  </w:t>
      </w:r>
    </w:p>
    <w:p w14:paraId="0C814A42" w14:textId="3C81E5CA"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7. </w:t>
      </w:r>
      <w:r w:rsidRPr="00842F43">
        <w:rPr>
          <w:rFonts w:ascii="Fira Sans" w:hAnsi="Fira Sans"/>
          <w:sz w:val="20"/>
          <w:szCs w:val="20"/>
        </w:rPr>
        <w:tab/>
      </w:r>
      <w:proofErr w:type="spellStart"/>
      <w:r w:rsidR="00057201" w:rsidRPr="00842F43">
        <w:rPr>
          <w:rFonts w:ascii="Fira Sans" w:hAnsi="Fira Sans"/>
          <w:sz w:val="20"/>
          <w:szCs w:val="20"/>
        </w:rPr>
        <w:t>Davydow</w:t>
      </w:r>
      <w:proofErr w:type="spellEnd"/>
      <w:r w:rsidR="00057201" w:rsidRPr="00842F43">
        <w:rPr>
          <w:rFonts w:ascii="Fira Sans" w:hAnsi="Fira Sans"/>
          <w:sz w:val="20"/>
          <w:szCs w:val="20"/>
        </w:rPr>
        <w:t xml:space="preserve"> DS, Gifford JM, Desai SV, et al. Depression in general intensive care unit survivors: a systematic review. </w:t>
      </w:r>
      <w:r w:rsidR="00057201" w:rsidRPr="00842F43">
        <w:rPr>
          <w:rFonts w:ascii="Fira Sans" w:hAnsi="Fira Sans"/>
          <w:i/>
          <w:iCs/>
          <w:sz w:val="20"/>
          <w:szCs w:val="20"/>
        </w:rPr>
        <w:t>Intensive Care Med.</w:t>
      </w:r>
      <w:r w:rsidR="00057201" w:rsidRPr="00842F43">
        <w:rPr>
          <w:rFonts w:ascii="Fira Sans" w:hAnsi="Fira Sans"/>
          <w:sz w:val="20"/>
          <w:szCs w:val="20"/>
        </w:rPr>
        <w:t xml:space="preserve"> 2009 May 23;35(5):796–809.</w:t>
      </w:r>
    </w:p>
    <w:p w14:paraId="570A87D6" w14:textId="3501CC85"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8. </w:t>
      </w:r>
      <w:r w:rsidRPr="00842F43">
        <w:rPr>
          <w:rFonts w:ascii="Fira Sans" w:hAnsi="Fira Sans"/>
          <w:sz w:val="20"/>
          <w:szCs w:val="20"/>
        </w:rPr>
        <w:tab/>
      </w:r>
      <w:proofErr w:type="spellStart"/>
      <w:r w:rsidR="00057201" w:rsidRPr="00842F43">
        <w:rPr>
          <w:rFonts w:ascii="Fira Sans" w:hAnsi="Fira Sans"/>
          <w:sz w:val="20"/>
          <w:szCs w:val="20"/>
        </w:rPr>
        <w:t>Davydow</w:t>
      </w:r>
      <w:proofErr w:type="spellEnd"/>
      <w:r w:rsidR="00057201" w:rsidRPr="00842F43">
        <w:rPr>
          <w:rFonts w:ascii="Fira Sans" w:hAnsi="Fira Sans"/>
          <w:sz w:val="20"/>
          <w:szCs w:val="20"/>
        </w:rPr>
        <w:t xml:space="preserve"> DS, Hough CL, </w:t>
      </w:r>
      <w:proofErr w:type="spellStart"/>
      <w:r w:rsidR="00057201" w:rsidRPr="00842F43">
        <w:rPr>
          <w:rFonts w:ascii="Fira Sans" w:hAnsi="Fira Sans"/>
          <w:sz w:val="20"/>
          <w:szCs w:val="20"/>
        </w:rPr>
        <w:t>Zatzick</w:t>
      </w:r>
      <w:proofErr w:type="spellEnd"/>
      <w:r w:rsidR="00057201" w:rsidRPr="00842F43">
        <w:rPr>
          <w:rFonts w:ascii="Fira Sans" w:hAnsi="Fira Sans"/>
          <w:sz w:val="20"/>
          <w:szCs w:val="20"/>
        </w:rPr>
        <w:t xml:space="preserve"> D, et al. Psychiatric symptoms and acute care service utilization over the course of the year following medical-surgical ICU admission: a longitudinal investigation*. </w:t>
      </w:r>
      <w:r w:rsidR="00057201" w:rsidRPr="00842F43">
        <w:rPr>
          <w:rFonts w:ascii="Fira Sans" w:hAnsi="Fira Sans"/>
          <w:i/>
          <w:iCs/>
          <w:sz w:val="20"/>
          <w:szCs w:val="20"/>
        </w:rPr>
        <w:t>Crit Care Med</w:t>
      </w:r>
      <w:r w:rsidR="00057201" w:rsidRPr="00842F43">
        <w:rPr>
          <w:rFonts w:ascii="Fira Sans" w:hAnsi="Fira Sans"/>
          <w:sz w:val="20"/>
          <w:szCs w:val="20"/>
        </w:rPr>
        <w:t>. 2014 Dec;42(12):2473–81.</w:t>
      </w:r>
    </w:p>
    <w:p w14:paraId="4A0A0FFB" w14:textId="1FA88023"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9. </w:t>
      </w:r>
      <w:r w:rsidRPr="00842F43">
        <w:rPr>
          <w:rFonts w:ascii="Fira Sans" w:hAnsi="Fira Sans"/>
          <w:sz w:val="20"/>
          <w:szCs w:val="20"/>
        </w:rPr>
        <w:tab/>
      </w:r>
      <w:proofErr w:type="spellStart"/>
      <w:r w:rsidR="00057201" w:rsidRPr="00842F43">
        <w:rPr>
          <w:rFonts w:ascii="Fira Sans" w:hAnsi="Fira Sans"/>
          <w:sz w:val="20"/>
          <w:szCs w:val="20"/>
        </w:rPr>
        <w:t>McPeake</w:t>
      </w:r>
      <w:proofErr w:type="spellEnd"/>
      <w:r w:rsidR="00057201" w:rsidRPr="00842F43">
        <w:rPr>
          <w:rFonts w:ascii="Fira Sans" w:hAnsi="Fira Sans"/>
          <w:sz w:val="20"/>
          <w:szCs w:val="20"/>
        </w:rPr>
        <w:t xml:space="preserve"> J, Mikkelsen ME, </w:t>
      </w:r>
      <w:proofErr w:type="spellStart"/>
      <w:r w:rsidR="00057201" w:rsidRPr="00842F43">
        <w:rPr>
          <w:rFonts w:ascii="Fira Sans" w:hAnsi="Fira Sans"/>
          <w:sz w:val="20"/>
          <w:szCs w:val="20"/>
        </w:rPr>
        <w:t>Quasim</w:t>
      </w:r>
      <w:proofErr w:type="spellEnd"/>
      <w:r w:rsidR="00057201" w:rsidRPr="00842F43">
        <w:rPr>
          <w:rFonts w:ascii="Fira Sans" w:hAnsi="Fira Sans"/>
          <w:sz w:val="20"/>
          <w:szCs w:val="20"/>
        </w:rPr>
        <w:t xml:space="preserve"> T, et al. Return to Employment after Critical Illness and Its Association with Psychosocial Outcomes. A Systematic Review and Meta-Analysis. </w:t>
      </w:r>
      <w:r w:rsidR="00057201" w:rsidRPr="00842F43">
        <w:rPr>
          <w:rFonts w:ascii="Fira Sans" w:hAnsi="Fira Sans"/>
          <w:i/>
          <w:iCs/>
          <w:sz w:val="20"/>
          <w:szCs w:val="20"/>
        </w:rPr>
        <w:t xml:space="preserve">Ann Am </w:t>
      </w:r>
      <w:proofErr w:type="spellStart"/>
      <w:r w:rsidR="00057201" w:rsidRPr="00842F43">
        <w:rPr>
          <w:rFonts w:ascii="Fira Sans" w:hAnsi="Fira Sans"/>
          <w:i/>
          <w:iCs/>
          <w:sz w:val="20"/>
          <w:szCs w:val="20"/>
        </w:rPr>
        <w:t>Thorac</w:t>
      </w:r>
      <w:proofErr w:type="spellEnd"/>
      <w:r w:rsidR="00057201" w:rsidRPr="00842F43">
        <w:rPr>
          <w:rFonts w:ascii="Fira Sans" w:hAnsi="Fira Sans"/>
          <w:i/>
          <w:iCs/>
          <w:sz w:val="20"/>
          <w:szCs w:val="20"/>
        </w:rPr>
        <w:t xml:space="preserve"> Soc. </w:t>
      </w:r>
      <w:r w:rsidR="00057201" w:rsidRPr="00842F43">
        <w:rPr>
          <w:rFonts w:ascii="Fira Sans" w:hAnsi="Fira Sans"/>
          <w:sz w:val="20"/>
          <w:szCs w:val="20"/>
        </w:rPr>
        <w:t>2019;16(10):1304–11.</w:t>
      </w:r>
    </w:p>
    <w:p w14:paraId="7F13F7F5" w14:textId="1FC35534"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10. </w:t>
      </w:r>
      <w:r w:rsidRPr="00842F43">
        <w:rPr>
          <w:rFonts w:ascii="Fira Sans" w:hAnsi="Fira Sans"/>
          <w:sz w:val="20"/>
          <w:szCs w:val="20"/>
        </w:rPr>
        <w:tab/>
      </w:r>
      <w:proofErr w:type="spellStart"/>
      <w:r w:rsidR="00057201" w:rsidRPr="00842F43">
        <w:rPr>
          <w:rFonts w:ascii="Fira Sans" w:hAnsi="Fira Sans"/>
          <w:sz w:val="20"/>
          <w:szCs w:val="20"/>
        </w:rPr>
        <w:t>Davydow</w:t>
      </w:r>
      <w:proofErr w:type="spellEnd"/>
      <w:r w:rsidR="00057201" w:rsidRPr="00842F43">
        <w:rPr>
          <w:rFonts w:ascii="Fira Sans" w:hAnsi="Fira Sans"/>
          <w:sz w:val="20"/>
          <w:szCs w:val="20"/>
        </w:rPr>
        <w:t xml:space="preserve"> DS, </w:t>
      </w:r>
      <w:proofErr w:type="spellStart"/>
      <w:r w:rsidR="00057201" w:rsidRPr="00842F43">
        <w:rPr>
          <w:rFonts w:ascii="Fira Sans" w:hAnsi="Fira Sans"/>
          <w:sz w:val="20"/>
          <w:szCs w:val="20"/>
        </w:rPr>
        <w:t>Zatzick</w:t>
      </w:r>
      <w:proofErr w:type="spellEnd"/>
      <w:r w:rsidR="00057201" w:rsidRPr="00842F43">
        <w:rPr>
          <w:rFonts w:ascii="Fira Sans" w:hAnsi="Fira Sans"/>
          <w:sz w:val="20"/>
          <w:szCs w:val="20"/>
        </w:rPr>
        <w:t xml:space="preserve"> D, Hough CL, et al. A Longitudinal Investigation of Alcohol Use over the Course of the Year Following Medical-Surgical Intensive Care Unit Admission. </w:t>
      </w:r>
      <w:r w:rsidR="00057201" w:rsidRPr="00842F43">
        <w:rPr>
          <w:rFonts w:ascii="Fira Sans" w:hAnsi="Fira Sans"/>
          <w:i/>
          <w:iCs/>
          <w:sz w:val="20"/>
          <w:szCs w:val="20"/>
        </w:rPr>
        <w:t>Psychosomatics.</w:t>
      </w:r>
      <w:r w:rsidR="00057201" w:rsidRPr="00842F43">
        <w:rPr>
          <w:rFonts w:ascii="Fira Sans" w:hAnsi="Fira Sans"/>
          <w:sz w:val="20"/>
          <w:szCs w:val="20"/>
        </w:rPr>
        <w:t xml:space="preserve"> 2013 Jul-Aug; 54(4): 304-316.</w:t>
      </w:r>
    </w:p>
    <w:p w14:paraId="3C1C61CC" w14:textId="71CB920F"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11. </w:t>
      </w:r>
      <w:r w:rsidRPr="00842F43">
        <w:rPr>
          <w:rFonts w:ascii="Fira Sans" w:hAnsi="Fira Sans"/>
          <w:sz w:val="20"/>
          <w:szCs w:val="20"/>
        </w:rPr>
        <w:tab/>
      </w:r>
      <w:r w:rsidR="00057201" w:rsidRPr="00842F43">
        <w:rPr>
          <w:rFonts w:ascii="Fira Sans" w:hAnsi="Fira Sans"/>
          <w:sz w:val="20"/>
          <w:szCs w:val="20"/>
        </w:rPr>
        <w:t xml:space="preserve">Connolly B, Milton-Cole R, Adams C, et al. Recovery, rehabilitation and follow-up services following critical illness: an updated UK national cross-sectional survey and progress report. </w:t>
      </w:r>
      <w:r w:rsidR="00057201" w:rsidRPr="00842F43">
        <w:rPr>
          <w:rFonts w:ascii="Fira Sans" w:hAnsi="Fira Sans"/>
          <w:i/>
          <w:iCs/>
          <w:sz w:val="20"/>
          <w:szCs w:val="20"/>
        </w:rPr>
        <w:t>BMJ Open.</w:t>
      </w:r>
      <w:r w:rsidR="00057201" w:rsidRPr="00842F43">
        <w:rPr>
          <w:rFonts w:ascii="Fira Sans" w:hAnsi="Fira Sans"/>
          <w:sz w:val="20"/>
          <w:szCs w:val="20"/>
        </w:rPr>
        <w:t xml:space="preserve"> 2021 Oct 1;11(10):e052214</w:t>
      </w:r>
    </w:p>
    <w:p w14:paraId="27E0A940" w14:textId="568AAD02"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12. </w:t>
      </w:r>
      <w:r w:rsidRPr="00842F43">
        <w:rPr>
          <w:rFonts w:ascii="Fira Sans" w:hAnsi="Fira Sans"/>
          <w:sz w:val="20"/>
          <w:szCs w:val="20"/>
        </w:rPr>
        <w:tab/>
      </w:r>
      <w:r w:rsidR="00057201" w:rsidRPr="00842F43">
        <w:rPr>
          <w:rFonts w:ascii="Fira Sans" w:hAnsi="Fira Sans"/>
          <w:sz w:val="20"/>
          <w:szCs w:val="20"/>
        </w:rPr>
        <w:t>Intensive care national audit and research centre. ICNARC report on COVID-19 in critical care: England, Wales and Northern Ireland. [Accessed 17th December 2021]. Available from: https://www.icnarc.org/Our-Audit/Audits/Cmp/Reports</w:t>
      </w:r>
    </w:p>
    <w:p w14:paraId="70C9C36E" w14:textId="523CDAAC"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13. </w:t>
      </w:r>
      <w:r w:rsidRPr="00842F43">
        <w:rPr>
          <w:rFonts w:ascii="Fira Sans" w:hAnsi="Fira Sans"/>
          <w:sz w:val="20"/>
          <w:szCs w:val="20"/>
        </w:rPr>
        <w:tab/>
      </w:r>
      <w:r w:rsidR="00D47E88" w:rsidRPr="00842F43">
        <w:rPr>
          <w:rFonts w:ascii="Fira Sans" w:hAnsi="Fira Sans"/>
          <w:sz w:val="20"/>
          <w:szCs w:val="20"/>
        </w:rPr>
        <w:t xml:space="preserve">Neville TH, Hays RD, Tseng C-H, et al. Survival After Severe COVID-19: Long-Term Outcomes of Patients Admitted to an Intensive Care Unit. </w:t>
      </w:r>
      <w:r w:rsidR="00D47E88" w:rsidRPr="00842F43">
        <w:rPr>
          <w:rFonts w:ascii="Fira Sans" w:hAnsi="Fira Sans"/>
          <w:i/>
          <w:iCs/>
          <w:sz w:val="20"/>
          <w:szCs w:val="20"/>
        </w:rPr>
        <w:t xml:space="preserve">J Intensive Care Med. </w:t>
      </w:r>
      <w:r w:rsidR="00D47E88" w:rsidRPr="00842F43">
        <w:rPr>
          <w:rFonts w:ascii="Fira Sans" w:hAnsi="Fira Sans"/>
          <w:sz w:val="20"/>
          <w:szCs w:val="20"/>
        </w:rPr>
        <w:t>2022 Apr 5;8850666221092687</w:t>
      </w:r>
    </w:p>
    <w:p w14:paraId="075B423C"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14. </w:t>
      </w:r>
      <w:r w:rsidRPr="00842F43">
        <w:rPr>
          <w:rFonts w:ascii="Fira Sans" w:hAnsi="Fira Sans"/>
          <w:sz w:val="20"/>
          <w:szCs w:val="20"/>
        </w:rPr>
        <w:tab/>
        <w:t xml:space="preserve">Gardner PJ, </w:t>
      </w:r>
      <w:proofErr w:type="spellStart"/>
      <w:r w:rsidRPr="00842F43">
        <w:rPr>
          <w:rFonts w:ascii="Fira Sans" w:hAnsi="Fira Sans"/>
          <w:sz w:val="20"/>
          <w:szCs w:val="20"/>
        </w:rPr>
        <w:t>Moallef</w:t>
      </w:r>
      <w:proofErr w:type="spellEnd"/>
      <w:r w:rsidRPr="00842F43">
        <w:rPr>
          <w:rFonts w:ascii="Fira Sans" w:hAnsi="Fira Sans"/>
          <w:sz w:val="20"/>
          <w:szCs w:val="20"/>
        </w:rPr>
        <w:t xml:space="preserve"> P. Psychological impact on SARS survivors: Critical review of the English language literature. </w:t>
      </w:r>
      <w:r w:rsidRPr="00842F43">
        <w:rPr>
          <w:rFonts w:ascii="Fira Sans" w:hAnsi="Fira Sans"/>
          <w:i/>
          <w:iCs/>
          <w:sz w:val="20"/>
          <w:szCs w:val="20"/>
        </w:rPr>
        <w:t xml:space="preserve">Can </w:t>
      </w:r>
      <w:proofErr w:type="spellStart"/>
      <w:r w:rsidRPr="00842F43">
        <w:rPr>
          <w:rFonts w:ascii="Fira Sans" w:hAnsi="Fira Sans"/>
          <w:i/>
          <w:iCs/>
          <w:sz w:val="20"/>
          <w:szCs w:val="20"/>
        </w:rPr>
        <w:t>Psychol</w:t>
      </w:r>
      <w:proofErr w:type="spellEnd"/>
      <w:r w:rsidRPr="00842F43">
        <w:rPr>
          <w:rFonts w:ascii="Fira Sans" w:hAnsi="Fira Sans"/>
          <w:i/>
          <w:iCs/>
          <w:sz w:val="20"/>
          <w:szCs w:val="20"/>
        </w:rPr>
        <w:t xml:space="preserve"> Can</w:t>
      </w:r>
      <w:r w:rsidRPr="00842F43">
        <w:rPr>
          <w:rFonts w:ascii="Fira Sans" w:hAnsi="Fira Sans"/>
          <w:sz w:val="20"/>
          <w:szCs w:val="20"/>
        </w:rPr>
        <w:t xml:space="preserve">. 2015 Feb;56(1):123–35. </w:t>
      </w:r>
    </w:p>
    <w:p w14:paraId="5308A13B" w14:textId="039DD1E1"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15. </w:t>
      </w:r>
      <w:r w:rsidRPr="00842F43">
        <w:rPr>
          <w:rFonts w:ascii="Fira Sans" w:hAnsi="Fira Sans"/>
          <w:sz w:val="20"/>
          <w:szCs w:val="20"/>
        </w:rPr>
        <w:tab/>
        <w:t xml:space="preserve">Barker-Davies RM, O’Sullivan O, Senaratne KPP, et al. The Stanford Hall consensus statement for post-COVID-19 rehabilitation. </w:t>
      </w:r>
      <w:r w:rsidRPr="00842F43">
        <w:rPr>
          <w:rFonts w:ascii="Fira Sans" w:hAnsi="Fira Sans"/>
          <w:i/>
          <w:iCs/>
          <w:sz w:val="20"/>
          <w:szCs w:val="20"/>
        </w:rPr>
        <w:t>Br J Sports Med</w:t>
      </w:r>
      <w:r w:rsidRPr="00842F43">
        <w:rPr>
          <w:rFonts w:ascii="Fira Sans" w:hAnsi="Fira Sans"/>
          <w:sz w:val="20"/>
          <w:szCs w:val="20"/>
        </w:rPr>
        <w:t xml:space="preserve">. 2020 Aug;54(16):949–59. </w:t>
      </w:r>
    </w:p>
    <w:p w14:paraId="0D1E3F6F" w14:textId="7820A929"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16. </w:t>
      </w:r>
      <w:r w:rsidRPr="00842F43">
        <w:rPr>
          <w:rFonts w:ascii="Fira Sans" w:hAnsi="Fira Sans"/>
          <w:sz w:val="20"/>
          <w:szCs w:val="20"/>
        </w:rPr>
        <w:tab/>
        <w:t xml:space="preserve">McIlroy PA, King RS, </w:t>
      </w:r>
      <w:proofErr w:type="spellStart"/>
      <w:r w:rsidRPr="00842F43">
        <w:rPr>
          <w:rFonts w:ascii="Fira Sans" w:hAnsi="Fira Sans"/>
          <w:sz w:val="20"/>
          <w:szCs w:val="20"/>
        </w:rPr>
        <w:t>Garrouste-Orgeas</w:t>
      </w:r>
      <w:proofErr w:type="spellEnd"/>
      <w:r w:rsidRPr="00842F43">
        <w:rPr>
          <w:rFonts w:ascii="Fira Sans" w:hAnsi="Fira Sans"/>
          <w:sz w:val="20"/>
          <w:szCs w:val="20"/>
        </w:rPr>
        <w:t xml:space="preserve"> M, </w:t>
      </w:r>
      <w:r w:rsidR="00D47E88" w:rsidRPr="00842F43">
        <w:rPr>
          <w:rFonts w:ascii="Fira Sans" w:hAnsi="Fira Sans"/>
          <w:sz w:val="20"/>
          <w:szCs w:val="20"/>
        </w:rPr>
        <w:t>et al</w:t>
      </w:r>
      <w:r w:rsidRPr="00842F43">
        <w:rPr>
          <w:rFonts w:ascii="Fira Sans" w:hAnsi="Fira Sans"/>
          <w:sz w:val="20"/>
          <w:szCs w:val="20"/>
        </w:rPr>
        <w:t xml:space="preserve">. The Effect of ICU Diaries on Psychological Outcomes and Quality of Life of Survivors of Critical Illness and Their Relatives: A Systematic Review and Meta-Analysis. </w:t>
      </w:r>
      <w:r w:rsidRPr="00842F43">
        <w:rPr>
          <w:rFonts w:ascii="Fira Sans" w:hAnsi="Fira Sans"/>
          <w:i/>
          <w:iCs/>
          <w:sz w:val="20"/>
          <w:szCs w:val="20"/>
        </w:rPr>
        <w:t>Crit Care Med</w:t>
      </w:r>
      <w:r w:rsidRPr="00842F43">
        <w:rPr>
          <w:rFonts w:ascii="Fira Sans" w:hAnsi="Fira Sans"/>
          <w:sz w:val="20"/>
          <w:szCs w:val="20"/>
        </w:rPr>
        <w:t xml:space="preserve">. 2019;47(2):273–9. </w:t>
      </w:r>
    </w:p>
    <w:p w14:paraId="5C74477C" w14:textId="4BD32AF0"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17. </w:t>
      </w:r>
      <w:r w:rsidRPr="00842F43">
        <w:rPr>
          <w:rFonts w:ascii="Fira Sans" w:hAnsi="Fira Sans"/>
          <w:sz w:val="20"/>
          <w:szCs w:val="20"/>
        </w:rPr>
        <w:tab/>
        <w:t xml:space="preserve">Cuthbertson BH, Rattray J, Campbell MK, et al. The </w:t>
      </w:r>
      <w:proofErr w:type="spellStart"/>
      <w:r w:rsidRPr="00842F43">
        <w:rPr>
          <w:rFonts w:ascii="Fira Sans" w:hAnsi="Fira Sans"/>
          <w:sz w:val="20"/>
          <w:szCs w:val="20"/>
        </w:rPr>
        <w:t>PRaCTICaL</w:t>
      </w:r>
      <w:proofErr w:type="spellEnd"/>
      <w:r w:rsidRPr="00842F43">
        <w:rPr>
          <w:rFonts w:ascii="Fira Sans" w:hAnsi="Fira Sans"/>
          <w:sz w:val="20"/>
          <w:szCs w:val="20"/>
        </w:rPr>
        <w:t xml:space="preserve"> study of nurse led, intensive care follow-up programmes for improving long term outcomes from critical illness: a pragmatic randomised controlled trial. </w:t>
      </w:r>
      <w:r w:rsidRPr="00842F43">
        <w:rPr>
          <w:rFonts w:ascii="Fira Sans" w:hAnsi="Fira Sans"/>
          <w:i/>
          <w:iCs/>
          <w:sz w:val="20"/>
          <w:szCs w:val="20"/>
        </w:rPr>
        <w:t>BMJ</w:t>
      </w:r>
      <w:r w:rsidRPr="00842F43">
        <w:rPr>
          <w:rFonts w:ascii="Fira Sans" w:hAnsi="Fira Sans"/>
          <w:sz w:val="20"/>
          <w:szCs w:val="20"/>
        </w:rPr>
        <w:t xml:space="preserve">. 2009 Oct 16;339:b3723. </w:t>
      </w:r>
    </w:p>
    <w:p w14:paraId="73E748CB" w14:textId="18067C1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18. </w:t>
      </w:r>
      <w:r w:rsidRPr="00842F43">
        <w:rPr>
          <w:rFonts w:ascii="Fira Sans" w:hAnsi="Fira Sans"/>
          <w:sz w:val="20"/>
          <w:szCs w:val="20"/>
        </w:rPr>
        <w:tab/>
        <w:t xml:space="preserve">Wade DM, </w:t>
      </w:r>
      <w:proofErr w:type="spellStart"/>
      <w:r w:rsidRPr="00842F43">
        <w:rPr>
          <w:rFonts w:ascii="Fira Sans" w:hAnsi="Fira Sans"/>
          <w:sz w:val="20"/>
          <w:szCs w:val="20"/>
        </w:rPr>
        <w:t>Mouncey</w:t>
      </w:r>
      <w:proofErr w:type="spellEnd"/>
      <w:r w:rsidRPr="00842F43">
        <w:rPr>
          <w:rFonts w:ascii="Fira Sans" w:hAnsi="Fira Sans"/>
          <w:sz w:val="20"/>
          <w:szCs w:val="20"/>
        </w:rPr>
        <w:t xml:space="preserve"> PR, Richards-Belle A, et al. Effect of a Nurse-Led Preventive Psychological Intervention on Symptoms of Posttraumatic Stress Disorder Among Critically Ill Patients.</w:t>
      </w:r>
      <w:r w:rsidRPr="00842F43">
        <w:rPr>
          <w:rFonts w:ascii="Fira Sans" w:hAnsi="Fira Sans"/>
          <w:i/>
          <w:iCs/>
          <w:sz w:val="20"/>
          <w:szCs w:val="20"/>
        </w:rPr>
        <w:t xml:space="preserve"> JAMA</w:t>
      </w:r>
      <w:r w:rsidRPr="00842F43">
        <w:rPr>
          <w:rFonts w:ascii="Fira Sans" w:hAnsi="Fira Sans"/>
          <w:sz w:val="20"/>
          <w:szCs w:val="20"/>
        </w:rPr>
        <w:t xml:space="preserve">. </w:t>
      </w:r>
      <w:r w:rsidRPr="00842F43">
        <w:rPr>
          <w:rFonts w:ascii="Fira Sans" w:hAnsi="Fira Sans"/>
          <w:sz w:val="20"/>
          <w:szCs w:val="20"/>
        </w:rPr>
        <w:lastRenderedPageBreak/>
        <w:t xml:space="preserve">2019 Feb 19;321(7):665. </w:t>
      </w:r>
    </w:p>
    <w:p w14:paraId="0AE09168" w14:textId="2C601693"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19. </w:t>
      </w:r>
      <w:r w:rsidRPr="00842F43">
        <w:rPr>
          <w:rFonts w:ascii="Fira Sans" w:hAnsi="Fira Sans"/>
          <w:sz w:val="20"/>
          <w:szCs w:val="20"/>
        </w:rPr>
        <w:tab/>
        <w:t xml:space="preserve">Bieber ED, Philbrick KL, Shapiro JB, </w:t>
      </w:r>
      <w:r w:rsidR="00D47E88" w:rsidRPr="00842F43">
        <w:rPr>
          <w:rFonts w:ascii="Fira Sans" w:hAnsi="Fira Sans"/>
          <w:sz w:val="20"/>
          <w:szCs w:val="20"/>
        </w:rPr>
        <w:t>et al</w:t>
      </w:r>
      <w:r w:rsidRPr="00842F43">
        <w:rPr>
          <w:rFonts w:ascii="Fira Sans" w:hAnsi="Fira Sans"/>
          <w:sz w:val="20"/>
          <w:szCs w:val="20"/>
        </w:rPr>
        <w:t xml:space="preserve">. Psychiatry’s role in the prevention of post-intensive care mental health impairment: stakeholder survey. </w:t>
      </w:r>
      <w:r w:rsidRPr="00842F43">
        <w:rPr>
          <w:rFonts w:ascii="Fira Sans" w:hAnsi="Fira Sans"/>
          <w:i/>
          <w:iCs/>
          <w:sz w:val="20"/>
          <w:szCs w:val="20"/>
        </w:rPr>
        <w:t>BMC Psychiatry</w:t>
      </w:r>
      <w:r w:rsidRPr="00842F43">
        <w:rPr>
          <w:rFonts w:ascii="Fira Sans" w:hAnsi="Fira Sans"/>
          <w:sz w:val="20"/>
          <w:szCs w:val="20"/>
        </w:rPr>
        <w:t xml:space="preserve">. 2022;22(1):198. </w:t>
      </w:r>
    </w:p>
    <w:p w14:paraId="6436E76B" w14:textId="0B6A0140"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20. </w:t>
      </w:r>
      <w:r w:rsidRPr="00842F43">
        <w:rPr>
          <w:rFonts w:ascii="Fira Sans" w:hAnsi="Fira Sans"/>
          <w:sz w:val="20"/>
          <w:szCs w:val="20"/>
        </w:rPr>
        <w:tab/>
        <w:t xml:space="preserve">Fernando SM, </w:t>
      </w:r>
      <w:proofErr w:type="spellStart"/>
      <w:r w:rsidRPr="00842F43">
        <w:rPr>
          <w:rFonts w:ascii="Fira Sans" w:hAnsi="Fira Sans"/>
          <w:sz w:val="20"/>
          <w:szCs w:val="20"/>
        </w:rPr>
        <w:t>Ranzani</w:t>
      </w:r>
      <w:proofErr w:type="spellEnd"/>
      <w:r w:rsidRPr="00842F43">
        <w:rPr>
          <w:rFonts w:ascii="Fira Sans" w:hAnsi="Fira Sans"/>
          <w:sz w:val="20"/>
          <w:szCs w:val="20"/>
        </w:rPr>
        <w:t xml:space="preserve"> OT, </w:t>
      </w:r>
      <w:proofErr w:type="spellStart"/>
      <w:r w:rsidRPr="00842F43">
        <w:rPr>
          <w:rFonts w:ascii="Fira Sans" w:hAnsi="Fira Sans"/>
          <w:sz w:val="20"/>
          <w:szCs w:val="20"/>
        </w:rPr>
        <w:t>Herridge</w:t>
      </w:r>
      <w:proofErr w:type="spellEnd"/>
      <w:r w:rsidRPr="00842F43">
        <w:rPr>
          <w:rFonts w:ascii="Fira Sans" w:hAnsi="Fira Sans"/>
          <w:sz w:val="20"/>
          <w:szCs w:val="20"/>
        </w:rPr>
        <w:t xml:space="preserve"> MS. Mental health morbidity, self-harm, and suicide in ICU survivors and caregivers Mental health morbidity among ICU survivors. </w:t>
      </w:r>
      <w:r w:rsidR="004A6C3B" w:rsidRPr="00842F43">
        <w:rPr>
          <w:rFonts w:ascii="Fira Sans" w:hAnsi="Fira Sans"/>
          <w:i/>
          <w:iCs/>
          <w:sz w:val="20"/>
          <w:szCs w:val="20"/>
        </w:rPr>
        <w:t>Intensive Care Medicine</w:t>
      </w:r>
      <w:r w:rsidR="004A6C3B" w:rsidRPr="00842F43">
        <w:rPr>
          <w:rFonts w:ascii="Fira Sans" w:hAnsi="Fira Sans"/>
          <w:sz w:val="20"/>
          <w:szCs w:val="20"/>
        </w:rPr>
        <w:t xml:space="preserve"> </w:t>
      </w:r>
      <w:r w:rsidR="004A6C3B" w:rsidRPr="00842F43">
        <w:rPr>
          <w:rFonts w:ascii="Fira Sans" w:hAnsi="Fira Sans" w:cs="Segoe UI"/>
          <w:color w:val="333333"/>
          <w:sz w:val="20"/>
          <w:szCs w:val="20"/>
        </w:rPr>
        <w:t>48</w:t>
      </w:r>
      <w:r w:rsidR="004A6C3B" w:rsidRPr="00842F43">
        <w:rPr>
          <w:rFonts w:ascii="Fira Sans" w:hAnsi="Fira Sans" w:cs="Segoe UI"/>
          <w:color w:val="333333"/>
          <w:sz w:val="20"/>
          <w:szCs w:val="20"/>
          <w:shd w:val="clear" w:color="auto" w:fill="FCFCFC"/>
        </w:rPr>
        <w:t>, </w:t>
      </w:r>
      <w:r w:rsidR="004A6C3B" w:rsidRPr="00842F43">
        <w:rPr>
          <w:rStyle w:val="u-visually-hidden"/>
          <w:rFonts w:ascii="Fira Sans" w:hAnsi="Fira Sans" w:cs="Segoe UI"/>
          <w:color w:val="333333"/>
          <w:sz w:val="20"/>
          <w:szCs w:val="20"/>
          <w:bdr w:val="none" w:sz="0" w:space="0" w:color="auto" w:frame="1"/>
        </w:rPr>
        <w:t>pages</w:t>
      </w:r>
      <w:r w:rsidR="004A6C3B" w:rsidRPr="00842F43">
        <w:rPr>
          <w:rStyle w:val="apple-converted-space"/>
          <w:rFonts w:ascii="Fira Sans" w:hAnsi="Fira Sans" w:cs="Segoe UI"/>
          <w:color w:val="333333"/>
          <w:sz w:val="20"/>
          <w:szCs w:val="20"/>
          <w:bdr w:val="none" w:sz="0" w:space="0" w:color="auto" w:frame="1"/>
        </w:rPr>
        <w:t> </w:t>
      </w:r>
      <w:r w:rsidR="004A6C3B" w:rsidRPr="00842F43">
        <w:rPr>
          <w:rFonts w:ascii="Fira Sans" w:hAnsi="Fira Sans" w:cs="Segoe UI"/>
          <w:color w:val="333333"/>
          <w:sz w:val="20"/>
          <w:szCs w:val="20"/>
          <w:shd w:val="clear" w:color="auto" w:fill="FCFCFC"/>
        </w:rPr>
        <w:t>1084–1087 (</w:t>
      </w:r>
      <w:r w:rsidR="004A6C3B" w:rsidRPr="00842F43">
        <w:rPr>
          <w:rFonts w:ascii="Fira Sans" w:hAnsi="Fira Sans" w:cs="Segoe UI"/>
          <w:color w:val="333333"/>
          <w:sz w:val="20"/>
          <w:szCs w:val="20"/>
        </w:rPr>
        <w:t>2022</w:t>
      </w:r>
      <w:r w:rsidR="004A6C3B" w:rsidRPr="00842F43">
        <w:rPr>
          <w:rFonts w:ascii="Fira Sans" w:hAnsi="Fira Sans" w:cs="Segoe UI"/>
          <w:color w:val="333333"/>
          <w:sz w:val="20"/>
          <w:szCs w:val="20"/>
          <w:shd w:val="clear" w:color="auto" w:fill="FCFCFC"/>
        </w:rPr>
        <w:t>)</w:t>
      </w:r>
    </w:p>
    <w:p w14:paraId="2958ED42" w14:textId="5F1E128E"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21. </w:t>
      </w:r>
      <w:r w:rsidRPr="00842F43">
        <w:rPr>
          <w:rFonts w:ascii="Fira Sans" w:hAnsi="Fira Sans"/>
          <w:sz w:val="20"/>
          <w:szCs w:val="20"/>
        </w:rPr>
        <w:tab/>
        <w:t>Novo Navarro P, Landin-Romero R, Guardiola-</w:t>
      </w:r>
      <w:proofErr w:type="spellStart"/>
      <w:r w:rsidRPr="00842F43">
        <w:rPr>
          <w:rFonts w:ascii="Fira Sans" w:hAnsi="Fira Sans"/>
          <w:sz w:val="20"/>
          <w:szCs w:val="20"/>
        </w:rPr>
        <w:t>Wanden</w:t>
      </w:r>
      <w:proofErr w:type="spellEnd"/>
      <w:r w:rsidRPr="00842F43">
        <w:rPr>
          <w:rFonts w:ascii="Fira Sans" w:hAnsi="Fira Sans"/>
          <w:sz w:val="20"/>
          <w:szCs w:val="20"/>
        </w:rPr>
        <w:t>-</w:t>
      </w:r>
      <w:proofErr w:type="spellStart"/>
      <w:r w:rsidRPr="00842F43">
        <w:rPr>
          <w:rFonts w:ascii="Fira Sans" w:hAnsi="Fira Sans"/>
          <w:sz w:val="20"/>
          <w:szCs w:val="20"/>
        </w:rPr>
        <w:t>Berghe</w:t>
      </w:r>
      <w:proofErr w:type="spellEnd"/>
      <w:r w:rsidRPr="00842F43">
        <w:rPr>
          <w:rFonts w:ascii="Fira Sans" w:hAnsi="Fira Sans"/>
          <w:sz w:val="20"/>
          <w:szCs w:val="20"/>
        </w:rPr>
        <w:t xml:space="preserve"> R, et al. 25 years of Eye Movement Desensitization and Reprocessing (EMDR): The EMDR therapy protocol, hypotheses of its mechanism of action and a systematic review of its efficacy in the treatment of post-traumatic stress disorder. </w:t>
      </w:r>
      <w:r w:rsidRPr="00842F43">
        <w:rPr>
          <w:rFonts w:ascii="Fira Sans" w:hAnsi="Fira Sans"/>
          <w:i/>
          <w:iCs/>
          <w:sz w:val="20"/>
          <w:szCs w:val="20"/>
        </w:rPr>
        <w:t xml:space="preserve">Rev </w:t>
      </w:r>
      <w:proofErr w:type="spellStart"/>
      <w:r w:rsidRPr="00842F43">
        <w:rPr>
          <w:rFonts w:ascii="Fira Sans" w:hAnsi="Fira Sans"/>
          <w:i/>
          <w:iCs/>
          <w:sz w:val="20"/>
          <w:szCs w:val="20"/>
        </w:rPr>
        <w:t>Psiquiatr</w:t>
      </w:r>
      <w:proofErr w:type="spellEnd"/>
      <w:r w:rsidRPr="00842F43">
        <w:rPr>
          <w:rFonts w:ascii="Fira Sans" w:hAnsi="Fira Sans"/>
          <w:i/>
          <w:iCs/>
          <w:sz w:val="20"/>
          <w:szCs w:val="20"/>
        </w:rPr>
        <w:t xml:space="preserve">  y </w:t>
      </w:r>
      <w:proofErr w:type="spellStart"/>
      <w:r w:rsidRPr="00842F43">
        <w:rPr>
          <w:rFonts w:ascii="Fira Sans" w:hAnsi="Fira Sans"/>
          <w:i/>
          <w:iCs/>
          <w:sz w:val="20"/>
          <w:szCs w:val="20"/>
        </w:rPr>
        <w:t>Salud</w:t>
      </w:r>
      <w:proofErr w:type="spellEnd"/>
      <w:r w:rsidRPr="00842F43">
        <w:rPr>
          <w:rFonts w:ascii="Fira Sans" w:hAnsi="Fira Sans"/>
          <w:i/>
          <w:iCs/>
          <w:sz w:val="20"/>
          <w:szCs w:val="20"/>
        </w:rPr>
        <w:t xml:space="preserve"> </w:t>
      </w:r>
      <w:proofErr w:type="spellStart"/>
      <w:r w:rsidRPr="00842F43">
        <w:rPr>
          <w:rFonts w:ascii="Fira Sans" w:hAnsi="Fira Sans"/>
          <w:i/>
          <w:iCs/>
          <w:sz w:val="20"/>
          <w:szCs w:val="20"/>
        </w:rPr>
        <w:t>Ment</w:t>
      </w:r>
      <w:proofErr w:type="spellEnd"/>
      <w:r w:rsidRPr="00842F43">
        <w:rPr>
          <w:rFonts w:ascii="Fira Sans" w:hAnsi="Fira Sans"/>
          <w:i/>
          <w:iCs/>
          <w:sz w:val="20"/>
          <w:szCs w:val="20"/>
        </w:rPr>
        <w:t>.</w:t>
      </w:r>
      <w:r w:rsidRPr="00842F43">
        <w:rPr>
          <w:rFonts w:ascii="Fira Sans" w:hAnsi="Fira Sans"/>
          <w:sz w:val="20"/>
          <w:szCs w:val="20"/>
        </w:rPr>
        <w:t xml:space="preserve"> 2018 Apr 1;11(2):101–14. </w:t>
      </w:r>
    </w:p>
    <w:p w14:paraId="5392BA58" w14:textId="441FB2C6"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22. </w:t>
      </w:r>
      <w:r w:rsidRPr="00842F43">
        <w:rPr>
          <w:rFonts w:ascii="Fira Sans" w:hAnsi="Fira Sans"/>
          <w:sz w:val="20"/>
          <w:szCs w:val="20"/>
        </w:rPr>
        <w:tab/>
      </w:r>
      <w:proofErr w:type="spellStart"/>
      <w:r w:rsidRPr="00842F43">
        <w:rPr>
          <w:rFonts w:ascii="Fira Sans" w:hAnsi="Fira Sans"/>
          <w:sz w:val="20"/>
          <w:szCs w:val="20"/>
        </w:rPr>
        <w:t>Mavranezouli</w:t>
      </w:r>
      <w:proofErr w:type="spellEnd"/>
      <w:r w:rsidRPr="00842F43">
        <w:rPr>
          <w:rFonts w:ascii="Fira Sans" w:hAnsi="Fira Sans"/>
          <w:sz w:val="20"/>
          <w:szCs w:val="20"/>
        </w:rPr>
        <w:t xml:space="preserve"> I, </w:t>
      </w:r>
      <w:proofErr w:type="spellStart"/>
      <w:r w:rsidRPr="00842F43">
        <w:rPr>
          <w:rFonts w:ascii="Fira Sans" w:hAnsi="Fira Sans"/>
          <w:sz w:val="20"/>
          <w:szCs w:val="20"/>
        </w:rPr>
        <w:t>Megnin-Viggars</w:t>
      </w:r>
      <w:proofErr w:type="spellEnd"/>
      <w:r w:rsidRPr="00842F43">
        <w:rPr>
          <w:rFonts w:ascii="Fira Sans" w:hAnsi="Fira Sans"/>
          <w:sz w:val="20"/>
          <w:szCs w:val="20"/>
        </w:rPr>
        <w:t xml:space="preserve"> O, Daly C, et al. Psychological treatments for post-traumatic stress disorder in adults: a network meta-analysis. </w:t>
      </w:r>
      <w:proofErr w:type="spellStart"/>
      <w:r w:rsidRPr="00842F43">
        <w:rPr>
          <w:rFonts w:ascii="Fira Sans" w:hAnsi="Fira Sans"/>
          <w:i/>
          <w:iCs/>
          <w:sz w:val="20"/>
          <w:szCs w:val="20"/>
        </w:rPr>
        <w:t>Psychol</w:t>
      </w:r>
      <w:proofErr w:type="spellEnd"/>
      <w:r w:rsidRPr="00842F43">
        <w:rPr>
          <w:rFonts w:ascii="Fira Sans" w:hAnsi="Fira Sans"/>
          <w:i/>
          <w:iCs/>
          <w:sz w:val="20"/>
          <w:szCs w:val="20"/>
        </w:rPr>
        <w:t xml:space="preserve"> Med.</w:t>
      </w:r>
      <w:r w:rsidRPr="00842F43">
        <w:rPr>
          <w:rFonts w:ascii="Fira Sans" w:hAnsi="Fira Sans"/>
          <w:sz w:val="20"/>
          <w:szCs w:val="20"/>
        </w:rPr>
        <w:t xml:space="preserve"> 2020 Mar 17;50(4):542–55. </w:t>
      </w:r>
    </w:p>
    <w:p w14:paraId="3F0392BE" w14:textId="66D9946B"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23. </w:t>
      </w:r>
      <w:r w:rsidRPr="00842F43">
        <w:rPr>
          <w:rFonts w:ascii="Fira Sans" w:hAnsi="Fira Sans"/>
          <w:sz w:val="20"/>
          <w:szCs w:val="20"/>
        </w:rPr>
        <w:tab/>
        <w:t xml:space="preserve">Bisson JI, Roberts NP, Andrew M, </w:t>
      </w:r>
      <w:r w:rsidR="004A6C3B" w:rsidRPr="00842F43">
        <w:rPr>
          <w:rFonts w:ascii="Fira Sans" w:hAnsi="Fira Sans"/>
          <w:sz w:val="20"/>
          <w:szCs w:val="20"/>
        </w:rPr>
        <w:t>et al</w:t>
      </w:r>
      <w:r w:rsidRPr="00842F43">
        <w:rPr>
          <w:rFonts w:ascii="Fira Sans" w:hAnsi="Fira Sans"/>
          <w:sz w:val="20"/>
          <w:szCs w:val="20"/>
        </w:rPr>
        <w:t xml:space="preserve">. Psychological therapies for chronic post-traumatic stress disorder (PTSD) in adults. </w:t>
      </w:r>
      <w:r w:rsidRPr="00842F43">
        <w:rPr>
          <w:rFonts w:ascii="Fira Sans" w:hAnsi="Fira Sans"/>
          <w:i/>
          <w:iCs/>
          <w:sz w:val="20"/>
          <w:szCs w:val="20"/>
        </w:rPr>
        <w:t xml:space="preserve">Cochrane Database </w:t>
      </w:r>
      <w:proofErr w:type="spellStart"/>
      <w:r w:rsidRPr="00842F43">
        <w:rPr>
          <w:rFonts w:ascii="Fira Sans" w:hAnsi="Fira Sans"/>
          <w:i/>
          <w:iCs/>
          <w:sz w:val="20"/>
          <w:szCs w:val="20"/>
        </w:rPr>
        <w:t>Syst</w:t>
      </w:r>
      <w:proofErr w:type="spellEnd"/>
      <w:r w:rsidRPr="00842F43">
        <w:rPr>
          <w:rFonts w:ascii="Fira Sans" w:hAnsi="Fira Sans"/>
          <w:i/>
          <w:iCs/>
          <w:sz w:val="20"/>
          <w:szCs w:val="20"/>
        </w:rPr>
        <w:t xml:space="preserve"> Rev.</w:t>
      </w:r>
      <w:r w:rsidRPr="00842F43">
        <w:rPr>
          <w:rFonts w:ascii="Fira Sans" w:hAnsi="Fira Sans"/>
          <w:sz w:val="20"/>
          <w:szCs w:val="20"/>
        </w:rPr>
        <w:t xml:space="preserve"> 2013 Dec 13;(12). </w:t>
      </w:r>
    </w:p>
    <w:p w14:paraId="07215586" w14:textId="672615C4"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24. </w:t>
      </w:r>
      <w:r w:rsidRPr="00842F43">
        <w:rPr>
          <w:rFonts w:ascii="Fira Sans" w:hAnsi="Fira Sans"/>
          <w:sz w:val="20"/>
          <w:szCs w:val="20"/>
        </w:rPr>
        <w:tab/>
      </w:r>
      <w:r w:rsidR="004A6C3B" w:rsidRPr="00842F43">
        <w:rPr>
          <w:rFonts w:ascii="Fira Sans" w:hAnsi="Fira Sans"/>
          <w:sz w:val="20"/>
          <w:szCs w:val="20"/>
        </w:rPr>
        <w:t>Van Ommeren M. Guidelines for the Management of Conditions Specifically Related to Stress. World Health Organisation. [Accessed Jan 2022] Available from: https://www.who.int/publications/i/item/guidelines-for-the-management-of-conditions-that-are-specifically-related-to-stress.</w:t>
      </w:r>
    </w:p>
    <w:p w14:paraId="24DAA8A2" w14:textId="0ED86C6E"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25. </w:t>
      </w:r>
      <w:r w:rsidRPr="00842F43">
        <w:rPr>
          <w:rFonts w:ascii="Fira Sans" w:hAnsi="Fira Sans"/>
          <w:sz w:val="20"/>
          <w:szCs w:val="20"/>
        </w:rPr>
        <w:tab/>
      </w:r>
      <w:r w:rsidR="004A6C3B" w:rsidRPr="00842F43">
        <w:rPr>
          <w:rFonts w:ascii="Fira Sans" w:hAnsi="Fira Sans"/>
          <w:sz w:val="20"/>
          <w:szCs w:val="20"/>
        </w:rPr>
        <w:t xml:space="preserve">National Institute for Health and Care Excellence. Post-traumatic stress disorder: NICE guideline. 2018 Dec [Accessed Jan 2022] Available from: </w:t>
      </w:r>
      <w:hyperlink r:id="rId8" w:history="1">
        <w:r w:rsidR="004A6C3B" w:rsidRPr="00842F43">
          <w:rPr>
            <w:rStyle w:val="Hyperlink"/>
            <w:rFonts w:ascii="Fira Sans" w:hAnsi="Fira Sans"/>
            <w:sz w:val="20"/>
            <w:szCs w:val="20"/>
          </w:rPr>
          <w:t>https://www.nice.org.uk/guidance/NG116</w:t>
        </w:r>
      </w:hyperlink>
    </w:p>
    <w:p w14:paraId="7384161B"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26. </w:t>
      </w:r>
      <w:r w:rsidRPr="00842F43">
        <w:rPr>
          <w:rFonts w:ascii="Fira Sans" w:hAnsi="Fira Sans"/>
          <w:sz w:val="20"/>
          <w:szCs w:val="20"/>
        </w:rPr>
        <w:tab/>
      </w:r>
      <w:proofErr w:type="spellStart"/>
      <w:r w:rsidRPr="00842F43">
        <w:rPr>
          <w:rFonts w:ascii="Fira Sans" w:hAnsi="Fira Sans"/>
          <w:sz w:val="20"/>
          <w:szCs w:val="20"/>
        </w:rPr>
        <w:t>Valiente</w:t>
      </w:r>
      <w:proofErr w:type="spellEnd"/>
      <w:r w:rsidRPr="00842F43">
        <w:rPr>
          <w:rFonts w:ascii="Fira Sans" w:hAnsi="Fira Sans"/>
          <w:sz w:val="20"/>
          <w:szCs w:val="20"/>
        </w:rPr>
        <w:t>-Gómez A, Moreno-</w:t>
      </w:r>
      <w:proofErr w:type="spellStart"/>
      <w:r w:rsidRPr="00842F43">
        <w:rPr>
          <w:rFonts w:ascii="Fira Sans" w:hAnsi="Fira Sans"/>
          <w:sz w:val="20"/>
          <w:szCs w:val="20"/>
        </w:rPr>
        <w:t>Alcázar</w:t>
      </w:r>
      <w:proofErr w:type="spellEnd"/>
      <w:r w:rsidRPr="00842F43">
        <w:rPr>
          <w:rFonts w:ascii="Fira Sans" w:hAnsi="Fira Sans"/>
          <w:sz w:val="20"/>
          <w:szCs w:val="20"/>
        </w:rPr>
        <w:t xml:space="preserve"> A, Treen D, </w:t>
      </w:r>
      <w:proofErr w:type="spellStart"/>
      <w:r w:rsidRPr="00842F43">
        <w:rPr>
          <w:rFonts w:ascii="Fira Sans" w:hAnsi="Fira Sans"/>
          <w:sz w:val="20"/>
          <w:szCs w:val="20"/>
        </w:rPr>
        <w:t>Cedrón</w:t>
      </w:r>
      <w:proofErr w:type="spellEnd"/>
      <w:r w:rsidRPr="00842F43">
        <w:rPr>
          <w:rFonts w:ascii="Fira Sans" w:hAnsi="Fira Sans"/>
          <w:sz w:val="20"/>
          <w:szCs w:val="20"/>
        </w:rPr>
        <w:t xml:space="preserve"> C, Colom F, Pérez V, et al. EMDR beyond PTSD: A Systematic Literature Review. </w:t>
      </w:r>
      <w:r w:rsidRPr="00842F43">
        <w:rPr>
          <w:rFonts w:ascii="Fira Sans" w:hAnsi="Fira Sans"/>
          <w:i/>
          <w:iCs/>
          <w:sz w:val="20"/>
          <w:szCs w:val="20"/>
        </w:rPr>
        <w:t>Front Psychol</w:t>
      </w:r>
      <w:r w:rsidRPr="00842F43">
        <w:rPr>
          <w:rFonts w:ascii="Fira Sans" w:hAnsi="Fira Sans"/>
          <w:sz w:val="20"/>
          <w:szCs w:val="20"/>
        </w:rPr>
        <w:t xml:space="preserve">. 2017 Sep 26;8:1668. </w:t>
      </w:r>
    </w:p>
    <w:p w14:paraId="2D51000C" w14:textId="79D4C91C"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27. </w:t>
      </w:r>
      <w:r w:rsidRPr="00842F43">
        <w:rPr>
          <w:rFonts w:ascii="Fira Sans" w:hAnsi="Fira Sans"/>
          <w:sz w:val="20"/>
          <w:szCs w:val="20"/>
        </w:rPr>
        <w:tab/>
      </w:r>
      <w:r w:rsidR="005C7C9C" w:rsidRPr="00842F43">
        <w:rPr>
          <w:rFonts w:ascii="Fira Sans" w:hAnsi="Fira Sans"/>
          <w:sz w:val="20"/>
          <w:szCs w:val="20"/>
        </w:rPr>
        <w:t xml:space="preserve">Patel MB, Jackson JC, </w:t>
      </w:r>
      <w:proofErr w:type="spellStart"/>
      <w:r w:rsidR="005C7C9C" w:rsidRPr="00842F43">
        <w:rPr>
          <w:rFonts w:ascii="Fira Sans" w:hAnsi="Fira Sans"/>
          <w:sz w:val="20"/>
          <w:szCs w:val="20"/>
        </w:rPr>
        <w:t>Morandi</w:t>
      </w:r>
      <w:proofErr w:type="spellEnd"/>
      <w:r w:rsidR="005C7C9C" w:rsidRPr="00842F43">
        <w:rPr>
          <w:rFonts w:ascii="Fira Sans" w:hAnsi="Fira Sans"/>
          <w:sz w:val="20"/>
          <w:szCs w:val="20"/>
        </w:rPr>
        <w:t xml:space="preserve"> A, et al. Incidence and Risk Factors for Intensive Care Unit-related Post-traumatic Stress Disorder in Veterans and Civilians. </w:t>
      </w:r>
      <w:r w:rsidR="005C7C9C" w:rsidRPr="00842F43">
        <w:rPr>
          <w:rFonts w:ascii="Fira Sans" w:hAnsi="Fira Sans"/>
          <w:i/>
          <w:iCs/>
          <w:sz w:val="20"/>
          <w:szCs w:val="20"/>
        </w:rPr>
        <w:t>Am J Respir Crit Care Med.</w:t>
      </w:r>
      <w:r w:rsidR="005C7C9C" w:rsidRPr="00842F43">
        <w:rPr>
          <w:rFonts w:ascii="Fira Sans" w:hAnsi="Fira Sans"/>
          <w:sz w:val="20"/>
          <w:szCs w:val="20"/>
        </w:rPr>
        <w:t xml:space="preserve"> 2016 Jun 15;193(12):1373–81.</w:t>
      </w:r>
    </w:p>
    <w:p w14:paraId="177B981D" w14:textId="6F5AF281"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28. </w:t>
      </w:r>
      <w:r w:rsidRPr="00842F43">
        <w:rPr>
          <w:rFonts w:ascii="Fira Sans" w:hAnsi="Fira Sans"/>
          <w:sz w:val="20"/>
          <w:szCs w:val="20"/>
        </w:rPr>
        <w:tab/>
        <w:t>Hulme T. Using eye movement therapy to reduce trauma after intensive care</w:t>
      </w:r>
      <w:r w:rsidR="005C7C9C" w:rsidRPr="00842F43">
        <w:rPr>
          <w:rFonts w:ascii="Fira Sans" w:hAnsi="Fira Sans"/>
          <w:sz w:val="20"/>
          <w:szCs w:val="20"/>
        </w:rPr>
        <w:t>.</w:t>
      </w:r>
      <w:r w:rsidRPr="00842F43">
        <w:rPr>
          <w:rFonts w:ascii="Fira Sans" w:hAnsi="Fira Sans"/>
          <w:sz w:val="20"/>
          <w:szCs w:val="20"/>
        </w:rPr>
        <w:t xml:space="preserve"> </w:t>
      </w:r>
      <w:r w:rsidRPr="00842F43">
        <w:rPr>
          <w:rFonts w:ascii="Fira Sans" w:hAnsi="Fira Sans"/>
          <w:i/>
          <w:iCs/>
          <w:sz w:val="20"/>
          <w:szCs w:val="20"/>
        </w:rPr>
        <w:t>Nursing Times.</w:t>
      </w:r>
      <w:r w:rsidRPr="00842F43">
        <w:rPr>
          <w:rFonts w:ascii="Fira Sans" w:hAnsi="Fira Sans"/>
          <w:sz w:val="20"/>
          <w:szCs w:val="20"/>
        </w:rPr>
        <w:t xml:space="preserve"> 2018;114(3):18–21. </w:t>
      </w:r>
    </w:p>
    <w:p w14:paraId="7B875C82"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29. </w:t>
      </w:r>
      <w:r w:rsidRPr="00842F43">
        <w:rPr>
          <w:rFonts w:ascii="Fira Sans" w:hAnsi="Fira Sans"/>
          <w:sz w:val="20"/>
          <w:szCs w:val="20"/>
        </w:rPr>
        <w:tab/>
        <w:t xml:space="preserve">Wake S, </w:t>
      </w:r>
      <w:proofErr w:type="spellStart"/>
      <w:r w:rsidRPr="00842F43">
        <w:rPr>
          <w:rFonts w:ascii="Fira Sans" w:hAnsi="Fira Sans"/>
          <w:sz w:val="20"/>
          <w:szCs w:val="20"/>
        </w:rPr>
        <w:t>Kitchiner</w:t>
      </w:r>
      <w:proofErr w:type="spellEnd"/>
      <w:r w:rsidRPr="00842F43">
        <w:rPr>
          <w:rFonts w:ascii="Fira Sans" w:hAnsi="Fira Sans"/>
          <w:sz w:val="20"/>
          <w:szCs w:val="20"/>
        </w:rPr>
        <w:t xml:space="preserve"> D. Post-traumatic stress disorder after intensive care. </w:t>
      </w:r>
      <w:r w:rsidRPr="00842F43">
        <w:rPr>
          <w:rFonts w:ascii="Fira Sans" w:hAnsi="Fira Sans"/>
          <w:i/>
          <w:iCs/>
          <w:sz w:val="20"/>
          <w:szCs w:val="20"/>
        </w:rPr>
        <w:t>BMJ</w:t>
      </w:r>
      <w:r w:rsidRPr="00842F43">
        <w:rPr>
          <w:rFonts w:ascii="Fira Sans" w:hAnsi="Fira Sans"/>
          <w:sz w:val="20"/>
          <w:szCs w:val="20"/>
        </w:rPr>
        <w:t xml:space="preserve">. 2013 May 22;346:f3232. </w:t>
      </w:r>
    </w:p>
    <w:p w14:paraId="12F4EE7A"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30. </w:t>
      </w:r>
      <w:r w:rsidRPr="00842F43">
        <w:rPr>
          <w:rFonts w:ascii="Fira Sans" w:hAnsi="Fira Sans"/>
          <w:sz w:val="20"/>
          <w:szCs w:val="20"/>
        </w:rPr>
        <w:tab/>
        <w:t xml:space="preserve">Clarke R. The EMDR Recent Traumatic Episode Protocol With an Intensive Care Survivor: A Case Study. </w:t>
      </w:r>
      <w:r w:rsidRPr="00842F43">
        <w:rPr>
          <w:rFonts w:ascii="Fira Sans" w:hAnsi="Fira Sans"/>
          <w:i/>
          <w:iCs/>
          <w:sz w:val="20"/>
          <w:szCs w:val="20"/>
        </w:rPr>
        <w:t xml:space="preserve">J EMDR </w:t>
      </w:r>
      <w:proofErr w:type="spellStart"/>
      <w:r w:rsidRPr="00842F43">
        <w:rPr>
          <w:rFonts w:ascii="Fira Sans" w:hAnsi="Fira Sans"/>
          <w:i/>
          <w:iCs/>
          <w:sz w:val="20"/>
          <w:szCs w:val="20"/>
        </w:rPr>
        <w:t>Pract</w:t>
      </w:r>
      <w:proofErr w:type="spellEnd"/>
      <w:r w:rsidRPr="00842F43">
        <w:rPr>
          <w:rFonts w:ascii="Fira Sans" w:hAnsi="Fira Sans"/>
          <w:i/>
          <w:iCs/>
          <w:sz w:val="20"/>
          <w:szCs w:val="20"/>
        </w:rPr>
        <w:t xml:space="preserve"> Res</w:t>
      </w:r>
      <w:r w:rsidRPr="00842F43">
        <w:rPr>
          <w:rFonts w:ascii="Fira Sans" w:hAnsi="Fira Sans"/>
          <w:sz w:val="20"/>
          <w:szCs w:val="20"/>
        </w:rPr>
        <w:t xml:space="preserve">. 2022 Apr 1;16(2):50–60. </w:t>
      </w:r>
    </w:p>
    <w:p w14:paraId="596D6C8D"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31. </w:t>
      </w:r>
      <w:r w:rsidRPr="00842F43">
        <w:rPr>
          <w:rFonts w:ascii="Fira Sans" w:hAnsi="Fira Sans"/>
          <w:sz w:val="20"/>
          <w:szCs w:val="20"/>
        </w:rPr>
        <w:tab/>
        <w:t xml:space="preserve">Shapiro E, </w:t>
      </w:r>
      <w:proofErr w:type="spellStart"/>
      <w:r w:rsidRPr="00842F43">
        <w:rPr>
          <w:rFonts w:ascii="Fira Sans" w:hAnsi="Fira Sans"/>
          <w:sz w:val="20"/>
          <w:szCs w:val="20"/>
        </w:rPr>
        <w:t>Yishay</w:t>
      </w:r>
      <w:proofErr w:type="spellEnd"/>
      <w:r w:rsidRPr="00842F43">
        <w:rPr>
          <w:rFonts w:ascii="Fira Sans" w:hAnsi="Fira Sans"/>
          <w:sz w:val="20"/>
          <w:szCs w:val="20"/>
        </w:rPr>
        <w:t xml:space="preserve"> R, </w:t>
      </w:r>
      <w:proofErr w:type="spellStart"/>
      <w:r w:rsidRPr="00842F43">
        <w:rPr>
          <w:rFonts w:ascii="Fira Sans" w:hAnsi="Fira Sans"/>
          <w:sz w:val="20"/>
          <w:szCs w:val="20"/>
        </w:rPr>
        <w:t>Laub</w:t>
      </w:r>
      <w:proofErr w:type="spellEnd"/>
      <w:r w:rsidRPr="00842F43">
        <w:rPr>
          <w:rFonts w:ascii="Fira Sans" w:hAnsi="Fira Sans"/>
          <w:sz w:val="20"/>
          <w:szCs w:val="20"/>
        </w:rPr>
        <w:t xml:space="preserve"> IB. Early EMDR Intervention (EEI): A Summary, a Theoretical Model, and the Recent Traumatic Episode Protocol (R-TEP). </w:t>
      </w:r>
      <w:r w:rsidRPr="00842F43">
        <w:rPr>
          <w:rFonts w:ascii="Fira Sans" w:hAnsi="Fira Sans"/>
          <w:i/>
          <w:iCs/>
          <w:sz w:val="20"/>
          <w:szCs w:val="20"/>
        </w:rPr>
        <w:t xml:space="preserve">J EMDR </w:t>
      </w:r>
      <w:proofErr w:type="spellStart"/>
      <w:r w:rsidRPr="00842F43">
        <w:rPr>
          <w:rFonts w:ascii="Fira Sans" w:hAnsi="Fira Sans"/>
          <w:i/>
          <w:iCs/>
          <w:sz w:val="20"/>
          <w:szCs w:val="20"/>
        </w:rPr>
        <w:t>Pract</w:t>
      </w:r>
      <w:proofErr w:type="spellEnd"/>
      <w:r w:rsidRPr="00842F43">
        <w:rPr>
          <w:rFonts w:ascii="Fira Sans" w:hAnsi="Fira Sans"/>
          <w:i/>
          <w:iCs/>
          <w:sz w:val="20"/>
          <w:szCs w:val="20"/>
        </w:rPr>
        <w:t xml:space="preserve"> Res</w:t>
      </w:r>
      <w:r w:rsidRPr="00842F43">
        <w:rPr>
          <w:rFonts w:ascii="Fira Sans" w:hAnsi="Fira Sans"/>
          <w:sz w:val="20"/>
          <w:szCs w:val="20"/>
        </w:rPr>
        <w:t xml:space="preserve">. 2008;2(2):79. </w:t>
      </w:r>
    </w:p>
    <w:p w14:paraId="55EA39D5"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32. </w:t>
      </w:r>
      <w:r w:rsidRPr="00842F43">
        <w:rPr>
          <w:rFonts w:ascii="Fira Sans" w:hAnsi="Fira Sans"/>
          <w:sz w:val="20"/>
          <w:szCs w:val="20"/>
        </w:rPr>
        <w:tab/>
        <w:t xml:space="preserve">Jones C, Griffiths RD, </w:t>
      </w:r>
      <w:proofErr w:type="spellStart"/>
      <w:r w:rsidRPr="00842F43">
        <w:rPr>
          <w:rFonts w:ascii="Fira Sans" w:hAnsi="Fira Sans"/>
          <w:sz w:val="20"/>
          <w:szCs w:val="20"/>
        </w:rPr>
        <w:t>Humphris</w:t>
      </w:r>
      <w:proofErr w:type="spellEnd"/>
      <w:r w:rsidRPr="00842F43">
        <w:rPr>
          <w:rFonts w:ascii="Fira Sans" w:hAnsi="Fira Sans"/>
          <w:sz w:val="20"/>
          <w:szCs w:val="20"/>
        </w:rPr>
        <w:t xml:space="preserve"> G, Skirrow PM. Memory, delusions, and the development of acute posttraumatic stress disorder-related symptoms after intensive care. </w:t>
      </w:r>
      <w:r w:rsidRPr="00842F43">
        <w:rPr>
          <w:rFonts w:ascii="Fira Sans" w:hAnsi="Fira Sans"/>
          <w:i/>
          <w:iCs/>
          <w:sz w:val="20"/>
          <w:szCs w:val="20"/>
        </w:rPr>
        <w:t>Crit Care Med</w:t>
      </w:r>
      <w:r w:rsidRPr="00842F43">
        <w:rPr>
          <w:rFonts w:ascii="Fira Sans" w:hAnsi="Fira Sans"/>
          <w:sz w:val="20"/>
          <w:szCs w:val="20"/>
        </w:rPr>
        <w:t xml:space="preserve">. 2001 Mar;29(3):573–80. </w:t>
      </w:r>
    </w:p>
    <w:p w14:paraId="15B98DB4"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lastRenderedPageBreak/>
        <w:t xml:space="preserve">33. </w:t>
      </w:r>
      <w:r w:rsidRPr="00842F43">
        <w:rPr>
          <w:rFonts w:ascii="Fira Sans" w:hAnsi="Fira Sans"/>
          <w:sz w:val="20"/>
          <w:szCs w:val="20"/>
        </w:rPr>
        <w:tab/>
        <w:t xml:space="preserve">Shapiro E, </w:t>
      </w:r>
      <w:proofErr w:type="spellStart"/>
      <w:r w:rsidRPr="00842F43">
        <w:rPr>
          <w:rFonts w:ascii="Fira Sans" w:hAnsi="Fira Sans"/>
          <w:sz w:val="20"/>
          <w:szCs w:val="20"/>
        </w:rPr>
        <w:t>Laub</w:t>
      </w:r>
      <w:proofErr w:type="spellEnd"/>
      <w:r w:rsidRPr="00842F43">
        <w:rPr>
          <w:rFonts w:ascii="Fira Sans" w:hAnsi="Fira Sans"/>
          <w:sz w:val="20"/>
          <w:szCs w:val="20"/>
        </w:rPr>
        <w:t xml:space="preserve"> B. Early EMDR Intervention Following a Community Critical Incident: A Randomized Clinical Trial. </w:t>
      </w:r>
      <w:r w:rsidRPr="00842F43">
        <w:rPr>
          <w:rFonts w:ascii="Fira Sans" w:hAnsi="Fira Sans"/>
          <w:i/>
          <w:iCs/>
          <w:sz w:val="20"/>
          <w:szCs w:val="20"/>
        </w:rPr>
        <w:t xml:space="preserve">J EMDR </w:t>
      </w:r>
      <w:proofErr w:type="spellStart"/>
      <w:r w:rsidRPr="00842F43">
        <w:rPr>
          <w:rFonts w:ascii="Fira Sans" w:hAnsi="Fira Sans"/>
          <w:i/>
          <w:iCs/>
          <w:sz w:val="20"/>
          <w:szCs w:val="20"/>
        </w:rPr>
        <w:t>Pract</w:t>
      </w:r>
      <w:proofErr w:type="spellEnd"/>
      <w:r w:rsidRPr="00842F43">
        <w:rPr>
          <w:rFonts w:ascii="Fira Sans" w:hAnsi="Fira Sans"/>
          <w:i/>
          <w:iCs/>
          <w:sz w:val="20"/>
          <w:szCs w:val="20"/>
        </w:rPr>
        <w:t xml:space="preserve"> Res</w:t>
      </w:r>
      <w:r w:rsidRPr="00842F43">
        <w:rPr>
          <w:rFonts w:ascii="Fira Sans" w:hAnsi="Fira Sans"/>
          <w:sz w:val="20"/>
          <w:szCs w:val="20"/>
        </w:rPr>
        <w:t xml:space="preserve">. 2015;9(1):17–27. </w:t>
      </w:r>
    </w:p>
    <w:p w14:paraId="0A7DE665"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34. </w:t>
      </w:r>
      <w:r w:rsidRPr="00842F43">
        <w:rPr>
          <w:rFonts w:ascii="Fira Sans" w:hAnsi="Fira Sans"/>
          <w:sz w:val="20"/>
          <w:szCs w:val="20"/>
        </w:rPr>
        <w:tab/>
        <w:t xml:space="preserve">Shapiro, E., </w:t>
      </w:r>
      <w:proofErr w:type="spellStart"/>
      <w:r w:rsidRPr="00842F43">
        <w:rPr>
          <w:rFonts w:ascii="Fira Sans" w:hAnsi="Fira Sans"/>
          <w:sz w:val="20"/>
          <w:szCs w:val="20"/>
        </w:rPr>
        <w:t>Laub</w:t>
      </w:r>
      <w:proofErr w:type="spellEnd"/>
      <w:r w:rsidRPr="00842F43">
        <w:rPr>
          <w:rFonts w:ascii="Fira Sans" w:hAnsi="Fira Sans"/>
          <w:sz w:val="20"/>
          <w:szCs w:val="20"/>
        </w:rPr>
        <w:t xml:space="preserve">, B., &amp; </w:t>
      </w:r>
      <w:proofErr w:type="spellStart"/>
      <w:r w:rsidRPr="00842F43">
        <w:rPr>
          <w:rFonts w:ascii="Fira Sans" w:hAnsi="Fira Sans"/>
          <w:sz w:val="20"/>
          <w:szCs w:val="20"/>
        </w:rPr>
        <w:t>Rosenblat</w:t>
      </w:r>
      <w:proofErr w:type="spellEnd"/>
      <w:r w:rsidRPr="00842F43">
        <w:rPr>
          <w:rFonts w:ascii="Fira Sans" w:hAnsi="Fira Sans"/>
          <w:sz w:val="20"/>
          <w:szCs w:val="20"/>
        </w:rPr>
        <w:t xml:space="preserve"> O. Early EMDR intervention following intense rocket attacks on a town: A randomised clinical trial. </w:t>
      </w:r>
      <w:r w:rsidRPr="00842F43">
        <w:rPr>
          <w:rFonts w:ascii="Fira Sans" w:hAnsi="Fira Sans"/>
          <w:i/>
          <w:iCs/>
          <w:sz w:val="20"/>
          <w:szCs w:val="20"/>
        </w:rPr>
        <w:t>Clin Neuropsychiatry J Treat Eval.</w:t>
      </w:r>
      <w:r w:rsidRPr="00842F43">
        <w:rPr>
          <w:rFonts w:ascii="Fira Sans" w:hAnsi="Fira Sans"/>
          <w:sz w:val="20"/>
          <w:szCs w:val="20"/>
        </w:rPr>
        <w:t xml:space="preserve"> 2018;15(3):194–205. </w:t>
      </w:r>
    </w:p>
    <w:p w14:paraId="1AFC666B"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35. </w:t>
      </w:r>
      <w:r w:rsidRPr="00842F43">
        <w:rPr>
          <w:rFonts w:ascii="Fira Sans" w:hAnsi="Fira Sans"/>
          <w:sz w:val="20"/>
          <w:szCs w:val="20"/>
        </w:rPr>
        <w:tab/>
      </w:r>
      <w:proofErr w:type="spellStart"/>
      <w:r w:rsidRPr="00842F43">
        <w:rPr>
          <w:rFonts w:ascii="Fira Sans" w:hAnsi="Fira Sans"/>
          <w:sz w:val="20"/>
          <w:szCs w:val="20"/>
        </w:rPr>
        <w:t>Tofani</w:t>
      </w:r>
      <w:proofErr w:type="spellEnd"/>
      <w:r w:rsidRPr="00842F43">
        <w:rPr>
          <w:rFonts w:ascii="Fira Sans" w:hAnsi="Fira Sans"/>
          <w:sz w:val="20"/>
          <w:szCs w:val="20"/>
        </w:rPr>
        <w:t xml:space="preserve"> LR, Wheeler K. The Recent-Traumatic Episode Protocol: Outcome Evaluation and Analysis of Three Case Studies. </w:t>
      </w:r>
      <w:r w:rsidRPr="00842F43">
        <w:rPr>
          <w:rFonts w:ascii="Fira Sans" w:hAnsi="Fira Sans"/>
          <w:i/>
          <w:iCs/>
          <w:sz w:val="20"/>
          <w:szCs w:val="20"/>
        </w:rPr>
        <w:t xml:space="preserve">J EMDR </w:t>
      </w:r>
      <w:proofErr w:type="spellStart"/>
      <w:r w:rsidRPr="00842F43">
        <w:rPr>
          <w:rFonts w:ascii="Fira Sans" w:hAnsi="Fira Sans"/>
          <w:i/>
          <w:iCs/>
          <w:sz w:val="20"/>
          <w:szCs w:val="20"/>
        </w:rPr>
        <w:t>Pract</w:t>
      </w:r>
      <w:proofErr w:type="spellEnd"/>
      <w:r w:rsidRPr="00842F43">
        <w:rPr>
          <w:rFonts w:ascii="Fira Sans" w:hAnsi="Fira Sans"/>
          <w:i/>
          <w:iCs/>
          <w:sz w:val="20"/>
          <w:szCs w:val="20"/>
        </w:rPr>
        <w:t xml:space="preserve"> Res.</w:t>
      </w:r>
      <w:r w:rsidRPr="00842F43">
        <w:rPr>
          <w:rFonts w:ascii="Fira Sans" w:hAnsi="Fira Sans"/>
          <w:sz w:val="20"/>
          <w:szCs w:val="20"/>
        </w:rPr>
        <w:t xml:space="preserve"> 2011 Jan 1;5(3):95–110. </w:t>
      </w:r>
    </w:p>
    <w:p w14:paraId="5FF1D369" w14:textId="797447BB"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36. </w:t>
      </w:r>
      <w:r w:rsidRPr="00842F43">
        <w:rPr>
          <w:rFonts w:ascii="Fira Sans" w:hAnsi="Fira Sans"/>
          <w:sz w:val="20"/>
          <w:szCs w:val="20"/>
        </w:rPr>
        <w:tab/>
        <w:t>Gil-</w:t>
      </w:r>
      <w:proofErr w:type="spellStart"/>
      <w:r w:rsidRPr="00842F43">
        <w:rPr>
          <w:rFonts w:ascii="Fira Sans" w:hAnsi="Fira Sans"/>
          <w:sz w:val="20"/>
          <w:szCs w:val="20"/>
        </w:rPr>
        <w:t>Jardiné</w:t>
      </w:r>
      <w:proofErr w:type="spellEnd"/>
      <w:r w:rsidRPr="00842F43">
        <w:rPr>
          <w:rFonts w:ascii="Fira Sans" w:hAnsi="Fira Sans"/>
          <w:sz w:val="20"/>
          <w:szCs w:val="20"/>
        </w:rPr>
        <w:t xml:space="preserve"> C, </w:t>
      </w:r>
      <w:proofErr w:type="spellStart"/>
      <w:r w:rsidRPr="00842F43">
        <w:rPr>
          <w:rFonts w:ascii="Fira Sans" w:hAnsi="Fira Sans"/>
          <w:sz w:val="20"/>
          <w:szCs w:val="20"/>
        </w:rPr>
        <w:t>Evrard</w:t>
      </w:r>
      <w:proofErr w:type="spellEnd"/>
      <w:r w:rsidRPr="00842F43">
        <w:rPr>
          <w:rFonts w:ascii="Fira Sans" w:hAnsi="Fira Sans"/>
          <w:sz w:val="20"/>
          <w:szCs w:val="20"/>
        </w:rPr>
        <w:t xml:space="preserve"> G, Al </w:t>
      </w:r>
      <w:proofErr w:type="spellStart"/>
      <w:r w:rsidRPr="00842F43">
        <w:rPr>
          <w:rFonts w:ascii="Fira Sans" w:hAnsi="Fira Sans"/>
          <w:sz w:val="20"/>
          <w:szCs w:val="20"/>
        </w:rPr>
        <w:t>Joboory</w:t>
      </w:r>
      <w:proofErr w:type="spellEnd"/>
      <w:r w:rsidRPr="00842F43">
        <w:rPr>
          <w:rFonts w:ascii="Fira Sans" w:hAnsi="Fira Sans"/>
          <w:sz w:val="20"/>
          <w:szCs w:val="20"/>
        </w:rPr>
        <w:t xml:space="preserve"> S, et al. Emergency room intervention to prevent </w:t>
      </w:r>
      <w:proofErr w:type="spellStart"/>
      <w:r w:rsidRPr="00842F43">
        <w:rPr>
          <w:rFonts w:ascii="Fira Sans" w:hAnsi="Fira Sans"/>
          <w:sz w:val="20"/>
          <w:szCs w:val="20"/>
        </w:rPr>
        <w:t>post concussion</w:t>
      </w:r>
      <w:proofErr w:type="spellEnd"/>
      <w:r w:rsidRPr="00842F43">
        <w:rPr>
          <w:rFonts w:ascii="Fira Sans" w:hAnsi="Fira Sans"/>
          <w:sz w:val="20"/>
          <w:szCs w:val="20"/>
        </w:rPr>
        <w:t xml:space="preserve">-like symptoms and post-traumatic stress disorder. A pilot randomized controlled study of a brief eye movement desensitization and reprocessing intervention versus reassurance or usual care. </w:t>
      </w:r>
      <w:r w:rsidRPr="00842F43">
        <w:rPr>
          <w:rFonts w:ascii="Fira Sans" w:hAnsi="Fira Sans"/>
          <w:i/>
          <w:iCs/>
          <w:sz w:val="20"/>
          <w:szCs w:val="20"/>
        </w:rPr>
        <w:t xml:space="preserve">J </w:t>
      </w:r>
      <w:proofErr w:type="spellStart"/>
      <w:r w:rsidRPr="00842F43">
        <w:rPr>
          <w:rFonts w:ascii="Fira Sans" w:hAnsi="Fira Sans"/>
          <w:i/>
          <w:iCs/>
          <w:sz w:val="20"/>
          <w:szCs w:val="20"/>
        </w:rPr>
        <w:t>Psychiatr</w:t>
      </w:r>
      <w:proofErr w:type="spellEnd"/>
      <w:r w:rsidRPr="00842F43">
        <w:rPr>
          <w:rFonts w:ascii="Fira Sans" w:hAnsi="Fira Sans"/>
          <w:i/>
          <w:iCs/>
          <w:sz w:val="20"/>
          <w:szCs w:val="20"/>
        </w:rPr>
        <w:t xml:space="preserve"> Res. </w:t>
      </w:r>
      <w:r w:rsidRPr="00842F43">
        <w:rPr>
          <w:rFonts w:ascii="Fira Sans" w:hAnsi="Fira Sans"/>
          <w:sz w:val="20"/>
          <w:szCs w:val="20"/>
        </w:rPr>
        <w:t xml:space="preserve">2018 Aug 1;103:229–36. </w:t>
      </w:r>
    </w:p>
    <w:p w14:paraId="5B485A5B" w14:textId="498AC65D"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37. </w:t>
      </w:r>
      <w:r w:rsidRPr="00842F43">
        <w:rPr>
          <w:rFonts w:ascii="Fira Sans" w:hAnsi="Fira Sans"/>
          <w:sz w:val="20"/>
          <w:szCs w:val="20"/>
        </w:rPr>
        <w:tab/>
        <w:t xml:space="preserve">Roberts NP, </w:t>
      </w:r>
      <w:proofErr w:type="spellStart"/>
      <w:r w:rsidRPr="00842F43">
        <w:rPr>
          <w:rFonts w:ascii="Fira Sans" w:hAnsi="Fira Sans"/>
          <w:sz w:val="20"/>
          <w:szCs w:val="20"/>
        </w:rPr>
        <w:t>Kitchiner</w:t>
      </w:r>
      <w:proofErr w:type="spellEnd"/>
      <w:r w:rsidRPr="00842F43">
        <w:rPr>
          <w:rFonts w:ascii="Fira Sans" w:hAnsi="Fira Sans"/>
          <w:sz w:val="20"/>
          <w:szCs w:val="20"/>
        </w:rPr>
        <w:t xml:space="preserve"> NJ, </w:t>
      </w:r>
      <w:proofErr w:type="spellStart"/>
      <w:r w:rsidRPr="00842F43">
        <w:rPr>
          <w:rFonts w:ascii="Fira Sans" w:hAnsi="Fira Sans"/>
          <w:sz w:val="20"/>
          <w:szCs w:val="20"/>
        </w:rPr>
        <w:t>Kenardy</w:t>
      </w:r>
      <w:proofErr w:type="spellEnd"/>
      <w:r w:rsidRPr="00842F43">
        <w:rPr>
          <w:rFonts w:ascii="Fira Sans" w:hAnsi="Fira Sans"/>
          <w:sz w:val="20"/>
          <w:szCs w:val="20"/>
        </w:rPr>
        <w:t xml:space="preserve"> J, </w:t>
      </w:r>
      <w:r w:rsidR="001A16D2" w:rsidRPr="00842F43">
        <w:rPr>
          <w:rFonts w:ascii="Fira Sans" w:hAnsi="Fira Sans"/>
          <w:sz w:val="20"/>
          <w:szCs w:val="20"/>
        </w:rPr>
        <w:t>et al.</w:t>
      </w:r>
      <w:r w:rsidRPr="00842F43">
        <w:rPr>
          <w:rFonts w:ascii="Fira Sans" w:hAnsi="Fira Sans"/>
          <w:sz w:val="20"/>
          <w:szCs w:val="20"/>
        </w:rPr>
        <w:t xml:space="preserve"> Early psychological intervention following recent trauma: A systematic review and meta-analysis. </w:t>
      </w:r>
      <w:proofErr w:type="spellStart"/>
      <w:r w:rsidRPr="00842F43">
        <w:rPr>
          <w:rFonts w:ascii="Fira Sans" w:hAnsi="Fira Sans"/>
          <w:i/>
          <w:iCs/>
          <w:sz w:val="20"/>
          <w:szCs w:val="20"/>
        </w:rPr>
        <w:t>Eur</w:t>
      </w:r>
      <w:proofErr w:type="spellEnd"/>
      <w:r w:rsidRPr="00842F43">
        <w:rPr>
          <w:rFonts w:ascii="Fira Sans" w:hAnsi="Fira Sans"/>
          <w:i/>
          <w:iCs/>
          <w:sz w:val="20"/>
          <w:szCs w:val="20"/>
        </w:rPr>
        <w:t xml:space="preserve"> J </w:t>
      </w:r>
      <w:proofErr w:type="spellStart"/>
      <w:r w:rsidRPr="00842F43">
        <w:rPr>
          <w:rFonts w:ascii="Fira Sans" w:hAnsi="Fira Sans"/>
          <w:i/>
          <w:iCs/>
          <w:sz w:val="20"/>
          <w:szCs w:val="20"/>
        </w:rPr>
        <w:t>Psychotraumatol</w:t>
      </w:r>
      <w:proofErr w:type="spellEnd"/>
      <w:r w:rsidRPr="00842F43">
        <w:rPr>
          <w:rFonts w:ascii="Fira Sans" w:hAnsi="Fira Sans"/>
          <w:i/>
          <w:iCs/>
          <w:sz w:val="20"/>
          <w:szCs w:val="20"/>
        </w:rPr>
        <w:t>.</w:t>
      </w:r>
      <w:r w:rsidRPr="00842F43">
        <w:rPr>
          <w:rFonts w:ascii="Fira Sans" w:hAnsi="Fira Sans"/>
          <w:sz w:val="20"/>
          <w:szCs w:val="20"/>
        </w:rPr>
        <w:t xml:space="preserve"> 2019 Dec 31;10(1):1695486. </w:t>
      </w:r>
    </w:p>
    <w:p w14:paraId="01BF2E87" w14:textId="6BE8BBE5"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38. </w:t>
      </w:r>
      <w:r w:rsidRPr="00842F43">
        <w:rPr>
          <w:rFonts w:ascii="Fira Sans" w:hAnsi="Fira Sans"/>
          <w:sz w:val="20"/>
          <w:szCs w:val="20"/>
        </w:rPr>
        <w:tab/>
        <w:t xml:space="preserve">Birk JL, Sumner JA, </w:t>
      </w:r>
      <w:proofErr w:type="spellStart"/>
      <w:r w:rsidRPr="00842F43">
        <w:rPr>
          <w:rFonts w:ascii="Fira Sans" w:hAnsi="Fira Sans"/>
          <w:sz w:val="20"/>
          <w:szCs w:val="20"/>
        </w:rPr>
        <w:t>Haerizadeh</w:t>
      </w:r>
      <w:proofErr w:type="spellEnd"/>
      <w:r w:rsidRPr="00842F43">
        <w:rPr>
          <w:rFonts w:ascii="Fira Sans" w:hAnsi="Fira Sans"/>
          <w:sz w:val="20"/>
          <w:szCs w:val="20"/>
        </w:rPr>
        <w:t xml:space="preserve"> M, et al. Early interventions to prevent posttraumatic stress disorder symptoms in survivors of life-threatening medical events: A systematic review. J Anxiety </w:t>
      </w:r>
      <w:proofErr w:type="spellStart"/>
      <w:r w:rsidRPr="00842F43">
        <w:rPr>
          <w:rFonts w:ascii="Fira Sans" w:hAnsi="Fira Sans"/>
          <w:sz w:val="20"/>
          <w:szCs w:val="20"/>
        </w:rPr>
        <w:t>Disord</w:t>
      </w:r>
      <w:proofErr w:type="spellEnd"/>
      <w:r w:rsidRPr="00842F43">
        <w:rPr>
          <w:rFonts w:ascii="Fira Sans" w:hAnsi="Fira Sans"/>
          <w:sz w:val="20"/>
          <w:szCs w:val="20"/>
        </w:rPr>
        <w:t xml:space="preserve">. 2019;64:24–39. </w:t>
      </w:r>
    </w:p>
    <w:p w14:paraId="1E689FE0" w14:textId="38048662"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39. </w:t>
      </w:r>
      <w:r w:rsidRPr="00842F43">
        <w:rPr>
          <w:rFonts w:ascii="Fira Sans" w:hAnsi="Fira Sans"/>
          <w:sz w:val="20"/>
          <w:szCs w:val="20"/>
        </w:rPr>
        <w:tab/>
        <w:t xml:space="preserve">Wade DM, Moon Z, </w:t>
      </w:r>
      <w:proofErr w:type="spellStart"/>
      <w:r w:rsidRPr="00842F43">
        <w:rPr>
          <w:rFonts w:ascii="Fira Sans" w:hAnsi="Fira Sans"/>
          <w:sz w:val="20"/>
          <w:szCs w:val="20"/>
        </w:rPr>
        <w:t>Windgassen</w:t>
      </w:r>
      <w:proofErr w:type="spellEnd"/>
      <w:r w:rsidRPr="00842F43">
        <w:rPr>
          <w:rFonts w:ascii="Fira Sans" w:hAnsi="Fira Sans"/>
          <w:sz w:val="20"/>
          <w:szCs w:val="20"/>
        </w:rPr>
        <w:t xml:space="preserve"> SS, Harrison M, </w:t>
      </w:r>
      <w:r w:rsidR="001A16D2" w:rsidRPr="00842F43">
        <w:rPr>
          <w:rFonts w:ascii="Fira Sans" w:hAnsi="Fira Sans"/>
          <w:sz w:val="20"/>
          <w:szCs w:val="20"/>
        </w:rPr>
        <w:t xml:space="preserve">et al. </w:t>
      </w:r>
      <w:r w:rsidRPr="00842F43">
        <w:rPr>
          <w:rFonts w:ascii="Fira Sans" w:hAnsi="Fira Sans"/>
          <w:sz w:val="20"/>
          <w:szCs w:val="20"/>
        </w:rPr>
        <w:t xml:space="preserve">Non-pharmacological interventions to reduce </w:t>
      </w:r>
      <w:r w:rsidR="001A16D2" w:rsidRPr="00842F43">
        <w:rPr>
          <w:rFonts w:ascii="Fira Sans" w:hAnsi="Fira Sans"/>
          <w:sz w:val="20"/>
          <w:szCs w:val="20"/>
        </w:rPr>
        <w:t>IC</w:t>
      </w:r>
      <w:r w:rsidRPr="00842F43">
        <w:rPr>
          <w:rFonts w:ascii="Fira Sans" w:hAnsi="Fira Sans"/>
          <w:sz w:val="20"/>
          <w:szCs w:val="20"/>
        </w:rPr>
        <w:t xml:space="preserve">U-related psychological distress: a systematic review. </w:t>
      </w:r>
      <w:r w:rsidR="001A16D2" w:rsidRPr="00842F43">
        <w:rPr>
          <w:rFonts w:ascii="Fira Sans" w:hAnsi="Fira Sans" w:cs="Segoe UI"/>
          <w:i/>
          <w:iCs/>
          <w:color w:val="212121"/>
          <w:sz w:val="20"/>
          <w:szCs w:val="20"/>
          <w:shd w:val="clear" w:color="auto" w:fill="FFFFFF"/>
        </w:rPr>
        <w:t xml:space="preserve">Minerva </w:t>
      </w:r>
      <w:proofErr w:type="spellStart"/>
      <w:r w:rsidR="001A16D2" w:rsidRPr="00842F43">
        <w:rPr>
          <w:rFonts w:ascii="Fira Sans" w:hAnsi="Fira Sans" w:cs="Segoe UI"/>
          <w:i/>
          <w:iCs/>
          <w:color w:val="212121"/>
          <w:sz w:val="20"/>
          <w:szCs w:val="20"/>
          <w:shd w:val="clear" w:color="auto" w:fill="FFFFFF"/>
        </w:rPr>
        <w:t>Anestesiol</w:t>
      </w:r>
      <w:proofErr w:type="spellEnd"/>
      <w:r w:rsidR="001A16D2" w:rsidRPr="00842F43">
        <w:rPr>
          <w:rFonts w:ascii="Fira Sans" w:hAnsi="Fira Sans" w:cs="Segoe UI"/>
          <w:i/>
          <w:iCs/>
          <w:color w:val="212121"/>
          <w:sz w:val="20"/>
          <w:szCs w:val="20"/>
          <w:shd w:val="clear" w:color="auto" w:fill="FFFFFF"/>
        </w:rPr>
        <w:t>.</w:t>
      </w:r>
      <w:r w:rsidR="001A16D2" w:rsidRPr="00842F43">
        <w:rPr>
          <w:rFonts w:ascii="Fira Sans" w:hAnsi="Fira Sans" w:cs="Segoe UI"/>
          <w:color w:val="212121"/>
          <w:sz w:val="20"/>
          <w:szCs w:val="20"/>
          <w:shd w:val="clear" w:color="auto" w:fill="FFFFFF"/>
        </w:rPr>
        <w:t xml:space="preserve"> 2016 Apr;82(4):465-78. </w:t>
      </w:r>
      <w:proofErr w:type="spellStart"/>
      <w:r w:rsidR="001A16D2" w:rsidRPr="00842F43">
        <w:rPr>
          <w:rFonts w:ascii="Fira Sans" w:hAnsi="Fira Sans" w:cs="Segoe UI"/>
          <w:color w:val="212121"/>
          <w:sz w:val="20"/>
          <w:szCs w:val="20"/>
          <w:shd w:val="clear" w:color="auto" w:fill="FFFFFF"/>
        </w:rPr>
        <w:t>Epub</w:t>
      </w:r>
      <w:proofErr w:type="spellEnd"/>
      <w:r w:rsidR="001A16D2" w:rsidRPr="00842F43">
        <w:rPr>
          <w:rFonts w:ascii="Fira Sans" w:hAnsi="Fira Sans" w:cs="Segoe UI"/>
          <w:color w:val="212121"/>
          <w:sz w:val="20"/>
          <w:szCs w:val="20"/>
          <w:shd w:val="clear" w:color="auto" w:fill="FFFFFF"/>
        </w:rPr>
        <w:t xml:space="preserve"> 2015 Oct 27. PMID: 26505225.</w:t>
      </w:r>
    </w:p>
    <w:p w14:paraId="2ECA1C03"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40. </w:t>
      </w:r>
      <w:r w:rsidRPr="00842F43">
        <w:rPr>
          <w:rFonts w:ascii="Fira Sans" w:hAnsi="Fira Sans"/>
          <w:sz w:val="20"/>
          <w:szCs w:val="20"/>
        </w:rPr>
        <w:tab/>
        <w:t xml:space="preserve">Roberts MB, </w:t>
      </w:r>
      <w:proofErr w:type="spellStart"/>
      <w:r w:rsidRPr="00842F43">
        <w:rPr>
          <w:rFonts w:ascii="Fira Sans" w:hAnsi="Fira Sans"/>
          <w:sz w:val="20"/>
          <w:szCs w:val="20"/>
        </w:rPr>
        <w:t>Glaspey</w:t>
      </w:r>
      <w:proofErr w:type="spellEnd"/>
      <w:r w:rsidRPr="00842F43">
        <w:rPr>
          <w:rFonts w:ascii="Fira Sans" w:hAnsi="Fira Sans"/>
          <w:sz w:val="20"/>
          <w:szCs w:val="20"/>
        </w:rPr>
        <w:t xml:space="preserve"> LJ, </w:t>
      </w:r>
      <w:proofErr w:type="spellStart"/>
      <w:r w:rsidRPr="00842F43">
        <w:rPr>
          <w:rFonts w:ascii="Fira Sans" w:hAnsi="Fira Sans"/>
          <w:sz w:val="20"/>
          <w:szCs w:val="20"/>
        </w:rPr>
        <w:t>Mazzarelli</w:t>
      </w:r>
      <w:proofErr w:type="spellEnd"/>
      <w:r w:rsidRPr="00842F43">
        <w:rPr>
          <w:rFonts w:ascii="Fira Sans" w:hAnsi="Fira Sans"/>
          <w:sz w:val="20"/>
          <w:szCs w:val="20"/>
        </w:rPr>
        <w:t xml:space="preserve"> A, Jones CW, </w:t>
      </w:r>
      <w:proofErr w:type="spellStart"/>
      <w:r w:rsidRPr="00842F43">
        <w:rPr>
          <w:rFonts w:ascii="Fira Sans" w:hAnsi="Fira Sans"/>
          <w:sz w:val="20"/>
          <w:szCs w:val="20"/>
        </w:rPr>
        <w:t>Kilgannon</w:t>
      </w:r>
      <w:proofErr w:type="spellEnd"/>
      <w:r w:rsidRPr="00842F43">
        <w:rPr>
          <w:rFonts w:ascii="Fira Sans" w:hAnsi="Fira Sans"/>
          <w:sz w:val="20"/>
          <w:szCs w:val="20"/>
        </w:rPr>
        <w:t xml:space="preserve"> HJ, </w:t>
      </w:r>
      <w:proofErr w:type="spellStart"/>
      <w:r w:rsidRPr="00842F43">
        <w:rPr>
          <w:rFonts w:ascii="Fira Sans" w:hAnsi="Fira Sans"/>
          <w:sz w:val="20"/>
          <w:szCs w:val="20"/>
        </w:rPr>
        <w:t>Trzeciak</w:t>
      </w:r>
      <w:proofErr w:type="spellEnd"/>
      <w:r w:rsidRPr="00842F43">
        <w:rPr>
          <w:rFonts w:ascii="Fira Sans" w:hAnsi="Fira Sans"/>
          <w:sz w:val="20"/>
          <w:szCs w:val="20"/>
        </w:rPr>
        <w:t xml:space="preserve"> S, et al. Early Interventions for the Prevention of Posttraumatic Stress Symptoms in Survivors of Critical Illness: A Qualitative Systematic Review. </w:t>
      </w:r>
      <w:r w:rsidRPr="00842F43">
        <w:rPr>
          <w:rFonts w:ascii="Fira Sans" w:hAnsi="Fira Sans"/>
          <w:i/>
          <w:iCs/>
          <w:sz w:val="20"/>
          <w:szCs w:val="20"/>
        </w:rPr>
        <w:t>Crit Care Med</w:t>
      </w:r>
      <w:r w:rsidRPr="00842F43">
        <w:rPr>
          <w:rFonts w:ascii="Fira Sans" w:hAnsi="Fira Sans"/>
          <w:sz w:val="20"/>
          <w:szCs w:val="20"/>
        </w:rPr>
        <w:t xml:space="preserve">. 2018;46(8):1328–33. </w:t>
      </w:r>
    </w:p>
    <w:p w14:paraId="1AA15C16"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41. </w:t>
      </w:r>
      <w:r w:rsidRPr="00842F43">
        <w:rPr>
          <w:rFonts w:ascii="Fira Sans" w:hAnsi="Fira Sans"/>
          <w:sz w:val="20"/>
          <w:szCs w:val="20"/>
        </w:rPr>
        <w:tab/>
        <w:t xml:space="preserve">Bates A, Rushbrook S, Shapiro E, Grocott M, Cusack R. CovEMERALD: Assessing the feasibility and preliminary effectiveness of remotely delivered Eye Movement Desensitisation and Reprocessing following Covid-19 related critical illness: A structured summary of a study protocol for a randomised controlled trial. </w:t>
      </w:r>
      <w:r w:rsidRPr="00842F43">
        <w:rPr>
          <w:rFonts w:ascii="Fira Sans" w:hAnsi="Fira Sans"/>
          <w:i/>
          <w:iCs/>
          <w:sz w:val="20"/>
          <w:szCs w:val="20"/>
        </w:rPr>
        <w:t>Trials.</w:t>
      </w:r>
      <w:r w:rsidRPr="00842F43">
        <w:rPr>
          <w:rFonts w:ascii="Fira Sans" w:hAnsi="Fira Sans"/>
          <w:sz w:val="20"/>
          <w:szCs w:val="20"/>
        </w:rPr>
        <w:t xml:space="preserve"> 2020 Dec 17;21(1):929. </w:t>
      </w:r>
    </w:p>
    <w:p w14:paraId="3B5665ED"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42. </w:t>
      </w:r>
      <w:r w:rsidRPr="00842F43">
        <w:rPr>
          <w:rFonts w:ascii="Fira Sans" w:hAnsi="Fira Sans"/>
          <w:sz w:val="20"/>
          <w:szCs w:val="20"/>
        </w:rPr>
        <w:tab/>
        <w:t xml:space="preserve">Craig P, Dieppe P, Macintyre S, Michie S, Nazareth I, </w:t>
      </w:r>
      <w:proofErr w:type="spellStart"/>
      <w:r w:rsidRPr="00842F43">
        <w:rPr>
          <w:rFonts w:ascii="Fira Sans" w:hAnsi="Fira Sans"/>
          <w:sz w:val="20"/>
          <w:szCs w:val="20"/>
        </w:rPr>
        <w:t>Petticrew</w:t>
      </w:r>
      <w:proofErr w:type="spellEnd"/>
      <w:r w:rsidRPr="00842F43">
        <w:rPr>
          <w:rFonts w:ascii="Fira Sans" w:hAnsi="Fira Sans"/>
          <w:sz w:val="20"/>
          <w:szCs w:val="20"/>
        </w:rPr>
        <w:t xml:space="preserve"> M. Developing and evaluating complex interventions: the new Medical Research Council guidance. </w:t>
      </w:r>
      <w:r w:rsidRPr="00842F43">
        <w:rPr>
          <w:rFonts w:ascii="Fira Sans" w:hAnsi="Fira Sans"/>
          <w:i/>
          <w:iCs/>
          <w:sz w:val="20"/>
          <w:szCs w:val="20"/>
        </w:rPr>
        <w:t>BMJ</w:t>
      </w:r>
      <w:r w:rsidRPr="00842F43">
        <w:rPr>
          <w:rFonts w:ascii="Fira Sans" w:hAnsi="Fira Sans"/>
          <w:sz w:val="20"/>
          <w:szCs w:val="20"/>
        </w:rPr>
        <w:t xml:space="preserve">. 2008 Sep 29;337. </w:t>
      </w:r>
    </w:p>
    <w:p w14:paraId="5BD1A367" w14:textId="77777777" w:rsidR="00744E81"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43. </w:t>
      </w:r>
      <w:r w:rsidRPr="00842F43">
        <w:rPr>
          <w:rFonts w:ascii="Fira Sans" w:hAnsi="Fira Sans"/>
          <w:sz w:val="20"/>
          <w:szCs w:val="20"/>
        </w:rPr>
        <w:tab/>
      </w:r>
      <w:r w:rsidR="00744E81" w:rsidRPr="00842F43">
        <w:rPr>
          <w:rFonts w:ascii="Fira Sans" w:hAnsi="Fira Sans"/>
          <w:sz w:val="20"/>
          <w:szCs w:val="20"/>
        </w:rPr>
        <w:t xml:space="preserve">Eldridge SM, Chan CL, Campbell MJ, et al. CONSORT 2010 statement: extension to randomised pilot and feasibility trials. </w:t>
      </w:r>
      <w:r w:rsidR="00744E81" w:rsidRPr="00842F43">
        <w:rPr>
          <w:rFonts w:ascii="Fira Sans" w:hAnsi="Fira Sans"/>
          <w:i/>
          <w:iCs/>
          <w:sz w:val="20"/>
          <w:szCs w:val="20"/>
        </w:rPr>
        <w:t>BMJ.</w:t>
      </w:r>
      <w:r w:rsidR="00744E81" w:rsidRPr="00842F43">
        <w:rPr>
          <w:rFonts w:ascii="Fira Sans" w:hAnsi="Fira Sans"/>
          <w:sz w:val="20"/>
          <w:szCs w:val="20"/>
        </w:rPr>
        <w:t xml:space="preserve"> 2016 Oct 24;355:i5239.</w:t>
      </w:r>
    </w:p>
    <w:p w14:paraId="6033EA2F" w14:textId="39B1247D"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44. </w:t>
      </w:r>
      <w:r w:rsidRPr="00842F43">
        <w:rPr>
          <w:rFonts w:ascii="Fira Sans" w:hAnsi="Fira Sans"/>
          <w:sz w:val="20"/>
          <w:szCs w:val="20"/>
        </w:rPr>
        <w:tab/>
        <w:t xml:space="preserve">Hoffmann TC, </w:t>
      </w:r>
      <w:proofErr w:type="spellStart"/>
      <w:r w:rsidRPr="00842F43">
        <w:rPr>
          <w:rFonts w:ascii="Fira Sans" w:hAnsi="Fira Sans"/>
          <w:sz w:val="20"/>
          <w:szCs w:val="20"/>
        </w:rPr>
        <w:t>Glasziou</w:t>
      </w:r>
      <w:proofErr w:type="spellEnd"/>
      <w:r w:rsidRPr="00842F43">
        <w:rPr>
          <w:rFonts w:ascii="Fira Sans" w:hAnsi="Fira Sans"/>
          <w:sz w:val="20"/>
          <w:szCs w:val="20"/>
        </w:rPr>
        <w:t xml:space="preserve"> PP, </w:t>
      </w:r>
      <w:proofErr w:type="spellStart"/>
      <w:r w:rsidRPr="00842F43">
        <w:rPr>
          <w:rFonts w:ascii="Fira Sans" w:hAnsi="Fira Sans"/>
          <w:sz w:val="20"/>
          <w:szCs w:val="20"/>
        </w:rPr>
        <w:t>Boutron</w:t>
      </w:r>
      <w:proofErr w:type="spellEnd"/>
      <w:r w:rsidRPr="00842F43">
        <w:rPr>
          <w:rFonts w:ascii="Fira Sans" w:hAnsi="Fira Sans"/>
          <w:sz w:val="20"/>
          <w:szCs w:val="20"/>
        </w:rPr>
        <w:t xml:space="preserve"> I, Milne R, </w:t>
      </w:r>
      <w:proofErr w:type="spellStart"/>
      <w:r w:rsidRPr="00842F43">
        <w:rPr>
          <w:rFonts w:ascii="Fira Sans" w:hAnsi="Fira Sans"/>
          <w:sz w:val="20"/>
          <w:szCs w:val="20"/>
        </w:rPr>
        <w:t>Perera</w:t>
      </w:r>
      <w:proofErr w:type="spellEnd"/>
      <w:r w:rsidRPr="00842F43">
        <w:rPr>
          <w:rFonts w:ascii="Fira Sans" w:hAnsi="Fira Sans"/>
          <w:sz w:val="20"/>
          <w:szCs w:val="20"/>
        </w:rPr>
        <w:t xml:space="preserve"> R, Moher D, et al. Better reporting of interventions: template for intervention description and replication (TIDieR) checklist and guide. </w:t>
      </w:r>
      <w:r w:rsidRPr="00842F43">
        <w:rPr>
          <w:rFonts w:ascii="Fira Sans" w:hAnsi="Fira Sans"/>
          <w:i/>
          <w:iCs/>
          <w:sz w:val="20"/>
          <w:szCs w:val="20"/>
        </w:rPr>
        <w:t>BMJ</w:t>
      </w:r>
      <w:r w:rsidRPr="00842F43">
        <w:rPr>
          <w:rFonts w:ascii="Fira Sans" w:hAnsi="Fira Sans"/>
          <w:sz w:val="20"/>
          <w:szCs w:val="20"/>
        </w:rPr>
        <w:t xml:space="preserve">. 2014 Mar 7;348:g1687. </w:t>
      </w:r>
    </w:p>
    <w:p w14:paraId="42ABE604"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45. </w:t>
      </w:r>
      <w:r w:rsidRPr="00842F43">
        <w:rPr>
          <w:rFonts w:ascii="Fira Sans" w:hAnsi="Fira Sans"/>
          <w:sz w:val="20"/>
          <w:szCs w:val="20"/>
        </w:rPr>
        <w:tab/>
        <w:t xml:space="preserve">Skivington K, Matthews L, Simpson SA, Craig P, Baird J, </w:t>
      </w:r>
      <w:proofErr w:type="spellStart"/>
      <w:r w:rsidRPr="00842F43">
        <w:rPr>
          <w:rFonts w:ascii="Fira Sans" w:hAnsi="Fira Sans"/>
          <w:sz w:val="20"/>
          <w:szCs w:val="20"/>
        </w:rPr>
        <w:t>Blazeby</w:t>
      </w:r>
      <w:proofErr w:type="spellEnd"/>
      <w:r w:rsidRPr="00842F43">
        <w:rPr>
          <w:rFonts w:ascii="Fira Sans" w:hAnsi="Fira Sans"/>
          <w:sz w:val="20"/>
          <w:szCs w:val="20"/>
        </w:rPr>
        <w:t xml:space="preserve"> JM, et al. A new framework for developing and evaluating complex interventions: update of Medical Research Council guidance. </w:t>
      </w:r>
      <w:r w:rsidRPr="00842F43">
        <w:rPr>
          <w:rFonts w:ascii="Fira Sans" w:hAnsi="Fira Sans"/>
          <w:i/>
          <w:iCs/>
          <w:sz w:val="20"/>
          <w:szCs w:val="20"/>
        </w:rPr>
        <w:t>BMJ</w:t>
      </w:r>
      <w:r w:rsidRPr="00842F43">
        <w:rPr>
          <w:rFonts w:ascii="Fira Sans" w:hAnsi="Fira Sans"/>
          <w:sz w:val="20"/>
          <w:szCs w:val="20"/>
        </w:rPr>
        <w:t xml:space="preserve">. 2021;374(n2061). </w:t>
      </w:r>
    </w:p>
    <w:p w14:paraId="57A3F23B"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lastRenderedPageBreak/>
        <w:t xml:space="preserve">46. </w:t>
      </w:r>
      <w:r w:rsidRPr="00842F43">
        <w:rPr>
          <w:rFonts w:ascii="Fira Sans" w:hAnsi="Fira Sans"/>
          <w:sz w:val="20"/>
          <w:szCs w:val="20"/>
        </w:rPr>
        <w:tab/>
      </w:r>
      <w:proofErr w:type="spellStart"/>
      <w:r w:rsidRPr="00842F43">
        <w:rPr>
          <w:rFonts w:ascii="Fira Sans" w:hAnsi="Fira Sans"/>
          <w:sz w:val="20"/>
          <w:szCs w:val="20"/>
        </w:rPr>
        <w:t>Karstoft</w:t>
      </w:r>
      <w:proofErr w:type="spellEnd"/>
      <w:r w:rsidRPr="00842F43">
        <w:rPr>
          <w:rFonts w:ascii="Fira Sans" w:hAnsi="Fira Sans"/>
          <w:sz w:val="20"/>
          <w:szCs w:val="20"/>
        </w:rPr>
        <w:t xml:space="preserve"> KI, Andersen SB, </w:t>
      </w:r>
      <w:proofErr w:type="spellStart"/>
      <w:r w:rsidRPr="00842F43">
        <w:rPr>
          <w:rFonts w:ascii="Fira Sans" w:hAnsi="Fira Sans"/>
          <w:sz w:val="20"/>
          <w:szCs w:val="20"/>
        </w:rPr>
        <w:t>Bertelsen</w:t>
      </w:r>
      <w:proofErr w:type="spellEnd"/>
      <w:r w:rsidRPr="00842F43">
        <w:rPr>
          <w:rFonts w:ascii="Fira Sans" w:hAnsi="Fira Sans"/>
          <w:sz w:val="20"/>
          <w:szCs w:val="20"/>
        </w:rPr>
        <w:t xml:space="preserve"> M, Madsen T. Diagnostic accuracy of the Posttraumatic Stress Disorder Checklist–Civilian Version in a representative military sample. </w:t>
      </w:r>
      <w:proofErr w:type="spellStart"/>
      <w:r w:rsidRPr="00842F43">
        <w:rPr>
          <w:rFonts w:ascii="Fira Sans" w:hAnsi="Fira Sans"/>
          <w:i/>
          <w:iCs/>
          <w:sz w:val="20"/>
          <w:szCs w:val="20"/>
        </w:rPr>
        <w:t>Psychol</w:t>
      </w:r>
      <w:proofErr w:type="spellEnd"/>
      <w:r w:rsidRPr="00842F43">
        <w:rPr>
          <w:rFonts w:ascii="Fira Sans" w:hAnsi="Fira Sans"/>
          <w:i/>
          <w:iCs/>
          <w:sz w:val="20"/>
          <w:szCs w:val="20"/>
        </w:rPr>
        <w:t xml:space="preserve"> Assess. </w:t>
      </w:r>
      <w:r w:rsidRPr="00842F43">
        <w:rPr>
          <w:rFonts w:ascii="Fira Sans" w:hAnsi="Fira Sans"/>
          <w:sz w:val="20"/>
          <w:szCs w:val="20"/>
        </w:rPr>
        <w:t xml:space="preserve">2013 Mar;26(1):321. </w:t>
      </w:r>
    </w:p>
    <w:p w14:paraId="4790A5EA"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47. </w:t>
      </w:r>
      <w:r w:rsidRPr="00842F43">
        <w:rPr>
          <w:rFonts w:ascii="Fira Sans" w:hAnsi="Fira Sans"/>
          <w:sz w:val="20"/>
          <w:szCs w:val="20"/>
        </w:rPr>
        <w:tab/>
        <w:t xml:space="preserve">Blevins CA, Weathers FW, Davis MT, Witte TK, Domino JL. The Posttraumatic Stress Disorder Checklist for </w:t>
      </w:r>
      <w:r w:rsidRPr="00842F43">
        <w:rPr>
          <w:rFonts w:ascii="Fira Sans" w:hAnsi="Fira Sans"/>
          <w:i/>
          <w:iCs/>
          <w:sz w:val="20"/>
          <w:szCs w:val="20"/>
        </w:rPr>
        <w:t>DSM-5</w:t>
      </w:r>
      <w:r w:rsidRPr="00842F43">
        <w:rPr>
          <w:rFonts w:ascii="Fira Sans" w:hAnsi="Fira Sans"/>
          <w:sz w:val="20"/>
          <w:szCs w:val="20"/>
        </w:rPr>
        <w:t xml:space="preserve"> (PCL-5): Development and Initial Psychometric Evaluation. </w:t>
      </w:r>
      <w:r w:rsidRPr="00842F43">
        <w:rPr>
          <w:rFonts w:ascii="Fira Sans" w:hAnsi="Fira Sans"/>
          <w:i/>
          <w:iCs/>
          <w:sz w:val="20"/>
          <w:szCs w:val="20"/>
        </w:rPr>
        <w:t xml:space="preserve">J Trauma Stress. </w:t>
      </w:r>
      <w:r w:rsidRPr="00842F43">
        <w:rPr>
          <w:rFonts w:ascii="Fira Sans" w:hAnsi="Fira Sans"/>
          <w:sz w:val="20"/>
          <w:szCs w:val="20"/>
        </w:rPr>
        <w:t xml:space="preserve">2015 Dec;28(6):489–98. </w:t>
      </w:r>
    </w:p>
    <w:p w14:paraId="1339CBBE" w14:textId="3D014A63"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48. </w:t>
      </w:r>
      <w:r w:rsidRPr="00842F43">
        <w:rPr>
          <w:rFonts w:ascii="Fira Sans" w:hAnsi="Fira Sans"/>
          <w:sz w:val="20"/>
          <w:szCs w:val="20"/>
        </w:rPr>
        <w:tab/>
      </w:r>
      <w:r w:rsidR="00BC40CC" w:rsidRPr="00842F43">
        <w:rPr>
          <w:rFonts w:ascii="Fira Sans" w:hAnsi="Fira Sans" w:cs="Segoe UI"/>
          <w:color w:val="212121"/>
          <w:sz w:val="20"/>
          <w:szCs w:val="20"/>
          <w:shd w:val="clear" w:color="auto" w:fill="FFFFFF"/>
        </w:rPr>
        <w:t xml:space="preserve">Lang AJ, </w:t>
      </w:r>
      <w:proofErr w:type="spellStart"/>
      <w:r w:rsidR="00BC40CC" w:rsidRPr="00842F43">
        <w:rPr>
          <w:rFonts w:ascii="Fira Sans" w:hAnsi="Fira Sans" w:cs="Segoe UI"/>
          <w:color w:val="212121"/>
          <w:sz w:val="20"/>
          <w:szCs w:val="20"/>
          <w:shd w:val="clear" w:color="auto" w:fill="FFFFFF"/>
        </w:rPr>
        <w:t>Laffaye</w:t>
      </w:r>
      <w:proofErr w:type="spellEnd"/>
      <w:r w:rsidR="00BC40CC" w:rsidRPr="00842F43">
        <w:rPr>
          <w:rFonts w:ascii="Fira Sans" w:hAnsi="Fira Sans" w:cs="Segoe UI"/>
          <w:color w:val="212121"/>
          <w:sz w:val="20"/>
          <w:szCs w:val="20"/>
          <w:shd w:val="clear" w:color="auto" w:fill="FFFFFF"/>
        </w:rPr>
        <w:t xml:space="preserve"> C, </w:t>
      </w:r>
      <w:proofErr w:type="spellStart"/>
      <w:r w:rsidR="00BC40CC" w:rsidRPr="00842F43">
        <w:rPr>
          <w:rFonts w:ascii="Fira Sans" w:hAnsi="Fira Sans" w:cs="Segoe UI"/>
          <w:color w:val="212121"/>
          <w:sz w:val="20"/>
          <w:szCs w:val="20"/>
          <w:shd w:val="clear" w:color="auto" w:fill="FFFFFF"/>
        </w:rPr>
        <w:t>Satz</w:t>
      </w:r>
      <w:proofErr w:type="spellEnd"/>
      <w:r w:rsidR="00BC40CC" w:rsidRPr="00842F43">
        <w:rPr>
          <w:rFonts w:ascii="Fira Sans" w:hAnsi="Fira Sans" w:cs="Segoe UI"/>
          <w:color w:val="212121"/>
          <w:sz w:val="20"/>
          <w:szCs w:val="20"/>
          <w:shd w:val="clear" w:color="auto" w:fill="FFFFFF"/>
        </w:rPr>
        <w:t xml:space="preserve"> LE, et al. Sensitivity and specificity of the PTSD checklist in detecting PTSD in female veterans in primary care. </w:t>
      </w:r>
      <w:r w:rsidR="00BC40CC" w:rsidRPr="00842F43">
        <w:rPr>
          <w:rFonts w:ascii="Fira Sans" w:hAnsi="Fira Sans" w:cs="Segoe UI"/>
          <w:i/>
          <w:iCs/>
          <w:color w:val="212121"/>
          <w:sz w:val="20"/>
          <w:szCs w:val="20"/>
          <w:shd w:val="clear" w:color="auto" w:fill="FFFFFF"/>
        </w:rPr>
        <w:t>J Trauma Stress.</w:t>
      </w:r>
      <w:r w:rsidR="00BC40CC" w:rsidRPr="00842F43">
        <w:rPr>
          <w:rFonts w:ascii="Fira Sans" w:hAnsi="Fira Sans" w:cs="Segoe UI"/>
          <w:color w:val="212121"/>
          <w:sz w:val="20"/>
          <w:szCs w:val="20"/>
          <w:shd w:val="clear" w:color="auto" w:fill="FFFFFF"/>
        </w:rPr>
        <w:t xml:space="preserve"> 2003 Jun;16(3):257-64. </w:t>
      </w:r>
      <w:proofErr w:type="spellStart"/>
      <w:r w:rsidR="00BC40CC" w:rsidRPr="00842F43">
        <w:rPr>
          <w:rFonts w:ascii="Fira Sans" w:hAnsi="Fira Sans" w:cs="Segoe UI"/>
          <w:color w:val="212121"/>
          <w:sz w:val="20"/>
          <w:szCs w:val="20"/>
          <w:shd w:val="clear" w:color="auto" w:fill="FFFFFF"/>
        </w:rPr>
        <w:t>doi</w:t>
      </w:r>
      <w:proofErr w:type="spellEnd"/>
      <w:r w:rsidR="00BC40CC" w:rsidRPr="00842F43">
        <w:rPr>
          <w:rFonts w:ascii="Fira Sans" w:hAnsi="Fira Sans" w:cs="Segoe UI"/>
          <w:color w:val="212121"/>
          <w:sz w:val="20"/>
          <w:szCs w:val="20"/>
          <w:shd w:val="clear" w:color="auto" w:fill="FFFFFF"/>
        </w:rPr>
        <w:t>: 10.1023/A:1023796007788. PMID: 12816338.</w:t>
      </w:r>
    </w:p>
    <w:p w14:paraId="2B49E14F" w14:textId="3F978C63"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49. </w:t>
      </w:r>
      <w:r w:rsidRPr="00842F43">
        <w:rPr>
          <w:rFonts w:ascii="Fira Sans" w:hAnsi="Fira Sans"/>
          <w:sz w:val="20"/>
          <w:szCs w:val="20"/>
        </w:rPr>
        <w:tab/>
      </w:r>
      <w:proofErr w:type="spellStart"/>
      <w:r w:rsidRPr="00842F43">
        <w:rPr>
          <w:rFonts w:ascii="Fira Sans" w:hAnsi="Fira Sans"/>
          <w:sz w:val="20"/>
          <w:szCs w:val="20"/>
        </w:rPr>
        <w:t>Stefanovics</w:t>
      </w:r>
      <w:proofErr w:type="spellEnd"/>
      <w:r w:rsidRPr="00842F43">
        <w:rPr>
          <w:rFonts w:ascii="Fira Sans" w:hAnsi="Fira Sans"/>
          <w:sz w:val="20"/>
          <w:szCs w:val="20"/>
        </w:rPr>
        <w:t xml:space="preserve"> EA, </w:t>
      </w:r>
      <w:proofErr w:type="spellStart"/>
      <w:r w:rsidRPr="00842F43">
        <w:rPr>
          <w:rFonts w:ascii="Fira Sans" w:hAnsi="Fira Sans"/>
          <w:sz w:val="20"/>
          <w:szCs w:val="20"/>
        </w:rPr>
        <w:t>Rosenheck</w:t>
      </w:r>
      <w:proofErr w:type="spellEnd"/>
      <w:r w:rsidRPr="00842F43">
        <w:rPr>
          <w:rFonts w:ascii="Fira Sans" w:hAnsi="Fira Sans"/>
          <w:sz w:val="20"/>
          <w:szCs w:val="20"/>
        </w:rPr>
        <w:t xml:space="preserve"> RA, Jones KM, </w:t>
      </w:r>
      <w:r w:rsidR="00BC40CC" w:rsidRPr="00842F43">
        <w:rPr>
          <w:rFonts w:ascii="Fira Sans" w:hAnsi="Fira Sans"/>
          <w:sz w:val="20"/>
          <w:szCs w:val="20"/>
        </w:rPr>
        <w:t>et al.</w:t>
      </w:r>
      <w:r w:rsidRPr="00842F43">
        <w:rPr>
          <w:rFonts w:ascii="Fira Sans" w:hAnsi="Fira Sans"/>
          <w:sz w:val="20"/>
          <w:szCs w:val="20"/>
        </w:rPr>
        <w:t xml:space="preserve"> Minimal Clinically Important Differences (MCID) in Assessing Outcomes of Post-Traumatic Stress Disorder. </w:t>
      </w:r>
      <w:proofErr w:type="spellStart"/>
      <w:r w:rsidRPr="00842F43">
        <w:rPr>
          <w:rFonts w:ascii="Fira Sans" w:hAnsi="Fira Sans"/>
          <w:i/>
          <w:iCs/>
          <w:sz w:val="20"/>
          <w:szCs w:val="20"/>
        </w:rPr>
        <w:t>Psychiatr</w:t>
      </w:r>
      <w:proofErr w:type="spellEnd"/>
      <w:r w:rsidRPr="00842F43">
        <w:rPr>
          <w:rFonts w:ascii="Fira Sans" w:hAnsi="Fira Sans"/>
          <w:i/>
          <w:iCs/>
          <w:sz w:val="20"/>
          <w:szCs w:val="20"/>
        </w:rPr>
        <w:t xml:space="preserve"> Q.</w:t>
      </w:r>
      <w:r w:rsidRPr="00842F43">
        <w:rPr>
          <w:rFonts w:ascii="Fira Sans" w:hAnsi="Fira Sans"/>
          <w:sz w:val="20"/>
          <w:szCs w:val="20"/>
        </w:rPr>
        <w:t xml:space="preserve"> 2018 Mar 21;89(1):141–55. </w:t>
      </w:r>
    </w:p>
    <w:p w14:paraId="4C5570C2"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50. </w:t>
      </w:r>
      <w:r w:rsidRPr="00842F43">
        <w:rPr>
          <w:rFonts w:ascii="Fira Sans" w:hAnsi="Fira Sans"/>
          <w:sz w:val="20"/>
          <w:szCs w:val="20"/>
        </w:rPr>
        <w:tab/>
      </w:r>
      <w:proofErr w:type="spellStart"/>
      <w:r w:rsidRPr="00842F43">
        <w:rPr>
          <w:rFonts w:ascii="Fira Sans" w:hAnsi="Fira Sans"/>
          <w:sz w:val="20"/>
          <w:szCs w:val="20"/>
        </w:rPr>
        <w:t>Zigmond</w:t>
      </w:r>
      <w:proofErr w:type="spellEnd"/>
      <w:r w:rsidRPr="00842F43">
        <w:rPr>
          <w:rFonts w:ascii="Fira Sans" w:hAnsi="Fira Sans"/>
          <w:sz w:val="20"/>
          <w:szCs w:val="20"/>
        </w:rPr>
        <w:t xml:space="preserve"> AS, Snaith RP. The Hospital Anxiety and Depression Scale. </w:t>
      </w:r>
      <w:r w:rsidRPr="00842F43">
        <w:rPr>
          <w:rFonts w:ascii="Fira Sans" w:hAnsi="Fira Sans"/>
          <w:i/>
          <w:iCs/>
          <w:sz w:val="20"/>
          <w:szCs w:val="20"/>
        </w:rPr>
        <w:t xml:space="preserve">Acta </w:t>
      </w:r>
      <w:proofErr w:type="spellStart"/>
      <w:r w:rsidRPr="00842F43">
        <w:rPr>
          <w:rFonts w:ascii="Fira Sans" w:hAnsi="Fira Sans"/>
          <w:i/>
          <w:iCs/>
          <w:sz w:val="20"/>
          <w:szCs w:val="20"/>
        </w:rPr>
        <w:t>Psychiatr</w:t>
      </w:r>
      <w:proofErr w:type="spellEnd"/>
      <w:r w:rsidRPr="00842F43">
        <w:rPr>
          <w:rFonts w:ascii="Fira Sans" w:hAnsi="Fira Sans"/>
          <w:i/>
          <w:iCs/>
          <w:sz w:val="20"/>
          <w:szCs w:val="20"/>
        </w:rPr>
        <w:t xml:space="preserve"> Scand.</w:t>
      </w:r>
      <w:r w:rsidRPr="00842F43">
        <w:rPr>
          <w:rFonts w:ascii="Fira Sans" w:hAnsi="Fira Sans"/>
          <w:sz w:val="20"/>
          <w:szCs w:val="20"/>
        </w:rPr>
        <w:t xml:space="preserve"> 1983;67. </w:t>
      </w:r>
    </w:p>
    <w:p w14:paraId="04D3B33F" w14:textId="04B4DD44"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51. </w:t>
      </w:r>
      <w:r w:rsidRPr="00842F43">
        <w:rPr>
          <w:rFonts w:ascii="Fira Sans" w:hAnsi="Fira Sans"/>
          <w:sz w:val="20"/>
          <w:szCs w:val="20"/>
        </w:rPr>
        <w:tab/>
      </w:r>
      <w:proofErr w:type="spellStart"/>
      <w:r w:rsidR="00B02E73" w:rsidRPr="00842F43">
        <w:rPr>
          <w:rFonts w:ascii="Fira Sans" w:hAnsi="Fira Sans" w:cs="Open Sans"/>
          <w:color w:val="494949"/>
          <w:sz w:val="20"/>
          <w:szCs w:val="20"/>
          <w:shd w:val="clear" w:color="auto" w:fill="FFFFFF"/>
        </w:rPr>
        <w:t>Rabiee</w:t>
      </w:r>
      <w:proofErr w:type="spellEnd"/>
      <w:r w:rsidR="00B02E73" w:rsidRPr="00842F43">
        <w:rPr>
          <w:rFonts w:ascii="Fira Sans" w:hAnsi="Fira Sans" w:cs="Open Sans"/>
          <w:color w:val="494949"/>
          <w:sz w:val="20"/>
          <w:szCs w:val="20"/>
          <w:shd w:val="clear" w:color="auto" w:fill="FFFFFF"/>
        </w:rPr>
        <w:t xml:space="preserve"> A, </w:t>
      </w:r>
      <w:proofErr w:type="spellStart"/>
      <w:r w:rsidR="00B02E73" w:rsidRPr="00842F43">
        <w:rPr>
          <w:rFonts w:ascii="Fira Sans" w:hAnsi="Fira Sans" w:cs="Open Sans"/>
          <w:color w:val="494949"/>
          <w:sz w:val="20"/>
          <w:szCs w:val="20"/>
          <w:shd w:val="clear" w:color="auto" w:fill="FFFFFF"/>
        </w:rPr>
        <w:t>Nikayin</w:t>
      </w:r>
      <w:proofErr w:type="spellEnd"/>
      <w:r w:rsidR="00B02E73" w:rsidRPr="00842F43">
        <w:rPr>
          <w:rFonts w:ascii="Fira Sans" w:hAnsi="Fira Sans" w:cs="Open Sans"/>
          <w:color w:val="494949"/>
          <w:sz w:val="20"/>
          <w:szCs w:val="20"/>
          <w:shd w:val="clear" w:color="auto" w:fill="FFFFFF"/>
        </w:rPr>
        <w:t xml:space="preserve"> S, Hashem MD, et al. Depressive Symptoms After Critical Illness: A Systematic Review and Meta-Analysis. </w:t>
      </w:r>
      <w:r w:rsidR="00B02E73" w:rsidRPr="00842F43">
        <w:rPr>
          <w:rFonts w:ascii="Fira Sans" w:hAnsi="Fira Sans" w:cs="Open Sans"/>
          <w:i/>
          <w:iCs/>
          <w:color w:val="494949"/>
          <w:sz w:val="20"/>
          <w:szCs w:val="20"/>
          <w:shd w:val="clear" w:color="auto" w:fill="FFFFFF"/>
        </w:rPr>
        <w:t>Critical Care Medicine.</w:t>
      </w:r>
      <w:r w:rsidR="00B02E73" w:rsidRPr="00842F43">
        <w:rPr>
          <w:rFonts w:ascii="Fira Sans" w:hAnsi="Fira Sans" w:cs="Open Sans"/>
          <w:color w:val="494949"/>
          <w:sz w:val="20"/>
          <w:szCs w:val="20"/>
          <w:shd w:val="clear" w:color="auto" w:fill="FFFFFF"/>
        </w:rPr>
        <w:t xml:space="preserve"> 2016 Sep;44(9):1744-1753.</w:t>
      </w:r>
      <w:r w:rsidR="00B02E73" w:rsidRPr="00842F43">
        <w:rPr>
          <w:rStyle w:val="apple-converted-space"/>
          <w:rFonts w:ascii="Fira Sans" w:hAnsi="Fira Sans" w:cs="Open Sans"/>
          <w:color w:val="494949"/>
          <w:sz w:val="20"/>
          <w:szCs w:val="20"/>
          <w:shd w:val="clear" w:color="auto" w:fill="FFFFFF"/>
        </w:rPr>
        <w:t> </w:t>
      </w:r>
    </w:p>
    <w:p w14:paraId="48903986" w14:textId="268564B4"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52. </w:t>
      </w:r>
      <w:r w:rsidRPr="00842F43">
        <w:rPr>
          <w:rFonts w:ascii="Fira Sans" w:hAnsi="Fira Sans"/>
          <w:sz w:val="20"/>
          <w:szCs w:val="20"/>
        </w:rPr>
        <w:tab/>
      </w:r>
      <w:proofErr w:type="spellStart"/>
      <w:r w:rsidR="00B02E73" w:rsidRPr="00842F43">
        <w:rPr>
          <w:rFonts w:ascii="Fira Sans" w:hAnsi="Fira Sans" w:cs="Segoe UI"/>
          <w:color w:val="212121"/>
          <w:sz w:val="20"/>
          <w:szCs w:val="20"/>
          <w:shd w:val="clear" w:color="auto" w:fill="FFFFFF"/>
        </w:rPr>
        <w:t>Bjelland</w:t>
      </w:r>
      <w:proofErr w:type="spellEnd"/>
      <w:r w:rsidR="00B02E73" w:rsidRPr="00842F43">
        <w:rPr>
          <w:rFonts w:ascii="Fira Sans" w:hAnsi="Fira Sans" w:cs="Segoe UI"/>
          <w:color w:val="212121"/>
          <w:sz w:val="20"/>
          <w:szCs w:val="20"/>
          <w:shd w:val="clear" w:color="auto" w:fill="FFFFFF"/>
        </w:rPr>
        <w:t xml:space="preserve"> I, Dahl AA, </w:t>
      </w:r>
      <w:proofErr w:type="spellStart"/>
      <w:r w:rsidR="00B02E73" w:rsidRPr="00842F43">
        <w:rPr>
          <w:rFonts w:ascii="Fira Sans" w:hAnsi="Fira Sans" w:cs="Segoe UI"/>
          <w:color w:val="212121"/>
          <w:sz w:val="20"/>
          <w:szCs w:val="20"/>
          <w:shd w:val="clear" w:color="auto" w:fill="FFFFFF"/>
        </w:rPr>
        <w:t>Haug</w:t>
      </w:r>
      <w:proofErr w:type="spellEnd"/>
      <w:r w:rsidR="00B02E73" w:rsidRPr="00842F43">
        <w:rPr>
          <w:rFonts w:ascii="Fira Sans" w:hAnsi="Fira Sans" w:cs="Segoe UI"/>
          <w:color w:val="212121"/>
          <w:sz w:val="20"/>
          <w:szCs w:val="20"/>
          <w:shd w:val="clear" w:color="auto" w:fill="FFFFFF"/>
        </w:rPr>
        <w:t xml:space="preserve"> TT, </w:t>
      </w:r>
      <w:proofErr w:type="spellStart"/>
      <w:r w:rsidR="00B02E73" w:rsidRPr="00842F43">
        <w:rPr>
          <w:rFonts w:ascii="Fira Sans" w:hAnsi="Fira Sans" w:cs="Segoe UI"/>
          <w:color w:val="212121"/>
          <w:sz w:val="20"/>
          <w:szCs w:val="20"/>
          <w:shd w:val="clear" w:color="auto" w:fill="FFFFFF"/>
        </w:rPr>
        <w:t>Neckelmann</w:t>
      </w:r>
      <w:proofErr w:type="spellEnd"/>
      <w:r w:rsidR="00B02E73" w:rsidRPr="00842F43">
        <w:rPr>
          <w:rFonts w:ascii="Fira Sans" w:hAnsi="Fira Sans" w:cs="Segoe UI"/>
          <w:color w:val="212121"/>
          <w:sz w:val="20"/>
          <w:szCs w:val="20"/>
          <w:shd w:val="clear" w:color="auto" w:fill="FFFFFF"/>
        </w:rPr>
        <w:t xml:space="preserve"> D. The validity of the Hospital Anxiety and Depression Scale. An updated literature review. </w:t>
      </w:r>
      <w:r w:rsidR="00B02E73" w:rsidRPr="00842F43">
        <w:rPr>
          <w:rFonts w:ascii="Fira Sans" w:hAnsi="Fira Sans" w:cs="Segoe UI"/>
          <w:i/>
          <w:iCs/>
          <w:color w:val="212121"/>
          <w:sz w:val="20"/>
          <w:szCs w:val="20"/>
          <w:shd w:val="clear" w:color="auto" w:fill="FFFFFF"/>
        </w:rPr>
        <w:t xml:space="preserve">J </w:t>
      </w:r>
      <w:proofErr w:type="spellStart"/>
      <w:r w:rsidR="00B02E73" w:rsidRPr="00842F43">
        <w:rPr>
          <w:rFonts w:ascii="Fira Sans" w:hAnsi="Fira Sans" w:cs="Segoe UI"/>
          <w:i/>
          <w:iCs/>
          <w:color w:val="212121"/>
          <w:sz w:val="20"/>
          <w:szCs w:val="20"/>
          <w:shd w:val="clear" w:color="auto" w:fill="FFFFFF"/>
        </w:rPr>
        <w:t>Psychosom</w:t>
      </w:r>
      <w:proofErr w:type="spellEnd"/>
      <w:r w:rsidR="00B02E73" w:rsidRPr="00842F43">
        <w:rPr>
          <w:rFonts w:ascii="Fira Sans" w:hAnsi="Fira Sans" w:cs="Segoe UI"/>
          <w:i/>
          <w:iCs/>
          <w:color w:val="212121"/>
          <w:sz w:val="20"/>
          <w:szCs w:val="20"/>
          <w:shd w:val="clear" w:color="auto" w:fill="FFFFFF"/>
        </w:rPr>
        <w:t xml:space="preserve"> Res.</w:t>
      </w:r>
      <w:r w:rsidR="00B02E73" w:rsidRPr="00842F43">
        <w:rPr>
          <w:rFonts w:ascii="Fira Sans" w:hAnsi="Fira Sans" w:cs="Segoe UI"/>
          <w:color w:val="212121"/>
          <w:sz w:val="20"/>
          <w:szCs w:val="20"/>
          <w:shd w:val="clear" w:color="auto" w:fill="FFFFFF"/>
        </w:rPr>
        <w:t xml:space="preserve"> 2002 Feb;52(2):69-77. </w:t>
      </w:r>
      <w:proofErr w:type="spellStart"/>
      <w:r w:rsidR="00B02E73" w:rsidRPr="00842F43">
        <w:rPr>
          <w:rFonts w:ascii="Fira Sans" w:hAnsi="Fira Sans" w:cs="Segoe UI"/>
          <w:color w:val="212121"/>
          <w:sz w:val="20"/>
          <w:szCs w:val="20"/>
          <w:shd w:val="clear" w:color="auto" w:fill="FFFFFF"/>
        </w:rPr>
        <w:t>doi</w:t>
      </w:r>
      <w:proofErr w:type="spellEnd"/>
      <w:r w:rsidR="00B02E73" w:rsidRPr="00842F43">
        <w:rPr>
          <w:rFonts w:ascii="Fira Sans" w:hAnsi="Fira Sans" w:cs="Segoe UI"/>
          <w:color w:val="212121"/>
          <w:sz w:val="20"/>
          <w:szCs w:val="20"/>
          <w:shd w:val="clear" w:color="auto" w:fill="FFFFFF"/>
        </w:rPr>
        <w:t>: 10.1016/s0022-3999(01)00296-3</w:t>
      </w:r>
    </w:p>
    <w:p w14:paraId="5FFBA803"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53. </w:t>
      </w:r>
      <w:r w:rsidRPr="00842F43">
        <w:rPr>
          <w:rFonts w:ascii="Fira Sans" w:hAnsi="Fira Sans"/>
          <w:sz w:val="20"/>
          <w:szCs w:val="20"/>
        </w:rPr>
        <w:tab/>
        <w:t xml:space="preserve">Lemay KR, Tulloch HE, Pipe AL, Reed JL. Establishing the Minimal Clinically Important Difference for the Hospital Anxiety and Depression Scale in Patients With Cardiovascular Disease. </w:t>
      </w:r>
      <w:r w:rsidRPr="00842F43">
        <w:rPr>
          <w:rFonts w:ascii="Fira Sans" w:hAnsi="Fira Sans"/>
          <w:i/>
          <w:iCs/>
          <w:sz w:val="20"/>
          <w:szCs w:val="20"/>
        </w:rPr>
        <w:t xml:space="preserve">J </w:t>
      </w:r>
      <w:proofErr w:type="spellStart"/>
      <w:r w:rsidRPr="00842F43">
        <w:rPr>
          <w:rFonts w:ascii="Fira Sans" w:hAnsi="Fira Sans"/>
          <w:i/>
          <w:iCs/>
          <w:sz w:val="20"/>
          <w:szCs w:val="20"/>
        </w:rPr>
        <w:t>Cardiopulm</w:t>
      </w:r>
      <w:proofErr w:type="spellEnd"/>
      <w:r w:rsidRPr="00842F43">
        <w:rPr>
          <w:rFonts w:ascii="Fira Sans" w:hAnsi="Fira Sans"/>
          <w:i/>
          <w:iCs/>
          <w:sz w:val="20"/>
          <w:szCs w:val="20"/>
        </w:rPr>
        <w:t xml:space="preserve"> </w:t>
      </w:r>
      <w:proofErr w:type="spellStart"/>
      <w:r w:rsidRPr="00842F43">
        <w:rPr>
          <w:rFonts w:ascii="Fira Sans" w:hAnsi="Fira Sans"/>
          <w:i/>
          <w:iCs/>
          <w:sz w:val="20"/>
          <w:szCs w:val="20"/>
        </w:rPr>
        <w:t>Rehabil</w:t>
      </w:r>
      <w:proofErr w:type="spellEnd"/>
      <w:r w:rsidRPr="00842F43">
        <w:rPr>
          <w:rFonts w:ascii="Fira Sans" w:hAnsi="Fira Sans"/>
          <w:i/>
          <w:iCs/>
          <w:sz w:val="20"/>
          <w:szCs w:val="20"/>
        </w:rPr>
        <w:t xml:space="preserve"> </w:t>
      </w:r>
      <w:r w:rsidRPr="00842F43">
        <w:rPr>
          <w:rFonts w:ascii="Fira Sans" w:hAnsi="Fira Sans"/>
          <w:sz w:val="20"/>
          <w:szCs w:val="20"/>
        </w:rPr>
        <w:t xml:space="preserve">Prev. 2019;39(6):E6–11. </w:t>
      </w:r>
    </w:p>
    <w:p w14:paraId="54696F3A" w14:textId="5FE8E7D8"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54. </w:t>
      </w:r>
      <w:r w:rsidRPr="00842F43">
        <w:rPr>
          <w:rFonts w:ascii="Fira Sans" w:hAnsi="Fira Sans"/>
          <w:sz w:val="20"/>
          <w:szCs w:val="20"/>
        </w:rPr>
        <w:tab/>
      </w:r>
      <w:r w:rsidR="00B02E73" w:rsidRPr="00842F43">
        <w:rPr>
          <w:rFonts w:ascii="Fira Sans" w:hAnsi="Fira Sans" w:cs="Segoe UI"/>
          <w:color w:val="212121"/>
          <w:sz w:val="20"/>
          <w:szCs w:val="20"/>
          <w:shd w:val="clear" w:color="auto" w:fill="FFFFFF"/>
        </w:rPr>
        <w:t xml:space="preserve">Wynne SC, Patel S, Barker RE, et al. Anxiety and depression in bronchiectasis: Response to pulmonary rehabilitation and minimal clinically important difference of the Hospital Anxiety and Depression Scale. </w:t>
      </w:r>
      <w:r w:rsidR="00B02E73" w:rsidRPr="00842F43">
        <w:rPr>
          <w:rFonts w:ascii="Fira Sans" w:hAnsi="Fira Sans" w:cs="Segoe UI"/>
          <w:i/>
          <w:iCs/>
          <w:color w:val="212121"/>
          <w:sz w:val="20"/>
          <w:szCs w:val="20"/>
          <w:shd w:val="clear" w:color="auto" w:fill="FFFFFF"/>
        </w:rPr>
        <w:t>Chron Respir Dis.</w:t>
      </w:r>
      <w:r w:rsidR="00B02E73" w:rsidRPr="00842F43">
        <w:rPr>
          <w:rFonts w:ascii="Fira Sans" w:hAnsi="Fira Sans" w:cs="Segoe UI"/>
          <w:color w:val="212121"/>
          <w:sz w:val="20"/>
          <w:szCs w:val="20"/>
          <w:shd w:val="clear" w:color="auto" w:fill="FFFFFF"/>
        </w:rPr>
        <w:t xml:space="preserve"> 2020 Jan-Dec;17:1479973120933292.</w:t>
      </w:r>
      <w:r w:rsidR="00B02E73" w:rsidRPr="00842F43">
        <w:rPr>
          <w:rStyle w:val="apple-converted-space"/>
          <w:rFonts w:ascii="Fira Sans" w:hAnsi="Fira Sans" w:cs="Segoe UI"/>
          <w:color w:val="212121"/>
          <w:sz w:val="20"/>
          <w:szCs w:val="20"/>
          <w:shd w:val="clear" w:color="auto" w:fill="FFFFFF"/>
        </w:rPr>
        <w:t> </w:t>
      </w:r>
    </w:p>
    <w:p w14:paraId="6BDCF2BD" w14:textId="504ADC9E"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55. </w:t>
      </w:r>
      <w:r w:rsidRPr="00842F43">
        <w:rPr>
          <w:rFonts w:ascii="Fira Sans" w:hAnsi="Fira Sans"/>
          <w:sz w:val="20"/>
          <w:szCs w:val="20"/>
        </w:rPr>
        <w:tab/>
      </w:r>
      <w:proofErr w:type="spellStart"/>
      <w:r w:rsidR="00B02E73" w:rsidRPr="00842F43">
        <w:rPr>
          <w:rFonts w:ascii="Fira Sans" w:hAnsi="Fira Sans" w:cs="Segoe UI"/>
          <w:color w:val="212121"/>
          <w:sz w:val="20"/>
          <w:szCs w:val="20"/>
          <w:shd w:val="clear" w:color="auto" w:fill="FFFFFF"/>
        </w:rPr>
        <w:t>Herdman</w:t>
      </w:r>
      <w:proofErr w:type="spellEnd"/>
      <w:r w:rsidR="00B02E73" w:rsidRPr="00842F43">
        <w:rPr>
          <w:rFonts w:ascii="Fira Sans" w:hAnsi="Fira Sans" w:cs="Segoe UI"/>
          <w:color w:val="212121"/>
          <w:sz w:val="20"/>
          <w:szCs w:val="20"/>
          <w:shd w:val="clear" w:color="auto" w:fill="FFFFFF"/>
        </w:rPr>
        <w:t xml:space="preserve"> M, </w:t>
      </w:r>
      <w:proofErr w:type="spellStart"/>
      <w:r w:rsidR="00B02E73" w:rsidRPr="00842F43">
        <w:rPr>
          <w:rFonts w:ascii="Fira Sans" w:hAnsi="Fira Sans" w:cs="Segoe UI"/>
          <w:color w:val="212121"/>
          <w:sz w:val="20"/>
          <w:szCs w:val="20"/>
          <w:shd w:val="clear" w:color="auto" w:fill="FFFFFF"/>
        </w:rPr>
        <w:t>Gudex</w:t>
      </w:r>
      <w:proofErr w:type="spellEnd"/>
      <w:r w:rsidR="00B02E73" w:rsidRPr="00842F43">
        <w:rPr>
          <w:rFonts w:ascii="Fira Sans" w:hAnsi="Fira Sans" w:cs="Segoe UI"/>
          <w:color w:val="212121"/>
          <w:sz w:val="20"/>
          <w:szCs w:val="20"/>
          <w:shd w:val="clear" w:color="auto" w:fill="FFFFFF"/>
        </w:rPr>
        <w:t xml:space="preserve"> C, Lloyd A, Janssen M, Kind P, Parkin D, </w:t>
      </w:r>
      <w:proofErr w:type="spellStart"/>
      <w:r w:rsidR="00B02E73" w:rsidRPr="00842F43">
        <w:rPr>
          <w:rFonts w:ascii="Fira Sans" w:hAnsi="Fira Sans" w:cs="Segoe UI"/>
          <w:color w:val="212121"/>
          <w:sz w:val="20"/>
          <w:szCs w:val="20"/>
          <w:shd w:val="clear" w:color="auto" w:fill="FFFFFF"/>
        </w:rPr>
        <w:t>Bonsel</w:t>
      </w:r>
      <w:proofErr w:type="spellEnd"/>
      <w:r w:rsidR="00B02E73" w:rsidRPr="00842F43">
        <w:rPr>
          <w:rFonts w:ascii="Fira Sans" w:hAnsi="Fira Sans" w:cs="Segoe UI"/>
          <w:color w:val="212121"/>
          <w:sz w:val="20"/>
          <w:szCs w:val="20"/>
          <w:shd w:val="clear" w:color="auto" w:fill="FFFFFF"/>
        </w:rPr>
        <w:t xml:space="preserve"> G, </w:t>
      </w:r>
      <w:proofErr w:type="spellStart"/>
      <w:r w:rsidR="00B02E73" w:rsidRPr="00842F43">
        <w:rPr>
          <w:rFonts w:ascii="Fira Sans" w:hAnsi="Fira Sans" w:cs="Segoe UI"/>
          <w:color w:val="212121"/>
          <w:sz w:val="20"/>
          <w:szCs w:val="20"/>
          <w:shd w:val="clear" w:color="auto" w:fill="FFFFFF"/>
        </w:rPr>
        <w:t>Badia</w:t>
      </w:r>
      <w:proofErr w:type="spellEnd"/>
      <w:r w:rsidR="00B02E73" w:rsidRPr="00842F43">
        <w:rPr>
          <w:rFonts w:ascii="Fira Sans" w:hAnsi="Fira Sans" w:cs="Segoe UI"/>
          <w:color w:val="212121"/>
          <w:sz w:val="20"/>
          <w:szCs w:val="20"/>
          <w:shd w:val="clear" w:color="auto" w:fill="FFFFFF"/>
        </w:rPr>
        <w:t xml:space="preserve"> X. Development and preliminary testing of the new five-level version of EQ-5D (EQ-5D-5L). </w:t>
      </w:r>
      <w:r w:rsidR="00B02E73" w:rsidRPr="00842F43">
        <w:rPr>
          <w:rFonts w:ascii="Fira Sans" w:hAnsi="Fira Sans" w:cs="Segoe UI"/>
          <w:i/>
          <w:iCs/>
          <w:color w:val="212121"/>
          <w:sz w:val="20"/>
          <w:szCs w:val="20"/>
          <w:shd w:val="clear" w:color="auto" w:fill="FFFFFF"/>
        </w:rPr>
        <w:t>Qual Life Res.</w:t>
      </w:r>
      <w:r w:rsidR="00B02E73" w:rsidRPr="00842F43">
        <w:rPr>
          <w:rFonts w:ascii="Fira Sans" w:hAnsi="Fira Sans" w:cs="Segoe UI"/>
          <w:color w:val="212121"/>
          <w:sz w:val="20"/>
          <w:szCs w:val="20"/>
          <w:shd w:val="clear" w:color="auto" w:fill="FFFFFF"/>
        </w:rPr>
        <w:t xml:space="preserve"> 2011 Dec;20(10):1727-36. </w:t>
      </w:r>
      <w:proofErr w:type="spellStart"/>
      <w:r w:rsidR="00B02E73" w:rsidRPr="00842F43">
        <w:rPr>
          <w:rFonts w:ascii="Fira Sans" w:hAnsi="Fira Sans" w:cs="Segoe UI"/>
          <w:color w:val="212121"/>
          <w:sz w:val="20"/>
          <w:szCs w:val="20"/>
          <w:shd w:val="clear" w:color="auto" w:fill="FFFFFF"/>
        </w:rPr>
        <w:t>doi</w:t>
      </w:r>
      <w:proofErr w:type="spellEnd"/>
      <w:r w:rsidR="00B02E73" w:rsidRPr="00842F43">
        <w:rPr>
          <w:rFonts w:ascii="Fira Sans" w:hAnsi="Fira Sans" w:cs="Segoe UI"/>
          <w:color w:val="212121"/>
          <w:sz w:val="20"/>
          <w:szCs w:val="20"/>
          <w:shd w:val="clear" w:color="auto" w:fill="FFFFFF"/>
        </w:rPr>
        <w:t>: 10.1007/s11136-011-9903-x.</w:t>
      </w:r>
      <w:r w:rsidRPr="00842F43">
        <w:rPr>
          <w:rFonts w:ascii="Fira Sans" w:hAnsi="Fira Sans"/>
          <w:sz w:val="20"/>
          <w:szCs w:val="20"/>
        </w:rPr>
        <w:t xml:space="preserve"> </w:t>
      </w:r>
    </w:p>
    <w:p w14:paraId="1659215E" w14:textId="16741DBC"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56. </w:t>
      </w:r>
      <w:r w:rsidRPr="00842F43">
        <w:rPr>
          <w:rFonts w:ascii="Fira Sans" w:hAnsi="Fira Sans"/>
          <w:sz w:val="20"/>
          <w:szCs w:val="20"/>
        </w:rPr>
        <w:tab/>
        <w:t xml:space="preserve">Smith BW, Dalen J, Wiggins K, </w:t>
      </w:r>
      <w:r w:rsidR="00A06A6E" w:rsidRPr="00842F43">
        <w:rPr>
          <w:rFonts w:ascii="Fira Sans" w:hAnsi="Fira Sans"/>
          <w:sz w:val="20"/>
          <w:szCs w:val="20"/>
        </w:rPr>
        <w:t>et al.</w:t>
      </w:r>
      <w:r w:rsidRPr="00842F43">
        <w:rPr>
          <w:rFonts w:ascii="Fira Sans" w:hAnsi="Fira Sans"/>
          <w:sz w:val="20"/>
          <w:szCs w:val="20"/>
        </w:rPr>
        <w:t xml:space="preserve"> The brief resilience scale: Assessing the ability to bounce back. </w:t>
      </w:r>
      <w:r w:rsidRPr="00842F43">
        <w:rPr>
          <w:rFonts w:ascii="Fira Sans" w:hAnsi="Fira Sans"/>
          <w:i/>
          <w:iCs/>
          <w:sz w:val="20"/>
          <w:szCs w:val="20"/>
        </w:rPr>
        <w:t xml:space="preserve">Int J </w:t>
      </w:r>
      <w:proofErr w:type="spellStart"/>
      <w:r w:rsidRPr="00842F43">
        <w:rPr>
          <w:rFonts w:ascii="Fira Sans" w:hAnsi="Fira Sans"/>
          <w:i/>
          <w:iCs/>
          <w:sz w:val="20"/>
          <w:szCs w:val="20"/>
        </w:rPr>
        <w:t>Behav</w:t>
      </w:r>
      <w:proofErr w:type="spellEnd"/>
      <w:r w:rsidRPr="00842F43">
        <w:rPr>
          <w:rFonts w:ascii="Fira Sans" w:hAnsi="Fira Sans"/>
          <w:i/>
          <w:iCs/>
          <w:sz w:val="20"/>
          <w:szCs w:val="20"/>
        </w:rPr>
        <w:t xml:space="preserve"> Med</w:t>
      </w:r>
      <w:r w:rsidRPr="00842F43">
        <w:rPr>
          <w:rFonts w:ascii="Fira Sans" w:hAnsi="Fira Sans"/>
          <w:sz w:val="20"/>
          <w:szCs w:val="20"/>
        </w:rPr>
        <w:t xml:space="preserve">. 2008 Sep;15(3):194–200. </w:t>
      </w:r>
    </w:p>
    <w:p w14:paraId="7461CB6B"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57. </w:t>
      </w:r>
      <w:r w:rsidRPr="00842F43">
        <w:rPr>
          <w:rFonts w:ascii="Fira Sans" w:hAnsi="Fira Sans"/>
          <w:sz w:val="20"/>
          <w:szCs w:val="20"/>
        </w:rPr>
        <w:tab/>
        <w:t xml:space="preserve">Horn SR, Charney DS, Feder A. Understanding resilience: New approaches for preventing and treating PTSD. </w:t>
      </w:r>
      <w:r w:rsidRPr="00842F43">
        <w:rPr>
          <w:rFonts w:ascii="Fira Sans" w:hAnsi="Fira Sans"/>
          <w:i/>
          <w:iCs/>
          <w:sz w:val="20"/>
          <w:szCs w:val="20"/>
        </w:rPr>
        <w:t>Exp Neurol.</w:t>
      </w:r>
      <w:r w:rsidRPr="00842F43">
        <w:rPr>
          <w:rFonts w:ascii="Fira Sans" w:hAnsi="Fira Sans"/>
          <w:sz w:val="20"/>
          <w:szCs w:val="20"/>
        </w:rPr>
        <w:t xml:space="preserve"> 2016 Oct 1;284:119–32. </w:t>
      </w:r>
    </w:p>
    <w:p w14:paraId="66C5B185"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58. </w:t>
      </w:r>
      <w:r w:rsidRPr="00842F43">
        <w:rPr>
          <w:rFonts w:ascii="Fira Sans" w:hAnsi="Fira Sans"/>
          <w:sz w:val="20"/>
          <w:szCs w:val="20"/>
        </w:rPr>
        <w:tab/>
        <w:t xml:space="preserve">Wilson M-MG, Thomas DR, Rubenstein LZ, Chibnall JT, Anderson S, </w:t>
      </w:r>
      <w:proofErr w:type="spellStart"/>
      <w:r w:rsidRPr="00842F43">
        <w:rPr>
          <w:rFonts w:ascii="Fira Sans" w:hAnsi="Fira Sans"/>
          <w:sz w:val="20"/>
          <w:szCs w:val="20"/>
        </w:rPr>
        <w:t>Baxi</w:t>
      </w:r>
      <w:proofErr w:type="spellEnd"/>
      <w:r w:rsidRPr="00842F43">
        <w:rPr>
          <w:rFonts w:ascii="Fira Sans" w:hAnsi="Fira Sans"/>
          <w:sz w:val="20"/>
          <w:szCs w:val="20"/>
        </w:rPr>
        <w:t xml:space="preserve"> A, et al. Appetite assessment: simple appetite questionnaire predicts weight loss in community-dwelling adults and nursing home residents. </w:t>
      </w:r>
      <w:r w:rsidRPr="00842F43">
        <w:rPr>
          <w:rFonts w:ascii="Fira Sans" w:hAnsi="Fira Sans"/>
          <w:i/>
          <w:iCs/>
          <w:sz w:val="20"/>
          <w:szCs w:val="20"/>
        </w:rPr>
        <w:t xml:space="preserve">Am J Clin </w:t>
      </w:r>
      <w:proofErr w:type="spellStart"/>
      <w:r w:rsidRPr="00842F43">
        <w:rPr>
          <w:rFonts w:ascii="Fira Sans" w:hAnsi="Fira Sans"/>
          <w:i/>
          <w:iCs/>
          <w:sz w:val="20"/>
          <w:szCs w:val="20"/>
        </w:rPr>
        <w:t>Nutr</w:t>
      </w:r>
      <w:proofErr w:type="spellEnd"/>
      <w:r w:rsidRPr="00842F43">
        <w:rPr>
          <w:rFonts w:ascii="Fira Sans" w:hAnsi="Fira Sans"/>
          <w:i/>
          <w:iCs/>
          <w:sz w:val="20"/>
          <w:szCs w:val="20"/>
        </w:rPr>
        <w:t>.</w:t>
      </w:r>
      <w:r w:rsidRPr="00842F43">
        <w:rPr>
          <w:rFonts w:ascii="Fira Sans" w:hAnsi="Fira Sans"/>
          <w:sz w:val="20"/>
          <w:szCs w:val="20"/>
        </w:rPr>
        <w:t xml:space="preserve"> 2005 Nov 1;82(5):1074–81. </w:t>
      </w:r>
    </w:p>
    <w:p w14:paraId="493819A7" w14:textId="7A0C11DB"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59. </w:t>
      </w:r>
      <w:r w:rsidRPr="00842F43">
        <w:rPr>
          <w:rFonts w:ascii="Fira Sans" w:hAnsi="Fira Sans"/>
          <w:sz w:val="20"/>
          <w:szCs w:val="20"/>
        </w:rPr>
        <w:tab/>
      </w:r>
      <w:proofErr w:type="spellStart"/>
      <w:r w:rsidRPr="00842F43">
        <w:rPr>
          <w:rFonts w:ascii="Fira Sans" w:hAnsi="Fira Sans"/>
          <w:sz w:val="20"/>
          <w:szCs w:val="20"/>
        </w:rPr>
        <w:t>LeardMann</w:t>
      </w:r>
      <w:proofErr w:type="spellEnd"/>
      <w:r w:rsidRPr="00842F43">
        <w:rPr>
          <w:rFonts w:ascii="Fira Sans" w:hAnsi="Fira Sans"/>
          <w:sz w:val="20"/>
          <w:szCs w:val="20"/>
        </w:rPr>
        <w:t xml:space="preserve"> CA, Woodall KA, Littman AJ, et al. Post-traumatic stress disorder predicts future weight change in the Millennium Cohort Study. </w:t>
      </w:r>
      <w:r w:rsidRPr="00842F43">
        <w:rPr>
          <w:rFonts w:ascii="Fira Sans" w:hAnsi="Fira Sans"/>
          <w:i/>
          <w:iCs/>
          <w:sz w:val="20"/>
          <w:szCs w:val="20"/>
        </w:rPr>
        <w:t>Obesity</w:t>
      </w:r>
      <w:r w:rsidRPr="00842F43">
        <w:rPr>
          <w:rFonts w:ascii="Fira Sans" w:hAnsi="Fira Sans"/>
          <w:sz w:val="20"/>
          <w:szCs w:val="20"/>
        </w:rPr>
        <w:t xml:space="preserve"> (Silver Spring). 2015 Apr;23(4):886–92. </w:t>
      </w:r>
    </w:p>
    <w:p w14:paraId="083CE973"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lastRenderedPageBreak/>
        <w:t xml:space="preserve">60. </w:t>
      </w:r>
      <w:r w:rsidRPr="00842F43">
        <w:rPr>
          <w:rFonts w:ascii="Fira Sans" w:hAnsi="Fira Sans"/>
          <w:sz w:val="20"/>
          <w:szCs w:val="20"/>
        </w:rPr>
        <w:tab/>
        <w:t xml:space="preserve">Hertzog MA. Considerations in determining sample size for pilot studies. </w:t>
      </w:r>
      <w:r w:rsidRPr="00842F43">
        <w:rPr>
          <w:rFonts w:ascii="Fira Sans" w:hAnsi="Fira Sans"/>
          <w:i/>
          <w:iCs/>
          <w:sz w:val="20"/>
          <w:szCs w:val="20"/>
        </w:rPr>
        <w:t xml:space="preserve">Res </w:t>
      </w:r>
      <w:proofErr w:type="spellStart"/>
      <w:r w:rsidRPr="00842F43">
        <w:rPr>
          <w:rFonts w:ascii="Fira Sans" w:hAnsi="Fira Sans"/>
          <w:i/>
          <w:iCs/>
          <w:sz w:val="20"/>
          <w:szCs w:val="20"/>
        </w:rPr>
        <w:t>Nurs</w:t>
      </w:r>
      <w:proofErr w:type="spellEnd"/>
      <w:r w:rsidRPr="00842F43">
        <w:rPr>
          <w:rFonts w:ascii="Fira Sans" w:hAnsi="Fira Sans"/>
          <w:i/>
          <w:iCs/>
          <w:sz w:val="20"/>
          <w:szCs w:val="20"/>
        </w:rPr>
        <w:t xml:space="preserve"> Health.</w:t>
      </w:r>
      <w:r w:rsidRPr="00842F43">
        <w:rPr>
          <w:rFonts w:ascii="Fira Sans" w:hAnsi="Fira Sans"/>
          <w:sz w:val="20"/>
          <w:szCs w:val="20"/>
        </w:rPr>
        <w:t xml:space="preserve"> 2008 Apr 1;31(2):180–91. </w:t>
      </w:r>
    </w:p>
    <w:p w14:paraId="23D482B9"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61. </w:t>
      </w:r>
      <w:r w:rsidRPr="00842F43">
        <w:rPr>
          <w:rFonts w:ascii="Fira Sans" w:hAnsi="Fira Sans"/>
          <w:sz w:val="20"/>
          <w:szCs w:val="20"/>
        </w:rPr>
        <w:tab/>
      </w:r>
      <w:proofErr w:type="spellStart"/>
      <w:r w:rsidRPr="00842F43">
        <w:rPr>
          <w:rFonts w:ascii="Fira Sans" w:hAnsi="Fira Sans"/>
          <w:sz w:val="20"/>
          <w:szCs w:val="20"/>
        </w:rPr>
        <w:t>Sosnowski</w:t>
      </w:r>
      <w:proofErr w:type="spellEnd"/>
      <w:r w:rsidRPr="00842F43">
        <w:rPr>
          <w:rFonts w:ascii="Fira Sans" w:hAnsi="Fira Sans"/>
          <w:sz w:val="20"/>
          <w:szCs w:val="20"/>
        </w:rPr>
        <w:t xml:space="preserve"> K, Mitchell ML, White H, Morrison L, Sutton J, </w:t>
      </w:r>
      <w:proofErr w:type="spellStart"/>
      <w:r w:rsidRPr="00842F43">
        <w:rPr>
          <w:rFonts w:ascii="Fira Sans" w:hAnsi="Fira Sans"/>
          <w:sz w:val="20"/>
          <w:szCs w:val="20"/>
        </w:rPr>
        <w:t>Sharratt</w:t>
      </w:r>
      <w:proofErr w:type="spellEnd"/>
      <w:r w:rsidRPr="00842F43">
        <w:rPr>
          <w:rFonts w:ascii="Fira Sans" w:hAnsi="Fira Sans"/>
          <w:sz w:val="20"/>
          <w:szCs w:val="20"/>
        </w:rPr>
        <w:t xml:space="preserve"> J, et al. A feasibility study of a randomised controlled trial to examine the impact of the ABCDE bundle on quality of life in ICU survivors. </w:t>
      </w:r>
      <w:r w:rsidRPr="00842F43">
        <w:rPr>
          <w:rFonts w:ascii="Fira Sans" w:hAnsi="Fira Sans"/>
          <w:i/>
          <w:iCs/>
          <w:sz w:val="20"/>
          <w:szCs w:val="20"/>
        </w:rPr>
        <w:t xml:space="preserve">Pilot Feasibility </w:t>
      </w:r>
      <w:proofErr w:type="spellStart"/>
      <w:r w:rsidRPr="00842F43">
        <w:rPr>
          <w:rFonts w:ascii="Fira Sans" w:hAnsi="Fira Sans"/>
          <w:i/>
          <w:iCs/>
          <w:sz w:val="20"/>
          <w:szCs w:val="20"/>
        </w:rPr>
        <w:t>Stud</w:t>
      </w:r>
      <w:proofErr w:type="spellEnd"/>
      <w:r w:rsidRPr="00842F43">
        <w:rPr>
          <w:rFonts w:ascii="Fira Sans" w:hAnsi="Fira Sans"/>
          <w:i/>
          <w:iCs/>
          <w:sz w:val="20"/>
          <w:szCs w:val="20"/>
        </w:rPr>
        <w:t>.</w:t>
      </w:r>
      <w:r w:rsidRPr="00842F43">
        <w:rPr>
          <w:rFonts w:ascii="Fira Sans" w:hAnsi="Fira Sans"/>
          <w:sz w:val="20"/>
          <w:szCs w:val="20"/>
        </w:rPr>
        <w:t xml:space="preserve"> 2018 Dec 11;4(1):32. </w:t>
      </w:r>
    </w:p>
    <w:p w14:paraId="2AA7B18D"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62. </w:t>
      </w:r>
      <w:r w:rsidRPr="00842F43">
        <w:rPr>
          <w:rFonts w:ascii="Fira Sans" w:hAnsi="Fira Sans"/>
          <w:sz w:val="20"/>
          <w:szCs w:val="20"/>
        </w:rPr>
        <w:tab/>
      </w:r>
      <w:proofErr w:type="spellStart"/>
      <w:r w:rsidRPr="00842F43">
        <w:rPr>
          <w:rFonts w:ascii="Fira Sans" w:hAnsi="Fira Sans"/>
          <w:sz w:val="20"/>
          <w:szCs w:val="20"/>
        </w:rPr>
        <w:t>Mohd</w:t>
      </w:r>
      <w:proofErr w:type="spellEnd"/>
      <w:r w:rsidRPr="00842F43">
        <w:rPr>
          <w:rFonts w:ascii="Fira Sans" w:hAnsi="Fira Sans"/>
          <w:sz w:val="20"/>
          <w:szCs w:val="20"/>
        </w:rPr>
        <w:t xml:space="preserve"> Razali N, Bee Wah Y. Power comparisons of Shapiro-Wilk, Kolmogorov-Smirnov, Lilliefors and Anderson-Darling tests. Vol. 2, </w:t>
      </w:r>
      <w:r w:rsidRPr="00842F43">
        <w:rPr>
          <w:rFonts w:ascii="Fira Sans" w:hAnsi="Fira Sans"/>
          <w:i/>
          <w:iCs/>
          <w:sz w:val="20"/>
          <w:szCs w:val="20"/>
        </w:rPr>
        <w:t xml:space="preserve">Journal of Statistical </w:t>
      </w:r>
      <w:proofErr w:type="spellStart"/>
      <w:r w:rsidRPr="00842F43">
        <w:rPr>
          <w:rFonts w:ascii="Fira Sans" w:hAnsi="Fira Sans"/>
          <w:i/>
          <w:iCs/>
          <w:sz w:val="20"/>
          <w:szCs w:val="20"/>
        </w:rPr>
        <w:t>Modeling</w:t>
      </w:r>
      <w:proofErr w:type="spellEnd"/>
      <w:r w:rsidRPr="00842F43">
        <w:rPr>
          <w:rFonts w:ascii="Fira Sans" w:hAnsi="Fira Sans"/>
          <w:i/>
          <w:iCs/>
          <w:sz w:val="20"/>
          <w:szCs w:val="20"/>
        </w:rPr>
        <w:t xml:space="preserve"> and Analytics</w:t>
      </w:r>
      <w:r w:rsidRPr="00842F43">
        <w:rPr>
          <w:rFonts w:ascii="Fira Sans" w:hAnsi="Fira Sans"/>
          <w:sz w:val="20"/>
          <w:szCs w:val="20"/>
        </w:rPr>
        <w:t xml:space="preserve">. 2011. 21–33 p. </w:t>
      </w:r>
    </w:p>
    <w:p w14:paraId="7E53267E"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63. </w:t>
      </w:r>
      <w:r w:rsidRPr="00842F43">
        <w:rPr>
          <w:rFonts w:ascii="Fira Sans" w:hAnsi="Fira Sans"/>
          <w:sz w:val="20"/>
          <w:szCs w:val="20"/>
        </w:rPr>
        <w:tab/>
        <w:t xml:space="preserve">Walters SJ, </w:t>
      </w:r>
      <w:proofErr w:type="spellStart"/>
      <w:r w:rsidRPr="00842F43">
        <w:rPr>
          <w:rFonts w:ascii="Fira Sans" w:hAnsi="Fira Sans"/>
          <w:sz w:val="20"/>
          <w:szCs w:val="20"/>
        </w:rPr>
        <w:t>Bonacho</w:t>
      </w:r>
      <w:proofErr w:type="spellEnd"/>
      <w:r w:rsidRPr="00842F43">
        <w:rPr>
          <w:rFonts w:ascii="Fira Sans" w:hAnsi="Fira Sans"/>
          <w:sz w:val="20"/>
          <w:szCs w:val="20"/>
        </w:rPr>
        <w:t xml:space="preserve"> Dos Anjos Henriques-</w:t>
      </w:r>
      <w:proofErr w:type="spellStart"/>
      <w:r w:rsidRPr="00842F43">
        <w:rPr>
          <w:rFonts w:ascii="Fira Sans" w:hAnsi="Fira Sans"/>
          <w:sz w:val="20"/>
          <w:szCs w:val="20"/>
        </w:rPr>
        <w:t>Cadby</w:t>
      </w:r>
      <w:proofErr w:type="spellEnd"/>
      <w:r w:rsidRPr="00842F43">
        <w:rPr>
          <w:rFonts w:ascii="Fira Sans" w:hAnsi="Fira Sans"/>
          <w:sz w:val="20"/>
          <w:szCs w:val="20"/>
        </w:rPr>
        <w:t xml:space="preserve"> I, </w:t>
      </w:r>
      <w:proofErr w:type="spellStart"/>
      <w:r w:rsidRPr="00842F43">
        <w:rPr>
          <w:rFonts w:ascii="Fira Sans" w:hAnsi="Fira Sans"/>
          <w:sz w:val="20"/>
          <w:szCs w:val="20"/>
        </w:rPr>
        <w:t>Bortolami</w:t>
      </w:r>
      <w:proofErr w:type="spellEnd"/>
      <w:r w:rsidRPr="00842F43">
        <w:rPr>
          <w:rFonts w:ascii="Fira Sans" w:hAnsi="Fira Sans"/>
          <w:sz w:val="20"/>
          <w:szCs w:val="20"/>
        </w:rPr>
        <w:t xml:space="preserve"> O, Flight L, Hind D, Jacques RM, et al. Recruitment and retention of participants in randomised controlled trials: a review of trials funded and published by the United Kingdom Health Technology Assessment Programme. </w:t>
      </w:r>
      <w:r w:rsidRPr="00842F43">
        <w:rPr>
          <w:rFonts w:ascii="Fira Sans" w:hAnsi="Fira Sans"/>
          <w:i/>
          <w:iCs/>
          <w:sz w:val="20"/>
          <w:szCs w:val="20"/>
        </w:rPr>
        <w:t>BMJ Open</w:t>
      </w:r>
      <w:r w:rsidRPr="00842F43">
        <w:rPr>
          <w:rFonts w:ascii="Fira Sans" w:hAnsi="Fira Sans"/>
          <w:sz w:val="20"/>
          <w:szCs w:val="20"/>
        </w:rPr>
        <w:t xml:space="preserve">. 2017 Mar 20;7(3):e015276. </w:t>
      </w:r>
    </w:p>
    <w:p w14:paraId="56F8996C"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64. </w:t>
      </w:r>
      <w:r w:rsidRPr="00842F43">
        <w:rPr>
          <w:rFonts w:ascii="Fira Sans" w:hAnsi="Fira Sans"/>
          <w:sz w:val="20"/>
          <w:szCs w:val="20"/>
        </w:rPr>
        <w:tab/>
      </w:r>
      <w:proofErr w:type="spellStart"/>
      <w:r w:rsidRPr="00842F43">
        <w:rPr>
          <w:rFonts w:ascii="Fira Sans" w:hAnsi="Fira Sans"/>
          <w:sz w:val="20"/>
          <w:szCs w:val="20"/>
        </w:rPr>
        <w:t>Ramsetty</w:t>
      </w:r>
      <w:proofErr w:type="spellEnd"/>
      <w:r w:rsidRPr="00842F43">
        <w:rPr>
          <w:rFonts w:ascii="Fira Sans" w:hAnsi="Fira Sans"/>
          <w:sz w:val="20"/>
          <w:szCs w:val="20"/>
        </w:rPr>
        <w:t xml:space="preserve"> A, Adams C. Impact of the digital divide in the age of COVID-19. </w:t>
      </w:r>
      <w:r w:rsidRPr="00842F43">
        <w:rPr>
          <w:rFonts w:ascii="Fira Sans" w:hAnsi="Fira Sans"/>
          <w:i/>
          <w:iCs/>
          <w:sz w:val="20"/>
          <w:szCs w:val="20"/>
        </w:rPr>
        <w:t>J Am Med Informatics Assoc.</w:t>
      </w:r>
      <w:r w:rsidRPr="00842F43">
        <w:rPr>
          <w:rFonts w:ascii="Fira Sans" w:hAnsi="Fira Sans"/>
          <w:sz w:val="20"/>
          <w:szCs w:val="20"/>
        </w:rPr>
        <w:t xml:space="preserve"> 2020 Jul 1;27(7):1147–8. </w:t>
      </w:r>
    </w:p>
    <w:p w14:paraId="1A22A292" w14:textId="75A784BF"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65. </w:t>
      </w:r>
      <w:r w:rsidRPr="00842F43">
        <w:rPr>
          <w:rFonts w:ascii="Fira Sans" w:hAnsi="Fira Sans"/>
          <w:sz w:val="20"/>
          <w:szCs w:val="20"/>
        </w:rPr>
        <w:tab/>
        <w:t xml:space="preserve">Stone E, </w:t>
      </w:r>
      <w:proofErr w:type="spellStart"/>
      <w:r w:rsidRPr="00842F43">
        <w:rPr>
          <w:rFonts w:ascii="Fira Sans" w:hAnsi="Fira Sans"/>
          <w:sz w:val="20"/>
          <w:szCs w:val="20"/>
        </w:rPr>
        <w:t>Nuckley</w:t>
      </w:r>
      <w:proofErr w:type="spellEnd"/>
      <w:r w:rsidRPr="00842F43">
        <w:rPr>
          <w:rFonts w:ascii="Fira Sans" w:hAnsi="Fira Sans"/>
          <w:sz w:val="20"/>
          <w:szCs w:val="20"/>
        </w:rPr>
        <w:t xml:space="preserve"> P, Shapiro R. Digital Inclusion in Health and Care: Lessons learned from the NHS Widening Digital Participation Programme (2017-2020). London, UK; 2020</w:t>
      </w:r>
      <w:r w:rsidR="00142197" w:rsidRPr="00842F43">
        <w:rPr>
          <w:rFonts w:ascii="Fira Sans" w:hAnsi="Fira Sans"/>
          <w:sz w:val="20"/>
          <w:szCs w:val="20"/>
        </w:rPr>
        <w:t xml:space="preserve"> </w:t>
      </w:r>
      <w:hyperlink r:id="rId9" w:history="1">
        <w:r w:rsidR="00142197" w:rsidRPr="00842F43">
          <w:rPr>
            <w:rStyle w:val="Hyperlink"/>
            <w:rFonts w:ascii="Fira Sans" w:hAnsi="Fira Sans"/>
            <w:sz w:val="20"/>
            <w:szCs w:val="20"/>
          </w:rPr>
          <w:t>https://www.goodthingsfoundation.org/insights/digital-participation-lessons-learned/</w:t>
        </w:r>
      </w:hyperlink>
      <w:r w:rsidRPr="00842F43">
        <w:rPr>
          <w:rFonts w:ascii="Fira Sans" w:hAnsi="Fira Sans"/>
          <w:sz w:val="20"/>
          <w:szCs w:val="20"/>
        </w:rPr>
        <w:t>.</w:t>
      </w:r>
      <w:r w:rsidR="00142197" w:rsidRPr="00842F43">
        <w:rPr>
          <w:rFonts w:ascii="Fira Sans" w:hAnsi="Fira Sans"/>
          <w:sz w:val="20"/>
          <w:szCs w:val="20"/>
        </w:rPr>
        <w:t xml:space="preserve"> Accessed 17</w:t>
      </w:r>
      <w:r w:rsidR="00142197" w:rsidRPr="00842F43">
        <w:rPr>
          <w:rFonts w:ascii="Fira Sans" w:hAnsi="Fira Sans"/>
          <w:sz w:val="20"/>
          <w:szCs w:val="20"/>
          <w:vertAlign w:val="superscript"/>
        </w:rPr>
        <w:t>th</w:t>
      </w:r>
      <w:r w:rsidR="00142197" w:rsidRPr="00842F43">
        <w:rPr>
          <w:rFonts w:ascii="Fira Sans" w:hAnsi="Fira Sans"/>
          <w:sz w:val="20"/>
          <w:szCs w:val="20"/>
        </w:rPr>
        <w:t xml:space="preserve"> July 2022</w:t>
      </w:r>
      <w:r w:rsidRPr="00842F43">
        <w:rPr>
          <w:rFonts w:ascii="Fira Sans" w:hAnsi="Fira Sans"/>
          <w:sz w:val="20"/>
          <w:szCs w:val="20"/>
        </w:rPr>
        <w:t xml:space="preserve"> </w:t>
      </w:r>
    </w:p>
    <w:p w14:paraId="3DC388D1" w14:textId="369C80B5"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66. </w:t>
      </w:r>
      <w:r w:rsidRPr="00842F43">
        <w:rPr>
          <w:rFonts w:ascii="Fira Sans" w:hAnsi="Fira Sans"/>
          <w:sz w:val="20"/>
          <w:szCs w:val="20"/>
        </w:rPr>
        <w:tab/>
        <w:t xml:space="preserve">Witham MD, Anderson E, Carroll C, et al. Developing a roadmap to improve trial delivery for under-served groups: results from a UK multi-stakeholder process. </w:t>
      </w:r>
      <w:r w:rsidRPr="00842F43">
        <w:rPr>
          <w:rFonts w:ascii="Fira Sans" w:hAnsi="Fira Sans"/>
          <w:i/>
          <w:iCs/>
          <w:sz w:val="20"/>
          <w:szCs w:val="20"/>
        </w:rPr>
        <w:t>Trials</w:t>
      </w:r>
      <w:r w:rsidRPr="00842F43">
        <w:rPr>
          <w:rFonts w:ascii="Fira Sans" w:hAnsi="Fira Sans"/>
          <w:sz w:val="20"/>
          <w:szCs w:val="20"/>
        </w:rPr>
        <w:t xml:space="preserve">. 2020 Dec 1;21(1):694. </w:t>
      </w:r>
    </w:p>
    <w:p w14:paraId="1164823C" w14:textId="35DF3CAC"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67. </w:t>
      </w:r>
      <w:r w:rsidRPr="00842F43">
        <w:rPr>
          <w:rFonts w:ascii="Fira Sans" w:hAnsi="Fira Sans"/>
          <w:sz w:val="20"/>
          <w:szCs w:val="20"/>
        </w:rPr>
        <w:tab/>
      </w:r>
      <w:r w:rsidR="001F0C3E" w:rsidRPr="00842F43">
        <w:rPr>
          <w:rFonts w:ascii="Fira Sans" w:hAnsi="Fira Sans"/>
          <w:sz w:val="20"/>
          <w:szCs w:val="20"/>
        </w:rPr>
        <w:t>Forbes D, Bisson JI, Monson CM, et al. Effective treatments for PTSD</w:t>
      </w:r>
      <w:r w:rsidR="001F0C3E" w:rsidRPr="00842F43">
        <w:rPr>
          <w:rFonts w:ascii="Arial" w:hAnsi="Arial" w:cs="Arial"/>
          <w:sz w:val="20"/>
          <w:szCs w:val="20"/>
        </w:rPr>
        <w:t> </w:t>
      </w:r>
      <w:r w:rsidR="001F0C3E" w:rsidRPr="00842F43">
        <w:rPr>
          <w:rFonts w:ascii="Fira Sans" w:hAnsi="Fira Sans"/>
          <w:sz w:val="20"/>
          <w:szCs w:val="20"/>
        </w:rPr>
        <w:t>: practice guidelines from the international society for traumatic stress studies. 2020. 3</w:t>
      </w:r>
      <w:r w:rsidR="001F0C3E" w:rsidRPr="00842F43">
        <w:rPr>
          <w:rFonts w:ascii="Fira Sans" w:hAnsi="Fira Sans"/>
          <w:sz w:val="20"/>
          <w:szCs w:val="20"/>
          <w:vertAlign w:val="superscript"/>
        </w:rPr>
        <w:t>rd</w:t>
      </w:r>
      <w:r w:rsidR="001F0C3E" w:rsidRPr="00842F43">
        <w:rPr>
          <w:rFonts w:ascii="Fira Sans" w:hAnsi="Fira Sans"/>
          <w:sz w:val="20"/>
          <w:szCs w:val="20"/>
        </w:rPr>
        <w:t xml:space="preserve"> Ed. The Guildford </w:t>
      </w:r>
      <w:proofErr w:type="spellStart"/>
      <w:r w:rsidR="001F0C3E" w:rsidRPr="00842F43">
        <w:rPr>
          <w:rFonts w:ascii="Fira Sans" w:hAnsi="Fira Sans"/>
          <w:sz w:val="20"/>
          <w:szCs w:val="20"/>
        </w:rPr>
        <w:t>Press:UK</w:t>
      </w:r>
      <w:proofErr w:type="spellEnd"/>
    </w:p>
    <w:p w14:paraId="57E4F623" w14:textId="5621D4F9"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68. </w:t>
      </w:r>
      <w:r w:rsidRPr="00842F43">
        <w:rPr>
          <w:rFonts w:ascii="Fira Sans" w:hAnsi="Fira Sans"/>
          <w:sz w:val="20"/>
          <w:szCs w:val="20"/>
        </w:rPr>
        <w:tab/>
      </w:r>
      <w:r w:rsidR="001F0C3E" w:rsidRPr="00842F43">
        <w:rPr>
          <w:rFonts w:ascii="Fira Sans" w:hAnsi="Fira Sans"/>
          <w:sz w:val="20"/>
          <w:szCs w:val="20"/>
        </w:rPr>
        <w:t xml:space="preserve">National Institute for Health and Care Excellence. Rehabilitation after critical illness in adults. Quality standard [QS158] NICE 2017 07 Sep. [Accessed Jan 2022] Available from: </w:t>
      </w:r>
      <w:hyperlink r:id="rId10" w:history="1">
        <w:r w:rsidR="001F0C3E" w:rsidRPr="00842F43">
          <w:rPr>
            <w:rStyle w:val="Hyperlink"/>
            <w:rFonts w:ascii="Fira Sans" w:hAnsi="Fira Sans"/>
            <w:sz w:val="20"/>
            <w:szCs w:val="20"/>
          </w:rPr>
          <w:t>https://www.nice.org.uk/guidance/QS158</w:t>
        </w:r>
      </w:hyperlink>
    </w:p>
    <w:p w14:paraId="05C37B5A"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69. </w:t>
      </w:r>
      <w:r w:rsidRPr="00842F43">
        <w:rPr>
          <w:rFonts w:ascii="Fira Sans" w:hAnsi="Fira Sans"/>
          <w:sz w:val="20"/>
          <w:szCs w:val="20"/>
        </w:rPr>
        <w:tab/>
        <w:t xml:space="preserve">Maxfield L, </w:t>
      </w:r>
      <w:proofErr w:type="spellStart"/>
      <w:r w:rsidRPr="00842F43">
        <w:rPr>
          <w:rFonts w:ascii="Fira Sans" w:hAnsi="Fira Sans"/>
          <w:sz w:val="20"/>
          <w:szCs w:val="20"/>
        </w:rPr>
        <w:t>Hyer</w:t>
      </w:r>
      <w:proofErr w:type="spellEnd"/>
      <w:r w:rsidRPr="00842F43">
        <w:rPr>
          <w:rFonts w:ascii="Fira Sans" w:hAnsi="Fira Sans"/>
          <w:sz w:val="20"/>
          <w:szCs w:val="20"/>
        </w:rPr>
        <w:t xml:space="preserve"> L. The relationship between efficacy and methodology in studies investigating EMDR treatment of PTSD. </w:t>
      </w:r>
      <w:r w:rsidRPr="00842F43">
        <w:rPr>
          <w:rFonts w:ascii="Fira Sans" w:hAnsi="Fira Sans"/>
          <w:i/>
          <w:iCs/>
          <w:sz w:val="20"/>
          <w:szCs w:val="20"/>
        </w:rPr>
        <w:t>J Clin Psychol.</w:t>
      </w:r>
      <w:r w:rsidRPr="00842F43">
        <w:rPr>
          <w:rFonts w:ascii="Fira Sans" w:hAnsi="Fira Sans"/>
          <w:sz w:val="20"/>
          <w:szCs w:val="20"/>
        </w:rPr>
        <w:t xml:space="preserve"> 2002 Jan;58(1):23–41. </w:t>
      </w:r>
    </w:p>
    <w:p w14:paraId="375FEEFB" w14:textId="66752CB8"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70. </w:t>
      </w:r>
      <w:r w:rsidRPr="00842F43">
        <w:rPr>
          <w:rFonts w:ascii="Fira Sans" w:hAnsi="Fira Sans"/>
          <w:sz w:val="20"/>
          <w:szCs w:val="20"/>
        </w:rPr>
        <w:tab/>
      </w:r>
      <w:r w:rsidR="00F06C94" w:rsidRPr="00842F43">
        <w:rPr>
          <w:rFonts w:ascii="Fira Sans" w:hAnsi="Fira Sans"/>
          <w:sz w:val="20"/>
          <w:szCs w:val="20"/>
        </w:rPr>
        <w:t xml:space="preserve">Korn D, Maxfield L, </w:t>
      </w:r>
      <w:proofErr w:type="spellStart"/>
      <w:r w:rsidR="00F06C94" w:rsidRPr="00842F43">
        <w:rPr>
          <w:rFonts w:ascii="Fira Sans" w:hAnsi="Fira Sans"/>
          <w:sz w:val="20"/>
          <w:szCs w:val="20"/>
        </w:rPr>
        <w:t>Stickgold</w:t>
      </w:r>
      <w:proofErr w:type="spellEnd"/>
      <w:r w:rsidR="00F06C94" w:rsidRPr="00842F43">
        <w:rPr>
          <w:rFonts w:ascii="Fira Sans" w:hAnsi="Fira Sans"/>
          <w:sz w:val="20"/>
          <w:szCs w:val="20"/>
        </w:rPr>
        <w:t xml:space="preserve"> R, Smyth NJ. EMDR Fidelity Rating Scale | EMDR Foundation [Internet]. 2018 [cited 2021 Jun 10]. Available from: https://emdrfoundation.org/research-grants/emdr-fidelity-rating-scale/</w:t>
      </w:r>
    </w:p>
    <w:p w14:paraId="765FF15E" w14:textId="48EC91E0"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71. </w:t>
      </w:r>
      <w:r w:rsidRPr="00842F43">
        <w:rPr>
          <w:rFonts w:ascii="Fira Sans" w:hAnsi="Fira Sans"/>
          <w:sz w:val="20"/>
          <w:szCs w:val="20"/>
        </w:rPr>
        <w:tab/>
      </w:r>
      <w:r w:rsidR="00F06C94" w:rsidRPr="00842F43">
        <w:rPr>
          <w:rFonts w:ascii="Fira Sans" w:hAnsi="Fira Sans"/>
          <w:sz w:val="20"/>
          <w:szCs w:val="20"/>
        </w:rPr>
        <w:t xml:space="preserve">Shapiro E, </w:t>
      </w:r>
      <w:proofErr w:type="spellStart"/>
      <w:r w:rsidR="00F06C94" w:rsidRPr="00842F43">
        <w:rPr>
          <w:rFonts w:ascii="Fira Sans" w:hAnsi="Fira Sans"/>
          <w:sz w:val="20"/>
          <w:szCs w:val="20"/>
        </w:rPr>
        <w:t>Laub</w:t>
      </w:r>
      <w:proofErr w:type="spellEnd"/>
      <w:r w:rsidR="00F06C94" w:rsidRPr="00842F43">
        <w:rPr>
          <w:rFonts w:ascii="Fira Sans" w:hAnsi="Fira Sans"/>
          <w:sz w:val="20"/>
          <w:szCs w:val="20"/>
        </w:rPr>
        <w:t xml:space="preserve"> B. EMDR recent traumatic episode protocol (EMDR R-TEP) fidelity scale. EMDR Foundation. [Accessed Jan 2022] Available from:  </w:t>
      </w:r>
      <w:hyperlink r:id="rId11" w:history="1">
        <w:r w:rsidR="00F06C94" w:rsidRPr="00842F43">
          <w:rPr>
            <w:rStyle w:val="Hyperlink"/>
            <w:rFonts w:ascii="Fira Sans" w:hAnsi="Fira Sans"/>
            <w:sz w:val="20"/>
            <w:szCs w:val="20"/>
          </w:rPr>
          <w:t>https://emdrfoundation.org/toolkit/rtep-fidelity-checklist.pdf</w:t>
        </w:r>
      </w:hyperlink>
    </w:p>
    <w:p w14:paraId="59BB8959" w14:textId="77777777"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 xml:space="preserve">72. </w:t>
      </w:r>
      <w:r w:rsidRPr="00842F43">
        <w:rPr>
          <w:rFonts w:ascii="Fira Sans" w:hAnsi="Fira Sans"/>
          <w:sz w:val="20"/>
          <w:szCs w:val="20"/>
        </w:rPr>
        <w:tab/>
      </w:r>
      <w:proofErr w:type="spellStart"/>
      <w:r w:rsidRPr="00842F43">
        <w:rPr>
          <w:rFonts w:ascii="Fira Sans" w:hAnsi="Fira Sans"/>
          <w:sz w:val="20"/>
          <w:szCs w:val="20"/>
        </w:rPr>
        <w:t>Haerizadeh</w:t>
      </w:r>
      <w:proofErr w:type="spellEnd"/>
      <w:r w:rsidRPr="00842F43">
        <w:rPr>
          <w:rFonts w:ascii="Fira Sans" w:hAnsi="Fira Sans"/>
          <w:sz w:val="20"/>
          <w:szCs w:val="20"/>
        </w:rPr>
        <w:t xml:space="preserve"> M, Sumner JA, Birk JL, Gonzalez C, Heyman-Kantor R, </w:t>
      </w:r>
      <w:proofErr w:type="spellStart"/>
      <w:r w:rsidRPr="00842F43">
        <w:rPr>
          <w:rFonts w:ascii="Fira Sans" w:hAnsi="Fira Sans"/>
          <w:sz w:val="20"/>
          <w:szCs w:val="20"/>
        </w:rPr>
        <w:t>Falzon</w:t>
      </w:r>
      <w:proofErr w:type="spellEnd"/>
      <w:r w:rsidRPr="00842F43">
        <w:rPr>
          <w:rFonts w:ascii="Fira Sans" w:hAnsi="Fira Sans"/>
          <w:sz w:val="20"/>
          <w:szCs w:val="20"/>
        </w:rPr>
        <w:t xml:space="preserve"> L, et al. Interventions for posttraumatic stress disorder symptoms induced by medical events: A systematic review. </w:t>
      </w:r>
      <w:r w:rsidRPr="00842F43">
        <w:rPr>
          <w:rFonts w:ascii="Fira Sans" w:hAnsi="Fira Sans"/>
          <w:i/>
          <w:iCs/>
          <w:sz w:val="20"/>
          <w:szCs w:val="20"/>
        </w:rPr>
        <w:t xml:space="preserve">J </w:t>
      </w:r>
      <w:proofErr w:type="spellStart"/>
      <w:r w:rsidRPr="00842F43">
        <w:rPr>
          <w:rFonts w:ascii="Fira Sans" w:hAnsi="Fira Sans"/>
          <w:i/>
          <w:iCs/>
          <w:sz w:val="20"/>
          <w:szCs w:val="20"/>
        </w:rPr>
        <w:t>Psychosom</w:t>
      </w:r>
      <w:proofErr w:type="spellEnd"/>
      <w:r w:rsidRPr="00842F43">
        <w:rPr>
          <w:rFonts w:ascii="Fira Sans" w:hAnsi="Fira Sans"/>
          <w:i/>
          <w:iCs/>
          <w:sz w:val="20"/>
          <w:szCs w:val="20"/>
        </w:rPr>
        <w:t xml:space="preserve"> Res.</w:t>
      </w:r>
      <w:r w:rsidRPr="00842F43">
        <w:rPr>
          <w:rFonts w:ascii="Fira Sans" w:hAnsi="Fira Sans"/>
          <w:sz w:val="20"/>
          <w:szCs w:val="20"/>
        </w:rPr>
        <w:t xml:space="preserve"> 2020;129:109908. </w:t>
      </w:r>
    </w:p>
    <w:p w14:paraId="7A75B879" w14:textId="2DE94E82" w:rsidR="00487F7C" w:rsidRPr="00842F43" w:rsidRDefault="00487F7C"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lastRenderedPageBreak/>
        <w:t xml:space="preserve">73. </w:t>
      </w:r>
      <w:r w:rsidRPr="00842F43">
        <w:rPr>
          <w:rFonts w:ascii="Fira Sans" w:hAnsi="Fira Sans"/>
          <w:sz w:val="20"/>
          <w:szCs w:val="20"/>
        </w:rPr>
        <w:tab/>
        <w:t xml:space="preserve"> Hodgson CL, Higgins AM, Bailey MJ, Mather AM, Beach L, </w:t>
      </w:r>
      <w:proofErr w:type="spellStart"/>
      <w:r w:rsidRPr="00842F43">
        <w:rPr>
          <w:rFonts w:ascii="Fira Sans" w:hAnsi="Fira Sans"/>
          <w:sz w:val="20"/>
          <w:szCs w:val="20"/>
        </w:rPr>
        <w:t>Bellomo</w:t>
      </w:r>
      <w:proofErr w:type="spellEnd"/>
      <w:r w:rsidRPr="00842F43">
        <w:rPr>
          <w:rFonts w:ascii="Fira Sans" w:hAnsi="Fira Sans"/>
          <w:sz w:val="20"/>
          <w:szCs w:val="20"/>
        </w:rPr>
        <w:t xml:space="preserve"> R, et al. Comparison of 6-Month Outcomes of Survivors of COVID-19 versus Non–COVID-19 Critical Illness. </w:t>
      </w:r>
      <w:r w:rsidRPr="00842F43">
        <w:rPr>
          <w:rFonts w:ascii="Fira Sans" w:hAnsi="Fira Sans"/>
          <w:i/>
          <w:iCs/>
          <w:sz w:val="20"/>
          <w:szCs w:val="20"/>
        </w:rPr>
        <w:t>Am J Respir Crit Care Med.</w:t>
      </w:r>
      <w:r w:rsidRPr="00842F43">
        <w:rPr>
          <w:rFonts w:ascii="Fira Sans" w:hAnsi="Fira Sans"/>
          <w:sz w:val="20"/>
          <w:szCs w:val="20"/>
        </w:rPr>
        <w:t xml:space="preserve"> 2022 May 15;205(10):1159–68. </w:t>
      </w:r>
    </w:p>
    <w:p w14:paraId="5FE2AB6B" w14:textId="26CDB68F" w:rsidR="00487F7C" w:rsidRPr="00842F43" w:rsidRDefault="00487F7C" w:rsidP="00842F43">
      <w:pPr>
        <w:widowControl w:val="0"/>
        <w:autoSpaceDE w:val="0"/>
        <w:autoSpaceDN w:val="0"/>
        <w:adjustRightInd w:val="0"/>
        <w:spacing w:line="360" w:lineRule="auto"/>
        <w:rPr>
          <w:rFonts w:ascii="Fira Sans" w:hAnsi="Fira Sans"/>
          <w:sz w:val="20"/>
          <w:szCs w:val="20"/>
        </w:rPr>
      </w:pPr>
    </w:p>
    <w:p w14:paraId="3CE15D52" w14:textId="2CC5F6AC" w:rsidR="005129D7" w:rsidRPr="00842F43" w:rsidRDefault="005129D7" w:rsidP="00842F43">
      <w:pPr>
        <w:widowControl w:val="0"/>
        <w:autoSpaceDE w:val="0"/>
        <w:autoSpaceDN w:val="0"/>
        <w:adjustRightInd w:val="0"/>
        <w:spacing w:line="360" w:lineRule="auto"/>
        <w:rPr>
          <w:rFonts w:ascii="Fira Sans" w:hAnsi="Fira Sans"/>
          <w:sz w:val="20"/>
          <w:szCs w:val="20"/>
        </w:rPr>
      </w:pPr>
    </w:p>
    <w:p w14:paraId="4194DCD5" w14:textId="06E8A1A3" w:rsidR="005129D7" w:rsidRPr="00842F43" w:rsidRDefault="005129D7" w:rsidP="00842F43">
      <w:pPr>
        <w:widowControl w:val="0"/>
        <w:autoSpaceDE w:val="0"/>
        <w:autoSpaceDN w:val="0"/>
        <w:adjustRightInd w:val="0"/>
        <w:spacing w:line="360" w:lineRule="auto"/>
        <w:rPr>
          <w:rFonts w:ascii="Fira Sans" w:hAnsi="Fira Sans"/>
          <w:sz w:val="20"/>
          <w:szCs w:val="20"/>
        </w:rPr>
      </w:pPr>
    </w:p>
    <w:p w14:paraId="258D9DEB" w14:textId="44F00096" w:rsidR="005129D7" w:rsidRPr="00842F43" w:rsidRDefault="005129D7" w:rsidP="00842F43">
      <w:pPr>
        <w:widowControl w:val="0"/>
        <w:autoSpaceDE w:val="0"/>
        <w:autoSpaceDN w:val="0"/>
        <w:adjustRightInd w:val="0"/>
        <w:spacing w:line="360" w:lineRule="auto"/>
        <w:rPr>
          <w:rFonts w:ascii="Fira Sans" w:hAnsi="Fira Sans"/>
          <w:sz w:val="20"/>
          <w:szCs w:val="20"/>
        </w:rPr>
      </w:pPr>
    </w:p>
    <w:p w14:paraId="46534785" w14:textId="03EB88AB" w:rsidR="005129D7" w:rsidRPr="00842F43" w:rsidRDefault="005129D7" w:rsidP="00842F43">
      <w:pPr>
        <w:widowControl w:val="0"/>
        <w:autoSpaceDE w:val="0"/>
        <w:autoSpaceDN w:val="0"/>
        <w:adjustRightInd w:val="0"/>
        <w:spacing w:line="360" w:lineRule="auto"/>
        <w:rPr>
          <w:rFonts w:ascii="Fira Sans" w:hAnsi="Fira Sans"/>
          <w:sz w:val="20"/>
          <w:szCs w:val="20"/>
        </w:rPr>
      </w:pPr>
    </w:p>
    <w:p w14:paraId="7DE6C94E" w14:textId="19C5B697" w:rsidR="005129D7" w:rsidRPr="00842F43" w:rsidRDefault="005129D7" w:rsidP="00842F43">
      <w:pPr>
        <w:widowControl w:val="0"/>
        <w:autoSpaceDE w:val="0"/>
        <w:autoSpaceDN w:val="0"/>
        <w:adjustRightInd w:val="0"/>
        <w:spacing w:line="360" w:lineRule="auto"/>
        <w:rPr>
          <w:rFonts w:ascii="Fira Sans" w:hAnsi="Fira Sans"/>
          <w:sz w:val="20"/>
          <w:szCs w:val="20"/>
        </w:rPr>
      </w:pPr>
    </w:p>
    <w:p w14:paraId="50FA7F11" w14:textId="34E9A291" w:rsidR="005129D7" w:rsidRPr="00842F43" w:rsidRDefault="005129D7" w:rsidP="00842F43">
      <w:pPr>
        <w:widowControl w:val="0"/>
        <w:autoSpaceDE w:val="0"/>
        <w:autoSpaceDN w:val="0"/>
        <w:adjustRightInd w:val="0"/>
        <w:spacing w:line="360" w:lineRule="auto"/>
        <w:rPr>
          <w:rFonts w:ascii="Fira Sans" w:hAnsi="Fira Sans"/>
          <w:sz w:val="20"/>
          <w:szCs w:val="20"/>
        </w:rPr>
      </w:pPr>
    </w:p>
    <w:p w14:paraId="020E6407" w14:textId="7D2021BA" w:rsidR="005129D7" w:rsidRPr="00842F43" w:rsidRDefault="005129D7" w:rsidP="00842F43">
      <w:pPr>
        <w:widowControl w:val="0"/>
        <w:autoSpaceDE w:val="0"/>
        <w:autoSpaceDN w:val="0"/>
        <w:adjustRightInd w:val="0"/>
        <w:spacing w:line="360" w:lineRule="auto"/>
        <w:rPr>
          <w:rFonts w:ascii="Fira Sans" w:hAnsi="Fira Sans"/>
          <w:sz w:val="20"/>
          <w:szCs w:val="20"/>
        </w:rPr>
      </w:pPr>
    </w:p>
    <w:p w14:paraId="54BADDD3" w14:textId="1FDCBECC" w:rsidR="005129D7" w:rsidRPr="00842F43" w:rsidRDefault="005129D7" w:rsidP="00842F43">
      <w:pPr>
        <w:widowControl w:val="0"/>
        <w:autoSpaceDE w:val="0"/>
        <w:autoSpaceDN w:val="0"/>
        <w:adjustRightInd w:val="0"/>
        <w:spacing w:line="360" w:lineRule="auto"/>
        <w:rPr>
          <w:rFonts w:ascii="Fira Sans" w:hAnsi="Fira Sans"/>
          <w:sz w:val="20"/>
          <w:szCs w:val="20"/>
        </w:rPr>
      </w:pPr>
    </w:p>
    <w:p w14:paraId="60B691AB" w14:textId="29843751" w:rsidR="00447769" w:rsidRPr="00842F43" w:rsidRDefault="00447769" w:rsidP="00842F43">
      <w:pPr>
        <w:widowControl w:val="0"/>
        <w:autoSpaceDE w:val="0"/>
        <w:autoSpaceDN w:val="0"/>
        <w:adjustRightInd w:val="0"/>
        <w:spacing w:after="140" w:line="360" w:lineRule="auto"/>
        <w:rPr>
          <w:rFonts w:ascii="Fira Sans" w:hAnsi="Fira Sans"/>
          <w:sz w:val="20"/>
          <w:szCs w:val="20"/>
        </w:rPr>
      </w:pPr>
      <w:r w:rsidRPr="00842F43">
        <w:rPr>
          <w:rFonts w:ascii="Fira Sans" w:hAnsi="Fira Sans"/>
          <w:sz w:val="20"/>
          <w:szCs w:val="20"/>
        </w:rPr>
        <w:t>Figures and tables</w:t>
      </w:r>
      <w:r w:rsidR="006265C2" w:rsidRPr="00842F43">
        <w:rPr>
          <w:rFonts w:ascii="Fira Sans" w:hAnsi="Fira Sans"/>
          <w:sz w:val="20"/>
          <w:szCs w:val="20"/>
        </w:rPr>
        <w:t xml:space="preserve"> (within manuscript):</w:t>
      </w:r>
    </w:p>
    <w:p w14:paraId="353D7829" w14:textId="19B4FDD5" w:rsidR="00C56D26" w:rsidRPr="00842F43" w:rsidRDefault="006265C2" w:rsidP="00842F43">
      <w:pPr>
        <w:spacing w:line="360" w:lineRule="auto"/>
        <w:rPr>
          <w:rFonts w:ascii="Fira Sans" w:hAnsi="Fira Sans"/>
          <w:sz w:val="20"/>
          <w:szCs w:val="20"/>
        </w:rPr>
      </w:pPr>
      <w:r w:rsidRPr="00842F43">
        <w:rPr>
          <w:rFonts w:ascii="Fira Sans" w:hAnsi="Fira Sans"/>
          <w:sz w:val="20"/>
          <w:szCs w:val="20"/>
        </w:rPr>
        <w:t xml:space="preserve">Figure 1. </w:t>
      </w:r>
      <w:r w:rsidR="00C56D26" w:rsidRPr="00842F43">
        <w:rPr>
          <w:rFonts w:ascii="Fira Sans" w:hAnsi="Fira Sans"/>
          <w:sz w:val="20"/>
          <w:szCs w:val="20"/>
        </w:rPr>
        <w:t>Participant flow</w:t>
      </w:r>
    </w:p>
    <w:p w14:paraId="54C8DB99" w14:textId="77777777" w:rsidR="00C56D26" w:rsidRPr="00842F43" w:rsidRDefault="00C56D26" w:rsidP="00842F43">
      <w:pPr>
        <w:spacing w:line="360" w:lineRule="auto"/>
        <w:rPr>
          <w:rFonts w:ascii="Fira Sans" w:hAnsi="Fira Sans"/>
          <w:sz w:val="20"/>
          <w:szCs w:val="20"/>
        </w:rPr>
      </w:pPr>
      <w:r w:rsidRPr="00842F43">
        <w:rPr>
          <w:rFonts w:ascii="Fira Sans" w:hAnsi="Fira Sans"/>
          <w:sz w:val="20"/>
          <w:szCs w:val="20"/>
        </w:rPr>
        <w:t>Figure 2. Study flowchart (CONSORT diagram)</w:t>
      </w:r>
    </w:p>
    <w:p w14:paraId="389D5779" w14:textId="77777777" w:rsidR="00C56D26" w:rsidRPr="00842F43" w:rsidRDefault="00C56D26" w:rsidP="00842F43">
      <w:pPr>
        <w:spacing w:line="360" w:lineRule="auto"/>
        <w:rPr>
          <w:rFonts w:ascii="Fira Sans" w:hAnsi="Fira Sans"/>
          <w:sz w:val="20"/>
          <w:szCs w:val="20"/>
        </w:rPr>
      </w:pPr>
    </w:p>
    <w:p w14:paraId="07317D19" w14:textId="77777777" w:rsidR="00C56D26" w:rsidRPr="00842F43" w:rsidRDefault="00C56D26" w:rsidP="00842F43">
      <w:pPr>
        <w:spacing w:line="360" w:lineRule="auto"/>
        <w:rPr>
          <w:rFonts w:ascii="Fira Sans" w:hAnsi="Fira Sans"/>
          <w:sz w:val="20"/>
          <w:szCs w:val="20"/>
        </w:rPr>
      </w:pPr>
      <w:r w:rsidRPr="00842F43">
        <w:rPr>
          <w:rFonts w:ascii="Fira Sans" w:hAnsi="Fira Sans"/>
          <w:sz w:val="20"/>
          <w:szCs w:val="20"/>
        </w:rPr>
        <w:t>Table 1. Demographic and clinical characteristics at Baseline</w:t>
      </w:r>
    </w:p>
    <w:p w14:paraId="5BCA151C" w14:textId="77777777" w:rsidR="006265C2" w:rsidRPr="00842F43" w:rsidRDefault="006265C2" w:rsidP="00842F43">
      <w:pPr>
        <w:spacing w:line="360" w:lineRule="auto"/>
        <w:rPr>
          <w:rFonts w:ascii="Fira Sans" w:hAnsi="Fira Sans"/>
          <w:sz w:val="20"/>
          <w:szCs w:val="20"/>
        </w:rPr>
      </w:pPr>
      <w:r w:rsidRPr="00842F43">
        <w:rPr>
          <w:rFonts w:ascii="Fira Sans" w:hAnsi="Fira Sans"/>
          <w:sz w:val="20"/>
          <w:szCs w:val="20"/>
        </w:rPr>
        <w:t xml:space="preserve">Table 2. </w:t>
      </w:r>
      <w:r w:rsidRPr="00842F43">
        <w:rPr>
          <w:rFonts w:ascii="Fira Sans" w:hAnsi="Fira Sans"/>
          <w:color w:val="000000"/>
          <w:sz w:val="20"/>
          <w:szCs w:val="20"/>
        </w:rPr>
        <w:t>Change from Baseline to six-months in clinical outcomes in intervention and control groups</w:t>
      </w:r>
    </w:p>
    <w:p w14:paraId="2B90B1BA" w14:textId="77777777" w:rsidR="006265C2" w:rsidRPr="00842F43" w:rsidRDefault="006265C2" w:rsidP="00842F43">
      <w:pPr>
        <w:spacing w:line="360" w:lineRule="auto"/>
        <w:rPr>
          <w:rFonts w:ascii="Fira Sans" w:hAnsi="Fira Sans"/>
          <w:sz w:val="20"/>
          <w:szCs w:val="20"/>
        </w:rPr>
      </w:pPr>
    </w:p>
    <w:p w14:paraId="6AAFEA07" w14:textId="77777777" w:rsidR="006265C2" w:rsidRPr="00842F43" w:rsidRDefault="006265C2" w:rsidP="00842F43">
      <w:pPr>
        <w:widowControl w:val="0"/>
        <w:autoSpaceDE w:val="0"/>
        <w:autoSpaceDN w:val="0"/>
        <w:adjustRightInd w:val="0"/>
        <w:spacing w:after="140" w:line="360" w:lineRule="auto"/>
        <w:ind w:left="640" w:hanging="640"/>
        <w:rPr>
          <w:rFonts w:ascii="Fira Sans" w:hAnsi="Fira Sans"/>
          <w:sz w:val="20"/>
          <w:szCs w:val="20"/>
        </w:rPr>
      </w:pPr>
    </w:p>
    <w:p w14:paraId="24763B4A" w14:textId="14DB687F" w:rsidR="00447769" w:rsidRPr="00842F43" w:rsidRDefault="00C56D26" w:rsidP="00842F43">
      <w:pPr>
        <w:widowControl w:val="0"/>
        <w:autoSpaceDE w:val="0"/>
        <w:autoSpaceDN w:val="0"/>
        <w:adjustRightInd w:val="0"/>
        <w:spacing w:after="140" w:line="360" w:lineRule="auto"/>
        <w:ind w:left="640" w:hanging="640"/>
        <w:rPr>
          <w:rFonts w:ascii="Fira Sans" w:hAnsi="Fira Sans"/>
          <w:sz w:val="20"/>
          <w:szCs w:val="20"/>
        </w:rPr>
      </w:pPr>
      <w:r w:rsidRPr="00842F43">
        <w:rPr>
          <w:rFonts w:ascii="Fira Sans" w:hAnsi="Fira Sans"/>
          <w:sz w:val="20"/>
          <w:szCs w:val="20"/>
        </w:rPr>
        <w:t>Supplementary</w:t>
      </w:r>
      <w:r w:rsidR="00130105" w:rsidRPr="00842F43">
        <w:rPr>
          <w:rFonts w:ascii="Fira Sans" w:hAnsi="Fira Sans"/>
          <w:sz w:val="20"/>
          <w:szCs w:val="20"/>
        </w:rPr>
        <w:t xml:space="preserve"> file:</w:t>
      </w:r>
    </w:p>
    <w:p w14:paraId="547B31E0" w14:textId="538D4CC3" w:rsidR="003D69A6" w:rsidRPr="00842F43" w:rsidRDefault="003D69A6" w:rsidP="00842F43">
      <w:pPr>
        <w:pStyle w:val="ListParagraph"/>
        <w:numPr>
          <w:ilvl w:val="0"/>
          <w:numId w:val="7"/>
        </w:numPr>
        <w:spacing w:line="360" w:lineRule="auto"/>
        <w:rPr>
          <w:rFonts w:ascii="Fira Sans" w:hAnsi="Fira Sans"/>
          <w:sz w:val="20"/>
          <w:szCs w:val="20"/>
        </w:rPr>
      </w:pPr>
      <w:r w:rsidRPr="00842F43">
        <w:rPr>
          <w:rFonts w:ascii="Fira Sans" w:hAnsi="Fira Sans"/>
          <w:sz w:val="20"/>
          <w:szCs w:val="20"/>
        </w:rPr>
        <w:t>Usual care description.</w:t>
      </w:r>
    </w:p>
    <w:p w14:paraId="77B2812B" w14:textId="339AC53C" w:rsidR="003D69A6" w:rsidRPr="00842F43" w:rsidRDefault="003D69A6" w:rsidP="00842F43">
      <w:pPr>
        <w:pStyle w:val="ListParagraph"/>
        <w:numPr>
          <w:ilvl w:val="0"/>
          <w:numId w:val="7"/>
        </w:numPr>
        <w:spacing w:line="360" w:lineRule="auto"/>
        <w:rPr>
          <w:rFonts w:ascii="Fira Sans" w:hAnsi="Fira Sans"/>
          <w:sz w:val="20"/>
          <w:szCs w:val="20"/>
        </w:rPr>
      </w:pPr>
      <w:r w:rsidRPr="00842F43">
        <w:rPr>
          <w:rFonts w:ascii="Fira Sans" w:hAnsi="Fira Sans"/>
          <w:sz w:val="20"/>
          <w:szCs w:val="20"/>
        </w:rPr>
        <w:t xml:space="preserve">TIDieR Checklist: Template for Intervention Description and Replication: EMDR R-TEP intervention </w:t>
      </w:r>
    </w:p>
    <w:p w14:paraId="36737914" w14:textId="06B6F327" w:rsidR="003D69A6" w:rsidRPr="00842F43" w:rsidRDefault="003D69A6" w:rsidP="00842F43">
      <w:pPr>
        <w:pStyle w:val="ListParagraph"/>
        <w:numPr>
          <w:ilvl w:val="0"/>
          <w:numId w:val="7"/>
        </w:numPr>
        <w:spacing w:line="360" w:lineRule="auto"/>
        <w:rPr>
          <w:rFonts w:ascii="Fira Sans" w:hAnsi="Fira Sans"/>
          <w:color w:val="333333"/>
          <w:sz w:val="20"/>
          <w:szCs w:val="20"/>
          <w:shd w:val="clear" w:color="auto" w:fill="FFFFFF"/>
        </w:rPr>
      </w:pPr>
      <w:r w:rsidRPr="00842F43">
        <w:rPr>
          <w:rFonts w:ascii="Fira Sans" w:hAnsi="Fira Sans"/>
          <w:sz w:val="20"/>
          <w:szCs w:val="20"/>
        </w:rPr>
        <w:t>Table S1: Detailed outcome measure description</w:t>
      </w:r>
    </w:p>
    <w:p w14:paraId="7AB4812B" w14:textId="77777777" w:rsidR="00487F7C" w:rsidRPr="00842F43" w:rsidRDefault="00487F7C" w:rsidP="00842F43">
      <w:pPr>
        <w:widowControl w:val="0"/>
        <w:autoSpaceDE w:val="0"/>
        <w:autoSpaceDN w:val="0"/>
        <w:adjustRightInd w:val="0"/>
        <w:spacing w:after="140" w:line="360" w:lineRule="auto"/>
        <w:rPr>
          <w:rFonts w:ascii="Fira Sans" w:hAnsi="Fira Sans"/>
          <w:sz w:val="20"/>
          <w:szCs w:val="20"/>
        </w:rPr>
      </w:pPr>
    </w:p>
    <w:p w14:paraId="3DC02866" w14:textId="688EAE8B" w:rsidR="00130105" w:rsidRPr="00842F43" w:rsidRDefault="00130105" w:rsidP="00842F43">
      <w:pPr>
        <w:widowControl w:val="0"/>
        <w:autoSpaceDE w:val="0"/>
        <w:autoSpaceDN w:val="0"/>
        <w:adjustRightInd w:val="0"/>
        <w:spacing w:after="140" w:line="360" w:lineRule="auto"/>
        <w:rPr>
          <w:rFonts w:ascii="Fira Sans" w:hAnsi="Fira Sans"/>
          <w:sz w:val="20"/>
          <w:szCs w:val="20"/>
        </w:rPr>
      </w:pPr>
    </w:p>
    <w:sectPr w:rsidR="00130105" w:rsidRPr="00842F43" w:rsidSect="0076681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2D72"/>
    <w:multiLevelType w:val="hybridMultilevel"/>
    <w:tmpl w:val="54B04060"/>
    <w:lvl w:ilvl="0" w:tplc="735E7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45E15"/>
    <w:multiLevelType w:val="hybridMultilevel"/>
    <w:tmpl w:val="3A90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C06CE"/>
    <w:multiLevelType w:val="hybridMultilevel"/>
    <w:tmpl w:val="AA2E15A4"/>
    <w:lvl w:ilvl="0" w:tplc="AAE6B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9434C3"/>
    <w:multiLevelType w:val="hybridMultilevel"/>
    <w:tmpl w:val="C8B0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E05D4"/>
    <w:multiLevelType w:val="hybridMultilevel"/>
    <w:tmpl w:val="A140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3630C"/>
    <w:multiLevelType w:val="hybridMultilevel"/>
    <w:tmpl w:val="14182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B76449"/>
    <w:multiLevelType w:val="hybridMultilevel"/>
    <w:tmpl w:val="A34ADDA4"/>
    <w:lvl w:ilvl="0" w:tplc="E16EBC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2415241">
    <w:abstractNumId w:val="0"/>
  </w:num>
  <w:num w:numId="2" w16cid:durableId="1336222816">
    <w:abstractNumId w:val="2"/>
  </w:num>
  <w:num w:numId="3" w16cid:durableId="1204244549">
    <w:abstractNumId w:val="6"/>
  </w:num>
  <w:num w:numId="4" w16cid:durableId="330260130">
    <w:abstractNumId w:val="3"/>
  </w:num>
  <w:num w:numId="5" w16cid:durableId="1084953866">
    <w:abstractNumId w:val="4"/>
  </w:num>
  <w:num w:numId="6" w16cid:durableId="1574076095">
    <w:abstractNumId w:val="5"/>
  </w:num>
  <w:num w:numId="7" w16cid:durableId="56140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CF"/>
    <w:rsid w:val="00001E07"/>
    <w:rsid w:val="00002554"/>
    <w:rsid w:val="00004FBB"/>
    <w:rsid w:val="000076BE"/>
    <w:rsid w:val="00012B7A"/>
    <w:rsid w:val="0001496D"/>
    <w:rsid w:val="00020FDD"/>
    <w:rsid w:val="00022EAB"/>
    <w:rsid w:val="00027167"/>
    <w:rsid w:val="000303C3"/>
    <w:rsid w:val="00031773"/>
    <w:rsid w:val="000379DD"/>
    <w:rsid w:val="00037E12"/>
    <w:rsid w:val="00040D94"/>
    <w:rsid w:val="000411FD"/>
    <w:rsid w:val="000435A6"/>
    <w:rsid w:val="00043BA8"/>
    <w:rsid w:val="00054EFB"/>
    <w:rsid w:val="00055609"/>
    <w:rsid w:val="00057201"/>
    <w:rsid w:val="00060A9D"/>
    <w:rsid w:val="000617FE"/>
    <w:rsid w:val="00061871"/>
    <w:rsid w:val="00061F01"/>
    <w:rsid w:val="00063D6D"/>
    <w:rsid w:val="00066F70"/>
    <w:rsid w:val="00073701"/>
    <w:rsid w:val="000739CA"/>
    <w:rsid w:val="000769A8"/>
    <w:rsid w:val="00076D36"/>
    <w:rsid w:val="00080684"/>
    <w:rsid w:val="000808C2"/>
    <w:rsid w:val="000822DB"/>
    <w:rsid w:val="00084AE1"/>
    <w:rsid w:val="00085480"/>
    <w:rsid w:val="000857FE"/>
    <w:rsid w:val="00090350"/>
    <w:rsid w:val="00093426"/>
    <w:rsid w:val="0009420A"/>
    <w:rsid w:val="0009538E"/>
    <w:rsid w:val="000956A8"/>
    <w:rsid w:val="000A36AC"/>
    <w:rsid w:val="000A40A6"/>
    <w:rsid w:val="000A7ABA"/>
    <w:rsid w:val="000B22C3"/>
    <w:rsid w:val="000B2BD1"/>
    <w:rsid w:val="000B42C4"/>
    <w:rsid w:val="000B7511"/>
    <w:rsid w:val="000C6681"/>
    <w:rsid w:val="000C6A59"/>
    <w:rsid w:val="000D0B2E"/>
    <w:rsid w:val="000D382B"/>
    <w:rsid w:val="000D4705"/>
    <w:rsid w:val="000E0BAD"/>
    <w:rsid w:val="000E4166"/>
    <w:rsid w:val="000E4678"/>
    <w:rsid w:val="000E5D91"/>
    <w:rsid w:val="000F0609"/>
    <w:rsid w:val="000F21CB"/>
    <w:rsid w:val="000F33AD"/>
    <w:rsid w:val="000F41A6"/>
    <w:rsid w:val="000F4E39"/>
    <w:rsid w:val="000F5C8D"/>
    <w:rsid w:val="000F6508"/>
    <w:rsid w:val="000F66AF"/>
    <w:rsid w:val="000F6D8B"/>
    <w:rsid w:val="001025A8"/>
    <w:rsid w:val="0010374D"/>
    <w:rsid w:val="00110D36"/>
    <w:rsid w:val="00111FDA"/>
    <w:rsid w:val="00112500"/>
    <w:rsid w:val="001140F6"/>
    <w:rsid w:val="001160C6"/>
    <w:rsid w:val="0011715F"/>
    <w:rsid w:val="00117258"/>
    <w:rsid w:val="0012100A"/>
    <w:rsid w:val="00124460"/>
    <w:rsid w:val="001255E2"/>
    <w:rsid w:val="00127206"/>
    <w:rsid w:val="00130105"/>
    <w:rsid w:val="001314A5"/>
    <w:rsid w:val="00131EDE"/>
    <w:rsid w:val="001324E2"/>
    <w:rsid w:val="0013288E"/>
    <w:rsid w:val="00133476"/>
    <w:rsid w:val="0013409A"/>
    <w:rsid w:val="00134A5B"/>
    <w:rsid w:val="0013553F"/>
    <w:rsid w:val="00135E3E"/>
    <w:rsid w:val="00136D23"/>
    <w:rsid w:val="00141470"/>
    <w:rsid w:val="00142197"/>
    <w:rsid w:val="00143655"/>
    <w:rsid w:val="00143BED"/>
    <w:rsid w:val="00143C5D"/>
    <w:rsid w:val="00144DA6"/>
    <w:rsid w:val="00147C74"/>
    <w:rsid w:val="001564F2"/>
    <w:rsid w:val="00160FFB"/>
    <w:rsid w:val="00161AA5"/>
    <w:rsid w:val="0016736F"/>
    <w:rsid w:val="001742CF"/>
    <w:rsid w:val="001802BF"/>
    <w:rsid w:val="00180DFA"/>
    <w:rsid w:val="00181920"/>
    <w:rsid w:val="001828A3"/>
    <w:rsid w:val="00182B82"/>
    <w:rsid w:val="00184EA7"/>
    <w:rsid w:val="00185E20"/>
    <w:rsid w:val="001924AB"/>
    <w:rsid w:val="001950F0"/>
    <w:rsid w:val="001A0F21"/>
    <w:rsid w:val="001A16D2"/>
    <w:rsid w:val="001A2475"/>
    <w:rsid w:val="001A4F3C"/>
    <w:rsid w:val="001A523E"/>
    <w:rsid w:val="001A5261"/>
    <w:rsid w:val="001A5BD2"/>
    <w:rsid w:val="001A7BE2"/>
    <w:rsid w:val="001B0CE1"/>
    <w:rsid w:val="001B391B"/>
    <w:rsid w:val="001B3B0E"/>
    <w:rsid w:val="001C1A35"/>
    <w:rsid w:val="001C5153"/>
    <w:rsid w:val="001C73E7"/>
    <w:rsid w:val="001E1664"/>
    <w:rsid w:val="001E7FD8"/>
    <w:rsid w:val="001F0C3E"/>
    <w:rsid w:val="001F1941"/>
    <w:rsid w:val="001F1BD6"/>
    <w:rsid w:val="001F2805"/>
    <w:rsid w:val="001F5B27"/>
    <w:rsid w:val="00204DF3"/>
    <w:rsid w:val="00215D28"/>
    <w:rsid w:val="00216D73"/>
    <w:rsid w:val="00220FD5"/>
    <w:rsid w:val="00222ED7"/>
    <w:rsid w:val="00227301"/>
    <w:rsid w:val="00232831"/>
    <w:rsid w:val="002344D0"/>
    <w:rsid w:val="00235FAB"/>
    <w:rsid w:val="00241341"/>
    <w:rsid w:val="00241803"/>
    <w:rsid w:val="00244027"/>
    <w:rsid w:val="0025188A"/>
    <w:rsid w:val="00253B71"/>
    <w:rsid w:val="00264797"/>
    <w:rsid w:val="0026537D"/>
    <w:rsid w:val="00274A2B"/>
    <w:rsid w:val="00275E85"/>
    <w:rsid w:val="00281DB8"/>
    <w:rsid w:val="00285144"/>
    <w:rsid w:val="00285EB3"/>
    <w:rsid w:val="002901B0"/>
    <w:rsid w:val="00290FB7"/>
    <w:rsid w:val="00292EE3"/>
    <w:rsid w:val="002941B0"/>
    <w:rsid w:val="0029553F"/>
    <w:rsid w:val="002A66B7"/>
    <w:rsid w:val="002B0F09"/>
    <w:rsid w:val="002B2578"/>
    <w:rsid w:val="002C4A4E"/>
    <w:rsid w:val="002C633B"/>
    <w:rsid w:val="002C647D"/>
    <w:rsid w:val="002D3D5F"/>
    <w:rsid w:val="002D47B1"/>
    <w:rsid w:val="002E49B2"/>
    <w:rsid w:val="002E691D"/>
    <w:rsid w:val="002F036C"/>
    <w:rsid w:val="002F3332"/>
    <w:rsid w:val="002F43A5"/>
    <w:rsid w:val="003016DB"/>
    <w:rsid w:val="003025F9"/>
    <w:rsid w:val="00304995"/>
    <w:rsid w:val="003059A9"/>
    <w:rsid w:val="00311C4B"/>
    <w:rsid w:val="00312612"/>
    <w:rsid w:val="00320CE6"/>
    <w:rsid w:val="00334D82"/>
    <w:rsid w:val="003366EC"/>
    <w:rsid w:val="00340AB9"/>
    <w:rsid w:val="00341417"/>
    <w:rsid w:val="00344577"/>
    <w:rsid w:val="00344AF5"/>
    <w:rsid w:val="00345461"/>
    <w:rsid w:val="00345F6A"/>
    <w:rsid w:val="003471F9"/>
    <w:rsid w:val="00347917"/>
    <w:rsid w:val="003604C7"/>
    <w:rsid w:val="00363319"/>
    <w:rsid w:val="00370E23"/>
    <w:rsid w:val="00370E66"/>
    <w:rsid w:val="00380A3C"/>
    <w:rsid w:val="003812D3"/>
    <w:rsid w:val="0038152B"/>
    <w:rsid w:val="0038684B"/>
    <w:rsid w:val="0038772C"/>
    <w:rsid w:val="00391EC5"/>
    <w:rsid w:val="003A29DD"/>
    <w:rsid w:val="003A31DB"/>
    <w:rsid w:val="003A3F41"/>
    <w:rsid w:val="003A6038"/>
    <w:rsid w:val="003A6532"/>
    <w:rsid w:val="003A7545"/>
    <w:rsid w:val="003A7BC8"/>
    <w:rsid w:val="003B2FDA"/>
    <w:rsid w:val="003B4333"/>
    <w:rsid w:val="003B4619"/>
    <w:rsid w:val="003C04E6"/>
    <w:rsid w:val="003C0F55"/>
    <w:rsid w:val="003C5018"/>
    <w:rsid w:val="003C7923"/>
    <w:rsid w:val="003D05B2"/>
    <w:rsid w:val="003D0801"/>
    <w:rsid w:val="003D0BA4"/>
    <w:rsid w:val="003D2BDD"/>
    <w:rsid w:val="003D451B"/>
    <w:rsid w:val="003D69A6"/>
    <w:rsid w:val="003D6B10"/>
    <w:rsid w:val="003D7A0A"/>
    <w:rsid w:val="003E1275"/>
    <w:rsid w:val="003E4620"/>
    <w:rsid w:val="003E5EA1"/>
    <w:rsid w:val="003E6B28"/>
    <w:rsid w:val="003E6BD0"/>
    <w:rsid w:val="003F4B0F"/>
    <w:rsid w:val="004078B5"/>
    <w:rsid w:val="0042022F"/>
    <w:rsid w:val="0042347C"/>
    <w:rsid w:val="00424153"/>
    <w:rsid w:val="0042448A"/>
    <w:rsid w:val="00425AF6"/>
    <w:rsid w:val="00435C37"/>
    <w:rsid w:val="00442FF6"/>
    <w:rsid w:val="004476C7"/>
    <w:rsid w:val="00447769"/>
    <w:rsid w:val="00452811"/>
    <w:rsid w:val="00452EDE"/>
    <w:rsid w:val="00457E8E"/>
    <w:rsid w:val="00467D78"/>
    <w:rsid w:val="00470CA5"/>
    <w:rsid w:val="00472D63"/>
    <w:rsid w:val="00475638"/>
    <w:rsid w:val="00486161"/>
    <w:rsid w:val="00487F7C"/>
    <w:rsid w:val="00492B39"/>
    <w:rsid w:val="004A2376"/>
    <w:rsid w:val="004A286B"/>
    <w:rsid w:val="004A2FDD"/>
    <w:rsid w:val="004A6C3B"/>
    <w:rsid w:val="004B32C7"/>
    <w:rsid w:val="004B6E6C"/>
    <w:rsid w:val="004C09D4"/>
    <w:rsid w:val="004C2151"/>
    <w:rsid w:val="004C297F"/>
    <w:rsid w:val="004C2F7D"/>
    <w:rsid w:val="004D3889"/>
    <w:rsid w:val="004D41A8"/>
    <w:rsid w:val="004D627C"/>
    <w:rsid w:val="004D7C10"/>
    <w:rsid w:val="004E0115"/>
    <w:rsid w:val="004E1577"/>
    <w:rsid w:val="004E1D0C"/>
    <w:rsid w:val="004E52DE"/>
    <w:rsid w:val="004E5998"/>
    <w:rsid w:val="004F46E5"/>
    <w:rsid w:val="004F76D7"/>
    <w:rsid w:val="00511B65"/>
    <w:rsid w:val="005129D7"/>
    <w:rsid w:val="005136F0"/>
    <w:rsid w:val="00521674"/>
    <w:rsid w:val="00521994"/>
    <w:rsid w:val="00524FB0"/>
    <w:rsid w:val="005266D6"/>
    <w:rsid w:val="0052698D"/>
    <w:rsid w:val="00531AD5"/>
    <w:rsid w:val="00533BC6"/>
    <w:rsid w:val="00540995"/>
    <w:rsid w:val="00541EF0"/>
    <w:rsid w:val="005430C8"/>
    <w:rsid w:val="005454D5"/>
    <w:rsid w:val="005463B1"/>
    <w:rsid w:val="005465D3"/>
    <w:rsid w:val="00546FC6"/>
    <w:rsid w:val="005472B9"/>
    <w:rsid w:val="00547949"/>
    <w:rsid w:val="00552430"/>
    <w:rsid w:val="00554427"/>
    <w:rsid w:val="00557953"/>
    <w:rsid w:val="005675CA"/>
    <w:rsid w:val="005704EF"/>
    <w:rsid w:val="0057128F"/>
    <w:rsid w:val="00572CA0"/>
    <w:rsid w:val="005736AC"/>
    <w:rsid w:val="00575E80"/>
    <w:rsid w:val="0057643D"/>
    <w:rsid w:val="00577B9A"/>
    <w:rsid w:val="00577D4E"/>
    <w:rsid w:val="005836FE"/>
    <w:rsid w:val="00594616"/>
    <w:rsid w:val="00595417"/>
    <w:rsid w:val="005965E7"/>
    <w:rsid w:val="00596CA8"/>
    <w:rsid w:val="005A50C9"/>
    <w:rsid w:val="005A543F"/>
    <w:rsid w:val="005A6BF0"/>
    <w:rsid w:val="005A7104"/>
    <w:rsid w:val="005B0FD2"/>
    <w:rsid w:val="005B46C3"/>
    <w:rsid w:val="005B56D6"/>
    <w:rsid w:val="005C05AC"/>
    <w:rsid w:val="005C2D65"/>
    <w:rsid w:val="005C3B39"/>
    <w:rsid w:val="005C7266"/>
    <w:rsid w:val="005C7C9C"/>
    <w:rsid w:val="005D5D76"/>
    <w:rsid w:val="005D6378"/>
    <w:rsid w:val="005D65BC"/>
    <w:rsid w:val="005D6B1D"/>
    <w:rsid w:val="005D6E85"/>
    <w:rsid w:val="005E1C22"/>
    <w:rsid w:val="005E29B0"/>
    <w:rsid w:val="005F16ED"/>
    <w:rsid w:val="005F4647"/>
    <w:rsid w:val="005F6C09"/>
    <w:rsid w:val="00603021"/>
    <w:rsid w:val="00604DD9"/>
    <w:rsid w:val="00611B59"/>
    <w:rsid w:val="006127D7"/>
    <w:rsid w:val="00613666"/>
    <w:rsid w:val="00613C9A"/>
    <w:rsid w:val="00614CEA"/>
    <w:rsid w:val="006265C2"/>
    <w:rsid w:val="00630008"/>
    <w:rsid w:val="00630E1F"/>
    <w:rsid w:val="00631265"/>
    <w:rsid w:val="00636226"/>
    <w:rsid w:val="00641342"/>
    <w:rsid w:val="0064188B"/>
    <w:rsid w:val="00642A5C"/>
    <w:rsid w:val="006442C5"/>
    <w:rsid w:val="0064576D"/>
    <w:rsid w:val="006459A0"/>
    <w:rsid w:val="00655383"/>
    <w:rsid w:val="006560A0"/>
    <w:rsid w:val="00656208"/>
    <w:rsid w:val="006571B0"/>
    <w:rsid w:val="00657DDD"/>
    <w:rsid w:val="0066126E"/>
    <w:rsid w:val="00662487"/>
    <w:rsid w:val="00665E66"/>
    <w:rsid w:val="006701B4"/>
    <w:rsid w:val="00670479"/>
    <w:rsid w:val="00670909"/>
    <w:rsid w:val="00670FE1"/>
    <w:rsid w:val="006714B9"/>
    <w:rsid w:val="00673E8B"/>
    <w:rsid w:val="00676EA0"/>
    <w:rsid w:val="006814DD"/>
    <w:rsid w:val="006815BD"/>
    <w:rsid w:val="0068371B"/>
    <w:rsid w:val="00690419"/>
    <w:rsid w:val="00691294"/>
    <w:rsid w:val="006926DC"/>
    <w:rsid w:val="00693A24"/>
    <w:rsid w:val="006A148E"/>
    <w:rsid w:val="006A1FC9"/>
    <w:rsid w:val="006A3548"/>
    <w:rsid w:val="006A3789"/>
    <w:rsid w:val="006A3CD1"/>
    <w:rsid w:val="006A3DFE"/>
    <w:rsid w:val="006A6A3C"/>
    <w:rsid w:val="006B0044"/>
    <w:rsid w:val="006B7A39"/>
    <w:rsid w:val="006C43FF"/>
    <w:rsid w:val="006C51F0"/>
    <w:rsid w:val="006C77D2"/>
    <w:rsid w:val="006D42EB"/>
    <w:rsid w:val="006D6898"/>
    <w:rsid w:val="006E1E08"/>
    <w:rsid w:val="006E38BE"/>
    <w:rsid w:val="006F3C5E"/>
    <w:rsid w:val="006F4C29"/>
    <w:rsid w:val="0070118E"/>
    <w:rsid w:val="007017D2"/>
    <w:rsid w:val="007039DB"/>
    <w:rsid w:val="0070511D"/>
    <w:rsid w:val="00705651"/>
    <w:rsid w:val="007077BB"/>
    <w:rsid w:val="00715860"/>
    <w:rsid w:val="00715B8B"/>
    <w:rsid w:val="00720B21"/>
    <w:rsid w:val="007248E8"/>
    <w:rsid w:val="00724A15"/>
    <w:rsid w:val="00726903"/>
    <w:rsid w:val="00731487"/>
    <w:rsid w:val="007320CA"/>
    <w:rsid w:val="007329E9"/>
    <w:rsid w:val="00732E2A"/>
    <w:rsid w:val="0073429D"/>
    <w:rsid w:val="007411C6"/>
    <w:rsid w:val="007438CF"/>
    <w:rsid w:val="007445E3"/>
    <w:rsid w:val="00744E81"/>
    <w:rsid w:val="007502FD"/>
    <w:rsid w:val="0075101B"/>
    <w:rsid w:val="00752DAB"/>
    <w:rsid w:val="007533A5"/>
    <w:rsid w:val="00754CF3"/>
    <w:rsid w:val="00760731"/>
    <w:rsid w:val="0076119D"/>
    <w:rsid w:val="007654BD"/>
    <w:rsid w:val="00766811"/>
    <w:rsid w:val="00766C89"/>
    <w:rsid w:val="00770825"/>
    <w:rsid w:val="007716DD"/>
    <w:rsid w:val="007718C4"/>
    <w:rsid w:val="00772EE1"/>
    <w:rsid w:val="00774B3D"/>
    <w:rsid w:val="00774F28"/>
    <w:rsid w:val="00775FC6"/>
    <w:rsid w:val="00777ACB"/>
    <w:rsid w:val="00780026"/>
    <w:rsid w:val="00781AD3"/>
    <w:rsid w:val="00783213"/>
    <w:rsid w:val="00784A17"/>
    <w:rsid w:val="00792824"/>
    <w:rsid w:val="0079368D"/>
    <w:rsid w:val="007940A1"/>
    <w:rsid w:val="00796B05"/>
    <w:rsid w:val="007A0CB8"/>
    <w:rsid w:val="007A436A"/>
    <w:rsid w:val="007A515C"/>
    <w:rsid w:val="007B0173"/>
    <w:rsid w:val="007B72BB"/>
    <w:rsid w:val="007C0500"/>
    <w:rsid w:val="007C3845"/>
    <w:rsid w:val="007D18D3"/>
    <w:rsid w:val="007D4A2C"/>
    <w:rsid w:val="007E17AB"/>
    <w:rsid w:val="007E35AB"/>
    <w:rsid w:val="007F141D"/>
    <w:rsid w:val="007F22F1"/>
    <w:rsid w:val="007F2601"/>
    <w:rsid w:val="008005BD"/>
    <w:rsid w:val="00800A9F"/>
    <w:rsid w:val="00803576"/>
    <w:rsid w:val="00807E73"/>
    <w:rsid w:val="00811662"/>
    <w:rsid w:val="00812654"/>
    <w:rsid w:val="00814B8A"/>
    <w:rsid w:val="00817665"/>
    <w:rsid w:val="00820DF1"/>
    <w:rsid w:val="00822CEE"/>
    <w:rsid w:val="0082389A"/>
    <w:rsid w:val="00824E5E"/>
    <w:rsid w:val="008254E6"/>
    <w:rsid w:val="00825863"/>
    <w:rsid w:val="00826274"/>
    <w:rsid w:val="00830A0C"/>
    <w:rsid w:val="008329C1"/>
    <w:rsid w:val="00833A26"/>
    <w:rsid w:val="00833EC3"/>
    <w:rsid w:val="0083647D"/>
    <w:rsid w:val="00836FB3"/>
    <w:rsid w:val="0084145E"/>
    <w:rsid w:val="00842F43"/>
    <w:rsid w:val="00842F7C"/>
    <w:rsid w:val="00844333"/>
    <w:rsid w:val="008458EE"/>
    <w:rsid w:val="00850F7E"/>
    <w:rsid w:val="00851648"/>
    <w:rsid w:val="00852633"/>
    <w:rsid w:val="00853FBC"/>
    <w:rsid w:val="008550B9"/>
    <w:rsid w:val="00855115"/>
    <w:rsid w:val="00857597"/>
    <w:rsid w:val="00857E10"/>
    <w:rsid w:val="00861A58"/>
    <w:rsid w:val="0086635D"/>
    <w:rsid w:val="00866FA4"/>
    <w:rsid w:val="00867E25"/>
    <w:rsid w:val="00870A6B"/>
    <w:rsid w:val="00870D20"/>
    <w:rsid w:val="008728FE"/>
    <w:rsid w:val="00876C7D"/>
    <w:rsid w:val="00876E91"/>
    <w:rsid w:val="0088417E"/>
    <w:rsid w:val="0088424C"/>
    <w:rsid w:val="0088533F"/>
    <w:rsid w:val="00892800"/>
    <w:rsid w:val="0089483A"/>
    <w:rsid w:val="0089525F"/>
    <w:rsid w:val="00896392"/>
    <w:rsid w:val="00897FB9"/>
    <w:rsid w:val="008A12FB"/>
    <w:rsid w:val="008A1A99"/>
    <w:rsid w:val="008A3E4E"/>
    <w:rsid w:val="008B290E"/>
    <w:rsid w:val="008B64B8"/>
    <w:rsid w:val="008C2619"/>
    <w:rsid w:val="008C5C7B"/>
    <w:rsid w:val="008C6160"/>
    <w:rsid w:val="008D05A1"/>
    <w:rsid w:val="008D1766"/>
    <w:rsid w:val="008D262F"/>
    <w:rsid w:val="008D3B7A"/>
    <w:rsid w:val="008D5EEB"/>
    <w:rsid w:val="008E35A8"/>
    <w:rsid w:val="008E4828"/>
    <w:rsid w:val="008F14B8"/>
    <w:rsid w:val="008F49FF"/>
    <w:rsid w:val="008F5CE7"/>
    <w:rsid w:val="008F5FFB"/>
    <w:rsid w:val="00906DFD"/>
    <w:rsid w:val="00910519"/>
    <w:rsid w:val="00910E22"/>
    <w:rsid w:val="009119F8"/>
    <w:rsid w:val="00913285"/>
    <w:rsid w:val="00916282"/>
    <w:rsid w:val="00923EBD"/>
    <w:rsid w:val="009261D4"/>
    <w:rsid w:val="00926BB9"/>
    <w:rsid w:val="00930E52"/>
    <w:rsid w:val="00937EAF"/>
    <w:rsid w:val="00946279"/>
    <w:rsid w:val="00946BB0"/>
    <w:rsid w:val="0095266A"/>
    <w:rsid w:val="00953111"/>
    <w:rsid w:val="0095604E"/>
    <w:rsid w:val="00956BC7"/>
    <w:rsid w:val="00961AC0"/>
    <w:rsid w:val="00961BC9"/>
    <w:rsid w:val="00961ED7"/>
    <w:rsid w:val="0096443E"/>
    <w:rsid w:val="009717EA"/>
    <w:rsid w:val="00972779"/>
    <w:rsid w:val="009765C6"/>
    <w:rsid w:val="00985ACD"/>
    <w:rsid w:val="00986F7B"/>
    <w:rsid w:val="009A5E6D"/>
    <w:rsid w:val="009A5E70"/>
    <w:rsid w:val="009A722A"/>
    <w:rsid w:val="009B103E"/>
    <w:rsid w:val="009B140C"/>
    <w:rsid w:val="009C0108"/>
    <w:rsid w:val="009C4F70"/>
    <w:rsid w:val="009C752F"/>
    <w:rsid w:val="009D0D7B"/>
    <w:rsid w:val="009D0F6D"/>
    <w:rsid w:val="009E2DF3"/>
    <w:rsid w:val="009E464D"/>
    <w:rsid w:val="009E4DF8"/>
    <w:rsid w:val="009F38AE"/>
    <w:rsid w:val="009F60ED"/>
    <w:rsid w:val="009F73EB"/>
    <w:rsid w:val="00A04520"/>
    <w:rsid w:val="00A04609"/>
    <w:rsid w:val="00A04CE0"/>
    <w:rsid w:val="00A04F86"/>
    <w:rsid w:val="00A053F6"/>
    <w:rsid w:val="00A06A6E"/>
    <w:rsid w:val="00A127BA"/>
    <w:rsid w:val="00A15AC7"/>
    <w:rsid w:val="00A2077A"/>
    <w:rsid w:val="00A2517F"/>
    <w:rsid w:val="00A2676B"/>
    <w:rsid w:val="00A30141"/>
    <w:rsid w:val="00A326F4"/>
    <w:rsid w:val="00A34197"/>
    <w:rsid w:val="00A35192"/>
    <w:rsid w:val="00A378DA"/>
    <w:rsid w:val="00A40554"/>
    <w:rsid w:val="00A429B8"/>
    <w:rsid w:val="00A4308E"/>
    <w:rsid w:val="00A44961"/>
    <w:rsid w:val="00A44BD7"/>
    <w:rsid w:val="00A4590D"/>
    <w:rsid w:val="00A461EE"/>
    <w:rsid w:val="00A521D1"/>
    <w:rsid w:val="00A530EF"/>
    <w:rsid w:val="00A5720D"/>
    <w:rsid w:val="00A60DD8"/>
    <w:rsid w:val="00A611A7"/>
    <w:rsid w:val="00A6525B"/>
    <w:rsid w:val="00A6780A"/>
    <w:rsid w:val="00A7095F"/>
    <w:rsid w:val="00A70964"/>
    <w:rsid w:val="00A74979"/>
    <w:rsid w:val="00A75186"/>
    <w:rsid w:val="00A8295A"/>
    <w:rsid w:val="00A83AB6"/>
    <w:rsid w:val="00A873A7"/>
    <w:rsid w:val="00A8782D"/>
    <w:rsid w:val="00A87AE6"/>
    <w:rsid w:val="00A902EA"/>
    <w:rsid w:val="00A94345"/>
    <w:rsid w:val="00A9435F"/>
    <w:rsid w:val="00A9470D"/>
    <w:rsid w:val="00AA12D8"/>
    <w:rsid w:val="00AA1AF4"/>
    <w:rsid w:val="00AA4C9A"/>
    <w:rsid w:val="00AA68F7"/>
    <w:rsid w:val="00AB318D"/>
    <w:rsid w:val="00AB37AB"/>
    <w:rsid w:val="00AC033F"/>
    <w:rsid w:val="00AC25A9"/>
    <w:rsid w:val="00AC4080"/>
    <w:rsid w:val="00AD454B"/>
    <w:rsid w:val="00AD69FB"/>
    <w:rsid w:val="00AE3A0D"/>
    <w:rsid w:val="00AE7F47"/>
    <w:rsid w:val="00AF2764"/>
    <w:rsid w:val="00AF3F2C"/>
    <w:rsid w:val="00AF7470"/>
    <w:rsid w:val="00B00445"/>
    <w:rsid w:val="00B021A0"/>
    <w:rsid w:val="00B02D10"/>
    <w:rsid w:val="00B02E73"/>
    <w:rsid w:val="00B04299"/>
    <w:rsid w:val="00B0617A"/>
    <w:rsid w:val="00B0677F"/>
    <w:rsid w:val="00B06F27"/>
    <w:rsid w:val="00B074F0"/>
    <w:rsid w:val="00B0786A"/>
    <w:rsid w:val="00B07D1C"/>
    <w:rsid w:val="00B12A52"/>
    <w:rsid w:val="00B140C5"/>
    <w:rsid w:val="00B174C7"/>
    <w:rsid w:val="00B21244"/>
    <w:rsid w:val="00B23E31"/>
    <w:rsid w:val="00B27AC4"/>
    <w:rsid w:val="00B3172A"/>
    <w:rsid w:val="00B36572"/>
    <w:rsid w:val="00B4132D"/>
    <w:rsid w:val="00B42ADF"/>
    <w:rsid w:val="00B45BF4"/>
    <w:rsid w:val="00B47C90"/>
    <w:rsid w:val="00B51BE4"/>
    <w:rsid w:val="00B658C9"/>
    <w:rsid w:val="00B727D7"/>
    <w:rsid w:val="00B7627A"/>
    <w:rsid w:val="00B779E2"/>
    <w:rsid w:val="00B77E6B"/>
    <w:rsid w:val="00B85887"/>
    <w:rsid w:val="00B86232"/>
    <w:rsid w:val="00B87D77"/>
    <w:rsid w:val="00B91723"/>
    <w:rsid w:val="00B93C3C"/>
    <w:rsid w:val="00BA4151"/>
    <w:rsid w:val="00BA416A"/>
    <w:rsid w:val="00BA4D34"/>
    <w:rsid w:val="00BA7209"/>
    <w:rsid w:val="00BA739E"/>
    <w:rsid w:val="00BA790C"/>
    <w:rsid w:val="00BA7E42"/>
    <w:rsid w:val="00BB0F67"/>
    <w:rsid w:val="00BB14F6"/>
    <w:rsid w:val="00BB24B2"/>
    <w:rsid w:val="00BB3AB3"/>
    <w:rsid w:val="00BC08B6"/>
    <w:rsid w:val="00BC1CDA"/>
    <w:rsid w:val="00BC2865"/>
    <w:rsid w:val="00BC40CC"/>
    <w:rsid w:val="00BC54F5"/>
    <w:rsid w:val="00BC721C"/>
    <w:rsid w:val="00BD7EC5"/>
    <w:rsid w:val="00BE10C7"/>
    <w:rsid w:val="00BE166C"/>
    <w:rsid w:val="00BE16A1"/>
    <w:rsid w:val="00BE26AB"/>
    <w:rsid w:val="00BE4ECF"/>
    <w:rsid w:val="00BE79E2"/>
    <w:rsid w:val="00BF20E1"/>
    <w:rsid w:val="00BF4812"/>
    <w:rsid w:val="00BF5896"/>
    <w:rsid w:val="00C00FC6"/>
    <w:rsid w:val="00C02264"/>
    <w:rsid w:val="00C03017"/>
    <w:rsid w:val="00C0427E"/>
    <w:rsid w:val="00C0648A"/>
    <w:rsid w:val="00C069BA"/>
    <w:rsid w:val="00C07BCE"/>
    <w:rsid w:val="00C1046C"/>
    <w:rsid w:val="00C14137"/>
    <w:rsid w:val="00C177AC"/>
    <w:rsid w:val="00C218BF"/>
    <w:rsid w:val="00C21D38"/>
    <w:rsid w:val="00C250F4"/>
    <w:rsid w:val="00C27FD7"/>
    <w:rsid w:val="00C330A2"/>
    <w:rsid w:val="00C371D9"/>
    <w:rsid w:val="00C411CE"/>
    <w:rsid w:val="00C43391"/>
    <w:rsid w:val="00C4497A"/>
    <w:rsid w:val="00C45997"/>
    <w:rsid w:val="00C51BC2"/>
    <w:rsid w:val="00C52D7C"/>
    <w:rsid w:val="00C55472"/>
    <w:rsid w:val="00C56D26"/>
    <w:rsid w:val="00C57C5E"/>
    <w:rsid w:val="00C6420D"/>
    <w:rsid w:val="00C72A60"/>
    <w:rsid w:val="00C733AD"/>
    <w:rsid w:val="00C74DDD"/>
    <w:rsid w:val="00C75FE0"/>
    <w:rsid w:val="00C810A9"/>
    <w:rsid w:val="00C8212E"/>
    <w:rsid w:val="00C830A5"/>
    <w:rsid w:val="00C83946"/>
    <w:rsid w:val="00C85B1D"/>
    <w:rsid w:val="00C86EE4"/>
    <w:rsid w:val="00C92038"/>
    <w:rsid w:val="00C92C07"/>
    <w:rsid w:val="00C94A80"/>
    <w:rsid w:val="00C97987"/>
    <w:rsid w:val="00CA2B5F"/>
    <w:rsid w:val="00CA3D8D"/>
    <w:rsid w:val="00CA4118"/>
    <w:rsid w:val="00CA5583"/>
    <w:rsid w:val="00CA5CBA"/>
    <w:rsid w:val="00CB3F0F"/>
    <w:rsid w:val="00CB4135"/>
    <w:rsid w:val="00CB5446"/>
    <w:rsid w:val="00CB7220"/>
    <w:rsid w:val="00CC0BE4"/>
    <w:rsid w:val="00CC2336"/>
    <w:rsid w:val="00CC3240"/>
    <w:rsid w:val="00CC4333"/>
    <w:rsid w:val="00CC7D3E"/>
    <w:rsid w:val="00CD7C91"/>
    <w:rsid w:val="00CE2515"/>
    <w:rsid w:val="00CE458B"/>
    <w:rsid w:val="00CF41BE"/>
    <w:rsid w:val="00D037E4"/>
    <w:rsid w:val="00D10785"/>
    <w:rsid w:val="00D10A1E"/>
    <w:rsid w:val="00D11242"/>
    <w:rsid w:val="00D22219"/>
    <w:rsid w:val="00D25573"/>
    <w:rsid w:val="00D26573"/>
    <w:rsid w:val="00D30C37"/>
    <w:rsid w:val="00D35471"/>
    <w:rsid w:val="00D358C6"/>
    <w:rsid w:val="00D4062D"/>
    <w:rsid w:val="00D4099B"/>
    <w:rsid w:val="00D417C9"/>
    <w:rsid w:val="00D42F67"/>
    <w:rsid w:val="00D44A31"/>
    <w:rsid w:val="00D45C08"/>
    <w:rsid w:val="00D47E88"/>
    <w:rsid w:val="00D515C0"/>
    <w:rsid w:val="00D528BF"/>
    <w:rsid w:val="00D556A7"/>
    <w:rsid w:val="00D6010F"/>
    <w:rsid w:val="00D60251"/>
    <w:rsid w:val="00D60E39"/>
    <w:rsid w:val="00D61B6C"/>
    <w:rsid w:val="00D621B7"/>
    <w:rsid w:val="00D70DC5"/>
    <w:rsid w:val="00D70F1B"/>
    <w:rsid w:val="00D760B8"/>
    <w:rsid w:val="00D820D6"/>
    <w:rsid w:val="00D840A4"/>
    <w:rsid w:val="00D861A7"/>
    <w:rsid w:val="00D90C7F"/>
    <w:rsid w:val="00D91432"/>
    <w:rsid w:val="00D96948"/>
    <w:rsid w:val="00D971AB"/>
    <w:rsid w:val="00D97503"/>
    <w:rsid w:val="00DA1C5A"/>
    <w:rsid w:val="00DA5A5B"/>
    <w:rsid w:val="00DA6978"/>
    <w:rsid w:val="00DA6D51"/>
    <w:rsid w:val="00DB0052"/>
    <w:rsid w:val="00DB4E40"/>
    <w:rsid w:val="00DB7909"/>
    <w:rsid w:val="00DD03AF"/>
    <w:rsid w:val="00DD604C"/>
    <w:rsid w:val="00DD6E7F"/>
    <w:rsid w:val="00DE473C"/>
    <w:rsid w:val="00DE65EE"/>
    <w:rsid w:val="00DF1C83"/>
    <w:rsid w:val="00DF489D"/>
    <w:rsid w:val="00DF7601"/>
    <w:rsid w:val="00E002FA"/>
    <w:rsid w:val="00E00A00"/>
    <w:rsid w:val="00E07AAC"/>
    <w:rsid w:val="00E1077F"/>
    <w:rsid w:val="00E1238E"/>
    <w:rsid w:val="00E13989"/>
    <w:rsid w:val="00E13FEC"/>
    <w:rsid w:val="00E20014"/>
    <w:rsid w:val="00E216D7"/>
    <w:rsid w:val="00E21910"/>
    <w:rsid w:val="00E2410C"/>
    <w:rsid w:val="00E26E05"/>
    <w:rsid w:val="00E309E0"/>
    <w:rsid w:val="00E3225D"/>
    <w:rsid w:val="00E32E76"/>
    <w:rsid w:val="00E35923"/>
    <w:rsid w:val="00E35BCC"/>
    <w:rsid w:val="00E35C10"/>
    <w:rsid w:val="00E40925"/>
    <w:rsid w:val="00E40EB4"/>
    <w:rsid w:val="00E4114B"/>
    <w:rsid w:val="00E41698"/>
    <w:rsid w:val="00E4294B"/>
    <w:rsid w:val="00E472D8"/>
    <w:rsid w:val="00E517EE"/>
    <w:rsid w:val="00E51979"/>
    <w:rsid w:val="00E571BD"/>
    <w:rsid w:val="00E61E51"/>
    <w:rsid w:val="00E62ED8"/>
    <w:rsid w:val="00E64DCD"/>
    <w:rsid w:val="00E804FF"/>
    <w:rsid w:val="00E8314C"/>
    <w:rsid w:val="00E85AB0"/>
    <w:rsid w:val="00E85F2F"/>
    <w:rsid w:val="00E86E53"/>
    <w:rsid w:val="00E922E8"/>
    <w:rsid w:val="00E95DCF"/>
    <w:rsid w:val="00E9691E"/>
    <w:rsid w:val="00E96A47"/>
    <w:rsid w:val="00EA0766"/>
    <w:rsid w:val="00EB18E5"/>
    <w:rsid w:val="00EB2DC1"/>
    <w:rsid w:val="00EB4BEB"/>
    <w:rsid w:val="00EB5B75"/>
    <w:rsid w:val="00EB6594"/>
    <w:rsid w:val="00EC2E9B"/>
    <w:rsid w:val="00ED0DC3"/>
    <w:rsid w:val="00ED0FEB"/>
    <w:rsid w:val="00ED23D9"/>
    <w:rsid w:val="00EE277F"/>
    <w:rsid w:val="00EE483A"/>
    <w:rsid w:val="00EE5268"/>
    <w:rsid w:val="00EE64FC"/>
    <w:rsid w:val="00EE7A2A"/>
    <w:rsid w:val="00EF1DDF"/>
    <w:rsid w:val="00EF366D"/>
    <w:rsid w:val="00F06C94"/>
    <w:rsid w:val="00F06CA2"/>
    <w:rsid w:val="00F16441"/>
    <w:rsid w:val="00F264BB"/>
    <w:rsid w:val="00F303E6"/>
    <w:rsid w:val="00F318B0"/>
    <w:rsid w:val="00F32B5B"/>
    <w:rsid w:val="00F34385"/>
    <w:rsid w:val="00F42721"/>
    <w:rsid w:val="00F5295B"/>
    <w:rsid w:val="00F5557A"/>
    <w:rsid w:val="00F55BF1"/>
    <w:rsid w:val="00F5645F"/>
    <w:rsid w:val="00F56776"/>
    <w:rsid w:val="00F57520"/>
    <w:rsid w:val="00F60385"/>
    <w:rsid w:val="00F63E07"/>
    <w:rsid w:val="00F6638E"/>
    <w:rsid w:val="00F74200"/>
    <w:rsid w:val="00F76369"/>
    <w:rsid w:val="00F80A2F"/>
    <w:rsid w:val="00F84539"/>
    <w:rsid w:val="00F8585E"/>
    <w:rsid w:val="00F85D7F"/>
    <w:rsid w:val="00F9130B"/>
    <w:rsid w:val="00F91B9F"/>
    <w:rsid w:val="00F927EE"/>
    <w:rsid w:val="00F92807"/>
    <w:rsid w:val="00F93C5A"/>
    <w:rsid w:val="00F94450"/>
    <w:rsid w:val="00F95F69"/>
    <w:rsid w:val="00FA071E"/>
    <w:rsid w:val="00FA3C25"/>
    <w:rsid w:val="00FA78C4"/>
    <w:rsid w:val="00FB3A51"/>
    <w:rsid w:val="00FB477F"/>
    <w:rsid w:val="00FB6E39"/>
    <w:rsid w:val="00FC2A33"/>
    <w:rsid w:val="00FC6CDB"/>
    <w:rsid w:val="00FC6EBE"/>
    <w:rsid w:val="00FC72F0"/>
    <w:rsid w:val="00FC7B65"/>
    <w:rsid w:val="00FC7B6D"/>
    <w:rsid w:val="00FD08F8"/>
    <w:rsid w:val="00FD6AC0"/>
    <w:rsid w:val="00FD799F"/>
    <w:rsid w:val="00FD7DFC"/>
    <w:rsid w:val="00FE463F"/>
    <w:rsid w:val="00FF311A"/>
    <w:rsid w:val="00FF446F"/>
    <w:rsid w:val="00FF4C93"/>
    <w:rsid w:val="00FF58B3"/>
    <w:rsid w:val="00FF7032"/>
    <w:rsid w:val="00FF7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2A2C"/>
  <w15:chartTrackingRefBased/>
  <w15:docId w15:val="{5F0AAF37-7747-5049-9298-91503C38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0A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ECF"/>
    <w:pPr>
      <w:ind w:left="720"/>
      <w:contextualSpacing/>
    </w:pPr>
  </w:style>
  <w:style w:type="character" w:customStyle="1" w:styleId="apple-converted-space">
    <w:name w:val="apple-converted-space"/>
    <w:basedOn w:val="DefaultParagraphFont"/>
    <w:rsid w:val="00C86EE4"/>
  </w:style>
  <w:style w:type="paragraph" w:styleId="NormalWeb">
    <w:name w:val="Normal (Web)"/>
    <w:basedOn w:val="Normal"/>
    <w:uiPriority w:val="99"/>
    <w:unhideWhenUsed/>
    <w:rsid w:val="00FB3A51"/>
    <w:pPr>
      <w:spacing w:before="100" w:beforeAutospacing="1" w:after="100" w:afterAutospacing="1"/>
    </w:pPr>
  </w:style>
  <w:style w:type="character" w:styleId="Hyperlink">
    <w:name w:val="Hyperlink"/>
    <w:basedOn w:val="DefaultParagraphFont"/>
    <w:uiPriority w:val="99"/>
    <w:unhideWhenUsed/>
    <w:rsid w:val="007502FD"/>
    <w:rPr>
      <w:color w:val="0563C1" w:themeColor="hyperlink"/>
      <w:u w:val="single"/>
    </w:rPr>
  </w:style>
  <w:style w:type="character" w:styleId="UnresolvedMention">
    <w:name w:val="Unresolved Mention"/>
    <w:basedOn w:val="DefaultParagraphFont"/>
    <w:uiPriority w:val="99"/>
    <w:semiHidden/>
    <w:unhideWhenUsed/>
    <w:rsid w:val="007502FD"/>
    <w:rPr>
      <w:color w:val="605E5C"/>
      <w:shd w:val="clear" w:color="auto" w:fill="E1DFDD"/>
    </w:rPr>
  </w:style>
  <w:style w:type="character" w:styleId="FollowedHyperlink">
    <w:name w:val="FollowedHyperlink"/>
    <w:basedOn w:val="DefaultParagraphFont"/>
    <w:uiPriority w:val="99"/>
    <w:semiHidden/>
    <w:unhideWhenUsed/>
    <w:rsid w:val="008B64B8"/>
    <w:rPr>
      <w:color w:val="954F72" w:themeColor="followedHyperlink"/>
      <w:u w:val="single"/>
    </w:rPr>
  </w:style>
  <w:style w:type="character" w:styleId="CommentReference">
    <w:name w:val="annotation reference"/>
    <w:basedOn w:val="DefaultParagraphFont"/>
    <w:uiPriority w:val="99"/>
    <w:semiHidden/>
    <w:unhideWhenUsed/>
    <w:rsid w:val="00D820D6"/>
    <w:rPr>
      <w:sz w:val="16"/>
      <w:szCs w:val="16"/>
    </w:rPr>
  </w:style>
  <w:style w:type="paragraph" w:styleId="CommentText">
    <w:name w:val="annotation text"/>
    <w:basedOn w:val="Normal"/>
    <w:link w:val="CommentTextChar"/>
    <w:uiPriority w:val="99"/>
    <w:semiHidden/>
    <w:unhideWhenUsed/>
    <w:rsid w:val="00D820D6"/>
    <w:rPr>
      <w:sz w:val="20"/>
      <w:szCs w:val="20"/>
    </w:rPr>
  </w:style>
  <w:style w:type="character" w:customStyle="1" w:styleId="CommentTextChar">
    <w:name w:val="Comment Text Char"/>
    <w:basedOn w:val="DefaultParagraphFont"/>
    <w:link w:val="CommentText"/>
    <w:uiPriority w:val="99"/>
    <w:semiHidden/>
    <w:rsid w:val="00D820D6"/>
    <w:rPr>
      <w:sz w:val="20"/>
      <w:szCs w:val="20"/>
    </w:rPr>
  </w:style>
  <w:style w:type="paragraph" w:styleId="CommentSubject">
    <w:name w:val="annotation subject"/>
    <w:basedOn w:val="CommentText"/>
    <w:next w:val="CommentText"/>
    <w:link w:val="CommentSubjectChar"/>
    <w:uiPriority w:val="99"/>
    <w:semiHidden/>
    <w:unhideWhenUsed/>
    <w:rsid w:val="00D820D6"/>
    <w:rPr>
      <w:b/>
      <w:bCs/>
    </w:rPr>
  </w:style>
  <w:style w:type="character" w:customStyle="1" w:styleId="CommentSubjectChar">
    <w:name w:val="Comment Subject Char"/>
    <w:basedOn w:val="CommentTextChar"/>
    <w:link w:val="CommentSubject"/>
    <w:uiPriority w:val="99"/>
    <w:semiHidden/>
    <w:rsid w:val="00D820D6"/>
    <w:rPr>
      <w:b/>
      <w:bCs/>
      <w:sz w:val="20"/>
      <w:szCs w:val="20"/>
    </w:rPr>
  </w:style>
  <w:style w:type="paragraph" w:styleId="Revision">
    <w:name w:val="Revision"/>
    <w:hidden/>
    <w:uiPriority w:val="99"/>
    <w:semiHidden/>
    <w:rsid w:val="00953111"/>
  </w:style>
  <w:style w:type="table" w:styleId="PlainTable2">
    <w:name w:val="Plain Table 2"/>
    <w:basedOn w:val="TableNormal"/>
    <w:uiPriority w:val="42"/>
    <w:rsid w:val="001924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92EE3"/>
    <w:pPr>
      <w:spacing w:after="200"/>
    </w:pPr>
    <w:rPr>
      <w:i/>
      <w:iCs/>
      <w:color w:val="44546A" w:themeColor="text2"/>
      <w:sz w:val="18"/>
      <w:szCs w:val="18"/>
    </w:rPr>
  </w:style>
  <w:style w:type="paragraph" w:styleId="PlainText">
    <w:name w:val="Plain Text"/>
    <w:basedOn w:val="Normal"/>
    <w:link w:val="PlainTextChar"/>
    <w:uiPriority w:val="99"/>
    <w:unhideWhenUsed/>
    <w:rsid w:val="00487F7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87F7C"/>
    <w:rPr>
      <w:rFonts w:ascii="Consolas" w:hAnsi="Consolas"/>
      <w:sz w:val="21"/>
      <w:szCs w:val="21"/>
    </w:rPr>
  </w:style>
  <w:style w:type="character" w:customStyle="1" w:styleId="u-visually-hidden">
    <w:name w:val="u-visually-hidden"/>
    <w:basedOn w:val="DefaultParagraphFont"/>
    <w:rsid w:val="004A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021">
      <w:bodyDiv w:val="1"/>
      <w:marLeft w:val="0"/>
      <w:marRight w:val="0"/>
      <w:marTop w:val="0"/>
      <w:marBottom w:val="0"/>
      <w:divBdr>
        <w:top w:val="none" w:sz="0" w:space="0" w:color="auto"/>
        <w:left w:val="none" w:sz="0" w:space="0" w:color="auto"/>
        <w:bottom w:val="none" w:sz="0" w:space="0" w:color="auto"/>
        <w:right w:val="none" w:sz="0" w:space="0" w:color="auto"/>
      </w:divBdr>
      <w:divsChild>
        <w:div w:id="890730381">
          <w:marLeft w:val="0"/>
          <w:marRight w:val="0"/>
          <w:marTop w:val="0"/>
          <w:marBottom w:val="0"/>
          <w:divBdr>
            <w:top w:val="none" w:sz="0" w:space="0" w:color="auto"/>
            <w:left w:val="none" w:sz="0" w:space="0" w:color="auto"/>
            <w:bottom w:val="none" w:sz="0" w:space="0" w:color="auto"/>
            <w:right w:val="none" w:sz="0" w:space="0" w:color="auto"/>
          </w:divBdr>
          <w:divsChild>
            <w:div w:id="1792702901">
              <w:marLeft w:val="0"/>
              <w:marRight w:val="0"/>
              <w:marTop w:val="0"/>
              <w:marBottom w:val="0"/>
              <w:divBdr>
                <w:top w:val="none" w:sz="0" w:space="0" w:color="auto"/>
                <w:left w:val="none" w:sz="0" w:space="0" w:color="auto"/>
                <w:bottom w:val="none" w:sz="0" w:space="0" w:color="auto"/>
                <w:right w:val="none" w:sz="0" w:space="0" w:color="auto"/>
              </w:divBdr>
              <w:divsChild>
                <w:div w:id="172765954">
                  <w:marLeft w:val="0"/>
                  <w:marRight w:val="0"/>
                  <w:marTop w:val="0"/>
                  <w:marBottom w:val="0"/>
                  <w:divBdr>
                    <w:top w:val="none" w:sz="0" w:space="0" w:color="auto"/>
                    <w:left w:val="none" w:sz="0" w:space="0" w:color="auto"/>
                    <w:bottom w:val="none" w:sz="0" w:space="0" w:color="auto"/>
                    <w:right w:val="none" w:sz="0" w:space="0" w:color="auto"/>
                  </w:divBdr>
                  <w:divsChild>
                    <w:div w:id="14023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9097">
      <w:bodyDiv w:val="1"/>
      <w:marLeft w:val="0"/>
      <w:marRight w:val="0"/>
      <w:marTop w:val="0"/>
      <w:marBottom w:val="0"/>
      <w:divBdr>
        <w:top w:val="none" w:sz="0" w:space="0" w:color="auto"/>
        <w:left w:val="none" w:sz="0" w:space="0" w:color="auto"/>
        <w:bottom w:val="none" w:sz="0" w:space="0" w:color="auto"/>
        <w:right w:val="none" w:sz="0" w:space="0" w:color="auto"/>
      </w:divBdr>
    </w:div>
    <w:div w:id="80027025">
      <w:bodyDiv w:val="1"/>
      <w:marLeft w:val="0"/>
      <w:marRight w:val="0"/>
      <w:marTop w:val="0"/>
      <w:marBottom w:val="0"/>
      <w:divBdr>
        <w:top w:val="none" w:sz="0" w:space="0" w:color="auto"/>
        <w:left w:val="none" w:sz="0" w:space="0" w:color="auto"/>
        <w:bottom w:val="none" w:sz="0" w:space="0" w:color="auto"/>
        <w:right w:val="none" w:sz="0" w:space="0" w:color="auto"/>
      </w:divBdr>
    </w:div>
    <w:div w:id="223874823">
      <w:bodyDiv w:val="1"/>
      <w:marLeft w:val="0"/>
      <w:marRight w:val="0"/>
      <w:marTop w:val="0"/>
      <w:marBottom w:val="0"/>
      <w:divBdr>
        <w:top w:val="none" w:sz="0" w:space="0" w:color="auto"/>
        <w:left w:val="none" w:sz="0" w:space="0" w:color="auto"/>
        <w:bottom w:val="none" w:sz="0" w:space="0" w:color="auto"/>
        <w:right w:val="none" w:sz="0" w:space="0" w:color="auto"/>
      </w:divBdr>
    </w:div>
    <w:div w:id="260261017">
      <w:bodyDiv w:val="1"/>
      <w:marLeft w:val="0"/>
      <w:marRight w:val="0"/>
      <w:marTop w:val="0"/>
      <w:marBottom w:val="0"/>
      <w:divBdr>
        <w:top w:val="none" w:sz="0" w:space="0" w:color="auto"/>
        <w:left w:val="none" w:sz="0" w:space="0" w:color="auto"/>
        <w:bottom w:val="none" w:sz="0" w:space="0" w:color="auto"/>
        <w:right w:val="none" w:sz="0" w:space="0" w:color="auto"/>
      </w:divBdr>
    </w:div>
    <w:div w:id="270282281">
      <w:bodyDiv w:val="1"/>
      <w:marLeft w:val="0"/>
      <w:marRight w:val="0"/>
      <w:marTop w:val="0"/>
      <w:marBottom w:val="0"/>
      <w:divBdr>
        <w:top w:val="none" w:sz="0" w:space="0" w:color="auto"/>
        <w:left w:val="none" w:sz="0" w:space="0" w:color="auto"/>
        <w:bottom w:val="none" w:sz="0" w:space="0" w:color="auto"/>
        <w:right w:val="none" w:sz="0" w:space="0" w:color="auto"/>
      </w:divBdr>
      <w:divsChild>
        <w:div w:id="1285191178">
          <w:marLeft w:val="0"/>
          <w:marRight w:val="0"/>
          <w:marTop w:val="0"/>
          <w:marBottom w:val="0"/>
          <w:divBdr>
            <w:top w:val="none" w:sz="0" w:space="0" w:color="auto"/>
            <w:left w:val="none" w:sz="0" w:space="0" w:color="auto"/>
            <w:bottom w:val="none" w:sz="0" w:space="0" w:color="auto"/>
            <w:right w:val="none" w:sz="0" w:space="0" w:color="auto"/>
          </w:divBdr>
          <w:divsChild>
            <w:div w:id="2067216713">
              <w:marLeft w:val="0"/>
              <w:marRight w:val="0"/>
              <w:marTop w:val="0"/>
              <w:marBottom w:val="0"/>
              <w:divBdr>
                <w:top w:val="none" w:sz="0" w:space="0" w:color="auto"/>
                <w:left w:val="none" w:sz="0" w:space="0" w:color="auto"/>
                <w:bottom w:val="none" w:sz="0" w:space="0" w:color="auto"/>
                <w:right w:val="none" w:sz="0" w:space="0" w:color="auto"/>
              </w:divBdr>
              <w:divsChild>
                <w:div w:id="19137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32298">
      <w:bodyDiv w:val="1"/>
      <w:marLeft w:val="0"/>
      <w:marRight w:val="0"/>
      <w:marTop w:val="0"/>
      <w:marBottom w:val="0"/>
      <w:divBdr>
        <w:top w:val="none" w:sz="0" w:space="0" w:color="auto"/>
        <w:left w:val="none" w:sz="0" w:space="0" w:color="auto"/>
        <w:bottom w:val="none" w:sz="0" w:space="0" w:color="auto"/>
        <w:right w:val="none" w:sz="0" w:space="0" w:color="auto"/>
      </w:divBdr>
      <w:divsChild>
        <w:div w:id="388962105">
          <w:marLeft w:val="0"/>
          <w:marRight w:val="0"/>
          <w:marTop w:val="0"/>
          <w:marBottom w:val="0"/>
          <w:divBdr>
            <w:top w:val="none" w:sz="0" w:space="0" w:color="auto"/>
            <w:left w:val="none" w:sz="0" w:space="0" w:color="auto"/>
            <w:bottom w:val="none" w:sz="0" w:space="0" w:color="auto"/>
            <w:right w:val="none" w:sz="0" w:space="0" w:color="auto"/>
          </w:divBdr>
        </w:div>
        <w:div w:id="40641592">
          <w:marLeft w:val="0"/>
          <w:marRight w:val="0"/>
          <w:marTop w:val="0"/>
          <w:marBottom w:val="0"/>
          <w:divBdr>
            <w:top w:val="none" w:sz="0" w:space="0" w:color="auto"/>
            <w:left w:val="none" w:sz="0" w:space="0" w:color="auto"/>
            <w:bottom w:val="none" w:sz="0" w:space="0" w:color="auto"/>
            <w:right w:val="none" w:sz="0" w:space="0" w:color="auto"/>
          </w:divBdr>
        </w:div>
        <w:div w:id="181944662">
          <w:marLeft w:val="0"/>
          <w:marRight w:val="0"/>
          <w:marTop w:val="0"/>
          <w:marBottom w:val="0"/>
          <w:divBdr>
            <w:top w:val="none" w:sz="0" w:space="0" w:color="auto"/>
            <w:left w:val="none" w:sz="0" w:space="0" w:color="auto"/>
            <w:bottom w:val="none" w:sz="0" w:space="0" w:color="auto"/>
            <w:right w:val="none" w:sz="0" w:space="0" w:color="auto"/>
          </w:divBdr>
        </w:div>
      </w:divsChild>
    </w:div>
    <w:div w:id="372003323">
      <w:bodyDiv w:val="1"/>
      <w:marLeft w:val="0"/>
      <w:marRight w:val="0"/>
      <w:marTop w:val="0"/>
      <w:marBottom w:val="0"/>
      <w:divBdr>
        <w:top w:val="none" w:sz="0" w:space="0" w:color="auto"/>
        <w:left w:val="none" w:sz="0" w:space="0" w:color="auto"/>
        <w:bottom w:val="none" w:sz="0" w:space="0" w:color="auto"/>
        <w:right w:val="none" w:sz="0" w:space="0" w:color="auto"/>
      </w:divBdr>
    </w:div>
    <w:div w:id="451439374">
      <w:bodyDiv w:val="1"/>
      <w:marLeft w:val="0"/>
      <w:marRight w:val="0"/>
      <w:marTop w:val="0"/>
      <w:marBottom w:val="0"/>
      <w:divBdr>
        <w:top w:val="none" w:sz="0" w:space="0" w:color="auto"/>
        <w:left w:val="none" w:sz="0" w:space="0" w:color="auto"/>
        <w:bottom w:val="none" w:sz="0" w:space="0" w:color="auto"/>
        <w:right w:val="none" w:sz="0" w:space="0" w:color="auto"/>
      </w:divBdr>
    </w:div>
    <w:div w:id="465700697">
      <w:bodyDiv w:val="1"/>
      <w:marLeft w:val="0"/>
      <w:marRight w:val="0"/>
      <w:marTop w:val="0"/>
      <w:marBottom w:val="0"/>
      <w:divBdr>
        <w:top w:val="none" w:sz="0" w:space="0" w:color="auto"/>
        <w:left w:val="none" w:sz="0" w:space="0" w:color="auto"/>
        <w:bottom w:val="none" w:sz="0" w:space="0" w:color="auto"/>
        <w:right w:val="none" w:sz="0" w:space="0" w:color="auto"/>
      </w:divBdr>
    </w:div>
    <w:div w:id="544951502">
      <w:bodyDiv w:val="1"/>
      <w:marLeft w:val="0"/>
      <w:marRight w:val="0"/>
      <w:marTop w:val="0"/>
      <w:marBottom w:val="0"/>
      <w:divBdr>
        <w:top w:val="none" w:sz="0" w:space="0" w:color="auto"/>
        <w:left w:val="none" w:sz="0" w:space="0" w:color="auto"/>
        <w:bottom w:val="none" w:sz="0" w:space="0" w:color="auto"/>
        <w:right w:val="none" w:sz="0" w:space="0" w:color="auto"/>
      </w:divBdr>
      <w:divsChild>
        <w:div w:id="1722822787">
          <w:marLeft w:val="0"/>
          <w:marRight w:val="0"/>
          <w:marTop w:val="0"/>
          <w:marBottom w:val="0"/>
          <w:divBdr>
            <w:top w:val="none" w:sz="0" w:space="0" w:color="auto"/>
            <w:left w:val="none" w:sz="0" w:space="0" w:color="auto"/>
            <w:bottom w:val="none" w:sz="0" w:space="0" w:color="auto"/>
            <w:right w:val="none" w:sz="0" w:space="0" w:color="auto"/>
          </w:divBdr>
          <w:divsChild>
            <w:div w:id="1316566506">
              <w:marLeft w:val="0"/>
              <w:marRight w:val="0"/>
              <w:marTop w:val="0"/>
              <w:marBottom w:val="0"/>
              <w:divBdr>
                <w:top w:val="none" w:sz="0" w:space="0" w:color="auto"/>
                <w:left w:val="none" w:sz="0" w:space="0" w:color="auto"/>
                <w:bottom w:val="none" w:sz="0" w:space="0" w:color="auto"/>
                <w:right w:val="none" w:sz="0" w:space="0" w:color="auto"/>
              </w:divBdr>
              <w:divsChild>
                <w:div w:id="33966647">
                  <w:marLeft w:val="0"/>
                  <w:marRight w:val="0"/>
                  <w:marTop w:val="0"/>
                  <w:marBottom w:val="0"/>
                  <w:divBdr>
                    <w:top w:val="none" w:sz="0" w:space="0" w:color="auto"/>
                    <w:left w:val="none" w:sz="0" w:space="0" w:color="auto"/>
                    <w:bottom w:val="none" w:sz="0" w:space="0" w:color="auto"/>
                    <w:right w:val="none" w:sz="0" w:space="0" w:color="auto"/>
                  </w:divBdr>
                  <w:divsChild>
                    <w:div w:id="1164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13782">
      <w:bodyDiv w:val="1"/>
      <w:marLeft w:val="0"/>
      <w:marRight w:val="0"/>
      <w:marTop w:val="0"/>
      <w:marBottom w:val="0"/>
      <w:divBdr>
        <w:top w:val="none" w:sz="0" w:space="0" w:color="auto"/>
        <w:left w:val="none" w:sz="0" w:space="0" w:color="auto"/>
        <w:bottom w:val="none" w:sz="0" w:space="0" w:color="auto"/>
        <w:right w:val="none" w:sz="0" w:space="0" w:color="auto"/>
      </w:divBdr>
      <w:divsChild>
        <w:div w:id="41828414">
          <w:marLeft w:val="0"/>
          <w:marRight w:val="0"/>
          <w:marTop w:val="0"/>
          <w:marBottom w:val="0"/>
          <w:divBdr>
            <w:top w:val="none" w:sz="0" w:space="0" w:color="auto"/>
            <w:left w:val="none" w:sz="0" w:space="0" w:color="auto"/>
            <w:bottom w:val="none" w:sz="0" w:space="0" w:color="auto"/>
            <w:right w:val="none" w:sz="0" w:space="0" w:color="auto"/>
          </w:divBdr>
          <w:divsChild>
            <w:div w:id="823083917">
              <w:marLeft w:val="0"/>
              <w:marRight w:val="0"/>
              <w:marTop w:val="0"/>
              <w:marBottom w:val="0"/>
              <w:divBdr>
                <w:top w:val="none" w:sz="0" w:space="0" w:color="auto"/>
                <w:left w:val="none" w:sz="0" w:space="0" w:color="auto"/>
                <w:bottom w:val="none" w:sz="0" w:space="0" w:color="auto"/>
                <w:right w:val="none" w:sz="0" w:space="0" w:color="auto"/>
              </w:divBdr>
              <w:divsChild>
                <w:div w:id="194463146">
                  <w:marLeft w:val="0"/>
                  <w:marRight w:val="0"/>
                  <w:marTop w:val="0"/>
                  <w:marBottom w:val="0"/>
                  <w:divBdr>
                    <w:top w:val="none" w:sz="0" w:space="0" w:color="auto"/>
                    <w:left w:val="none" w:sz="0" w:space="0" w:color="auto"/>
                    <w:bottom w:val="none" w:sz="0" w:space="0" w:color="auto"/>
                    <w:right w:val="none" w:sz="0" w:space="0" w:color="auto"/>
                  </w:divBdr>
                  <w:divsChild>
                    <w:div w:id="473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05825">
      <w:bodyDiv w:val="1"/>
      <w:marLeft w:val="0"/>
      <w:marRight w:val="0"/>
      <w:marTop w:val="0"/>
      <w:marBottom w:val="0"/>
      <w:divBdr>
        <w:top w:val="none" w:sz="0" w:space="0" w:color="auto"/>
        <w:left w:val="none" w:sz="0" w:space="0" w:color="auto"/>
        <w:bottom w:val="none" w:sz="0" w:space="0" w:color="auto"/>
        <w:right w:val="none" w:sz="0" w:space="0" w:color="auto"/>
      </w:divBdr>
      <w:divsChild>
        <w:div w:id="1799372519">
          <w:marLeft w:val="0"/>
          <w:marRight w:val="0"/>
          <w:marTop w:val="0"/>
          <w:marBottom w:val="0"/>
          <w:divBdr>
            <w:top w:val="none" w:sz="0" w:space="0" w:color="auto"/>
            <w:left w:val="none" w:sz="0" w:space="0" w:color="auto"/>
            <w:bottom w:val="none" w:sz="0" w:space="0" w:color="auto"/>
            <w:right w:val="none" w:sz="0" w:space="0" w:color="auto"/>
          </w:divBdr>
          <w:divsChild>
            <w:div w:id="1596933851">
              <w:marLeft w:val="0"/>
              <w:marRight w:val="0"/>
              <w:marTop w:val="0"/>
              <w:marBottom w:val="0"/>
              <w:divBdr>
                <w:top w:val="none" w:sz="0" w:space="0" w:color="auto"/>
                <w:left w:val="none" w:sz="0" w:space="0" w:color="auto"/>
                <w:bottom w:val="none" w:sz="0" w:space="0" w:color="auto"/>
                <w:right w:val="none" w:sz="0" w:space="0" w:color="auto"/>
              </w:divBdr>
              <w:divsChild>
                <w:div w:id="1987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1893">
      <w:bodyDiv w:val="1"/>
      <w:marLeft w:val="0"/>
      <w:marRight w:val="0"/>
      <w:marTop w:val="0"/>
      <w:marBottom w:val="0"/>
      <w:divBdr>
        <w:top w:val="none" w:sz="0" w:space="0" w:color="auto"/>
        <w:left w:val="none" w:sz="0" w:space="0" w:color="auto"/>
        <w:bottom w:val="none" w:sz="0" w:space="0" w:color="auto"/>
        <w:right w:val="none" w:sz="0" w:space="0" w:color="auto"/>
      </w:divBdr>
      <w:divsChild>
        <w:div w:id="684525750">
          <w:marLeft w:val="0"/>
          <w:marRight w:val="0"/>
          <w:marTop w:val="0"/>
          <w:marBottom w:val="0"/>
          <w:divBdr>
            <w:top w:val="none" w:sz="0" w:space="0" w:color="auto"/>
            <w:left w:val="none" w:sz="0" w:space="0" w:color="auto"/>
            <w:bottom w:val="none" w:sz="0" w:space="0" w:color="auto"/>
            <w:right w:val="none" w:sz="0" w:space="0" w:color="auto"/>
          </w:divBdr>
          <w:divsChild>
            <w:div w:id="1878622051">
              <w:marLeft w:val="0"/>
              <w:marRight w:val="0"/>
              <w:marTop w:val="0"/>
              <w:marBottom w:val="0"/>
              <w:divBdr>
                <w:top w:val="none" w:sz="0" w:space="0" w:color="auto"/>
                <w:left w:val="none" w:sz="0" w:space="0" w:color="auto"/>
                <w:bottom w:val="none" w:sz="0" w:space="0" w:color="auto"/>
                <w:right w:val="none" w:sz="0" w:space="0" w:color="auto"/>
              </w:divBdr>
              <w:divsChild>
                <w:div w:id="15104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172">
      <w:bodyDiv w:val="1"/>
      <w:marLeft w:val="0"/>
      <w:marRight w:val="0"/>
      <w:marTop w:val="0"/>
      <w:marBottom w:val="0"/>
      <w:divBdr>
        <w:top w:val="none" w:sz="0" w:space="0" w:color="auto"/>
        <w:left w:val="none" w:sz="0" w:space="0" w:color="auto"/>
        <w:bottom w:val="none" w:sz="0" w:space="0" w:color="auto"/>
        <w:right w:val="none" w:sz="0" w:space="0" w:color="auto"/>
      </w:divBdr>
      <w:divsChild>
        <w:div w:id="73092813">
          <w:marLeft w:val="0"/>
          <w:marRight w:val="0"/>
          <w:marTop w:val="0"/>
          <w:marBottom w:val="0"/>
          <w:divBdr>
            <w:top w:val="none" w:sz="0" w:space="0" w:color="auto"/>
            <w:left w:val="none" w:sz="0" w:space="0" w:color="auto"/>
            <w:bottom w:val="none" w:sz="0" w:space="0" w:color="auto"/>
            <w:right w:val="none" w:sz="0" w:space="0" w:color="auto"/>
          </w:divBdr>
          <w:divsChild>
            <w:div w:id="669524621">
              <w:marLeft w:val="0"/>
              <w:marRight w:val="0"/>
              <w:marTop w:val="0"/>
              <w:marBottom w:val="0"/>
              <w:divBdr>
                <w:top w:val="none" w:sz="0" w:space="0" w:color="auto"/>
                <w:left w:val="none" w:sz="0" w:space="0" w:color="auto"/>
                <w:bottom w:val="none" w:sz="0" w:space="0" w:color="auto"/>
                <w:right w:val="none" w:sz="0" w:space="0" w:color="auto"/>
              </w:divBdr>
              <w:divsChild>
                <w:div w:id="1291545749">
                  <w:marLeft w:val="0"/>
                  <w:marRight w:val="0"/>
                  <w:marTop w:val="0"/>
                  <w:marBottom w:val="0"/>
                  <w:divBdr>
                    <w:top w:val="none" w:sz="0" w:space="0" w:color="auto"/>
                    <w:left w:val="none" w:sz="0" w:space="0" w:color="auto"/>
                    <w:bottom w:val="none" w:sz="0" w:space="0" w:color="auto"/>
                    <w:right w:val="none" w:sz="0" w:space="0" w:color="auto"/>
                  </w:divBdr>
                  <w:divsChild>
                    <w:div w:id="18189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12212">
      <w:bodyDiv w:val="1"/>
      <w:marLeft w:val="0"/>
      <w:marRight w:val="0"/>
      <w:marTop w:val="0"/>
      <w:marBottom w:val="0"/>
      <w:divBdr>
        <w:top w:val="none" w:sz="0" w:space="0" w:color="auto"/>
        <w:left w:val="none" w:sz="0" w:space="0" w:color="auto"/>
        <w:bottom w:val="none" w:sz="0" w:space="0" w:color="auto"/>
        <w:right w:val="none" w:sz="0" w:space="0" w:color="auto"/>
      </w:divBdr>
      <w:divsChild>
        <w:div w:id="542403186">
          <w:marLeft w:val="0"/>
          <w:marRight w:val="0"/>
          <w:marTop w:val="0"/>
          <w:marBottom w:val="0"/>
          <w:divBdr>
            <w:top w:val="none" w:sz="0" w:space="0" w:color="auto"/>
            <w:left w:val="none" w:sz="0" w:space="0" w:color="auto"/>
            <w:bottom w:val="none" w:sz="0" w:space="0" w:color="auto"/>
            <w:right w:val="none" w:sz="0" w:space="0" w:color="auto"/>
          </w:divBdr>
          <w:divsChild>
            <w:div w:id="1809399339">
              <w:marLeft w:val="0"/>
              <w:marRight w:val="0"/>
              <w:marTop w:val="0"/>
              <w:marBottom w:val="0"/>
              <w:divBdr>
                <w:top w:val="none" w:sz="0" w:space="0" w:color="auto"/>
                <w:left w:val="none" w:sz="0" w:space="0" w:color="auto"/>
                <w:bottom w:val="none" w:sz="0" w:space="0" w:color="auto"/>
                <w:right w:val="none" w:sz="0" w:space="0" w:color="auto"/>
              </w:divBdr>
              <w:divsChild>
                <w:div w:id="1077631819">
                  <w:marLeft w:val="0"/>
                  <w:marRight w:val="0"/>
                  <w:marTop w:val="0"/>
                  <w:marBottom w:val="0"/>
                  <w:divBdr>
                    <w:top w:val="none" w:sz="0" w:space="0" w:color="auto"/>
                    <w:left w:val="none" w:sz="0" w:space="0" w:color="auto"/>
                    <w:bottom w:val="none" w:sz="0" w:space="0" w:color="auto"/>
                    <w:right w:val="none" w:sz="0" w:space="0" w:color="auto"/>
                  </w:divBdr>
                  <w:divsChild>
                    <w:div w:id="15099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30151">
      <w:bodyDiv w:val="1"/>
      <w:marLeft w:val="0"/>
      <w:marRight w:val="0"/>
      <w:marTop w:val="0"/>
      <w:marBottom w:val="0"/>
      <w:divBdr>
        <w:top w:val="none" w:sz="0" w:space="0" w:color="auto"/>
        <w:left w:val="none" w:sz="0" w:space="0" w:color="auto"/>
        <w:bottom w:val="none" w:sz="0" w:space="0" w:color="auto"/>
        <w:right w:val="none" w:sz="0" w:space="0" w:color="auto"/>
      </w:divBdr>
    </w:div>
    <w:div w:id="1516655099">
      <w:bodyDiv w:val="1"/>
      <w:marLeft w:val="0"/>
      <w:marRight w:val="0"/>
      <w:marTop w:val="0"/>
      <w:marBottom w:val="0"/>
      <w:divBdr>
        <w:top w:val="none" w:sz="0" w:space="0" w:color="auto"/>
        <w:left w:val="none" w:sz="0" w:space="0" w:color="auto"/>
        <w:bottom w:val="none" w:sz="0" w:space="0" w:color="auto"/>
        <w:right w:val="none" w:sz="0" w:space="0" w:color="auto"/>
      </w:divBdr>
      <w:divsChild>
        <w:div w:id="131674701">
          <w:marLeft w:val="0"/>
          <w:marRight w:val="0"/>
          <w:marTop w:val="0"/>
          <w:marBottom w:val="0"/>
          <w:divBdr>
            <w:top w:val="none" w:sz="0" w:space="0" w:color="auto"/>
            <w:left w:val="none" w:sz="0" w:space="0" w:color="auto"/>
            <w:bottom w:val="none" w:sz="0" w:space="0" w:color="auto"/>
            <w:right w:val="none" w:sz="0" w:space="0" w:color="auto"/>
          </w:divBdr>
          <w:divsChild>
            <w:div w:id="1961379578">
              <w:marLeft w:val="0"/>
              <w:marRight w:val="0"/>
              <w:marTop w:val="0"/>
              <w:marBottom w:val="0"/>
              <w:divBdr>
                <w:top w:val="none" w:sz="0" w:space="0" w:color="auto"/>
                <w:left w:val="none" w:sz="0" w:space="0" w:color="auto"/>
                <w:bottom w:val="none" w:sz="0" w:space="0" w:color="auto"/>
                <w:right w:val="none" w:sz="0" w:space="0" w:color="auto"/>
              </w:divBdr>
              <w:divsChild>
                <w:div w:id="18725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69827">
      <w:bodyDiv w:val="1"/>
      <w:marLeft w:val="0"/>
      <w:marRight w:val="0"/>
      <w:marTop w:val="0"/>
      <w:marBottom w:val="0"/>
      <w:divBdr>
        <w:top w:val="none" w:sz="0" w:space="0" w:color="auto"/>
        <w:left w:val="none" w:sz="0" w:space="0" w:color="auto"/>
        <w:bottom w:val="none" w:sz="0" w:space="0" w:color="auto"/>
        <w:right w:val="none" w:sz="0" w:space="0" w:color="auto"/>
      </w:divBdr>
    </w:div>
    <w:div w:id="1632706267">
      <w:bodyDiv w:val="1"/>
      <w:marLeft w:val="0"/>
      <w:marRight w:val="0"/>
      <w:marTop w:val="0"/>
      <w:marBottom w:val="0"/>
      <w:divBdr>
        <w:top w:val="none" w:sz="0" w:space="0" w:color="auto"/>
        <w:left w:val="none" w:sz="0" w:space="0" w:color="auto"/>
        <w:bottom w:val="none" w:sz="0" w:space="0" w:color="auto"/>
        <w:right w:val="none" w:sz="0" w:space="0" w:color="auto"/>
      </w:divBdr>
      <w:divsChild>
        <w:div w:id="1908413991">
          <w:marLeft w:val="0"/>
          <w:marRight w:val="0"/>
          <w:marTop w:val="0"/>
          <w:marBottom w:val="0"/>
          <w:divBdr>
            <w:top w:val="none" w:sz="0" w:space="0" w:color="auto"/>
            <w:left w:val="none" w:sz="0" w:space="0" w:color="auto"/>
            <w:bottom w:val="none" w:sz="0" w:space="0" w:color="auto"/>
            <w:right w:val="none" w:sz="0" w:space="0" w:color="auto"/>
          </w:divBdr>
          <w:divsChild>
            <w:div w:id="2020304572">
              <w:marLeft w:val="0"/>
              <w:marRight w:val="0"/>
              <w:marTop w:val="0"/>
              <w:marBottom w:val="0"/>
              <w:divBdr>
                <w:top w:val="none" w:sz="0" w:space="0" w:color="auto"/>
                <w:left w:val="none" w:sz="0" w:space="0" w:color="auto"/>
                <w:bottom w:val="none" w:sz="0" w:space="0" w:color="auto"/>
                <w:right w:val="none" w:sz="0" w:space="0" w:color="auto"/>
              </w:divBdr>
              <w:divsChild>
                <w:div w:id="19955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60830">
      <w:bodyDiv w:val="1"/>
      <w:marLeft w:val="0"/>
      <w:marRight w:val="0"/>
      <w:marTop w:val="0"/>
      <w:marBottom w:val="0"/>
      <w:divBdr>
        <w:top w:val="none" w:sz="0" w:space="0" w:color="auto"/>
        <w:left w:val="none" w:sz="0" w:space="0" w:color="auto"/>
        <w:bottom w:val="none" w:sz="0" w:space="0" w:color="auto"/>
        <w:right w:val="none" w:sz="0" w:space="0" w:color="auto"/>
      </w:divBdr>
      <w:divsChild>
        <w:div w:id="84618893">
          <w:marLeft w:val="0"/>
          <w:marRight w:val="0"/>
          <w:marTop w:val="0"/>
          <w:marBottom w:val="0"/>
          <w:divBdr>
            <w:top w:val="none" w:sz="0" w:space="0" w:color="auto"/>
            <w:left w:val="none" w:sz="0" w:space="0" w:color="auto"/>
            <w:bottom w:val="none" w:sz="0" w:space="0" w:color="auto"/>
            <w:right w:val="none" w:sz="0" w:space="0" w:color="auto"/>
          </w:divBdr>
          <w:divsChild>
            <w:div w:id="441456295">
              <w:marLeft w:val="0"/>
              <w:marRight w:val="0"/>
              <w:marTop w:val="0"/>
              <w:marBottom w:val="0"/>
              <w:divBdr>
                <w:top w:val="none" w:sz="0" w:space="0" w:color="auto"/>
                <w:left w:val="none" w:sz="0" w:space="0" w:color="auto"/>
                <w:bottom w:val="none" w:sz="0" w:space="0" w:color="auto"/>
                <w:right w:val="none" w:sz="0" w:space="0" w:color="auto"/>
              </w:divBdr>
              <w:divsChild>
                <w:div w:id="1457722625">
                  <w:marLeft w:val="0"/>
                  <w:marRight w:val="0"/>
                  <w:marTop w:val="0"/>
                  <w:marBottom w:val="0"/>
                  <w:divBdr>
                    <w:top w:val="none" w:sz="0" w:space="0" w:color="auto"/>
                    <w:left w:val="none" w:sz="0" w:space="0" w:color="auto"/>
                    <w:bottom w:val="none" w:sz="0" w:space="0" w:color="auto"/>
                    <w:right w:val="none" w:sz="0" w:space="0" w:color="auto"/>
                  </w:divBdr>
                </w:div>
                <w:div w:id="11604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mdrfoundation.org/toolkit/rtep-fidelity-checklist.pdf" TargetMode="External"/><Relationship Id="rId5" Type="http://schemas.openxmlformats.org/officeDocument/2006/relationships/webSettings" Target="webSettings.xml"/><Relationship Id="rId10" Type="http://schemas.openxmlformats.org/officeDocument/2006/relationships/hyperlink" Target="https://www.nice.org.uk/guidance/QS158" TargetMode="External"/><Relationship Id="rId4" Type="http://schemas.openxmlformats.org/officeDocument/2006/relationships/settings" Target="settings.xml"/><Relationship Id="rId9" Type="http://schemas.openxmlformats.org/officeDocument/2006/relationships/hyperlink" Target="https://www.goodthingsfoundation.org/insights/digital-participation-lessons-lear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E761-278B-4D42-B889-9070ED4E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42160</Words>
  <Characters>240318</Characters>
  <Application>Microsoft Office Word</Application>
  <DocSecurity>0</DocSecurity>
  <Lines>2002</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Bates</dc:creator>
  <cp:keywords/>
  <dc:description/>
  <cp:lastModifiedBy>Andrew Bates</cp:lastModifiedBy>
  <cp:revision>2</cp:revision>
  <dcterms:created xsi:type="dcterms:W3CDTF">2022-12-21T09:00:00Z</dcterms:created>
  <dcterms:modified xsi:type="dcterms:W3CDTF">2022-12-21T09:00:00Z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6f1fb1c5-359b-3f37-b5bf-49844134f3de</vt:lpwstr>
  </property>
  <property fmtid="{D5CDD505-2E9C-101B-9397-08002B2CF9AE}" pid="24" name="Mendeley Citation Style_1">
    <vt:lpwstr>http://www.zotero.org/styles/vancouver</vt:lpwstr>
  </property>
</Properties>
</file>